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70CA0">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bCs w:val="0"/>
          <w:color w:val="auto"/>
          <w:spacing w:val="0"/>
          <w:sz w:val="72"/>
          <w:szCs w:val="200"/>
          <w:highlight w:val="none"/>
          <w:lang w:val="en-US" w:eastAsia="zh-CN"/>
        </w:rPr>
      </w:pPr>
    </w:p>
    <w:p w14:paraId="42CF94E6">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highlight w:val="none"/>
        </w:rPr>
      </w:pPr>
      <w:r>
        <w:rPr>
          <w:rFonts w:hint="eastAsia" w:ascii="宋体" w:hAnsi="宋体" w:eastAsia="宋体" w:cs="宋体"/>
          <w:b/>
          <w:bCs w:val="0"/>
          <w:color w:val="auto"/>
          <w:spacing w:val="0"/>
          <w:sz w:val="44"/>
          <w:szCs w:val="72"/>
          <w:highlight w:val="none"/>
          <w:lang w:val="en-US" w:eastAsia="zh-CN"/>
        </w:rPr>
        <w:t>前郭县国有林总场2026年衔接推进乡村振兴苗圃基地提升项目哈拉毛都林场围栏工程</w:t>
      </w:r>
    </w:p>
    <w:p w14:paraId="7DF540BF">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19226BDB">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78AA0A75">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68F477B6">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72EB5FB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79"/>
          <w:szCs w:val="79"/>
          <w:highlight w:val="none"/>
        </w:rPr>
      </w:pPr>
      <w:r>
        <w:rPr>
          <w:rFonts w:hint="eastAsia" w:ascii="宋体" w:hAnsi="宋体" w:eastAsia="宋体" w:cs="宋体"/>
          <w:b/>
          <w:bCs/>
          <w:color w:val="auto"/>
          <w:spacing w:val="0"/>
          <w:sz w:val="79"/>
          <w:szCs w:val="79"/>
          <w:highlight w:val="none"/>
        </w:rPr>
        <w:t>竞争性磋商文件</w:t>
      </w:r>
    </w:p>
    <w:p w14:paraId="0C9AFBF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both"/>
        <w:textAlignment w:val="baseline"/>
        <w:rPr>
          <w:rFonts w:hint="eastAsia" w:ascii="宋体" w:hAnsi="宋体" w:eastAsia="宋体" w:cs="宋体"/>
          <w:b/>
          <w:bCs/>
          <w:color w:val="auto"/>
          <w:spacing w:val="0"/>
          <w:sz w:val="28"/>
          <w:szCs w:val="28"/>
          <w:highlight w:val="none"/>
        </w:rPr>
      </w:pPr>
    </w:p>
    <w:p w14:paraId="592CCF3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bCs/>
          <w:color w:val="auto"/>
          <w:spacing w:val="0"/>
          <w:sz w:val="28"/>
          <w:szCs w:val="28"/>
          <w:highlight w:val="none"/>
          <w:lang w:val="en-US" w:eastAsia="zh-CN"/>
        </w:rPr>
      </w:pPr>
      <w:r>
        <w:rPr>
          <w:rFonts w:hint="eastAsia" w:ascii="宋体" w:hAnsi="宋体" w:eastAsia="宋体" w:cs="宋体"/>
          <w:b/>
          <w:bCs/>
          <w:color w:val="auto"/>
          <w:spacing w:val="0"/>
          <w:sz w:val="28"/>
          <w:szCs w:val="28"/>
          <w:highlight w:val="none"/>
        </w:rPr>
        <w:t>项目编号:</w:t>
      </w:r>
      <w:r>
        <w:rPr>
          <w:rFonts w:hint="eastAsia" w:ascii="宋体" w:hAnsi="宋体" w:eastAsia="宋体" w:cs="宋体"/>
          <w:b/>
          <w:bCs/>
          <w:color w:val="auto"/>
          <w:spacing w:val="0"/>
          <w:sz w:val="28"/>
          <w:szCs w:val="28"/>
          <w:highlight w:val="none"/>
          <w:lang w:eastAsia="zh-CN"/>
        </w:rPr>
        <w:t>采购计划-[2026]-00076号</w:t>
      </w:r>
      <w:r>
        <w:rPr>
          <w:rFonts w:hint="eastAsia" w:ascii="宋体" w:hAnsi="宋体" w:eastAsia="宋体" w:cs="宋体"/>
          <w:b/>
          <w:bCs/>
          <w:color w:val="auto"/>
          <w:spacing w:val="0"/>
          <w:sz w:val="28"/>
          <w:szCs w:val="28"/>
          <w:highlight w:val="none"/>
          <w:lang w:val="en-US" w:eastAsia="zh-CN"/>
        </w:rPr>
        <w:t>-</w:t>
      </w:r>
      <w:r>
        <w:rPr>
          <w:rFonts w:hint="eastAsia" w:ascii="宋体" w:hAnsi="宋体" w:eastAsia="宋体" w:cs="宋体"/>
          <w:b/>
          <w:bCs/>
          <w:color w:val="auto"/>
          <w:spacing w:val="0"/>
          <w:sz w:val="28"/>
          <w:szCs w:val="28"/>
          <w:highlight w:val="none"/>
          <w:lang w:eastAsia="zh-CN"/>
        </w:rPr>
        <w:t>CYJSZB2026-15</w:t>
      </w:r>
    </w:p>
    <w:p w14:paraId="5CC3811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bCs/>
          <w:color w:val="auto"/>
          <w:spacing w:val="0"/>
          <w:sz w:val="28"/>
          <w:szCs w:val="28"/>
          <w:highlight w:val="none"/>
        </w:rPr>
      </w:pPr>
    </w:p>
    <w:p w14:paraId="0BA4BC18">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6AA52FBC">
      <w:pPr>
        <w:pStyle w:val="15"/>
        <w:pageBreakBefore w:val="0"/>
        <w:widowControl/>
        <w:kinsoku/>
        <w:wordWrap w:val="0"/>
        <w:overflowPunct/>
        <w:topLinePunct w:val="0"/>
        <w:autoSpaceDE w:val="0"/>
        <w:autoSpaceDN w:val="0"/>
        <w:bidi w:val="0"/>
        <w:adjustRightInd w:val="0"/>
        <w:snapToGrid w:val="0"/>
        <w:textAlignment w:val="baseline"/>
        <w:rPr>
          <w:rFonts w:hint="eastAsia" w:ascii="宋体" w:hAnsi="宋体" w:eastAsia="宋体" w:cs="宋体"/>
          <w:color w:val="auto"/>
          <w:spacing w:val="0"/>
          <w:highlight w:val="none"/>
        </w:rPr>
      </w:pPr>
    </w:p>
    <w:p w14:paraId="3DC300C1">
      <w:pPr>
        <w:pStyle w:val="15"/>
        <w:pageBreakBefore w:val="0"/>
        <w:widowControl/>
        <w:kinsoku/>
        <w:wordWrap w:val="0"/>
        <w:overflowPunct/>
        <w:topLinePunct w:val="0"/>
        <w:autoSpaceDE w:val="0"/>
        <w:autoSpaceDN w:val="0"/>
        <w:bidi w:val="0"/>
        <w:adjustRightInd w:val="0"/>
        <w:snapToGrid w:val="0"/>
        <w:textAlignment w:val="baseline"/>
        <w:rPr>
          <w:rFonts w:hint="eastAsia" w:ascii="宋体" w:hAnsi="宋体" w:eastAsia="宋体" w:cs="宋体"/>
          <w:color w:val="auto"/>
          <w:spacing w:val="0"/>
          <w:highlight w:val="none"/>
        </w:rPr>
      </w:pPr>
    </w:p>
    <w:p w14:paraId="2A85627E">
      <w:pPr>
        <w:pStyle w:val="15"/>
        <w:pageBreakBefore w:val="0"/>
        <w:widowControl/>
        <w:kinsoku/>
        <w:wordWrap w:val="0"/>
        <w:overflowPunct/>
        <w:topLinePunct w:val="0"/>
        <w:autoSpaceDE w:val="0"/>
        <w:autoSpaceDN w:val="0"/>
        <w:bidi w:val="0"/>
        <w:adjustRightInd w:val="0"/>
        <w:snapToGrid w:val="0"/>
        <w:textAlignment w:val="baseline"/>
        <w:rPr>
          <w:rFonts w:hint="eastAsia" w:ascii="宋体" w:hAnsi="宋体" w:eastAsia="宋体" w:cs="宋体"/>
          <w:color w:val="auto"/>
          <w:spacing w:val="0"/>
          <w:highlight w:val="none"/>
        </w:rPr>
      </w:pPr>
    </w:p>
    <w:p w14:paraId="15438B2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36"/>
          <w:szCs w:val="36"/>
          <w:highlight w:val="none"/>
          <w:lang w:eastAsia="zh-CN"/>
        </w:rPr>
      </w:pPr>
      <w:r>
        <w:rPr>
          <w:rFonts w:hint="eastAsia" w:ascii="宋体" w:hAnsi="宋体" w:eastAsia="宋体" w:cs="宋体"/>
          <w:b/>
          <w:bCs/>
          <w:color w:val="auto"/>
          <w:spacing w:val="0"/>
          <w:sz w:val="36"/>
          <w:szCs w:val="36"/>
          <w:highlight w:val="none"/>
        </w:rPr>
        <w:t>采购人：</w:t>
      </w:r>
      <w:r>
        <w:rPr>
          <w:rFonts w:hint="eastAsia" w:ascii="宋体" w:hAnsi="宋体" w:eastAsia="宋体" w:cs="宋体"/>
          <w:b/>
          <w:bCs/>
          <w:color w:val="auto"/>
          <w:spacing w:val="0"/>
          <w:sz w:val="36"/>
          <w:szCs w:val="36"/>
          <w:highlight w:val="none"/>
          <w:lang w:eastAsia="zh-CN"/>
        </w:rPr>
        <w:t>前郭尔罗斯蒙古族自治县国有林总场</w:t>
      </w:r>
    </w:p>
    <w:p w14:paraId="47255A1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bCs/>
          <w:color w:val="auto"/>
          <w:spacing w:val="0"/>
          <w:sz w:val="36"/>
          <w:szCs w:val="36"/>
          <w:highlight w:val="none"/>
        </w:rPr>
      </w:pPr>
    </w:p>
    <w:p w14:paraId="350D8E7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36"/>
          <w:szCs w:val="36"/>
          <w:highlight w:val="none"/>
        </w:rPr>
      </w:pPr>
      <w:r>
        <w:rPr>
          <w:rFonts w:hint="eastAsia" w:ascii="宋体" w:hAnsi="宋体" w:eastAsia="宋体" w:cs="宋体"/>
          <w:b/>
          <w:bCs/>
          <w:color w:val="auto"/>
          <w:spacing w:val="0"/>
          <w:sz w:val="36"/>
          <w:szCs w:val="36"/>
          <w:highlight w:val="none"/>
        </w:rPr>
        <w:t>采购代理机构</w:t>
      </w:r>
      <w:r>
        <w:rPr>
          <w:rFonts w:hint="eastAsia" w:ascii="宋体" w:hAnsi="宋体" w:eastAsia="宋体" w:cs="宋体"/>
          <w:b/>
          <w:bCs/>
          <w:color w:val="auto"/>
          <w:spacing w:val="0"/>
          <w:sz w:val="36"/>
          <w:szCs w:val="36"/>
          <w:highlight w:val="none"/>
          <w:lang w:eastAsia="zh-CN"/>
        </w:rPr>
        <w:t>：</w:t>
      </w:r>
      <w:r>
        <w:rPr>
          <w:rFonts w:hint="eastAsia" w:ascii="宋体" w:hAnsi="宋体" w:eastAsia="宋体" w:cs="宋体"/>
          <w:b/>
          <w:bCs/>
          <w:color w:val="auto"/>
          <w:spacing w:val="0"/>
          <w:sz w:val="36"/>
          <w:szCs w:val="36"/>
          <w:highlight w:val="none"/>
          <w:lang w:val="zh-CN"/>
        </w:rPr>
        <w:t xml:space="preserve">吉林省宸瑀建设项目管理有限公司 </w:t>
      </w:r>
    </w:p>
    <w:p w14:paraId="763109B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rPr>
      </w:pPr>
      <w:r>
        <w:rPr>
          <w:rFonts w:hint="eastAsia" w:ascii="宋体" w:hAnsi="宋体" w:eastAsia="宋体" w:cs="宋体"/>
          <w:b/>
          <w:bCs/>
          <w:color w:val="auto"/>
          <w:spacing w:val="0"/>
          <w:sz w:val="36"/>
          <w:szCs w:val="36"/>
          <w:highlight w:val="none"/>
        </w:rPr>
        <w:t>二〇二</w:t>
      </w:r>
      <w:r>
        <w:rPr>
          <w:rFonts w:hint="eastAsia" w:ascii="宋体" w:hAnsi="宋体" w:eastAsia="宋体" w:cs="宋体"/>
          <w:b/>
          <w:bCs/>
          <w:color w:val="auto"/>
          <w:spacing w:val="0"/>
          <w:sz w:val="36"/>
          <w:szCs w:val="36"/>
          <w:highlight w:val="none"/>
          <w:lang w:val="en-US" w:eastAsia="zh-CN"/>
        </w:rPr>
        <w:t>六</w:t>
      </w:r>
      <w:r>
        <w:rPr>
          <w:rFonts w:hint="eastAsia" w:ascii="宋体" w:hAnsi="宋体" w:eastAsia="宋体" w:cs="宋体"/>
          <w:b/>
          <w:bCs/>
          <w:color w:val="auto"/>
          <w:spacing w:val="0"/>
          <w:sz w:val="36"/>
          <w:szCs w:val="36"/>
          <w:highlight w:val="none"/>
        </w:rPr>
        <w:t>年</w:t>
      </w:r>
      <w:r>
        <w:rPr>
          <w:rFonts w:hint="eastAsia" w:ascii="宋体" w:hAnsi="宋体" w:eastAsia="宋体" w:cs="宋体"/>
          <w:b/>
          <w:bCs/>
          <w:color w:val="auto"/>
          <w:spacing w:val="0"/>
          <w:sz w:val="36"/>
          <w:szCs w:val="36"/>
          <w:highlight w:val="none"/>
          <w:lang w:val="en-US" w:eastAsia="zh-CN"/>
        </w:rPr>
        <w:t>五</w:t>
      </w:r>
      <w:r>
        <w:rPr>
          <w:rFonts w:hint="eastAsia" w:ascii="宋体" w:hAnsi="宋体" w:eastAsia="宋体" w:cs="宋体"/>
          <w:b/>
          <w:bCs/>
          <w:color w:val="auto"/>
          <w:spacing w:val="0"/>
          <w:sz w:val="36"/>
          <w:szCs w:val="36"/>
          <w:highlight w:val="none"/>
        </w:rPr>
        <w:t>月</w:t>
      </w:r>
    </w:p>
    <w:p w14:paraId="0AC0A0D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31"/>
          <w:szCs w:val="31"/>
          <w:highlight w:val="none"/>
        </w:rPr>
        <w:sectPr>
          <w:pgSz w:w="11907" w:h="16840"/>
          <w:pgMar w:top="1440" w:right="1080" w:bottom="1440" w:left="1080" w:header="0" w:footer="0" w:gutter="0"/>
          <w:cols w:space="720" w:num="1"/>
        </w:sectPr>
      </w:pPr>
    </w:p>
    <w:p w14:paraId="59D2A0DF">
      <w:pPr>
        <w:pageBreakBefore w:val="0"/>
        <w:widowControl/>
        <w:kinsoku/>
        <w:wordWrap w:val="0"/>
        <w:overflowPunct/>
        <w:topLinePunct w:val="0"/>
        <w:autoSpaceDE w:val="0"/>
        <w:autoSpaceDN w:val="0"/>
        <w:bidi w:val="0"/>
        <w:adjustRightInd w:val="0"/>
        <w:snapToGrid w:val="0"/>
        <w:spacing w:before="0" w:beforeLines="20" w:after="0" w:afterLines="20" w:line="480" w:lineRule="auto"/>
        <w:ind w:left="0" w:leftChars="0" w:right="0"/>
        <w:jc w:val="center"/>
        <w:textAlignment w:val="baseline"/>
        <w:outlineLvl w:val="0"/>
        <w:rPr>
          <w:rFonts w:hint="eastAsia" w:ascii="宋体" w:hAnsi="宋体" w:eastAsia="宋体" w:cs="宋体"/>
          <w:color w:val="auto"/>
          <w:spacing w:val="0"/>
          <w:sz w:val="28"/>
          <w:szCs w:val="28"/>
          <w:highlight w:val="none"/>
        </w:rPr>
      </w:pPr>
      <w:bookmarkStart w:id="0" w:name="_Toc12223"/>
      <w:bookmarkStart w:id="1" w:name="_Toc14691"/>
      <w:bookmarkStart w:id="2" w:name="_Toc8382"/>
      <w:r>
        <w:rPr>
          <w:rFonts w:hint="eastAsia" w:ascii="宋体" w:hAnsi="宋体" w:eastAsia="宋体" w:cs="宋体"/>
          <w:b/>
          <w:bCs/>
          <w:color w:val="auto"/>
          <w:spacing w:val="0"/>
          <w:sz w:val="28"/>
          <w:szCs w:val="28"/>
          <w:highlight w:val="none"/>
        </w:rPr>
        <w:t>目</w:t>
      </w:r>
      <w:r>
        <w:rPr>
          <w:rFonts w:hint="eastAsia" w:ascii="宋体" w:hAnsi="宋体" w:eastAsia="宋体" w:cs="宋体"/>
          <w:color w:val="auto"/>
          <w:spacing w:val="0"/>
          <w:sz w:val="28"/>
          <w:szCs w:val="28"/>
          <w:highlight w:val="none"/>
        </w:rPr>
        <w:t xml:space="preserve">  </w:t>
      </w:r>
      <w:r>
        <w:rPr>
          <w:rFonts w:hint="eastAsia" w:ascii="宋体" w:hAnsi="宋体" w:eastAsia="宋体" w:cs="宋体"/>
          <w:b/>
          <w:bCs/>
          <w:color w:val="auto"/>
          <w:spacing w:val="0"/>
          <w:sz w:val="28"/>
          <w:szCs w:val="28"/>
          <w:highlight w:val="none"/>
        </w:rPr>
        <w:t>录</w:t>
      </w:r>
      <w:bookmarkEnd w:id="0"/>
      <w:bookmarkEnd w:id="1"/>
      <w:bookmarkEnd w:id="2"/>
    </w:p>
    <w:sdt>
      <w:sdtPr>
        <w:rPr>
          <w:rFonts w:hint="eastAsia" w:ascii="宋体" w:hAnsi="宋体" w:eastAsia="宋体" w:cs="宋体"/>
          <w:snapToGrid w:val="0"/>
          <w:color w:val="auto"/>
          <w:spacing w:val="0"/>
          <w:kern w:val="0"/>
          <w:sz w:val="28"/>
          <w:szCs w:val="28"/>
          <w:highlight w:val="none"/>
          <w:lang w:val="en-US" w:eastAsia="en-US" w:bidi="ar-SA"/>
        </w:rPr>
        <w:id w:val="147458414"/>
        <w15:color w:val="DBDBDB"/>
        <w:docPartObj>
          <w:docPartGallery w:val="Table of Contents"/>
          <w:docPartUnique/>
        </w:docPartObj>
      </w:sdtPr>
      <w:sdtEndPr>
        <w:rPr>
          <w:rFonts w:hint="eastAsia" w:ascii="宋体" w:hAnsi="宋体" w:eastAsia="宋体" w:cs="宋体"/>
          <w:bCs/>
          <w:snapToGrid w:val="0"/>
          <w:color w:val="auto"/>
          <w:spacing w:val="0"/>
          <w:kern w:val="0"/>
          <w:sz w:val="21"/>
          <w:szCs w:val="31"/>
          <w:highlight w:val="none"/>
          <w:lang w:val="en-US" w:eastAsia="en-US" w:bidi="ar-SA"/>
        </w:rPr>
      </w:sdtEndPr>
      <w:sdtContent>
        <w:p w14:paraId="0200776B">
          <w:pPr>
            <w:pStyle w:val="12"/>
            <w:pageBreakBefore w:val="0"/>
            <w:widowControl/>
            <w:tabs>
              <w:tab w:val="right" w:leader="dot" w:pos="9477"/>
            </w:tabs>
            <w:kinsoku/>
            <w:wordWrap w:val="0"/>
            <w:overflowPunct/>
            <w:topLinePunct w:val="0"/>
            <w:autoSpaceDE w:val="0"/>
            <w:autoSpaceDN w:val="0"/>
            <w:bidi w:val="0"/>
            <w:adjustRightInd w:val="0"/>
            <w:snapToGrid w:val="0"/>
            <w:spacing w:before="0" w:beforeLines="20" w:after="0" w:afterLines="20" w:line="480" w:lineRule="auto"/>
            <w:ind w:left="0" w:leftChars="0" w:right="0"/>
            <w:textAlignment w:val="baseline"/>
            <w:outlineLvl w:val="0"/>
            <w:rPr>
              <w:rFonts w:hint="eastAsia" w:ascii="宋体" w:hAnsi="宋体" w:eastAsia="宋体" w:cs="宋体"/>
              <w:bCs/>
              <w:snapToGrid w:val="0"/>
              <w:color w:val="auto"/>
              <w:spacing w:val="0"/>
              <w:kern w:val="0"/>
              <w:sz w:val="28"/>
              <w:szCs w:val="28"/>
              <w:highlight w:val="none"/>
              <w:lang w:val="en-US" w:eastAsia="en-US" w:bidi="ar-SA"/>
            </w:rPr>
          </w:pPr>
          <w:r>
            <w:rPr>
              <w:rFonts w:hint="eastAsia" w:ascii="宋体" w:hAnsi="宋体" w:eastAsia="宋体" w:cs="宋体"/>
              <w:b/>
              <w:bCs/>
              <w:color w:val="auto"/>
              <w:spacing w:val="0"/>
              <w:sz w:val="28"/>
              <w:szCs w:val="28"/>
              <w:highlight w:val="none"/>
            </w:rPr>
            <w:fldChar w:fldCharType="begin"/>
          </w:r>
          <w:r>
            <w:rPr>
              <w:rFonts w:hint="eastAsia" w:ascii="宋体" w:hAnsi="宋体" w:eastAsia="宋体" w:cs="宋体"/>
              <w:b/>
              <w:bCs/>
              <w:color w:val="auto"/>
              <w:spacing w:val="0"/>
              <w:sz w:val="28"/>
              <w:szCs w:val="28"/>
              <w:highlight w:val="none"/>
            </w:rPr>
            <w:instrText xml:space="preserve">TOC \o "1-3" \h \u </w:instrText>
          </w:r>
          <w:r>
            <w:rPr>
              <w:rFonts w:hint="eastAsia" w:ascii="宋体" w:hAnsi="宋体" w:eastAsia="宋体" w:cs="宋体"/>
              <w:b/>
              <w:bCs/>
              <w:color w:val="auto"/>
              <w:spacing w:val="0"/>
              <w:sz w:val="28"/>
              <w:szCs w:val="28"/>
              <w:highlight w:val="none"/>
            </w:rPr>
            <w:fldChar w:fldCharType="separate"/>
          </w:r>
        </w:p>
        <w:p w14:paraId="10CA578E">
          <w:pPr>
            <w:pStyle w:val="12"/>
            <w:tabs>
              <w:tab w:val="right" w:leader="dot" w:pos="9746"/>
            </w:tabs>
            <w:spacing w:line="360" w:lineRule="auto"/>
            <w:rPr>
              <w:sz w:val="28"/>
              <w:szCs w:val="28"/>
            </w:rPr>
          </w:pPr>
          <w:r>
            <w:rPr>
              <w:rFonts w:hint="eastAsia" w:ascii="宋体" w:hAnsi="宋体" w:eastAsia="宋体" w:cs="宋体"/>
              <w:bCs/>
              <w:color w:val="auto"/>
              <w:spacing w:val="0"/>
              <w:sz w:val="28"/>
              <w:szCs w:val="40"/>
              <w:highlight w:val="none"/>
            </w:rPr>
            <w:fldChar w:fldCharType="begin"/>
          </w:r>
          <w:r>
            <w:rPr>
              <w:rFonts w:hint="eastAsia" w:ascii="宋体" w:hAnsi="宋体" w:eastAsia="宋体" w:cs="宋体"/>
              <w:bCs/>
              <w:spacing w:val="0"/>
              <w:sz w:val="28"/>
              <w:szCs w:val="40"/>
              <w:highlight w:val="none"/>
            </w:rPr>
            <w:instrText xml:space="preserve"> HYPERLINK \l _Toc30183 </w:instrText>
          </w:r>
          <w:r>
            <w:rPr>
              <w:rFonts w:hint="eastAsia" w:ascii="宋体" w:hAnsi="宋体" w:eastAsia="宋体" w:cs="宋体"/>
              <w:bCs/>
              <w:spacing w:val="0"/>
              <w:sz w:val="28"/>
              <w:szCs w:val="40"/>
              <w:highlight w:val="none"/>
            </w:rPr>
            <w:fldChar w:fldCharType="separate"/>
          </w:r>
          <w:r>
            <w:rPr>
              <w:rFonts w:hint="eastAsia" w:ascii="宋体" w:hAnsi="宋体" w:eastAsia="宋体" w:cs="宋体"/>
              <w:bCs/>
              <w:spacing w:val="0"/>
              <w:sz w:val="28"/>
              <w:szCs w:val="44"/>
              <w:highlight w:val="none"/>
            </w:rPr>
            <w:t>第一章</w:t>
          </w:r>
          <w:r>
            <w:rPr>
              <w:rFonts w:hint="eastAsia" w:ascii="宋体" w:hAnsi="宋体" w:eastAsia="宋体" w:cs="宋体"/>
              <w:spacing w:val="0"/>
              <w:sz w:val="28"/>
              <w:szCs w:val="44"/>
              <w:highlight w:val="none"/>
            </w:rPr>
            <w:t xml:space="preserve"> </w:t>
          </w:r>
          <w:r>
            <w:rPr>
              <w:rFonts w:hint="eastAsia" w:ascii="宋体" w:hAnsi="宋体" w:eastAsia="宋体" w:cs="宋体"/>
              <w:spacing w:val="0"/>
              <w:sz w:val="28"/>
              <w:szCs w:val="44"/>
              <w:highlight w:val="none"/>
              <w:lang w:val="en-US" w:eastAsia="zh-CN"/>
            </w:rPr>
            <w:t xml:space="preserve"> </w:t>
          </w:r>
          <w:r>
            <w:rPr>
              <w:rFonts w:hint="eastAsia" w:ascii="宋体" w:hAnsi="宋体" w:eastAsia="宋体" w:cs="宋体"/>
              <w:bCs/>
              <w:spacing w:val="0"/>
              <w:sz w:val="28"/>
              <w:szCs w:val="44"/>
              <w:highlight w:val="none"/>
            </w:rPr>
            <w:t>竞争性磋商公告</w:t>
          </w:r>
          <w:r>
            <w:rPr>
              <w:sz w:val="28"/>
              <w:szCs w:val="28"/>
            </w:rPr>
            <w:tab/>
          </w:r>
          <w:r>
            <w:rPr>
              <w:sz w:val="28"/>
              <w:szCs w:val="28"/>
            </w:rPr>
            <w:fldChar w:fldCharType="begin"/>
          </w:r>
          <w:r>
            <w:rPr>
              <w:sz w:val="28"/>
              <w:szCs w:val="28"/>
            </w:rPr>
            <w:instrText xml:space="preserve"> PAGEREF _Toc30183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bCs/>
              <w:color w:val="auto"/>
              <w:spacing w:val="0"/>
              <w:sz w:val="28"/>
              <w:szCs w:val="40"/>
              <w:highlight w:val="none"/>
            </w:rPr>
            <w:fldChar w:fldCharType="end"/>
          </w:r>
        </w:p>
        <w:p w14:paraId="01BA7667">
          <w:pPr>
            <w:pStyle w:val="12"/>
            <w:tabs>
              <w:tab w:val="right" w:leader="dot" w:pos="9746"/>
            </w:tabs>
            <w:spacing w:line="360" w:lineRule="auto"/>
            <w:rPr>
              <w:sz w:val="28"/>
              <w:szCs w:val="28"/>
            </w:rPr>
          </w:pPr>
          <w:r>
            <w:rPr>
              <w:rFonts w:hint="eastAsia" w:ascii="宋体" w:hAnsi="宋体" w:eastAsia="宋体" w:cs="宋体"/>
              <w:bCs/>
              <w:color w:val="auto"/>
              <w:spacing w:val="0"/>
              <w:sz w:val="28"/>
              <w:szCs w:val="40"/>
              <w:highlight w:val="none"/>
            </w:rPr>
            <w:fldChar w:fldCharType="begin"/>
          </w:r>
          <w:r>
            <w:rPr>
              <w:rFonts w:hint="eastAsia" w:ascii="宋体" w:hAnsi="宋体" w:eastAsia="宋体" w:cs="宋体"/>
              <w:bCs/>
              <w:spacing w:val="0"/>
              <w:sz w:val="28"/>
              <w:szCs w:val="40"/>
              <w:highlight w:val="none"/>
            </w:rPr>
            <w:instrText xml:space="preserve"> HYPERLINK \l _Toc21428 </w:instrText>
          </w:r>
          <w:r>
            <w:rPr>
              <w:rFonts w:hint="eastAsia" w:ascii="宋体" w:hAnsi="宋体" w:eastAsia="宋体" w:cs="宋体"/>
              <w:bCs/>
              <w:spacing w:val="0"/>
              <w:sz w:val="28"/>
              <w:szCs w:val="40"/>
              <w:highlight w:val="none"/>
            </w:rPr>
            <w:fldChar w:fldCharType="separate"/>
          </w:r>
          <w:r>
            <w:rPr>
              <w:rFonts w:hint="eastAsia"/>
              <w:sz w:val="28"/>
              <w:szCs w:val="28"/>
            </w:rPr>
            <w:t>第二章  供应商须知</w:t>
          </w:r>
          <w:r>
            <w:rPr>
              <w:sz w:val="28"/>
              <w:szCs w:val="28"/>
            </w:rPr>
            <w:tab/>
          </w:r>
          <w:r>
            <w:rPr>
              <w:sz w:val="28"/>
              <w:szCs w:val="28"/>
            </w:rPr>
            <w:fldChar w:fldCharType="begin"/>
          </w:r>
          <w:r>
            <w:rPr>
              <w:sz w:val="28"/>
              <w:szCs w:val="28"/>
            </w:rPr>
            <w:instrText xml:space="preserve"> PAGEREF _Toc21428 \h </w:instrText>
          </w:r>
          <w:r>
            <w:rPr>
              <w:sz w:val="28"/>
              <w:szCs w:val="28"/>
            </w:rPr>
            <w:fldChar w:fldCharType="separate"/>
          </w:r>
          <w:r>
            <w:rPr>
              <w:sz w:val="28"/>
              <w:szCs w:val="28"/>
            </w:rPr>
            <w:t>6</w:t>
          </w:r>
          <w:r>
            <w:rPr>
              <w:sz w:val="28"/>
              <w:szCs w:val="28"/>
            </w:rPr>
            <w:fldChar w:fldCharType="end"/>
          </w:r>
          <w:r>
            <w:rPr>
              <w:rFonts w:hint="eastAsia" w:ascii="宋体" w:hAnsi="宋体" w:eastAsia="宋体" w:cs="宋体"/>
              <w:bCs/>
              <w:color w:val="auto"/>
              <w:spacing w:val="0"/>
              <w:sz w:val="28"/>
              <w:szCs w:val="40"/>
              <w:highlight w:val="none"/>
            </w:rPr>
            <w:fldChar w:fldCharType="end"/>
          </w:r>
        </w:p>
        <w:p w14:paraId="70268EC1">
          <w:pPr>
            <w:pStyle w:val="12"/>
            <w:tabs>
              <w:tab w:val="right" w:leader="dot" w:pos="9746"/>
            </w:tabs>
            <w:spacing w:line="360" w:lineRule="auto"/>
            <w:rPr>
              <w:sz w:val="28"/>
              <w:szCs w:val="28"/>
            </w:rPr>
          </w:pPr>
          <w:r>
            <w:rPr>
              <w:rFonts w:hint="eastAsia" w:ascii="宋体" w:hAnsi="宋体" w:eastAsia="宋体" w:cs="宋体"/>
              <w:bCs/>
              <w:color w:val="auto"/>
              <w:spacing w:val="0"/>
              <w:sz w:val="28"/>
              <w:szCs w:val="40"/>
              <w:highlight w:val="none"/>
            </w:rPr>
            <w:fldChar w:fldCharType="begin"/>
          </w:r>
          <w:r>
            <w:rPr>
              <w:rFonts w:hint="eastAsia" w:ascii="宋体" w:hAnsi="宋体" w:eastAsia="宋体" w:cs="宋体"/>
              <w:bCs/>
              <w:spacing w:val="0"/>
              <w:sz w:val="28"/>
              <w:szCs w:val="40"/>
              <w:highlight w:val="none"/>
            </w:rPr>
            <w:instrText xml:space="preserve"> HYPERLINK \l _Toc29910 </w:instrText>
          </w:r>
          <w:r>
            <w:rPr>
              <w:rFonts w:hint="eastAsia" w:ascii="宋体" w:hAnsi="宋体" w:eastAsia="宋体" w:cs="宋体"/>
              <w:bCs/>
              <w:spacing w:val="0"/>
              <w:sz w:val="28"/>
              <w:szCs w:val="40"/>
              <w:highlight w:val="none"/>
            </w:rPr>
            <w:fldChar w:fldCharType="separate"/>
          </w:r>
          <w:r>
            <w:rPr>
              <w:rFonts w:hint="eastAsia" w:ascii="宋体" w:hAnsi="宋体" w:eastAsia="宋体" w:cs="宋体"/>
              <w:bCs/>
              <w:spacing w:val="0"/>
              <w:sz w:val="28"/>
              <w:szCs w:val="44"/>
              <w:highlight w:val="none"/>
            </w:rPr>
            <w:t>第三章 合同条款</w:t>
          </w:r>
          <w:r>
            <w:rPr>
              <w:sz w:val="28"/>
              <w:szCs w:val="28"/>
            </w:rPr>
            <w:tab/>
          </w:r>
          <w:r>
            <w:rPr>
              <w:sz w:val="28"/>
              <w:szCs w:val="28"/>
            </w:rPr>
            <w:fldChar w:fldCharType="begin"/>
          </w:r>
          <w:r>
            <w:rPr>
              <w:sz w:val="28"/>
              <w:szCs w:val="28"/>
            </w:rPr>
            <w:instrText xml:space="preserve"> PAGEREF _Toc29910 \h </w:instrText>
          </w:r>
          <w:r>
            <w:rPr>
              <w:sz w:val="28"/>
              <w:szCs w:val="28"/>
            </w:rPr>
            <w:fldChar w:fldCharType="separate"/>
          </w:r>
          <w:r>
            <w:rPr>
              <w:sz w:val="28"/>
              <w:szCs w:val="28"/>
            </w:rPr>
            <w:t>27</w:t>
          </w:r>
          <w:r>
            <w:rPr>
              <w:sz w:val="28"/>
              <w:szCs w:val="28"/>
            </w:rPr>
            <w:fldChar w:fldCharType="end"/>
          </w:r>
          <w:r>
            <w:rPr>
              <w:rFonts w:hint="eastAsia" w:ascii="宋体" w:hAnsi="宋体" w:eastAsia="宋体" w:cs="宋体"/>
              <w:bCs/>
              <w:color w:val="auto"/>
              <w:spacing w:val="0"/>
              <w:sz w:val="28"/>
              <w:szCs w:val="40"/>
              <w:highlight w:val="none"/>
            </w:rPr>
            <w:fldChar w:fldCharType="end"/>
          </w:r>
        </w:p>
        <w:p w14:paraId="66256DCA">
          <w:pPr>
            <w:pStyle w:val="12"/>
            <w:tabs>
              <w:tab w:val="right" w:leader="dot" w:pos="9746"/>
            </w:tabs>
            <w:spacing w:line="360" w:lineRule="auto"/>
            <w:rPr>
              <w:sz w:val="28"/>
              <w:szCs w:val="28"/>
            </w:rPr>
          </w:pPr>
          <w:r>
            <w:rPr>
              <w:rFonts w:hint="eastAsia" w:ascii="宋体" w:hAnsi="宋体" w:eastAsia="宋体" w:cs="宋体"/>
              <w:bCs/>
              <w:color w:val="auto"/>
              <w:spacing w:val="0"/>
              <w:sz w:val="28"/>
              <w:szCs w:val="40"/>
              <w:highlight w:val="none"/>
            </w:rPr>
            <w:fldChar w:fldCharType="begin"/>
          </w:r>
          <w:r>
            <w:rPr>
              <w:rFonts w:hint="eastAsia" w:ascii="宋体" w:hAnsi="宋体" w:eastAsia="宋体" w:cs="宋体"/>
              <w:bCs/>
              <w:spacing w:val="0"/>
              <w:sz w:val="28"/>
              <w:szCs w:val="40"/>
              <w:highlight w:val="none"/>
            </w:rPr>
            <w:instrText xml:space="preserve"> HYPERLINK \l _Toc1177 </w:instrText>
          </w:r>
          <w:r>
            <w:rPr>
              <w:rFonts w:hint="eastAsia" w:ascii="宋体" w:hAnsi="宋体" w:eastAsia="宋体" w:cs="宋体"/>
              <w:bCs/>
              <w:spacing w:val="0"/>
              <w:sz w:val="28"/>
              <w:szCs w:val="40"/>
              <w:highlight w:val="none"/>
            </w:rPr>
            <w:fldChar w:fldCharType="separate"/>
          </w:r>
          <w:r>
            <w:rPr>
              <w:rFonts w:hint="eastAsia" w:ascii="宋体" w:hAnsi="宋体" w:eastAsia="宋体" w:cs="宋体"/>
              <w:bCs/>
              <w:spacing w:val="0"/>
              <w:sz w:val="28"/>
              <w:szCs w:val="44"/>
              <w:highlight w:val="none"/>
            </w:rPr>
            <w:t>第</w:t>
          </w:r>
          <w:r>
            <w:rPr>
              <w:rFonts w:hint="eastAsia" w:ascii="宋体" w:hAnsi="宋体" w:eastAsia="宋体" w:cs="宋体"/>
              <w:bCs/>
              <w:spacing w:val="0"/>
              <w:sz w:val="28"/>
              <w:szCs w:val="44"/>
              <w:highlight w:val="none"/>
              <w:lang w:eastAsia="zh-CN"/>
            </w:rPr>
            <w:t>四</w:t>
          </w:r>
          <w:r>
            <w:rPr>
              <w:rFonts w:hint="eastAsia" w:ascii="宋体" w:hAnsi="宋体" w:eastAsia="宋体" w:cs="宋体"/>
              <w:bCs/>
              <w:spacing w:val="0"/>
              <w:sz w:val="28"/>
              <w:szCs w:val="44"/>
              <w:highlight w:val="none"/>
            </w:rPr>
            <w:t>章</w:t>
          </w:r>
          <w:r>
            <w:rPr>
              <w:rFonts w:hint="eastAsia" w:ascii="宋体" w:hAnsi="宋体" w:eastAsia="宋体" w:cs="宋体"/>
              <w:bCs/>
              <w:spacing w:val="0"/>
              <w:sz w:val="28"/>
              <w:szCs w:val="44"/>
              <w:highlight w:val="none"/>
              <w:lang w:val="en-US" w:eastAsia="zh-CN"/>
            </w:rPr>
            <w:t xml:space="preserve"> </w:t>
          </w:r>
          <w:r>
            <w:rPr>
              <w:rFonts w:hint="eastAsia" w:ascii="宋体" w:hAnsi="宋体" w:eastAsia="宋体" w:cs="宋体"/>
              <w:bCs/>
              <w:spacing w:val="0"/>
              <w:sz w:val="28"/>
              <w:szCs w:val="44"/>
              <w:highlight w:val="none"/>
            </w:rPr>
            <w:t>技术标准和要求</w:t>
          </w:r>
          <w:r>
            <w:rPr>
              <w:sz w:val="28"/>
              <w:szCs w:val="28"/>
            </w:rPr>
            <w:tab/>
          </w:r>
          <w:r>
            <w:rPr>
              <w:sz w:val="28"/>
              <w:szCs w:val="28"/>
            </w:rPr>
            <w:fldChar w:fldCharType="begin"/>
          </w:r>
          <w:r>
            <w:rPr>
              <w:sz w:val="28"/>
              <w:szCs w:val="28"/>
            </w:rPr>
            <w:instrText xml:space="preserve"> PAGEREF _Toc1177 \h </w:instrText>
          </w:r>
          <w:r>
            <w:rPr>
              <w:sz w:val="28"/>
              <w:szCs w:val="28"/>
            </w:rPr>
            <w:fldChar w:fldCharType="separate"/>
          </w:r>
          <w:r>
            <w:rPr>
              <w:sz w:val="28"/>
              <w:szCs w:val="28"/>
            </w:rPr>
            <w:t>28</w:t>
          </w:r>
          <w:r>
            <w:rPr>
              <w:sz w:val="28"/>
              <w:szCs w:val="28"/>
            </w:rPr>
            <w:fldChar w:fldCharType="end"/>
          </w:r>
          <w:r>
            <w:rPr>
              <w:rFonts w:hint="eastAsia" w:ascii="宋体" w:hAnsi="宋体" w:eastAsia="宋体" w:cs="宋体"/>
              <w:bCs/>
              <w:color w:val="auto"/>
              <w:spacing w:val="0"/>
              <w:sz w:val="28"/>
              <w:szCs w:val="40"/>
              <w:highlight w:val="none"/>
            </w:rPr>
            <w:fldChar w:fldCharType="end"/>
          </w:r>
        </w:p>
        <w:p w14:paraId="54368BD1">
          <w:pPr>
            <w:pStyle w:val="12"/>
            <w:tabs>
              <w:tab w:val="right" w:leader="dot" w:pos="9746"/>
            </w:tabs>
            <w:spacing w:line="360" w:lineRule="auto"/>
            <w:rPr>
              <w:sz w:val="28"/>
              <w:szCs w:val="28"/>
            </w:rPr>
          </w:pPr>
          <w:r>
            <w:rPr>
              <w:rFonts w:hint="eastAsia" w:ascii="宋体" w:hAnsi="宋体" w:eastAsia="宋体" w:cs="宋体"/>
              <w:bCs/>
              <w:color w:val="auto"/>
              <w:spacing w:val="0"/>
              <w:sz w:val="28"/>
              <w:szCs w:val="40"/>
              <w:highlight w:val="none"/>
            </w:rPr>
            <w:fldChar w:fldCharType="begin"/>
          </w:r>
          <w:r>
            <w:rPr>
              <w:rFonts w:hint="eastAsia" w:ascii="宋体" w:hAnsi="宋体" w:eastAsia="宋体" w:cs="宋体"/>
              <w:bCs/>
              <w:spacing w:val="0"/>
              <w:sz w:val="28"/>
              <w:szCs w:val="40"/>
              <w:highlight w:val="none"/>
            </w:rPr>
            <w:instrText xml:space="preserve"> HYPERLINK \l _Toc11020 </w:instrText>
          </w:r>
          <w:r>
            <w:rPr>
              <w:rFonts w:hint="eastAsia" w:ascii="宋体" w:hAnsi="宋体" w:eastAsia="宋体" w:cs="宋体"/>
              <w:bCs/>
              <w:spacing w:val="0"/>
              <w:sz w:val="28"/>
              <w:szCs w:val="40"/>
              <w:highlight w:val="none"/>
            </w:rPr>
            <w:fldChar w:fldCharType="separate"/>
          </w:r>
          <w:r>
            <w:rPr>
              <w:rFonts w:hint="eastAsia" w:ascii="宋体" w:hAnsi="宋体" w:eastAsia="宋体" w:cs="宋体"/>
              <w:bCs/>
              <w:spacing w:val="0"/>
              <w:sz w:val="28"/>
              <w:szCs w:val="44"/>
              <w:highlight w:val="none"/>
            </w:rPr>
            <w:t>第</w:t>
          </w:r>
          <w:r>
            <w:rPr>
              <w:rFonts w:hint="eastAsia" w:ascii="宋体" w:hAnsi="宋体" w:eastAsia="宋体" w:cs="宋体"/>
              <w:bCs/>
              <w:spacing w:val="0"/>
              <w:sz w:val="28"/>
              <w:szCs w:val="44"/>
              <w:highlight w:val="none"/>
              <w:lang w:val="en-US" w:eastAsia="zh-CN"/>
            </w:rPr>
            <w:t>五</w:t>
          </w:r>
          <w:r>
            <w:rPr>
              <w:rFonts w:hint="eastAsia" w:ascii="宋体" w:hAnsi="宋体" w:eastAsia="宋体" w:cs="宋体"/>
              <w:bCs/>
              <w:spacing w:val="0"/>
              <w:sz w:val="28"/>
              <w:szCs w:val="44"/>
              <w:highlight w:val="none"/>
            </w:rPr>
            <w:t>章</w:t>
          </w:r>
          <w:r>
            <w:rPr>
              <w:rFonts w:hint="eastAsia" w:ascii="宋体" w:hAnsi="宋体" w:eastAsia="宋体" w:cs="宋体"/>
              <w:bCs/>
              <w:spacing w:val="0"/>
              <w:sz w:val="28"/>
              <w:szCs w:val="44"/>
              <w:highlight w:val="none"/>
              <w:lang w:val="en-US" w:eastAsia="zh-CN"/>
            </w:rPr>
            <w:t xml:space="preserve"> </w:t>
          </w:r>
          <w:r>
            <w:rPr>
              <w:rFonts w:hint="eastAsia" w:ascii="宋体" w:hAnsi="宋体" w:eastAsia="宋体" w:cs="宋体"/>
              <w:bCs/>
              <w:spacing w:val="0"/>
              <w:sz w:val="28"/>
              <w:szCs w:val="44"/>
              <w:highlight w:val="none"/>
              <w:lang w:eastAsia="zh-CN"/>
            </w:rPr>
            <w:t>工程量清单</w:t>
          </w:r>
          <w:r>
            <w:rPr>
              <w:sz w:val="28"/>
              <w:szCs w:val="28"/>
            </w:rPr>
            <w:tab/>
          </w:r>
          <w:r>
            <w:rPr>
              <w:sz w:val="28"/>
              <w:szCs w:val="28"/>
            </w:rPr>
            <w:fldChar w:fldCharType="begin"/>
          </w:r>
          <w:r>
            <w:rPr>
              <w:sz w:val="28"/>
              <w:szCs w:val="28"/>
            </w:rPr>
            <w:instrText xml:space="preserve"> PAGEREF _Toc11020 \h </w:instrText>
          </w:r>
          <w:r>
            <w:rPr>
              <w:sz w:val="28"/>
              <w:szCs w:val="28"/>
            </w:rPr>
            <w:fldChar w:fldCharType="separate"/>
          </w:r>
          <w:r>
            <w:rPr>
              <w:sz w:val="28"/>
              <w:szCs w:val="28"/>
            </w:rPr>
            <w:t>29</w:t>
          </w:r>
          <w:r>
            <w:rPr>
              <w:sz w:val="28"/>
              <w:szCs w:val="28"/>
            </w:rPr>
            <w:fldChar w:fldCharType="end"/>
          </w:r>
          <w:r>
            <w:rPr>
              <w:rFonts w:hint="eastAsia" w:ascii="宋体" w:hAnsi="宋体" w:eastAsia="宋体" w:cs="宋体"/>
              <w:bCs/>
              <w:color w:val="auto"/>
              <w:spacing w:val="0"/>
              <w:sz w:val="28"/>
              <w:szCs w:val="40"/>
              <w:highlight w:val="none"/>
            </w:rPr>
            <w:fldChar w:fldCharType="end"/>
          </w:r>
        </w:p>
        <w:p w14:paraId="7F051514">
          <w:pPr>
            <w:pStyle w:val="12"/>
            <w:tabs>
              <w:tab w:val="right" w:leader="dot" w:pos="9746"/>
            </w:tabs>
            <w:spacing w:line="360" w:lineRule="auto"/>
            <w:rPr>
              <w:sz w:val="28"/>
              <w:szCs w:val="28"/>
            </w:rPr>
          </w:pPr>
          <w:r>
            <w:rPr>
              <w:rFonts w:hint="eastAsia" w:ascii="宋体" w:hAnsi="宋体" w:eastAsia="宋体" w:cs="宋体"/>
              <w:bCs/>
              <w:color w:val="auto"/>
              <w:spacing w:val="0"/>
              <w:sz w:val="28"/>
              <w:szCs w:val="40"/>
              <w:highlight w:val="none"/>
            </w:rPr>
            <w:fldChar w:fldCharType="begin"/>
          </w:r>
          <w:r>
            <w:rPr>
              <w:rFonts w:hint="eastAsia" w:ascii="宋体" w:hAnsi="宋体" w:eastAsia="宋体" w:cs="宋体"/>
              <w:bCs/>
              <w:spacing w:val="0"/>
              <w:sz w:val="28"/>
              <w:szCs w:val="40"/>
              <w:highlight w:val="none"/>
            </w:rPr>
            <w:instrText xml:space="preserve"> HYPERLINK \l _Toc5169 </w:instrText>
          </w:r>
          <w:r>
            <w:rPr>
              <w:rFonts w:hint="eastAsia" w:ascii="宋体" w:hAnsi="宋体" w:eastAsia="宋体" w:cs="宋体"/>
              <w:bCs/>
              <w:spacing w:val="0"/>
              <w:sz w:val="28"/>
              <w:szCs w:val="40"/>
              <w:highlight w:val="none"/>
            </w:rPr>
            <w:fldChar w:fldCharType="separate"/>
          </w:r>
          <w:r>
            <w:rPr>
              <w:rFonts w:hint="eastAsia" w:ascii="宋体" w:hAnsi="宋体" w:eastAsia="宋体" w:cs="宋体"/>
              <w:bCs/>
              <w:spacing w:val="0"/>
              <w:sz w:val="28"/>
              <w:szCs w:val="44"/>
              <w:highlight w:val="none"/>
            </w:rPr>
            <w:t>第</w:t>
          </w:r>
          <w:r>
            <w:rPr>
              <w:rFonts w:hint="eastAsia" w:ascii="宋体" w:hAnsi="宋体" w:eastAsia="宋体" w:cs="宋体"/>
              <w:bCs/>
              <w:spacing w:val="0"/>
              <w:sz w:val="28"/>
              <w:szCs w:val="44"/>
              <w:highlight w:val="none"/>
              <w:lang w:val="en-US" w:eastAsia="zh-CN"/>
            </w:rPr>
            <w:t>六</w:t>
          </w:r>
          <w:r>
            <w:rPr>
              <w:rFonts w:hint="eastAsia" w:ascii="宋体" w:hAnsi="宋体" w:eastAsia="宋体" w:cs="宋体"/>
              <w:bCs/>
              <w:spacing w:val="0"/>
              <w:sz w:val="28"/>
              <w:szCs w:val="44"/>
              <w:highlight w:val="none"/>
            </w:rPr>
            <w:t>章</w:t>
          </w:r>
          <w:r>
            <w:rPr>
              <w:rFonts w:hint="eastAsia" w:ascii="宋体" w:hAnsi="宋体" w:eastAsia="宋体" w:cs="宋体"/>
              <w:bCs/>
              <w:spacing w:val="0"/>
              <w:sz w:val="28"/>
              <w:szCs w:val="44"/>
              <w:highlight w:val="none"/>
              <w:lang w:val="en-US" w:eastAsia="zh-CN"/>
            </w:rPr>
            <w:t xml:space="preserve"> </w:t>
          </w:r>
          <w:r>
            <w:rPr>
              <w:rFonts w:hint="eastAsia" w:ascii="宋体" w:hAnsi="宋体" w:eastAsia="宋体" w:cs="宋体"/>
              <w:bCs/>
              <w:spacing w:val="0"/>
              <w:sz w:val="28"/>
              <w:szCs w:val="44"/>
              <w:highlight w:val="none"/>
              <w:lang w:eastAsia="zh-CN"/>
            </w:rPr>
            <w:t>图纸</w:t>
          </w:r>
          <w:r>
            <w:rPr>
              <w:sz w:val="28"/>
              <w:szCs w:val="28"/>
            </w:rPr>
            <w:tab/>
          </w:r>
          <w:r>
            <w:rPr>
              <w:sz w:val="28"/>
              <w:szCs w:val="28"/>
            </w:rPr>
            <w:fldChar w:fldCharType="begin"/>
          </w:r>
          <w:r>
            <w:rPr>
              <w:sz w:val="28"/>
              <w:szCs w:val="28"/>
            </w:rPr>
            <w:instrText xml:space="preserve"> PAGEREF _Toc5169 \h </w:instrText>
          </w:r>
          <w:r>
            <w:rPr>
              <w:sz w:val="28"/>
              <w:szCs w:val="28"/>
            </w:rPr>
            <w:fldChar w:fldCharType="separate"/>
          </w:r>
          <w:r>
            <w:rPr>
              <w:sz w:val="28"/>
              <w:szCs w:val="28"/>
            </w:rPr>
            <w:t>29</w:t>
          </w:r>
          <w:r>
            <w:rPr>
              <w:sz w:val="28"/>
              <w:szCs w:val="28"/>
            </w:rPr>
            <w:fldChar w:fldCharType="end"/>
          </w:r>
          <w:r>
            <w:rPr>
              <w:rFonts w:hint="eastAsia" w:ascii="宋体" w:hAnsi="宋体" w:eastAsia="宋体" w:cs="宋体"/>
              <w:bCs/>
              <w:color w:val="auto"/>
              <w:spacing w:val="0"/>
              <w:sz w:val="28"/>
              <w:szCs w:val="40"/>
              <w:highlight w:val="none"/>
            </w:rPr>
            <w:fldChar w:fldCharType="end"/>
          </w:r>
        </w:p>
        <w:p w14:paraId="18183D37">
          <w:pPr>
            <w:pStyle w:val="12"/>
            <w:tabs>
              <w:tab w:val="right" w:leader="dot" w:pos="9746"/>
            </w:tabs>
            <w:spacing w:line="360" w:lineRule="auto"/>
            <w:rPr>
              <w:sz w:val="28"/>
              <w:szCs w:val="28"/>
            </w:rPr>
          </w:pPr>
          <w:r>
            <w:rPr>
              <w:rFonts w:hint="eastAsia" w:ascii="宋体" w:hAnsi="宋体" w:eastAsia="宋体" w:cs="宋体"/>
              <w:bCs/>
              <w:color w:val="auto"/>
              <w:spacing w:val="0"/>
              <w:sz w:val="28"/>
              <w:szCs w:val="40"/>
              <w:highlight w:val="none"/>
            </w:rPr>
            <w:fldChar w:fldCharType="begin"/>
          </w:r>
          <w:r>
            <w:rPr>
              <w:rFonts w:hint="eastAsia" w:ascii="宋体" w:hAnsi="宋体" w:eastAsia="宋体" w:cs="宋体"/>
              <w:bCs/>
              <w:spacing w:val="0"/>
              <w:sz w:val="28"/>
              <w:szCs w:val="40"/>
              <w:highlight w:val="none"/>
            </w:rPr>
            <w:instrText xml:space="preserve"> HYPERLINK \l _Toc27195 </w:instrText>
          </w:r>
          <w:r>
            <w:rPr>
              <w:rFonts w:hint="eastAsia" w:ascii="宋体" w:hAnsi="宋体" w:eastAsia="宋体" w:cs="宋体"/>
              <w:bCs/>
              <w:spacing w:val="0"/>
              <w:sz w:val="28"/>
              <w:szCs w:val="40"/>
              <w:highlight w:val="none"/>
            </w:rPr>
            <w:fldChar w:fldCharType="separate"/>
          </w:r>
          <w:r>
            <w:rPr>
              <w:rFonts w:hint="eastAsia" w:ascii="宋体" w:hAnsi="宋体" w:eastAsia="宋体" w:cs="宋体"/>
              <w:bCs/>
              <w:spacing w:val="0"/>
              <w:sz w:val="28"/>
              <w:szCs w:val="44"/>
              <w:highlight w:val="none"/>
            </w:rPr>
            <w:t>第</w:t>
          </w:r>
          <w:r>
            <w:rPr>
              <w:rFonts w:hint="eastAsia" w:ascii="宋体" w:hAnsi="宋体" w:eastAsia="宋体" w:cs="宋体"/>
              <w:bCs/>
              <w:spacing w:val="0"/>
              <w:sz w:val="28"/>
              <w:szCs w:val="44"/>
              <w:highlight w:val="none"/>
              <w:lang w:val="en-US" w:eastAsia="zh-CN"/>
            </w:rPr>
            <w:t>七</w:t>
          </w:r>
          <w:r>
            <w:rPr>
              <w:rFonts w:hint="eastAsia" w:ascii="宋体" w:hAnsi="宋体" w:eastAsia="宋体" w:cs="宋体"/>
              <w:bCs/>
              <w:spacing w:val="0"/>
              <w:sz w:val="28"/>
              <w:szCs w:val="44"/>
              <w:highlight w:val="none"/>
            </w:rPr>
            <w:t>章 响应文件格式</w:t>
          </w:r>
          <w:r>
            <w:rPr>
              <w:sz w:val="28"/>
              <w:szCs w:val="28"/>
            </w:rPr>
            <w:tab/>
          </w:r>
          <w:r>
            <w:rPr>
              <w:sz w:val="28"/>
              <w:szCs w:val="28"/>
            </w:rPr>
            <w:fldChar w:fldCharType="begin"/>
          </w:r>
          <w:r>
            <w:rPr>
              <w:sz w:val="28"/>
              <w:szCs w:val="28"/>
            </w:rPr>
            <w:instrText xml:space="preserve"> PAGEREF _Toc27195 \h </w:instrText>
          </w:r>
          <w:r>
            <w:rPr>
              <w:sz w:val="28"/>
              <w:szCs w:val="28"/>
            </w:rPr>
            <w:fldChar w:fldCharType="separate"/>
          </w:r>
          <w:r>
            <w:rPr>
              <w:sz w:val="28"/>
              <w:szCs w:val="28"/>
            </w:rPr>
            <w:t>30</w:t>
          </w:r>
          <w:r>
            <w:rPr>
              <w:sz w:val="28"/>
              <w:szCs w:val="28"/>
            </w:rPr>
            <w:fldChar w:fldCharType="end"/>
          </w:r>
          <w:r>
            <w:rPr>
              <w:rFonts w:hint="eastAsia" w:ascii="宋体" w:hAnsi="宋体" w:eastAsia="宋体" w:cs="宋体"/>
              <w:bCs/>
              <w:color w:val="auto"/>
              <w:spacing w:val="0"/>
              <w:sz w:val="28"/>
              <w:szCs w:val="40"/>
              <w:highlight w:val="none"/>
            </w:rPr>
            <w:fldChar w:fldCharType="end"/>
          </w:r>
        </w:p>
        <w:p w14:paraId="298FF6C6">
          <w:pPr>
            <w:pStyle w:val="12"/>
            <w:tabs>
              <w:tab w:val="right" w:leader="dot" w:pos="9746"/>
            </w:tabs>
            <w:spacing w:line="360" w:lineRule="auto"/>
            <w:rPr>
              <w:sz w:val="28"/>
              <w:szCs w:val="28"/>
            </w:rPr>
          </w:pPr>
          <w:r>
            <w:rPr>
              <w:rFonts w:hint="eastAsia" w:ascii="宋体" w:hAnsi="宋体" w:eastAsia="宋体" w:cs="宋体"/>
              <w:bCs/>
              <w:color w:val="auto"/>
              <w:spacing w:val="0"/>
              <w:sz w:val="28"/>
              <w:szCs w:val="40"/>
              <w:highlight w:val="none"/>
            </w:rPr>
            <w:fldChar w:fldCharType="begin"/>
          </w:r>
          <w:r>
            <w:rPr>
              <w:rFonts w:hint="eastAsia" w:ascii="宋体" w:hAnsi="宋体" w:eastAsia="宋体" w:cs="宋体"/>
              <w:bCs/>
              <w:spacing w:val="0"/>
              <w:sz w:val="28"/>
              <w:szCs w:val="40"/>
              <w:highlight w:val="none"/>
            </w:rPr>
            <w:instrText xml:space="preserve"> HYPERLINK \l _Toc9862 </w:instrText>
          </w:r>
          <w:r>
            <w:rPr>
              <w:rFonts w:hint="eastAsia" w:ascii="宋体" w:hAnsi="宋体" w:eastAsia="宋体" w:cs="宋体"/>
              <w:bCs/>
              <w:spacing w:val="0"/>
              <w:sz w:val="28"/>
              <w:szCs w:val="40"/>
              <w:highlight w:val="none"/>
            </w:rPr>
            <w:fldChar w:fldCharType="separate"/>
          </w:r>
          <w:r>
            <w:rPr>
              <w:rFonts w:hint="eastAsia" w:ascii="宋体" w:hAnsi="宋体" w:eastAsia="宋体" w:cs="宋体"/>
              <w:bCs/>
              <w:spacing w:val="0"/>
              <w:sz w:val="28"/>
              <w:szCs w:val="44"/>
              <w:highlight w:val="none"/>
            </w:rPr>
            <w:t>第</w:t>
          </w:r>
          <w:r>
            <w:rPr>
              <w:rFonts w:hint="eastAsia" w:ascii="宋体" w:hAnsi="宋体" w:eastAsia="宋体" w:cs="宋体"/>
              <w:bCs/>
              <w:spacing w:val="0"/>
              <w:sz w:val="28"/>
              <w:szCs w:val="44"/>
              <w:highlight w:val="none"/>
              <w:lang w:val="en-US" w:eastAsia="zh-CN"/>
            </w:rPr>
            <w:t>八</w:t>
          </w:r>
          <w:r>
            <w:rPr>
              <w:rFonts w:hint="eastAsia" w:ascii="宋体" w:hAnsi="宋体" w:eastAsia="宋体" w:cs="宋体"/>
              <w:bCs/>
              <w:spacing w:val="0"/>
              <w:sz w:val="28"/>
              <w:szCs w:val="44"/>
              <w:highlight w:val="none"/>
            </w:rPr>
            <w:t xml:space="preserve">章 </w:t>
          </w:r>
          <w:r>
            <w:rPr>
              <w:rFonts w:hint="eastAsia" w:ascii="宋体" w:hAnsi="宋体" w:eastAsia="宋体" w:cs="宋体"/>
              <w:bCs/>
              <w:spacing w:val="0"/>
              <w:sz w:val="28"/>
              <w:szCs w:val="44"/>
              <w:highlight w:val="none"/>
              <w:lang w:val="en-US" w:eastAsia="zh-CN"/>
            </w:rPr>
            <w:t xml:space="preserve"> </w:t>
          </w:r>
          <w:r>
            <w:rPr>
              <w:rFonts w:hint="eastAsia" w:ascii="宋体" w:hAnsi="宋体" w:eastAsia="宋体" w:cs="宋体"/>
              <w:bCs/>
              <w:spacing w:val="0"/>
              <w:sz w:val="28"/>
              <w:szCs w:val="44"/>
              <w:highlight w:val="none"/>
            </w:rPr>
            <w:t>竞争性磋商办法</w:t>
          </w:r>
          <w:r>
            <w:rPr>
              <w:sz w:val="28"/>
              <w:szCs w:val="28"/>
            </w:rPr>
            <w:tab/>
          </w:r>
          <w:r>
            <w:rPr>
              <w:sz w:val="28"/>
              <w:szCs w:val="28"/>
            </w:rPr>
            <w:fldChar w:fldCharType="begin"/>
          </w:r>
          <w:r>
            <w:rPr>
              <w:sz w:val="28"/>
              <w:szCs w:val="28"/>
            </w:rPr>
            <w:instrText xml:space="preserve"> PAGEREF _Toc9862 \h </w:instrText>
          </w:r>
          <w:r>
            <w:rPr>
              <w:sz w:val="28"/>
              <w:szCs w:val="28"/>
            </w:rPr>
            <w:fldChar w:fldCharType="separate"/>
          </w:r>
          <w:r>
            <w:rPr>
              <w:sz w:val="28"/>
              <w:szCs w:val="28"/>
            </w:rPr>
            <w:t>57</w:t>
          </w:r>
          <w:r>
            <w:rPr>
              <w:sz w:val="28"/>
              <w:szCs w:val="28"/>
            </w:rPr>
            <w:fldChar w:fldCharType="end"/>
          </w:r>
          <w:r>
            <w:rPr>
              <w:rFonts w:hint="eastAsia" w:ascii="宋体" w:hAnsi="宋体" w:eastAsia="宋体" w:cs="宋体"/>
              <w:bCs/>
              <w:color w:val="auto"/>
              <w:spacing w:val="0"/>
              <w:sz w:val="28"/>
              <w:szCs w:val="40"/>
              <w:highlight w:val="none"/>
            </w:rPr>
            <w:fldChar w:fldCharType="end"/>
          </w:r>
        </w:p>
        <w:p w14:paraId="2DCE32D7">
          <w:pPr>
            <w:pageBreakBefore w:val="0"/>
            <w:widowControl/>
            <w:tabs>
              <w:tab w:val="right" w:leader="dot" w:pos="9477"/>
            </w:tabs>
            <w:kinsoku/>
            <w:wordWrap w:val="0"/>
            <w:overflowPunct/>
            <w:topLinePunct w:val="0"/>
            <w:autoSpaceDE w:val="0"/>
            <w:autoSpaceDN w:val="0"/>
            <w:bidi w:val="0"/>
            <w:adjustRightInd w:val="0"/>
            <w:snapToGrid w:val="0"/>
            <w:spacing w:before="0" w:beforeLines="20" w:after="0" w:afterLines="20" w:line="480" w:lineRule="auto"/>
            <w:ind w:left="0" w:leftChars="0" w:right="0"/>
            <w:textAlignment w:val="baseline"/>
            <w:outlineLvl w:val="0"/>
            <w:rPr>
              <w:rFonts w:hint="eastAsia" w:ascii="宋体" w:hAnsi="宋体" w:eastAsia="宋体" w:cs="宋体"/>
              <w:bCs/>
              <w:snapToGrid w:val="0"/>
              <w:color w:val="auto"/>
              <w:spacing w:val="0"/>
              <w:kern w:val="0"/>
              <w:sz w:val="21"/>
              <w:szCs w:val="31"/>
              <w:highlight w:val="none"/>
              <w:lang w:val="en-US" w:eastAsia="en-US" w:bidi="ar-SA"/>
            </w:rPr>
            <w:sectPr>
              <w:footerReference r:id="rId5" w:type="default"/>
              <w:pgSz w:w="11906" w:h="16839"/>
              <w:pgMar w:top="1440" w:right="1080" w:bottom="1440" w:left="1080" w:header="0" w:footer="994" w:gutter="0"/>
              <w:cols w:space="720" w:num="1"/>
            </w:sectPr>
          </w:pPr>
          <w:r>
            <w:rPr>
              <w:rFonts w:hint="eastAsia" w:ascii="宋体" w:hAnsi="宋体" w:eastAsia="宋体" w:cs="宋体"/>
              <w:bCs/>
              <w:color w:val="auto"/>
              <w:spacing w:val="0"/>
              <w:sz w:val="28"/>
              <w:szCs w:val="28"/>
              <w:highlight w:val="none"/>
            </w:rPr>
            <w:fldChar w:fldCharType="end"/>
          </w:r>
        </w:p>
      </w:sdtContent>
    </w:sdt>
    <w:p w14:paraId="08521DFF">
      <w:pPr>
        <w:pStyle w:val="2"/>
        <w:bidi w:val="0"/>
        <w:rPr>
          <w:rFonts w:hint="eastAsia" w:ascii="宋体" w:hAnsi="宋体" w:eastAsia="宋体" w:cs="宋体"/>
          <w:color w:val="auto"/>
          <w:spacing w:val="0"/>
          <w:sz w:val="32"/>
          <w:szCs w:val="32"/>
          <w:highlight w:val="none"/>
        </w:rPr>
      </w:pPr>
      <w:bookmarkStart w:id="3" w:name="_Toc30183"/>
      <w:r>
        <w:rPr>
          <w:rFonts w:hint="eastAsia" w:ascii="宋体" w:hAnsi="宋体" w:eastAsia="宋体" w:cs="宋体"/>
          <w:b/>
          <w:bCs/>
          <w:color w:val="auto"/>
          <w:spacing w:val="0"/>
          <w:sz w:val="32"/>
          <w:szCs w:val="32"/>
          <w:highlight w:val="none"/>
        </w:rPr>
        <w:t>第一章</w:t>
      </w:r>
      <w:r>
        <w:rPr>
          <w:rFonts w:hint="eastAsia" w:ascii="宋体" w:hAnsi="宋体" w:eastAsia="宋体" w:cs="宋体"/>
          <w:color w:val="auto"/>
          <w:spacing w:val="0"/>
          <w:sz w:val="32"/>
          <w:szCs w:val="32"/>
          <w:highlight w:val="none"/>
        </w:rPr>
        <w:t xml:space="preserve"> </w:t>
      </w:r>
      <w:r>
        <w:rPr>
          <w:rFonts w:hint="eastAsia" w:ascii="宋体" w:hAnsi="宋体" w:eastAsia="宋体" w:cs="宋体"/>
          <w:color w:val="auto"/>
          <w:spacing w:val="0"/>
          <w:sz w:val="32"/>
          <w:szCs w:val="32"/>
          <w:highlight w:val="none"/>
          <w:lang w:val="en-US" w:eastAsia="zh-CN"/>
        </w:rPr>
        <w:t xml:space="preserve"> </w:t>
      </w:r>
      <w:r>
        <w:rPr>
          <w:rFonts w:hint="eastAsia" w:ascii="宋体" w:hAnsi="宋体" w:eastAsia="宋体" w:cs="宋体"/>
          <w:b/>
          <w:bCs/>
          <w:color w:val="auto"/>
          <w:spacing w:val="0"/>
          <w:sz w:val="32"/>
          <w:szCs w:val="32"/>
          <w:highlight w:val="none"/>
        </w:rPr>
        <w:t>竞争性磋商公告</w:t>
      </w:r>
      <w:bookmarkEnd w:id="3"/>
    </w:p>
    <w:tbl>
      <w:tblPr>
        <w:tblStyle w:val="22"/>
        <w:tblW w:w="984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40"/>
      </w:tblGrid>
      <w:tr w14:paraId="1543FD5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67" w:hRule="atLeast"/>
          <w:jc w:val="center"/>
        </w:trPr>
        <w:tc>
          <w:tcPr>
            <w:tcW w:w="9840" w:type="dxa"/>
            <w:vAlign w:val="center"/>
          </w:tcPr>
          <w:p w14:paraId="3F5EABE9">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项目概况</w:t>
            </w:r>
          </w:p>
          <w:p w14:paraId="47B4060D">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right="0" w:firstLine="480" w:firstLineChars="200"/>
              <w:textAlignment w:val="baseline"/>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u w:val="single"/>
                <w:lang w:val="en-US" w:eastAsia="zh-CN"/>
              </w:rPr>
              <w:t>前郭县国有林总场2026年衔接推进乡村振兴苗圃基地提升项目哈拉毛都林场围栏工程</w:t>
            </w:r>
            <w:r>
              <w:rPr>
                <w:rFonts w:hint="eastAsia" w:ascii="宋体" w:hAnsi="宋体" w:eastAsia="宋体" w:cs="宋体"/>
                <w:color w:val="auto"/>
                <w:spacing w:val="0"/>
                <w:sz w:val="24"/>
                <w:szCs w:val="24"/>
                <w:highlight w:val="none"/>
              </w:rPr>
              <w:t>的潜在</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应在“政采云”平台（http：</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www.zcygov.cn）获取</w:t>
            </w:r>
            <w:r>
              <w:rPr>
                <w:rFonts w:hint="eastAsia" w:ascii="宋体" w:hAnsi="宋体" w:eastAsia="宋体" w:cs="宋体"/>
                <w:color w:val="auto"/>
                <w:spacing w:val="0"/>
                <w:sz w:val="24"/>
                <w:szCs w:val="24"/>
                <w:highlight w:val="none"/>
                <w:lang w:eastAsia="zh-CN"/>
              </w:rPr>
              <w:t>竞争性磋商</w:t>
            </w:r>
            <w:r>
              <w:rPr>
                <w:rFonts w:hint="eastAsia" w:ascii="宋体" w:hAnsi="宋体" w:eastAsia="宋体" w:cs="宋体"/>
                <w:color w:val="auto"/>
                <w:spacing w:val="0"/>
                <w:sz w:val="24"/>
                <w:szCs w:val="24"/>
                <w:highlight w:val="none"/>
              </w:rPr>
              <w:t>文件，并于</w:t>
            </w:r>
            <w:r>
              <w:rPr>
                <w:rFonts w:hint="eastAsia" w:cs="宋体"/>
                <w:color w:val="auto"/>
                <w:spacing w:val="0"/>
                <w:sz w:val="24"/>
                <w:szCs w:val="24"/>
                <w:highlight w:val="none"/>
                <w:lang w:eastAsia="zh-CN"/>
              </w:rPr>
              <w:t>2026年5月1</w:t>
            </w:r>
            <w:r>
              <w:rPr>
                <w:rFonts w:hint="eastAsia" w:cs="宋体"/>
                <w:color w:val="auto"/>
                <w:spacing w:val="0"/>
                <w:sz w:val="24"/>
                <w:szCs w:val="24"/>
                <w:highlight w:val="none"/>
                <w:lang w:val="en-US" w:eastAsia="zh-CN"/>
              </w:rPr>
              <w:t>9</w:t>
            </w:r>
            <w:r>
              <w:rPr>
                <w:rFonts w:hint="eastAsia" w:cs="宋体"/>
                <w:color w:val="auto"/>
                <w:spacing w:val="0"/>
                <w:sz w:val="24"/>
                <w:szCs w:val="24"/>
                <w:highlight w:val="none"/>
                <w:lang w:eastAsia="zh-CN"/>
              </w:rPr>
              <w:t>日14时00分</w:t>
            </w:r>
            <w:r>
              <w:rPr>
                <w:rFonts w:hint="eastAsia" w:ascii="宋体" w:hAnsi="宋体" w:eastAsia="宋体" w:cs="宋体"/>
                <w:color w:val="auto"/>
                <w:spacing w:val="0"/>
                <w:sz w:val="24"/>
                <w:szCs w:val="24"/>
                <w:highlight w:val="none"/>
              </w:rPr>
              <w:t>（北京时间）前在“政采云”平台提交电子</w:t>
            </w:r>
            <w:r>
              <w:rPr>
                <w:rFonts w:hint="eastAsia" w:ascii="宋体" w:hAnsi="宋体" w:eastAsia="宋体" w:cs="宋体"/>
                <w:color w:val="auto"/>
                <w:spacing w:val="0"/>
                <w:sz w:val="24"/>
                <w:szCs w:val="24"/>
                <w:highlight w:val="none"/>
                <w:lang w:eastAsia="zh-CN"/>
              </w:rPr>
              <w:t>响应</w:t>
            </w:r>
            <w:r>
              <w:rPr>
                <w:rFonts w:hint="eastAsia" w:ascii="宋体" w:hAnsi="宋体" w:eastAsia="宋体" w:cs="宋体"/>
                <w:color w:val="auto"/>
                <w:spacing w:val="0"/>
                <w:sz w:val="24"/>
                <w:szCs w:val="24"/>
                <w:highlight w:val="none"/>
              </w:rPr>
              <w:t>文件。</w:t>
            </w:r>
          </w:p>
        </w:tc>
      </w:tr>
    </w:tbl>
    <w:p w14:paraId="584905F0">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2" w:firstLineChars="200"/>
        <w:textAlignment w:val="baseline"/>
        <w:rPr>
          <w:rFonts w:hint="eastAsia" w:ascii="宋体" w:hAnsi="宋体" w:eastAsia="宋体" w:cs="宋体"/>
          <w:color w:val="auto"/>
          <w:spacing w:val="0"/>
          <w:position w:val="13"/>
          <w:sz w:val="24"/>
          <w:szCs w:val="24"/>
          <w:highlight w:val="none"/>
          <w:lang w:val="en-US" w:eastAsia="zh-CN"/>
        </w:rPr>
      </w:pPr>
      <w:bookmarkStart w:id="4" w:name="_Toc20530"/>
      <w:r>
        <w:rPr>
          <w:rFonts w:hint="eastAsia" w:ascii="宋体" w:hAnsi="宋体" w:eastAsia="宋体" w:cs="宋体"/>
          <w:b/>
          <w:bCs/>
          <w:color w:val="auto"/>
          <w:spacing w:val="0"/>
          <w:position w:val="13"/>
          <w:sz w:val="24"/>
          <w:szCs w:val="24"/>
          <w:highlight w:val="none"/>
        </w:rPr>
        <w:t>一、</w:t>
      </w:r>
      <w:bookmarkEnd w:id="4"/>
      <w:r>
        <w:rPr>
          <w:rFonts w:hint="eastAsia" w:ascii="宋体" w:hAnsi="宋体" w:eastAsia="宋体" w:cs="宋体"/>
          <w:color w:val="auto"/>
          <w:spacing w:val="0"/>
          <w:position w:val="13"/>
          <w:sz w:val="24"/>
          <w:szCs w:val="24"/>
          <w:highlight w:val="none"/>
        </w:rPr>
        <w:t>1.项目编号：</w:t>
      </w:r>
      <w:r>
        <w:rPr>
          <w:rFonts w:hint="eastAsia" w:ascii="宋体" w:hAnsi="宋体" w:eastAsia="宋体" w:cs="宋体"/>
          <w:color w:val="auto"/>
          <w:spacing w:val="0"/>
          <w:position w:val="13"/>
          <w:sz w:val="24"/>
          <w:szCs w:val="24"/>
          <w:highlight w:val="none"/>
          <w:lang w:eastAsia="zh-CN"/>
        </w:rPr>
        <w:t>采购计划-[2026]-00076号</w:t>
      </w:r>
      <w:r>
        <w:rPr>
          <w:rFonts w:hint="eastAsia" w:ascii="宋体" w:hAnsi="宋体" w:eastAsia="宋体" w:cs="宋体"/>
          <w:color w:val="auto"/>
          <w:spacing w:val="0"/>
          <w:position w:val="13"/>
          <w:sz w:val="24"/>
          <w:szCs w:val="24"/>
          <w:highlight w:val="none"/>
          <w:lang w:val="en-US" w:eastAsia="zh-CN"/>
        </w:rPr>
        <w:t>-</w:t>
      </w:r>
      <w:r>
        <w:rPr>
          <w:rFonts w:hint="eastAsia" w:ascii="宋体" w:hAnsi="宋体" w:eastAsia="宋体" w:cs="宋体"/>
          <w:color w:val="auto"/>
          <w:spacing w:val="0"/>
          <w:position w:val="13"/>
          <w:sz w:val="24"/>
          <w:szCs w:val="24"/>
          <w:highlight w:val="none"/>
          <w:lang w:eastAsia="zh-CN"/>
        </w:rPr>
        <w:t>CYJSZB2026-15</w:t>
      </w:r>
    </w:p>
    <w:p w14:paraId="0AE256B6">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2.采购编号：</w:t>
      </w:r>
      <w:r>
        <w:rPr>
          <w:rFonts w:hint="eastAsia" w:ascii="宋体" w:hAnsi="宋体" w:eastAsia="宋体" w:cs="宋体"/>
          <w:color w:val="auto"/>
          <w:spacing w:val="0"/>
          <w:position w:val="13"/>
          <w:sz w:val="24"/>
          <w:szCs w:val="24"/>
          <w:highlight w:val="none"/>
          <w:lang w:eastAsia="zh-CN"/>
        </w:rPr>
        <w:t>采购计划-[2026]-00076号</w:t>
      </w:r>
    </w:p>
    <w:p w14:paraId="26DB1FF7">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3</w:t>
      </w:r>
      <w:r>
        <w:rPr>
          <w:rFonts w:hint="eastAsia" w:ascii="宋体" w:hAnsi="宋体" w:eastAsia="宋体" w:cs="宋体"/>
          <w:color w:val="auto"/>
          <w:spacing w:val="0"/>
          <w:position w:val="13"/>
          <w:sz w:val="24"/>
          <w:szCs w:val="24"/>
          <w:highlight w:val="none"/>
        </w:rPr>
        <w:t>.项目名称：</w:t>
      </w:r>
      <w:r>
        <w:rPr>
          <w:rFonts w:hint="eastAsia" w:ascii="宋体" w:hAnsi="宋体" w:eastAsia="宋体" w:cs="宋体"/>
          <w:color w:val="auto"/>
          <w:spacing w:val="0"/>
          <w:position w:val="13"/>
          <w:sz w:val="24"/>
          <w:szCs w:val="24"/>
          <w:highlight w:val="none"/>
          <w:lang w:val="en-US" w:eastAsia="zh-CN"/>
        </w:rPr>
        <w:t>前郭县国有林总场2026年衔接推进乡村振兴苗圃基地提升项目哈拉毛都林场围栏工程</w:t>
      </w:r>
    </w:p>
    <w:p w14:paraId="7CEE91DB">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lang w:val="en-US" w:eastAsia="zh-CN"/>
        </w:rPr>
        <w:t>4</w:t>
      </w:r>
      <w:r>
        <w:rPr>
          <w:rFonts w:hint="eastAsia" w:ascii="宋体" w:hAnsi="宋体" w:eastAsia="宋体" w:cs="宋体"/>
          <w:color w:val="auto"/>
          <w:spacing w:val="0"/>
          <w:position w:val="13"/>
          <w:sz w:val="24"/>
          <w:szCs w:val="24"/>
          <w:highlight w:val="none"/>
        </w:rPr>
        <w:t>.采购方式：竞争性磋商</w:t>
      </w:r>
    </w:p>
    <w:p w14:paraId="34575F46">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eastAsia="zh-CN"/>
        </w:rPr>
      </w:pPr>
      <w:r>
        <w:rPr>
          <w:rFonts w:hint="eastAsia" w:ascii="宋体" w:hAnsi="宋体" w:eastAsia="宋体" w:cs="宋体"/>
          <w:color w:val="auto"/>
          <w:spacing w:val="0"/>
          <w:position w:val="13"/>
          <w:sz w:val="24"/>
          <w:szCs w:val="24"/>
          <w:highlight w:val="none"/>
          <w:lang w:val="en-US" w:eastAsia="zh-CN"/>
        </w:rPr>
        <w:t>5.</w:t>
      </w:r>
      <w:r>
        <w:rPr>
          <w:rFonts w:hint="eastAsia" w:ascii="宋体" w:hAnsi="宋体" w:eastAsia="宋体" w:cs="宋体"/>
          <w:color w:val="auto"/>
          <w:spacing w:val="0"/>
          <w:position w:val="13"/>
          <w:sz w:val="24"/>
          <w:szCs w:val="24"/>
          <w:highlight w:val="none"/>
        </w:rPr>
        <w:t>预算金额：</w:t>
      </w:r>
      <w:r>
        <w:rPr>
          <w:rFonts w:hint="eastAsia" w:ascii="宋体" w:hAnsi="宋体" w:eastAsia="宋体" w:cs="宋体"/>
          <w:color w:val="auto"/>
          <w:spacing w:val="0"/>
          <w:position w:val="13"/>
          <w:sz w:val="24"/>
          <w:szCs w:val="24"/>
          <w:highlight w:val="none"/>
          <w:lang w:val="en-US" w:eastAsia="zh-CN"/>
        </w:rPr>
        <w:t>902643.00元</w:t>
      </w:r>
    </w:p>
    <w:p w14:paraId="3FE3A120">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eastAsia="zh-CN"/>
        </w:rPr>
      </w:pPr>
      <w:r>
        <w:rPr>
          <w:rFonts w:hint="eastAsia" w:ascii="宋体" w:hAnsi="宋体" w:eastAsia="宋体" w:cs="宋体"/>
          <w:color w:val="auto"/>
          <w:spacing w:val="0"/>
          <w:position w:val="13"/>
          <w:sz w:val="24"/>
          <w:szCs w:val="24"/>
          <w:highlight w:val="none"/>
          <w:lang w:val="en-US" w:eastAsia="zh-CN"/>
        </w:rPr>
        <w:t>6</w:t>
      </w:r>
      <w:r>
        <w:rPr>
          <w:rFonts w:hint="eastAsia" w:ascii="宋体" w:hAnsi="宋体" w:eastAsia="宋体" w:cs="宋体"/>
          <w:color w:val="auto"/>
          <w:spacing w:val="0"/>
          <w:position w:val="13"/>
          <w:sz w:val="24"/>
          <w:szCs w:val="24"/>
          <w:highlight w:val="none"/>
        </w:rPr>
        <w:t>.采购</w:t>
      </w:r>
      <w:r>
        <w:rPr>
          <w:rFonts w:hint="eastAsia" w:ascii="宋体" w:hAnsi="宋体" w:eastAsia="宋体" w:cs="宋体"/>
          <w:color w:val="auto"/>
          <w:spacing w:val="0"/>
          <w:position w:val="13"/>
          <w:sz w:val="24"/>
          <w:szCs w:val="24"/>
          <w:highlight w:val="none"/>
          <w:lang w:eastAsia="zh-CN"/>
        </w:rPr>
        <w:t>内容</w:t>
      </w:r>
      <w:r>
        <w:rPr>
          <w:rFonts w:hint="eastAsia" w:ascii="宋体" w:hAnsi="宋体" w:eastAsia="宋体" w:cs="宋体"/>
          <w:color w:val="auto"/>
          <w:spacing w:val="0"/>
          <w:position w:val="13"/>
          <w:sz w:val="24"/>
          <w:szCs w:val="24"/>
          <w:highlight w:val="none"/>
        </w:rPr>
        <w:t>：</w:t>
      </w:r>
      <w:r>
        <w:rPr>
          <w:rFonts w:hint="eastAsia" w:ascii="宋体" w:hAnsi="宋体" w:eastAsia="宋体" w:cs="宋体"/>
          <w:color w:val="auto"/>
          <w:spacing w:val="0"/>
          <w:position w:val="13"/>
          <w:sz w:val="24"/>
          <w:szCs w:val="24"/>
          <w:highlight w:val="none"/>
          <w:lang w:val="en-US" w:eastAsia="zh-CN"/>
        </w:rPr>
        <w:t>围栏工程</w:t>
      </w:r>
      <w:r>
        <w:rPr>
          <w:rFonts w:hint="eastAsia" w:ascii="宋体" w:hAnsi="宋体" w:eastAsia="宋体" w:cs="宋体"/>
          <w:color w:val="auto"/>
          <w:spacing w:val="0"/>
          <w:position w:val="13"/>
          <w:sz w:val="24"/>
          <w:szCs w:val="24"/>
          <w:highlight w:val="none"/>
          <w:lang w:eastAsia="zh-CN"/>
        </w:rPr>
        <w:t>，</w:t>
      </w:r>
      <w:r>
        <w:rPr>
          <w:rFonts w:hint="eastAsia" w:ascii="宋体" w:hAnsi="宋体" w:eastAsia="宋体" w:cs="宋体"/>
          <w:color w:val="auto"/>
          <w:spacing w:val="0"/>
          <w:position w:val="13"/>
          <w:sz w:val="24"/>
          <w:szCs w:val="24"/>
          <w:highlight w:val="none"/>
        </w:rPr>
        <w:t>详见工程量清单</w:t>
      </w:r>
    </w:p>
    <w:p w14:paraId="1FF4BA4D">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eastAsia="zh-CN"/>
        </w:rPr>
      </w:pPr>
      <w:r>
        <w:rPr>
          <w:rFonts w:hint="eastAsia" w:ascii="宋体" w:hAnsi="宋体" w:eastAsia="宋体" w:cs="宋体"/>
          <w:color w:val="auto"/>
          <w:spacing w:val="0"/>
          <w:position w:val="13"/>
          <w:sz w:val="24"/>
          <w:szCs w:val="24"/>
          <w:highlight w:val="none"/>
          <w:lang w:val="en-US" w:eastAsia="zh-CN"/>
        </w:rPr>
        <w:t>7</w:t>
      </w:r>
      <w:r>
        <w:rPr>
          <w:rFonts w:hint="eastAsia" w:ascii="宋体" w:hAnsi="宋体" w:eastAsia="宋体" w:cs="宋体"/>
          <w:color w:val="auto"/>
          <w:spacing w:val="0"/>
          <w:position w:val="13"/>
          <w:sz w:val="24"/>
          <w:szCs w:val="24"/>
          <w:highlight w:val="none"/>
        </w:rPr>
        <w:t>.</w:t>
      </w:r>
      <w:r>
        <w:rPr>
          <w:rFonts w:hint="eastAsia" w:ascii="宋体" w:hAnsi="宋体" w:eastAsia="宋体" w:cs="宋体"/>
          <w:color w:val="auto"/>
          <w:spacing w:val="0"/>
          <w:position w:val="13"/>
          <w:sz w:val="24"/>
          <w:szCs w:val="24"/>
          <w:highlight w:val="none"/>
          <w:lang w:eastAsia="zh-CN"/>
        </w:rPr>
        <w:t>项目</w:t>
      </w:r>
      <w:r>
        <w:rPr>
          <w:rFonts w:hint="eastAsia" w:ascii="宋体" w:hAnsi="宋体" w:eastAsia="宋体" w:cs="宋体"/>
          <w:color w:val="auto"/>
          <w:spacing w:val="0"/>
          <w:position w:val="13"/>
          <w:sz w:val="24"/>
          <w:szCs w:val="24"/>
          <w:highlight w:val="none"/>
        </w:rPr>
        <w:t>地点：</w:t>
      </w:r>
      <w:r>
        <w:rPr>
          <w:rFonts w:hint="eastAsia" w:ascii="宋体" w:hAnsi="宋体" w:eastAsia="宋体" w:cs="宋体"/>
          <w:color w:val="auto"/>
          <w:spacing w:val="0"/>
          <w:position w:val="13"/>
          <w:sz w:val="24"/>
          <w:szCs w:val="24"/>
          <w:highlight w:val="none"/>
          <w:lang w:val="en-US" w:eastAsia="zh-CN"/>
        </w:rPr>
        <w:t>哈拉毛都林场苗圃基地</w:t>
      </w:r>
    </w:p>
    <w:p w14:paraId="43F1F454">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8</w:t>
      </w:r>
      <w:r>
        <w:rPr>
          <w:rFonts w:hint="eastAsia" w:ascii="宋体" w:hAnsi="宋体" w:eastAsia="宋体" w:cs="宋体"/>
          <w:color w:val="auto"/>
          <w:spacing w:val="0"/>
          <w:position w:val="13"/>
          <w:sz w:val="24"/>
          <w:szCs w:val="24"/>
          <w:highlight w:val="none"/>
        </w:rPr>
        <w:t>.</w:t>
      </w:r>
      <w:r>
        <w:rPr>
          <w:rFonts w:hint="eastAsia" w:ascii="宋体" w:hAnsi="宋体" w:eastAsia="宋体" w:cs="宋体"/>
          <w:color w:val="auto"/>
          <w:spacing w:val="0"/>
          <w:position w:val="13"/>
          <w:sz w:val="24"/>
          <w:szCs w:val="24"/>
          <w:highlight w:val="none"/>
          <w:lang w:eastAsia="zh-CN"/>
        </w:rPr>
        <w:t>计划工期</w:t>
      </w:r>
      <w:r>
        <w:rPr>
          <w:rFonts w:hint="eastAsia" w:ascii="宋体" w:hAnsi="宋体" w:eastAsia="宋体" w:cs="宋体"/>
          <w:color w:val="auto"/>
          <w:spacing w:val="0"/>
          <w:position w:val="13"/>
          <w:sz w:val="24"/>
          <w:szCs w:val="24"/>
          <w:highlight w:val="none"/>
        </w:rPr>
        <w:t>：</w:t>
      </w:r>
      <w:r>
        <w:rPr>
          <w:rFonts w:hint="eastAsia" w:ascii="宋体" w:hAnsi="宋体" w:eastAsia="宋体" w:cs="宋体"/>
          <w:color w:val="auto"/>
          <w:spacing w:val="0"/>
          <w:position w:val="13"/>
          <w:sz w:val="24"/>
          <w:szCs w:val="24"/>
          <w:highlight w:val="none"/>
          <w:lang w:eastAsia="zh-CN"/>
        </w:rPr>
        <w:t>计划开工日期2026年5月22日，计划竣工日期2026年10月31日，总共163日历天</w:t>
      </w:r>
    </w:p>
    <w:p w14:paraId="402DCEC6">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lang w:val="en-US" w:eastAsia="zh-CN"/>
        </w:rPr>
        <w:t>9</w:t>
      </w:r>
      <w:r>
        <w:rPr>
          <w:rFonts w:hint="eastAsia" w:ascii="宋体" w:hAnsi="宋体" w:eastAsia="宋体" w:cs="宋体"/>
          <w:color w:val="auto"/>
          <w:spacing w:val="0"/>
          <w:position w:val="13"/>
          <w:sz w:val="24"/>
          <w:szCs w:val="24"/>
          <w:highlight w:val="none"/>
        </w:rPr>
        <w:t>.质量标准：符合国家《建筑工程施工质量验收统一标准》及相关标准的合格工程</w:t>
      </w:r>
    </w:p>
    <w:p w14:paraId="0085B9F4">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lang w:val="en-US" w:eastAsia="zh-CN"/>
        </w:rPr>
        <w:t>10</w:t>
      </w:r>
      <w:r>
        <w:rPr>
          <w:rFonts w:hint="eastAsia" w:ascii="宋体" w:hAnsi="宋体" w:eastAsia="宋体" w:cs="宋体"/>
          <w:color w:val="auto"/>
          <w:spacing w:val="0"/>
          <w:position w:val="13"/>
          <w:sz w:val="24"/>
          <w:szCs w:val="24"/>
          <w:highlight w:val="none"/>
        </w:rPr>
        <w:t>.本项目</w:t>
      </w:r>
      <w:r>
        <w:rPr>
          <w:rFonts w:hint="eastAsia" w:ascii="宋体" w:hAnsi="宋体" w:eastAsia="宋体" w:cs="宋体"/>
          <w:color w:val="auto"/>
          <w:spacing w:val="0"/>
          <w:position w:val="13"/>
          <w:sz w:val="24"/>
          <w:szCs w:val="24"/>
          <w:highlight w:val="none"/>
          <w:lang w:eastAsia="zh-CN"/>
        </w:rPr>
        <w:t>不</w:t>
      </w:r>
      <w:r>
        <w:rPr>
          <w:rFonts w:hint="eastAsia" w:ascii="宋体" w:hAnsi="宋体" w:eastAsia="宋体" w:cs="宋体"/>
          <w:color w:val="auto"/>
          <w:spacing w:val="0"/>
          <w:position w:val="13"/>
          <w:sz w:val="24"/>
          <w:szCs w:val="24"/>
          <w:highlight w:val="none"/>
        </w:rPr>
        <w:t>接受联合体</w:t>
      </w:r>
    </w:p>
    <w:p w14:paraId="335F010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outlineLvl w:val="1"/>
        <w:rPr>
          <w:rFonts w:hint="eastAsia" w:ascii="宋体" w:hAnsi="宋体" w:eastAsia="宋体" w:cs="宋体"/>
          <w:color w:val="auto"/>
          <w:spacing w:val="0"/>
          <w:sz w:val="24"/>
          <w:szCs w:val="24"/>
          <w:highlight w:val="none"/>
        </w:rPr>
      </w:pPr>
      <w:bookmarkStart w:id="5" w:name="_Toc1674"/>
      <w:bookmarkStart w:id="6" w:name="_Toc27301"/>
      <w:bookmarkStart w:id="7" w:name="_Toc2508"/>
      <w:r>
        <w:rPr>
          <w:rFonts w:hint="eastAsia" w:ascii="宋体" w:hAnsi="宋体" w:eastAsia="宋体" w:cs="宋体"/>
          <w:b/>
          <w:bCs/>
          <w:color w:val="auto"/>
          <w:spacing w:val="0"/>
          <w:position w:val="13"/>
          <w:sz w:val="24"/>
          <w:szCs w:val="24"/>
          <w:highlight w:val="none"/>
        </w:rPr>
        <w:t>二、申请人的资格要求：</w:t>
      </w:r>
      <w:bookmarkEnd w:id="5"/>
      <w:bookmarkEnd w:id="6"/>
      <w:bookmarkEnd w:id="7"/>
    </w:p>
    <w:p w14:paraId="3F779E60">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rPr>
        <w:t>1.满足《中华人民共和国政府采购法》第二十二条规定。</w:t>
      </w:r>
    </w:p>
    <w:p w14:paraId="10F461A7">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rPr>
        <w:t>（1）具有独立承担民事责任的能力；</w:t>
      </w:r>
    </w:p>
    <w:p w14:paraId="074DE6E9">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rPr>
        <w:t>（2）具有良好的商业信誉和健全的财务会计制度；</w:t>
      </w:r>
    </w:p>
    <w:p w14:paraId="5EBDEE63">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rPr>
        <w:t>（3）具有履行合同所必需的设备和专业技术能力；</w:t>
      </w:r>
    </w:p>
    <w:p w14:paraId="26D35338">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rPr>
        <w:t>（4）有依法缴纳税收和社会保障资金的良好记录；</w:t>
      </w:r>
    </w:p>
    <w:p w14:paraId="10B47407">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rPr>
        <w:t>（5）参加政府采购活动前三年内，在经营活动中没有重大违法记录；</w:t>
      </w:r>
    </w:p>
    <w:p w14:paraId="1ABFF6E3">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rPr>
        <w:t>（6）法律、行政法规规定的其他条件。</w:t>
      </w:r>
    </w:p>
    <w:p w14:paraId="26B2BFA2">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rPr>
        <w:t>2</w:t>
      </w:r>
      <w:r>
        <w:rPr>
          <w:rFonts w:hint="eastAsia" w:ascii="宋体" w:hAnsi="宋体" w:eastAsia="宋体" w:cs="宋体"/>
          <w:color w:val="auto"/>
          <w:spacing w:val="0"/>
          <w:position w:val="13"/>
          <w:sz w:val="24"/>
          <w:szCs w:val="24"/>
          <w:highlight w:val="none"/>
          <w:lang w:eastAsia="zh-CN"/>
        </w:rPr>
        <w:t>.</w:t>
      </w:r>
      <w:r>
        <w:rPr>
          <w:rFonts w:hint="eastAsia" w:ascii="宋体" w:hAnsi="宋体" w:eastAsia="宋体" w:cs="宋体"/>
          <w:color w:val="auto"/>
          <w:spacing w:val="0"/>
          <w:position w:val="13"/>
          <w:sz w:val="24"/>
          <w:szCs w:val="24"/>
          <w:highlight w:val="none"/>
        </w:rPr>
        <w:t>落实政府采购政策需满足的资格要求：</w:t>
      </w:r>
      <w:r>
        <w:rPr>
          <w:rFonts w:hint="eastAsia" w:ascii="宋体" w:hAnsi="宋体" w:eastAsia="宋体" w:cs="宋体"/>
          <w:color w:val="auto"/>
          <w:spacing w:val="0"/>
          <w:position w:val="13"/>
          <w:sz w:val="24"/>
          <w:szCs w:val="24"/>
          <w:highlight w:val="none"/>
          <w:lang w:val="en-US" w:eastAsia="zh-CN"/>
        </w:rPr>
        <w:t>本项目全部面向中小企业采购。</w:t>
      </w:r>
      <w:r>
        <w:rPr>
          <w:rFonts w:hint="eastAsia" w:ascii="宋体" w:hAnsi="宋体" w:eastAsia="宋体" w:cs="宋体"/>
          <w:color w:val="auto"/>
          <w:spacing w:val="0"/>
          <w:position w:val="13"/>
          <w:sz w:val="24"/>
          <w:szCs w:val="24"/>
          <w:highlight w:val="none"/>
        </w:rPr>
        <w:t>需要落实的政府采购政策：执行《关于政府采购支持监狱企业发展有关问题的通知》（财库〔2014〕68号）、《关于促进残疾人就业政府采购政策的通知》（财库〔2017〕141号）、《关于调整优化节能产品、环境标志产品政府采购执行机制的通知》（财库〔2019〕9号）、《政府采购促进中小企业发展管理办法》（财库〔2020〕46号）及《关于进一步加大政府采购支持中小企业力度的通知》（财库〔2022〕19号）。本项目所属行业为：建筑业。</w:t>
      </w:r>
    </w:p>
    <w:p w14:paraId="2101EFD7">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rPr>
        <w:t>3</w:t>
      </w:r>
      <w:r>
        <w:rPr>
          <w:rFonts w:hint="eastAsia" w:ascii="宋体" w:hAnsi="宋体" w:eastAsia="宋体" w:cs="宋体"/>
          <w:color w:val="auto"/>
          <w:spacing w:val="0"/>
          <w:position w:val="13"/>
          <w:sz w:val="24"/>
          <w:szCs w:val="24"/>
          <w:highlight w:val="none"/>
          <w:lang w:eastAsia="zh-CN"/>
        </w:rPr>
        <w:t>.</w:t>
      </w:r>
      <w:r>
        <w:rPr>
          <w:rFonts w:hint="eastAsia" w:ascii="宋体" w:hAnsi="宋体" w:eastAsia="宋体" w:cs="宋体"/>
          <w:color w:val="auto"/>
          <w:spacing w:val="0"/>
          <w:position w:val="13"/>
          <w:sz w:val="24"/>
          <w:szCs w:val="24"/>
          <w:highlight w:val="none"/>
        </w:rPr>
        <w:t>本项目的特定资格要求：</w:t>
      </w:r>
    </w:p>
    <w:p w14:paraId="10003751">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rPr>
        <w:t xml:space="preserve">3.1 </w:t>
      </w:r>
      <w:r>
        <w:rPr>
          <w:rFonts w:hint="eastAsia" w:ascii="宋体" w:hAnsi="宋体" w:eastAsia="宋体" w:cs="宋体"/>
          <w:color w:val="auto"/>
          <w:spacing w:val="0"/>
          <w:position w:val="13"/>
          <w:sz w:val="24"/>
          <w:szCs w:val="24"/>
          <w:highlight w:val="none"/>
          <w:lang w:eastAsia="zh-CN"/>
        </w:rPr>
        <w:t>供应商</w:t>
      </w:r>
      <w:r>
        <w:rPr>
          <w:rFonts w:hint="eastAsia" w:ascii="宋体" w:hAnsi="宋体" w:eastAsia="宋体" w:cs="宋体"/>
          <w:color w:val="auto"/>
          <w:spacing w:val="0"/>
          <w:position w:val="13"/>
          <w:sz w:val="24"/>
          <w:szCs w:val="24"/>
          <w:highlight w:val="none"/>
        </w:rPr>
        <w:t>具有独立法人资格，具有有效的营业执照，具备建设行政主管部门核发的</w:t>
      </w:r>
      <w:r>
        <w:rPr>
          <w:rFonts w:hint="eastAsia" w:ascii="宋体" w:hAnsi="宋体" w:eastAsia="宋体" w:cs="宋体"/>
          <w:color w:val="auto"/>
          <w:spacing w:val="0"/>
          <w:position w:val="13"/>
          <w:sz w:val="24"/>
          <w:szCs w:val="24"/>
          <w:highlight w:val="none"/>
          <w:lang w:eastAsia="zh-CN"/>
        </w:rPr>
        <w:t>建筑工程施工总承包叁级（含叁级）</w:t>
      </w:r>
      <w:r>
        <w:rPr>
          <w:rFonts w:hint="eastAsia" w:ascii="宋体" w:hAnsi="宋体" w:eastAsia="宋体" w:cs="宋体"/>
          <w:color w:val="auto"/>
          <w:spacing w:val="0"/>
          <w:position w:val="13"/>
          <w:sz w:val="24"/>
          <w:szCs w:val="24"/>
          <w:highlight w:val="none"/>
        </w:rPr>
        <w:t>及以上资质，(注:1.在住房和城乡建设部网站已公告通过延续的建筑业</w:t>
      </w:r>
      <w:r>
        <w:rPr>
          <w:rFonts w:hint="eastAsia" w:ascii="宋体" w:hAnsi="宋体" w:eastAsia="宋体" w:cs="宋体"/>
          <w:color w:val="auto"/>
          <w:spacing w:val="0"/>
          <w:position w:val="13"/>
          <w:sz w:val="24"/>
          <w:szCs w:val="24"/>
          <w:highlight w:val="none"/>
          <w:lang w:eastAsia="zh-CN"/>
        </w:rPr>
        <w:t>企业</w:t>
      </w:r>
      <w:r>
        <w:rPr>
          <w:rFonts w:hint="eastAsia" w:ascii="宋体" w:hAnsi="宋体" w:eastAsia="宋体" w:cs="宋体"/>
          <w:color w:val="auto"/>
          <w:spacing w:val="0"/>
          <w:position w:val="13"/>
          <w:sz w:val="24"/>
          <w:szCs w:val="24"/>
          <w:highlight w:val="none"/>
        </w:rPr>
        <w:t>，可以正常参加招投标活动。企业在投标文件中提供住房和城乡建设部网站关于核准建设工程企业资质延续名单公告的截图，即视为该企业资质延续有效，可正常参与投标。2.根据《吉林省住房和城乡建设厅关于建筑业企业资质延续有关事宜的通知》(吉建管(2023)23号)文件要求，吉林省住建厅核发建筑业企业三级总承包、三级专业承包资质，自2024年7月1日起，原资质许可机关不再受理资质换证申请，相应证书逾期自动作废。3.其他省(市)核发的资质涉及有效期届满有效期延续问题的，按照当地建设行政主管部门文件执行。投标文件内须提供当地住房和城乡建设部门官方网站发布的准予延期的文件截图及网址，否则不予认定)具有有效的安全生产许可证，并在人员、设备、资金等方面具有相应的施工能力。</w:t>
      </w:r>
    </w:p>
    <w:p w14:paraId="6F8E7F38">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rPr>
        <w:t>3.2 项目经理：投标人拟派项目经理须具备建设行政主管部门核发的</w:t>
      </w:r>
      <w:r>
        <w:rPr>
          <w:rFonts w:hint="eastAsia" w:ascii="宋体" w:hAnsi="宋体" w:eastAsia="宋体" w:cs="宋体"/>
          <w:color w:val="auto"/>
          <w:spacing w:val="0"/>
          <w:position w:val="13"/>
          <w:sz w:val="24"/>
          <w:szCs w:val="24"/>
          <w:highlight w:val="none"/>
          <w:lang w:eastAsia="zh-CN"/>
        </w:rPr>
        <w:t>建筑工程</w:t>
      </w:r>
      <w:r>
        <w:rPr>
          <w:rFonts w:hint="eastAsia" w:ascii="宋体" w:hAnsi="宋体" w:eastAsia="宋体" w:cs="宋体"/>
          <w:color w:val="auto"/>
          <w:spacing w:val="0"/>
          <w:position w:val="13"/>
          <w:sz w:val="24"/>
          <w:szCs w:val="24"/>
          <w:highlight w:val="none"/>
        </w:rPr>
        <w:t>专业贰级（含贰级）及以上注册建造师执业资格，具备有效的安全生产考核合格证书(B类)，且未担任其他在施建设工程项目的项目经理。</w:t>
      </w:r>
    </w:p>
    <w:p w14:paraId="09024E68">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3.3 信誉要求：（1）拒绝列入政府取消投标资格记录期间的企业或个人投标。（2）未被工商行政管理机关在全国企业信用信息公示系统（www.gsxt.gov.cn）中列入严重违法失信企业名单。（3）供应商应通过“信用中国”网站（www.creditchina.gov.cn）、中国政府采购网（www.ccgp.gov.cn）等渠道查询信用记录。对列入失信被执行人、重大税收违法案件当事人名单、政府采购严重违法失信行为记录名单及其他不符合《中华人民共和国政府采购法》第二十二条规定条件的供应商，拒绝其参与政府采购活动。（4）供应商和其法定代表人及拟委派的项目经理（2023年1月1日至投标截止前10日内）未在“中国裁判文书网”（wenshu.court.gov.cn）上有行贿犯罪行为。</w:t>
      </w:r>
    </w:p>
    <w:p w14:paraId="1FDDDE0E">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3.4 与采购人存在利害关系可能影响招标公正性的法人、其他组织或者个人，不得参加投标。单位负责人为同一人或者存在控股、管理关系的不同单位，不得参加同一标段投标，否则相关投标均无效；</w:t>
      </w:r>
    </w:p>
    <w:p w14:paraId="753A48D5">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3.5 招投标过程中，投标供应商所提供的所有证件均需在有效期内且注册单位名称与投标供应商的名称一致，如企业名称发生变更，需提供主管部门出具的变更证明材料，否则不接受其投标供应商参与本次招标项目的磋商。</w:t>
      </w:r>
    </w:p>
    <w:p w14:paraId="718C4817">
      <w:pPr>
        <w:pageBreakBefore w:val="0"/>
        <w:widowControl/>
        <w:numPr>
          <w:ilvl w:val="0"/>
          <w:numId w:val="0"/>
        </w:numPr>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outlineLvl w:val="1"/>
        <w:rPr>
          <w:rFonts w:hint="eastAsia" w:ascii="宋体" w:hAnsi="宋体" w:eastAsia="宋体" w:cs="宋体"/>
          <w:b/>
          <w:bCs/>
          <w:color w:val="auto"/>
          <w:spacing w:val="0"/>
          <w:position w:val="13"/>
          <w:sz w:val="24"/>
          <w:szCs w:val="24"/>
          <w:highlight w:val="none"/>
        </w:rPr>
      </w:pPr>
      <w:bookmarkStart w:id="8" w:name="_Toc20794"/>
      <w:bookmarkStart w:id="9" w:name="_Toc3456"/>
      <w:bookmarkStart w:id="10" w:name="_Toc35393631"/>
      <w:bookmarkStart w:id="11" w:name="_Toc29019"/>
      <w:bookmarkStart w:id="12" w:name="_Toc35393800"/>
      <w:r>
        <w:rPr>
          <w:rFonts w:hint="eastAsia" w:ascii="宋体" w:hAnsi="宋体" w:eastAsia="宋体" w:cs="宋体"/>
          <w:b/>
          <w:bCs/>
          <w:color w:val="auto"/>
          <w:spacing w:val="0"/>
          <w:position w:val="13"/>
          <w:sz w:val="24"/>
          <w:szCs w:val="24"/>
          <w:highlight w:val="none"/>
          <w:lang w:eastAsia="zh-CN"/>
        </w:rPr>
        <w:t>三、</w:t>
      </w:r>
      <w:r>
        <w:rPr>
          <w:rFonts w:hint="eastAsia" w:ascii="宋体" w:hAnsi="宋体" w:eastAsia="宋体" w:cs="宋体"/>
          <w:b/>
          <w:bCs/>
          <w:color w:val="auto"/>
          <w:spacing w:val="0"/>
          <w:position w:val="13"/>
          <w:sz w:val="24"/>
          <w:szCs w:val="24"/>
          <w:highlight w:val="none"/>
        </w:rPr>
        <w:t>获取采购文件</w:t>
      </w:r>
      <w:bookmarkEnd w:id="8"/>
      <w:bookmarkEnd w:id="9"/>
      <w:bookmarkEnd w:id="10"/>
      <w:bookmarkEnd w:id="11"/>
      <w:bookmarkEnd w:id="12"/>
    </w:p>
    <w:p w14:paraId="384E463C">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时间：2026年5月8日至2026年5月14日，每天上午00:00至12:00，下午12:00至23:59（北京时间，法定节假日除外）。</w:t>
      </w:r>
    </w:p>
    <w:p w14:paraId="3BA2D1B4">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地点：“政采云”平台（http：//www.zcygov.cn）自行下载。</w:t>
      </w:r>
    </w:p>
    <w:p w14:paraId="6B2B653F">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方式：网上免费获取（潜在供应商自行登录政府采购云平台（网址：http://www.zcygov.cn）网上注册（https://middle.zcygov.cn/v-settle-front/registry）并下载竞争性磋商文件，其他途径获取的竞争性磋商文件开标时一律按无效投标处理）。咨询电话：95763。</w:t>
      </w:r>
    </w:p>
    <w:p w14:paraId="722DA240">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售价：¥0元。</w:t>
      </w:r>
    </w:p>
    <w:p w14:paraId="45F5BF65">
      <w:pPr>
        <w:pageBreakBefore w:val="0"/>
        <w:widowControl/>
        <w:numPr>
          <w:ilvl w:val="0"/>
          <w:numId w:val="0"/>
        </w:numPr>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outlineLvl w:val="1"/>
        <w:rPr>
          <w:rFonts w:hint="eastAsia" w:ascii="宋体" w:hAnsi="宋体" w:eastAsia="宋体" w:cs="宋体"/>
          <w:b/>
          <w:bCs/>
          <w:color w:val="auto"/>
          <w:spacing w:val="0"/>
          <w:position w:val="13"/>
          <w:sz w:val="24"/>
          <w:szCs w:val="24"/>
          <w:highlight w:val="none"/>
        </w:rPr>
      </w:pPr>
      <w:bookmarkStart w:id="13" w:name="_Toc1096"/>
      <w:bookmarkStart w:id="14" w:name="_Toc35393801"/>
      <w:bookmarkStart w:id="15" w:name="_Toc28359092"/>
      <w:bookmarkStart w:id="16" w:name="_Toc35393632"/>
      <w:bookmarkStart w:id="17" w:name="_Toc28359015"/>
      <w:bookmarkStart w:id="18" w:name="_Toc18556"/>
      <w:bookmarkStart w:id="19" w:name="_Toc4938"/>
      <w:r>
        <w:rPr>
          <w:rFonts w:hint="eastAsia" w:ascii="宋体" w:hAnsi="宋体" w:eastAsia="宋体" w:cs="宋体"/>
          <w:b/>
          <w:bCs/>
          <w:color w:val="auto"/>
          <w:spacing w:val="0"/>
          <w:position w:val="13"/>
          <w:sz w:val="24"/>
          <w:szCs w:val="24"/>
          <w:highlight w:val="none"/>
          <w:lang w:eastAsia="zh-CN"/>
        </w:rPr>
        <w:t>四、</w:t>
      </w:r>
      <w:bookmarkEnd w:id="13"/>
      <w:bookmarkEnd w:id="14"/>
      <w:bookmarkEnd w:id="15"/>
      <w:bookmarkEnd w:id="16"/>
      <w:bookmarkEnd w:id="17"/>
      <w:r>
        <w:rPr>
          <w:rFonts w:hint="eastAsia" w:ascii="宋体" w:hAnsi="宋体" w:eastAsia="宋体" w:cs="宋体"/>
          <w:b/>
          <w:bCs/>
          <w:color w:val="auto"/>
          <w:spacing w:val="0"/>
          <w:position w:val="13"/>
          <w:sz w:val="24"/>
          <w:szCs w:val="24"/>
          <w:highlight w:val="none"/>
          <w:lang w:eastAsia="zh-CN"/>
        </w:rPr>
        <w:t>提交投标文件截止时间、开标时间和地点</w:t>
      </w:r>
      <w:bookmarkEnd w:id="18"/>
      <w:bookmarkEnd w:id="19"/>
    </w:p>
    <w:p w14:paraId="2DF0E176">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outlineLvl w:val="1"/>
        <w:rPr>
          <w:rFonts w:hint="eastAsia" w:ascii="宋体" w:hAnsi="宋体" w:eastAsia="宋体" w:cs="宋体"/>
          <w:b w:val="0"/>
          <w:bCs w:val="0"/>
          <w:color w:val="auto"/>
          <w:spacing w:val="0"/>
          <w:position w:val="13"/>
          <w:sz w:val="24"/>
          <w:szCs w:val="24"/>
          <w:highlight w:val="none"/>
          <w:lang w:eastAsia="zh-CN"/>
        </w:rPr>
      </w:pPr>
      <w:bookmarkStart w:id="20" w:name="_Toc11789"/>
      <w:bookmarkStart w:id="21" w:name="_Toc24316"/>
      <w:bookmarkStart w:id="22" w:name="_Toc6801"/>
      <w:r>
        <w:rPr>
          <w:rFonts w:hint="eastAsia" w:ascii="宋体" w:hAnsi="宋体" w:eastAsia="宋体" w:cs="宋体"/>
          <w:b w:val="0"/>
          <w:bCs w:val="0"/>
          <w:color w:val="auto"/>
          <w:spacing w:val="0"/>
          <w:position w:val="13"/>
          <w:sz w:val="24"/>
          <w:szCs w:val="24"/>
          <w:highlight w:val="none"/>
          <w:lang w:eastAsia="zh-CN"/>
        </w:rPr>
        <w:t>开标时间及提交投标文件截止时间：2026年5月1</w:t>
      </w:r>
      <w:r>
        <w:rPr>
          <w:rFonts w:hint="eastAsia" w:ascii="宋体" w:hAnsi="宋体" w:eastAsia="宋体" w:cs="宋体"/>
          <w:b w:val="0"/>
          <w:bCs w:val="0"/>
          <w:color w:val="auto"/>
          <w:spacing w:val="0"/>
          <w:position w:val="13"/>
          <w:sz w:val="24"/>
          <w:szCs w:val="24"/>
          <w:highlight w:val="none"/>
          <w:lang w:val="en-US" w:eastAsia="zh-CN"/>
        </w:rPr>
        <w:t>9</w:t>
      </w:r>
      <w:r>
        <w:rPr>
          <w:rFonts w:hint="eastAsia" w:ascii="宋体" w:hAnsi="宋体" w:eastAsia="宋体" w:cs="宋体"/>
          <w:b w:val="0"/>
          <w:bCs w:val="0"/>
          <w:color w:val="auto"/>
          <w:spacing w:val="0"/>
          <w:position w:val="13"/>
          <w:sz w:val="24"/>
          <w:szCs w:val="24"/>
          <w:highlight w:val="none"/>
          <w:lang w:eastAsia="zh-CN"/>
        </w:rPr>
        <w:t>日14时00分（北京时间）。</w:t>
      </w:r>
      <w:bookmarkEnd w:id="20"/>
      <w:bookmarkEnd w:id="21"/>
    </w:p>
    <w:p w14:paraId="43E5DA00">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outlineLvl w:val="1"/>
        <w:rPr>
          <w:rFonts w:hint="eastAsia" w:ascii="宋体" w:hAnsi="宋体" w:eastAsia="宋体" w:cs="宋体"/>
          <w:b w:val="0"/>
          <w:bCs w:val="0"/>
          <w:color w:val="auto"/>
          <w:spacing w:val="0"/>
          <w:position w:val="13"/>
          <w:sz w:val="24"/>
          <w:szCs w:val="24"/>
          <w:highlight w:val="none"/>
          <w:lang w:val="en-US" w:eastAsia="zh-CN"/>
        </w:rPr>
      </w:pPr>
      <w:bookmarkStart w:id="23" w:name="_Toc30065"/>
      <w:bookmarkStart w:id="24" w:name="_Toc30269"/>
      <w:r>
        <w:rPr>
          <w:rFonts w:hint="eastAsia" w:ascii="宋体" w:hAnsi="宋体" w:eastAsia="宋体" w:cs="宋体"/>
          <w:b w:val="0"/>
          <w:bCs w:val="0"/>
          <w:color w:val="auto"/>
          <w:spacing w:val="0"/>
          <w:position w:val="13"/>
          <w:sz w:val="24"/>
          <w:szCs w:val="24"/>
          <w:highlight w:val="none"/>
          <w:lang w:eastAsia="zh-CN"/>
        </w:rPr>
        <w:t>地点：本项目采用全流程电子化采购，投标人需通过政采云平台（https://www.zcygov.cn/）提交电子响应文件。</w:t>
      </w:r>
      <w:bookmarkEnd w:id="23"/>
      <w:bookmarkEnd w:id="24"/>
      <w:r>
        <w:rPr>
          <w:rFonts w:hint="eastAsia" w:ascii="宋体" w:hAnsi="宋体" w:eastAsia="宋体" w:cs="宋体"/>
          <w:b w:val="0"/>
          <w:bCs w:val="0"/>
          <w:color w:val="auto"/>
          <w:spacing w:val="0"/>
          <w:position w:val="13"/>
          <w:sz w:val="24"/>
          <w:szCs w:val="24"/>
          <w:highlight w:val="none"/>
          <w:lang w:val="en-US" w:eastAsia="zh-CN"/>
        </w:rPr>
        <w:t>响应文件解密时间：开标时间截止后30分钟内供应商可以登录政采云平台，用“项目采购-开标评标-进入开标大厅-解密（插入CA）-确定”功能进行解密响应文件。若供应商在规定时间内无法解密或解密失败，视为投标无效。</w:t>
      </w:r>
    </w:p>
    <w:p w14:paraId="303C551E">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outlineLvl w:val="1"/>
        <w:rPr>
          <w:rFonts w:hint="eastAsia" w:ascii="宋体" w:hAnsi="宋体" w:eastAsia="宋体" w:cs="宋体"/>
          <w:b w:val="0"/>
          <w:bCs w:val="0"/>
          <w:color w:val="auto"/>
          <w:spacing w:val="0"/>
          <w:position w:val="13"/>
          <w:sz w:val="24"/>
          <w:szCs w:val="24"/>
          <w:highlight w:val="none"/>
          <w:lang w:eastAsia="zh-CN"/>
        </w:rPr>
      </w:pPr>
      <w:r>
        <w:rPr>
          <w:rFonts w:hint="eastAsia" w:ascii="宋体" w:hAnsi="宋体" w:eastAsia="宋体" w:cs="宋体"/>
          <w:b w:val="0"/>
          <w:bCs w:val="0"/>
          <w:color w:val="auto"/>
          <w:spacing w:val="0"/>
          <w:position w:val="13"/>
          <w:sz w:val="24"/>
          <w:szCs w:val="24"/>
          <w:highlight w:val="none"/>
          <w:lang w:val="en-US" w:eastAsia="zh-CN"/>
        </w:rPr>
        <w:t>4</w:t>
      </w:r>
      <w:r>
        <w:rPr>
          <w:rFonts w:hint="eastAsia" w:ascii="宋体" w:hAnsi="宋体" w:eastAsia="宋体" w:cs="宋体"/>
          <w:b w:val="0"/>
          <w:bCs w:val="0"/>
          <w:color w:val="auto"/>
          <w:spacing w:val="0"/>
          <w:position w:val="13"/>
          <w:sz w:val="24"/>
          <w:szCs w:val="24"/>
          <w:highlight w:val="none"/>
          <w:lang w:eastAsia="zh-CN"/>
        </w:rPr>
        <w:t>响应文件开启（解密）方式：在参与开标活动前，通过政采云平台开启,请仔细阅读《开标活动纪律》后，点击“同意并进入”进入开标大厅进行开标活动。解密时间系统默认为30分钟，30分钟内未进行解密的视为自动放弃投标。</w:t>
      </w:r>
    </w:p>
    <w:p w14:paraId="57A522AD">
      <w:pPr>
        <w:pageBreakBefore w:val="0"/>
        <w:widowControl/>
        <w:numPr>
          <w:ilvl w:val="0"/>
          <w:numId w:val="0"/>
        </w:numPr>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outlineLvl w:val="1"/>
        <w:rPr>
          <w:rFonts w:hint="eastAsia" w:ascii="宋体" w:hAnsi="宋体" w:eastAsia="宋体" w:cs="宋体"/>
          <w:b/>
          <w:bCs/>
          <w:color w:val="auto"/>
          <w:spacing w:val="0"/>
          <w:position w:val="13"/>
          <w:sz w:val="24"/>
          <w:szCs w:val="24"/>
          <w:highlight w:val="none"/>
        </w:rPr>
      </w:pPr>
      <w:bookmarkStart w:id="25" w:name="_Toc10021"/>
      <w:bookmarkStart w:id="26" w:name="_Toc18368"/>
      <w:r>
        <w:rPr>
          <w:rFonts w:hint="eastAsia" w:ascii="宋体" w:hAnsi="宋体" w:eastAsia="宋体" w:cs="宋体"/>
          <w:b/>
          <w:bCs/>
          <w:color w:val="auto"/>
          <w:spacing w:val="0"/>
          <w:position w:val="13"/>
          <w:sz w:val="24"/>
          <w:szCs w:val="24"/>
          <w:highlight w:val="none"/>
          <w:lang w:eastAsia="zh-CN"/>
        </w:rPr>
        <w:t>五、</w:t>
      </w:r>
      <w:bookmarkEnd w:id="22"/>
      <w:bookmarkStart w:id="27" w:name="_Toc35393634"/>
      <w:bookmarkStart w:id="28" w:name="_Toc28359017"/>
      <w:bookmarkStart w:id="29" w:name="_Toc20218"/>
      <w:bookmarkStart w:id="30" w:name="_Toc28359094"/>
      <w:bookmarkStart w:id="31" w:name="_Toc35393803"/>
      <w:r>
        <w:rPr>
          <w:rFonts w:hint="eastAsia" w:ascii="宋体" w:hAnsi="宋体" w:eastAsia="宋体" w:cs="宋体"/>
          <w:b/>
          <w:bCs/>
          <w:color w:val="auto"/>
          <w:spacing w:val="0"/>
          <w:position w:val="13"/>
          <w:sz w:val="24"/>
          <w:szCs w:val="24"/>
          <w:highlight w:val="none"/>
        </w:rPr>
        <w:t>公告期限</w:t>
      </w:r>
      <w:bookmarkEnd w:id="25"/>
      <w:bookmarkEnd w:id="26"/>
      <w:bookmarkEnd w:id="27"/>
      <w:bookmarkEnd w:id="28"/>
      <w:bookmarkEnd w:id="29"/>
      <w:bookmarkEnd w:id="30"/>
      <w:bookmarkEnd w:id="31"/>
    </w:p>
    <w:p w14:paraId="4FDBA4B7">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自本公告发布之日起至少5个工作日。</w:t>
      </w:r>
      <w:bookmarkStart w:id="32" w:name="_Toc35393804"/>
      <w:bookmarkStart w:id="33" w:name="_Toc35393635"/>
    </w:p>
    <w:p w14:paraId="4D7DED69">
      <w:pPr>
        <w:pageBreakBefore w:val="0"/>
        <w:widowControl/>
        <w:numPr>
          <w:ilvl w:val="0"/>
          <w:numId w:val="0"/>
        </w:numPr>
        <w:kinsoku/>
        <w:wordWrap w:val="0"/>
        <w:overflowPunct/>
        <w:topLinePunct w:val="0"/>
        <w:autoSpaceDE w:val="0"/>
        <w:autoSpaceDN w:val="0"/>
        <w:bidi w:val="0"/>
        <w:adjustRightInd w:val="0"/>
        <w:snapToGrid w:val="0"/>
        <w:spacing w:before="0" w:beforeLines="20" w:after="0" w:afterLines="20" w:line="360" w:lineRule="auto"/>
        <w:ind w:left="0" w:leftChars="0" w:right="0" w:rightChars="0"/>
        <w:textAlignment w:val="baseline"/>
        <w:rPr>
          <w:rFonts w:hint="eastAsia" w:ascii="宋体" w:hAnsi="宋体" w:eastAsia="宋体" w:cs="宋体"/>
          <w:b/>
          <w:bCs/>
          <w:color w:val="auto"/>
          <w:spacing w:val="0"/>
          <w:position w:val="13"/>
          <w:sz w:val="24"/>
          <w:szCs w:val="24"/>
          <w:highlight w:val="none"/>
        </w:rPr>
      </w:pPr>
      <w:r>
        <w:rPr>
          <w:rFonts w:hint="eastAsia" w:ascii="宋体" w:hAnsi="宋体" w:eastAsia="宋体" w:cs="宋体"/>
          <w:b/>
          <w:bCs/>
          <w:snapToGrid w:val="0"/>
          <w:color w:val="auto"/>
          <w:spacing w:val="0"/>
          <w:kern w:val="0"/>
          <w:position w:val="13"/>
          <w:sz w:val="24"/>
          <w:szCs w:val="24"/>
          <w:lang w:val="en-US" w:eastAsia="zh-CN" w:bidi="ar-SA"/>
        </w:rPr>
        <w:t>六</w:t>
      </w:r>
      <w:r>
        <w:rPr>
          <w:rFonts w:hint="eastAsia" w:ascii="宋体" w:hAnsi="宋体" w:eastAsia="宋体" w:cs="宋体"/>
          <w:b/>
          <w:bCs/>
          <w:snapToGrid w:val="0"/>
          <w:color w:val="auto"/>
          <w:spacing w:val="0"/>
          <w:kern w:val="0"/>
          <w:position w:val="13"/>
          <w:sz w:val="24"/>
          <w:szCs w:val="24"/>
          <w:lang w:val="en-US" w:eastAsia="en-US" w:bidi="ar-SA"/>
        </w:rPr>
        <w:t>、</w:t>
      </w:r>
      <w:r>
        <w:rPr>
          <w:rFonts w:hint="eastAsia" w:ascii="宋体" w:hAnsi="宋体" w:eastAsia="宋体" w:cs="宋体"/>
          <w:b/>
          <w:bCs/>
          <w:color w:val="auto"/>
          <w:spacing w:val="0"/>
          <w:position w:val="13"/>
          <w:sz w:val="24"/>
          <w:szCs w:val="24"/>
          <w:highlight w:val="none"/>
        </w:rPr>
        <w:t>其他补充事宜</w:t>
      </w:r>
      <w:bookmarkEnd w:id="32"/>
      <w:bookmarkEnd w:id="33"/>
    </w:p>
    <w:p w14:paraId="72CA2D1E">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1.拟参与本项目的供应商，首先在“政采云”平台上免费进行供应商注册（“政采云”供应商注册流程：https://middle.zcygov.cn/v-settle-front/registry），注册后可在“政采云”平台免费自行下载招标文件（下载地址：http://www.zcygov.cn；下载招标文件操作路径：登录“政采云”平台-登录账号-我的工作台-项目采购-获取采购文件-找到本项目-点击“申请获取文件”）。</w:t>
      </w:r>
    </w:p>
    <w:p w14:paraId="23091115">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2.本项目为全流程电子化项目，通过“政采云”平台(http://www.zcygov.cn)实行在线电子投标，供应商应先安装“政采云投标客户端”(请自行前往“政采云”平台进行下载，政采云投标客户端及CA驱动下载地址：https://customer.zcygov.cn/CA-driver-download?utm=web-login-front.52cebfa2.0.0.04df4040034511edaac705fda12edb43)，并按照本项目招标文件和“政采云”平台的要求编制、加密投标文件后在投标文件提交截止时间前通过网络上传至“政采云”平台，供应商在“政采云”平台提交电子版投标文件时，请填写参加开启活动经办人联系方式。</w:t>
      </w:r>
    </w:p>
    <w:p w14:paraId="1C0AC916">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3.电子投标文件制作需要基于“政采云”平台获取的招标文件进行制作，制作投标文件时需要完成CA与账号的绑定。未办理CA的供应商，请先免费申请CA（安信CA申请流程：http://www.anxinca.com/kehu/zcy/kh-zcy-zsshenqing.html；选择“吉林省公共资源-供应商”后按具体操作流程办理；翔晟CA申请流程：http://www.share-sun.com/xsapply/admin/login.aspx?unitname=jilin），并完成CA与账号绑定（CA绑定政采云平台流程：我的工作台-系统管理-CA管理-CA绑定与解绑；安信CA的安装要确保《电子签章》《安信CA签名工具https版》这两个程序以管理员身份运行后再进行绑定以及签章操作，安信CA客服电话：0431-85177688；翔晟CA咨询电话：0432-63688340），CA数字证书全省通办通用。</w:t>
      </w:r>
    </w:p>
    <w:p w14:paraId="708483E4">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4.政府采购信用贷款，请联系松原市信用综合金融服务平台。</w:t>
      </w:r>
    </w:p>
    <w:p w14:paraId="46FCF79D">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联系人：李明峻</w:t>
      </w:r>
    </w:p>
    <w:p w14:paraId="431084C2">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联系电话：0438-8888336、18686500569</w:t>
      </w:r>
    </w:p>
    <w:p w14:paraId="512190C2">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5.本次招标公告在吉林省政府采购云平台（同步推送到吉林省公共资源交易公共服务平台、吉林省政府采购网、中国政府采购网）上同时发布。</w:t>
      </w:r>
    </w:p>
    <w:p w14:paraId="726A73B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outlineLvl w:val="1"/>
        <w:rPr>
          <w:rFonts w:hint="eastAsia" w:ascii="宋体" w:hAnsi="宋体" w:eastAsia="宋体" w:cs="宋体"/>
          <w:color w:val="auto"/>
          <w:spacing w:val="0"/>
          <w:sz w:val="24"/>
          <w:szCs w:val="24"/>
          <w:highlight w:val="none"/>
        </w:rPr>
      </w:pPr>
      <w:bookmarkStart w:id="34" w:name="_Toc2934"/>
      <w:bookmarkStart w:id="35" w:name="_Toc35393636"/>
      <w:bookmarkStart w:id="36" w:name="_Toc35393805"/>
      <w:bookmarkStart w:id="37" w:name="_Toc6261"/>
      <w:bookmarkStart w:id="38" w:name="_Toc28359095"/>
      <w:bookmarkStart w:id="39" w:name="_Toc28359018"/>
      <w:bookmarkStart w:id="40" w:name="_Toc24225"/>
      <w:r>
        <w:rPr>
          <w:rFonts w:hint="eastAsia" w:ascii="宋体" w:hAnsi="宋体" w:eastAsia="宋体" w:cs="宋体"/>
          <w:b/>
          <w:bCs/>
          <w:color w:val="auto"/>
          <w:spacing w:val="0"/>
          <w:position w:val="13"/>
          <w:sz w:val="24"/>
          <w:szCs w:val="24"/>
          <w:highlight w:val="none"/>
          <w:lang w:val="en-US" w:eastAsia="zh-CN"/>
        </w:rPr>
        <w:t>七</w:t>
      </w:r>
      <w:r>
        <w:rPr>
          <w:rFonts w:hint="eastAsia" w:ascii="宋体" w:hAnsi="宋体" w:eastAsia="宋体" w:cs="宋体"/>
          <w:b/>
          <w:bCs/>
          <w:color w:val="auto"/>
          <w:spacing w:val="0"/>
          <w:position w:val="13"/>
          <w:sz w:val="24"/>
          <w:szCs w:val="24"/>
          <w:highlight w:val="none"/>
        </w:rPr>
        <w:t>、凡对本次采购提出询问，请按以下方式联系。</w:t>
      </w:r>
      <w:bookmarkEnd w:id="34"/>
      <w:bookmarkEnd w:id="35"/>
      <w:bookmarkEnd w:id="36"/>
      <w:bookmarkEnd w:id="37"/>
      <w:bookmarkEnd w:id="38"/>
      <w:bookmarkEnd w:id="39"/>
      <w:bookmarkEnd w:id="40"/>
    </w:p>
    <w:p w14:paraId="5B96F563">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1.采购人信息</w:t>
      </w:r>
    </w:p>
    <w:p w14:paraId="24D618C0">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采购单位名称：前郭尔罗斯蒙古族自治县国有林总场</w:t>
      </w:r>
    </w:p>
    <w:p w14:paraId="3DE32C18">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地址：源江西路402号</w:t>
      </w:r>
    </w:p>
    <w:p w14:paraId="286AA7CE">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联系人：徐海洋</w:t>
      </w:r>
    </w:p>
    <w:p w14:paraId="389C25A3">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default"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联系方式：13278319992</w:t>
      </w:r>
    </w:p>
    <w:p w14:paraId="60634A3C">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2.采购代理机构信息</w:t>
      </w:r>
    </w:p>
    <w:p w14:paraId="45532811">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采购代理机构名称：</w:t>
      </w:r>
      <w:r>
        <w:rPr>
          <w:rFonts w:hint="eastAsia" w:ascii="宋体" w:hAnsi="宋体" w:eastAsia="宋体" w:cs="宋体"/>
          <w:color w:val="auto"/>
          <w:spacing w:val="0"/>
          <w:position w:val="13"/>
          <w:sz w:val="24"/>
          <w:szCs w:val="24"/>
          <w:highlight w:val="none"/>
          <w:lang w:val="zh-CN" w:eastAsia="zh-CN"/>
        </w:rPr>
        <w:t xml:space="preserve">吉林省宸瑀建设项目管理有限公司 </w:t>
      </w:r>
    </w:p>
    <w:p w14:paraId="5975A9A2">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地址：松原市前郭县富江丽都小区21号楼1层2号商企</w:t>
      </w:r>
    </w:p>
    <w:p w14:paraId="60A87089">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联系人：</w:t>
      </w:r>
      <w:r>
        <w:rPr>
          <w:rFonts w:hint="eastAsia" w:ascii="宋体" w:hAnsi="宋体" w:eastAsia="宋体" w:cs="宋体"/>
          <w:color w:val="auto"/>
          <w:spacing w:val="0"/>
          <w:position w:val="13"/>
          <w:sz w:val="24"/>
          <w:szCs w:val="24"/>
          <w:highlight w:val="none"/>
          <w:lang w:val="zh-CN" w:eastAsia="zh-CN"/>
        </w:rPr>
        <w:t>夏得财</w:t>
      </w:r>
    </w:p>
    <w:p w14:paraId="4408160D">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联系方式：13341558097</w:t>
      </w:r>
    </w:p>
    <w:p w14:paraId="5D89EBF7">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3.项目联系方式</w:t>
      </w:r>
    </w:p>
    <w:p w14:paraId="488ADFBF">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zh-CN" w:eastAsia="zh-CN"/>
        </w:rPr>
      </w:pPr>
      <w:r>
        <w:rPr>
          <w:rFonts w:hint="eastAsia" w:ascii="宋体" w:hAnsi="宋体" w:eastAsia="宋体" w:cs="宋体"/>
          <w:color w:val="auto"/>
          <w:spacing w:val="0"/>
          <w:position w:val="13"/>
          <w:sz w:val="24"/>
          <w:szCs w:val="24"/>
          <w:highlight w:val="none"/>
          <w:lang w:val="en-US" w:eastAsia="zh-CN"/>
        </w:rPr>
        <w:t>项目联系人：</w:t>
      </w:r>
      <w:r>
        <w:rPr>
          <w:rFonts w:hint="eastAsia" w:ascii="宋体" w:hAnsi="宋体" w:eastAsia="宋体" w:cs="宋体"/>
          <w:color w:val="auto"/>
          <w:spacing w:val="0"/>
          <w:position w:val="13"/>
          <w:sz w:val="24"/>
          <w:szCs w:val="24"/>
          <w:highlight w:val="none"/>
          <w:lang w:val="zh-CN" w:eastAsia="zh-CN"/>
        </w:rPr>
        <w:t>夏得财</w:t>
      </w:r>
    </w:p>
    <w:p w14:paraId="3A6A5D34">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电话：13341558097</w:t>
      </w:r>
    </w:p>
    <w:p w14:paraId="42F9B29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position w:val="13"/>
          <w:sz w:val="21"/>
          <w:szCs w:val="21"/>
          <w:highlight w:val="none"/>
          <w:lang w:val="en-US" w:eastAsia="zh-CN"/>
        </w:rPr>
        <w:sectPr>
          <w:footerReference r:id="rId6" w:type="default"/>
          <w:pgSz w:w="11906" w:h="16839"/>
          <w:pgMar w:top="1440" w:right="1080" w:bottom="1440" w:left="1080" w:header="0" w:footer="994" w:gutter="0"/>
          <w:pgNumType w:fmt="decimal" w:start="1"/>
          <w:cols w:space="720" w:num="1"/>
        </w:sectPr>
      </w:pPr>
      <w:r>
        <w:rPr>
          <w:rFonts w:hint="eastAsia" w:ascii="宋体" w:hAnsi="宋体" w:eastAsia="宋体" w:cs="宋体"/>
          <w:color w:val="auto"/>
          <w:spacing w:val="0"/>
          <w:position w:val="13"/>
          <w:sz w:val="24"/>
          <w:szCs w:val="24"/>
          <w:highlight w:val="none"/>
          <w:lang w:val="en-US" w:eastAsia="zh-CN"/>
        </w:rPr>
        <w:t>招标监督管理部门：前郭县财政局政府采购监督管理工作办公室</w:t>
      </w:r>
    </w:p>
    <w:p w14:paraId="4D68CB5D">
      <w:pPr>
        <w:pStyle w:val="2"/>
        <w:bidi w:val="0"/>
        <w:rPr>
          <w:rFonts w:hint="eastAsia"/>
          <w:color w:val="auto"/>
        </w:rPr>
      </w:pPr>
      <w:bookmarkStart w:id="41" w:name="bookmark3"/>
      <w:bookmarkEnd w:id="41"/>
      <w:bookmarkStart w:id="42" w:name="_Toc21428"/>
      <w:r>
        <w:rPr>
          <w:rFonts w:hint="eastAsia"/>
          <w:color w:val="auto"/>
        </w:rPr>
        <w:t>第二章  供应商须知</w:t>
      </w:r>
      <w:bookmarkEnd w:id="42"/>
    </w:p>
    <w:p w14:paraId="28AB85A4">
      <w:pPr>
        <w:pageBreakBefore w:val="0"/>
        <w:widowControl/>
        <w:kinsoku/>
        <w:wordWrap w:val="0"/>
        <w:overflowPunct/>
        <w:topLinePunct w:val="0"/>
        <w:autoSpaceDE w:val="0"/>
        <w:autoSpaceDN w:val="0"/>
        <w:bidi w:val="0"/>
        <w:adjustRightInd w:val="0"/>
        <w:snapToGrid w:val="0"/>
        <w:spacing w:before="0" w:beforeLines="20" w:after="0" w:afterLines="20" w:line="360" w:lineRule="auto"/>
        <w:ind w:right="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rPr>
        <w:t>（一）供应商须知前附表</w:t>
      </w:r>
    </w:p>
    <w:tbl>
      <w:tblPr>
        <w:tblStyle w:val="22"/>
        <w:tblW w:w="95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2008"/>
        <w:gridCol w:w="6823"/>
      </w:tblGrid>
      <w:tr w14:paraId="696F9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jc w:val="center"/>
        </w:trPr>
        <w:tc>
          <w:tcPr>
            <w:tcW w:w="687" w:type="dxa"/>
            <w:vAlign w:val="center"/>
          </w:tcPr>
          <w:p w14:paraId="5CE2F31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序号</w:t>
            </w:r>
          </w:p>
        </w:tc>
        <w:tc>
          <w:tcPr>
            <w:tcW w:w="2008" w:type="dxa"/>
            <w:vAlign w:val="center"/>
          </w:tcPr>
          <w:p w14:paraId="7238A1C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条 款 名 称</w:t>
            </w:r>
          </w:p>
        </w:tc>
        <w:tc>
          <w:tcPr>
            <w:tcW w:w="6823" w:type="dxa"/>
            <w:vAlign w:val="center"/>
          </w:tcPr>
          <w:p w14:paraId="3964259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编 列 内 容</w:t>
            </w:r>
          </w:p>
        </w:tc>
      </w:tr>
      <w:tr w14:paraId="0ED3C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jc w:val="center"/>
        </w:trPr>
        <w:tc>
          <w:tcPr>
            <w:tcW w:w="687" w:type="dxa"/>
            <w:vAlign w:val="center"/>
          </w:tcPr>
          <w:p w14:paraId="1D6D7DA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1</w:t>
            </w:r>
          </w:p>
        </w:tc>
        <w:tc>
          <w:tcPr>
            <w:tcW w:w="2008" w:type="dxa"/>
            <w:vAlign w:val="center"/>
          </w:tcPr>
          <w:p w14:paraId="15F4645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人</w:t>
            </w:r>
          </w:p>
        </w:tc>
        <w:tc>
          <w:tcPr>
            <w:tcW w:w="6823" w:type="dxa"/>
            <w:vAlign w:val="center"/>
          </w:tcPr>
          <w:p w14:paraId="4769F45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采购单位名称：前郭尔罗斯蒙古族自治县国有林总场</w:t>
            </w:r>
          </w:p>
          <w:p w14:paraId="1E6A66B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地址：</w:t>
            </w:r>
            <w:r>
              <w:rPr>
                <w:rFonts w:hint="eastAsia" w:ascii="宋体" w:hAnsi="宋体" w:eastAsia="宋体" w:cs="宋体"/>
                <w:bCs/>
                <w:color w:val="auto"/>
                <w:spacing w:val="0"/>
                <w:kern w:val="2"/>
                <w:sz w:val="24"/>
                <w:szCs w:val="24"/>
                <w:highlight w:val="none"/>
                <w:lang w:val="zh-CN" w:eastAsia="zh-CN"/>
              </w:rPr>
              <w:t>源江西路402号</w:t>
            </w:r>
          </w:p>
          <w:p w14:paraId="3CF3C5C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联系人：</w:t>
            </w:r>
            <w:r>
              <w:rPr>
                <w:rFonts w:hint="eastAsia" w:ascii="宋体" w:hAnsi="宋体" w:eastAsia="宋体" w:cs="宋体"/>
                <w:bCs/>
                <w:color w:val="auto"/>
                <w:spacing w:val="0"/>
                <w:kern w:val="2"/>
                <w:sz w:val="24"/>
                <w:szCs w:val="24"/>
                <w:highlight w:val="none"/>
                <w:lang w:val="zh-CN" w:eastAsia="zh-CN"/>
              </w:rPr>
              <w:t>徐海洋</w:t>
            </w:r>
          </w:p>
          <w:p w14:paraId="66719E6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bCs/>
                <w:color w:val="auto"/>
                <w:spacing w:val="0"/>
                <w:kern w:val="2"/>
                <w:sz w:val="24"/>
                <w:szCs w:val="24"/>
                <w:highlight w:val="none"/>
                <w:lang w:val="zh-CN"/>
              </w:rPr>
              <w:t>联系方式：13278319992</w:t>
            </w:r>
          </w:p>
        </w:tc>
      </w:tr>
      <w:tr w14:paraId="36118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jc w:val="center"/>
        </w:trPr>
        <w:tc>
          <w:tcPr>
            <w:tcW w:w="687" w:type="dxa"/>
            <w:vAlign w:val="center"/>
          </w:tcPr>
          <w:p w14:paraId="18ECF90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2</w:t>
            </w:r>
          </w:p>
        </w:tc>
        <w:tc>
          <w:tcPr>
            <w:tcW w:w="2008" w:type="dxa"/>
            <w:vAlign w:val="center"/>
          </w:tcPr>
          <w:p w14:paraId="0BD0D67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bCs/>
                <w:color w:val="auto"/>
                <w:spacing w:val="0"/>
                <w:kern w:val="2"/>
                <w:sz w:val="24"/>
                <w:szCs w:val="24"/>
                <w:highlight w:val="none"/>
                <w:lang w:val="zh-CN"/>
              </w:rPr>
              <w:t>采购代理机构</w:t>
            </w:r>
          </w:p>
        </w:tc>
        <w:tc>
          <w:tcPr>
            <w:tcW w:w="6823" w:type="dxa"/>
            <w:vAlign w:val="center"/>
          </w:tcPr>
          <w:p w14:paraId="4EAB56C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 xml:space="preserve">采购代理机构名称：吉林省宸瑀建设项目管理有限公司 </w:t>
            </w:r>
          </w:p>
          <w:p w14:paraId="7A73981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地址：</w:t>
            </w:r>
            <w:r>
              <w:rPr>
                <w:rFonts w:hint="eastAsia" w:ascii="宋体" w:hAnsi="宋体" w:eastAsia="宋体" w:cs="宋体"/>
                <w:bCs/>
                <w:color w:val="auto"/>
                <w:spacing w:val="0"/>
                <w:kern w:val="2"/>
                <w:sz w:val="24"/>
                <w:szCs w:val="24"/>
                <w:highlight w:val="none"/>
                <w:lang w:val="zh-CN" w:eastAsia="zh-CN"/>
              </w:rPr>
              <w:t>松原市前郭县富江丽都小区21号楼1层2号商企</w:t>
            </w:r>
          </w:p>
          <w:p w14:paraId="4C85E3D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联系人：夏得财</w:t>
            </w:r>
          </w:p>
          <w:p w14:paraId="5AE7D91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bCs/>
                <w:color w:val="auto"/>
                <w:spacing w:val="0"/>
                <w:kern w:val="2"/>
                <w:sz w:val="24"/>
                <w:szCs w:val="24"/>
                <w:highlight w:val="none"/>
                <w:lang w:val="zh-CN"/>
              </w:rPr>
              <w:t>联系方式：13341558097</w:t>
            </w:r>
          </w:p>
        </w:tc>
      </w:tr>
      <w:tr w14:paraId="1191A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7" w:type="dxa"/>
            <w:vAlign w:val="center"/>
          </w:tcPr>
          <w:p w14:paraId="4A791F3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3</w:t>
            </w:r>
          </w:p>
        </w:tc>
        <w:tc>
          <w:tcPr>
            <w:tcW w:w="2008" w:type="dxa"/>
            <w:vAlign w:val="center"/>
          </w:tcPr>
          <w:p w14:paraId="7529807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项目名称</w:t>
            </w:r>
          </w:p>
        </w:tc>
        <w:tc>
          <w:tcPr>
            <w:tcW w:w="6823" w:type="dxa"/>
            <w:vAlign w:val="center"/>
          </w:tcPr>
          <w:p w14:paraId="685339C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color w:val="auto"/>
                <w:spacing w:val="0"/>
                <w:position w:val="13"/>
                <w:sz w:val="24"/>
                <w:szCs w:val="24"/>
                <w:highlight w:val="none"/>
                <w:lang w:val="en-US" w:eastAsia="zh-CN"/>
              </w:rPr>
              <w:t>前郭县国有林总场2026年衔接推进乡村振兴苗圃基地提升项目哈拉毛都林场围栏工程</w:t>
            </w:r>
          </w:p>
        </w:tc>
      </w:tr>
      <w:tr w14:paraId="055AE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7" w:type="dxa"/>
            <w:vAlign w:val="center"/>
          </w:tcPr>
          <w:p w14:paraId="4BCEDC1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4</w:t>
            </w:r>
          </w:p>
        </w:tc>
        <w:tc>
          <w:tcPr>
            <w:tcW w:w="2008" w:type="dxa"/>
            <w:vAlign w:val="center"/>
          </w:tcPr>
          <w:p w14:paraId="4EAB196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采购</w:t>
            </w:r>
            <w:r>
              <w:rPr>
                <w:rFonts w:hint="eastAsia" w:ascii="宋体" w:hAnsi="宋体" w:eastAsia="宋体" w:cs="宋体"/>
                <w:bCs/>
                <w:color w:val="auto"/>
                <w:spacing w:val="0"/>
                <w:kern w:val="2"/>
                <w:sz w:val="24"/>
                <w:szCs w:val="24"/>
                <w:highlight w:val="none"/>
                <w:lang w:val="zh-CN" w:eastAsia="zh-CN"/>
              </w:rPr>
              <w:t>内容</w:t>
            </w:r>
          </w:p>
        </w:tc>
        <w:tc>
          <w:tcPr>
            <w:tcW w:w="6823" w:type="dxa"/>
            <w:vAlign w:val="center"/>
          </w:tcPr>
          <w:p w14:paraId="51B6050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color w:val="auto"/>
                <w:spacing w:val="0"/>
                <w:position w:val="13"/>
                <w:sz w:val="24"/>
                <w:szCs w:val="24"/>
                <w:highlight w:val="none"/>
              </w:rPr>
              <w:t>详见工程量清单</w:t>
            </w:r>
          </w:p>
        </w:tc>
      </w:tr>
      <w:tr w14:paraId="4CB74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7" w:type="dxa"/>
            <w:vAlign w:val="center"/>
          </w:tcPr>
          <w:p w14:paraId="0F9B831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5</w:t>
            </w:r>
          </w:p>
        </w:tc>
        <w:tc>
          <w:tcPr>
            <w:tcW w:w="2008" w:type="dxa"/>
            <w:vAlign w:val="center"/>
          </w:tcPr>
          <w:p w14:paraId="57BE596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项目地点</w:t>
            </w:r>
          </w:p>
        </w:tc>
        <w:tc>
          <w:tcPr>
            <w:tcW w:w="6823" w:type="dxa"/>
            <w:vAlign w:val="center"/>
          </w:tcPr>
          <w:p w14:paraId="381382C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eastAsia="zh-CN"/>
              </w:rPr>
              <w:t>哈拉毛都林场苗圃基地</w:t>
            </w:r>
          </w:p>
        </w:tc>
      </w:tr>
      <w:tr w14:paraId="2A3C5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687" w:type="dxa"/>
            <w:vAlign w:val="center"/>
          </w:tcPr>
          <w:p w14:paraId="44B9C4E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6</w:t>
            </w:r>
          </w:p>
        </w:tc>
        <w:tc>
          <w:tcPr>
            <w:tcW w:w="2008" w:type="dxa"/>
            <w:vAlign w:val="center"/>
          </w:tcPr>
          <w:p w14:paraId="67EC817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资金来源及落实情况</w:t>
            </w:r>
          </w:p>
        </w:tc>
        <w:tc>
          <w:tcPr>
            <w:tcW w:w="6823" w:type="dxa"/>
            <w:vAlign w:val="center"/>
          </w:tcPr>
          <w:p w14:paraId="2152F9D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资金来源：财政资金</w:t>
            </w:r>
          </w:p>
          <w:p w14:paraId="73EE24D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资金落实情况：已落实</w:t>
            </w:r>
          </w:p>
        </w:tc>
      </w:tr>
      <w:tr w14:paraId="46183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687" w:type="dxa"/>
            <w:vAlign w:val="center"/>
          </w:tcPr>
          <w:p w14:paraId="2ED7DC6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7</w:t>
            </w:r>
          </w:p>
        </w:tc>
        <w:tc>
          <w:tcPr>
            <w:tcW w:w="2008" w:type="dxa"/>
            <w:vAlign w:val="center"/>
          </w:tcPr>
          <w:p w14:paraId="6016CCC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eastAsia="zh-CN"/>
              </w:rPr>
              <w:t>计划工期</w:t>
            </w:r>
          </w:p>
        </w:tc>
        <w:tc>
          <w:tcPr>
            <w:tcW w:w="6823" w:type="dxa"/>
            <w:vAlign w:val="center"/>
          </w:tcPr>
          <w:p w14:paraId="2DB6113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eastAsia="zh-CN"/>
              </w:rPr>
              <w:t>计划开工日期2026年5月22日，计划竣工日期2026年10月31日，总共163日历天</w:t>
            </w:r>
          </w:p>
        </w:tc>
      </w:tr>
      <w:tr w14:paraId="624F9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687" w:type="dxa"/>
            <w:vAlign w:val="center"/>
          </w:tcPr>
          <w:p w14:paraId="748787D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8</w:t>
            </w:r>
          </w:p>
        </w:tc>
        <w:tc>
          <w:tcPr>
            <w:tcW w:w="2008" w:type="dxa"/>
            <w:vAlign w:val="center"/>
          </w:tcPr>
          <w:p w14:paraId="3DBCFBD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质量标准</w:t>
            </w:r>
          </w:p>
        </w:tc>
        <w:tc>
          <w:tcPr>
            <w:tcW w:w="6823" w:type="dxa"/>
            <w:vAlign w:val="center"/>
          </w:tcPr>
          <w:p w14:paraId="35F0D0D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符合国家《建筑工程施工质量验收统一标准》及相关标准的合格工程。</w:t>
            </w:r>
          </w:p>
        </w:tc>
      </w:tr>
      <w:tr w14:paraId="6A4B8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7" w:type="dxa"/>
            <w:vAlign w:val="center"/>
          </w:tcPr>
          <w:p w14:paraId="4E01EF6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9</w:t>
            </w:r>
          </w:p>
        </w:tc>
        <w:tc>
          <w:tcPr>
            <w:tcW w:w="2008" w:type="dxa"/>
            <w:vAlign w:val="center"/>
          </w:tcPr>
          <w:p w14:paraId="393C209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现场情况</w:t>
            </w:r>
          </w:p>
        </w:tc>
        <w:tc>
          <w:tcPr>
            <w:tcW w:w="6823" w:type="dxa"/>
            <w:vAlign w:val="center"/>
          </w:tcPr>
          <w:p w14:paraId="061D41A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具备开工条件</w:t>
            </w:r>
          </w:p>
        </w:tc>
      </w:tr>
      <w:tr w14:paraId="24370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7" w:type="dxa"/>
            <w:vAlign w:val="center"/>
          </w:tcPr>
          <w:p w14:paraId="43478A7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10</w:t>
            </w:r>
          </w:p>
        </w:tc>
        <w:tc>
          <w:tcPr>
            <w:tcW w:w="2008" w:type="dxa"/>
            <w:vAlign w:val="center"/>
          </w:tcPr>
          <w:p w14:paraId="3092829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现场踏勘</w:t>
            </w:r>
          </w:p>
        </w:tc>
        <w:tc>
          <w:tcPr>
            <w:tcW w:w="6823" w:type="dxa"/>
            <w:vAlign w:val="center"/>
          </w:tcPr>
          <w:p w14:paraId="624861A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不组织</w:t>
            </w:r>
          </w:p>
        </w:tc>
      </w:tr>
      <w:tr w14:paraId="2BCE6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7" w:type="dxa"/>
            <w:vAlign w:val="center"/>
          </w:tcPr>
          <w:p w14:paraId="018CF8C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11</w:t>
            </w:r>
          </w:p>
        </w:tc>
        <w:tc>
          <w:tcPr>
            <w:tcW w:w="2008" w:type="dxa"/>
            <w:vAlign w:val="center"/>
          </w:tcPr>
          <w:p w14:paraId="2B9606E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分包情况</w:t>
            </w:r>
          </w:p>
        </w:tc>
        <w:tc>
          <w:tcPr>
            <w:tcW w:w="6823" w:type="dxa"/>
            <w:vAlign w:val="center"/>
          </w:tcPr>
          <w:p w14:paraId="3773BFE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不允许分包</w:t>
            </w:r>
          </w:p>
        </w:tc>
      </w:tr>
      <w:tr w14:paraId="2F9AA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87" w:type="dxa"/>
            <w:vAlign w:val="center"/>
          </w:tcPr>
          <w:p w14:paraId="58C0AC6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12</w:t>
            </w:r>
          </w:p>
        </w:tc>
        <w:tc>
          <w:tcPr>
            <w:tcW w:w="2008" w:type="dxa"/>
            <w:vAlign w:val="center"/>
          </w:tcPr>
          <w:p w14:paraId="59DE099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采购方式</w:t>
            </w:r>
          </w:p>
        </w:tc>
        <w:tc>
          <w:tcPr>
            <w:tcW w:w="6823" w:type="dxa"/>
            <w:vAlign w:val="center"/>
          </w:tcPr>
          <w:p w14:paraId="657E4D2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竞争性磋商</w:t>
            </w:r>
          </w:p>
        </w:tc>
      </w:tr>
      <w:tr w14:paraId="6B8D7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687" w:type="dxa"/>
            <w:vAlign w:val="center"/>
          </w:tcPr>
          <w:p w14:paraId="3FA3DB8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13</w:t>
            </w:r>
          </w:p>
        </w:tc>
        <w:tc>
          <w:tcPr>
            <w:tcW w:w="2008" w:type="dxa"/>
            <w:vAlign w:val="center"/>
          </w:tcPr>
          <w:p w14:paraId="26F899C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供应商资格条件</w:t>
            </w:r>
          </w:p>
        </w:tc>
        <w:tc>
          <w:tcPr>
            <w:tcW w:w="6823" w:type="dxa"/>
            <w:vAlign w:val="center"/>
          </w:tcPr>
          <w:p w14:paraId="26BEE0D1">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24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rPr>
              <w:t>1.满足《中华人民共和国政府采购法》第二十二条规定。</w:t>
            </w:r>
          </w:p>
          <w:p w14:paraId="37076725">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24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rPr>
              <w:t>（1）具有独立承担民事责任的能力；</w:t>
            </w:r>
          </w:p>
          <w:p w14:paraId="530C2CB2">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24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rPr>
              <w:t>（2）具有良好的商业信誉和健全的财务会计制度；</w:t>
            </w:r>
          </w:p>
          <w:p w14:paraId="7E5AF445">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24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rPr>
              <w:t>（3）具有履行合同所必需的设备和专业技术能力；</w:t>
            </w:r>
          </w:p>
          <w:p w14:paraId="73EBDAAE">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24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rPr>
              <w:t>（4）有依法缴纳税收和社会保障资金的良好记录；</w:t>
            </w:r>
          </w:p>
          <w:p w14:paraId="7C6FF4EA">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24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rPr>
              <w:t>（5）参加政府采购活动前三年内，在经营活动中没有重大违法记录；</w:t>
            </w:r>
          </w:p>
          <w:p w14:paraId="534FC535">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24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rPr>
              <w:t>（6）法律、行政法规规定的其他条件。</w:t>
            </w:r>
          </w:p>
          <w:p w14:paraId="21ADB141">
            <w:pPr>
              <w:pageBreakBefore w:val="0"/>
              <w:widowControl/>
              <w:kinsoku/>
              <w:wordWrap w:val="0"/>
              <w:overflowPunct/>
              <w:topLinePunct w:val="0"/>
              <w:autoSpaceDE w:val="0"/>
              <w:autoSpaceDN w:val="0"/>
              <w:bidi w:val="0"/>
              <w:adjustRightInd w:val="0"/>
              <w:snapToGrid w:val="0"/>
              <w:spacing w:before="0" w:beforeLines="20" w:after="0" w:afterLines="20" w:line="240" w:lineRule="auto"/>
              <w:ind w:left="0" w:leftChars="0" w:right="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rPr>
              <w:t>2</w:t>
            </w:r>
            <w:r>
              <w:rPr>
                <w:rFonts w:hint="eastAsia" w:ascii="宋体" w:hAnsi="宋体" w:eastAsia="宋体" w:cs="宋体"/>
                <w:color w:val="auto"/>
                <w:spacing w:val="0"/>
                <w:position w:val="13"/>
                <w:sz w:val="24"/>
                <w:szCs w:val="24"/>
                <w:highlight w:val="none"/>
                <w:lang w:eastAsia="zh-CN"/>
              </w:rPr>
              <w:t>.</w:t>
            </w:r>
            <w:r>
              <w:rPr>
                <w:rFonts w:hint="eastAsia" w:ascii="宋体" w:hAnsi="宋体" w:eastAsia="宋体" w:cs="宋体"/>
                <w:color w:val="auto"/>
                <w:spacing w:val="0"/>
                <w:position w:val="13"/>
                <w:sz w:val="24"/>
                <w:szCs w:val="24"/>
                <w:highlight w:val="none"/>
              </w:rPr>
              <w:t>落实政府采购政策需满足的资格要求：</w:t>
            </w:r>
            <w:r>
              <w:rPr>
                <w:rFonts w:hint="eastAsia" w:ascii="宋体" w:hAnsi="宋体" w:eastAsia="宋体" w:cs="宋体"/>
                <w:color w:val="auto"/>
                <w:spacing w:val="0"/>
                <w:position w:val="13"/>
                <w:sz w:val="24"/>
                <w:szCs w:val="24"/>
                <w:highlight w:val="none"/>
                <w:lang w:val="en-US" w:eastAsia="zh-CN"/>
              </w:rPr>
              <w:t>本项目全部面向中小企业采购。</w:t>
            </w:r>
            <w:r>
              <w:rPr>
                <w:rFonts w:hint="eastAsia" w:ascii="宋体" w:hAnsi="宋体" w:eastAsia="宋体" w:cs="宋体"/>
                <w:color w:val="auto"/>
                <w:spacing w:val="0"/>
                <w:position w:val="13"/>
                <w:sz w:val="24"/>
                <w:szCs w:val="24"/>
                <w:highlight w:val="none"/>
              </w:rPr>
              <w:t>需要落实的政府采购政策：执行《关于政府采购支持监狱企业发展有关问题的通知》（财库〔2014〕68号）、《关于促进残疾人就业政府采购政策的通知》（财库〔2017〕141号）、《关于调整优化节能产品、环境标志产品政府采购执行机制的通知》（财库〔2019〕9号）、《政府采购促进中小企业发展管理办法》（财库〔2020〕46号）及《关于进一步加大政府采购支持中小企业力度的通知》（财库〔2022〕19号）。本项目所属行业为：建筑业。</w:t>
            </w:r>
          </w:p>
          <w:p w14:paraId="53D78775">
            <w:pPr>
              <w:pageBreakBefore w:val="0"/>
              <w:widowControl/>
              <w:kinsoku/>
              <w:wordWrap w:val="0"/>
              <w:overflowPunct/>
              <w:topLinePunct w:val="0"/>
              <w:autoSpaceDE w:val="0"/>
              <w:autoSpaceDN w:val="0"/>
              <w:bidi w:val="0"/>
              <w:adjustRightInd w:val="0"/>
              <w:snapToGrid w:val="0"/>
              <w:spacing w:before="0" w:beforeLines="20" w:after="0" w:afterLines="20" w:line="240" w:lineRule="auto"/>
              <w:ind w:left="0" w:leftChars="0" w:right="0"/>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bCs/>
                <w:color w:val="auto"/>
                <w:spacing w:val="0"/>
                <w:kern w:val="2"/>
                <w:sz w:val="24"/>
                <w:szCs w:val="24"/>
                <w:highlight w:val="none"/>
                <w:lang w:val="zh-CN"/>
              </w:rPr>
              <w:t>3</w:t>
            </w:r>
            <w:r>
              <w:rPr>
                <w:rFonts w:hint="eastAsia" w:ascii="宋体" w:hAnsi="宋体" w:eastAsia="宋体" w:cs="宋体"/>
                <w:bCs/>
                <w:color w:val="auto"/>
                <w:spacing w:val="0"/>
                <w:kern w:val="2"/>
                <w:sz w:val="24"/>
                <w:szCs w:val="24"/>
                <w:highlight w:val="none"/>
                <w:lang w:val="zh-CN" w:eastAsia="zh-CN"/>
              </w:rPr>
              <w:t>.</w:t>
            </w:r>
            <w:r>
              <w:rPr>
                <w:rFonts w:hint="eastAsia" w:ascii="宋体" w:hAnsi="宋体" w:eastAsia="宋体" w:cs="宋体"/>
                <w:bCs/>
                <w:color w:val="auto"/>
                <w:spacing w:val="0"/>
                <w:kern w:val="2"/>
                <w:sz w:val="24"/>
                <w:szCs w:val="24"/>
                <w:highlight w:val="none"/>
                <w:lang w:val="zh-CN"/>
              </w:rPr>
              <w:t>本项目的特定资格要求：</w:t>
            </w:r>
          </w:p>
          <w:p w14:paraId="1E852F2D">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24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rPr>
              <w:t xml:space="preserve">3.1 </w:t>
            </w:r>
            <w:r>
              <w:rPr>
                <w:rFonts w:hint="eastAsia" w:ascii="宋体" w:hAnsi="宋体" w:eastAsia="宋体" w:cs="宋体"/>
                <w:color w:val="auto"/>
                <w:spacing w:val="0"/>
                <w:position w:val="13"/>
                <w:sz w:val="24"/>
                <w:szCs w:val="24"/>
                <w:highlight w:val="none"/>
                <w:lang w:eastAsia="zh-CN"/>
              </w:rPr>
              <w:t>供应商</w:t>
            </w:r>
            <w:r>
              <w:rPr>
                <w:rFonts w:hint="eastAsia" w:ascii="宋体" w:hAnsi="宋体" w:eastAsia="宋体" w:cs="宋体"/>
                <w:color w:val="auto"/>
                <w:spacing w:val="0"/>
                <w:position w:val="13"/>
                <w:sz w:val="24"/>
                <w:szCs w:val="24"/>
                <w:highlight w:val="none"/>
              </w:rPr>
              <w:t>具有独立法人资格，具有有效的营业执照，具备建设行政主管部门核发的</w:t>
            </w:r>
            <w:r>
              <w:rPr>
                <w:rFonts w:hint="eastAsia" w:ascii="宋体" w:hAnsi="宋体" w:eastAsia="宋体" w:cs="宋体"/>
                <w:color w:val="auto"/>
                <w:spacing w:val="0"/>
                <w:position w:val="13"/>
                <w:sz w:val="24"/>
                <w:szCs w:val="24"/>
                <w:highlight w:val="none"/>
                <w:lang w:eastAsia="zh-CN"/>
              </w:rPr>
              <w:t>建筑工程施工总承包叁级（含叁级）</w:t>
            </w:r>
            <w:r>
              <w:rPr>
                <w:rFonts w:hint="eastAsia" w:ascii="宋体" w:hAnsi="宋体" w:eastAsia="宋体" w:cs="宋体"/>
                <w:color w:val="auto"/>
                <w:spacing w:val="0"/>
                <w:position w:val="13"/>
                <w:sz w:val="24"/>
                <w:szCs w:val="24"/>
                <w:highlight w:val="none"/>
              </w:rPr>
              <w:t>及以上资质，(注:1.在住房和城乡建设部网站已公告通过延续的建筑业</w:t>
            </w:r>
            <w:r>
              <w:rPr>
                <w:rFonts w:hint="eastAsia" w:ascii="宋体" w:hAnsi="宋体" w:eastAsia="宋体" w:cs="宋体"/>
                <w:color w:val="auto"/>
                <w:spacing w:val="0"/>
                <w:position w:val="13"/>
                <w:sz w:val="24"/>
                <w:szCs w:val="24"/>
                <w:highlight w:val="none"/>
                <w:lang w:eastAsia="zh-CN"/>
              </w:rPr>
              <w:t>企业</w:t>
            </w:r>
            <w:r>
              <w:rPr>
                <w:rFonts w:hint="eastAsia" w:ascii="宋体" w:hAnsi="宋体" w:eastAsia="宋体" w:cs="宋体"/>
                <w:color w:val="auto"/>
                <w:spacing w:val="0"/>
                <w:position w:val="13"/>
                <w:sz w:val="24"/>
                <w:szCs w:val="24"/>
                <w:highlight w:val="none"/>
              </w:rPr>
              <w:t>，可以正常参加招投标活动。企业在投标文件中提供住房和城乡建设部网站关于核准建设工程企业资质延续名单公告的截图，即视为该企业资质延续有效，可正常参与投标。2.根据《吉林省住房和城乡建设厅关于建筑业企业资质延续有关事宜的通知》(吉建管(2023)23号)文件要求，吉林省住建厅核发建筑业企业三级总承包、三级专业承包资质，自2024年7月1日起，原资质许可机关不再受理资质换证申请，相应证书逾期自动作废。3.其他省(市)核发的资质涉及有效期届满有效期延续问题的，按照当地建设行政主管部门文件执行。投标文件内须提供当地住房和城乡建设部门官方网站发布的准予延期的文件截图及网址，否则不予认定)具有有效的安全生产许可证，并在人员、设备、资金等方面具有相应的施工能力。</w:t>
            </w:r>
          </w:p>
          <w:p w14:paraId="4C64E600">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24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eastAsia="zh-CN"/>
              </w:rPr>
            </w:pPr>
            <w:r>
              <w:rPr>
                <w:rFonts w:hint="eastAsia" w:ascii="宋体" w:hAnsi="宋体" w:eastAsia="宋体" w:cs="宋体"/>
                <w:color w:val="auto"/>
                <w:spacing w:val="0"/>
                <w:position w:val="13"/>
                <w:sz w:val="24"/>
                <w:szCs w:val="24"/>
                <w:highlight w:val="none"/>
              </w:rPr>
              <w:t xml:space="preserve">3.2 </w:t>
            </w:r>
            <w:r>
              <w:rPr>
                <w:rFonts w:hint="eastAsia" w:ascii="宋体" w:hAnsi="宋体" w:eastAsia="宋体" w:cs="宋体"/>
                <w:color w:val="auto"/>
                <w:spacing w:val="0"/>
                <w:position w:val="13"/>
                <w:sz w:val="24"/>
                <w:szCs w:val="24"/>
                <w:highlight w:val="none"/>
                <w:lang w:eastAsia="zh-CN"/>
              </w:rPr>
              <w:t>项目管理机构：</w:t>
            </w:r>
          </w:p>
          <w:p w14:paraId="2F4E914E">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24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rPr>
            </w:pPr>
            <w:r>
              <w:rPr>
                <w:rFonts w:hint="eastAsia" w:ascii="宋体" w:hAnsi="宋体" w:eastAsia="宋体" w:cs="宋体"/>
                <w:color w:val="auto"/>
                <w:spacing w:val="0"/>
                <w:position w:val="13"/>
                <w:sz w:val="24"/>
                <w:szCs w:val="24"/>
                <w:highlight w:val="none"/>
              </w:rPr>
              <w:t>项目经理：投标人拟派项目经理须具备建设行政主管部门核发的</w:t>
            </w:r>
            <w:r>
              <w:rPr>
                <w:rFonts w:hint="eastAsia" w:ascii="宋体" w:hAnsi="宋体" w:eastAsia="宋体" w:cs="宋体"/>
                <w:color w:val="auto"/>
                <w:spacing w:val="0"/>
                <w:position w:val="13"/>
                <w:sz w:val="24"/>
                <w:szCs w:val="24"/>
                <w:highlight w:val="none"/>
                <w:lang w:eastAsia="zh-CN"/>
              </w:rPr>
              <w:t>建筑工程</w:t>
            </w:r>
            <w:r>
              <w:rPr>
                <w:rFonts w:hint="eastAsia" w:ascii="宋体" w:hAnsi="宋体" w:eastAsia="宋体" w:cs="宋体"/>
                <w:color w:val="auto"/>
                <w:spacing w:val="0"/>
                <w:position w:val="13"/>
                <w:sz w:val="24"/>
                <w:szCs w:val="24"/>
                <w:highlight w:val="none"/>
              </w:rPr>
              <w:t>专业贰级（含贰级）及以上注册建造师执业资格，具备有效的安全生产考核合格证书(B类)</w:t>
            </w:r>
            <w:r>
              <w:rPr>
                <w:rFonts w:hint="eastAsia" w:ascii="宋体" w:hAnsi="宋体" w:eastAsia="宋体" w:cs="宋体"/>
                <w:color w:val="auto"/>
                <w:spacing w:val="0"/>
                <w:position w:val="13"/>
                <w:sz w:val="24"/>
                <w:szCs w:val="24"/>
                <w:highlight w:val="none"/>
                <w:lang w:val="en-US" w:eastAsia="zh-CN"/>
              </w:rPr>
              <w:t>及个人社保证明材料（个人社保时间要求：2026年度任意一个月）</w:t>
            </w:r>
            <w:r>
              <w:rPr>
                <w:rFonts w:hint="eastAsia" w:ascii="宋体" w:hAnsi="宋体" w:eastAsia="宋体" w:cs="宋体"/>
                <w:color w:val="auto"/>
                <w:spacing w:val="0"/>
                <w:position w:val="13"/>
                <w:sz w:val="24"/>
                <w:szCs w:val="24"/>
                <w:highlight w:val="none"/>
              </w:rPr>
              <w:t>，且未担任其他在施建设工程项目的项目经理。</w:t>
            </w:r>
          </w:p>
          <w:p w14:paraId="088D5EB1">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24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rPr>
              <w:t>其他人员要求：拟派出的技术负责人须具备相关专业中级（含）以上的技术职称，且施工员、质量员、安全员人员</w:t>
            </w:r>
            <w:r>
              <w:rPr>
                <w:rFonts w:hint="eastAsia" w:ascii="宋体" w:hAnsi="宋体" w:eastAsia="宋体" w:cs="宋体"/>
                <w:color w:val="auto"/>
                <w:spacing w:val="0"/>
                <w:position w:val="13"/>
                <w:sz w:val="24"/>
                <w:szCs w:val="24"/>
                <w:highlight w:val="none"/>
                <w:lang w:eastAsia="zh-CN"/>
              </w:rPr>
              <w:t>配备</w:t>
            </w:r>
            <w:r>
              <w:rPr>
                <w:rFonts w:hint="eastAsia" w:ascii="宋体" w:hAnsi="宋体" w:eastAsia="宋体" w:cs="宋体"/>
                <w:color w:val="auto"/>
                <w:spacing w:val="0"/>
                <w:position w:val="13"/>
                <w:sz w:val="24"/>
                <w:szCs w:val="24"/>
                <w:highlight w:val="none"/>
              </w:rPr>
              <w:t>齐全</w:t>
            </w:r>
            <w:r>
              <w:rPr>
                <w:rFonts w:hint="eastAsia" w:ascii="宋体" w:hAnsi="宋体" w:eastAsia="宋体" w:cs="宋体"/>
                <w:color w:val="auto"/>
                <w:spacing w:val="0"/>
                <w:position w:val="13"/>
                <w:sz w:val="24"/>
                <w:szCs w:val="24"/>
                <w:highlight w:val="none"/>
                <w:lang w:val="en-US" w:eastAsia="zh-CN"/>
              </w:rPr>
              <w:t>,提供岗位证书及个人社保证明材料（个人社保时间要求：2026年度任意一个月）</w:t>
            </w:r>
          </w:p>
          <w:p w14:paraId="10B42B5E">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24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3.3 信誉要求：（1）拒绝列入政府取消投标资格记录期间的企业或个人投标。（2）未被工商行政管理机关在全国企业信用信息公示系统（www.gsxt.gov.cn）中列入严重违法失信企业名单。（3）供应商应通过“信用中国”网站（www.creditchina.gov.cn）、中国政府采购网（www.ccgp.gov.cn）等渠道查询信用记录。对列入失信被执行人、重大税收违法案件当事人名单、政府采购严重违法失信行为记录名单及其他不符合《中华人民共和国政府采购法》第二十二条规定条件的供应商，拒绝其参与政府采购活动。（4）供应商和其法定代表人及拟委派的项目经理（2023年1月1日至投标截止前10日内）未在“中国裁判文书网”（wenshu.court.gov.cn）上有行贿犯罪行为。</w:t>
            </w:r>
          </w:p>
          <w:p w14:paraId="02FDBA05">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24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3.4 与采购人存在利害关系可能影响招标公正性的法人、其他组织或者个人，不得参加投标。单位负责人为同一人或者存在控股、管理关系的不同单位，不得参加同一标段投标，否则相关投标均无效；</w:t>
            </w:r>
          </w:p>
          <w:p w14:paraId="3B0A2474">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24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lang w:val="en-US" w:eastAsia="zh-CN"/>
              </w:rPr>
              <w:t>3.5 招投标过程中，投标供应商所提供的所有证件均需在有效期内且注册单位名称与投标供应商的名称一致，如企业名称发生变更，需提供主管部门出具的变更证明材料，否则不接受其投标供应商参与本次招标项目的磋商。</w:t>
            </w:r>
          </w:p>
          <w:p w14:paraId="31B643CD">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240" w:lineRule="auto"/>
              <w:ind w:left="0" w:leftChars="0" w:right="0" w:firstLine="480" w:firstLineChars="200"/>
              <w:textAlignment w:val="baseline"/>
              <w:rPr>
                <w:rFonts w:hint="eastAsia" w:ascii="宋体" w:hAnsi="宋体" w:eastAsia="宋体" w:cs="宋体"/>
                <w:color w:val="auto"/>
                <w:spacing w:val="0"/>
                <w:position w:val="13"/>
                <w:sz w:val="24"/>
                <w:szCs w:val="24"/>
                <w:highlight w:val="none"/>
                <w:lang w:val="en-US" w:eastAsia="zh-CN"/>
              </w:rPr>
            </w:pPr>
            <w:r>
              <w:rPr>
                <w:rFonts w:hint="eastAsia" w:ascii="宋体" w:hAnsi="宋体" w:eastAsia="宋体" w:cs="宋体"/>
                <w:color w:val="auto"/>
                <w:spacing w:val="0"/>
                <w:position w:val="13"/>
                <w:sz w:val="24"/>
                <w:szCs w:val="24"/>
                <w:highlight w:val="none"/>
              </w:rPr>
              <w:t>3.</w:t>
            </w:r>
            <w:r>
              <w:rPr>
                <w:rFonts w:hint="eastAsia" w:ascii="宋体" w:hAnsi="宋体" w:eastAsia="宋体" w:cs="宋体"/>
                <w:color w:val="auto"/>
                <w:spacing w:val="0"/>
                <w:position w:val="13"/>
                <w:sz w:val="24"/>
                <w:szCs w:val="24"/>
                <w:highlight w:val="none"/>
                <w:lang w:val="en-US" w:eastAsia="zh-CN"/>
              </w:rPr>
              <w:t>6近年财务状况：财务状况良好，提供近三年（2023年度、2024年度、2025年度）经会计师事务所审计的财务审计报告（成立不足三年企业提供就近年份的，2026新成立公司提供财务状况良好承诺书）</w:t>
            </w:r>
          </w:p>
          <w:p w14:paraId="16F9F01C">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240" w:lineRule="auto"/>
              <w:ind w:left="0" w:leftChars="0" w:right="0" w:firstLine="480" w:firstLineChars="200"/>
              <w:textAlignment w:val="baseline"/>
              <w:rPr>
                <w:rFonts w:hint="eastAsia" w:ascii="宋体" w:hAnsi="宋体" w:eastAsia="宋体" w:cs="宋体"/>
                <w:bCs/>
                <w:color w:val="auto"/>
                <w:spacing w:val="0"/>
                <w:kern w:val="2"/>
                <w:sz w:val="24"/>
                <w:szCs w:val="24"/>
                <w:highlight w:val="none"/>
                <w:lang w:val="zh-CN"/>
              </w:rPr>
            </w:pPr>
            <w:r>
              <w:rPr>
                <w:rFonts w:hint="eastAsia" w:ascii="宋体" w:hAnsi="宋体" w:eastAsia="宋体" w:cs="宋体"/>
                <w:color w:val="auto"/>
                <w:spacing w:val="0"/>
                <w:position w:val="13"/>
                <w:sz w:val="24"/>
                <w:szCs w:val="24"/>
                <w:highlight w:val="none"/>
                <w:lang w:val="en-US" w:eastAsia="zh-CN"/>
              </w:rPr>
              <w:t>3.7企业依法缴纳税收和社会保障资金的相关材料（时间要求：2026年度任意一个月），依法免税的提供相关证明材料。</w:t>
            </w:r>
          </w:p>
        </w:tc>
      </w:tr>
      <w:tr w14:paraId="6F01A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jc w:val="center"/>
        </w:trPr>
        <w:tc>
          <w:tcPr>
            <w:tcW w:w="687" w:type="dxa"/>
            <w:vAlign w:val="center"/>
          </w:tcPr>
          <w:p w14:paraId="79316A9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snapToGrid w:val="0"/>
                <w:color w:val="auto"/>
                <w:spacing w:val="0"/>
                <w:kern w:val="2"/>
                <w:sz w:val="24"/>
                <w:szCs w:val="24"/>
                <w:highlight w:val="none"/>
                <w:lang w:val="zh-CN" w:eastAsia="en-US" w:bidi="ar-SA"/>
              </w:rPr>
            </w:pPr>
            <w:r>
              <w:rPr>
                <w:rFonts w:hint="eastAsia" w:ascii="宋体" w:hAnsi="宋体" w:eastAsia="宋体" w:cs="宋体"/>
                <w:bCs/>
                <w:color w:val="auto"/>
                <w:spacing w:val="0"/>
                <w:kern w:val="2"/>
                <w:sz w:val="24"/>
                <w:szCs w:val="24"/>
                <w:highlight w:val="none"/>
                <w:lang w:val="zh-CN"/>
              </w:rPr>
              <w:t>14</w:t>
            </w:r>
          </w:p>
        </w:tc>
        <w:tc>
          <w:tcPr>
            <w:tcW w:w="2008" w:type="dxa"/>
            <w:vAlign w:val="center"/>
          </w:tcPr>
          <w:p w14:paraId="1EAF00C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snapToGrid w:val="0"/>
                <w:color w:val="auto"/>
                <w:spacing w:val="0"/>
                <w:kern w:val="2"/>
                <w:sz w:val="24"/>
                <w:szCs w:val="24"/>
                <w:highlight w:val="none"/>
                <w:lang w:val="zh-CN" w:eastAsia="en-US" w:bidi="ar-SA"/>
              </w:rPr>
            </w:pPr>
            <w:r>
              <w:rPr>
                <w:rFonts w:hint="eastAsia" w:ascii="宋体" w:hAnsi="宋体" w:eastAsia="宋体" w:cs="宋体"/>
                <w:bCs/>
                <w:color w:val="auto"/>
                <w:spacing w:val="0"/>
                <w:kern w:val="2"/>
                <w:sz w:val="24"/>
                <w:szCs w:val="24"/>
                <w:highlight w:val="none"/>
                <w:lang w:val="zh-CN"/>
              </w:rPr>
              <w:t>投标预备会</w:t>
            </w:r>
          </w:p>
        </w:tc>
        <w:tc>
          <w:tcPr>
            <w:tcW w:w="6823" w:type="dxa"/>
            <w:vAlign w:val="center"/>
          </w:tcPr>
          <w:p w14:paraId="7C8CB33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snapToGrid w:val="0"/>
                <w:color w:val="auto"/>
                <w:spacing w:val="0"/>
                <w:kern w:val="2"/>
                <w:sz w:val="24"/>
                <w:szCs w:val="24"/>
                <w:highlight w:val="none"/>
                <w:lang w:val="zh-CN" w:eastAsia="zh-CN" w:bidi="ar-SA"/>
              </w:rPr>
            </w:pPr>
            <w:r>
              <w:rPr>
                <w:rFonts w:hint="eastAsia" w:ascii="宋体" w:hAnsi="宋体" w:eastAsia="宋体" w:cs="宋体"/>
                <w:bCs/>
                <w:color w:val="auto"/>
                <w:spacing w:val="0"/>
                <w:kern w:val="2"/>
                <w:sz w:val="24"/>
                <w:szCs w:val="24"/>
                <w:highlight w:val="none"/>
                <w:lang w:val="en-US" w:eastAsia="zh-CN"/>
              </w:rPr>
              <w:t>不召开</w:t>
            </w:r>
          </w:p>
        </w:tc>
      </w:tr>
      <w:tr w14:paraId="07CD6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jc w:val="center"/>
        </w:trPr>
        <w:tc>
          <w:tcPr>
            <w:tcW w:w="687" w:type="dxa"/>
            <w:vAlign w:val="center"/>
          </w:tcPr>
          <w:p w14:paraId="3BA2C88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snapToGrid w:val="0"/>
                <w:color w:val="auto"/>
                <w:spacing w:val="0"/>
                <w:kern w:val="2"/>
                <w:sz w:val="24"/>
                <w:szCs w:val="24"/>
                <w:highlight w:val="none"/>
                <w:lang w:val="zh-CN" w:eastAsia="en-US" w:bidi="ar-SA"/>
              </w:rPr>
            </w:pPr>
            <w:r>
              <w:rPr>
                <w:rFonts w:hint="eastAsia" w:ascii="宋体" w:hAnsi="宋体" w:eastAsia="宋体" w:cs="宋体"/>
                <w:bCs/>
                <w:color w:val="auto"/>
                <w:spacing w:val="0"/>
                <w:kern w:val="2"/>
                <w:sz w:val="24"/>
                <w:szCs w:val="24"/>
                <w:highlight w:val="none"/>
                <w:lang w:val="zh-CN"/>
              </w:rPr>
              <w:t>15</w:t>
            </w:r>
          </w:p>
        </w:tc>
        <w:tc>
          <w:tcPr>
            <w:tcW w:w="2008" w:type="dxa"/>
            <w:vAlign w:val="center"/>
          </w:tcPr>
          <w:p w14:paraId="1F37F82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snapToGrid w:val="0"/>
                <w:color w:val="auto"/>
                <w:spacing w:val="0"/>
                <w:kern w:val="2"/>
                <w:sz w:val="24"/>
                <w:szCs w:val="24"/>
                <w:highlight w:val="none"/>
                <w:lang w:val="zh-CN" w:eastAsia="en-US" w:bidi="ar-SA"/>
              </w:rPr>
            </w:pPr>
            <w:r>
              <w:rPr>
                <w:rFonts w:hint="eastAsia" w:ascii="宋体" w:hAnsi="宋体" w:eastAsia="宋体" w:cs="宋体"/>
                <w:bCs/>
                <w:color w:val="auto"/>
                <w:spacing w:val="0"/>
                <w:kern w:val="2"/>
                <w:sz w:val="24"/>
                <w:szCs w:val="24"/>
                <w:highlight w:val="none"/>
                <w:lang w:val="zh-CN"/>
              </w:rPr>
              <w:t>供应商提出问题的截止时间</w:t>
            </w:r>
          </w:p>
        </w:tc>
        <w:tc>
          <w:tcPr>
            <w:tcW w:w="6823" w:type="dxa"/>
            <w:vAlign w:val="center"/>
          </w:tcPr>
          <w:p w14:paraId="2E5F3CA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响应文件截止时间5日前。</w:t>
            </w:r>
          </w:p>
          <w:p w14:paraId="22BAA72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snapToGrid w:val="0"/>
                <w:color w:val="auto"/>
                <w:spacing w:val="0"/>
                <w:kern w:val="2"/>
                <w:sz w:val="24"/>
                <w:szCs w:val="24"/>
                <w:highlight w:val="none"/>
                <w:lang w:val="zh-CN" w:eastAsia="zh-CN" w:bidi="ar-SA"/>
              </w:rPr>
            </w:pPr>
            <w:r>
              <w:rPr>
                <w:rFonts w:hint="eastAsia" w:ascii="宋体" w:hAnsi="宋体" w:eastAsia="宋体" w:cs="宋体"/>
                <w:bCs/>
                <w:color w:val="auto"/>
                <w:spacing w:val="0"/>
                <w:kern w:val="2"/>
                <w:sz w:val="24"/>
                <w:szCs w:val="24"/>
                <w:highlight w:val="none"/>
                <w:lang w:val="en-US" w:eastAsia="zh-CN"/>
              </w:rPr>
              <w:t>形式：网上提交，在“政采云”平台（https://www.zcygov.cn/）上提交。同时电话通知代理机构，若供应商未按规定提出，则视为其无疑问。</w:t>
            </w:r>
          </w:p>
        </w:tc>
      </w:tr>
      <w:tr w14:paraId="7347B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jc w:val="center"/>
        </w:trPr>
        <w:tc>
          <w:tcPr>
            <w:tcW w:w="687" w:type="dxa"/>
            <w:vAlign w:val="center"/>
          </w:tcPr>
          <w:p w14:paraId="5F24847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rPr>
              <w:t>16</w:t>
            </w:r>
          </w:p>
        </w:tc>
        <w:tc>
          <w:tcPr>
            <w:tcW w:w="2008" w:type="dxa"/>
            <w:vAlign w:val="center"/>
          </w:tcPr>
          <w:p w14:paraId="00C7222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rPr>
              <w:t>采购人书面澄清或者修改的时间</w:t>
            </w:r>
          </w:p>
        </w:tc>
        <w:tc>
          <w:tcPr>
            <w:tcW w:w="6823" w:type="dxa"/>
            <w:vAlign w:val="center"/>
          </w:tcPr>
          <w:p w14:paraId="308E76B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zh-CN"/>
              </w:rPr>
              <w:t>响应文件截止时间5日前网上发布，在“政采云”平台（https://www.zcygov.cn/）上发布</w:t>
            </w:r>
          </w:p>
        </w:tc>
      </w:tr>
      <w:tr w14:paraId="7F241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jc w:val="center"/>
        </w:trPr>
        <w:tc>
          <w:tcPr>
            <w:tcW w:w="687" w:type="dxa"/>
            <w:vAlign w:val="center"/>
          </w:tcPr>
          <w:p w14:paraId="5BAEA28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rPr>
              <w:t>17</w:t>
            </w:r>
          </w:p>
        </w:tc>
        <w:tc>
          <w:tcPr>
            <w:tcW w:w="2008" w:type="dxa"/>
            <w:vAlign w:val="center"/>
          </w:tcPr>
          <w:p w14:paraId="775C4DD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rPr>
              <w:t>磋商保证金</w:t>
            </w:r>
          </w:p>
        </w:tc>
        <w:tc>
          <w:tcPr>
            <w:tcW w:w="6823" w:type="dxa"/>
            <w:vAlign w:val="top"/>
          </w:tcPr>
          <w:p w14:paraId="6897CF5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√否：（依据《松原市优化提升营商环境建设60条》和《关于印发&lt;松原市政府集中采购目录及标准&gt;的通知》（松财办〔2021〕186号）要求，预算金额在500万元以下的政府采购项目，不收取投标保证金。）</w:t>
            </w:r>
          </w:p>
        </w:tc>
      </w:tr>
      <w:tr w14:paraId="7EBB4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jc w:val="center"/>
        </w:trPr>
        <w:tc>
          <w:tcPr>
            <w:tcW w:w="687" w:type="dxa"/>
            <w:vAlign w:val="top"/>
          </w:tcPr>
          <w:p w14:paraId="721D7EB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18</w:t>
            </w:r>
          </w:p>
        </w:tc>
        <w:tc>
          <w:tcPr>
            <w:tcW w:w="2008" w:type="dxa"/>
            <w:vAlign w:val="center"/>
          </w:tcPr>
          <w:p w14:paraId="715063C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采购预算</w:t>
            </w:r>
          </w:p>
          <w:p w14:paraId="2F86E62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（最高投标限价）</w:t>
            </w:r>
          </w:p>
        </w:tc>
        <w:tc>
          <w:tcPr>
            <w:tcW w:w="6823" w:type="dxa"/>
            <w:vAlign w:val="top"/>
          </w:tcPr>
          <w:p w14:paraId="485DA6C4">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right="0"/>
              <w:textAlignment w:val="baseline"/>
              <w:rPr>
                <w:rFonts w:hint="eastAsia" w:ascii="宋体" w:hAnsi="宋体" w:eastAsia="宋体" w:cs="宋体"/>
                <w:color w:val="auto"/>
                <w:spacing w:val="0"/>
                <w:position w:val="13"/>
                <w:sz w:val="24"/>
                <w:szCs w:val="24"/>
                <w:highlight w:val="none"/>
                <w:lang w:eastAsia="zh-CN"/>
              </w:rPr>
            </w:pPr>
            <w:r>
              <w:rPr>
                <w:rFonts w:hint="eastAsia" w:ascii="宋体" w:hAnsi="宋体" w:eastAsia="宋体" w:cs="宋体"/>
                <w:color w:val="auto"/>
                <w:spacing w:val="0"/>
                <w:position w:val="13"/>
                <w:sz w:val="24"/>
                <w:szCs w:val="24"/>
                <w:highlight w:val="none"/>
              </w:rPr>
              <w:t>预算金额：</w:t>
            </w:r>
            <w:r>
              <w:rPr>
                <w:rFonts w:hint="eastAsia" w:ascii="宋体" w:hAnsi="宋体" w:eastAsia="宋体" w:cs="宋体"/>
                <w:color w:val="auto"/>
                <w:spacing w:val="0"/>
                <w:position w:val="13"/>
                <w:sz w:val="24"/>
                <w:szCs w:val="24"/>
                <w:highlight w:val="none"/>
                <w:lang w:val="en-US" w:eastAsia="zh-CN"/>
              </w:rPr>
              <w:t>902643.00元</w:t>
            </w:r>
            <w:r>
              <w:rPr>
                <w:rFonts w:hint="eastAsia" w:ascii="宋体" w:hAnsi="宋体" w:eastAsia="宋体" w:cs="宋体"/>
                <w:color w:val="auto"/>
                <w:spacing w:val="0"/>
                <w:position w:val="13"/>
                <w:sz w:val="24"/>
                <w:szCs w:val="24"/>
                <w:highlight w:val="none"/>
                <w:lang w:eastAsia="zh-CN"/>
              </w:rPr>
              <w:t>。</w:t>
            </w:r>
          </w:p>
          <w:p w14:paraId="16B12DD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en-US"/>
              </w:rPr>
              <w:t>磋商报价（首次报价及最后报价）不得超过最高投标限价，超过最高投标限价为不实质性响应磋商文件，响应文件无效。</w:t>
            </w:r>
          </w:p>
        </w:tc>
      </w:tr>
      <w:tr w14:paraId="72381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687" w:type="dxa"/>
            <w:vAlign w:val="center"/>
          </w:tcPr>
          <w:p w14:paraId="22A7D50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19</w:t>
            </w:r>
          </w:p>
        </w:tc>
        <w:tc>
          <w:tcPr>
            <w:tcW w:w="2008" w:type="dxa"/>
            <w:vAlign w:val="center"/>
          </w:tcPr>
          <w:p w14:paraId="57693C0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磋商有效期</w:t>
            </w:r>
          </w:p>
        </w:tc>
        <w:tc>
          <w:tcPr>
            <w:tcW w:w="6823" w:type="dxa"/>
            <w:vAlign w:val="center"/>
          </w:tcPr>
          <w:p w14:paraId="0F5D732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zh-CN" w:eastAsia="en-US"/>
              </w:rPr>
              <w:t>响应文件递交截止之日后</w:t>
            </w:r>
            <w:r>
              <w:rPr>
                <w:rFonts w:hint="eastAsia" w:ascii="宋体" w:hAnsi="宋体" w:eastAsia="宋体" w:cs="宋体"/>
                <w:bCs/>
                <w:color w:val="auto"/>
                <w:spacing w:val="0"/>
                <w:kern w:val="2"/>
                <w:sz w:val="24"/>
                <w:szCs w:val="24"/>
                <w:highlight w:val="none"/>
                <w:lang w:val="en-US" w:eastAsia="zh-CN"/>
              </w:rPr>
              <w:t>90</w:t>
            </w:r>
            <w:r>
              <w:rPr>
                <w:rFonts w:hint="eastAsia" w:ascii="宋体" w:hAnsi="宋体" w:eastAsia="宋体" w:cs="宋体"/>
                <w:bCs/>
                <w:color w:val="auto"/>
                <w:spacing w:val="0"/>
                <w:kern w:val="2"/>
                <w:sz w:val="24"/>
                <w:szCs w:val="24"/>
                <w:highlight w:val="none"/>
                <w:lang w:val="zh-CN" w:eastAsia="en-US"/>
              </w:rPr>
              <w:t>天（日历天）</w:t>
            </w:r>
          </w:p>
        </w:tc>
      </w:tr>
      <w:tr w14:paraId="7F785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687" w:type="dxa"/>
            <w:vAlign w:val="center"/>
          </w:tcPr>
          <w:p w14:paraId="7ACB337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20</w:t>
            </w:r>
          </w:p>
        </w:tc>
        <w:tc>
          <w:tcPr>
            <w:tcW w:w="2008" w:type="dxa"/>
            <w:vAlign w:val="center"/>
          </w:tcPr>
          <w:p w14:paraId="7B5609A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近年完成的类似项目的年份要求</w:t>
            </w:r>
          </w:p>
        </w:tc>
        <w:tc>
          <w:tcPr>
            <w:tcW w:w="6823" w:type="dxa"/>
            <w:vAlign w:val="center"/>
          </w:tcPr>
          <w:p w14:paraId="730455C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zh-CN" w:eastAsia="en-US"/>
              </w:rPr>
              <w:t>202</w:t>
            </w:r>
            <w:r>
              <w:rPr>
                <w:rFonts w:hint="eastAsia" w:ascii="宋体" w:hAnsi="宋体" w:eastAsia="宋体" w:cs="宋体"/>
                <w:bCs/>
                <w:color w:val="auto"/>
                <w:spacing w:val="0"/>
                <w:kern w:val="2"/>
                <w:sz w:val="24"/>
                <w:szCs w:val="24"/>
                <w:highlight w:val="none"/>
                <w:lang w:val="en-US" w:eastAsia="zh-CN"/>
              </w:rPr>
              <w:t>3</w:t>
            </w:r>
            <w:r>
              <w:rPr>
                <w:rFonts w:hint="eastAsia" w:ascii="宋体" w:hAnsi="宋体" w:eastAsia="宋体" w:cs="宋体"/>
                <w:bCs/>
                <w:color w:val="auto"/>
                <w:spacing w:val="0"/>
                <w:kern w:val="2"/>
                <w:sz w:val="24"/>
                <w:szCs w:val="24"/>
                <w:highlight w:val="none"/>
                <w:lang w:val="zh-CN" w:eastAsia="en-US"/>
              </w:rPr>
              <w:t>年至今（合同签订时间应在202</w:t>
            </w:r>
            <w:r>
              <w:rPr>
                <w:rFonts w:hint="eastAsia" w:ascii="宋体" w:hAnsi="宋体" w:eastAsia="宋体" w:cs="宋体"/>
                <w:bCs/>
                <w:color w:val="auto"/>
                <w:spacing w:val="0"/>
                <w:kern w:val="2"/>
                <w:sz w:val="24"/>
                <w:szCs w:val="24"/>
                <w:highlight w:val="none"/>
                <w:lang w:val="en-US" w:eastAsia="zh-CN"/>
              </w:rPr>
              <w:t>3</w:t>
            </w:r>
            <w:r>
              <w:rPr>
                <w:rFonts w:hint="eastAsia" w:ascii="宋体" w:hAnsi="宋体" w:eastAsia="宋体" w:cs="宋体"/>
                <w:bCs/>
                <w:color w:val="auto"/>
                <w:spacing w:val="0"/>
                <w:kern w:val="2"/>
                <w:sz w:val="24"/>
                <w:szCs w:val="24"/>
                <w:highlight w:val="none"/>
                <w:lang w:val="zh-CN" w:eastAsia="en-US"/>
              </w:rPr>
              <w:t>年1月1日之后）</w:t>
            </w:r>
          </w:p>
        </w:tc>
      </w:tr>
      <w:tr w14:paraId="03934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687" w:type="dxa"/>
            <w:vAlign w:val="center"/>
          </w:tcPr>
          <w:p w14:paraId="72030AD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21</w:t>
            </w:r>
          </w:p>
        </w:tc>
        <w:tc>
          <w:tcPr>
            <w:tcW w:w="2008" w:type="dxa"/>
            <w:vAlign w:val="center"/>
          </w:tcPr>
          <w:p w14:paraId="69D65C5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响应文件份数</w:t>
            </w:r>
          </w:p>
        </w:tc>
        <w:tc>
          <w:tcPr>
            <w:tcW w:w="6823" w:type="dxa"/>
            <w:vAlign w:val="top"/>
          </w:tcPr>
          <w:p w14:paraId="0C29D54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default"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en-US"/>
              </w:rPr>
              <w:t>（1）线上：供应商在“政采云”平台（https:</w:t>
            </w: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www.zcygov.cn</w:t>
            </w: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）通过有效数字证书（CA认证）制作的</w:t>
            </w:r>
            <w:r>
              <w:rPr>
                <w:rFonts w:hint="eastAsia" w:ascii="宋体" w:hAnsi="宋体" w:eastAsia="宋体" w:cs="宋体"/>
                <w:bCs/>
                <w:color w:val="auto"/>
                <w:spacing w:val="0"/>
                <w:kern w:val="2"/>
                <w:sz w:val="24"/>
                <w:szCs w:val="24"/>
                <w:highlight w:val="none"/>
                <w:lang w:val="en-US" w:eastAsia="zh-CN"/>
              </w:rPr>
              <w:t>响应</w:t>
            </w:r>
            <w:r>
              <w:rPr>
                <w:rFonts w:hint="eastAsia" w:ascii="宋体" w:hAnsi="宋体" w:eastAsia="宋体" w:cs="宋体"/>
                <w:bCs/>
                <w:color w:val="auto"/>
                <w:spacing w:val="0"/>
                <w:kern w:val="2"/>
                <w:sz w:val="24"/>
                <w:szCs w:val="24"/>
                <w:highlight w:val="none"/>
                <w:lang w:val="en-US" w:eastAsia="en-US"/>
              </w:rPr>
              <w:t>文件1份（此</w:t>
            </w:r>
            <w:r>
              <w:rPr>
                <w:rFonts w:hint="eastAsia" w:ascii="宋体" w:hAnsi="宋体" w:eastAsia="宋体" w:cs="宋体"/>
                <w:bCs/>
                <w:color w:val="auto"/>
                <w:spacing w:val="0"/>
                <w:kern w:val="2"/>
                <w:sz w:val="24"/>
                <w:szCs w:val="24"/>
                <w:highlight w:val="none"/>
                <w:lang w:val="en-US" w:eastAsia="zh-CN"/>
              </w:rPr>
              <w:t>响应</w:t>
            </w:r>
            <w:r>
              <w:rPr>
                <w:rFonts w:hint="eastAsia" w:ascii="宋体" w:hAnsi="宋体" w:eastAsia="宋体" w:cs="宋体"/>
                <w:bCs/>
                <w:color w:val="auto"/>
                <w:spacing w:val="0"/>
                <w:kern w:val="2"/>
                <w:sz w:val="24"/>
                <w:szCs w:val="24"/>
                <w:highlight w:val="none"/>
                <w:lang w:val="en-US" w:eastAsia="en-US"/>
              </w:rPr>
              <w:t>文件应上传至“政采云”平台）</w:t>
            </w:r>
            <w:r>
              <w:rPr>
                <w:rFonts w:hint="eastAsia" w:ascii="宋体" w:hAnsi="宋体" w:eastAsia="宋体" w:cs="宋体"/>
                <w:bCs/>
                <w:color w:val="auto"/>
                <w:spacing w:val="0"/>
                <w:kern w:val="2"/>
                <w:sz w:val="24"/>
                <w:szCs w:val="24"/>
                <w:highlight w:val="none"/>
                <w:lang w:val="en-US" w:eastAsia="zh-CN"/>
              </w:rPr>
              <w:t>。</w:t>
            </w:r>
          </w:p>
        </w:tc>
      </w:tr>
      <w:tr w14:paraId="5394C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87" w:type="dxa"/>
            <w:vAlign w:val="center"/>
          </w:tcPr>
          <w:p w14:paraId="2A9437B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22</w:t>
            </w:r>
          </w:p>
        </w:tc>
        <w:tc>
          <w:tcPr>
            <w:tcW w:w="2008" w:type="dxa"/>
            <w:vAlign w:val="center"/>
          </w:tcPr>
          <w:p w14:paraId="02CB5FE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递交文件地点</w:t>
            </w:r>
          </w:p>
        </w:tc>
        <w:tc>
          <w:tcPr>
            <w:tcW w:w="6823" w:type="dxa"/>
            <w:vAlign w:val="top"/>
          </w:tcPr>
          <w:p w14:paraId="7E920F0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“政采云”平台（http：</w:t>
            </w: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www.zcygov.cn）</w:t>
            </w:r>
          </w:p>
          <w:p w14:paraId="1879F42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zh-CN"/>
              </w:rPr>
              <w:t>投标</w:t>
            </w:r>
            <w:r>
              <w:rPr>
                <w:rFonts w:hint="eastAsia" w:ascii="宋体" w:hAnsi="宋体" w:eastAsia="宋体" w:cs="宋体"/>
                <w:bCs/>
                <w:color w:val="auto"/>
                <w:spacing w:val="0"/>
                <w:kern w:val="2"/>
                <w:sz w:val="24"/>
                <w:szCs w:val="24"/>
                <w:highlight w:val="none"/>
                <w:lang w:val="en-US" w:eastAsia="en-US"/>
              </w:rPr>
              <w:t>截止时间：</w:t>
            </w:r>
            <w:r>
              <w:rPr>
                <w:rFonts w:hint="eastAsia" w:ascii="宋体" w:hAnsi="宋体" w:eastAsia="宋体" w:cs="宋体"/>
                <w:bCs/>
                <w:color w:val="auto"/>
                <w:spacing w:val="0"/>
                <w:kern w:val="2"/>
                <w:sz w:val="24"/>
                <w:szCs w:val="24"/>
                <w:highlight w:val="none"/>
                <w:lang w:val="en-US" w:eastAsia="zh-CN"/>
              </w:rPr>
              <w:t>2026年5月19日14时00分</w:t>
            </w:r>
          </w:p>
          <w:p w14:paraId="42801FB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地点：</w:t>
            </w:r>
            <w:r>
              <w:rPr>
                <w:rFonts w:hint="eastAsia" w:ascii="宋体" w:hAnsi="宋体" w:eastAsia="宋体" w:cs="宋体"/>
                <w:bCs/>
                <w:color w:val="auto"/>
                <w:spacing w:val="0"/>
                <w:kern w:val="2"/>
                <w:sz w:val="24"/>
                <w:szCs w:val="24"/>
                <w:highlight w:val="green"/>
                <w:lang w:val="en-US" w:eastAsia="zh-CN"/>
              </w:rPr>
              <w:t>前郭尔罗斯蒙古族自治县政务服务运行保障中心 4 楼第一开标室（松原市前郭县哈达大街与源江东路交汇金福名居综合楼）</w:t>
            </w:r>
            <w:r>
              <w:rPr>
                <w:rFonts w:hint="eastAsia" w:ascii="宋体" w:hAnsi="宋体" w:eastAsia="宋体" w:cs="宋体"/>
                <w:bCs/>
                <w:color w:val="auto"/>
                <w:spacing w:val="0"/>
                <w:kern w:val="2"/>
                <w:sz w:val="24"/>
                <w:szCs w:val="24"/>
                <w:highlight w:val="none"/>
                <w:lang w:val="en-US" w:eastAsia="zh-CN"/>
              </w:rPr>
              <w:t xml:space="preserve"> </w:t>
            </w:r>
            <w:r>
              <w:rPr>
                <w:rFonts w:hint="eastAsia" w:ascii="宋体" w:hAnsi="宋体" w:eastAsia="宋体" w:cs="宋体"/>
                <w:bCs/>
                <w:color w:val="auto"/>
                <w:spacing w:val="0"/>
                <w:kern w:val="2"/>
                <w:sz w:val="24"/>
                <w:szCs w:val="24"/>
                <w:highlight w:val="none"/>
                <w:lang w:val="en-US" w:eastAsia="en-US"/>
              </w:rPr>
              <w:t> </w:t>
            </w:r>
          </w:p>
          <w:p w14:paraId="2923A92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本项目开标方式为远程开标，供应商不到开标现场。</w:t>
            </w:r>
            <w:r>
              <w:rPr>
                <w:rFonts w:hint="eastAsia" w:ascii="宋体" w:hAnsi="宋体" w:eastAsia="宋体" w:cs="宋体"/>
                <w:bCs/>
                <w:snapToGrid w:val="0"/>
                <w:color w:val="auto"/>
                <w:kern w:val="0"/>
                <w:sz w:val="24"/>
                <w:szCs w:val="24"/>
                <w:highlight w:val="none"/>
                <w:lang w:val="zh-CN"/>
              </w:rPr>
              <w:t>投标人需进行远程解密</w:t>
            </w:r>
            <w:r>
              <w:rPr>
                <w:rFonts w:hint="eastAsia" w:ascii="宋体" w:hAnsi="宋体" w:eastAsia="宋体" w:cs="宋体"/>
                <w:bCs/>
                <w:color w:val="auto"/>
                <w:spacing w:val="0"/>
                <w:kern w:val="2"/>
                <w:sz w:val="24"/>
                <w:szCs w:val="24"/>
                <w:highlight w:val="none"/>
                <w:lang w:val="zh-CN" w:eastAsia="en-US"/>
              </w:rPr>
              <w:t>。</w:t>
            </w:r>
          </w:p>
          <w:p w14:paraId="754F8F4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响应文件提交方式：本项目为全流程电子化项目，通过“政采云”平台（http：//www.zcygov.cn）实行在线电子开标，投标人应先安装“政采云电子交易客户端”（请自行前往“政采云”平台进行下载），并按照本项目竞争性磋商文件和“政采云”平台的要求编制、加密后在提交响应文件截止时间前通过网络上传至“政采云”平台，投标人在“政采云”平台提交电子版响应文件时，请填写参加开标活动经办人联系方式。</w:t>
            </w:r>
          </w:p>
          <w:p w14:paraId="2C4686B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解密方式：投标文件递交截止时间后30分钟内完成解密工作，投标人参与开标会议时，应携带制作响应文件时用来加密的有效数字证书（CA认证）登录“政采云”平台电子开标大厅现场按规定时间对加密的响应文件进行解密。因投标人自身原因未能按时完成解密的，视为逾期未提交响应文件，其投标无效。</w:t>
            </w:r>
          </w:p>
        </w:tc>
      </w:tr>
      <w:tr w14:paraId="4C6A6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687" w:type="dxa"/>
            <w:vAlign w:val="center"/>
          </w:tcPr>
          <w:p w14:paraId="7556D9B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23</w:t>
            </w:r>
          </w:p>
        </w:tc>
        <w:tc>
          <w:tcPr>
            <w:tcW w:w="2008" w:type="dxa"/>
            <w:vAlign w:val="center"/>
          </w:tcPr>
          <w:p w14:paraId="267E645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磋商小组的构成</w:t>
            </w:r>
          </w:p>
        </w:tc>
        <w:tc>
          <w:tcPr>
            <w:tcW w:w="6823" w:type="dxa"/>
            <w:vAlign w:val="top"/>
          </w:tcPr>
          <w:p w14:paraId="6E7A929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en-US"/>
              </w:rPr>
              <w:t>磋商小组构成：</w:t>
            </w:r>
          </w:p>
          <w:p w14:paraId="2A6183A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default"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en-US"/>
              </w:rPr>
              <w:t>相关专家</w:t>
            </w:r>
            <w:r>
              <w:rPr>
                <w:rFonts w:hint="eastAsia" w:ascii="宋体" w:hAnsi="宋体" w:eastAsia="宋体" w:cs="宋体"/>
                <w:bCs/>
                <w:color w:val="auto"/>
                <w:spacing w:val="0"/>
                <w:kern w:val="2"/>
                <w:sz w:val="24"/>
                <w:szCs w:val="24"/>
                <w:highlight w:val="none"/>
                <w:lang w:val="en-US" w:eastAsia="zh-CN"/>
              </w:rPr>
              <w:t>3</w:t>
            </w:r>
            <w:r>
              <w:rPr>
                <w:rFonts w:hint="default" w:ascii="宋体" w:hAnsi="宋体" w:eastAsia="宋体" w:cs="宋体"/>
                <w:bCs/>
                <w:color w:val="auto"/>
                <w:spacing w:val="0"/>
                <w:kern w:val="2"/>
                <w:sz w:val="24"/>
                <w:szCs w:val="24"/>
                <w:highlight w:val="none"/>
                <w:lang w:val="en-US" w:eastAsia="zh-CN"/>
              </w:rPr>
              <w:t>人及以上单数。其中</w:t>
            </w:r>
            <w:r>
              <w:rPr>
                <w:rFonts w:hint="eastAsia" w:ascii="宋体" w:hAnsi="宋体" w:eastAsia="宋体" w:cs="宋体"/>
                <w:bCs/>
                <w:color w:val="auto"/>
                <w:spacing w:val="0"/>
                <w:kern w:val="2"/>
                <w:sz w:val="24"/>
                <w:szCs w:val="24"/>
                <w:highlight w:val="none"/>
                <w:lang w:val="en-US" w:eastAsia="zh-CN"/>
              </w:rPr>
              <w:t>采购人</w:t>
            </w:r>
            <w:r>
              <w:rPr>
                <w:rFonts w:hint="default" w:ascii="宋体" w:hAnsi="宋体" w:eastAsia="宋体" w:cs="宋体"/>
                <w:bCs/>
                <w:color w:val="auto"/>
                <w:spacing w:val="0"/>
                <w:kern w:val="2"/>
                <w:sz w:val="24"/>
                <w:szCs w:val="24"/>
                <w:highlight w:val="none"/>
                <w:lang w:val="en-US" w:eastAsia="zh-CN"/>
              </w:rPr>
              <w:t>的代表1人，专家</w:t>
            </w:r>
            <w:r>
              <w:rPr>
                <w:rFonts w:hint="eastAsia" w:ascii="宋体" w:hAnsi="宋体" w:eastAsia="宋体" w:cs="宋体"/>
                <w:bCs/>
                <w:color w:val="auto"/>
                <w:spacing w:val="0"/>
                <w:kern w:val="2"/>
                <w:sz w:val="24"/>
                <w:szCs w:val="24"/>
                <w:highlight w:val="none"/>
                <w:lang w:val="en-US" w:eastAsia="zh-CN"/>
              </w:rPr>
              <w:t>2</w:t>
            </w:r>
            <w:r>
              <w:rPr>
                <w:rFonts w:hint="default" w:ascii="宋体" w:hAnsi="宋体" w:eastAsia="宋体" w:cs="宋体"/>
                <w:bCs/>
                <w:color w:val="auto"/>
                <w:spacing w:val="0"/>
                <w:kern w:val="2"/>
                <w:sz w:val="24"/>
                <w:szCs w:val="24"/>
                <w:highlight w:val="none"/>
                <w:lang w:val="en-US" w:eastAsia="zh-CN"/>
              </w:rPr>
              <w:t>人。</w:t>
            </w:r>
          </w:p>
          <w:p w14:paraId="3B84920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en-US"/>
              </w:rPr>
              <w:t>评标专家确定方式：从政府采购评审专家库（政采云专家库）内相关专业的专家中随机抽取。</w:t>
            </w:r>
          </w:p>
        </w:tc>
      </w:tr>
      <w:tr w14:paraId="2A325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87" w:type="dxa"/>
            <w:vAlign w:val="center"/>
          </w:tcPr>
          <w:p w14:paraId="77EF3B0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24</w:t>
            </w:r>
          </w:p>
        </w:tc>
        <w:tc>
          <w:tcPr>
            <w:tcW w:w="2008" w:type="dxa"/>
            <w:vAlign w:val="center"/>
          </w:tcPr>
          <w:p w14:paraId="75E7342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是否授权磋商小组确定成交供应商</w:t>
            </w:r>
          </w:p>
        </w:tc>
        <w:tc>
          <w:tcPr>
            <w:tcW w:w="6823" w:type="dxa"/>
            <w:vAlign w:val="center"/>
          </w:tcPr>
          <w:p w14:paraId="05DF303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是</w:t>
            </w:r>
          </w:p>
        </w:tc>
      </w:tr>
      <w:tr w14:paraId="3065C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687" w:type="dxa"/>
            <w:vAlign w:val="center"/>
          </w:tcPr>
          <w:p w14:paraId="4D571AB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25</w:t>
            </w:r>
          </w:p>
        </w:tc>
        <w:tc>
          <w:tcPr>
            <w:tcW w:w="2008" w:type="dxa"/>
            <w:vAlign w:val="center"/>
          </w:tcPr>
          <w:p w14:paraId="624088F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评审方法</w:t>
            </w:r>
          </w:p>
        </w:tc>
        <w:tc>
          <w:tcPr>
            <w:tcW w:w="6823" w:type="dxa"/>
            <w:vAlign w:val="center"/>
          </w:tcPr>
          <w:p w14:paraId="0A3CB10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综合评分法</w:t>
            </w:r>
          </w:p>
        </w:tc>
      </w:tr>
      <w:tr w14:paraId="7B33F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687" w:type="dxa"/>
            <w:vMerge w:val="restart"/>
            <w:vAlign w:val="center"/>
          </w:tcPr>
          <w:p w14:paraId="36C5BFB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26</w:t>
            </w:r>
          </w:p>
        </w:tc>
        <w:tc>
          <w:tcPr>
            <w:tcW w:w="2008" w:type="dxa"/>
            <w:vAlign w:val="center"/>
          </w:tcPr>
          <w:p w14:paraId="3193732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合同方式</w:t>
            </w:r>
          </w:p>
        </w:tc>
        <w:tc>
          <w:tcPr>
            <w:tcW w:w="6823" w:type="dxa"/>
            <w:vAlign w:val="center"/>
          </w:tcPr>
          <w:p w14:paraId="299A5AD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本项目采用固定单价合同。</w:t>
            </w:r>
          </w:p>
        </w:tc>
      </w:tr>
      <w:tr w14:paraId="0E707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jc w:val="center"/>
        </w:trPr>
        <w:tc>
          <w:tcPr>
            <w:tcW w:w="687" w:type="dxa"/>
            <w:vMerge w:val="continue"/>
            <w:vAlign w:val="center"/>
          </w:tcPr>
          <w:p w14:paraId="70A035E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p>
        </w:tc>
        <w:tc>
          <w:tcPr>
            <w:tcW w:w="2008" w:type="dxa"/>
            <w:vAlign w:val="center"/>
          </w:tcPr>
          <w:p w14:paraId="26FB0B5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合同备案管理</w:t>
            </w:r>
          </w:p>
        </w:tc>
        <w:tc>
          <w:tcPr>
            <w:tcW w:w="6823" w:type="dxa"/>
            <w:vAlign w:val="center"/>
          </w:tcPr>
          <w:p w14:paraId="3EC1EBD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成交供应商与采购人签订合同后2日内，将扫描件交于采购代理机构，采购代理机构协助采购人，将政府采购合同在省级以上人民政府部门指定的媒体上公告（政府采购合同中涉及国家秘密、商业秘密的内容除外）。</w:t>
            </w:r>
          </w:p>
        </w:tc>
      </w:tr>
      <w:tr w14:paraId="5686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87" w:type="dxa"/>
            <w:vAlign w:val="center"/>
          </w:tcPr>
          <w:p w14:paraId="5FFFEE7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27</w:t>
            </w:r>
          </w:p>
        </w:tc>
        <w:tc>
          <w:tcPr>
            <w:tcW w:w="2008" w:type="dxa"/>
            <w:vAlign w:val="center"/>
          </w:tcPr>
          <w:p w14:paraId="46B8BDA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付款方式</w:t>
            </w:r>
          </w:p>
        </w:tc>
        <w:tc>
          <w:tcPr>
            <w:tcW w:w="6823" w:type="dxa"/>
            <w:vAlign w:val="center"/>
          </w:tcPr>
          <w:p w14:paraId="61078BA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default"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施工合同中约定</w:t>
            </w:r>
          </w:p>
        </w:tc>
      </w:tr>
      <w:tr w14:paraId="4C566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87" w:type="dxa"/>
            <w:vAlign w:val="center"/>
          </w:tcPr>
          <w:p w14:paraId="26926D8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28</w:t>
            </w:r>
          </w:p>
        </w:tc>
        <w:tc>
          <w:tcPr>
            <w:tcW w:w="2008" w:type="dxa"/>
            <w:vAlign w:val="center"/>
          </w:tcPr>
          <w:p w14:paraId="352E87F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质保期</w:t>
            </w:r>
          </w:p>
        </w:tc>
        <w:tc>
          <w:tcPr>
            <w:tcW w:w="6823" w:type="dxa"/>
            <w:vAlign w:val="center"/>
          </w:tcPr>
          <w:p w14:paraId="2E40F46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施工合同中约定</w:t>
            </w:r>
          </w:p>
        </w:tc>
      </w:tr>
      <w:tr w14:paraId="6787C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687" w:type="dxa"/>
            <w:vAlign w:val="center"/>
          </w:tcPr>
          <w:p w14:paraId="714E303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29</w:t>
            </w:r>
          </w:p>
        </w:tc>
        <w:tc>
          <w:tcPr>
            <w:tcW w:w="2008" w:type="dxa"/>
            <w:vAlign w:val="center"/>
          </w:tcPr>
          <w:p w14:paraId="7A52909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履约担保</w:t>
            </w:r>
          </w:p>
        </w:tc>
        <w:tc>
          <w:tcPr>
            <w:tcW w:w="6823" w:type="dxa"/>
            <w:vAlign w:val="center"/>
          </w:tcPr>
          <w:p w14:paraId="1E6DC42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zh-CN"/>
              </w:rPr>
              <w:t>施工合同中约定</w:t>
            </w:r>
          </w:p>
        </w:tc>
      </w:tr>
      <w:tr w14:paraId="28A73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87" w:type="dxa"/>
            <w:vAlign w:val="center"/>
          </w:tcPr>
          <w:p w14:paraId="57C04A2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30</w:t>
            </w:r>
          </w:p>
        </w:tc>
        <w:tc>
          <w:tcPr>
            <w:tcW w:w="2008" w:type="dxa"/>
            <w:vAlign w:val="center"/>
          </w:tcPr>
          <w:p w14:paraId="58EBC6B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招标代理服务费</w:t>
            </w:r>
          </w:p>
        </w:tc>
        <w:tc>
          <w:tcPr>
            <w:tcW w:w="6823" w:type="dxa"/>
            <w:vAlign w:val="center"/>
          </w:tcPr>
          <w:p w14:paraId="1D15A36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zh-CN" w:eastAsia="en-US"/>
              </w:rPr>
              <w:t>参照计价格[2002]1980号、发改办价格[2003]857号，执行国家发展和改革委员会计价格【2015】299号文件收取代理费用。</w:t>
            </w:r>
          </w:p>
        </w:tc>
      </w:tr>
      <w:tr w14:paraId="47599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87" w:type="dxa"/>
            <w:vAlign w:val="center"/>
          </w:tcPr>
          <w:p w14:paraId="372F9BB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31</w:t>
            </w:r>
          </w:p>
        </w:tc>
        <w:tc>
          <w:tcPr>
            <w:tcW w:w="2008" w:type="dxa"/>
            <w:vAlign w:val="center"/>
          </w:tcPr>
          <w:p w14:paraId="410BA4B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政府采购进口产品的规定</w:t>
            </w:r>
          </w:p>
        </w:tc>
        <w:tc>
          <w:tcPr>
            <w:tcW w:w="6823" w:type="dxa"/>
            <w:vAlign w:val="top"/>
          </w:tcPr>
          <w:p w14:paraId="235618E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按照财政部《政府采购进口产品管理办法》第一章第四条关于“政府采购应当采购本国产品，确需采购进口产品（指通过中国海关报关验放进入中国境内且产自关境外的产品）的，实行审核管理”的规定，招标磋商文件中凡未明确标明采购进口产品的，均为采购本国产品，投标供应商必须投标本国产品，投标进口产品的为无效投标。</w:t>
            </w:r>
          </w:p>
          <w:p w14:paraId="3931120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在中国境内生产或组装的外国品牌产品须标明该产品在中国国内制造厂商名称。</w:t>
            </w:r>
          </w:p>
          <w:p w14:paraId="17ADC8B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sym w:font="Wingdings" w:char="00FE"/>
            </w:r>
            <w:r>
              <w:rPr>
                <w:rFonts w:hint="eastAsia" w:ascii="宋体" w:hAnsi="宋体" w:eastAsia="宋体" w:cs="宋体"/>
                <w:bCs/>
                <w:color w:val="auto"/>
                <w:spacing w:val="0"/>
                <w:kern w:val="2"/>
                <w:sz w:val="24"/>
                <w:szCs w:val="24"/>
                <w:highlight w:val="none"/>
                <w:lang w:val="en-US" w:eastAsia="en-US"/>
              </w:rPr>
              <w:t>本项目拒绝进口产品</w:t>
            </w:r>
          </w:p>
          <w:p w14:paraId="00C585A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□本项目已经财政部门审核同意购买进口产品</w:t>
            </w:r>
          </w:p>
        </w:tc>
      </w:tr>
      <w:tr w14:paraId="26651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87" w:type="dxa"/>
            <w:vAlign w:val="center"/>
          </w:tcPr>
          <w:p w14:paraId="76757E7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32</w:t>
            </w:r>
          </w:p>
        </w:tc>
        <w:tc>
          <w:tcPr>
            <w:tcW w:w="2008" w:type="dxa"/>
            <w:vAlign w:val="center"/>
          </w:tcPr>
          <w:p w14:paraId="1B8D550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政府采购优先采购环境标志产品</w:t>
            </w:r>
          </w:p>
        </w:tc>
        <w:tc>
          <w:tcPr>
            <w:tcW w:w="6823" w:type="dxa"/>
            <w:vAlign w:val="top"/>
          </w:tcPr>
          <w:p w14:paraId="2FB5BFC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采购产品为《环境标志产品政府采购清单》</w:t>
            </w: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第十八期</w:t>
            </w: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内的：</w:t>
            </w:r>
          </w:p>
          <w:p w14:paraId="41FA3A8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1</w:t>
            </w: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采用最低评标价法时，应给予</w:t>
            </w: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%的价格扣除。本项目具体扣除比例为</w:t>
            </w: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w:t>
            </w:r>
            <w:r>
              <w:rPr>
                <w:rFonts w:hint="eastAsia" w:ascii="宋体" w:hAnsi="宋体" w:eastAsia="宋体" w:cs="宋体"/>
                <w:bCs/>
                <w:color w:val="auto"/>
                <w:spacing w:val="0"/>
                <w:kern w:val="2"/>
                <w:sz w:val="24"/>
                <w:szCs w:val="24"/>
                <w:highlight w:val="none"/>
                <w:lang w:val="en-US" w:eastAsia="zh-CN"/>
              </w:rPr>
              <w:t>；</w:t>
            </w:r>
          </w:p>
          <w:p w14:paraId="2349C04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2</w:t>
            </w: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采用综合评分法时，对于技术和价格分，应分别给予总分值3%的加分。本项目具体加分比例分别为：技术</w:t>
            </w: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、价格</w:t>
            </w: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w:t>
            </w:r>
          </w:p>
        </w:tc>
      </w:tr>
      <w:tr w14:paraId="580B3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87" w:type="dxa"/>
            <w:vAlign w:val="center"/>
          </w:tcPr>
          <w:p w14:paraId="63F3959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33</w:t>
            </w:r>
          </w:p>
        </w:tc>
        <w:tc>
          <w:tcPr>
            <w:tcW w:w="2008" w:type="dxa"/>
            <w:vAlign w:val="center"/>
          </w:tcPr>
          <w:p w14:paraId="431731F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政府采购强制采购的节能产品</w:t>
            </w:r>
          </w:p>
        </w:tc>
        <w:tc>
          <w:tcPr>
            <w:tcW w:w="6823" w:type="dxa"/>
            <w:vAlign w:val="top"/>
          </w:tcPr>
          <w:p w14:paraId="185343C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强制采购的节能产品：按照财政部、发展改革委最新发布执行的《节能产品政府采购清单》的规定，《货物需求及技术规格要求》中凡包含强制采购产品的，投标供应商必须提供列入《节能产品政府采购清单》的产品，否则投标无效。</w:t>
            </w:r>
          </w:p>
          <w:p w14:paraId="78AEE08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政府采购强制采购标记*符号的节能产品：</w:t>
            </w:r>
          </w:p>
          <w:p w14:paraId="7A82A11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sym w:font="Wingdings" w:char="00FE"/>
            </w:r>
            <w:r>
              <w:rPr>
                <w:rFonts w:hint="eastAsia" w:ascii="宋体" w:hAnsi="宋体" w:eastAsia="宋体" w:cs="宋体"/>
                <w:bCs/>
                <w:color w:val="auto"/>
                <w:spacing w:val="0"/>
                <w:kern w:val="2"/>
                <w:sz w:val="24"/>
                <w:szCs w:val="24"/>
                <w:highlight w:val="none"/>
                <w:lang w:val="en-US" w:eastAsia="en-US"/>
              </w:rPr>
              <w:t>否</w:t>
            </w:r>
          </w:p>
          <w:p w14:paraId="52498AC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□是，采购《节能产品政府采购清单》内标记*符号的节能产品。</w:t>
            </w:r>
          </w:p>
        </w:tc>
      </w:tr>
      <w:tr w14:paraId="743EF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87" w:type="dxa"/>
            <w:vAlign w:val="center"/>
          </w:tcPr>
          <w:p w14:paraId="4E163FC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34</w:t>
            </w:r>
          </w:p>
        </w:tc>
        <w:tc>
          <w:tcPr>
            <w:tcW w:w="2008" w:type="dxa"/>
            <w:vAlign w:val="center"/>
          </w:tcPr>
          <w:p w14:paraId="1F08332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政府采购优先采购非标记*符号的节能产品</w:t>
            </w:r>
          </w:p>
        </w:tc>
        <w:tc>
          <w:tcPr>
            <w:tcW w:w="6823" w:type="dxa"/>
            <w:vAlign w:val="top"/>
          </w:tcPr>
          <w:p w14:paraId="5BA6036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采购产品为《节能产品政府采购清单》</w:t>
            </w: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第二十期</w:t>
            </w: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内非标记*符号的：</w:t>
            </w:r>
          </w:p>
          <w:p w14:paraId="328CB6A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1</w:t>
            </w: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采用最低评标价法时，应给予</w:t>
            </w: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的价格扣除。本项目具体扣除比例为</w:t>
            </w: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w:t>
            </w:r>
            <w:r>
              <w:rPr>
                <w:rFonts w:hint="eastAsia" w:ascii="宋体" w:hAnsi="宋体" w:eastAsia="宋体" w:cs="宋体"/>
                <w:bCs/>
                <w:color w:val="auto"/>
                <w:spacing w:val="0"/>
                <w:kern w:val="2"/>
                <w:sz w:val="24"/>
                <w:szCs w:val="24"/>
                <w:highlight w:val="none"/>
                <w:lang w:val="en-US" w:eastAsia="zh-CN"/>
              </w:rPr>
              <w:t>；</w:t>
            </w:r>
          </w:p>
          <w:p w14:paraId="6C35F6F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2</w:t>
            </w: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采用综合评分法时，对于技术和价格分，应分别给予总分值3%的加分。本项目具体加分比例分别为：技术</w:t>
            </w: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、价格</w:t>
            </w: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w:t>
            </w:r>
          </w:p>
        </w:tc>
      </w:tr>
      <w:tr w14:paraId="18932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87" w:type="dxa"/>
            <w:vAlign w:val="center"/>
          </w:tcPr>
          <w:p w14:paraId="6A4D1FE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35</w:t>
            </w:r>
          </w:p>
        </w:tc>
        <w:tc>
          <w:tcPr>
            <w:tcW w:w="2008" w:type="dxa"/>
            <w:vAlign w:val="center"/>
          </w:tcPr>
          <w:p w14:paraId="31736D4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政府采购支持中小</w:t>
            </w:r>
          </w:p>
          <w:p w14:paraId="120423C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企业（含监狱企业）</w:t>
            </w:r>
          </w:p>
          <w:p w14:paraId="5E468CE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发展</w:t>
            </w:r>
          </w:p>
        </w:tc>
        <w:tc>
          <w:tcPr>
            <w:tcW w:w="6823" w:type="dxa"/>
            <w:vAlign w:val="top"/>
          </w:tcPr>
          <w:p w14:paraId="5B77449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专门面向中小企业采购。</w:t>
            </w:r>
          </w:p>
          <w:p w14:paraId="44AFEC5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非专门面向中小企业采购：</w:t>
            </w:r>
          </w:p>
          <w:p w14:paraId="018622A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对于小型或微型企业（含监狱企业）参与本项目投标的，符合规定的小微企业报价给予</w:t>
            </w:r>
            <w:r>
              <w:rPr>
                <w:rFonts w:hint="eastAsia" w:ascii="宋体" w:hAnsi="宋体" w:eastAsia="宋体" w:cs="宋体"/>
                <w:bCs/>
                <w:color w:val="auto"/>
                <w:spacing w:val="0"/>
                <w:kern w:val="2"/>
                <w:sz w:val="24"/>
                <w:szCs w:val="24"/>
                <w:highlight w:val="none"/>
                <w:lang w:val="en-US" w:eastAsia="zh-CN"/>
              </w:rPr>
              <w:t>/</w:t>
            </w:r>
            <w:r>
              <w:rPr>
                <w:rFonts w:hint="eastAsia" w:ascii="宋体" w:hAnsi="宋体" w:eastAsia="宋体" w:cs="宋体"/>
                <w:bCs/>
                <w:color w:val="auto"/>
                <w:spacing w:val="0"/>
                <w:kern w:val="2"/>
                <w:sz w:val="24"/>
                <w:szCs w:val="24"/>
                <w:highlight w:val="none"/>
                <w:lang w:val="en-US" w:eastAsia="en-US"/>
              </w:rPr>
              <w:t>%的扣除，用扣除后的价格参加评审。</w:t>
            </w:r>
          </w:p>
          <w:p w14:paraId="1CF34D1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注：1）中小企业参加政府采购活动，按财库</w:t>
            </w:r>
            <w:r>
              <w:rPr>
                <w:rFonts w:hint="eastAsia" w:ascii="宋体" w:hAnsi="宋体" w:eastAsia="宋体" w:cs="宋体"/>
                <w:bCs/>
                <w:color w:val="auto"/>
                <w:spacing w:val="0"/>
                <w:kern w:val="2"/>
                <w:sz w:val="24"/>
                <w:szCs w:val="24"/>
                <w:highlight w:val="none"/>
                <w:lang w:val="en-US" w:eastAsia="zh-CN"/>
              </w:rPr>
              <w:t>〔2020〕46号</w:t>
            </w:r>
            <w:r>
              <w:rPr>
                <w:rFonts w:hint="eastAsia" w:ascii="宋体" w:hAnsi="宋体" w:eastAsia="宋体" w:cs="宋体"/>
                <w:bCs/>
                <w:color w:val="auto"/>
                <w:spacing w:val="0"/>
                <w:kern w:val="2"/>
                <w:sz w:val="24"/>
                <w:szCs w:val="24"/>
                <w:highlight w:val="none"/>
                <w:lang w:val="en-US" w:eastAsia="en-US"/>
              </w:rPr>
              <w:t>的规定及格式提供《中小企业声明函》；</w:t>
            </w:r>
          </w:p>
          <w:p w14:paraId="4137C13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2）监狱企业参加政府采购活动时，应当提供由省级以上监狱管理局、戒毒管理局（含新疆生产建设兵团）出具的属于监狱企业的证明文件。</w:t>
            </w:r>
          </w:p>
        </w:tc>
      </w:tr>
      <w:tr w14:paraId="1FC4B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87" w:type="dxa"/>
            <w:vAlign w:val="center"/>
          </w:tcPr>
          <w:p w14:paraId="3EB41AE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36</w:t>
            </w:r>
          </w:p>
        </w:tc>
        <w:tc>
          <w:tcPr>
            <w:tcW w:w="2008" w:type="dxa"/>
            <w:vAlign w:val="center"/>
          </w:tcPr>
          <w:p w14:paraId="44C1029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对供应商信用信息的查询</w:t>
            </w:r>
          </w:p>
        </w:tc>
        <w:tc>
          <w:tcPr>
            <w:tcW w:w="6823" w:type="dxa"/>
            <w:vAlign w:val="top"/>
          </w:tcPr>
          <w:p w14:paraId="6CD424B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对列入失信被执行人、重大税收违法</w:t>
            </w:r>
            <w:r>
              <w:rPr>
                <w:rFonts w:hint="eastAsia" w:ascii="宋体" w:hAnsi="宋体" w:eastAsia="宋体" w:cs="宋体"/>
                <w:bCs/>
                <w:color w:val="auto"/>
                <w:spacing w:val="0"/>
                <w:kern w:val="2"/>
                <w:sz w:val="24"/>
                <w:szCs w:val="24"/>
                <w:highlight w:val="none"/>
                <w:lang w:val="en-US" w:eastAsia="zh-CN"/>
              </w:rPr>
              <w:t>失信主体名单</w:t>
            </w:r>
            <w:r>
              <w:rPr>
                <w:rFonts w:hint="eastAsia" w:ascii="宋体" w:hAnsi="宋体" w:eastAsia="宋体" w:cs="宋体"/>
                <w:bCs/>
                <w:color w:val="auto"/>
                <w:spacing w:val="0"/>
                <w:kern w:val="2"/>
                <w:sz w:val="24"/>
                <w:szCs w:val="24"/>
                <w:highlight w:val="none"/>
                <w:lang w:val="en-US" w:eastAsia="en-US"/>
              </w:rPr>
              <w:t>、政府采购严重违法失信行为记录名单的</w:t>
            </w:r>
            <w:r>
              <w:rPr>
                <w:rFonts w:hint="eastAsia" w:ascii="宋体" w:hAnsi="宋体" w:eastAsia="宋体" w:cs="宋体"/>
                <w:bCs/>
                <w:color w:val="auto"/>
                <w:spacing w:val="0"/>
                <w:kern w:val="2"/>
                <w:sz w:val="24"/>
                <w:szCs w:val="24"/>
                <w:highlight w:val="none"/>
                <w:lang w:val="en-US" w:eastAsia="zh-CN"/>
              </w:rPr>
              <w:t>供应商，对</w:t>
            </w:r>
            <w:r>
              <w:rPr>
                <w:rFonts w:hint="eastAsia" w:ascii="宋体" w:hAnsi="宋体" w:eastAsia="宋体" w:cs="宋体"/>
                <w:bCs/>
                <w:color w:val="auto"/>
                <w:spacing w:val="0"/>
                <w:kern w:val="2"/>
                <w:sz w:val="24"/>
                <w:szCs w:val="24"/>
                <w:highlight w:val="none"/>
                <w:lang w:val="en-US" w:eastAsia="en-US"/>
              </w:rPr>
              <w:t>投标文件作无效处理。</w:t>
            </w:r>
          </w:p>
        </w:tc>
      </w:tr>
      <w:tr w14:paraId="2F913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687" w:type="dxa"/>
            <w:vAlign w:val="center"/>
          </w:tcPr>
          <w:p w14:paraId="7C5C0FC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37</w:t>
            </w:r>
          </w:p>
        </w:tc>
        <w:tc>
          <w:tcPr>
            <w:tcW w:w="2008" w:type="dxa"/>
            <w:vAlign w:val="center"/>
          </w:tcPr>
          <w:p w14:paraId="1A13620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其他要求</w:t>
            </w:r>
          </w:p>
        </w:tc>
        <w:tc>
          <w:tcPr>
            <w:tcW w:w="6823" w:type="dxa"/>
            <w:vAlign w:val="center"/>
          </w:tcPr>
          <w:p w14:paraId="5CB56B0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zh-CN"/>
              </w:rPr>
              <w:t>1</w:t>
            </w:r>
            <w:r>
              <w:rPr>
                <w:rFonts w:hint="eastAsia" w:ascii="宋体" w:hAnsi="宋体" w:eastAsia="宋体" w:cs="宋体"/>
                <w:bCs/>
                <w:color w:val="auto"/>
                <w:spacing w:val="0"/>
                <w:kern w:val="2"/>
                <w:sz w:val="24"/>
                <w:szCs w:val="24"/>
                <w:highlight w:val="none"/>
                <w:lang w:val="en-US" w:eastAsia="en-US"/>
              </w:rPr>
              <w:t>、严禁转包、违法分包及挂靠等违法行为。转包、违法分包及挂靠认定标准依据住房和城乡建设部关于印发《建筑工程施工转包违法分包等违法行为认定查处管理办法》的通知规定标准执行。</w:t>
            </w:r>
          </w:p>
          <w:p w14:paraId="35279D0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default"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en-US"/>
              </w:rPr>
              <w:t>2、如潜在</w:t>
            </w:r>
            <w:r>
              <w:rPr>
                <w:rFonts w:hint="eastAsia" w:ascii="宋体" w:hAnsi="宋体" w:eastAsia="宋体" w:cs="宋体"/>
                <w:bCs/>
                <w:color w:val="auto"/>
                <w:spacing w:val="0"/>
                <w:kern w:val="2"/>
                <w:sz w:val="24"/>
                <w:szCs w:val="24"/>
                <w:highlight w:val="none"/>
                <w:lang w:val="en-US" w:eastAsia="zh-CN"/>
              </w:rPr>
              <w:t>供应商</w:t>
            </w:r>
            <w:r>
              <w:rPr>
                <w:rFonts w:hint="eastAsia" w:ascii="宋体" w:hAnsi="宋体" w:eastAsia="宋体" w:cs="宋体"/>
                <w:bCs/>
                <w:color w:val="auto"/>
                <w:spacing w:val="0"/>
                <w:kern w:val="2"/>
                <w:sz w:val="24"/>
                <w:szCs w:val="24"/>
                <w:highlight w:val="none"/>
                <w:lang w:val="en-US" w:eastAsia="en-US"/>
              </w:rPr>
              <w:t>或其他利害关</w:t>
            </w:r>
            <w:r>
              <w:rPr>
                <w:rFonts w:hint="eastAsia" w:ascii="宋体" w:hAnsi="宋体" w:eastAsia="宋体" w:cs="宋体"/>
                <w:bCs/>
                <w:color w:val="auto"/>
                <w:spacing w:val="0"/>
                <w:kern w:val="2"/>
                <w:sz w:val="24"/>
                <w:szCs w:val="24"/>
                <w:highlight w:val="none"/>
                <w:lang w:val="en-US" w:eastAsia="zh-CN"/>
              </w:rPr>
              <w:t>系人</w:t>
            </w:r>
            <w:r>
              <w:rPr>
                <w:rFonts w:hint="eastAsia" w:ascii="宋体" w:hAnsi="宋体" w:eastAsia="宋体" w:cs="宋体"/>
                <w:bCs/>
                <w:color w:val="auto"/>
                <w:spacing w:val="0"/>
                <w:kern w:val="2"/>
                <w:sz w:val="24"/>
                <w:szCs w:val="24"/>
                <w:highlight w:val="none"/>
                <w:lang w:val="en-US" w:eastAsia="en-US"/>
              </w:rPr>
              <w:t>对招标文件(或资格预审文件）、开标及评标结果有异议的，应依据《中华人民共和国招标投标法实施条例》第二十二条、第四十四条、第五十四条、第六十条规定，先向</w:t>
            </w:r>
            <w:r>
              <w:rPr>
                <w:rFonts w:hint="eastAsia" w:ascii="宋体" w:hAnsi="宋体" w:eastAsia="宋体" w:cs="宋体"/>
                <w:bCs/>
                <w:color w:val="auto"/>
                <w:spacing w:val="0"/>
                <w:kern w:val="2"/>
                <w:sz w:val="24"/>
                <w:szCs w:val="24"/>
                <w:highlight w:val="none"/>
                <w:lang w:val="en-US" w:eastAsia="zh-CN"/>
              </w:rPr>
              <w:t>采购人</w:t>
            </w:r>
            <w:r>
              <w:rPr>
                <w:rFonts w:hint="eastAsia" w:ascii="宋体" w:hAnsi="宋体" w:eastAsia="宋体" w:cs="宋体"/>
                <w:bCs/>
                <w:color w:val="auto"/>
                <w:spacing w:val="0"/>
                <w:kern w:val="2"/>
                <w:sz w:val="24"/>
                <w:szCs w:val="24"/>
                <w:highlight w:val="none"/>
                <w:lang w:val="en-US" w:eastAsia="en-US"/>
              </w:rPr>
              <w:t>提出异议。</w:t>
            </w:r>
          </w:p>
        </w:tc>
      </w:tr>
      <w:tr w14:paraId="24116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87" w:type="dxa"/>
            <w:vAlign w:val="center"/>
          </w:tcPr>
          <w:p w14:paraId="157A3F4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38</w:t>
            </w:r>
          </w:p>
        </w:tc>
        <w:tc>
          <w:tcPr>
            <w:tcW w:w="2008" w:type="dxa"/>
            <w:vAlign w:val="center"/>
          </w:tcPr>
          <w:p w14:paraId="4A7286F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zh-CN" w:eastAsia="en-US"/>
              </w:rPr>
              <w:t>危大工程有关要求</w:t>
            </w:r>
          </w:p>
        </w:tc>
        <w:tc>
          <w:tcPr>
            <w:tcW w:w="6823" w:type="dxa"/>
            <w:vAlign w:val="center"/>
          </w:tcPr>
          <w:p w14:paraId="2A380D3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严格执行《危险性较大的分部分项工程安全管理规定》（建设部令第37号）和《住房城乡建设部办公厅关于实施&lt;危险性较大的分部分项工程安全管理规定&gt;有关问题的通知》（建办质〔20</w:t>
            </w:r>
            <w:r>
              <w:rPr>
                <w:rFonts w:hint="eastAsia" w:ascii="宋体" w:hAnsi="宋体" w:eastAsia="宋体" w:cs="宋体"/>
                <w:bCs/>
                <w:color w:val="auto"/>
                <w:spacing w:val="0"/>
                <w:kern w:val="2"/>
                <w:sz w:val="24"/>
                <w:szCs w:val="24"/>
                <w:highlight w:val="none"/>
                <w:lang w:val="en-US" w:eastAsia="zh-CN"/>
              </w:rPr>
              <w:t>1</w:t>
            </w:r>
            <w:r>
              <w:rPr>
                <w:rFonts w:hint="eastAsia" w:ascii="宋体" w:hAnsi="宋体" w:eastAsia="宋体" w:cs="宋体"/>
                <w:bCs/>
                <w:color w:val="auto"/>
                <w:spacing w:val="0"/>
                <w:kern w:val="2"/>
                <w:sz w:val="24"/>
                <w:szCs w:val="24"/>
                <w:highlight w:val="none"/>
                <w:lang w:val="en-US" w:eastAsia="en-US"/>
              </w:rPr>
              <w:t>8〕31号）文件要求。</w:t>
            </w:r>
          </w:p>
        </w:tc>
      </w:tr>
      <w:tr w14:paraId="13F5E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687" w:type="dxa"/>
            <w:vAlign w:val="center"/>
          </w:tcPr>
          <w:p w14:paraId="343A810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default"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39</w:t>
            </w:r>
          </w:p>
        </w:tc>
        <w:tc>
          <w:tcPr>
            <w:tcW w:w="2008" w:type="dxa"/>
            <w:vAlign w:val="center"/>
          </w:tcPr>
          <w:p w14:paraId="62DA5BD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color w:val="auto"/>
                <w:spacing w:val="0"/>
                <w:sz w:val="24"/>
                <w:szCs w:val="24"/>
                <w:highlight w:val="none"/>
              </w:rPr>
              <w:t>缺陷责任期</w:t>
            </w:r>
          </w:p>
        </w:tc>
        <w:tc>
          <w:tcPr>
            <w:tcW w:w="6823" w:type="dxa"/>
            <w:vAlign w:val="center"/>
          </w:tcPr>
          <w:p w14:paraId="79E73CA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zh-CN"/>
              </w:rPr>
              <w:t>施工合同中约定</w:t>
            </w:r>
          </w:p>
        </w:tc>
      </w:tr>
      <w:tr w14:paraId="5A52E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687" w:type="dxa"/>
            <w:vAlign w:val="center"/>
          </w:tcPr>
          <w:p w14:paraId="51B2EB7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default"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40</w:t>
            </w:r>
          </w:p>
        </w:tc>
        <w:tc>
          <w:tcPr>
            <w:tcW w:w="8831" w:type="dxa"/>
            <w:gridSpan w:val="2"/>
            <w:vAlign w:val="center"/>
          </w:tcPr>
          <w:p w14:paraId="631ED5F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其它补充说明如下：</w:t>
            </w:r>
          </w:p>
        </w:tc>
      </w:tr>
      <w:tr w14:paraId="307F9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9518" w:type="dxa"/>
            <w:gridSpan w:val="3"/>
            <w:vAlign w:val="center"/>
          </w:tcPr>
          <w:p w14:paraId="0EEBADD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施工单位应严格执行《吉林省住房和城乡建设厅关于进一步做好使用预拌砂浆工作的意见》（吉建发</w:t>
            </w:r>
            <w:r>
              <w:rPr>
                <w:rFonts w:hint="eastAsia" w:ascii="宋体" w:hAnsi="宋体" w:eastAsia="宋体" w:cs="宋体"/>
                <w:bCs/>
                <w:color w:val="auto"/>
                <w:spacing w:val="0"/>
                <w:kern w:val="2"/>
                <w:sz w:val="24"/>
                <w:szCs w:val="24"/>
                <w:highlight w:val="none"/>
                <w:lang w:val="en-US" w:eastAsia="zh-CN"/>
              </w:rPr>
              <w:t>〔2019〕3号</w:t>
            </w:r>
            <w:r>
              <w:rPr>
                <w:rFonts w:hint="eastAsia" w:ascii="宋体" w:hAnsi="宋体" w:eastAsia="宋体" w:cs="宋体"/>
                <w:bCs/>
                <w:color w:val="auto"/>
                <w:spacing w:val="0"/>
                <w:kern w:val="2"/>
                <w:sz w:val="24"/>
                <w:szCs w:val="24"/>
                <w:highlight w:val="none"/>
                <w:lang w:val="en-US" w:eastAsia="en-US"/>
              </w:rPr>
              <w:t>）、《吉林省住房和城乡建设厅关于加强预拌砂浆质量管理的通知》（吉建质</w:t>
            </w:r>
            <w:r>
              <w:rPr>
                <w:rFonts w:hint="eastAsia" w:ascii="宋体" w:hAnsi="宋体" w:eastAsia="宋体" w:cs="宋体"/>
                <w:bCs/>
                <w:color w:val="auto"/>
                <w:spacing w:val="0"/>
                <w:kern w:val="2"/>
                <w:sz w:val="24"/>
                <w:szCs w:val="24"/>
                <w:highlight w:val="none"/>
                <w:lang w:val="en-US" w:eastAsia="zh-CN"/>
              </w:rPr>
              <w:t>〔2020〕6号</w:t>
            </w:r>
            <w:r>
              <w:rPr>
                <w:rFonts w:hint="eastAsia" w:ascii="宋体" w:hAnsi="宋体" w:eastAsia="宋体" w:cs="宋体"/>
                <w:bCs/>
                <w:color w:val="auto"/>
                <w:spacing w:val="0"/>
                <w:kern w:val="2"/>
                <w:sz w:val="24"/>
                <w:szCs w:val="24"/>
                <w:highlight w:val="none"/>
                <w:lang w:val="en-US" w:eastAsia="en-US"/>
              </w:rPr>
              <w:t>），本市禁止施工现场</w:t>
            </w:r>
            <w:r>
              <w:rPr>
                <w:rFonts w:hint="eastAsia" w:ascii="宋体" w:hAnsi="宋体" w:eastAsia="宋体" w:cs="宋体"/>
                <w:bCs/>
                <w:color w:val="auto"/>
                <w:spacing w:val="0"/>
                <w:kern w:val="2"/>
                <w:sz w:val="24"/>
                <w:szCs w:val="24"/>
                <w:highlight w:val="none"/>
                <w:lang w:val="en-US" w:eastAsia="zh-CN"/>
              </w:rPr>
              <w:t>预拌砂浆</w:t>
            </w:r>
            <w:r>
              <w:rPr>
                <w:rFonts w:hint="eastAsia" w:ascii="宋体" w:hAnsi="宋体" w:eastAsia="宋体" w:cs="宋体"/>
                <w:bCs/>
                <w:color w:val="auto"/>
                <w:spacing w:val="0"/>
                <w:kern w:val="2"/>
                <w:sz w:val="24"/>
                <w:szCs w:val="24"/>
                <w:highlight w:val="none"/>
                <w:lang w:val="en-US" w:eastAsia="en-US"/>
              </w:rPr>
              <w:t>，加强预拌砂浆生产、进场检验、现场施工管理、</w:t>
            </w:r>
            <w:r>
              <w:rPr>
                <w:rFonts w:hint="eastAsia" w:ascii="宋体" w:hAnsi="宋体" w:eastAsia="宋体" w:cs="宋体"/>
                <w:bCs/>
                <w:color w:val="auto"/>
                <w:spacing w:val="0"/>
                <w:kern w:val="2"/>
                <w:sz w:val="24"/>
                <w:szCs w:val="24"/>
                <w:highlight w:val="none"/>
                <w:lang w:val="en-US" w:eastAsia="zh-CN"/>
              </w:rPr>
              <w:t>检验</w:t>
            </w:r>
            <w:r>
              <w:rPr>
                <w:rFonts w:hint="eastAsia" w:ascii="宋体" w:hAnsi="宋体" w:eastAsia="宋体" w:cs="宋体"/>
                <w:bCs/>
                <w:color w:val="auto"/>
                <w:spacing w:val="0"/>
                <w:kern w:val="2"/>
                <w:sz w:val="24"/>
                <w:szCs w:val="24"/>
                <w:highlight w:val="none"/>
                <w:lang w:val="en-US" w:eastAsia="en-US"/>
              </w:rPr>
              <w:t>验收等环节质量监管，施工单位在投标时补充完善并明确相应的专项施工计划措施。</w:t>
            </w:r>
          </w:p>
        </w:tc>
      </w:tr>
      <w:tr w14:paraId="75A78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9518" w:type="dxa"/>
            <w:gridSpan w:val="3"/>
            <w:vAlign w:val="center"/>
          </w:tcPr>
          <w:p w14:paraId="64C6711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关于不拖欠农民工工资的承诺：根据《保障农民工工资支付条例》（中华人民共和国国务院令第724号）和吉政办发〔2016〕53号文件要求，投标单位需严格执行上述文件并在投标文件中承诺：依法足额支付农民工工资，并对所承包工程项目的农民工工资支付负总责，承诺绝不出现拖欠农民工工资的行为，否则，相关法律责任由投标单位自行承担，具体格式自拟。</w:t>
            </w:r>
          </w:p>
        </w:tc>
      </w:tr>
      <w:tr w14:paraId="29C5C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9518" w:type="dxa"/>
            <w:gridSpan w:val="3"/>
            <w:vAlign w:val="center"/>
          </w:tcPr>
          <w:p w14:paraId="5981516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lang w:val="en-US" w:eastAsia="en-US"/>
              </w:rPr>
            </w:pPr>
            <w:r>
              <w:rPr>
                <w:rFonts w:hint="eastAsia" w:ascii="宋体" w:hAnsi="宋体" w:eastAsia="宋体" w:cs="宋体"/>
                <w:b/>
                <w:bCs/>
                <w:color w:val="auto"/>
                <w:spacing w:val="0"/>
                <w:sz w:val="24"/>
                <w:szCs w:val="24"/>
                <w:highlight w:val="none"/>
                <w:lang w:val="zh-CN"/>
              </w:rPr>
              <w:t>中标人须执行国家及相关行业标准，否则采购人有权要求支付违约金或解除合同。</w:t>
            </w:r>
          </w:p>
        </w:tc>
      </w:tr>
      <w:tr w14:paraId="174A4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9518" w:type="dxa"/>
            <w:gridSpan w:val="3"/>
            <w:vAlign w:val="center"/>
          </w:tcPr>
          <w:p w14:paraId="507A4DD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注意事项：</w:t>
            </w:r>
          </w:p>
          <w:p w14:paraId="556DDB6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1、请各</w:t>
            </w:r>
            <w:r>
              <w:rPr>
                <w:rFonts w:hint="eastAsia" w:ascii="宋体" w:hAnsi="宋体" w:eastAsia="宋体" w:cs="宋体"/>
                <w:bCs/>
                <w:color w:val="auto"/>
                <w:spacing w:val="0"/>
                <w:kern w:val="2"/>
                <w:sz w:val="24"/>
                <w:szCs w:val="24"/>
                <w:highlight w:val="none"/>
                <w:lang w:val="en-US" w:eastAsia="zh-CN"/>
              </w:rPr>
              <w:t>供应商</w:t>
            </w:r>
            <w:r>
              <w:rPr>
                <w:rFonts w:hint="eastAsia" w:ascii="宋体" w:hAnsi="宋体" w:eastAsia="宋体" w:cs="宋体"/>
                <w:bCs/>
                <w:color w:val="auto"/>
                <w:spacing w:val="0"/>
                <w:kern w:val="2"/>
                <w:sz w:val="24"/>
                <w:szCs w:val="24"/>
                <w:highlight w:val="none"/>
                <w:lang w:val="en-US" w:eastAsia="en-US"/>
              </w:rPr>
              <w:t>务必详细阅读本招标文件的全部条款，以减少不必要的失误，否则，由此引起的损失或风险由</w:t>
            </w:r>
            <w:r>
              <w:rPr>
                <w:rFonts w:hint="eastAsia" w:ascii="宋体" w:hAnsi="宋体" w:eastAsia="宋体" w:cs="宋体"/>
                <w:bCs/>
                <w:color w:val="auto"/>
                <w:spacing w:val="0"/>
                <w:kern w:val="2"/>
                <w:sz w:val="24"/>
                <w:szCs w:val="24"/>
                <w:highlight w:val="none"/>
                <w:lang w:val="en-US" w:eastAsia="zh-CN"/>
              </w:rPr>
              <w:t>供应商</w:t>
            </w:r>
            <w:r>
              <w:rPr>
                <w:rFonts w:hint="eastAsia" w:ascii="宋体" w:hAnsi="宋体" w:eastAsia="宋体" w:cs="宋体"/>
                <w:bCs/>
                <w:color w:val="auto"/>
                <w:spacing w:val="0"/>
                <w:kern w:val="2"/>
                <w:sz w:val="24"/>
                <w:szCs w:val="24"/>
                <w:highlight w:val="none"/>
                <w:lang w:val="en-US" w:eastAsia="en-US"/>
              </w:rPr>
              <w:t>自行承担。</w:t>
            </w:r>
          </w:p>
          <w:p w14:paraId="68B32A7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2、中标单位进场施工时，需自行与项目区域内</w:t>
            </w:r>
            <w:r>
              <w:rPr>
                <w:rFonts w:hint="eastAsia" w:ascii="宋体" w:hAnsi="宋体" w:eastAsia="宋体" w:cs="宋体"/>
                <w:bCs/>
                <w:color w:val="auto"/>
                <w:spacing w:val="0"/>
                <w:kern w:val="2"/>
                <w:sz w:val="24"/>
                <w:szCs w:val="24"/>
                <w:highlight w:val="none"/>
                <w:lang w:val="en-US" w:eastAsia="zh-CN"/>
              </w:rPr>
              <w:t>相关</w:t>
            </w:r>
            <w:r>
              <w:rPr>
                <w:rFonts w:hint="eastAsia" w:ascii="宋体" w:hAnsi="宋体" w:eastAsia="宋体" w:cs="宋体"/>
                <w:bCs/>
                <w:color w:val="auto"/>
                <w:spacing w:val="0"/>
                <w:kern w:val="2"/>
                <w:sz w:val="24"/>
                <w:szCs w:val="24"/>
                <w:highlight w:val="none"/>
                <w:lang w:val="en-US" w:eastAsia="en-US"/>
              </w:rPr>
              <w:t>责任单位（如电力、通信公司等单位）做好协调沟通工作，以保证工程所在地居民的供水、供电、网络通信等正常生活需要，否则带来的一切后果由中标方自行承担，与</w:t>
            </w:r>
            <w:r>
              <w:rPr>
                <w:rFonts w:hint="eastAsia" w:ascii="宋体" w:hAnsi="宋体" w:eastAsia="宋体" w:cs="宋体"/>
                <w:bCs/>
                <w:color w:val="auto"/>
                <w:spacing w:val="0"/>
                <w:kern w:val="2"/>
                <w:sz w:val="24"/>
                <w:szCs w:val="24"/>
                <w:highlight w:val="none"/>
                <w:lang w:val="en-US" w:eastAsia="zh-CN"/>
              </w:rPr>
              <w:t>采购人</w:t>
            </w:r>
            <w:r>
              <w:rPr>
                <w:rFonts w:hint="eastAsia" w:ascii="宋体" w:hAnsi="宋体" w:eastAsia="宋体" w:cs="宋体"/>
                <w:bCs/>
                <w:color w:val="auto"/>
                <w:spacing w:val="0"/>
                <w:kern w:val="2"/>
                <w:sz w:val="24"/>
                <w:szCs w:val="24"/>
                <w:highlight w:val="none"/>
                <w:lang w:val="en-US" w:eastAsia="en-US"/>
              </w:rPr>
              <w:t>无关。</w:t>
            </w:r>
          </w:p>
          <w:p w14:paraId="037605B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3、如潜在</w:t>
            </w:r>
            <w:r>
              <w:rPr>
                <w:rFonts w:hint="eastAsia" w:ascii="宋体" w:hAnsi="宋体" w:eastAsia="宋体" w:cs="宋体"/>
                <w:bCs/>
                <w:color w:val="auto"/>
                <w:spacing w:val="0"/>
                <w:kern w:val="2"/>
                <w:sz w:val="24"/>
                <w:szCs w:val="24"/>
                <w:highlight w:val="none"/>
                <w:lang w:val="en-US" w:eastAsia="zh-CN"/>
              </w:rPr>
              <w:t>供应商</w:t>
            </w:r>
            <w:r>
              <w:rPr>
                <w:rFonts w:hint="eastAsia" w:ascii="宋体" w:hAnsi="宋体" w:eastAsia="宋体" w:cs="宋体"/>
                <w:bCs/>
                <w:color w:val="auto"/>
                <w:spacing w:val="0"/>
                <w:kern w:val="2"/>
                <w:sz w:val="24"/>
                <w:szCs w:val="24"/>
                <w:highlight w:val="none"/>
                <w:lang w:val="en-US" w:eastAsia="en-US"/>
              </w:rPr>
              <w:t>或其他利害关</w:t>
            </w:r>
            <w:r>
              <w:rPr>
                <w:rFonts w:hint="eastAsia" w:ascii="宋体" w:hAnsi="宋体" w:eastAsia="宋体" w:cs="宋体"/>
                <w:bCs/>
                <w:color w:val="auto"/>
                <w:spacing w:val="0"/>
                <w:kern w:val="2"/>
                <w:sz w:val="24"/>
                <w:szCs w:val="24"/>
                <w:highlight w:val="none"/>
                <w:lang w:val="en-US" w:eastAsia="zh-CN"/>
              </w:rPr>
              <w:t>系人</w:t>
            </w:r>
            <w:r>
              <w:rPr>
                <w:rFonts w:hint="eastAsia" w:ascii="宋体" w:hAnsi="宋体" w:eastAsia="宋体" w:cs="宋体"/>
                <w:bCs/>
                <w:color w:val="auto"/>
                <w:spacing w:val="0"/>
                <w:kern w:val="2"/>
                <w:sz w:val="24"/>
                <w:szCs w:val="24"/>
                <w:highlight w:val="none"/>
                <w:lang w:val="en-US" w:eastAsia="en-US"/>
              </w:rPr>
              <w:t>对招标文件、开标及评标结果有异议的，应依据《中华人民共和国招标投标法实施条例》第二十二条、第四十四条、第五十四条、第六十条规定，先向</w:t>
            </w:r>
            <w:r>
              <w:rPr>
                <w:rFonts w:hint="eastAsia" w:ascii="宋体" w:hAnsi="宋体" w:eastAsia="宋体" w:cs="宋体"/>
                <w:bCs/>
                <w:color w:val="auto"/>
                <w:spacing w:val="0"/>
                <w:kern w:val="2"/>
                <w:sz w:val="24"/>
                <w:szCs w:val="24"/>
                <w:highlight w:val="none"/>
                <w:lang w:val="en-US" w:eastAsia="zh-CN"/>
              </w:rPr>
              <w:t>采购人</w:t>
            </w:r>
            <w:r>
              <w:rPr>
                <w:rFonts w:hint="eastAsia" w:ascii="宋体" w:hAnsi="宋体" w:eastAsia="宋体" w:cs="宋体"/>
                <w:bCs/>
                <w:color w:val="auto"/>
                <w:spacing w:val="0"/>
                <w:kern w:val="2"/>
                <w:sz w:val="24"/>
                <w:szCs w:val="24"/>
                <w:highlight w:val="none"/>
                <w:lang w:val="en-US" w:eastAsia="en-US"/>
              </w:rPr>
              <w:t>提出异议。</w:t>
            </w:r>
          </w:p>
          <w:p w14:paraId="580EF60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4、投诉人不得以投诉为名，排挤竞争对手，不得进行虚假、恶意投诉，阻碍招标投标活动的正常进行。</w:t>
            </w:r>
          </w:p>
          <w:p w14:paraId="63FE7CA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5、对投标企业有以行贿谋取中标、相互串通投标和以他人名义投标等方式弄虚作假骗取中标的，一经发现，依法严处，列入不良记录。涉嫌犯罪的，移交司法机关处理。</w:t>
            </w:r>
          </w:p>
          <w:p w14:paraId="00DF2DE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en-US"/>
              </w:rPr>
            </w:pPr>
            <w:r>
              <w:rPr>
                <w:rFonts w:hint="eastAsia" w:ascii="宋体" w:hAnsi="宋体" w:eastAsia="宋体" w:cs="宋体"/>
                <w:bCs/>
                <w:color w:val="auto"/>
                <w:spacing w:val="0"/>
                <w:kern w:val="2"/>
                <w:sz w:val="24"/>
                <w:szCs w:val="24"/>
                <w:highlight w:val="none"/>
                <w:lang w:val="en-US" w:eastAsia="en-US"/>
              </w:rPr>
              <w:t>6、</w:t>
            </w:r>
            <w:r>
              <w:rPr>
                <w:rFonts w:hint="eastAsia" w:ascii="宋体" w:hAnsi="宋体" w:eastAsia="宋体" w:cs="宋体"/>
                <w:bCs/>
                <w:color w:val="auto"/>
                <w:spacing w:val="0"/>
                <w:kern w:val="2"/>
                <w:sz w:val="24"/>
                <w:szCs w:val="24"/>
                <w:highlight w:val="none"/>
                <w:lang w:val="en-US" w:eastAsia="zh-CN"/>
              </w:rPr>
              <w:t>采购人</w:t>
            </w:r>
            <w:r>
              <w:rPr>
                <w:rFonts w:hint="eastAsia" w:ascii="宋体" w:hAnsi="宋体" w:eastAsia="宋体" w:cs="宋体"/>
                <w:bCs/>
                <w:color w:val="auto"/>
                <w:spacing w:val="0"/>
                <w:kern w:val="2"/>
                <w:sz w:val="24"/>
                <w:szCs w:val="24"/>
                <w:highlight w:val="none"/>
                <w:lang w:val="en-US" w:eastAsia="en-US"/>
              </w:rPr>
              <w:t>有权核查</w:t>
            </w:r>
            <w:r>
              <w:rPr>
                <w:rFonts w:hint="eastAsia" w:ascii="宋体" w:hAnsi="宋体" w:eastAsia="宋体" w:cs="宋体"/>
                <w:bCs/>
                <w:color w:val="auto"/>
                <w:spacing w:val="0"/>
                <w:kern w:val="2"/>
                <w:sz w:val="24"/>
                <w:szCs w:val="24"/>
                <w:highlight w:val="none"/>
                <w:lang w:val="en-US" w:eastAsia="zh-CN"/>
              </w:rPr>
              <w:t>供应商</w:t>
            </w:r>
            <w:r>
              <w:rPr>
                <w:rFonts w:hint="eastAsia" w:ascii="宋体" w:hAnsi="宋体" w:eastAsia="宋体" w:cs="宋体"/>
                <w:bCs/>
                <w:color w:val="auto"/>
                <w:spacing w:val="0"/>
                <w:kern w:val="2"/>
                <w:sz w:val="24"/>
                <w:szCs w:val="24"/>
                <w:highlight w:val="none"/>
                <w:lang w:val="en-US" w:eastAsia="en-US"/>
              </w:rPr>
              <w:t>在投标文件中提供的材料，若在评标期间发现</w:t>
            </w:r>
            <w:r>
              <w:rPr>
                <w:rFonts w:hint="eastAsia" w:ascii="宋体" w:hAnsi="宋体" w:eastAsia="宋体" w:cs="宋体"/>
                <w:bCs/>
                <w:color w:val="auto"/>
                <w:spacing w:val="0"/>
                <w:kern w:val="2"/>
                <w:sz w:val="24"/>
                <w:szCs w:val="24"/>
                <w:highlight w:val="none"/>
                <w:lang w:val="en-US" w:eastAsia="zh-CN"/>
              </w:rPr>
              <w:t>供应商</w:t>
            </w:r>
            <w:r>
              <w:rPr>
                <w:rFonts w:hint="eastAsia" w:ascii="宋体" w:hAnsi="宋体" w:eastAsia="宋体" w:cs="宋体"/>
                <w:bCs/>
                <w:color w:val="auto"/>
                <w:spacing w:val="0"/>
                <w:kern w:val="2"/>
                <w:sz w:val="24"/>
                <w:szCs w:val="24"/>
                <w:highlight w:val="none"/>
                <w:lang w:val="en-US" w:eastAsia="en-US"/>
              </w:rPr>
              <w:t>提供了虚假资料，评标委员会有权否决其投标；若在中标结果公示期间发现中标候选人提供了虚假材料，</w:t>
            </w:r>
            <w:r>
              <w:rPr>
                <w:rFonts w:hint="eastAsia" w:ascii="宋体" w:hAnsi="宋体" w:eastAsia="宋体" w:cs="宋体"/>
                <w:bCs/>
                <w:color w:val="auto"/>
                <w:spacing w:val="0"/>
                <w:kern w:val="2"/>
                <w:sz w:val="24"/>
                <w:szCs w:val="24"/>
                <w:highlight w:val="none"/>
                <w:lang w:val="en-US" w:eastAsia="zh-CN"/>
              </w:rPr>
              <w:t>采购人</w:t>
            </w:r>
            <w:r>
              <w:rPr>
                <w:rFonts w:hint="eastAsia" w:ascii="宋体" w:hAnsi="宋体" w:eastAsia="宋体" w:cs="宋体"/>
                <w:bCs/>
                <w:color w:val="auto"/>
                <w:spacing w:val="0"/>
                <w:kern w:val="2"/>
                <w:sz w:val="24"/>
                <w:szCs w:val="24"/>
                <w:highlight w:val="none"/>
                <w:lang w:val="en-US" w:eastAsia="en-US"/>
              </w:rPr>
              <w:t>有权取消其中标候选人资格；若在合同实施期间发现</w:t>
            </w:r>
            <w:r>
              <w:rPr>
                <w:rFonts w:hint="eastAsia" w:ascii="宋体" w:hAnsi="宋体" w:eastAsia="宋体" w:cs="宋体"/>
                <w:bCs/>
                <w:color w:val="auto"/>
                <w:spacing w:val="0"/>
                <w:kern w:val="2"/>
                <w:sz w:val="24"/>
                <w:szCs w:val="24"/>
                <w:highlight w:val="none"/>
                <w:lang w:val="en-US" w:eastAsia="zh-CN"/>
              </w:rPr>
              <w:t>供应商</w:t>
            </w:r>
            <w:r>
              <w:rPr>
                <w:rFonts w:hint="eastAsia" w:ascii="宋体" w:hAnsi="宋体" w:eastAsia="宋体" w:cs="宋体"/>
                <w:bCs/>
                <w:color w:val="auto"/>
                <w:spacing w:val="0"/>
                <w:kern w:val="2"/>
                <w:sz w:val="24"/>
                <w:szCs w:val="24"/>
                <w:highlight w:val="none"/>
                <w:lang w:val="en-US" w:eastAsia="en-US"/>
              </w:rPr>
              <w:t>提供了虚假材料，</w:t>
            </w:r>
            <w:r>
              <w:rPr>
                <w:rFonts w:hint="eastAsia" w:ascii="宋体" w:hAnsi="宋体" w:eastAsia="宋体" w:cs="宋体"/>
                <w:bCs/>
                <w:color w:val="auto"/>
                <w:spacing w:val="0"/>
                <w:kern w:val="2"/>
                <w:sz w:val="24"/>
                <w:szCs w:val="24"/>
                <w:highlight w:val="none"/>
                <w:lang w:val="en-US" w:eastAsia="zh-CN"/>
              </w:rPr>
              <w:t>采购人</w:t>
            </w:r>
            <w:r>
              <w:rPr>
                <w:rFonts w:hint="eastAsia" w:ascii="宋体" w:hAnsi="宋体" w:eastAsia="宋体" w:cs="宋体"/>
                <w:bCs/>
                <w:color w:val="auto"/>
                <w:spacing w:val="0"/>
                <w:kern w:val="2"/>
                <w:sz w:val="24"/>
                <w:szCs w:val="24"/>
                <w:highlight w:val="none"/>
                <w:lang w:val="en-US" w:eastAsia="en-US"/>
              </w:rPr>
              <w:t>有权扣除履约保证金作为违约金。同时</w:t>
            </w:r>
            <w:r>
              <w:rPr>
                <w:rFonts w:hint="eastAsia" w:ascii="宋体" w:hAnsi="宋体" w:eastAsia="宋体" w:cs="宋体"/>
                <w:bCs/>
                <w:color w:val="auto"/>
                <w:spacing w:val="0"/>
                <w:kern w:val="2"/>
                <w:sz w:val="24"/>
                <w:szCs w:val="24"/>
                <w:highlight w:val="none"/>
                <w:lang w:val="en-US" w:eastAsia="zh-CN"/>
              </w:rPr>
              <w:t>采购人</w:t>
            </w:r>
            <w:r>
              <w:rPr>
                <w:rFonts w:hint="eastAsia" w:ascii="宋体" w:hAnsi="宋体" w:eastAsia="宋体" w:cs="宋体"/>
                <w:bCs/>
                <w:color w:val="auto"/>
                <w:spacing w:val="0"/>
                <w:kern w:val="2"/>
                <w:sz w:val="24"/>
                <w:szCs w:val="24"/>
                <w:highlight w:val="none"/>
                <w:lang w:val="en-US" w:eastAsia="en-US"/>
              </w:rPr>
              <w:t>将</w:t>
            </w:r>
            <w:r>
              <w:rPr>
                <w:rFonts w:hint="eastAsia" w:ascii="宋体" w:hAnsi="宋体" w:eastAsia="宋体" w:cs="宋体"/>
                <w:bCs/>
                <w:color w:val="auto"/>
                <w:spacing w:val="0"/>
                <w:kern w:val="2"/>
                <w:sz w:val="24"/>
                <w:szCs w:val="24"/>
                <w:highlight w:val="none"/>
                <w:lang w:val="en-US" w:eastAsia="zh-CN"/>
              </w:rPr>
              <w:t>供应商</w:t>
            </w:r>
            <w:r>
              <w:rPr>
                <w:rFonts w:hint="eastAsia" w:ascii="宋体" w:hAnsi="宋体" w:eastAsia="宋体" w:cs="宋体"/>
                <w:bCs/>
                <w:color w:val="auto"/>
                <w:spacing w:val="0"/>
                <w:kern w:val="2"/>
                <w:sz w:val="24"/>
                <w:szCs w:val="24"/>
                <w:highlight w:val="none"/>
                <w:lang w:val="en-US" w:eastAsia="en-US"/>
              </w:rPr>
              <w:t>以上弄虚作假行为上报省、市级建设主管部门。上述弄虚作假的行为，一经发现将依据《中华人民共和国招标投标法实施条例》第六十八条进行处理。</w:t>
            </w:r>
          </w:p>
          <w:p w14:paraId="11061BB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en-US" w:eastAsia="en-US"/>
              </w:rPr>
              <w:t>7、施工单位对建设工程的施工质量负责。施工单位应当建立质量责任制，工程项目的项目负责人、技术负责人必须在岗履职。项目负责人必须组织做好隐蔽工程的验收工作，参加地基基础、主体结构等分部工程的验收，参加单位工程和工程竣工验收；必须在验收文件上签字，不得签署虚假文件。施工单位必须对建筑材料、建筑构配件、设备和商品混凝土进行检验，未经检验或者检验不合格的，不得使用。施工单位必须建立、健全施工质量的检验制度，严格工序管理，做好隐蔽工程的质量检查和记录。</w:t>
            </w:r>
          </w:p>
        </w:tc>
      </w:tr>
      <w:tr w14:paraId="4BE6A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9518" w:type="dxa"/>
            <w:gridSpan w:val="3"/>
            <w:vAlign w:val="center"/>
          </w:tcPr>
          <w:p w14:paraId="2BC3B6F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一、供应商应按招标文件要求编制投标文件，将所有投标文件内容上传至“政采云”平台。</w:t>
            </w:r>
          </w:p>
          <w:p w14:paraId="09FB70C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二、投标文件中反映供应商资格审查的图片、扫描件、文字描述等，必须清晰可见。其中所有证书和执照必须为原件扫描。</w:t>
            </w:r>
          </w:p>
          <w:p w14:paraId="49DF14F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三、若供应商上传的电子投标文件因无法解密而对投标文件无法进行评价的，采购人可以拒绝该供应商投标。</w:t>
            </w:r>
          </w:p>
          <w:p w14:paraId="37D81D2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en-US" w:eastAsia="zh-CN"/>
              </w:rPr>
            </w:pPr>
            <w:r>
              <w:rPr>
                <w:rFonts w:hint="eastAsia" w:ascii="宋体" w:hAnsi="宋体" w:eastAsia="宋体" w:cs="宋体"/>
                <w:bCs/>
                <w:color w:val="auto"/>
                <w:spacing w:val="0"/>
                <w:kern w:val="2"/>
                <w:sz w:val="24"/>
                <w:szCs w:val="24"/>
                <w:highlight w:val="none"/>
                <w:lang w:val="en-US" w:eastAsia="zh-CN"/>
              </w:rPr>
              <w:t>四、未进行网上注册并办理数字证书（CA认证）的供应商将无法参与本项目政府采购活动，潜在供应商应当在提交投标文件截止时间前，完成电子交易平台上的CA数字证书办理及投标文件的提交。</w:t>
            </w:r>
          </w:p>
          <w:p w14:paraId="46A3ED1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kern w:val="2"/>
                <w:sz w:val="24"/>
                <w:szCs w:val="24"/>
                <w:highlight w:val="none"/>
                <w:lang w:val="zh-CN" w:eastAsia="en-US"/>
              </w:rPr>
            </w:pPr>
            <w:r>
              <w:rPr>
                <w:rFonts w:hint="eastAsia" w:ascii="宋体" w:hAnsi="宋体" w:eastAsia="宋体" w:cs="宋体"/>
                <w:bCs/>
                <w:color w:val="auto"/>
                <w:spacing w:val="0"/>
                <w:kern w:val="2"/>
                <w:sz w:val="24"/>
                <w:szCs w:val="24"/>
                <w:highlight w:val="none"/>
                <w:lang w:val="en-US" w:eastAsia="zh-CN"/>
              </w:rPr>
              <w:t>五、供应商应当在提交投标文件截止时间前完成电子投标文件的上传、递交，提交投标文件截止时间前可以补充、修改或者撤回投标文件。补充或者修改投标文件的，应当先行撤回原文件，补充、修改后重新上传、递交。投标截止时间前未完成上传、递交的，视为撤回投标文件。投标截止时间以后上传递交的投标文件“政采云”平台将予以拒收。</w:t>
            </w:r>
          </w:p>
        </w:tc>
      </w:tr>
    </w:tbl>
    <w:p w14:paraId="0147C38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240" w:firstLineChars="100"/>
        <w:jc w:val="both"/>
        <w:textAlignment w:val="baseline"/>
        <w:rPr>
          <w:rFonts w:hint="eastAsia" w:ascii="宋体" w:hAnsi="宋体" w:eastAsia="宋体" w:cs="宋体"/>
          <w:color w:val="auto"/>
          <w:spacing w:val="0"/>
          <w:sz w:val="24"/>
          <w:szCs w:val="24"/>
          <w:highlight w:val="none"/>
          <w:lang w:val="en-US" w:eastAsia="en-US"/>
        </w:rPr>
      </w:pPr>
      <w:r>
        <w:rPr>
          <w:rFonts w:hint="eastAsia" w:ascii="宋体" w:hAnsi="宋体" w:eastAsia="宋体" w:cs="宋体"/>
          <w:color w:val="auto"/>
          <w:spacing w:val="0"/>
          <w:sz w:val="24"/>
          <w:szCs w:val="24"/>
          <w:highlight w:val="none"/>
          <w:lang w:val="en-US" w:eastAsia="zh-CN"/>
        </w:rPr>
        <w:t>磋商公告与磋商文件不一致之处，以磋商文件为准。</w:t>
      </w:r>
    </w:p>
    <w:p w14:paraId="533C71D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sectPr>
          <w:footerReference r:id="rId7" w:type="default"/>
          <w:pgSz w:w="11906" w:h="16839"/>
          <w:pgMar w:top="1440" w:right="1080" w:bottom="1440" w:left="1080" w:header="0" w:footer="994" w:gutter="0"/>
          <w:pgNumType w:fmt="decimal"/>
          <w:cols w:space="720" w:num="1"/>
        </w:sectPr>
      </w:pPr>
    </w:p>
    <w:p w14:paraId="010444A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outlineLvl w:val="1"/>
        <w:rPr>
          <w:rFonts w:hint="eastAsia" w:ascii="宋体" w:hAnsi="宋体" w:eastAsia="宋体" w:cs="宋体"/>
          <w:b/>
          <w:color w:val="auto"/>
          <w:spacing w:val="0"/>
          <w:sz w:val="28"/>
          <w:highlight w:val="none"/>
        </w:rPr>
      </w:pPr>
      <w:bookmarkStart w:id="43" w:name="_Toc24122"/>
      <w:bookmarkStart w:id="44" w:name="_Toc4939"/>
      <w:bookmarkStart w:id="45" w:name="_Toc3915"/>
      <w:r>
        <w:rPr>
          <w:rFonts w:hint="eastAsia" w:ascii="宋体" w:hAnsi="宋体" w:eastAsia="宋体" w:cs="宋体"/>
          <w:b/>
          <w:color w:val="auto"/>
          <w:spacing w:val="0"/>
          <w:sz w:val="28"/>
          <w:highlight w:val="none"/>
        </w:rPr>
        <w:t>（</w:t>
      </w:r>
      <w:r>
        <w:rPr>
          <w:rFonts w:hint="eastAsia" w:ascii="宋体" w:hAnsi="宋体" w:eastAsia="宋体" w:cs="宋体"/>
          <w:b/>
          <w:color w:val="auto"/>
          <w:spacing w:val="0"/>
          <w:sz w:val="28"/>
          <w:highlight w:val="none"/>
          <w:lang w:eastAsia="zh-CN"/>
        </w:rPr>
        <w:t>二</w:t>
      </w:r>
      <w:r>
        <w:rPr>
          <w:rFonts w:hint="eastAsia" w:ascii="宋体" w:hAnsi="宋体" w:eastAsia="宋体" w:cs="宋体"/>
          <w:b/>
          <w:color w:val="auto"/>
          <w:spacing w:val="0"/>
          <w:sz w:val="28"/>
          <w:highlight w:val="none"/>
        </w:rPr>
        <w:t>）供应商须知</w:t>
      </w:r>
      <w:bookmarkEnd w:id="43"/>
      <w:bookmarkEnd w:id="44"/>
      <w:bookmarkEnd w:id="45"/>
    </w:p>
    <w:p w14:paraId="22859694">
      <w:pPr>
        <w:pStyle w:val="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bookmarkStart w:id="46" w:name="bookmark5"/>
      <w:bookmarkEnd w:id="46"/>
      <w:bookmarkStart w:id="47" w:name="_Toc152042305"/>
      <w:bookmarkStart w:id="48" w:name="_Toc152045529"/>
      <w:bookmarkStart w:id="49" w:name="_Toc179632546"/>
      <w:bookmarkStart w:id="50" w:name="_Toc12552"/>
      <w:bookmarkStart w:id="51" w:name="_Toc246996918"/>
      <w:bookmarkStart w:id="52" w:name="_Toc29754"/>
      <w:bookmarkStart w:id="53" w:name="_Toc246996175"/>
      <w:bookmarkStart w:id="54" w:name="_Toc450588607"/>
      <w:bookmarkStart w:id="55" w:name="_Toc144974497"/>
      <w:bookmarkStart w:id="56" w:name="_Toc19821"/>
      <w:bookmarkStart w:id="57" w:name="_Toc409424374"/>
      <w:bookmarkStart w:id="58" w:name="_Toc247085689"/>
      <w:bookmarkStart w:id="59" w:name="_Toc409424313"/>
      <w:r>
        <w:rPr>
          <w:rFonts w:hint="eastAsia" w:ascii="宋体" w:hAnsi="宋体" w:eastAsia="宋体" w:cs="宋体"/>
          <w:b/>
          <w:color w:val="auto"/>
          <w:spacing w:val="0"/>
          <w:kern w:val="2"/>
          <w:sz w:val="24"/>
          <w:szCs w:val="24"/>
          <w:highlight w:val="none"/>
          <w:lang w:val="en-US" w:eastAsia="zh-CN" w:bidi="ar-SA"/>
        </w:rPr>
        <w:t>1. 总则</w:t>
      </w:r>
      <w:bookmarkEnd w:id="47"/>
      <w:bookmarkEnd w:id="48"/>
      <w:bookmarkEnd w:id="49"/>
      <w:bookmarkEnd w:id="50"/>
      <w:bookmarkEnd w:id="51"/>
      <w:bookmarkEnd w:id="52"/>
      <w:bookmarkEnd w:id="53"/>
      <w:bookmarkEnd w:id="54"/>
      <w:bookmarkEnd w:id="55"/>
      <w:bookmarkEnd w:id="56"/>
      <w:bookmarkEnd w:id="57"/>
      <w:bookmarkEnd w:id="58"/>
      <w:bookmarkEnd w:id="59"/>
    </w:p>
    <w:p w14:paraId="02D0977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left"/>
        <w:textAlignment w:val="baseline"/>
        <w:rPr>
          <w:rFonts w:hint="eastAsia" w:ascii="宋体" w:hAnsi="宋体" w:eastAsia="宋体" w:cs="宋体"/>
          <w:b/>
          <w:color w:val="auto"/>
          <w:spacing w:val="0"/>
          <w:sz w:val="24"/>
          <w:szCs w:val="24"/>
          <w:highlight w:val="none"/>
        </w:rPr>
      </w:pPr>
      <w:bookmarkStart w:id="60" w:name="_Toc247085690"/>
      <w:bookmarkStart w:id="61" w:name="_Toc179632547"/>
      <w:bookmarkStart w:id="62" w:name="_Toc152042306"/>
      <w:bookmarkStart w:id="63" w:name="_Toc152045530"/>
      <w:bookmarkStart w:id="64" w:name="_Toc246996176"/>
      <w:bookmarkStart w:id="65" w:name="_Toc246996919"/>
      <w:bookmarkStart w:id="66" w:name="_Toc144974498"/>
      <w:r>
        <w:rPr>
          <w:rFonts w:hint="eastAsia" w:ascii="宋体" w:hAnsi="宋体" w:eastAsia="宋体" w:cs="宋体"/>
          <w:b/>
          <w:color w:val="auto"/>
          <w:spacing w:val="0"/>
          <w:sz w:val="24"/>
          <w:szCs w:val="24"/>
          <w:highlight w:val="none"/>
        </w:rPr>
        <w:t>1.1 项目概况</w:t>
      </w:r>
      <w:bookmarkEnd w:id="60"/>
      <w:bookmarkEnd w:id="61"/>
      <w:bookmarkEnd w:id="62"/>
      <w:bookmarkEnd w:id="63"/>
      <w:bookmarkEnd w:id="64"/>
      <w:bookmarkEnd w:id="65"/>
      <w:bookmarkEnd w:id="66"/>
    </w:p>
    <w:p w14:paraId="6CFE637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1.1.1本磋商项目已具备磋商条件，现对本项目采用资格后审方式进行磋商。</w:t>
      </w:r>
    </w:p>
    <w:p w14:paraId="364E3BE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1.1.2 本磋商项目采购人：见响应人须知前附表。</w:t>
      </w:r>
    </w:p>
    <w:p w14:paraId="6493D67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1.1.3 本磋商项目采购代理机构：见响应人须知前附表。</w:t>
      </w:r>
    </w:p>
    <w:p w14:paraId="4451506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1.1.4 本磋商项目名称：见响应人须知前附表。</w:t>
      </w:r>
    </w:p>
    <w:p w14:paraId="1C5C58E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1.1.5 本磋商项目地点：见响应人须知前附表。</w:t>
      </w:r>
    </w:p>
    <w:p w14:paraId="6B223D4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67" w:name="_Toc144974499"/>
      <w:bookmarkStart w:id="68" w:name="_Toc152042307"/>
      <w:bookmarkStart w:id="69" w:name="_Toc246996920"/>
      <w:bookmarkStart w:id="70" w:name="_Toc247085691"/>
      <w:bookmarkStart w:id="71" w:name="_Toc152045531"/>
      <w:bookmarkStart w:id="72" w:name="_Toc179632548"/>
      <w:bookmarkStart w:id="73" w:name="_Toc246996177"/>
      <w:r>
        <w:rPr>
          <w:rFonts w:hint="eastAsia" w:ascii="宋体" w:hAnsi="宋体" w:eastAsia="宋体" w:cs="宋体"/>
          <w:b/>
          <w:color w:val="auto"/>
          <w:spacing w:val="0"/>
          <w:sz w:val="24"/>
          <w:szCs w:val="24"/>
          <w:highlight w:val="none"/>
        </w:rPr>
        <w:t>1.2 资金来源和落实情况</w:t>
      </w:r>
      <w:bookmarkEnd w:id="67"/>
      <w:bookmarkEnd w:id="68"/>
      <w:bookmarkEnd w:id="69"/>
      <w:bookmarkEnd w:id="70"/>
      <w:bookmarkEnd w:id="71"/>
      <w:bookmarkEnd w:id="72"/>
      <w:bookmarkEnd w:id="73"/>
    </w:p>
    <w:p w14:paraId="7C8E750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1.2.1 本磋商项目的资金来源及出资比例：见响应人须知前附表。</w:t>
      </w:r>
    </w:p>
    <w:p w14:paraId="580553C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1.2.2 本磋商项目的资金落实情况：见响应人须知前附表。</w:t>
      </w:r>
    </w:p>
    <w:p w14:paraId="3ED6035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74" w:name="_Toc247085692"/>
      <w:bookmarkStart w:id="75" w:name="_Toc246996178"/>
      <w:bookmarkStart w:id="76" w:name="_Toc152042308"/>
      <w:bookmarkStart w:id="77" w:name="_Toc144974500"/>
      <w:bookmarkStart w:id="78" w:name="_Toc246996921"/>
      <w:bookmarkStart w:id="79" w:name="_Toc152045532"/>
      <w:bookmarkStart w:id="80" w:name="_Toc179632549"/>
      <w:r>
        <w:rPr>
          <w:rFonts w:hint="eastAsia" w:ascii="宋体" w:hAnsi="宋体" w:eastAsia="宋体" w:cs="宋体"/>
          <w:b/>
          <w:color w:val="auto"/>
          <w:spacing w:val="0"/>
          <w:sz w:val="24"/>
          <w:szCs w:val="24"/>
          <w:highlight w:val="none"/>
        </w:rPr>
        <w:t>1.3 磋商范围、质量</w:t>
      </w:r>
      <w:bookmarkEnd w:id="74"/>
      <w:bookmarkEnd w:id="75"/>
      <w:bookmarkEnd w:id="76"/>
      <w:bookmarkEnd w:id="77"/>
      <w:bookmarkEnd w:id="78"/>
      <w:bookmarkEnd w:id="79"/>
      <w:bookmarkEnd w:id="80"/>
      <w:r>
        <w:rPr>
          <w:rFonts w:hint="eastAsia" w:ascii="宋体" w:hAnsi="宋体" w:eastAsia="宋体" w:cs="宋体"/>
          <w:b/>
          <w:color w:val="auto"/>
          <w:spacing w:val="0"/>
          <w:sz w:val="24"/>
          <w:szCs w:val="24"/>
          <w:highlight w:val="none"/>
        </w:rPr>
        <w:t>标准</w:t>
      </w:r>
    </w:p>
    <w:p w14:paraId="533A334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1.3.1 本次磋商范围：见响应人须知前附表。</w:t>
      </w:r>
    </w:p>
    <w:p w14:paraId="5C78197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1.3.2 本磋商项目的质量标准：见响应人须知前附表。</w:t>
      </w:r>
    </w:p>
    <w:p w14:paraId="1E5ACEC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81" w:name="_Toc247085693"/>
      <w:bookmarkStart w:id="82" w:name="_Toc246996922"/>
      <w:bookmarkStart w:id="83" w:name="_Toc152045534"/>
      <w:bookmarkStart w:id="84" w:name="_Toc246996179"/>
      <w:bookmarkStart w:id="85" w:name="_Toc179632551"/>
      <w:bookmarkStart w:id="86" w:name="_Toc144974502"/>
      <w:bookmarkStart w:id="87" w:name="_Toc152042310"/>
      <w:r>
        <w:rPr>
          <w:rFonts w:hint="eastAsia" w:ascii="宋体" w:hAnsi="宋体" w:eastAsia="宋体" w:cs="宋体"/>
          <w:b/>
          <w:color w:val="auto"/>
          <w:spacing w:val="0"/>
          <w:sz w:val="24"/>
          <w:szCs w:val="24"/>
          <w:highlight w:val="none"/>
        </w:rPr>
        <w:t>1.4 响应人资格要求</w:t>
      </w:r>
      <w:bookmarkEnd w:id="81"/>
      <w:bookmarkEnd w:id="82"/>
      <w:bookmarkEnd w:id="83"/>
      <w:bookmarkEnd w:id="84"/>
      <w:bookmarkEnd w:id="85"/>
      <w:bookmarkEnd w:id="86"/>
      <w:bookmarkEnd w:id="87"/>
    </w:p>
    <w:p w14:paraId="3CD59CB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1.4.1 响应人应具备承担本项目的资质条件、能力。</w:t>
      </w:r>
    </w:p>
    <w:p w14:paraId="593772C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（1）资质条件：见响应人须知前附表；</w:t>
      </w:r>
    </w:p>
    <w:p w14:paraId="73FB7B8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（2）财务要求：见响应人须知前附表；</w:t>
      </w:r>
    </w:p>
    <w:p w14:paraId="081A6B4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1.4.2 响应人不得存在下列情形之一：</w:t>
      </w:r>
    </w:p>
    <w:p w14:paraId="75530DF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（1）为采购人不具有独立法人资格的附属机构（单位）；</w:t>
      </w:r>
    </w:p>
    <w:p w14:paraId="07E8A8B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 xml:space="preserve">（2）为本磋商项目前期准备提供设计或咨询服务的； </w:t>
      </w:r>
    </w:p>
    <w:p w14:paraId="4AF616A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 xml:space="preserve">（3）为本磋商项目提供磋商代理服务的； </w:t>
      </w:r>
    </w:p>
    <w:p w14:paraId="57F44E1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（4）与本磋商项目的采购代理机构同为一个法定代表人的；</w:t>
      </w:r>
    </w:p>
    <w:p w14:paraId="1F0DC9D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（5）与本磋商项目的采购代理机构相互控股或参股的；</w:t>
      </w:r>
    </w:p>
    <w:p w14:paraId="5FA26AE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（6）与本磋商项目的采购代理机构相互任职或工作的；</w:t>
      </w:r>
    </w:p>
    <w:p w14:paraId="65D1615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 xml:space="preserve">（7）被责令停业的； </w:t>
      </w:r>
    </w:p>
    <w:p w14:paraId="62A1D48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 xml:space="preserve">（8）被暂停或取消磋商资格的； </w:t>
      </w:r>
    </w:p>
    <w:p w14:paraId="67DD33B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（9）财产被接管或冻结的；</w:t>
      </w:r>
    </w:p>
    <w:p w14:paraId="5AA9E89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（10）在最近三年内有骗取成交或严重违约的。</w:t>
      </w:r>
    </w:p>
    <w:p w14:paraId="355BB52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（11）被政府列入取消磋商资格期限内的企业或个人参加磋商</w:t>
      </w:r>
    </w:p>
    <w:p w14:paraId="2E7CC46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若存在以上情形之一，取消其成交资格。</w:t>
      </w:r>
    </w:p>
    <w:p w14:paraId="6143961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 xml:space="preserve">1.4.3 </w:t>
      </w:r>
      <w:r>
        <w:rPr>
          <w:rFonts w:hint="eastAsia" w:ascii="宋体" w:hAnsi="宋体" w:eastAsia="宋体" w:cs="宋体"/>
          <w:bCs/>
          <w:snapToGrid w:val="0"/>
          <w:color w:val="auto"/>
          <w:spacing w:val="0"/>
          <w:sz w:val="24"/>
          <w:szCs w:val="24"/>
          <w:highlight w:val="none"/>
          <w:lang w:val="en-US" w:eastAsia="zh-CN"/>
        </w:rPr>
        <w:t>与采购人存在利害关系可能影响招标公正性的法人、其他组织或者个人，不得参加投标。单位负责人为同一人或者存在控股、管理关系的不同单位，不得参加同一标段投标或者未划分标段的同一招标项目投标。违反上述规定的，相关投标均无效。</w:t>
      </w:r>
    </w:p>
    <w:p w14:paraId="1E85ABB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88" w:name="_Toc247085694"/>
      <w:bookmarkStart w:id="89" w:name="_Toc246996923"/>
      <w:bookmarkStart w:id="90" w:name="_Toc152042311"/>
      <w:bookmarkStart w:id="91" w:name="_Toc246996180"/>
      <w:bookmarkStart w:id="92" w:name="_Toc144974503"/>
      <w:bookmarkStart w:id="93" w:name="_Toc179632552"/>
      <w:bookmarkStart w:id="94" w:name="_Toc152045535"/>
      <w:r>
        <w:rPr>
          <w:rFonts w:hint="eastAsia" w:ascii="宋体" w:hAnsi="宋体" w:eastAsia="宋体" w:cs="宋体"/>
          <w:b/>
          <w:color w:val="auto"/>
          <w:spacing w:val="0"/>
          <w:sz w:val="24"/>
          <w:szCs w:val="24"/>
          <w:highlight w:val="none"/>
        </w:rPr>
        <w:t>1.5 费用承担</w:t>
      </w:r>
      <w:bookmarkEnd w:id="88"/>
      <w:bookmarkEnd w:id="89"/>
      <w:bookmarkEnd w:id="90"/>
      <w:bookmarkEnd w:id="91"/>
      <w:bookmarkEnd w:id="92"/>
      <w:bookmarkEnd w:id="93"/>
      <w:bookmarkEnd w:id="94"/>
    </w:p>
    <w:p w14:paraId="6E98169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响应人准备和参加磋商活动发生的费用自理。</w:t>
      </w:r>
    </w:p>
    <w:p w14:paraId="59D4068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95" w:name="_Toc152045536"/>
      <w:bookmarkStart w:id="96" w:name="_Toc144974504"/>
      <w:bookmarkStart w:id="97" w:name="_Toc179632553"/>
      <w:bookmarkStart w:id="98" w:name="_Toc246996181"/>
      <w:bookmarkStart w:id="99" w:name="_Toc246996924"/>
      <w:bookmarkStart w:id="100" w:name="_Toc152042312"/>
      <w:bookmarkStart w:id="101" w:name="_Toc247085695"/>
      <w:r>
        <w:rPr>
          <w:rFonts w:hint="eastAsia" w:ascii="宋体" w:hAnsi="宋体" w:eastAsia="宋体" w:cs="宋体"/>
          <w:b/>
          <w:color w:val="auto"/>
          <w:spacing w:val="0"/>
          <w:sz w:val="24"/>
          <w:szCs w:val="24"/>
          <w:highlight w:val="none"/>
        </w:rPr>
        <w:t>1.6 保密</w:t>
      </w:r>
      <w:bookmarkEnd w:id="95"/>
      <w:bookmarkEnd w:id="96"/>
      <w:bookmarkEnd w:id="97"/>
      <w:bookmarkEnd w:id="98"/>
      <w:bookmarkEnd w:id="99"/>
      <w:bookmarkEnd w:id="100"/>
      <w:bookmarkEnd w:id="101"/>
    </w:p>
    <w:p w14:paraId="085CA3D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 xml:space="preserve">参与磋商活动的各方应对磋商文件和响应文件中的商业和技术等秘密保密，违者应对由此造成的后果承担法律责任。 </w:t>
      </w:r>
    </w:p>
    <w:p w14:paraId="766A315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102" w:name="_Toc144974505"/>
      <w:bookmarkStart w:id="103" w:name="_Toc246996925"/>
      <w:bookmarkStart w:id="104" w:name="_Toc152042313"/>
      <w:bookmarkStart w:id="105" w:name="_Toc246996182"/>
      <w:bookmarkStart w:id="106" w:name="_Toc152045537"/>
      <w:bookmarkStart w:id="107" w:name="_Toc179632554"/>
      <w:bookmarkStart w:id="108" w:name="_Toc247085696"/>
      <w:r>
        <w:rPr>
          <w:rFonts w:hint="eastAsia" w:ascii="宋体" w:hAnsi="宋体" w:eastAsia="宋体" w:cs="宋体"/>
          <w:b/>
          <w:color w:val="auto"/>
          <w:spacing w:val="0"/>
          <w:sz w:val="24"/>
          <w:szCs w:val="24"/>
          <w:highlight w:val="none"/>
        </w:rPr>
        <w:t>1.7 语言</w:t>
      </w:r>
      <w:bookmarkEnd w:id="102"/>
      <w:r>
        <w:rPr>
          <w:rFonts w:hint="eastAsia" w:ascii="宋体" w:hAnsi="宋体" w:eastAsia="宋体" w:cs="宋体"/>
          <w:b/>
          <w:color w:val="auto"/>
          <w:spacing w:val="0"/>
          <w:sz w:val="24"/>
          <w:szCs w:val="24"/>
          <w:highlight w:val="none"/>
        </w:rPr>
        <w:t>文字</w:t>
      </w:r>
      <w:bookmarkEnd w:id="103"/>
      <w:bookmarkEnd w:id="104"/>
      <w:bookmarkEnd w:id="105"/>
      <w:bookmarkEnd w:id="106"/>
      <w:bookmarkEnd w:id="107"/>
      <w:bookmarkEnd w:id="108"/>
    </w:p>
    <w:p w14:paraId="1C8F860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bookmarkStart w:id="109" w:name="_Toc152045538"/>
      <w:bookmarkStart w:id="110" w:name="_Toc246996183"/>
      <w:bookmarkStart w:id="111" w:name="_Toc247085697"/>
      <w:bookmarkStart w:id="112" w:name="_Toc144974506"/>
      <w:bookmarkStart w:id="113" w:name="_Toc152042314"/>
      <w:bookmarkStart w:id="114" w:name="_Toc246996926"/>
      <w:bookmarkStart w:id="115" w:name="_Toc179632555"/>
      <w:r>
        <w:rPr>
          <w:rFonts w:hint="eastAsia" w:ascii="宋体" w:hAnsi="宋体" w:eastAsia="宋体" w:cs="宋体"/>
          <w:bCs/>
          <w:snapToGrid w:val="0"/>
          <w:color w:val="auto"/>
          <w:spacing w:val="0"/>
          <w:sz w:val="24"/>
          <w:szCs w:val="24"/>
          <w:highlight w:val="none"/>
          <w:lang w:val="zh-CN" w:eastAsia="zh-CN"/>
        </w:rPr>
        <w:t>响应文件使用的语言文字为中文。专用术语使用外文的，应附有中文注释。</w:t>
      </w:r>
    </w:p>
    <w:p w14:paraId="3E45509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1.8 计量单位</w:t>
      </w:r>
      <w:bookmarkEnd w:id="109"/>
      <w:bookmarkEnd w:id="110"/>
      <w:bookmarkEnd w:id="111"/>
      <w:bookmarkEnd w:id="112"/>
      <w:bookmarkEnd w:id="113"/>
      <w:bookmarkEnd w:id="114"/>
      <w:bookmarkEnd w:id="115"/>
    </w:p>
    <w:p w14:paraId="4D10786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所有计量均采用中华人民共和国法定计量单位。</w:t>
      </w:r>
    </w:p>
    <w:p w14:paraId="559FCAC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116" w:name="_Toc247592877"/>
      <w:bookmarkStart w:id="117" w:name="_Toc144974508"/>
      <w:bookmarkStart w:id="118" w:name="_Toc152045540"/>
      <w:bookmarkStart w:id="119" w:name="_Toc152042316"/>
      <w:bookmarkStart w:id="120" w:name="_Toc247513963"/>
      <w:bookmarkStart w:id="121" w:name="_Toc247527564"/>
      <w:r>
        <w:rPr>
          <w:rFonts w:hint="eastAsia" w:ascii="宋体" w:hAnsi="宋体" w:eastAsia="宋体" w:cs="宋体"/>
          <w:b/>
          <w:color w:val="auto"/>
          <w:spacing w:val="0"/>
          <w:sz w:val="24"/>
          <w:szCs w:val="24"/>
          <w:highlight w:val="none"/>
        </w:rPr>
        <w:t>1.9 磋商预备会</w:t>
      </w:r>
      <w:bookmarkEnd w:id="116"/>
      <w:bookmarkEnd w:id="117"/>
      <w:bookmarkEnd w:id="118"/>
      <w:bookmarkEnd w:id="119"/>
      <w:bookmarkEnd w:id="120"/>
      <w:bookmarkEnd w:id="121"/>
    </w:p>
    <w:p w14:paraId="078AC6D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1.9.1 响应人须知前附表规定召开磋商预备会的，采购人按响应人须知前附表规定的时间和地点召开磋商预备会，澄清响应人提出的问题。</w:t>
      </w:r>
    </w:p>
    <w:p w14:paraId="4F38472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1.9.2 响应人应在响应人须知前附表规定的时间前，以书面形式将提出的问题送达采购人，以便采购人在会议期间澄清。</w:t>
      </w:r>
    </w:p>
    <w:p w14:paraId="2E18753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1.9.3 磋商预备会后，采购人在响应人须知前附表规定的时间内，将对响应人所提问题的澄清，以书面形式通知所有购买磋商文件的响应人。该澄清内容为磋商文件的组成部分。</w:t>
      </w:r>
    </w:p>
    <w:p w14:paraId="48FDABC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1.10分包、转包</w:t>
      </w:r>
    </w:p>
    <w:p w14:paraId="756696D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不允许。</w:t>
      </w:r>
    </w:p>
    <w:p w14:paraId="4367A53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122" w:name="_Toc246996930"/>
      <w:bookmarkStart w:id="123" w:name="_Toc152045542"/>
      <w:bookmarkStart w:id="124" w:name="_Toc179632560"/>
      <w:bookmarkStart w:id="125" w:name="_Toc152042318"/>
      <w:bookmarkStart w:id="126" w:name="_Toc144974510"/>
      <w:bookmarkStart w:id="127" w:name="_Toc247085701"/>
      <w:bookmarkStart w:id="128" w:name="_Toc409424314"/>
      <w:bookmarkStart w:id="129" w:name="_Toc409424375"/>
      <w:bookmarkStart w:id="130" w:name="_Toc246996187"/>
      <w:bookmarkStart w:id="131" w:name="_Toc450588608"/>
      <w:r>
        <w:rPr>
          <w:rFonts w:hint="eastAsia" w:ascii="宋体" w:hAnsi="宋体" w:eastAsia="宋体" w:cs="宋体"/>
          <w:b/>
          <w:color w:val="auto"/>
          <w:spacing w:val="0"/>
          <w:sz w:val="24"/>
          <w:szCs w:val="24"/>
          <w:highlight w:val="none"/>
        </w:rPr>
        <w:t>2. 磋商文件</w:t>
      </w:r>
      <w:bookmarkEnd w:id="122"/>
      <w:bookmarkEnd w:id="123"/>
      <w:bookmarkEnd w:id="124"/>
      <w:bookmarkEnd w:id="125"/>
      <w:bookmarkEnd w:id="126"/>
      <w:bookmarkEnd w:id="127"/>
      <w:bookmarkEnd w:id="128"/>
      <w:bookmarkEnd w:id="129"/>
      <w:bookmarkEnd w:id="130"/>
      <w:bookmarkEnd w:id="131"/>
    </w:p>
    <w:p w14:paraId="0B94519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132" w:name="_Toc144974511"/>
      <w:bookmarkStart w:id="133" w:name="_Toc152042319"/>
      <w:bookmarkStart w:id="134" w:name="_Toc246996188"/>
      <w:bookmarkStart w:id="135" w:name="_Toc246996931"/>
      <w:bookmarkStart w:id="136" w:name="_Toc247085702"/>
      <w:bookmarkStart w:id="137" w:name="_Toc152045543"/>
      <w:bookmarkStart w:id="138" w:name="_Toc179632561"/>
      <w:r>
        <w:rPr>
          <w:rFonts w:hint="eastAsia" w:ascii="宋体" w:hAnsi="宋体" w:eastAsia="宋体" w:cs="宋体"/>
          <w:b/>
          <w:color w:val="auto"/>
          <w:spacing w:val="0"/>
          <w:sz w:val="24"/>
          <w:szCs w:val="24"/>
          <w:highlight w:val="none"/>
        </w:rPr>
        <w:t>2.1 磋商文件的组成</w:t>
      </w:r>
      <w:bookmarkEnd w:id="132"/>
      <w:bookmarkEnd w:id="133"/>
      <w:bookmarkEnd w:id="134"/>
      <w:bookmarkEnd w:id="135"/>
      <w:bookmarkEnd w:id="136"/>
      <w:bookmarkEnd w:id="137"/>
      <w:bookmarkEnd w:id="138"/>
    </w:p>
    <w:p w14:paraId="00332DE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2.1.1 本磋商文件包括：</w:t>
      </w:r>
    </w:p>
    <w:p w14:paraId="65615AD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（1）竞争性磋商公告；</w:t>
      </w:r>
    </w:p>
    <w:p w14:paraId="300E7B8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（2）响应人须知；</w:t>
      </w:r>
    </w:p>
    <w:p w14:paraId="38473E4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（3）合同条款；</w:t>
      </w:r>
    </w:p>
    <w:p w14:paraId="4D262BE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 xml:space="preserve">（4）项目要求和技术要求； </w:t>
      </w:r>
    </w:p>
    <w:p w14:paraId="5652473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（5）响应文件格式；</w:t>
      </w:r>
    </w:p>
    <w:p w14:paraId="1BA5393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（6）竞争性磋商办法。</w:t>
      </w:r>
    </w:p>
    <w:p w14:paraId="76AABB3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2.1.2 根据本章第1.10款、第2.2款和第2.3款对磋商文件所做的澄清、修改，构成磋商文件的组成部分。</w:t>
      </w:r>
    </w:p>
    <w:p w14:paraId="6C0D918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139" w:name="_Toc246996189"/>
      <w:bookmarkStart w:id="140" w:name="_Toc152042320"/>
      <w:bookmarkStart w:id="141" w:name="_Toc144974512"/>
      <w:bookmarkStart w:id="142" w:name="_Toc152045544"/>
      <w:bookmarkStart w:id="143" w:name="_Toc247085703"/>
      <w:bookmarkStart w:id="144" w:name="_Toc246996932"/>
      <w:bookmarkStart w:id="145" w:name="_Toc179632562"/>
      <w:r>
        <w:rPr>
          <w:rFonts w:hint="eastAsia" w:ascii="宋体" w:hAnsi="宋体" w:eastAsia="宋体" w:cs="宋体"/>
          <w:b/>
          <w:color w:val="auto"/>
          <w:spacing w:val="0"/>
          <w:sz w:val="24"/>
          <w:szCs w:val="24"/>
          <w:highlight w:val="none"/>
        </w:rPr>
        <w:t>2.2 磋商文件的澄清</w:t>
      </w:r>
      <w:bookmarkEnd w:id="139"/>
      <w:bookmarkEnd w:id="140"/>
      <w:bookmarkEnd w:id="141"/>
      <w:bookmarkEnd w:id="142"/>
      <w:bookmarkEnd w:id="143"/>
      <w:bookmarkEnd w:id="144"/>
      <w:bookmarkEnd w:id="145"/>
      <w:r>
        <w:rPr>
          <w:rFonts w:hint="eastAsia" w:ascii="宋体" w:hAnsi="宋体" w:eastAsia="宋体" w:cs="宋体"/>
          <w:b/>
          <w:color w:val="auto"/>
          <w:spacing w:val="0"/>
          <w:sz w:val="24"/>
          <w:szCs w:val="24"/>
          <w:highlight w:val="none"/>
        </w:rPr>
        <w:t xml:space="preserve"> </w:t>
      </w:r>
    </w:p>
    <w:p w14:paraId="6771E54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2.2.1 响应人应仔细阅读和检查磋商文件的全部内容。如发现缺页或附件不全，应及时向采购人提出，以便补齐。如有疑问，应在响应人须知前附表规定的时间前以书面形式（包括信函、电报、传真等可以有形地表现所载内容的形式，下同），要求采购人对磋商文件予以澄清。</w:t>
      </w:r>
    </w:p>
    <w:p w14:paraId="4F72E41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 xml:space="preserve">2.2.2 磋商文件的澄清将以书面形式发给所有购买磋商文件的响应人，但不指明澄清问题的来源。如果澄清发出的时间距响应人须知前附表规定的磋商截止时间不足5天，并且澄清内容影响响应文件编制的，将相应延长磋商截止时间。 </w:t>
      </w:r>
    </w:p>
    <w:p w14:paraId="02A3313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2.2.3 响应人在收到澄清后，应在响应人须知前附表规定的时间内以书面形式通知采购人，确认已收到该澄清。</w:t>
      </w:r>
    </w:p>
    <w:p w14:paraId="2FA557E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146" w:name="_Toc246996933"/>
      <w:bookmarkStart w:id="147" w:name="_Toc152045545"/>
      <w:bookmarkStart w:id="148" w:name="_Toc247085704"/>
      <w:bookmarkStart w:id="149" w:name="_Toc144974513"/>
      <w:bookmarkStart w:id="150" w:name="_Toc246996190"/>
      <w:bookmarkStart w:id="151" w:name="_Toc179632563"/>
      <w:bookmarkStart w:id="152" w:name="_Toc152042321"/>
      <w:r>
        <w:rPr>
          <w:rFonts w:hint="eastAsia" w:ascii="宋体" w:hAnsi="宋体" w:eastAsia="宋体" w:cs="宋体"/>
          <w:b/>
          <w:color w:val="auto"/>
          <w:spacing w:val="0"/>
          <w:sz w:val="24"/>
          <w:szCs w:val="24"/>
          <w:highlight w:val="none"/>
        </w:rPr>
        <w:t>2.3 磋商文件的修改</w:t>
      </w:r>
      <w:bookmarkEnd w:id="146"/>
      <w:bookmarkEnd w:id="147"/>
      <w:bookmarkEnd w:id="148"/>
      <w:bookmarkEnd w:id="149"/>
      <w:bookmarkEnd w:id="150"/>
      <w:bookmarkEnd w:id="151"/>
      <w:bookmarkEnd w:id="152"/>
    </w:p>
    <w:p w14:paraId="4FC8B6A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2.3.1采购人可以书面形式修改磋商文件，并通知所有已购买磋商文件的响应人。但如果修改磋商文件的时间距磋商截止时间不足5天，并且修改内容影响响应文件编制的，将相应延长磋商截止时间。</w:t>
      </w:r>
    </w:p>
    <w:p w14:paraId="6E935FC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2.3.2 响应人收到修改内容后，应在响应人须知前附表规定的时间内以书面形式通知采购人，确认已收到该修改。</w:t>
      </w:r>
    </w:p>
    <w:p w14:paraId="149E3EA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153" w:name="_Toc144974514"/>
      <w:bookmarkStart w:id="154" w:name="_Toc409424376"/>
      <w:bookmarkStart w:id="155" w:name="_Toc152045546"/>
      <w:bookmarkStart w:id="156" w:name="_Toc247085705"/>
      <w:bookmarkStart w:id="157" w:name="_Toc409424315"/>
      <w:bookmarkStart w:id="158" w:name="_Toc246996934"/>
      <w:bookmarkStart w:id="159" w:name="_Toc152042322"/>
      <w:bookmarkStart w:id="160" w:name="_Toc179632564"/>
      <w:bookmarkStart w:id="161" w:name="_Toc246996191"/>
      <w:bookmarkStart w:id="162" w:name="_Toc450588609"/>
      <w:r>
        <w:rPr>
          <w:rFonts w:hint="eastAsia" w:ascii="宋体" w:hAnsi="宋体" w:eastAsia="宋体" w:cs="宋体"/>
          <w:b/>
          <w:color w:val="auto"/>
          <w:spacing w:val="0"/>
          <w:sz w:val="24"/>
          <w:szCs w:val="24"/>
          <w:highlight w:val="none"/>
        </w:rPr>
        <w:t>3. 响应文件</w:t>
      </w:r>
      <w:bookmarkEnd w:id="153"/>
      <w:bookmarkEnd w:id="154"/>
      <w:bookmarkEnd w:id="155"/>
      <w:bookmarkEnd w:id="156"/>
      <w:bookmarkEnd w:id="157"/>
      <w:bookmarkEnd w:id="158"/>
      <w:bookmarkEnd w:id="159"/>
      <w:bookmarkEnd w:id="160"/>
      <w:bookmarkEnd w:id="161"/>
      <w:bookmarkEnd w:id="162"/>
    </w:p>
    <w:p w14:paraId="0F9C9E6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163" w:name="_Toc144974515"/>
      <w:bookmarkStart w:id="164" w:name="_Toc179632565"/>
      <w:bookmarkStart w:id="165" w:name="_Toc152045547"/>
      <w:bookmarkStart w:id="166" w:name="_Toc246996192"/>
      <w:bookmarkStart w:id="167" w:name="_Toc152042323"/>
      <w:bookmarkStart w:id="168" w:name="_Toc247085706"/>
      <w:bookmarkStart w:id="169" w:name="_Toc246996935"/>
      <w:r>
        <w:rPr>
          <w:rFonts w:hint="eastAsia" w:ascii="宋体" w:hAnsi="宋体" w:eastAsia="宋体" w:cs="宋体"/>
          <w:b/>
          <w:color w:val="auto"/>
          <w:spacing w:val="0"/>
          <w:sz w:val="24"/>
          <w:szCs w:val="24"/>
          <w:highlight w:val="none"/>
        </w:rPr>
        <w:t>3.1 响应文件的组成</w:t>
      </w:r>
      <w:bookmarkEnd w:id="163"/>
      <w:bookmarkEnd w:id="164"/>
      <w:bookmarkEnd w:id="165"/>
      <w:bookmarkEnd w:id="166"/>
      <w:bookmarkEnd w:id="167"/>
      <w:bookmarkEnd w:id="168"/>
      <w:bookmarkEnd w:id="169"/>
    </w:p>
    <w:p w14:paraId="7714AC1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响应文件应包括下列内容：</w:t>
      </w:r>
    </w:p>
    <w:p w14:paraId="08FD90A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w:t>
      </w:r>
      <w:r>
        <w:rPr>
          <w:rFonts w:hint="eastAsia" w:ascii="宋体" w:hAnsi="宋体" w:eastAsia="宋体" w:cs="宋体"/>
          <w:bCs/>
          <w:snapToGrid w:val="0"/>
          <w:color w:val="auto"/>
          <w:spacing w:val="0"/>
          <w:sz w:val="24"/>
          <w:szCs w:val="24"/>
          <w:highlight w:val="none"/>
          <w:lang w:val="en-US" w:eastAsia="zh-CN"/>
        </w:rPr>
        <w:t>报价函</w:t>
      </w:r>
      <w:r>
        <w:rPr>
          <w:rFonts w:hint="eastAsia" w:ascii="宋体" w:hAnsi="宋体" w:eastAsia="宋体" w:cs="宋体"/>
          <w:bCs/>
          <w:snapToGrid w:val="0"/>
          <w:color w:val="auto"/>
          <w:spacing w:val="0"/>
          <w:sz w:val="24"/>
          <w:szCs w:val="24"/>
          <w:highlight w:val="none"/>
          <w:lang w:val="zh-CN" w:eastAsia="zh-CN"/>
        </w:rPr>
        <w:t>；</w:t>
      </w:r>
    </w:p>
    <w:p w14:paraId="385ACCE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（2）法定代表人身份证明、法定代表人授权书；</w:t>
      </w:r>
    </w:p>
    <w:p w14:paraId="6A31376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（3）磋商保证金证明材料；</w:t>
      </w:r>
    </w:p>
    <w:p w14:paraId="7C81992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（4）报价一览表（第一次）；</w:t>
      </w:r>
    </w:p>
    <w:p w14:paraId="3FC1505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w:t>
      </w:r>
      <w:r>
        <w:rPr>
          <w:rFonts w:hint="eastAsia" w:ascii="宋体" w:hAnsi="宋体" w:eastAsia="宋体" w:cs="宋体"/>
          <w:bCs/>
          <w:snapToGrid w:val="0"/>
          <w:color w:val="auto"/>
          <w:spacing w:val="0"/>
          <w:sz w:val="24"/>
          <w:szCs w:val="24"/>
          <w:highlight w:val="none"/>
          <w:lang w:val="en-US" w:eastAsia="zh-CN"/>
        </w:rPr>
        <w:t>5</w:t>
      </w:r>
      <w:r>
        <w:rPr>
          <w:rFonts w:hint="eastAsia" w:ascii="宋体" w:hAnsi="宋体" w:eastAsia="宋体" w:cs="宋体"/>
          <w:bCs/>
          <w:snapToGrid w:val="0"/>
          <w:color w:val="auto"/>
          <w:spacing w:val="0"/>
          <w:sz w:val="24"/>
          <w:szCs w:val="24"/>
          <w:highlight w:val="none"/>
          <w:lang w:val="zh-CN" w:eastAsia="zh-CN"/>
        </w:rPr>
        <w:t>）已标价工程量清单；</w:t>
      </w:r>
    </w:p>
    <w:p w14:paraId="56A4079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w:t>
      </w:r>
      <w:r>
        <w:rPr>
          <w:rFonts w:hint="eastAsia" w:ascii="宋体" w:hAnsi="宋体" w:eastAsia="宋体" w:cs="宋体"/>
          <w:bCs/>
          <w:snapToGrid w:val="0"/>
          <w:color w:val="auto"/>
          <w:spacing w:val="0"/>
          <w:sz w:val="24"/>
          <w:szCs w:val="24"/>
          <w:highlight w:val="none"/>
          <w:lang w:val="en-US" w:eastAsia="zh-CN"/>
        </w:rPr>
        <w:t>6</w:t>
      </w:r>
      <w:r>
        <w:rPr>
          <w:rFonts w:hint="eastAsia" w:ascii="宋体" w:hAnsi="宋体" w:eastAsia="宋体" w:cs="宋体"/>
          <w:bCs/>
          <w:snapToGrid w:val="0"/>
          <w:color w:val="auto"/>
          <w:spacing w:val="0"/>
          <w:sz w:val="24"/>
          <w:szCs w:val="24"/>
          <w:highlight w:val="none"/>
          <w:lang w:val="zh-CN" w:eastAsia="zh-CN"/>
        </w:rPr>
        <w:t>）施工组织设计；</w:t>
      </w:r>
    </w:p>
    <w:p w14:paraId="0CCC60F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w:t>
      </w:r>
      <w:r>
        <w:rPr>
          <w:rFonts w:hint="eastAsia" w:ascii="宋体" w:hAnsi="宋体" w:eastAsia="宋体" w:cs="宋体"/>
          <w:bCs/>
          <w:snapToGrid w:val="0"/>
          <w:color w:val="auto"/>
          <w:spacing w:val="0"/>
          <w:sz w:val="24"/>
          <w:szCs w:val="24"/>
          <w:highlight w:val="none"/>
          <w:lang w:val="en-US" w:eastAsia="zh-CN"/>
        </w:rPr>
        <w:t>7</w:t>
      </w:r>
      <w:r>
        <w:rPr>
          <w:rFonts w:hint="eastAsia" w:ascii="宋体" w:hAnsi="宋体" w:eastAsia="宋体" w:cs="宋体"/>
          <w:bCs/>
          <w:snapToGrid w:val="0"/>
          <w:color w:val="auto"/>
          <w:spacing w:val="0"/>
          <w:sz w:val="24"/>
          <w:szCs w:val="24"/>
          <w:highlight w:val="none"/>
          <w:lang w:val="zh-CN" w:eastAsia="zh-CN"/>
        </w:rPr>
        <w:t>）项目管理机构；</w:t>
      </w:r>
    </w:p>
    <w:p w14:paraId="04C6FB4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w:t>
      </w:r>
      <w:r>
        <w:rPr>
          <w:rFonts w:hint="eastAsia" w:ascii="宋体" w:hAnsi="宋体" w:eastAsia="宋体" w:cs="宋体"/>
          <w:bCs/>
          <w:snapToGrid w:val="0"/>
          <w:color w:val="auto"/>
          <w:spacing w:val="0"/>
          <w:sz w:val="24"/>
          <w:szCs w:val="24"/>
          <w:highlight w:val="none"/>
          <w:lang w:val="en-US" w:eastAsia="zh-CN"/>
        </w:rPr>
        <w:t>8</w:t>
      </w:r>
      <w:r>
        <w:rPr>
          <w:rFonts w:hint="eastAsia" w:ascii="宋体" w:hAnsi="宋体" w:eastAsia="宋体" w:cs="宋体"/>
          <w:bCs/>
          <w:snapToGrid w:val="0"/>
          <w:color w:val="auto"/>
          <w:spacing w:val="0"/>
          <w:sz w:val="24"/>
          <w:szCs w:val="24"/>
          <w:highlight w:val="none"/>
          <w:lang w:val="zh-CN" w:eastAsia="zh-CN"/>
        </w:rPr>
        <w:t>）资格审查资料；</w:t>
      </w:r>
    </w:p>
    <w:p w14:paraId="106E2CB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w:t>
      </w:r>
      <w:r>
        <w:rPr>
          <w:rFonts w:hint="eastAsia" w:ascii="宋体" w:hAnsi="宋体" w:eastAsia="宋体" w:cs="宋体"/>
          <w:bCs/>
          <w:snapToGrid w:val="0"/>
          <w:color w:val="auto"/>
          <w:spacing w:val="0"/>
          <w:sz w:val="24"/>
          <w:szCs w:val="24"/>
          <w:highlight w:val="none"/>
          <w:lang w:val="en-US" w:eastAsia="zh-CN"/>
        </w:rPr>
        <w:t>9</w:t>
      </w:r>
      <w:r>
        <w:rPr>
          <w:rFonts w:hint="eastAsia" w:ascii="宋体" w:hAnsi="宋体" w:eastAsia="宋体" w:cs="宋体"/>
          <w:bCs/>
          <w:snapToGrid w:val="0"/>
          <w:color w:val="auto"/>
          <w:spacing w:val="0"/>
          <w:sz w:val="24"/>
          <w:szCs w:val="24"/>
          <w:highlight w:val="none"/>
          <w:lang w:val="zh-CN" w:eastAsia="zh-CN"/>
        </w:rPr>
        <w:t>）其他材料。</w:t>
      </w:r>
    </w:p>
    <w:p w14:paraId="52FAAC5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170" w:name="_Toc152042324"/>
      <w:bookmarkStart w:id="171" w:name="_Toc144974516"/>
      <w:bookmarkStart w:id="172" w:name="_Toc179632566"/>
      <w:bookmarkStart w:id="173" w:name="_Toc246996193"/>
      <w:bookmarkStart w:id="174" w:name="_Toc247085707"/>
      <w:bookmarkStart w:id="175" w:name="_Toc246996936"/>
      <w:bookmarkStart w:id="176" w:name="_Toc152045548"/>
      <w:r>
        <w:rPr>
          <w:rFonts w:hint="eastAsia" w:ascii="宋体" w:hAnsi="宋体" w:eastAsia="宋体" w:cs="宋体"/>
          <w:b/>
          <w:color w:val="auto"/>
          <w:spacing w:val="0"/>
          <w:sz w:val="24"/>
          <w:szCs w:val="24"/>
          <w:highlight w:val="none"/>
        </w:rPr>
        <w:t>3.2 磋商报价</w:t>
      </w:r>
      <w:bookmarkEnd w:id="170"/>
      <w:bookmarkEnd w:id="171"/>
      <w:bookmarkEnd w:id="172"/>
      <w:bookmarkEnd w:id="173"/>
      <w:bookmarkEnd w:id="174"/>
      <w:bookmarkEnd w:id="175"/>
      <w:bookmarkEnd w:id="176"/>
    </w:p>
    <w:p w14:paraId="4BEDCAE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3.2.1 响应人应按第四章“项目要求和技术要求”及第</w:t>
      </w:r>
      <w:r>
        <w:rPr>
          <w:rFonts w:hint="eastAsia" w:ascii="宋体" w:hAnsi="宋体" w:eastAsia="宋体" w:cs="宋体"/>
          <w:bCs/>
          <w:snapToGrid w:val="0"/>
          <w:color w:val="auto"/>
          <w:spacing w:val="0"/>
          <w:sz w:val="24"/>
          <w:szCs w:val="24"/>
          <w:highlight w:val="none"/>
          <w:lang w:val="en-US" w:eastAsia="zh-CN"/>
        </w:rPr>
        <w:t>七</w:t>
      </w:r>
      <w:r>
        <w:rPr>
          <w:rFonts w:hint="eastAsia" w:ascii="宋体" w:hAnsi="宋体" w:eastAsia="宋体" w:cs="宋体"/>
          <w:bCs/>
          <w:snapToGrid w:val="0"/>
          <w:color w:val="auto"/>
          <w:spacing w:val="0"/>
          <w:sz w:val="24"/>
          <w:szCs w:val="24"/>
          <w:highlight w:val="none"/>
          <w:lang w:val="zh-CN" w:eastAsia="zh-CN"/>
        </w:rPr>
        <w:t>章“响应文件格式”的要求填写相应表格。</w:t>
      </w:r>
    </w:p>
    <w:p w14:paraId="2144B8A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3.2.2 响应人在磋商截止时间前修改报价函中的磋商报价总额，应同时修改“报价表”中的相应报价，磋商报价总额为各分项金额之和。此修改须符合本章第4.3款的有关要求。</w:t>
      </w:r>
      <w:bookmarkStart w:id="177" w:name="_Toc179632567"/>
      <w:bookmarkStart w:id="178" w:name="_Toc144974517"/>
      <w:bookmarkStart w:id="179" w:name="_Toc152045549"/>
      <w:bookmarkStart w:id="180" w:name="_Toc152042325"/>
    </w:p>
    <w:p w14:paraId="72ADBAA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3.2.3 采购人设有采购预算的，响应人的磋商报价不得超过采购预算，采购预算或其计算方法在响应人须知前附表中载明。</w:t>
      </w:r>
    </w:p>
    <w:p w14:paraId="73D32AE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3.2.4 磋商报价：</w:t>
      </w:r>
      <w:bookmarkStart w:id="181" w:name="_Toc246996194"/>
      <w:bookmarkStart w:id="182" w:name="_Toc246996937"/>
      <w:bookmarkStart w:id="183" w:name="_Toc247085708"/>
      <w:r>
        <w:rPr>
          <w:rFonts w:hint="eastAsia" w:ascii="宋体" w:hAnsi="宋体" w:eastAsia="宋体" w:cs="宋体"/>
          <w:bCs/>
          <w:snapToGrid w:val="0"/>
          <w:color w:val="auto"/>
          <w:spacing w:val="0"/>
          <w:sz w:val="24"/>
          <w:szCs w:val="24"/>
          <w:highlight w:val="none"/>
          <w:lang w:val="zh-CN" w:eastAsia="zh-CN"/>
        </w:rPr>
        <w:t>采用综合报价方式。</w:t>
      </w:r>
    </w:p>
    <w:p w14:paraId="353B968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3.3 磋商有效期</w:t>
      </w:r>
      <w:bookmarkEnd w:id="177"/>
      <w:bookmarkEnd w:id="178"/>
      <w:bookmarkEnd w:id="179"/>
      <w:bookmarkEnd w:id="180"/>
      <w:bookmarkEnd w:id="181"/>
      <w:bookmarkEnd w:id="182"/>
      <w:bookmarkEnd w:id="183"/>
    </w:p>
    <w:p w14:paraId="424B820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3.3.1 除响应人须知前附表另有规定外，磋商有效期为90天。</w:t>
      </w:r>
    </w:p>
    <w:p w14:paraId="530A025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3.3.2在磋商有效期内，响应人撤销或修改其响应文件的，应承担磋商文件和法律规定的责任。</w:t>
      </w:r>
    </w:p>
    <w:p w14:paraId="1D137D0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3.3.3出现特殊情况需要延长磋商有效期的，采购人以书面形式通知所有响应人延长磋商有效期。响应人同意延长的，应相应延长其磋商保证金的有效期，但不得要求或被允许修改或撤销其响应文件；响应人拒绝延长的，其磋商失效，但响应人有权收回其磋商保证金。</w:t>
      </w:r>
    </w:p>
    <w:p w14:paraId="45E13A9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lang w:eastAsia="zh-CN"/>
        </w:rPr>
      </w:pPr>
      <w:bookmarkStart w:id="184" w:name="_Toc246996938"/>
      <w:bookmarkStart w:id="185" w:name="_Toc152045550"/>
      <w:bookmarkStart w:id="186" w:name="_Toc247085709"/>
      <w:bookmarkStart w:id="187" w:name="_Toc152042326"/>
      <w:bookmarkStart w:id="188" w:name="_Toc179632568"/>
      <w:bookmarkStart w:id="189" w:name="_Toc144974518"/>
      <w:bookmarkStart w:id="190" w:name="_Toc246996195"/>
      <w:r>
        <w:rPr>
          <w:rFonts w:hint="eastAsia" w:ascii="宋体" w:hAnsi="宋体" w:eastAsia="宋体" w:cs="宋体"/>
          <w:b/>
          <w:color w:val="auto"/>
          <w:spacing w:val="0"/>
          <w:sz w:val="24"/>
          <w:szCs w:val="24"/>
          <w:highlight w:val="none"/>
        </w:rPr>
        <w:t>3.4 磋商保证金</w:t>
      </w:r>
      <w:bookmarkEnd w:id="184"/>
      <w:bookmarkEnd w:id="185"/>
      <w:bookmarkEnd w:id="186"/>
      <w:bookmarkEnd w:id="187"/>
      <w:bookmarkEnd w:id="188"/>
      <w:bookmarkEnd w:id="189"/>
      <w:bookmarkEnd w:id="190"/>
      <w:r>
        <w:rPr>
          <w:rFonts w:hint="eastAsia" w:ascii="宋体" w:hAnsi="宋体" w:eastAsia="宋体" w:cs="宋体"/>
          <w:b/>
          <w:color w:val="auto"/>
          <w:spacing w:val="0"/>
          <w:sz w:val="24"/>
          <w:szCs w:val="24"/>
          <w:highlight w:val="none"/>
          <w:lang w:eastAsia="zh-CN"/>
        </w:rPr>
        <w:t>（不适用）</w:t>
      </w:r>
    </w:p>
    <w:p w14:paraId="290D646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3.4.1 响应人须知前附表规定递交磋商保证金的，响应人在递交响应文件的同时，应按响应人须知前附表规定的金额、担保形式和第</w:t>
      </w:r>
      <w:r>
        <w:rPr>
          <w:rFonts w:hint="eastAsia" w:ascii="宋体" w:hAnsi="宋体" w:eastAsia="宋体" w:cs="宋体"/>
          <w:bCs/>
          <w:snapToGrid w:val="0"/>
          <w:color w:val="auto"/>
          <w:spacing w:val="0"/>
          <w:sz w:val="24"/>
          <w:szCs w:val="24"/>
          <w:highlight w:val="none"/>
          <w:lang w:val="en-US" w:eastAsia="zh-CN"/>
        </w:rPr>
        <w:t>七</w:t>
      </w:r>
      <w:r>
        <w:rPr>
          <w:rFonts w:hint="eastAsia" w:ascii="宋体" w:hAnsi="宋体" w:eastAsia="宋体" w:cs="宋体"/>
          <w:bCs/>
          <w:snapToGrid w:val="0"/>
          <w:color w:val="auto"/>
          <w:spacing w:val="0"/>
          <w:sz w:val="24"/>
          <w:szCs w:val="24"/>
          <w:highlight w:val="none"/>
          <w:lang w:val="zh-CN" w:eastAsia="zh-CN"/>
        </w:rPr>
        <w:t>章“响应文件格式”规定的或者事先经过采购人认可的磋商保证金格式递交磋商保证金，并作为其响应文件的组成部分。</w:t>
      </w:r>
    </w:p>
    <w:p w14:paraId="79CBE56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3.4.2 响应人不按本章第3.4.1项要求提交磋商保证金的，磋商小组将作废标处理。</w:t>
      </w:r>
    </w:p>
    <w:p w14:paraId="59844F5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3.4.3 采购人向成交响应人发放成交通知书后五个工作日内，退还未成交响应人的磋商保证金，采购人与成交响应人签订合同后五个工作日内，退还成交响应人的磋商保证金。</w:t>
      </w:r>
    </w:p>
    <w:p w14:paraId="54D5D4A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 xml:space="preserve">3.4.4 有下列情形之一的，磋商保证金将不予退还： </w:t>
      </w:r>
    </w:p>
    <w:p w14:paraId="0ADC77C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（1）响应人在规定的磋商有效期内撤销或修改其响应文件；</w:t>
      </w:r>
    </w:p>
    <w:p w14:paraId="4DCDD3D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（2）成交响应人在收到成交通知书后，无正当理由拒签合同。</w:t>
      </w:r>
    </w:p>
    <w:p w14:paraId="3ED98B2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191" w:name="_Toc152042328"/>
      <w:bookmarkStart w:id="192" w:name="_Toc179632570"/>
      <w:bookmarkStart w:id="193" w:name="_Toc246996196"/>
      <w:bookmarkStart w:id="194" w:name="_Toc246996939"/>
      <w:bookmarkStart w:id="195" w:name="_Toc152045552"/>
      <w:bookmarkStart w:id="196" w:name="_Toc247085710"/>
      <w:bookmarkStart w:id="197" w:name="_Toc144974520"/>
      <w:r>
        <w:rPr>
          <w:rFonts w:hint="eastAsia" w:ascii="宋体" w:hAnsi="宋体" w:eastAsia="宋体" w:cs="宋体"/>
          <w:b/>
          <w:color w:val="auto"/>
          <w:spacing w:val="0"/>
          <w:sz w:val="24"/>
          <w:szCs w:val="24"/>
          <w:highlight w:val="none"/>
        </w:rPr>
        <w:t>3.5 资格审查资料</w:t>
      </w:r>
      <w:bookmarkEnd w:id="191"/>
      <w:bookmarkEnd w:id="192"/>
      <w:bookmarkEnd w:id="193"/>
      <w:bookmarkEnd w:id="194"/>
      <w:bookmarkEnd w:id="195"/>
      <w:bookmarkEnd w:id="196"/>
      <w:bookmarkEnd w:id="197"/>
    </w:p>
    <w:p w14:paraId="4DCD760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3.5.1 “响应人基本情况表”应附响应人营业执照副本等材料的复印件。</w:t>
      </w:r>
    </w:p>
    <w:p w14:paraId="1DF3260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3.5.2 “近年财务状况”具体要求见响应人须知前附表。</w:t>
      </w:r>
    </w:p>
    <w:p w14:paraId="09CD9BD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3.5.3 “近年完成的类似项目情况表”应附成交通知书或合同协议书复印件，具体年份要求见响应人须知前附表。每张表格只填写一个项目，并标明序号。</w:t>
      </w:r>
    </w:p>
    <w:p w14:paraId="1D35760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3.5.4 “正在进行和新承接的项目情况表”应附成交通知书或合同协议书复印件。每张表格只填写一个项目，并标明序号。</w:t>
      </w:r>
    </w:p>
    <w:p w14:paraId="241748F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198" w:name="_Toc152042329"/>
      <w:bookmarkStart w:id="199" w:name="_Toc247085711"/>
      <w:bookmarkStart w:id="200" w:name="_Toc179632571"/>
      <w:bookmarkStart w:id="201" w:name="_Toc144974521"/>
      <w:bookmarkStart w:id="202" w:name="_Toc246996197"/>
      <w:bookmarkStart w:id="203" w:name="_Toc152045553"/>
      <w:bookmarkStart w:id="204" w:name="_Toc246996940"/>
      <w:r>
        <w:rPr>
          <w:rFonts w:hint="eastAsia" w:ascii="宋体" w:hAnsi="宋体" w:eastAsia="宋体" w:cs="宋体"/>
          <w:b/>
          <w:color w:val="auto"/>
          <w:spacing w:val="0"/>
          <w:sz w:val="24"/>
          <w:szCs w:val="24"/>
          <w:highlight w:val="none"/>
        </w:rPr>
        <w:t>3.6响应文件的编制</w:t>
      </w:r>
    </w:p>
    <w:p w14:paraId="526CF15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3.6.1响应文件应按第</w:t>
      </w:r>
      <w:r>
        <w:rPr>
          <w:rFonts w:hint="eastAsia" w:ascii="宋体" w:hAnsi="宋体" w:eastAsia="宋体" w:cs="宋体"/>
          <w:bCs/>
          <w:snapToGrid w:val="0"/>
          <w:color w:val="auto"/>
          <w:spacing w:val="0"/>
          <w:sz w:val="24"/>
          <w:szCs w:val="24"/>
          <w:highlight w:val="none"/>
          <w:lang w:val="en-US" w:eastAsia="zh-CN"/>
        </w:rPr>
        <w:t>七</w:t>
      </w:r>
      <w:r>
        <w:rPr>
          <w:rFonts w:hint="eastAsia" w:ascii="宋体" w:hAnsi="宋体" w:eastAsia="宋体" w:cs="宋体"/>
          <w:bCs/>
          <w:snapToGrid w:val="0"/>
          <w:color w:val="auto"/>
          <w:spacing w:val="0"/>
          <w:sz w:val="24"/>
          <w:szCs w:val="24"/>
          <w:highlight w:val="none"/>
          <w:lang w:val="zh-CN" w:eastAsia="zh-CN"/>
        </w:rPr>
        <w:t>章“响应文件格式”进行编写，如有必要，可以增加附页，作为响应文件的组成部分。其中，报价函附录在满足磋商文件实质性要求的基础上，可以提出比磋商文件要求更有利于采购人的承诺。</w:t>
      </w:r>
    </w:p>
    <w:p w14:paraId="6637561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3.6.2 响应文件应当对磋商文件有关服务期、磋商有效期、质量要求、技术标准和要求、磋商范围等实质性内容作出响应。</w:t>
      </w:r>
    </w:p>
    <w:p w14:paraId="77C86DB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3.6.3响应文件应用不褪色的材料书写或打印，并由响应人的法定代表人或其委托代理人签字或盖单位章。委托代理人签字的，响应文件应附法定代表人签署的授权委托书。响应文件应尽量避免涂改、行间插字或删除。如果出现上述情况，改动之处应加盖单位章或由响应人的法定代表人或其授权的代理人签字确认。签字或盖章的具体要求见响应人须知前附表。</w:t>
      </w:r>
    </w:p>
    <w:p w14:paraId="05EBF57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3.6.4 响应文件正本一份, 副本份数见响应人须知前附表。正本和副本的封面上应清楚地标记“正本”或“副本”的字样。当副本和正本不一致时，以正本为准。</w:t>
      </w:r>
    </w:p>
    <w:p w14:paraId="2313A05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3.6.5 响应文件的正本与副本应分别装订成册，具体装订要求见响应人须知前附表规定。</w:t>
      </w:r>
      <w:bookmarkEnd w:id="198"/>
      <w:bookmarkEnd w:id="199"/>
      <w:bookmarkEnd w:id="200"/>
      <w:bookmarkEnd w:id="201"/>
      <w:bookmarkEnd w:id="202"/>
      <w:bookmarkEnd w:id="203"/>
      <w:bookmarkEnd w:id="204"/>
      <w:bookmarkStart w:id="205" w:name="_Toc247085713"/>
      <w:bookmarkStart w:id="206" w:name="_Toc179632573"/>
      <w:bookmarkStart w:id="207" w:name="_Toc246996199"/>
      <w:bookmarkStart w:id="208" w:name="_Toc246996942"/>
      <w:bookmarkStart w:id="209" w:name="_Toc152045555"/>
      <w:bookmarkStart w:id="210" w:name="_Toc144974523"/>
      <w:bookmarkStart w:id="211" w:name="_Toc152042331"/>
    </w:p>
    <w:p w14:paraId="46AA4C9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212" w:name="_Toc450588610"/>
      <w:bookmarkStart w:id="213" w:name="_Toc409424316"/>
      <w:bookmarkStart w:id="214" w:name="_Toc409424377"/>
      <w:r>
        <w:rPr>
          <w:rFonts w:hint="eastAsia" w:ascii="宋体" w:hAnsi="宋体" w:eastAsia="宋体" w:cs="宋体"/>
          <w:b/>
          <w:color w:val="auto"/>
          <w:spacing w:val="0"/>
          <w:sz w:val="24"/>
          <w:szCs w:val="24"/>
          <w:highlight w:val="none"/>
        </w:rPr>
        <w:t>4. 磋商</w:t>
      </w:r>
      <w:bookmarkEnd w:id="205"/>
      <w:bookmarkEnd w:id="206"/>
      <w:bookmarkEnd w:id="207"/>
      <w:bookmarkEnd w:id="208"/>
      <w:bookmarkEnd w:id="209"/>
      <w:bookmarkEnd w:id="210"/>
      <w:bookmarkEnd w:id="211"/>
      <w:bookmarkEnd w:id="212"/>
      <w:bookmarkEnd w:id="213"/>
      <w:bookmarkEnd w:id="214"/>
    </w:p>
    <w:p w14:paraId="3A31D68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215" w:name="_Toc144974524"/>
      <w:bookmarkStart w:id="216" w:name="_Toc179632574"/>
      <w:bookmarkStart w:id="217" w:name="_Toc246996200"/>
      <w:bookmarkStart w:id="218" w:name="_Toc247085714"/>
      <w:bookmarkStart w:id="219" w:name="_Toc152045556"/>
      <w:bookmarkStart w:id="220" w:name="_Toc152042332"/>
      <w:bookmarkStart w:id="221" w:name="_Toc246996943"/>
      <w:r>
        <w:rPr>
          <w:rFonts w:hint="eastAsia" w:ascii="宋体" w:hAnsi="宋体" w:eastAsia="宋体" w:cs="宋体"/>
          <w:b/>
          <w:color w:val="auto"/>
          <w:spacing w:val="0"/>
          <w:sz w:val="24"/>
          <w:szCs w:val="24"/>
          <w:highlight w:val="none"/>
        </w:rPr>
        <w:t>4.1 响应文件的密封和标记</w:t>
      </w:r>
      <w:bookmarkEnd w:id="215"/>
      <w:bookmarkEnd w:id="216"/>
      <w:bookmarkEnd w:id="217"/>
      <w:bookmarkEnd w:id="218"/>
      <w:bookmarkEnd w:id="219"/>
      <w:bookmarkEnd w:id="220"/>
      <w:bookmarkEnd w:id="221"/>
      <w:r>
        <w:rPr>
          <w:rFonts w:hint="eastAsia" w:ascii="宋体" w:hAnsi="宋体" w:eastAsia="宋体" w:cs="宋体"/>
          <w:b/>
          <w:color w:val="auto"/>
          <w:spacing w:val="0"/>
          <w:sz w:val="24"/>
          <w:szCs w:val="24"/>
          <w:highlight w:val="none"/>
          <w:lang w:eastAsia="zh-CN"/>
        </w:rPr>
        <w:t>（</w:t>
      </w:r>
      <w:r>
        <w:rPr>
          <w:rFonts w:hint="eastAsia" w:ascii="宋体" w:hAnsi="宋体" w:eastAsia="宋体" w:cs="宋体"/>
          <w:b/>
          <w:color w:val="auto"/>
          <w:spacing w:val="0"/>
          <w:sz w:val="24"/>
          <w:szCs w:val="24"/>
          <w:highlight w:val="none"/>
          <w:lang w:val="en-US" w:eastAsia="zh-CN"/>
        </w:rPr>
        <w:t>电子标</w:t>
      </w:r>
      <w:r>
        <w:rPr>
          <w:rFonts w:hint="eastAsia" w:ascii="宋体" w:hAnsi="宋体" w:eastAsia="宋体" w:cs="宋体"/>
          <w:b/>
          <w:color w:val="auto"/>
          <w:spacing w:val="0"/>
          <w:sz w:val="24"/>
          <w:szCs w:val="24"/>
          <w:highlight w:val="none"/>
          <w:lang w:eastAsia="zh-CN"/>
        </w:rPr>
        <w:t>不适用）</w:t>
      </w:r>
    </w:p>
    <w:p w14:paraId="6537A28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bookmarkStart w:id="222" w:name="_Toc152045557"/>
      <w:bookmarkStart w:id="223" w:name="_Toc152042333"/>
      <w:bookmarkStart w:id="224" w:name="_Toc247085715"/>
      <w:bookmarkStart w:id="225" w:name="_Toc179632575"/>
      <w:bookmarkStart w:id="226" w:name="_Toc246996201"/>
      <w:bookmarkStart w:id="227" w:name="_Toc246996944"/>
      <w:bookmarkStart w:id="228" w:name="_Toc144974525"/>
      <w:r>
        <w:rPr>
          <w:rFonts w:hint="eastAsia" w:ascii="宋体" w:hAnsi="宋体" w:eastAsia="宋体" w:cs="宋体"/>
          <w:bCs/>
          <w:snapToGrid w:val="0"/>
          <w:color w:val="auto"/>
          <w:spacing w:val="0"/>
          <w:sz w:val="24"/>
          <w:szCs w:val="24"/>
          <w:highlight w:val="none"/>
          <w:lang w:val="zh-CN" w:eastAsia="zh-CN"/>
        </w:rPr>
        <w:t>4.1.1 响应文件正副本合包为一包，外封套须在封口处加盖响应人单位章。</w:t>
      </w:r>
    </w:p>
    <w:p w14:paraId="6D06F9C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4.1.2 响应文件封套上应写明：项目名称、项目编号、投标单位名称、投标单位地址、投标单位联系人及电话。</w:t>
      </w:r>
    </w:p>
    <w:p w14:paraId="6F6FE88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4.1.3 未按本章第4.1.1项、第4.1.2项要求密封和加写标记的响应文件，采购人应予拒收。</w:t>
      </w:r>
    </w:p>
    <w:p w14:paraId="1824CF2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4.2 响应文件的递交</w:t>
      </w:r>
      <w:bookmarkEnd w:id="222"/>
      <w:bookmarkEnd w:id="223"/>
      <w:bookmarkEnd w:id="224"/>
      <w:bookmarkEnd w:id="225"/>
      <w:bookmarkEnd w:id="226"/>
      <w:bookmarkEnd w:id="227"/>
      <w:bookmarkEnd w:id="228"/>
    </w:p>
    <w:p w14:paraId="7B73617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4.2.1 响应人应在本章第2.2.2项规定的磋商截止时间前递交响应文件。</w:t>
      </w:r>
    </w:p>
    <w:p w14:paraId="3A14829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4.2.2 响应人递交响应文件的地点：见响应人须知前附表。</w:t>
      </w:r>
    </w:p>
    <w:p w14:paraId="1A4DF42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4.2.3 除响应人须知前附表另有规定外，响应人所递交的响应文件不予退还。</w:t>
      </w:r>
    </w:p>
    <w:p w14:paraId="0AC00B3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4.2.4 采购人收到响应文件后，向响应人出具签收凭证。</w:t>
      </w:r>
    </w:p>
    <w:p w14:paraId="797B36D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4.2.5 逾期送达的或者未送达指定地点的响应文件，采购人不予受理。</w:t>
      </w:r>
    </w:p>
    <w:p w14:paraId="0665F72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229" w:name="_Toc152042334"/>
      <w:bookmarkStart w:id="230" w:name="_Toc246996945"/>
      <w:bookmarkStart w:id="231" w:name="_Toc247085716"/>
      <w:bookmarkStart w:id="232" w:name="_Toc144974526"/>
      <w:bookmarkStart w:id="233" w:name="_Toc152045558"/>
      <w:bookmarkStart w:id="234" w:name="_Toc179632576"/>
      <w:bookmarkStart w:id="235" w:name="_Toc246996202"/>
      <w:r>
        <w:rPr>
          <w:rFonts w:hint="eastAsia" w:ascii="宋体" w:hAnsi="宋体" w:eastAsia="宋体" w:cs="宋体"/>
          <w:b/>
          <w:color w:val="auto"/>
          <w:spacing w:val="0"/>
          <w:sz w:val="24"/>
          <w:szCs w:val="24"/>
          <w:highlight w:val="none"/>
        </w:rPr>
        <w:t>4.3 响应文件的修改与撤回</w:t>
      </w:r>
      <w:bookmarkEnd w:id="229"/>
      <w:bookmarkEnd w:id="230"/>
      <w:bookmarkEnd w:id="231"/>
      <w:bookmarkEnd w:id="232"/>
      <w:bookmarkEnd w:id="233"/>
      <w:bookmarkEnd w:id="234"/>
      <w:bookmarkEnd w:id="235"/>
    </w:p>
    <w:p w14:paraId="795CB02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4.3.1 在本章第2.2.2项规定的磋商截止时间前，响应人可以修改或撤回已递交的响应文件，但应以书面形式通知采购人。</w:t>
      </w:r>
    </w:p>
    <w:p w14:paraId="2243206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4.3.2 响应人修改或撤回已递交响应文件的书面通知应按照本章第3.6.3项的要求签字或盖章。采购人收到书面通知后，向响应人出具签收凭证。</w:t>
      </w:r>
    </w:p>
    <w:p w14:paraId="5FA4196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4.3.3 响应人撤回响应文件的，采购人自收到响应人书面撤回通知之日起5日内退还已收取的磋商保证金。</w:t>
      </w:r>
    </w:p>
    <w:p w14:paraId="52C1347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4.3.4 修改的内容为响应文件的组成部分。修改的响应文件应按照本章第3条、第4条规定进行编制、密封、标记和递交，并标明“修改”字样。</w:t>
      </w:r>
    </w:p>
    <w:p w14:paraId="1E2D16C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236" w:name="_Toc152042335"/>
      <w:bookmarkStart w:id="237" w:name="_Toc246996203"/>
      <w:bookmarkStart w:id="238" w:name="_Toc409424317"/>
      <w:bookmarkStart w:id="239" w:name="_Toc144974527"/>
      <w:bookmarkStart w:id="240" w:name="_Toc247085717"/>
      <w:bookmarkStart w:id="241" w:name="_Toc409424378"/>
      <w:bookmarkStart w:id="242" w:name="_Toc246996946"/>
      <w:bookmarkStart w:id="243" w:name="_Toc450588611"/>
      <w:bookmarkStart w:id="244" w:name="_Toc152045559"/>
      <w:bookmarkStart w:id="245" w:name="_Toc179632577"/>
      <w:r>
        <w:rPr>
          <w:rFonts w:hint="eastAsia" w:ascii="宋体" w:hAnsi="宋体" w:eastAsia="宋体" w:cs="宋体"/>
          <w:b/>
          <w:color w:val="auto"/>
          <w:spacing w:val="0"/>
          <w:sz w:val="24"/>
          <w:szCs w:val="24"/>
          <w:highlight w:val="none"/>
        </w:rPr>
        <w:t>5. 磋商</w:t>
      </w:r>
      <w:bookmarkEnd w:id="236"/>
      <w:bookmarkEnd w:id="237"/>
      <w:bookmarkEnd w:id="238"/>
      <w:bookmarkEnd w:id="239"/>
      <w:bookmarkEnd w:id="240"/>
      <w:bookmarkEnd w:id="241"/>
      <w:bookmarkEnd w:id="242"/>
      <w:bookmarkEnd w:id="243"/>
      <w:bookmarkEnd w:id="244"/>
      <w:bookmarkEnd w:id="245"/>
    </w:p>
    <w:p w14:paraId="6BC0A8F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246" w:name="_Toc152042336"/>
      <w:bookmarkStart w:id="247" w:name="_Toc246996947"/>
      <w:bookmarkStart w:id="248" w:name="_Toc246996204"/>
      <w:bookmarkStart w:id="249" w:name="_Toc152045560"/>
      <w:bookmarkStart w:id="250" w:name="_Toc179632578"/>
      <w:bookmarkStart w:id="251" w:name="_Toc144974528"/>
      <w:bookmarkStart w:id="252" w:name="_Toc247085718"/>
      <w:r>
        <w:rPr>
          <w:rFonts w:hint="eastAsia" w:ascii="宋体" w:hAnsi="宋体" w:eastAsia="宋体" w:cs="宋体"/>
          <w:b/>
          <w:color w:val="auto"/>
          <w:spacing w:val="0"/>
          <w:sz w:val="24"/>
          <w:szCs w:val="24"/>
          <w:highlight w:val="none"/>
        </w:rPr>
        <w:t>5.1 磋商时间和地点</w:t>
      </w:r>
      <w:bookmarkEnd w:id="246"/>
      <w:bookmarkEnd w:id="247"/>
      <w:bookmarkEnd w:id="248"/>
      <w:bookmarkEnd w:id="249"/>
      <w:bookmarkEnd w:id="250"/>
      <w:bookmarkEnd w:id="251"/>
      <w:bookmarkEnd w:id="252"/>
    </w:p>
    <w:p w14:paraId="5A37237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采购人在本章第2.2.2项规定的磋商截止时间（磋商时间）和响应人须知前附表规定的地点公开磋商，并邀请所有响应人的法定代表人或其委托代理人准时参加。</w:t>
      </w:r>
    </w:p>
    <w:p w14:paraId="53FCB9B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253" w:name="_Toc152042337"/>
      <w:bookmarkStart w:id="254" w:name="_Toc246996205"/>
      <w:bookmarkStart w:id="255" w:name="_Toc179632579"/>
      <w:bookmarkStart w:id="256" w:name="_Toc152045561"/>
      <w:bookmarkStart w:id="257" w:name="_Toc246996948"/>
      <w:bookmarkStart w:id="258" w:name="_Toc247085719"/>
      <w:bookmarkStart w:id="259" w:name="_Toc144974529"/>
      <w:r>
        <w:rPr>
          <w:rFonts w:hint="eastAsia" w:ascii="宋体" w:hAnsi="宋体" w:eastAsia="宋体" w:cs="宋体"/>
          <w:b/>
          <w:color w:val="auto"/>
          <w:spacing w:val="0"/>
          <w:sz w:val="24"/>
          <w:szCs w:val="24"/>
          <w:highlight w:val="none"/>
        </w:rPr>
        <w:t>5.2 磋商程序</w:t>
      </w:r>
      <w:bookmarkEnd w:id="253"/>
      <w:bookmarkEnd w:id="254"/>
      <w:bookmarkEnd w:id="255"/>
      <w:bookmarkEnd w:id="256"/>
      <w:bookmarkEnd w:id="257"/>
      <w:bookmarkEnd w:id="258"/>
      <w:bookmarkEnd w:id="259"/>
    </w:p>
    <w:p w14:paraId="3D83404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主持人按下列程序进行磋商：</w:t>
      </w:r>
    </w:p>
    <w:p w14:paraId="76F8EBF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（1）投标截止时间进行远程解密；</w:t>
      </w:r>
    </w:p>
    <w:p w14:paraId="1632224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（2）全过程由政采云系统记录在案；</w:t>
      </w:r>
    </w:p>
    <w:p w14:paraId="6CF8572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w:t>
      </w:r>
      <w:r>
        <w:rPr>
          <w:rFonts w:hint="eastAsia" w:ascii="宋体" w:hAnsi="宋体" w:eastAsia="宋体" w:cs="宋体"/>
          <w:bCs/>
          <w:snapToGrid w:val="0"/>
          <w:color w:val="auto"/>
          <w:spacing w:val="0"/>
          <w:sz w:val="24"/>
          <w:szCs w:val="24"/>
          <w:highlight w:val="none"/>
          <w:lang w:val="en-US" w:eastAsia="zh-CN"/>
        </w:rPr>
        <w:t>3</w:t>
      </w:r>
      <w:r>
        <w:rPr>
          <w:rFonts w:hint="eastAsia" w:ascii="宋体" w:hAnsi="宋体" w:eastAsia="宋体" w:cs="宋体"/>
          <w:bCs/>
          <w:snapToGrid w:val="0"/>
          <w:color w:val="auto"/>
          <w:spacing w:val="0"/>
          <w:sz w:val="24"/>
          <w:szCs w:val="24"/>
          <w:highlight w:val="none"/>
          <w:lang w:val="zh-CN" w:eastAsia="zh-CN"/>
        </w:rPr>
        <w:t>）政采云抽取评标专家。</w:t>
      </w:r>
    </w:p>
    <w:p w14:paraId="702BD99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260" w:name="_Toc409424318"/>
      <w:bookmarkStart w:id="261" w:name="_Toc144974530"/>
      <w:bookmarkStart w:id="262" w:name="_Toc179632580"/>
      <w:bookmarkStart w:id="263" w:name="_Toc152045562"/>
      <w:bookmarkStart w:id="264" w:name="_Toc247085720"/>
      <w:bookmarkStart w:id="265" w:name="_Toc246996206"/>
      <w:bookmarkStart w:id="266" w:name="_Toc409424379"/>
      <w:bookmarkStart w:id="267" w:name="_Toc152042338"/>
      <w:bookmarkStart w:id="268" w:name="_Toc246996949"/>
      <w:bookmarkStart w:id="269" w:name="_Toc450588612"/>
      <w:r>
        <w:rPr>
          <w:rFonts w:hint="eastAsia" w:ascii="宋体" w:hAnsi="宋体" w:eastAsia="宋体" w:cs="宋体"/>
          <w:b/>
          <w:color w:val="auto"/>
          <w:spacing w:val="0"/>
          <w:sz w:val="24"/>
          <w:szCs w:val="24"/>
          <w:highlight w:val="none"/>
        </w:rPr>
        <w:t>6. 磋商</w:t>
      </w:r>
      <w:bookmarkEnd w:id="260"/>
      <w:bookmarkEnd w:id="261"/>
      <w:bookmarkEnd w:id="262"/>
      <w:bookmarkEnd w:id="263"/>
      <w:bookmarkEnd w:id="264"/>
      <w:bookmarkEnd w:id="265"/>
      <w:bookmarkEnd w:id="266"/>
      <w:bookmarkEnd w:id="267"/>
      <w:bookmarkEnd w:id="268"/>
      <w:bookmarkEnd w:id="269"/>
    </w:p>
    <w:p w14:paraId="2BD29D5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lang w:val="zh-CN" w:eastAsia="zh-CN"/>
        </w:rPr>
      </w:pPr>
      <w:bookmarkStart w:id="270" w:name="_Toc246996207"/>
      <w:bookmarkStart w:id="271" w:name="_Toc152045563"/>
      <w:bookmarkStart w:id="272" w:name="_Toc247085721"/>
      <w:bookmarkStart w:id="273" w:name="_Toc144974531"/>
      <w:bookmarkStart w:id="274" w:name="_Toc152042339"/>
      <w:bookmarkStart w:id="275" w:name="_Toc179632581"/>
      <w:bookmarkStart w:id="276" w:name="_Toc246996950"/>
      <w:r>
        <w:rPr>
          <w:rFonts w:hint="eastAsia" w:ascii="宋体" w:hAnsi="宋体" w:eastAsia="宋体" w:cs="宋体"/>
          <w:b/>
          <w:color w:val="auto"/>
          <w:spacing w:val="0"/>
          <w:sz w:val="24"/>
          <w:szCs w:val="24"/>
          <w:highlight w:val="none"/>
        </w:rPr>
        <w:t>6.</w:t>
      </w:r>
      <w:r>
        <w:rPr>
          <w:rFonts w:hint="eastAsia" w:ascii="宋体" w:hAnsi="宋体" w:eastAsia="宋体" w:cs="宋体"/>
          <w:b/>
          <w:color w:val="auto"/>
          <w:spacing w:val="0"/>
          <w:sz w:val="24"/>
          <w:szCs w:val="24"/>
          <w:highlight w:val="none"/>
          <w:lang w:val="zh-CN" w:eastAsia="zh-CN"/>
        </w:rPr>
        <w:t xml:space="preserve">1 </w:t>
      </w:r>
      <w:bookmarkEnd w:id="270"/>
      <w:bookmarkEnd w:id="271"/>
      <w:bookmarkEnd w:id="272"/>
      <w:bookmarkEnd w:id="273"/>
      <w:bookmarkEnd w:id="274"/>
      <w:bookmarkEnd w:id="275"/>
      <w:bookmarkEnd w:id="276"/>
      <w:r>
        <w:rPr>
          <w:rFonts w:hint="eastAsia" w:ascii="宋体" w:hAnsi="宋体" w:eastAsia="宋体" w:cs="宋体"/>
          <w:b/>
          <w:color w:val="auto"/>
          <w:spacing w:val="0"/>
          <w:sz w:val="24"/>
          <w:szCs w:val="24"/>
          <w:highlight w:val="none"/>
          <w:lang w:val="zh-CN" w:eastAsia="zh-CN"/>
        </w:rPr>
        <w:t>磋商小组</w:t>
      </w:r>
    </w:p>
    <w:p w14:paraId="7222E97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6.1.1 磋商由采购人依法组建的磋商小组负责。磋商小组由采购人熟悉相关业务的代表，以及有关技术、经济等方面的专家组成。磋商小组成员人数以及技术、经济等方面专家的确定方式见响应人须知前附表。</w:t>
      </w:r>
    </w:p>
    <w:p w14:paraId="28FFACA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6.1.2 磋商小组成员有下列情形之一的，应当回避：</w:t>
      </w:r>
    </w:p>
    <w:p w14:paraId="3C1265F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（1）响应人或响应人主要负责人的近亲属；</w:t>
      </w:r>
    </w:p>
    <w:p w14:paraId="59E812A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（2）项目主管部门或者行政监督部门的人员；</w:t>
      </w:r>
    </w:p>
    <w:p w14:paraId="112E39B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（3）与响应人有经济利益关系；</w:t>
      </w:r>
    </w:p>
    <w:p w14:paraId="5043D75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（4）曾因在磋商以及其他与磋商有关活动中从事违法行为而受过行政处罚或刑事处罚的；</w:t>
      </w:r>
    </w:p>
    <w:p w14:paraId="7127579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（5）与响应人有其他利害关系。</w:t>
      </w:r>
    </w:p>
    <w:p w14:paraId="0E5ABB8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277" w:name="_Toc152042340"/>
      <w:bookmarkStart w:id="278" w:name="_Toc246996951"/>
      <w:bookmarkStart w:id="279" w:name="_Toc179632582"/>
      <w:bookmarkStart w:id="280" w:name="_Toc144974532"/>
      <w:bookmarkStart w:id="281" w:name="_Toc246996208"/>
      <w:bookmarkStart w:id="282" w:name="_Toc247085722"/>
      <w:bookmarkStart w:id="283" w:name="_Toc152045564"/>
      <w:r>
        <w:rPr>
          <w:rFonts w:hint="eastAsia" w:ascii="宋体" w:hAnsi="宋体" w:eastAsia="宋体" w:cs="宋体"/>
          <w:b/>
          <w:color w:val="auto"/>
          <w:spacing w:val="0"/>
          <w:sz w:val="24"/>
          <w:szCs w:val="24"/>
          <w:highlight w:val="none"/>
        </w:rPr>
        <w:t>6.2 磋商原则</w:t>
      </w:r>
      <w:bookmarkEnd w:id="277"/>
      <w:bookmarkEnd w:id="278"/>
      <w:bookmarkEnd w:id="279"/>
      <w:bookmarkEnd w:id="280"/>
      <w:bookmarkEnd w:id="281"/>
      <w:bookmarkEnd w:id="282"/>
      <w:bookmarkEnd w:id="283"/>
    </w:p>
    <w:p w14:paraId="1BD0FCB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磋商活动遵循公平、公正、科学和择优的原则。竞磋采用二次报价+综合评分法（附后）。专家组仅对确定为实质上响应竞磋要求的竞磋响应文件进行评价和比较。通过竞磋二次报价等进行综合打分，得分最高排名第一的推荐为中标人。综合得分相等时，以最终报价低的优先。对于明显低于市场的报价，应当要求该供应商作出书面说明并提供相应的证明材料。供应商不能合理说明或者不能提供相应证明材料的，竞磋小组专家应当认定该供应商以低于成本报价竞争，报价分得零分。</w:t>
      </w:r>
    </w:p>
    <w:p w14:paraId="6D2B836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284" w:name="_Toc179632583"/>
      <w:bookmarkStart w:id="285" w:name="_Toc247085723"/>
      <w:bookmarkStart w:id="286" w:name="_Toc152042341"/>
      <w:bookmarkStart w:id="287" w:name="_Toc246996952"/>
      <w:bookmarkStart w:id="288" w:name="_Toc152045565"/>
      <w:bookmarkStart w:id="289" w:name="_Toc144974533"/>
      <w:bookmarkStart w:id="290" w:name="_Toc246996209"/>
      <w:r>
        <w:rPr>
          <w:rFonts w:hint="eastAsia" w:ascii="宋体" w:hAnsi="宋体" w:eastAsia="宋体" w:cs="宋体"/>
          <w:b/>
          <w:color w:val="auto"/>
          <w:spacing w:val="0"/>
          <w:sz w:val="24"/>
          <w:szCs w:val="24"/>
          <w:highlight w:val="none"/>
        </w:rPr>
        <w:t>6.3 磋商</w:t>
      </w:r>
      <w:bookmarkEnd w:id="284"/>
      <w:bookmarkEnd w:id="285"/>
      <w:bookmarkEnd w:id="286"/>
      <w:bookmarkEnd w:id="287"/>
      <w:bookmarkEnd w:id="288"/>
      <w:bookmarkEnd w:id="289"/>
      <w:bookmarkEnd w:id="290"/>
    </w:p>
    <w:p w14:paraId="0866869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磋商小组按照第</w:t>
      </w:r>
      <w:r>
        <w:rPr>
          <w:rFonts w:hint="eastAsia" w:ascii="宋体" w:hAnsi="宋体" w:eastAsia="宋体" w:cs="宋体"/>
          <w:bCs/>
          <w:snapToGrid w:val="0"/>
          <w:color w:val="auto"/>
          <w:spacing w:val="0"/>
          <w:sz w:val="24"/>
          <w:szCs w:val="24"/>
          <w:highlight w:val="none"/>
          <w:lang w:val="en-US" w:eastAsia="zh-CN"/>
        </w:rPr>
        <w:t>八</w:t>
      </w:r>
      <w:r>
        <w:rPr>
          <w:rFonts w:hint="eastAsia" w:ascii="宋体" w:hAnsi="宋体" w:eastAsia="宋体" w:cs="宋体"/>
          <w:bCs/>
          <w:snapToGrid w:val="0"/>
          <w:color w:val="auto"/>
          <w:spacing w:val="0"/>
          <w:sz w:val="24"/>
          <w:szCs w:val="24"/>
          <w:highlight w:val="none"/>
          <w:lang w:val="zh-CN" w:eastAsia="zh-CN"/>
        </w:rPr>
        <w:t>章“磋商办法”规定的方法、评审因素、标准和程序对响应文件进行评审。</w:t>
      </w:r>
    </w:p>
    <w:p w14:paraId="1162A22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291" w:name="_Toc144974534"/>
      <w:bookmarkStart w:id="292" w:name="_Toc247085724"/>
      <w:bookmarkStart w:id="293" w:name="_Toc246996210"/>
      <w:bookmarkStart w:id="294" w:name="_Toc409424319"/>
      <w:bookmarkStart w:id="295" w:name="_Toc152045566"/>
      <w:bookmarkStart w:id="296" w:name="_Toc179632584"/>
      <w:bookmarkStart w:id="297" w:name="_Toc152042342"/>
      <w:bookmarkStart w:id="298" w:name="_Toc246996953"/>
      <w:bookmarkStart w:id="299" w:name="_Toc450588613"/>
      <w:bookmarkStart w:id="300" w:name="_Toc409424380"/>
      <w:r>
        <w:rPr>
          <w:rFonts w:hint="eastAsia" w:ascii="宋体" w:hAnsi="宋体" w:eastAsia="宋体" w:cs="宋体"/>
          <w:b/>
          <w:color w:val="auto"/>
          <w:spacing w:val="0"/>
          <w:sz w:val="24"/>
          <w:szCs w:val="24"/>
          <w:highlight w:val="none"/>
        </w:rPr>
        <w:t>7. 合同授予</w:t>
      </w:r>
      <w:bookmarkEnd w:id="291"/>
      <w:bookmarkEnd w:id="292"/>
      <w:bookmarkEnd w:id="293"/>
      <w:bookmarkEnd w:id="294"/>
      <w:bookmarkEnd w:id="295"/>
      <w:bookmarkEnd w:id="296"/>
      <w:bookmarkEnd w:id="297"/>
      <w:bookmarkEnd w:id="298"/>
      <w:bookmarkEnd w:id="299"/>
      <w:bookmarkEnd w:id="300"/>
    </w:p>
    <w:p w14:paraId="3CDF074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301" w:name="_Toc152042343"/>
      <w:bookmarkStart w:id="302" w:name="_Toc152045567"/>
      <w:bookmarkStart w:id="303" w:name="_Toc246996954"/>
      <w:bookmarkStart w:id="304" w:name="_Toc246996211"/>
      <w:bookmarkStart w:id="305" w:name="_Toc144974535"/>
      <w:bookmarkStart w:id="306" w:name="_Toc179632585"/>
      <w:bookmarkStart w:id="307" w:name="_Toc247085725"/>
      <w:r>
        <w:rPr>
          <w:rFonts w:hint="eastAsia" w:ascii="宋体" w:hAnsi="宋体" w:eastAsia="宋体" w:cs="宋体"/>
          <w:b/>
          <w:color w:val="auto"/>
          <w:spacing w:val="0"/>
          <w:sz w:val="24"/>
          <w:szCs w:val="24"/>
          <w:highlight w:val="none"/>
        </w:rPr>
        <w:t>7.1 确定成交响应人方式</w:t>
      </w:r>
      <w:bookmarkEnd w:id="301"/>
      <w:bookmarkEnd w:id="302"/>
      <w:bookmarkEnd w:id="303"/>
      <w:bookmarkEnd w:id="304"/>
      <w:bookmarkEnd w:id="305"/>
      <w:bookmarkEnd w:id="306"/>
      <w:bookmarkEnd w:id="307"/>
    </w:p>
    <w:p w14:paraId="53C84EB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磋商小组直接确定成交响应人</w:t>
      </w:r>
    </w:p>
    <w:p w14:paraId="19D8C6A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7.2 成交结果公告</w:t>
      </w:r>
    </w:p>
    <w:p w14:paraId="0824357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详见响应人须知前附表。</w:t>
      </w:r>
    </w:p>
    <w:p w14:paraId="2CB022E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308" w:name="_Toc144974536"/>
      <w:bookmarkStart w:id="309" w:name="_Toc246996212"/>
      <w:bookmarkStart w:id="310" w:name="_Toc246996955"/>
      <w:bookmarkStart w:id="311" w:name="_Toc152042344"/>
      <w:bookmarkStart w:id="312" w:name="_Toc179632586"/>
      <w:bookmarkStart w:id="313" w:name="_Toc247085726"/>
      <w:bookmarkStart w:id="314" w:name="_Toc152045568"/>
      <w:r>
        <w:rPr>
          <w:rFonts w:hint="eastAsia" w:ascii="宋体" w:hAnsi="宋体" w:eastAsia="宋体" w:cs="宋体"/>
          <w:b/>
          <w:color w:val="auto"/>
          <w:spacing w:val="0"/>
          <w:sz w:val="24"/>
          <w:szCs w:val="24"/>
          <w:highlight w:val="none"/>
        </w:rPr>
        <w:t>7.3 成交通知</w:t>
      </w:r>
      <w:bookmarkEnd w:id="308"/>
      <w:bookmarkEnd w:id="309"/>
      <w:bookmarkEnd w:id="310"/>
      <w:bookmarkEnd w:id="311"/>
      <w:bookmarkEnd w:id="312"/>
      <w:bookmarkEnd w:id="313"/>
      <w:bookmarkEnd w:id="314"/>
    </w:p>
    <w:p w14:paraId="32C53F4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在本章第3.3款规定的磋商有效期内，采购人以书面形式向成交响应人发出成交通知书，同时将成交结果通知未成交的响应人。</w:t>
      </w:r>
    </w:p>
    <w:p w14:paraId="6CEEEAE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315" w:name="_Toc246996214"/>
      <w:bookmarkStart w:id="316" w:name="_Toc247085728"/>
      <w:bookmarkStart w:id="317" w:name="_Toc152042346"/>
      <w:bookmarkStart w:id="318" w:name="_Toc246996957"/>
      <w:bookmarkStart w:id="319" w:name="_Toc152045570"/>
      <w:bookmarkStart w:id="320" w:name="_Toc144974538"/>
      <w:bookmarkStart w:id="321" w:name="_Toc179632588"/>
      <w:r>
        <w:rPr>
          <w:rFonts w:hint="eastAsia" w:ascii="宋体" w:hAnsi="宋体" w:eastAsia="宋体" w:cs="宋体"/>
          <w:b/>
          <w:color w:val="auto"/>
          <w:spacing w:val="0"/>
          <w:sz w:val="24"/>
          <w:szCs w:val="24"/>
          <w:highlight w:val="none"/>
        </w:rPr>
        <w:t>7.4 签订合同</w:t>
      </w:r>
      <w:bookmarkEnd w:id="315"/>
      <w:bookmarkEnd w:id="316"/>
      <w:bookmarkEnd w:id="317"/>
      <w:bookmarkEnd w:id="318"/>
      <w:bookmarkEnd w:id="319"/>
      <w:bookmarkEnd w:id="320"/>
      <w:bookmarkEnd w:id="321"/>
    </w:p>
    <w:p w14:paraId="15EA512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7.4.1采购人和成交响应人应当自成交通知书发出之日起30天内，根据磋商文件和成交响应人的响应文件订立书面合同。成交响应人无正当理由拒签合同的，采购人取消其成交资格，其磋商保证金不予退还；给采购人造成的损失超过磋商保证金数额的，成交响应人还应当对超过部分予以赔偿。</w:t>
      </w:r>
    </w:p>
    <w:p w14:paraId="1D02142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7.4.2 发出成交通知书后，采购人无正当理由拒签合同的，采购人向成交响应人退还磋商保证金；给成交响应人造成损失的，还应当赔偿损失。</w:t>
      </w:r>
    </w:p>
    <w:p w14:paraId="15A3127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322" w:name="_Toc409424381"/>
      <w:bookmarkStart w:id="323" w:name="_Toc450588615"/>
      <w:bookmarkStart w:id="324" w:name="_Toc409424320"/>
      <w:r>
        <w:rPr>
          <w:rFonts w:hint="eastAsia" w:ascii="宋体" w:hAnsi="宋体" w:eastAsia="宋体" w:cs="宋体"/>
          <w:b/>
          <w:color w:val="auto"/>
          <w:spacing w:val="0"/>
          <w:sz w:val="24"/>
          <w:szCs w:val="24"/>
          <w:highlight w:val="none"/>
        </w:rPr>
        <w:t>8. 纪律和监督</w:t>
      </w:r>
      <w:bookmarkEnd w:id="322"/>
      <w:bookmarkEnd w:id="323"/>
      <w:bookmarkEnd w:id="324"/>
    </w:p>
    <w:p w14:paraId="50EAE28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325" w:name="_Toc296590983"/>
      <w:bookmarkStart w:id="326" w:name="_Toc152042351"/>
      <w:bookmarkStart w:id="327" w:name="_Toc247085733"/>
      <w:bookmarkStart w:id="328" w:name="_Toc179632593"/>
      <w:bookmarkStart w:id="329" w:name="_Toc246996219"/>
      <w:bookmarkStart w:id="330" w:name="_Toc144974543"/>
      <w:bookmarkStart w:id="331" w:name="_Toc152045575"/>
      <w:bookmarkStart w:id="332" w:name="_Toc246996962"/>
      <w:r>
        <w:rPr>
          <w:rFonts w:hint="eastAsia" w:ascii="宋体" w:hAnsi="宋体" w:eastAsia="宋体" w:cs="宋体"/>
          <w:b/>
          <w:color w:val="auto"/>
          <w:spacing w:val="0"/>
          <w:sz w:val="24"/>
          <w:szCs w:val="24"/>
          <w:highlight w:val="none"/>
        </w:rPr>
        <w:t>8.1 对采购人的纪律要求</w:t>
      </w:r>
      <w:bookmarkEnd w:id="325"/>
      <w:bookmarkEnd w:id="326"/>
      <w:bookmarkEnd w:id="327"/>
      <w:bookmarkEnd w:id="328"/>
      <w:bookmarkEnd w:id="329"/>
      <w:bookmarkEnd w:id="330"/>
      <w:bookmarkEnd w:id="331"/>
      <w:bookmarkEnd w:id="332"/>
    </w:p>
    <w:p w14:paraId="5498F78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采购人不得泄露磋商活动中应当保密的情况和资料，不得与响应人串通损害国家利益、社会公共利益或者他人合法权益。</w:t>
      </w:r>
    </w:p>
    <w:p w14:paraId="0AB2EDC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333" w:name="_Toc246996963"/>
      <w:bookmarkStart w:id="334" w:name="_Toc179632594"/>
      <w:bookmarkStart w:id="335" w:name="_Toc246996220"/>
      <w:bookmarkStart w:id="336" w:name="_Toc152045576"/>
      <w:bookmarkStart w:id="337" w:name="_Toc247085734"/>
      <w:bookmarkStart w:id="338" w:name="_Toc144974544"/>
      <w:bookmarkStart w:id="339" w:name="_Toc152042352"/>
      <w:r>
        <w:rPr>
          <w:rFonts w:hint="eastAsia" w:ascii="宋体" w:hAnsi="宋体" w:eastAsia="宋体" w:cs="宋体"/>
          <w:b/>
          <w:color w:val="auto"/>
          <w:spacing w:val="0"/>
          <w:sz w:val="24"/>
          <w:szCs w:val="24"/>
          <w:highlight w:val="none"/>
        </w:rPr>
        <w:t>8.2 对响应人的纪律要求</w:t>
      </w:r>
      <w:bookmarkEnd w:id="333"/>
      <w:bookmarkEnd w:id="334"/>
      <w:bookmarkEnd w:id="335"/>
      <w:bookmarkEnd w:id="336"/>
      <w:bookmarkEnd w:id="337"/>
      <w:bookmarkEnd w:id="338"/>
      <w:bookmarkEnd w:id="339"/>
    </w:p>
    <w:p w14:paraId="74706FD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响应人不得相互串通磋商或者与采购人串通磋商，不得向采购人或者磋商小组成员行贿谋取成交，不得以他人名义磋商或者以其他方式弄虚作假骗取成交；响应人不得以任何方式干扰、影响磋商工作。</w:t>
      </w:r>
    </w:p>
    <w:p w14:paraId="451E97F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340" w:name="_Toc144974545"/>
      <w:bookmarkStart w:id="341" w:name="_Toc152042353"/>
      <w:bookmarkStart w:id="342" w:name="_Toc246996221"/>
      <w:bookmarkStart w:id="343" w:name="_Toc246996964"/>
      <w:bookmarkStart w:id="344" w:name="_Toc247085735"/>
      <w:bookmarkStart w:id="345" w:name="_Toc179632595"/>
      <w:bookmarkStart w:id="346" w:name="_Toc152045577"/>
      <w:r>
        <w:rPr>
          <w:rFonts w:hint="eastAsia" w:ascii="宋体" w:hAnsi="宋体" w:eastAsia="宋体" w:cs="宋体"/>
          <w:b/>
          <w:color w:val="auto"/>
          <w:spacing w:val="0"/>
          <w:sz w:val="24"/>
          <w:szCs w:val="24"/>
          <w:highlight w:val="none"/>
        </w:rPr>
        <w:t>8.3 对磋商小组成员的纪律要求</w:t>
      </w:r>
      <w:bookmarkEnd w:id="340"/>
      <w:bookmarkEnd w:id="341"/>
      <w:bookmarkEnd w:id="342"/>
      <w:bookmarkEnd w:id="343"/>
      <w:bookmarkEnd w:id="344"/>
      <w:bookmarkEnd w:id="345"/>
      <w:bookmarkEnd w:id="346"/>
    </w:p>
    <w:p w14:paraId="30EAD41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磋商小组成员不得收受他人的财物或者其他好处，不得向他人透露对响应文件的评审和比较、成交候选人的推荐情况以及磋商有关的其他情况。在磋商活动中，磋商小组成员应当客观、公正地履行职责，遵守职业道德，不得擅离职守，影响磋商程序正常进行，不得使用第</w:t>
      </w:r>
      <w:r>
        <w:rPr>
          <w:rFonts w:hint="eastAsia" w:ascii="宋体" w:hAnsi="宋体" w:eastAsia="宋体" w:cs="宋体"/>
          <w:bCs/>
          <w:snapToGrid w:val="0"/>
          <w:color w:val="auto"/>
          <w:spacing w:val="0"/>
          <w:sz w:val="24"/>
          <w:szCs w:val="24"/>
          <w:highlight w:val="none"/>
          <w:lang w:val="en-US" w:eastAsia="zh-CN"/>
        </w:rPr>
        <w:t>八</w:t>
      </w:r>
      <w:r>
        <w:rPr>
          <w:rFonts w:hint="eastAsia" w:ascii="宋体" w:hAnsi="宋体" w:eastAsia="宋体" w:cs="宋体"/>
          <w:bCs/>
          <w:snapToGrid w:val="0"/>
          <w:color w:val="auto"/>
          <w:spacing w:val="0"/>
          <w:sz w:val="24"/>
          <w:szCs w:val="24"/>
          <w:highlight w:val="none"/>
          <w:lang w:val="zh-CN" w:eastAsia="zh-CN"/>
        </w:rPr>
        <w:t>章“磋商办法”没有规定的评审因素和标准进行磋商。</w:t>
      </w:r>
    </w:p>
    <w:p w14:paraId="6965B2E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347" w:name="_Toc246996965"/>
      <w:bookmarkStart w:id="348" w:name="_Toc152045578"/>
      <w:bookmarkStart w:id="349" w:name="_Toc247085736"/>
      <w:bookmarkStart w:id="350" w:name="_Toc246996222"/>
      <w:bookmarkStart w:id="351" w:name="_Toc152042354"/>
      <w:bookmarkStart w:id="352" w:name="_Toc179632596"/>
      <w:bookmarkStart w:id="353" w:name="_Toc144974546"/>
      <w:r>
        <w:rPr>
          <w:rFonts w:hint="eastAsia" w:ascii="宋体" w:hAnsi="宋体" w:eastAsia="宋体" w:cs="宋体"/>
          <w:b/>
          <w:color w:val="auto"/>
          <w:spacing w:val="0"/>
          <w:sz w:val="24"/>
          <w:szCs w:val="24"/>
          <w:highlight w:val="none"/>
        </w:rPr>
        <w:t>8.4 对与磋商活动有关的工作人员的纪律要求</w:t>
      </w:r>
      <w:bookmarkEnd w:id="347"/>
      <w:bookmarkEnd w:id="348"/>
      <w:bookmarkEnd w:id="349"/>
      <w:bookmarkEnd w:id="350"/>
      <w:bookmarkEnd w:id="351"/>
      <w:bookmarkEnd w:id="352"/>
    </w:p>
    <w:p w14:paraId="4644D14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bookmarkStart w:id="354" w:name="_Toc152042355"/>
      <w:r>
        <w:rPr>
          <w:rFonts w:hint="eastAsia" w:ascii="宋体" w:hAnsi="宋体" w:eastAsia="宋体" w:cs="宋体"/>
          <w:bCs/>
          <w:snapToGrid w:val="0"/>
          <w:color w:val="auto"/>
          <w:spacing w:val="0"/>
          <w:sz w:val="24"/>
          <w:szCs w:val="24"/>
          <w:highlight w:val="none"/>
          <w:lang w:val="zh-CN" w:eastAsia="zh-CN"/>
        </w:rPr>
        <w:t>与磋商活动有关的工作人员不得收受他人的财物或者其他好处，不得向他人透露对响应文件的评审和比较、成交候选人的推荐情况以及磋商有关的其他情况。在磋商活动中，与磋商活动有关的工作人员不得擅离职守，影响磋商程序正常进行。</w:t>
      </w:r>
      <w:bookmarkEnd w:id="354"/>
    </w:p>
    <w:bookmarkEnd w:id="353"/>
    <w:p w14:paraId="03664BC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bookmarkStart w:id="355" w:name="_Toc152042357"/>
      <w:bookmarkStart w:id="356" w:name="_Toc246996967"/>
      <w:bookmarkStart w:id="357" w:name="_Toc144974547"/>
      <w:bookmarkStart w:id="358" w:name="_Toc409424321"/>
      <w:bookmarkStart w:id="359" w:name="_Toc152045580"/>
      <w:bookmarkStart w:id="360" w:name="_Toc409424382"/>
      <w:bookmarkStart w:id="361" w:name="_Toc247085738"/>
      <w:bookmarkStart w:id="362" w:name="_Toc246996224"/>
      <w:bookmarkStart w:id="363" w:name="_Toc450588616"/>
      <w:bookmarkStart w:id="364" w:name="_Toc179632598"/>
      <w:r>
        <w:rPr>
          <w:rFonts w:hint="eastAsia" w:ascii="宋体" w:hAnsi="宋体" w:eastAsia="宋体" w:cs="宋体"/>
          <w:b/>
          <w:color w:val="auto"/>
          <w:spacing w:val="0"/>
          <w:sz w:val="24"/>
          <w:szCs w:val="24"/>
          <w:highlight w:val="none"/>
        </w:rPr>
        <w:t>9. 需要补充的其他内容</w:t>
      </w:r>
      <w:bookmarkEnd w:id="355"/>
      <w:bookmarkEnd w:id="356"/>
      <w:bookmarkEnd w:id="357"/>
      <w:bookmarkEnd w:id="358"/>
      <w:bookmarkEnd w:id="359"/>
      <w:bookmarkEnd w:id="360"/>
      <w:bookmarkEnd w:id="361"/>
      <w:bookmarkEnd w:id="362"/>
      <w:bookmarkEnd w:id="363"/>
      <w:bookmarkEnd w:id="364"/>
    </w:p>
    <w:p w14:paraId="55334E5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9.1自购买磋商文件之日起，响应人应保证其提供的联系方式（电话、传真、电子邮件）一直有效，以保证往来函件（磋商文件的澄清、修改等）能及时通知响应人、并能及时反馈信息，否则采购人不承担由此引起的一切后果。</w:t>
      </w:r>
    </w:p>
    <w:p w14:paraId="52818F2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9.2响应人应仔细阅读和检查磋商文件的全部内容。如发现缺页或附件不全，应于磋商文件发出之日起2日内向采购人提出，以便补齐。</w:t>
      </w:r>
    </w:p>
    <w:p w14:paraId="0D687AB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9.3采购人不统一组织现场考察且不召开磋商前答疑会。响应人可自行现场考察,但考察过程中所发生的人员伤亡和财产损失及一切费用,由响应人自行承担。响应人根据现场考察作出的判断和决策，可以在磋商时自行考虑，但采购人不负任何责任。</w:t>
      </w:r>
    </w:p>
    <w:p w14:paraId="56259DB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9.4响应人认为本磋商文件含有标明特定的生产供应者、含有倾向性或排斥潜在响应人的条款而使自己的权益受到损害的，应当于知道或应当知道之日起7个工作日内，以书面形式向采购代理机构提出质疑。采购代理机构在收到响应人书面质疑后7个工作日内作出答复，并以书面形式通知质疑响应人和其他相关响应人。因处理响应人质疑需要延长磋商截止时间的，在响应人须知前附表所列网站上公告，并以书面形式通知所有获取磋商文件的响应人。</w:t>
      </w:r>
    </w:p>
    <w:p w14:paraId="69E3D17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9.5 本项目不允许分包或转包。</w:t>
      </w:r>
    </w:p>
    <w:p w14:paraId="313A7AD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10. 需要补充的其他内容</w:t>
      </w:r>
    </w:p>
    <w:p w14:paraId="393BBC7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需要补充的其他内容：见供应商须知前附表。</w:t>
      </w:r>
    </w:p>
    <w:p w14:paraId="411C880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sectPr>
          <w:pgSz w:w="11906" w:h="16838"/>
          <w:pgMar w:top="1440" w:right="1080" w:bottom="1440" w:left="1080" w:header="851" w:footer="992" w:gutter="0"/>
          <w:pgNumType w:fmt="decimal"/>
          <w:cols w:space="720" w:num="1"/>
          <w:docGrid w:linePitch="312" w:charSpace="0"/>
        </w:sectPr>
      </w:pPr>
    </w:p>
    <w:p w14:paraId="7DF7E607">
      <w:pPr>
        <w:pStyle w:val="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8"/>
          <w:szCs w:val="28"/>
          <w:highlight w:val="none"/>
        </w:rPr>
      </w:pPr>
      <w:bookmarkStart w:id="365" w:name="_Toc246996225"/>
      <w:bookmarkStart w:id="366" w:name="_Toc179632600"/>
      <w:bookmarkStart w:id="367" w:name="_Toc11970"/>
      <w:bookmarkStart w:id="368" w:name="_Toc8004"/>
      <w:bookmarkStart w:id="369" w:name="_Toc450588618"/>
      <w:bookmarkStart w:id="370" w:name="_Toc247085740"/>
      <w:bookmarkStart w:id="371" w:name="_Toc144974549"/>
      <w:bookmarkStart w:id="372" w:name="_Toc152045582"/>
      <w:bookmarkStart w:id="373" w:name="_Toc246996968"/>
      <w:bookmarkStart w:id="374" w:name="_Toc152042359"/>
      <w:bookmarkStart w:id="375" w:name="_Toc4769"/>
      <w:bookmarkStart w:id="376" w:name="_Toc409424324"/>
      <w:bookmarkStart w:id="377" w:name="_Toc409424385"/>
      <w:r>
        <w:rPr>
          <w:rFonts w:hint="eastAsia" w:ascii="宋体" w:hAnsi="宋体" w:eastAsia="宋体" w:cs="宋体"/>
          <w:color w:val="auto"/>
          <w:spacing w:val="0"/>
          <w:sz w:val="28"/>
          <w:szCs w:val="28"/>
          <w:highlight w:val="none"/>
        </w:rPr>
        <w:t>附件一：问题澄清通知</w:t>
      </w:r>
      <w:bookmarkEnd w:id="365"/>
      <w:bookmarkEnd w:id="366"/>
      <w:bookmarkEnd w:id="367"/>
      <w:bookmarkEnd w:id="368"/>
      <w:bookmarkEnd w:id="369"/>
      <w:bookmarkEnd w:id="370"/>
      <w:bookmarkEnd w:id="371"/>
      <w:bookmarkEnd w:id="372"/>
      <w:bookmarkEnd w:id="373"/>
      <w:bookmarkEnd w:id="374"/>
      <w:bookmarkEnd w:id="375"/>
      <w:bookmarkEnd w:id="376"/>
      <w:bookmarkEnd w:id="377"/>
    </w:p>
    <w:p w14:paraId="4C395D3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8"/>
          <w:szCs w:val="28"/>
          <w:highlight w:val="none"/>
        </w:rPr>
      </w:pPr>
    </w:p>
    <w:p w14:paraId="43D6BA5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问题澄清通知</w:t>
      </w:r>
    </w:p>
    <w:p w14:paraId="0369392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8"/>
          <w:szCs w:val="28"/>
          <w:highlight w:val="none"/>
        </w:rPr>
      </w:pPr>
    </w:p>
    <w:p w14:paraId="4920F9E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编号：</w:t>
      </w:r>
    </w:p>
    <w:p w14:paraId="6DCA848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18B634D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（响应人名称）：</w:t>
      </w:r>
    </w:p>
    <w:p w14:paraId="4805ED4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326059A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（项目名称）磋商的磋商小组，对你方的响应文件进行了仔细的审查，现需你方对下列问题以书面形式予以澄清：</w:t>
      </w:r>
    </w:p>
    <w:p w14:paraId="14B2F65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p w14:paraId="01695B9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1.</w:t>
      </w:r>
    </w:p>
    <w:p w14:paraId="4B31859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2.</w:t>
      </w:r>
    </w:p>
    <w:p w14:paraId="12BDAFC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   </w:t>
      </w:r>
    </w:p>
    <w:p w14:paraId="636A280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p w14:paraId="4EF0B33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请将上述问题的澄清于</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日</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时前递交至</w:t>
      </w:r>
    </w:p>
    <w:p w14:paraId="2D41058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（详细地址）或传真至</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（传真号码）。采用传真方式的，应在</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日</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时前将原件递交至</w:t>
      </w:r>
    </w:p>
    <w:p w14:paraId="6337C96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（详细地址）。</w:t>
      </w:r>
    </w:p>
    <w:p w14:paraId="3926E1A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77483E8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168B16F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采购人或采购代理机构：</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00753A7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w:t>
      </w:r>
    </w:p>
    <w:p w14:paraId="32BD649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3480" w:firstLineChars="145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年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月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日</w:t>
      </w:r>
    </w:p>
    <w:p w14:paraId="0FFF379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062F6F3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33E9006A">
      <w:pPr>
        <w:pStyle w:val="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8"/>
          <w:szCs w:val="28"/>
          <w:highlight w:val="none"/>
        </w:rPr>
      </w:pPr>
      <w:bookmarkStart w:id="378" w:name="_Toc246996969"/>
      <w:bookmarkStart w:id="379" w:name="_Toc409424386"/>
      <w:bookmarkStart w:id="380" w:name="_Toc152045583"/>
      <w:bookmarkStart w:id="381" w:name="_Toc144974550"/>
      <w:bookmarkStart w:id="382" w:name="_Toc247085741"/>
      <w:bookmarkStart w:id="383" w:name="_Toc152042360"/>
      <w:bookmarkStart w:id="384" w:name="_Toc450588619"/>
      <w:bookmarkStart w:id="385" w:name="_Toc179632601"/>
      <w:bookmarkStart w:id="386" w:name="_Toc246996226"/>
      <w:bookmarkStart w:id="387" w:name="_Toc409424325"/>
      <w:r>
        <w:rPr>
          <w:rFonts w:hint="eastAsia" w:ascii="宋体" w:hAnsi="宋体" w:eastAsia="宋体" w:cs="宋体"/>
          <w:color w:val="auto"/>
          <w:spacing w:val="0"/>
          <w:highlight w:val="none"/>
        </w:rPr>
        <w:br w:type="page"/>
      </w:r>
      <w:bookmarkStart w:id="388" w:name="_Toc25274"/>
      <w:bookmarkStart w:id="389" w:name="_Toc28117"/>
      <w:bookmarkStart w:id="390" w:name="_Toc19973"/>
      <w:r>
        <w:rPr>
          <w:rFonts w:hint="eastAsia" w:ascii="宋体" w:hAnsi="宋体" w:eastAsia="宋体" w:cs="宋体"/>
          <w:color w:val="auto"/>
          <w:spacing w:val="0"/>
          <w:sz w:val="28"/>
          <w:szCs w:val="28"/>
          <w:highlight w:val="none"/>
        </w:rPr>
        <w:t>附件二：问题的澄清</w:t>
      </w:r>
      <w:bookmarkEnd w:id="378"/>
      <w:bookmarkEnd w:id="379"/>
      <w:bookmarkEnd w:id="380"/>
      <w:bookmarkEnd w:id="381"/>
      <w:bookmarkEnd w:id="382"/>
      <w:bookmarkEnd w:id="383"/>
      <w:bookmarkEnd w:id="384"/>
      <w:bookmarkEnd w:id="385"/>
      <w:bookmarkEnd w:id="386"/>
      <w:bookmarkEnd w:id="387"/>
      <w:bookmarkEnd w:id="388"/>
      <w:bookmarkEnd w:id="389"/>
      <w:bookmarkEnd w:id="390"/>
    </w:p>
    <w:p w14:paraId="19EB450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8"/>
          <w:szCs w:val="28"/>
          <w:highlight w:val="none"/>
        </w:rPr>
      </w:pPr>
    </w:p>
    <w:p w14:paraId="7FB5D35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问题的澄清</w:t>
      </w:r>
    </w:p>
    <w:p w14:paraId="26D98DD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3960" w:firstLineChars="1650"/>
        <w:textAlignment w:val="baseline"/>
        <w:rPr>
          <w:rFonts w:hint="eastAsia" w:ascii="宋体" w:hAnsi="宋体" w:eastAsia="宋体" w:cs="宋体"/>
          <w:color w:val="auto"/>
          <w:spacing w:val="0"/>
          <w:sz w:val="24"/>
          <w:szCs w:val="24"/>
          <w:highlight w:val="none"/>
        </w:rPr>
      </w:pPr>
    </w:p>
    <w:p w14:paraId="65FE50F9">
      <w:pPr>
        <w:pageBreakBefore w:val="0"/>
        <w:widowControl/>
        <w:kinsoku/>
        <w:wordWrap w:val="0"/>
        <w:overflowPunct/>
        <w:topLinePunct w:val="0"/>
        <w:autoSpaceDE w:val="0"/>
        <w:autoSpaceDN w:val="0"/>
        <w:bidi w:val="0"/>
        <w:adjustRightInd w:val="0"/>
        <w:snapToGrid w:val="0"/>
        <w:spacing w:before="0" w:beforeLines="20" w:after="0" w:afterLines="20" w:line="360" w:lineRule="auto"/>
        <w:ind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编号： </w:t>
      </w:r>
    </w:p>
    <w:p w14:paraId="0CDBBE5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0B124DD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项目名称）磋商小组：</w:t>
      </w:r>
    </w:p>
    <w:p w14:paraId="24C8118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188BD07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问题澄清通知（编号：</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）已收悉，现澄清如下：</w:t>
      </w:r>
    </w:p>
    <w:p w14:paraId="3B48938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1.</w:t>
      </w:r>
    </w:p>
    <w:p w14:paraId="6C62EAF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2.</w:t>
      </w:r>
    </w:p>
    <w:p w14:paraId="4CFB417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w:t>
      </w:r>
    </w:p>
    <w:p w14:paraId="33E29FB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p w14:paraId="68E2DBE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w:t>
      </w:r>
    </w:p>
    <w:p w14:paraId="0C41F5E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w:t>
      </w:r>
    </w:p>
    <w:p w14:paraId="72CB957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26412EC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2EEC63A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22B77BC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1058579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响应人：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53CB1B7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p w14:paraId="1F35CD0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法定代表人或其委托代理人：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w:t>
      </w:r>
    </w:p>
    <w:p w14:paraId="3675831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p w14:paraId="1DF2BD7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日</w:t>
      </w:r>
    </w:p>
    <w:p w14:paraId="20AF8D66">
      <w:pPr>
        <w:pStyle w:val="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8"/>
          <w:szCs w:val="28"/>
          <w:highlight w:val="none"/>
        </w:rPr>
      </w:pPr>
      <w:bookmarkStart w:id="391" w:name="_Toc247085742"/>
      <w:bookmarkStart w:id="392" w:name="_Toc152045584"/>
      <w:bookmarkStart w:id="393" w:name="_Toc179632602"/>
      <w:bookmarkStart w:id="394" w:name="_Toc246996227"/>
      <w:bookmarkStart w:id="395" w:name="_Toc144974551"/>
      <w:bookmarkStart w:id="396" w:name="_Toc152042361"/>
      <w:bookmarkStart w:id="397" w:name="_Toc246996970"/>
      <w:r>
        <w:rPr>
          <w:rFonts w:hint="eastAsia" w:ascii="宋体" w:hAnsi="宋体" w:eastAsia="宋体" w:cs="宋体"/>
          <w:color w:val="auto"/>
          <w:spacing w:val="0"/>
          <w:sz w:val="24"/>
          <w:szCs w:val="24"/>
          <w:highlight w:val="none"/>
        </w:rPr>
        <w:br w:type="page"/>
      </w:r>
      <w:bookmarkEnd w:id="391"/>
      <w:bookmarkEnd w:id="392"/>
      <w:bookmarkEnd w:id="393"/>
      <w:bookmarkEnd w:id="394"/>
      <w:bookmarkEnd w:id="395"/>
      <w:bookmarkEnd w:id="396"/>
      <w:bookmarkEnd w:id="397"/>
      <w:bookmarkStart w:id="398" w:name="_Toc15236"/>
      <w:bookmarkStart w:id="399" w:name="_Toc409424389"/>
      <w:bookmarkStart w:id="400" w:name="_Toc152042363"/>
      <w:bookmarkStart w:id="401" w:name="_Toc247085744"/>
      <w:bookmarkStart w:id="402" w:name="_Toc179632604"/>
      <w:bookmarkStart w:id="403" w:name="_Toc409424328"/>
      <w:bookmarkStart w:id="404" w:name="_Toc144974553"/>
      <w:bookmarkStart w:id="405" w:name="_Toc246996229"/>
      <w:bookmarkStart w:id="406" w:name="_Toc19186"/>
      <w:bookmarkStart w:id="407" w:name="_Toc246996972"/>
      <w:bookmarkStart w:id="408" w:name="_Toc450588622"/>
      <w:bookmarkStart w:id="409" w:name="_Toc3877"/>
      <w:bookmarkStart w:id="410" w:name="_Toc152045586"/>
      <w:r>
        <w:rPr>
          <w:rFonts w:hint="eastAsia" w:ascii="宋体" w:hAnsi="宋体" w:eastAsia="宋体" w:cs="宋体"/>
          <w:color w:val="auto"/>
          <w:spacing w:val="0"/>
          <w:sz w:val="28"/>
          <w:szCs w:val="28"/>
          <w:highlight w:val="none"/>
        </w:rPr>
        <w:t>附件三：确认通知</w:t>
      </w:r>
      <w:bookmarkEnd w:id="398"/>
      <w:bookmarkEnd w:id="399"/>
      <w:bookmarkEnd w:id="400"/>
      <w:bookmarkEnd w:id="401"/>
      <w:bookmarkEnd w:id="402"/>
      <w:bookmarkEnd w:id="403"/>
      <w:bookmarkEnd w:id="404"/>
      <w:bookmarkEnd w:id="405"/>
      <w:bookmarkEnd w:id="406"/>
      <w:bookmarkEnd w:id="407"/>
      <w:bookmarkEnd w:id="408"/>
      <w:bookmarkEnd w:id="409"/>
      <w:bookmarkEnd w:id="410"/>
    </w:p>
    <w:p w14:paraId="7AE7583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8"/>
          <w:szCs w:val="28"/>
          <w:highlight w:val="none"/>
        </w:rPr>
      </w:pPr>
    </w:p>
    <w:p w14:paraId="218FEC4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确认通知</w:t>
      </w:r>
    </w:p>
    <w:p w14:paraId="26F69B9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6B00DCE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（采购人名称）：</w:t>
      </w:r>
    </w:p>
    <w:p w14:paraId="534A7D1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w:t>
      </w:r>
    </w:p>
    <w:p w14:paraId="39A9CB4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你方于</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年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日发出的</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（项目名称）关于</w:t>
      </w:r>
      <w:r>
        <w:rPr>
          <w:rFonts w:hint="eastAsia" w:ascii="宋体" w:hAnsi="宋体" w:eastAsia="宋体" w:cs="宋体"/>
          <w:color w:val="auto"/>
          <w:spacing w:val="0"/>
          <w:sz w:val="24"/>
          <w:szCs w:val="24"/>
          <w:highlight w:val="none"/>
          <w:u w:val="single"/>
        </w:rPr>
        <w:t xml:space="preserve">       </w:t>
      </w:r>
    </w:p>
    <w:p w14:paraId="4C26189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的通知，我方已于</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日收到。</w:t>
      </w:r>
    </w:p>
    <w:p w14:paraId="33F7DFC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2AF6B43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特此确认。</w:t>
      </w:r>
    </w:p>
    <w:p w14:paraId="2DBADF0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6F88C51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3810BDF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响应人：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（盖单位章）</w:t>
      </w:r>
    </w:p>
    <w:p w14:paraId="4B6CBFF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6E12646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outlineLvl w:val="0"/>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u w:val="single"/>
        </w:rPr>
        <w:t xml:space="preserve">        </w:t>
      </w:r>
      <w:bookmarkStart w:id="411" w:name="_Toc29946"/>
      <w:bookmarkStart w:id="412" w:name="_Toc9006"/>
      <w:bookmarkStart w:id="413" w:name="_Toc27907"/>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日</w:t>
      </w:r>
      <w:bookmarkEnd w:id="411"/>
      <w:bookmarkEnd w:id="412"/>
      <w:bookmarkEnd w:id="413"/>
    </w:p>
    <w:p w14:paraId="6C84D333">
      <w:pPr>
        <w:pStyle w:val="2"/>
        <w:bidi w:val="0"/>
        <w:rPr>
          <w:rFonts w:hint="eastAsia" w:ascii="宋体" w:hAnsi="宋体" w:eastAsia="宋体" w:cs="宋体"/>
          <w:b/>
          <w:bCs/>
          <w:color w:val="auto"/>
          <w:spacing w:val="0"/>
          <w:sz w:val="43"/>
          <w:szCs w:val="43"/>
          <w:highlight w:val="none"/>
        </w:rPr>
      </w:pPr>
      <w:r>
        <w:rPr>
          <w:rFonts w:hint="eastAsia" w:ascii="宋体" w:hAnsi="宋体" w:eastAsia="宋体" w:cs="宋体"/>
          <w:b/>
          <w:bCs/>
          <w:color w:val="auto"/>
          <w:spacing w:val="0"/>
          <w:sz w:val="24"/>
          <w:szCs w:val="24"/>
          <w:highlight w:val="none"/>
        </w:rPr>
        <w:br w:type="page"/>
      </w:r>
      <w:bookmarkStart w:id="414" w:name="_Toc29910"/>
      <w:r>
        <w:rPr>
          <w:rFonts w:hint="eastAsia" w:ascii="宋体" w:hAnsi="宋体" w:eastAsia="宋体" w:cs="宋体"/>
          <w:b/>
          <w:bCs/>
          <w:color w:val="auto"/>
          <w:spacing w:val="0"/>
          <w:sz w:val="32"/>
          <w:szCs w:val="32"/>
          <w:highlight w:val="none"/>
        </w:rPr>
        <w:t>第三章 合同条款</w:t>
      </w:r>
      <w:bookmarkEnd w:id="414"/>
    </w:p>
    <w:p w14:paraId="04B16E4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240" w:firstLineChars="100"/>
        <w:jc w:val="center"/>
        <w:textAlignment w:val="baseline"/>
        <w:rPr>
          <w:rFonts w:hint="eastAsia" w:ascii="宋体" w:hAnsi="宋体" w:eastAsia="宋体" w:cs="宋体"/>
          <w:color w:val="auto"/>
          <w:spacing w:val="0"/>
          <w:sz w:val="24"/>
          <w:highlight w:val="none"/>
        </w:rPr>
      </w:pPr>
    </w:p>
    <w:p w14:paraId="1710D2A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left"/>
        <w:textAlignment w:val="baseline"/>
        <w:rPr>
          <w:rFonts w:hint="eastAsia" w:ascii="宋体" w:hAnsi="宋体" w:eastAsia="宋体" w:cs="宋体"/>
          <w:b w:val="0"/>
          <w:bCs w:val="0"/>
          <w:color w:val="auto"/>
          <w:spacing w:val="0"/>
          <w:sz w:val="28"/>
          <w:szCs w:val="28"/>
          <w:highlight w:val="none"/>
          <w:lang w:eastAsia="zh-CN"/>
        </w:rPr>
      </w:pPr>
      <w:r>
        <w:rPr>
          <w:rFonts w:hint="eastAsia" w:ascii="宋体" w:hAnsi="宋体" w:eastAsia="宋体" w:cs="宋体"/>
          <w:b w:val="0"/>
          <w:bCs w:val="0"/>
          <w:color w:val="auto"/>
          <w:spacing w:val="0"/>
          <w:sz w:val="28"/>
          <w:szCs w:val="28"/>
          <w:highlight w:val="none"/>
        </w:rPr>
        <w:t>执行建设工程施工合同（示范文本）</w:t>
      </w:r>
      <w:r>
        <w:rPr>
          <w:rFonts w:hint="eastAsia" w:ascii="宋体" w:hAnsi="宋体" w:eastAsia="宋体" w:cs="宋体"/>
          <w:b w:val="0"/>
          <w:bCs w:val="0"/>
          <w:color w:val="auto"/>
          <w:spacing w:val="0"/>
          <w:sz w:val="28"/>
          <w:szCs w:val="28"/>
          <w:highlight w:val="none"/>
          <w:lang w:eastAsia="zh-CN"/>
        </w:rPr>
        <w:t>或由甲乙双方协商签订。</w:t>
      </w:r>
    </w:p>
    <w:p w14:paraId="62ACE99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bCs/>
          <w:color w:val="auto"/>
          <w:spacing w:val="0"/>
          <w:sz w:val="43"/>
          <w:szCs w:val="43"/>
          <w:highlight w:val="none"/>
        </w:rPr>
      </w:pPr>
      <w:r>
        <w:rPr>
          <w:rFonts w:hint="eastAsia" w:ascii="宋体" w:hAnsi="宋体" w:eastAsia="宋体" w:cs="宋体"/>
          <w:b/>
          <w:bCs/>
          <w:color w:val="auto"/>
          <w:spacing w:val="0"/>
          <w:sz w:val="43"/>
          <w:szCs w:val="43"/>
          <w:highlight w:val="none"/>
        </w:rPr>
        <w:br w:type="page"/>
      </w:r>
    </w:p>
    <w:p w14:paraId="536C2F86">
      <w:pPr>
        <w:pStyle w:val="2"/>
        <w:bidi w:val="0"/>
        <w:rPr>
          <w:rFonts w:hint="eastAsia" w:ascii="宋体" w:hAnsi="宋体" w:eastAsia="宋体" w:cs="宋体"/>
          <w:b/>
          <w:bCs/>
          <w:color w:val="auto"/>
          <w:spacing w:val="0"/>
          <w:sz w:val="32"/>
          <w:szCs w:val="32"/>
          <w:highlight w:val="none"/>
        </w:rPr>
      </w:pPr>
      <w:bookmarkStart w:id="415" w:name="_Toc1177"/>
      <w:r>
        <w:rPr>
          <w:rFonts w:hint="eastAsia" w:ascii="宋体" w:hAnsi="宋体" w:eastAsia="宋体" w:cs="宋体"/>
          <w:b/>
          <w:bCs/>
          <w:color w:val="auto"/>
          <w:spacing w:val="0"/>
          <w:sz w:val="32"/>
          <w:szCs w:val="32"/>
          <w:highlight w:val="none"/>
        </w:rPr>
        <w:t>第</w:t>
      </w:r>
      <w:r>
        <w:rPr>
          <w:rFonts w:hint="eastAsia" w:ascii="宋体" w:hAnsi="宋体" w:eastAsia="宋体" w:cs="宋体"/>
          <w:b/>
          <w:bCs/>
          <w:color w:val="auto"/>
          <w:spacing w:val="0"/>
          <w:sz w:val="32"/>
          <w:szCs w:val="32"/>
          <w:highlight w:val="none"/>
          <w:lang w:eastAsia="zh-CN"/>
        </w:rPr>
        <w:t>四</w:t>
      </w:r>
      <w:r>
        <w:rPr>
          <w:rFonts w:hint="eastAsia" w:ascii="宋体" w:hAnsi="宋体" w:eastAsia="宋体" w:cs="宋体"/>
          <w:b/>
          <w:bCs/>
          <w:color w:val="auto"/>
          <w:spacing w:val="0"/>
          <w:sz w:val="32"/>
          <w:szCs w:val="32"/>
          <w:highlight w:val="none"/>
        </w:rPr>
        <w:t>章</w:t>
      </w:r>
      <w:r>
        <w:rPr>
          <w:rFonts w:hint="eastAsia" w:ascii="宋体" w:hAnsi="宋体" w:eastAsia="宋体" w:cs="宋体"/>
          <w:b/>
          <w:bCs/>
          <w:color w:val="auto"/>
          <w:spacing w:val="0"/>
          <w:sz w:val="32"/>
          <w:szCs w:val="32"/>
          <w:highlight w:val="none"/>
          <w:lang w:val="en-US" w:eastAsia="zh-CN"/>
        </w:rPr>
        <w:t xml:space="preserve"> </w:t>
      </w:r>
      <w:r>
        <w:rPr>
          <w:rFonts w:hint="eastAsia" w:ascii="宋体" w:hAnsi="宋体" w:eastAsia="宋体" w:cs="宋体"/>
          <w:b/>
          <w:bCs/>
          <w:color w:val="auto"/>
          <w:spacing w:val="0"/>
          <w:sz w:val="32"/>
          <w:szCs w:val="32"/>
          <w:highlight w:val="none"/>
        </w:rPr>
        <w:t>技术标准和要求</w:t>
      </w:r>
      <w:bookmarkEnd w:id="415"/>
    </w:p>
    <w:p w14:paraId="347611C4">
      <w:pPr>
        <w:pageBreakBefore w:val="0"/>
        <w:widowControl/>
        <w:numPr>
          <w:ilvl w:val="0"/>
          <w:numId w:val="0"/>
        </w:numPr>
        <w:kinsoku/>
        <w:wordWrap w:val="0"/>
        <w:overflowPunct/>
        <w:topLinePunct w:val="0"/>
        <w:autoSpaceDE w:val="0"/>
        <w:autoSpaceDN w:val="0"/>
        <w:bidi w:val="0"/>
        <w:adjustRightInd w:val="0"/>
        <w:snapToGrid w:val="0"/>
        <w:spacing w:before="0" w:beforeLines="20" w:after="0" w:afterLines="20" w:line="360" w:lineRule="auto"/>
        <w:ind w:left="0" w:leftChars="0" w:right="0"/>
        <w:jc w:val="both"/>
        <w:textAlignment w:val="baseline"/>
        <w:rPr>
          <w:rFonts w:hint="eastAsia" w:ascii="宋体" w:hAnsi="宋体" w:eastAsia="宋体" w:cs="宋体"/>
          <w:b/>
          <w:bCs/>
          <w:color w:val="auto"/>
          <w:spacing w:val="0"/>
          <w:sz w:val="43"/>
          <w:szCs w:val="43"/>
          <w:highlight w:val="none"/>
        </w:rPr>
      </w:pPr>
    </w:p>
    <w:p w14:paraId="7B52B23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560" w:firstLineChars="200"/>
        <w:jc w:val="left"/>
        <w:textAlignment w:val="baseline"/>
        <w:rPr>
          <w:rFonts w:hint="eastAsia" w:ascii="宋体" w:hAnsi="宋体" w:eastAsia="宋体" w:cs="宋体"/>
          <w:b w:val="0"/>
          <w:bCs w:val="0"/>
          <w:color w:val="auto"/>
          <w:spacing w:val="0"/>
          <w:sz w:val="28"/>
          <w:szCs w:val="28"/>
          <w:highlight w:val="none"/>
        </w:rPr>
      </w:pPr>
      <w:r>
        <w:rPr>
          <w:rFonts w:hint="eastAsia" w:ascii="宋体" w:hAnsi="宋体" w:eastAsia="宋体" w:cs="宋体"/>
          <w:b w:val="0"/>
          <w:bCs w:val="0"/>
          <w:color w:val="auto"/>
          <w:spacing w:val="0"/>
          <w:sz w:val="28"/>
          <w:szCs w:val="28"/>
          <w:highlight w:val="none"/>
        </w:rPr>
        <w:t>依据磋商文件的要求，本项目的材料、设备、施工须达到下列现行中华人民共和国以及省、自治区、直辖市或行业建设标准、规范的要求，并按</w:t>
      </w:r>
      <w:r>
        <w:rPr>
          <w:rFonts w:hint="eastAsia" w:ascii="宋体" w:hAnsi="宋体" w:eastAsia="宋体" w:cs="宋体"/>
          <w:b w:val="0"/>
          <w:bCs w:val="0"/>
          <w:color w:val="auto"/>
          <w:spacing w:val="0"/>
          <w:sz w:val="28"/>
          <w:szCs w:val="28"/>
          <w:highlight w:val="none"/>
          <w:lang w:eastAsia="zh-CN"/>
        </w:rPr>
        <w:t>甲方或</w:t>
      </w:r>
      <w:r>
        <w:rPr>
          <w:rFonts w:hint="eastAsia" w:ascii="宋体" w:hAnsi="宋体" w:eastAsia="宋体" w:cs="宋体"/>
          <w:b w:val="0"/>
          <w:bCs w:val="0"/>
          <w:color w:val="auto"/>
          <w:spacing w:val="0"/>
          <w:sz w:val="28"/>
          <w:szCs w:val="28"/>
          <w:highlight w:val="none"/>
        </w:rPr>
        <w:t>设计图纸文件执行。</w:t>
      </w:r>
    </w:p>
    <w:p w14:paraId="27D0EA1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rPr>
      </w:pPr>
      <w:r>
        <w:rPr>
          <w:rFonts w:hint="eastAsia" w:ascii="宋体" w:hAnsi="宋体" w:eastAsia="宋体" w:cs="宋体"/>
          <w:b/>
          <w:bCs/>
          <w:color w:val="auto"/>
          <w:spacing w:val="0"/>
          <w:sz w:val="43"/>
          <w:szCs w:val="43"/>
          <w:highlight w:val="none"/>
        </w:rPr>
        <w:br w:type="page"/>
      </w:r>
    </w:p>
    <w:p w14:paraId="69CEE74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bCs/>
          <w:color w:val="auto"/>
          <w:spacing w:val="0"/>
          <w:sz w:val="32"/>
          <w:szCs w:val="32"/>
          <w:highlight w:val="none"/>
        </w:rPr>
      </w:pPr>
    </w:p>
    <w:p w14:paraId="76DCB09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bCs/>
          <w:color w:val="auto"/>
          <w:spacing w:val="0"/>
          <w:sz w:val="32"/>
          <w:szCs w:val="32"/>
          <w:highlight w:val="none"/>
        </w:rPr>
      </w:pPr>
    </w:p>
    <w:p w14:paraId="11F77F73">
      <w:pPr>
        <w:pStyle w:val="2"/>
        <w:bidi w:val="0"/>
        <w:rPr>
          <w:rFonts w:hint="eastAsia" w:ascii="宋体" w:hAnsi="宋体" w:eastAsia="宋体" w:cs="宋体"/>
          <w:b/>
          <w:bCs/>
          <w:color w:val="auto"/>
          <w:spacing w:val="0"/>
          <w:sz w:val="32"/>
          <w:szCs w:val="32"/>
          <w:highlight w:val="none"/>
          <w:lang w:eastAsia="zh-CN"/>
        </w:rPr>
      </w:pPr>
      <w:bookmarkStart w:id="416" w:name="_Toc11020"/>
      <w:r>
        <w:rPr>
          <w:rFonts w:hint="eastAsia" w:ascii="宋体" w:hAnsi="宋体" w:eastAsia="宋体" w:cs="宋体"/>
          <w:b/>
          <w:bCs/>
          <w:color w:val="auto"/>
          <w:spacing w:val="0"/>
          <w:sz w:val="32"/>
          <w:szCs w:val="32"/>
          <w:highlight w:val="none"/>
        </w:rPr>
        <w:t>第</w:t>
      </w:r>
      <w:r>
        <w:rPr>
          <w:rFonts w:hint="eastAsia" w:ascii="宋体" w:hAnsi="宋体" w:eastAsia="宋体" w:cs="宋体"/>
          <w:b/>
          <w:bCs/>
          <w:color w:val="auto"/>
          <w:spacing w:val="0"/>
          <w:sz w:val="32"/>
          <w:szCs w:val="32"/>
          <w:highlight w:val="none"/>
          <w:lang w:val="en-US" w:eastAsia="zh-CN"/>
        </w:rPr>
        <w:t>五</w:t>
      </w:r>
      <w:r>
        <w:rPr>
          <w:rFonts w:hint="eastAsia" w:ascii="宋体" w:hAnsi="宋体" w:eastAsia="宋体" w:cs="宋体"/>
          <w:b/>
          <w:bCs/>
          <w:color w:val="auto"/>
          <w:spacing w:val="0"/>
          <w:sz w:val="32"/>
          <w:szCs w:val="32"/>
          <w:highlight w:val="none"/>
        </w:rPr>
        <w:t>章</w:t>
      </w:r>
      <w:r>
        <w:rPr>
          <w:rFonts w:hint="eastAsia" w:ascii="宋体" w:hAnsi="宋体" w:eastAsia="宋体" w:cs="宋体"/>
          <w:b/>
          <w:bCs/>
          <w:color w:val="auto"/>
          <w:spacing w:val="0"/>
          <w:sz w:val="32"/>
          <w:szCs w:val="32"/>
          <w:highlight w:val="none"/>
          <w:lang w:val="en-US" w:eastAsia="zh-CN"/>
        </w:rPr>
        <w:t xml:space="preserve"> </w:t>
      </w:r>
      <w:r>
        <w:rPr>
          <w:rFonts w:hint="eastAsia" w:ascii="宋体" w:hAnsi="宋体" w:eastAsia="宋体" w:cs="宋体"/>
          <w:b/>
          <w:bCs/>
          <w:color w:val="auto"/>
          <w:spacing w:val="0"/>
          <w:sz w:val="32"/>
          <w:szCs w:val="32"/>
          <w:highlight w:val="none"/>
          <w:lang w:eastAsia="zh-CN"/>
        </w:rPr>
        <w:t>工程量清单</w:t>
      </w:r>
      <w:bookmarkEnd w:id="416"/>
    </w:p>
    <w:p w14:paraId="01AF62D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bCs/>
          <w:color w:val="auto"/>
          <w:spacing w:val="0"/>
          <w:sz w:val="28"/>
          <w:szCs w:val="28"/>
          <w:highlight w:val="none"/>
          <w:lang w:eastAsia="zh-CN"/>
        </w:rPr>
      </w:pPr>
    </w:p>
    <w:p w14:paraId="423F6C5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bCs/>
          <w:color w:val="auto"/>
          <w:spacing w:val="0"/>
          <w:sz w:val="43"/>
          <w:szCs w:val="43"/>
          <w:highlight w:val="none"/>
          <w:lang w:eastAsia="zh-CN"/>
        </w:rPr>
      </w:pPr>
      <w:r>
        <w:rPr>
          <w:rFonts w:hint="eastAsia" w:ascii="宋体" w:hAnsi="宋体" w:eastAsia="宋体" w:cs="宋体"/>
          <w:b/>
          <w:bCs/>
          <w:color w:val="auto"/>
          <w:spacing w:val="0"/>
          <w:sz w:val="28"/>
          <w:szCs w:val="28"/>
          <w:highlight w:val="none"/>
          <w:lang w:eastAsia="zh-CN"/>
        </w:rPr>
        <w:t>（另册）</w:t>
      </w:r>
    </w:p>
    <w:p w14:paraId="401D86B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bCs/>
          <w:color w:val="auto"/>
          <w:spacing w:val="0"/>
          <w:sz w:val="32"/>
          <w:szCs w:val="32"/>
          <w:highlight w:val="none"/>
        </w:rPr>
      </w:pPr>
    </w:p>
    <w:p w14:paraId="5165FF0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bCs/>
          <w:color w:val="auto"/>
          <w:spacing w:val="0"/>
          <w:sz w:val="32"/>
          <w:szCs w:val="32"/>
          <w:highlight w:val="none"/>
        </w:rPr>
      </w:pPr>
    </w:p>
    <w:p w14:paraId="7E9263C9">
      <w:pPr>
        <w:pStyle w:val="2"/>
        <w:bidi w:val="0"/>
        <w:rPr>
          <w:rFonts w:hint="eastAsia" w:ascii="宋体" w:hAnsi="宋体" w:eastAsia="宋体" w:cs="宋体"/>
          <w:b/>
          <w:bCs/>
          <w:color w:val="auto"/>
          <w:spacing w:val="0"/>
          <w:sz w:val="32"/>
          <w:szCs w:val="32"/>
          <w:highlight w:val="none"/>
          <w:lang w:eastAsia="zh-CN"/>
        </w:rPr>
      </w:pPr>
      <w:bookmarkStart w:id="417" w:name="_Toc5169"/>
      <w:r>
        <w:rPr>
          <w:rFonts w:hint="eastAsia" w:ascii="宋体" w:hAnsi="宋体" w:eastAsia="宋体" w:cs="宋体"/>
          <w:b/>
          <w:bCs/>
          <w:color w:val="auto"/>
          <w:spacing w:val="0"/>
          <w:sz w:val="32"/>
          <w:szCs w:val="32"/>
          <w:highlight w:val="none"/>
        </w:rPr>
        <w:t>第</w:t>
      </w:r>
      <w:r>
        <w:rPr>
          <w:rFonts w:hint="eastAsia" w:ascii="宋体" w:hAnsi="宋体" w:eastAsia="宋体" w:cs="宋体"/>
          <w:b/>
          <w:bCs/>
          <w:color w:val="auto"/>
          <w:spacing w:val="0"/>
          <w:sz w:val="32"/>
          <w:szCs w:val="32"/>
          <w:highlight w:val="none"/>
          <w:lang w:val="en-US" w:eastAsia="zh-CN"/>
        </w:rPr>
        <w:t>六</w:t>
      </w:r>
      <w:r>
        <w:rPr>
          <w:rFonts w:hint="eastAsia" w:ascii="宋体" w:hAnsi="宋体" w:eastAsia="宋体" w:cs="宋体"/>
          <w:b/>
          <w:bCs/>
          <w:color w:val="auto"/>
          <w:spacing w:val="0"/>
          <w:sz w:val="32"/>
          <w:szCs w:val="32"/>
          <w:highlight w:val="none"/>
        </w:rPr>
        <w:t>章</w:t>
      </w:r>
      <w:r>
        <w:rPr>
          <w:rFonts w:hint="eastAsia" w:ascii="宋体" w:hAnsi="宋体" w:eastAsia="宋体" w:cs="宋体"/>
          <w:b/>
          <w:bCs/>
          <w:color w:val="auto"/>
          <w:spacing w:val="0"/>
          <w:sz w:val="32"/>
          <w:szCs w:val="32"/>
          <w:highlight w:val="none"/>
          <w:lang w:val="en-US" w:eastAsia="zh-CN"/>
        </w:rPr>
        <w:t xml:space="preserve"> </w:t>
      </w:r>
      <w:r>
        <w:rPr>
          <w:rFonts w:hint="eastAsia" w:ascii="宋体" w:hAnsi="宋体" w:eastAsia="宋体" w:cs="宋体"/>
          <w:b/>
          <w:bCs/>
          <w:color w:val="auto"/>
          <w:spacing w:val="0"/>
          <w:sz w:val="32"/>
          <w:szCs w:val="32"/>
          <w:highlight w:val="none"/>
          <w:lang w:eastAsia="zh-CN"/>
        </w:rPr>
        <w:t>图纸</w:t>
      </w:r>
      <w:bookmarkEnd w:id="417"/>
    </w:p>
    <w:p w14:paraId="231F3B0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bCs/>
          <w:color w:val="auto"/>
          <w:spacing w:val="0"/>
          <w:sz w:val="31"/>
          <w:szCs w:val="31"/>
          <w:highlight w:val="none"/>
        </w:rPr>
      </w:pPr>
      <w:r>
        <w:rPr>
          <w:rFonts w:hint="eastAsia" w:ascii="宋体" w:hAnsi="宋体" w:eastAsia="宋体" w:cs="宋体"/>
          <w:b/>
          <w:bCs/>
          <w:color w:val="auto"/>
          <w:spacing w:val="0"/>
          <w:sz w:val="28"/>
          <w:szCs w:val="28"/>
          <w:highlight w:val="none"/>
          <w:lang w:eastAsia="zh-CN"/>
        </w:rPr>
        <w:t>（另册）</w:t>
      </w:r>
      <w:r>
        <w:rPr>
          <w:rFonts w:hint="eastAsia" w:ascii="宋体" w:hAnsi="宋体" w:eastAsia="宋体" w:cs="宋体"/>
          <w:b/>
          <w:bCs/>
          <w:color w:val="auto"/>
          <w:spacing w:val="0"/>
          <w:sz w:val="31"/>
          <w:szCs w:val="31"/>
          <w:highlight w:val="none"/>
        </w:rPr>
        <w:br w:type="page"/>
      </w:r>
    </w:p>
    <w:p w14:paraId="5CE8A0A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bCs/>
          <w:color w:val="auto"/>
          <w:spacing w:val="0"/>
          <w:sz w:val="32"/>
          <w:szCs w:val="32"/>
          <w:highlight w:val="none"/>
        </w:rPr>
      </w:pPr>
    </w:p>
    <w:p w14:paraId="696122C8">
      <w:pPr>
        <w:pStyle w:val="2"/>
        <w:bidi w:val="0"/>
        <w:rPr>
          <w:rFonts w:hint="eastAsia" w:ascii="宋体" w:hAnsi="宋体" w:eastAsia="宋体" w:cs="宋体"/>
          <w:b/>
          <w:bCs/>
          <w:color w:val="auto"/>
          <w:spacing w:val="0"/>
          <w:sz w:val="32"/>
          <w:szCs w:val="32"/>
          <w:highlight w:val="none"/>
        </w:rPr>
      </w:pPr>
      <w:bookmarkStart w:id="418" w:name="_Toc27195"/>
      <w:r>
        <w:rPr>
          <w:rFonts w:hint="eastAsia" w:ascii="宋体" w:hAnsi="宋体" w:eastAsia="宋体" w:cs="宋体"/>
          <w:b/>
          <w:bCs/>
          <w:color w:val="auto"/>
          <w:spacing w:val="0"/>
          <w:sz w:val="32"/>
          <w:szCs w:val="32"/>
          <w:highlight w:val="none"/>
        </w:rPr>
        <w:t>第</w:t>
      </w:r>
      <w:r>
        <w:rPr>
          <w:rFonts w:hint="eastAsia" w:ascii="宋体" w:hAnsi="宋体" w:eastAsia="宋体" w:cs="宋体"/>
          <w:b/>
          <w:bCs/>
          <w:color w:val="auto"/>
          <w:spacing w:val="0"/>
          <w:sz w:val="32"/>
          <w:szCs w:val="32"/>
          <w:highlight w:val="none"/>
          <w:lang w:val="en-US" w:eastAsia="zh-CN"/>
        </w:rPr>
        <w:t>七</w:t>
      </w:r>
      <w:r>
        <w:rPr>
          <w:rFonts w:hint="eastAsia" w:ascii="宋体" w:hAnsi="宋体" w:eastAsia="宋体" w:cs="宋体"/>
          <w:b/>
          <w:bCs/>
          <w:color w:val="auto"/>
          <w:spacing w:val="0"/>
          <w:sz w:val="32"/>
          <w:szCs w:val="32"/>
          <w:highlight w:val="none"/>
        </w:rPr>
        <w:t>章 响应文件格式</w:t>
      </w:r>
      <w:bookmarkEnd w:id="418"/>
    </w:p>
    <w:p w14:paraId="07784FD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right"/>
        <w:textAlignment w:val="baseline"/>
        <w:rPr>
          <w:rFonts w:hint="eastAsia" w:ascii="宋体" w:hAnsi="宋体" w:eastAsia="宋体" w:cs="宋体"/>
          <w:color w:val="auto"/>
          <w:spacing w:val="0"/>
          <w:sz w:val="40"/>
          <w:szCs w:val="40"/>
          <w:highlight w:val="none"/>
        </w:rPr>
      </w:pPr>
      <w:r>
        <w:rPr>
          <w:rFonts w:hint="eastAsia" w:ascii="宋体" w:hAnsi="宋体" w:eastAsia="宋体" w:cs="宋体"/>
          <w:b/>
          <w:bCs/>
          <w:color w:val="auto"/>
          <w:spacing w:val="0"/>
          <w:sz w:val="43"/>
          <w:szCs w:val="43"/>
          <w:highlight w:val="none"/>
        </w:rPr>
        <w:br w:type="page"/>
      </w:r>
      <w:r>
        <w:rPr>
          <w:rFonts w:hint="eastAsia" w:ascii="宋体" w:hAnsi="宋体" w:eastAsia="宋体" w:cs="宋体"/>
          <w:color w:val="auto"/>
          <w:spacing w:val="0"/>
          <w:position w:val="2"/>
          <w:sz w:val="40"/>
          <w:szCs w:val="40"/>
          <w:highlight w:val="none"/>
        </w:rPr>
        <w:t>正本</w:t>
      </w:r>
      <w:r>
        <w:rPr>
          <w:rFonts w:hint="eastAsia" w:ascii="宋体" w:hAnsi="宋体" w:eastAsia="宋体" w:cs="宋体"/>
          <w:color w:val="auto"/>
          <w:spacing w:val="0"/>
          <w:position w:val="2"/>
          <w:sz w:val="40"/>
          <w:szCs w:val="40"/>
          <w:highlight w:val="none"/>
          <w:lang w:eastAsia="zh-CN"/>
        </w:rPr>
        <w:t>/</w:t>
      </w:r>
      <w:r>
        <w:rPr>
          <w:rFonts w:hint="eastAsia" w:ascii="宋体" w:hAnsi="宋体" w:eastAsia="宋体" w:cs="宋体"/>
          <w:color w:val="auto"/>
          <w:spacing w:val="0"/>
          <w:position w:val="2"/>
          <w:sz w:val="40"/>
          <w:szCs w:val="40"/>
          <w:highlight w:val="none"/>
        </w:rPr>
        <w:t>副本</w:t>
      </w:r>
    </w:p>
    <w:p w14:paraId="66E34089">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7CA93D2A">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7A5332EA">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076B7597">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highlight w:val="none"/>
        </w:rPr>
      </w:pPr>
    </w:p>
    <w:p w14:paraId="4753964A">
      <w:pPr>
        <w:pageBreakBefore w:val="0"/>
        <w:widowControl/>
        <w:tabs>
          <w:tab w:val="left" w:pos="6155"/>
        </w:tabs>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（项目名称）</w:t>
      </w:r>
    </w:p>
    <w:p w14:paraId="19674DEF">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highlight w:val="none"/>
        </w:rPr>
      </w:pPr>
    </w:p>
    <w:p w14:paraId="51239663">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highlight w:val="none"/>
        </w:rPr>
      </w:pPr>
    </w:p>
    <w:p w14:paraId="6CF37A55">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highlight w:val="none"/>
        </w:rPr>
      </w:pPr>
    </w:p>
    <w:p w14:paraId="0CA89437">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highlight w:val="none"/>
        </w:rPr>
      </w:pPr>
    </w:p>
    <w:p w14:paraId="72E6F2F6">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highlight w:val="none"/>
        </w:rPr>
      </w:pPr>
    </w:p>
    <w:p w14:paraId="7F59035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71"/>
          <w:szCs w:val="71"/>
          <w:highlight w:val="none"/>
        </w:rPr>
      </w:pPr>
      <w:r>
        <w:rPr>
          <w:rFonts w:hint="eastAsia" w:ascii="宋体" w:hAnsi="宋体" w:eastAsia="宋体" w:cs="宋体"/>
          <w:color w:val="auto"/>
          <w:spacing w:val="0"/>
          <w:sz w:val="71"/>
          <w:szCs w:val="71"/>
          <w:highlight w:val="none"/>
        </w:rPr>
        <w:t>响应文件</w:t>
      </w:r>
    </w:p>
    <w:p w14:paraId="5A981F3E">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highlight w:val="none"/>
        </w:rPr>
      </w:pPr>
    </w:p>
    <w:p w14:paraId="794FB0B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项目编号：</w:t>
      </w:r>
    </w:p>
    <w:p w14:paraId="3AA0A342">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highlight w:val="none"/>
        </w:rPr>
      </w:pPr>
    </w:p>
    <w:p w14:paraId="61781034">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highlight w:val="none"/>
        </w:rPr>
      </w:pPr>
    </w:p>
    <w:p w14:paraId="259C8693">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highlight w:val="none"/>
        </w:rPr>
      </w:pPr>
    </w:p>
    <w:p w14:paraId="7280880B">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highlight w:val="none"/>
        </w:rPr>
      </w:pPr>
    </w:p>
    <w:p w14:paraId="27BC5573">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highlight w:val="none"/>
        </w:rPr>
      </w:pPr>
    </w:p>
    <w:p w14:paraId="60DA0B9E">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both"/>
        <w:textAlignment w:val="baseline"/>
        <w:rPr>
          <w:rFonts w:hint="eastAsia" w:ascii="宋体" w:hAnsi="宋体" w:eastAsia="宋体" w:cs="宋体"/>
          <w:color w:val="auto"/>
          <w:spacing w:val="0"/>
          <w:highlight w:val="none"/>
        </w:rPr>
      </w:pPr>
    </w:p>
    <w:p w14:paraId="1EC57153">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highlight w:val="none"/>
        </w:rPr>
      </w:pPr>
    </w:p>
    <w:p w14:paraId="5BB01B1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供应商：</w:t>
      </w:r>
      <w:r>
        <w:rPr>
          <w:rFonts w:hint="eastAsia" w:ascii="宋体" w:hAnsi="宋体" w:eastAsia="宋体" w:cs="宋体"/>
          <w:color w:val="auto"/>
          <w:spacing w:val="0"/>
          <w:sz w:val="28"/>
          <w:szCs w:val="28"/>
          <w:highlight w:val="none"/>
          <w:u w:val="single" w:color="auto"/>
        </w:rPr>
        <w:t xml:space="preserve">                                  </w:t>
      </w:r>
      <w:r>
        <w:rPr>
          <w:rFonts w:hint="eastAsia" w:ascii="宋体" w:hAnsi="宋体" w:eastAsia="宋体" w:cs="宋体"/>
          <w:color w:val="auto"/>
          <w:spacing w:val="0"/>
          <w:sz w:val="28"/>
          <w:szCs w:val="28"/>
          <w:highlight w:val="none"/>
        </w:rPr>
        <w:t>（盖单位章）</w:t>
      </w:r>
    </w:p>
    <w:p w14:paraId="6EC606C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8"/>
          <w:szCs w:val="28"/>
          <w:highlight w:val="none"/>
        </w:rPr>
      </w:pPr>
    </w:p>
    <w:p w14:paraId="67E8AD9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法定代表人或其委托代理人：</w:t>
      </w:r>
      <w:r>
        <w:rPr>
          <w:rFonts w:hint="eastAsia" w:ascii="宋体" w:hAnsi="宋体" w:eastAsia="宋体" w:cs="宋体"/>
          <w:color w:val="auto"/>
          <w:spacing w:val="0"/>
          <w:sz w:val="28"/>
          <w:szCs w:val="28"/>
          <w:highlight w:val="none"/>
          <w:u w:val="single" w:color="auto"/>
        </w:rPr>
        <w:t xml:space="preserve">                     </w:t>
      </w:r>
      <w:r>
        <w:rPr>
          <w:rFonts w:hint="eastAsia" w:ascii="宋体" w:hAnsi="宋体" w:eastAsia="宋体" w:cs="宋体"/>
          <w:color w:val="auto"/>
          <w:spacing w:val="0"/>
          <w:sz w:val="28"/>
          <w:szCs w:val="28"/>
          <w:highlight w:val="none"/>
        </w:rPr>
        <w:t>（签字）</w:t>
      </w:r>
    </w:p>
    <w:p w14:paraId="1BD9D157">
      <w:pPr>
        <w:pageBreakBefore w:val="0"/>
        <w:widowControl/>
        <w:tabs>
          <w:tab w:val="left" w:pos="3186"/>
        </w:tabs>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年</w:t>
      </w:r>
      <w:r>
        <w:rPr>
          <w:rFonts w:hint="eastAsia" w:ascii="宋体" w:hAnsi="宋体" w:eastAsia="宋体" w:cs="宋体"/>
          <w:color w:val="auto"/>
          <w:spacing w:val="0"/>
          <w:sz w:val="28"/>
          <w:szCs w:val="28"/>
          <w:highlight w:val="none"/>
          <w:u w:val="single" w:color="auto"/>
        </w:rPr>
        <w:t xml:space="preserve">       </w:t>
      </w:r>
      <w:r>
        <w:rPr>
          <w:rFonts w:hint="eastAsia" w:ascii="宋体" w:hAnsi="宋体" w:eastAsia="宋体" w:cs="宋体"/>
          <w:color w:val="auto"/>
          <w:spacing w:val="0"/>
          <w:sz w:val="28"/>
          <w:szCs w:val="28"/>
          <w:highlight w:val="none"/>
        </w:rPr>
        <w:t xml:space="preserve"> 月</w:t>
      </w:r>
      <w:r>
        <w:rPr>
          <w:rFonts w:hint="eastAsia" w:ascii="宋体" w:hAnsi="宋体" w:eastAsia="宋体" w:cs="宋体"/>
          <w:color w:val="auto"/>
          <w:spacing w:val="0"/>
          <w:sz w:val="28"/>
          <w:szCs w:val="28"/>
          <w:highlight w:val="none"/>
          <w:u w:val="single" w:color="auto"/>
        </w:rPr>
        <w:t xml:space="preserve">        </w:t>
      </w:r>
      <w:r>
        <w:rPr>
          <w:rFonts w:hint="eastAsia" w:ascii="宋体" w:hAnsi="宋体" w:eastAsia="宋体" w:cs="宋体"/>
          <w:color w:val="auto"/>
          <w:spacing w:val="0"/>
          <w:sz w:val="28"/>
          <w:szCs w:val="28"/>
          <w:highlight w:val="none"/>
        </w:rPr>
        <w:t xml:space="preserve"> 日</w:t>
      </w:r>
    </w:p>
    <w:p w14:paraId="1A3E7BB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8"/>
          <w:szCs w:val="28"/>
          <w:highlight w:val="none"/>
        </w:rPr>
        <w:sectPr>
          <w:footerReference r:id="rId8" w:type="default"/>
          <w:pgSz w:w="11906" w:h="16839"/>
          <w:pgMar w:top="1440" w:right="1080" w:bottom="1440" w:left="1080" w:header="0" w:footer="994" w:gutter="0"/>
          <w:pgNumType w:fmt="decimal"/>
          <w:cols w:space="720" w:num="1"/>
        </w:sectPr>
      </w:pPr>
    </w:p>
    <w:p w14:paraId="2C5BF9D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32"/>
          <w:szCs w:val="32"/>
          <w:highlight w:val="none"/>
        </w:rPr>
      </w:pPr>
      <w:r>
        <w:rPr>
          <w:rFonts w:hint="eastAsia" w:ascii="宋体" w:hAnsi="宋体" w:eastAsia="宋体" w:cs="宋体"/>
          <w:color w:val="auto"/>
          <w:spacing w:val="0"/>
          <w:sz w:val="32"/>
          <w:szCs w:val="32"/>
          <w:highlight w:val="none"/>
        </w:rPr>
        <w:t>目  录</w:t>
      </w:r>
    </w:p>
    <w:p w14:paraId="1F68AD05">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4515E60C">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0A70B376">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18B8D593">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35C193DA">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75D684A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u w:val="none" w:color="auto"/>
        </w:rPr>
      </w:pPr>
      <w:r>
        <w:rPr>
          <w:rFonts w:hint="eastAsia" w:ascii="宋体" w:hAnsi="宋体" w:eastAsia="宋体" w:cs="宋体"/>
          <w:color w:val="auto"/>
          <w:spacing w:val="0"/>
          <w:sz w:val="24"/>
          <w:szCs w:val="24"/>
          <w:highlight w:val="none"/>
          <w:u w:val="none" w:color="auto"/>
          <w:lang w:val="en-US" w:eastAsia="zh-CN"/>
        </w:rPr>
        <w:t>根据政采云系统</w:t>
      </w:r>
      <w:r>
        <w:rPr>
          <w:rFonts w:hint="eastAsia" w:ascii="宋体" w:hAnsi="宋体" w:eastAsia="宋体" w:cs="宋体"/>
          <w:color w:val="auto"/>
          <w:spacing w:val="0"/>
          <w:sz w:val="24"/>
          <w:szCs w:val="24"/>
          <w:highlight w:val="none"/>
          <w:u w:val="none" w:color="auto"/>
        </w:rPr>
        <w:t>要求自行编制目录</w:t>
      </w:r>
    </w:p>
    <w:p w14:paraId="476A060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sectPr>
          <w:footerReference r:id="rId9" w:type="default"/>
          <w:pgSz w:w="11906" w:h="16839"/>
          <w:pgMar w:top="1440" w:right="1080" w:bottom="1440" w:left="1080" w:header="0" w:footer="994" w:gutter="0"/>
          <w:pgNumType w:fmt="decimal"/>
          <w:cols w:space="720" w:num="1"/>
        </w:sectPr>
      </w:pPr>
    </w:p>
    <w:p w14:paraId="299C12E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32"/>
          <w:szCs w:val="32"/>
          <w:highlight w:val="none"/>
        </w:rPr>
      </w:pPr>
      <w:r>
        <w:rPr>
          <w:rFonts w:hint="eastAsia" w:ascii="宋体" w:hAnsi="宋体" w:eastAsia="宋体" w:cs="宋体"/>
          <w:b/>
          <w:bCs/>
          <w:color w:val="auto"/>
          <w:spacing w:val="0"/>
          <w:sz w:val="32"/>
          <w:szCs w:val="32"/>
          <w:highlight w:val="none"/>
        </w:rPr>
        <w:t>一、报价函</w:t>
      </w:r>
    </w:p>
    <w:p w14:paraId="2829642D">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5020E81F">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color="auto"/>
        </w:rPr>
        <w:t xml:space="preserve">          （采购人全称）                       </w:t>
      </w:r>
    </w:p>
    <w:p w14:paraId="2830267A">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我单位收到贵公司  </w:t>
      </w:r>
      <w:r>
        <w:rPr>
          <w:rFonts w:hint="eastAsia" w:ascii="宋体" w:hAnsi="宋体" w:eastAsia="宋体" w:cs="宋体"/>
          <w:color w:val="auto"/>
          <w:spacing w:val="0"/>
          <w:sz w:val="24"/>
          <w:szCs w:val="24"/>
          <w:highlight w:val="none"/>
          <w:u w:val="single" w:color="auto"/>
        </w:rPr>
        <w:t xml:space="preserve">（项目名称、采购编号）              </w:t>
      </w:r>
      <w:r>
        <w:rPr>
          <w:rFonts w:hint="eastAsia" w:ascii="宋体" w:hAnsi="宋体" w:eastAsia="宋体" w:cs="宋体"/>
          <w:color w:val="auto"/>
          <w:spacing w:val="0"/>
          <w:sz w:val="24"/>
          <w:szCs w:val="24"/>
          <w:highlight w:val="none"/>
        </w:rPr>
        <w:t xml:space="preserve"> 竞争性磋商文件，经详细研究，我们决定参加组织 </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 xml:space="preserve"> 项目的竞争性磋商活动，为此，我方着重声明如下：</w:t>
      </w:r>
    </w:p>
    <w:p w14:paraId="6AA2E221">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 xml:space="preserve">、我方愿意按照竞争性响应文件中的一切要求，按合同约定实施和完成承包工程，修补工程中的任何缺陷，工程质量达到 </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。磋商报价为：人民币</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大写</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 xml:space="preserve"> 元</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 xml:space="preserve"> )的报价，</w:t>
      </w:r>
      <w:r>
        <w:rPr>
          <w:rFonts w:hint="eastAsia" w:ascii="宋体" w:hAnsi="宋体" w:eastAsia="宋体" w:cs="宋体"/>
          <w:color w:val="auto"/>
          <w:spacing w:val="0"/>
          <w:sz w:val="24"/>
          <w:szCs w:val="24"/>
          <w:highlight w:val="none"/>
          <w:lang w:eastAsia="zh-CN"/>
        </w:rPr>
        <w:t>计划工期</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w:t>
      </w:r>
    </w:p>
    <w:p w14:paraId="08315C9D">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2、我方承诺已经具备《中华人民共和国政府采购法》中规定的参加政府采购活动的供应商应当 具备的条件：</w:t>
      </w:r>
    </w:p>
    <w:p w14:paraId="483A8254">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具有独立承担民事责任的能力；</w:t>
      </w:r>
    </w:p>
    <w:p w14:paraId="41A84DAB">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具有良好的商业信誉和健全的财务会计制度；</w:t>
      </w:r>
    </w:p>
    <w:p w14:paraId="1040C5CD">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具有履行合同所必需的设备和专业技术能力；</w:t>
      </w:r>
    </w:p>
    <w:p w14:paraId="4CA3186F">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 有依法缴纳税收</w:t>
      </w:r>
      <w:r>
        <w:rPr>
          <w:rFonts w:hint="eastAsia" w:ascii="宋体" w:hAnsi="宋体" w:eastAsia="宋体" w:cs="宋体"/>
          <w:color w:val="auto"/>
          <w:spacing w:val="0"/>
          <w:sz w:val="24"/>
          <w:szCs w:val="24"/>
          <w:highlight w:val="none"/>
          <w:lang w:eastAsia="zh-CN"/>
        </w:rPr>
        <w:t>和社会保障</w:t>
      </w:r>
      <w:r>
        <w:rPr>
          <w:rFonts w:hint="eastAsia" w:ascii="宋体" w:hAnsi="宋体" w:eastAsia="宋体" w:cs="宋体"/>
          <w:color w:val="auto"/>
          <w:spacing w:val="0"/>
          <w:sz w:val="24"/>
          <w:szCs w:val="24"/>
          <w:highlight w:val="none"/>
        </w:rPr>
        <w:t>资金的良好记录；</w:t>
      </w:r>
    </w:p>
    <w:p w14:paraId="1E140D96">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参加此项采购活动前三年内，在经营活动中没有重大违法记录。</w:t>
      </w:r>
    </w:p>
    <w:p w14:paraId="4A3C8F8F">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3、提供磋商须知规定的全部响应文件，包括响应文件正本、副本和电子文档。</w:t>
      </w:r>
    </w:p>
    <w:p w14:paraId="6F883B03">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4、按磋商文件要求提供和交付的工程的磋商报价详见报价一览表。</w:t>
      </w:r>
    </w:p>
    <w:p w14:paraId="26DCBF9A">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5、我方承诺：完全理解磋商报价超过磋商时公布的预算金额时，投标将被拒绝。</w:t>
      </w:r>
    </w:p>
    <w:p w14:paraId="3DEB26D4">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6、响应文件自向你方递交之日起</w:t>
      </w:r>
      <w:r>
        <w:rPr>
          <w:rFonts w:hint="eastAsia" w:ascii="宋体" w:hAnsi="宋体" w:eastAsia="宋体" w:cs="宋体"/>
          <w:color w:val="auto"/>
          <w:spacing w:val="0"/>
          <w:sz w:val="24"/>
          <w:szCs w:val="24"/>
          <w:highlight w:val="none"/>
          <w:lang w:eastAsia="zh-CN"/>
        </w:rPr>
        <w:t>磋商文件规定的时间</w:t>
      </w:r>
      <w:r>
        <w:rPr>
          <w:rFonts w:hint="eastAsia" w:ascii="宋体" w:hAnsi="宋体" w:eastAsia="宋体" w:cs="宋体"/>
          <w:color w:val="auto"/>
          <w:spacing w:val="0"/>
          <w:sz w:val="24"/>
          <w:szCs w:val="24"/>
          <w:highlight w:val="none"/>
        </w:rPr>
        <w:t>内有效，在此有效期内，全部条款内容对我方具有约束力，如成交将成为合同文件组成部分。</w:t>
      </w:r>
    </w:p>
    <w:p w14:paraId="7917826A">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7、保证忠实地执行双方所签订的合同，并承担合同规定的责任和义务。</w:t>
      </w:r>
    </w:p>
    <w:p w14:paraId="6DC32821">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8、承诺完全满足和响应磋商文件中的各项商务和技术要求，若有偏差，已在响应文件商务条款偏离表中予以明确特别说明。</w:t>
      </w:r>
    </w:p>
    <w:p w14:paraId="69BF9E85">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9、保证遵守磋商文件的规定。</w:t>
      </w:r>
    </w:p>
    <w:p w14:paraId="22834631">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10、我方完全理解贵方不一定接受最低价的磋商或收到的任何投标。</w:t>
      </w:r>
    </w:p>
    <w:p w14:paraId="2DB8BE9D">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11、我方愿意向贵方提供任何与本项磋商有关的数据、情况和技术资料。若贵方需要，我方愿意提供我方</w:t>
      </w:r>
      <w:r>
        <w:rPr>
          <w:rFonts w:hint="eastAsia" w:ascii="宋体" w:hAnsi="宋体" w:eastAsia="宋体" w:cs="宋体"/>
          <w:color w:val="auto"/>
          <w:spacing w:val="0"/>
          <w:sz w:val="24"/>
          <w:szCs w:val="24"/>
          <w:highlight w:val="none"/>
          <w:lang w:eastAsia="zh-CN"/>
        </w:rPr>
        <w:t>做出</w:t>
      </w:r>
      <w:r>
        <w:rPr>
          <w:rFonts w:hint="eastAsia" w:ascii="宋体" w:hAnsi="宋体" w:eastAsia="宋体" w:cs="宋体"/>
          <w:color w:val="auto"/>
          <w:spacing w:val="0"/>
          <w:sz w:val="24"/>
          <w:szCs w:val="24"/>
          <w:highlight w:val="none"/>
        </w:rPr>
        <w:t>的一切承诺的证明材料。</w:t>
      </w:r>
    </w:p>
    <w:p w14:paraId="6146366A">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12、我方已详细审核全部响应文件，包括响应文件修改书（如有的话）、参考资料及有关附件，确认无误。</w:t>
      </w:r>
    </w:p>
    <w:p w14:paraId="40DC2DA5">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13、我方承诺：采购人若需追回采购本项目磋商文件所列相关服务的，在不改变合同其他实质性条款的前提下，按相同或更优惠的折扣率保证供货。</w:t>
      </w:r>
    </w:p>
    <w:p w14:paraId="0F4C2F90">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14、我方承诺接受磋商文件中的全部条款且无任何异议。</w:t>
      </w:r>
    </w:p>
    <w:p w14:paraId="013FAFF2">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15、我方将严格遵守《中华人民共和国政府采购法》的有关规定，若有下列情形之一的，将被</w:t>
      </w:r>
      <w:r>
        <w:rPr>
          <w:rFonts w:hint="eastAsia" w:ascii="宋体" w:hAnsi="宋体" w:eastAsia="宋体" w:cs="宋体"/>
          <w:color w:val="auto"/>
          <w:spacing w:val="0"/>
          <w:sz w:val="24"/>
          <w:szCs w:val="24"/>
          <w:highlight w:val="none"/>
          <w:lang w:eastAsia="zh-CN"/>
        </w:rPr>
        <w:t>处</w:t>
      </w:r>
      <w:r>
        <w:rPr>
          <w:rFonts w:hint="eastAsia" w:ascii="宋体" w:hAnsi="宋体" w:eastAsia="宋体" w:cs="宋体"/>
          <w:color w:val="auto"/>
          <w:spacing w:val="0"/>
          <w:sz w:val="24"/>
          <w:szCs w:val="24"/>
          <w:highlight w:val="none"/>
        </w:rPr>
        <w:t>以采购金额5%</w:t>
      </w:r>
      <w:r>
        <w:rPr>
          <w:rFonts w:hint="eastAsia" w:ascii="宋体" w:hAnsi="宋体" w:eastAsia="宋体" w:cs="宋体"/>
          <w:color w:val="auto"/>
          <w:spacing w:val="0"/>
          <w:sz w:val="24"/>
          <w:szCs w:val="24"/>
          <w:highlight w:val="none"/>
          <w:lang w:eastAsia="zh-CN"/>
        </w:rPr>
        <w:t>以上</w:t>
      </w:r>
      <w:r>
        <w:rPr>
          <w:rFonts w:hint="eastAsia" w:ascii="宋体" w:hAnsi="宋体" w:eastAsia="宋体" w:cs="宋体"/>
          <w:color w:val="auto"/>
          <w:spacing w:val="0"/>
          <w:sz w:val="24"/>
          <w:szCs w:val="24"/>
          <w:highlight w:val="none"/>
        </w:rPr>
        <w:t>10%以下的罚款，列入不良行为记录名单，在一至三年内禁止参加政府采购活动；有违法所得的，并处没收违法所得；情节严重的，由工商行政管理机关吊销营业执照；构成犯罪的，依法追究刑事责任；</w:t>
      </w:r>
    </w:p>
    <w:p w14:paraId="136D6326">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 提供虚假材料谋取成交、成交的；</w:t>
      </w:r>
    </w:p>
    <w:p w14:paraId="0B8F6888">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 采取不正当手段诋毁、排挤其他供应商的；</w:t>
      </w:r>
    </w:p>
    <w:p w14:paraId="496EF79E">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 与采购人、</w:t>
      </w:r>
      <w:r>
        <w:rPr>
          <w:rFonts w:hint="eastAsia" w:ascii="宋体" w:hAnsi="宋体" w:eastAsia="宋体" w:cs="宋体"/>
          <w:color w:val="auto"/>
          <w:spacing w:val="0"/>
          <w:sz w:val="24"/>
          <w:szCs w:val="24"/>
          <w:highlight w:val="none"/>
          <w:lang w:eastAsia="zh-CN"/>
        </w:rPr>
        <w:t>其他</w:t>
      </w:r>
      <w:r>
        <w:rPr>
          <w:rFonts w:hint="eastAsia" w:ascii="宋体" w:hAnsi="宋体" w:eastAsia="宋体" w:cs="宋体"/>
          <w:color w:val="auto"/>
          <w:spacing w:val="0"/>
          <w:sz w:val="24"/>
          <w:szCs w:val="24"/>
          <w:highlight w:val="none"/>
        </w:rPr>
        <w:t>供应商或者代理机构工作人员恶意串通的；</w:t>
      </w:r>
    </w:p>
    <w:p w14:paraId="1852A1DD">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 向采购人、代理机构工作人员行贿或提供其他不正当利益的；</w:t>
      </w:r>
    </w:p>
    <w:p w14:paraId="4D3862C5">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 未经代理机构同意，在采购过程中与采购人进行协商谈判的；</w:t>
      </w:r>
    </w:p>
    <w:p w14:paraId="1809408B">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 拒绝有关部门监督检查虚假情况的。</w:t>
      </w:r>
    </w:p>
    <w:p w14:paraId="1DC1125F">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15、所有关于本次磋商的函电，请按下列地址联系。</w:t>
      </w:r>
    </w:p>
    <w:p w14:paraId="27E9E059">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5FBBDC2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bCs/>
          <w:snapToGrid w:val="0"/>
          <w:color w:val="auto"/>
          <w:spacing w:val="0"/>
          <w:sz w:val="24"/>
          <w:szCs w:val="24"/>
          <w:highlight w:val="none"/>
          <w:lang w:val="en-US" w:eastAsia="zh-CN"/>
        </w:rPr>
        <w:t>供应商名称</w:t>
      </w:r>
      <w:r>
        <w:rPr>
          <w:rFonts w:hint="eastAsia" w:ascii="宋体" w:hAnsi="宋体" w:eastAsia="宋体" w:cs="宋体"/>
          <w:color w:val="auto"/>
          <w:spacing w:val="0"/>
          <w:sz w:val="24"/>
          <w:szCs w:val="24"/>
          <w:highlight w:val="none"/>
        </w:rPr>
        <w:t>（加盖公章）：</w:t>
      </w:r>
    </w:p>
    <w:p w14:paraId="2538D30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bCs/>
          <w:snapToGrid w:val="0"/>
          <w:color w:val="auto"/>
          <w:spacing w:val="0"/>
          <w:sz w:val="24"/>
          <w:szCs w:val="24"/>
          <w:highlight w:val="none"/>
          <w:lang w:val="en-US" w:eastAsia="zh-CN"/>
        </w:rPr>
        <w:t>法定代表人或其授权委托人（签字或盖章）：</w:t>
      </w:r>
    </w:p>
    <w:p w14:paraId="639BD53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snapToGrid w:val="0"/>
          <w:color w:val="auto"/>
          <w:spacing w:val="0"/>
          <w:sz w:val="24"/>
          <w:szCs w:val="24"/>
          <w:highlight w:val="none"/>
          <w:lang w:val="en-US" w:eastAsia="zh-CN"/>
        </w:rPr>
      </w:pPr>
      <w:r>
        <w:rPr>
          <w:rFonts w:hint="eastAsia" w:ascii="宋体" w:hAnsi="宋体" w:eastAsia="宋体" w:cs="宋体"/>
          <w:bCs/>
          <w:snapToGrid w:val="0"/>
          <w:color w:val="auto"/>
          <w:spacing w:val="0"/>
          <w:sz w:val="24"/>
          <w:szCs w:val="24"/>
          <w:highlight w:val="none"/>
          <w:lang w:val="en-US" w:eastAsia="zh-CN"/>
        </w:rPr>
        <w:t>地    址：</w:t>
      </w:r>
    </w:p>
    <w:p w14:paraId="53FB4DF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snapToGrid w:val="0"/>
          <w:color w:val="auto"/>
          <w:spacing w:val="0"/>
          <w:sz w:val="24"/>
          <w:szCs w:val="24"/>
          <w:highlight w:val="none"/>
          <w:lang w:val="en-US" w:eastAsia="zh-CN"/>
        </w:rPr>
      </w:pPr>
      <w:r>
        <w:rPr>
          <w:rFonts w:hint="eastAsia" w:ascii="宋体" w:hAnsi="宋体" w:eastAsia="宋体" w:cs="宋体"/>
          <w:bCs/>
          <w:snapToGrid w:val="0"/>
          <w:color w:val="auto"/>
          <w:spacing w:val="0"/>
          <w:sz w:val="24"/>
          <w:szCs w:val="24"/>
          <w:highlight w:val="none"/>
          <w:lang w:val="en-US" w:eastAsia="zh-CN"/>
        </w:rPr>
        <w:t xml:space="preserve">电   话 ： </w:t>
      </w:r>
    </w:p>
    <w:p w14:paraId="24BA003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bCs/>
          <w:snapToGrid w:val="0"/>
          <w:color w:val="auto"/>
          <w:spacing w:val="0"/>
          <w:sz w:val="24"/>
          <w:szCs w:val="24"/>
          <w:highlight w:val="none"/>
          <w:lang w:val="en-US" w:eastAsia="zh-CN"/>
        </w:rPr>
        <w:t>邮    编：</w:t>
      </w:r>
    </w:p>
    <w:p w14:paraId="06DCBE4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snapToGrid w:val="0"/>
          <w:color w:val="auto"/>
          <w:spacing w:val="0"/>
          <w:sz w:val="24"/>
          <w:szCs w:val="24"/>
          <w:highlight w:val="none"/>
          <w:lang w:val="en-US" w:eastAsia="zh-CN"/>
        </w:rPr>
      </w:pPr>
      <w:r>
        <w:rPr>
          <w:rFonts w:hint="eastAsia" w:ascii="宋体" w:hAnsi="宋体" w:eastAsia="宋体" w:cs="宋体"/>
          <w:bCs/>
          <w:snapToGrid w:val="0"/>
          <w:color w:val="auto"/>
          <w:spacing w:val="0"/>
          <w:sz w:val="24"/>
          <w:szCs w:val="24"/>
          <w:highlight w:val="none"/>
          <w:lang w:val="en-US" w:eastAsia="zh-CN"/>
        </w:rPr>
        <w:t>日    期：年     月     日</w:t>
      </w:r>
    </w:p>
    <w:p w14:paraId="7538B49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snapToGrid w:val="0"/>
          <w:color w:val="auto"/>
          <w:spacing w:val="0"/>
          <w:szCs w:val="21"/>
          <w:highlight w:val="none"/>
          <w:lang w:val="en-US" w:eastAsia="zh-CN"/>
        </w:rPr>
        <w:sectPr>
          <w:footerReference r:id="rId10" w:type="default"/>
          <w:pgSz w:w="11906" w:h="16839"/>
          <w:pgMar w:top="1440" w:right="1080" w:bottom="1440" w:left="1080" w:header="0" w:footer="994" w:gutter="0"/>
          <w:pgNumType w:fmt="decimal"/>
          <w:cols w:space="720" w:num="1"/>
        </w:sectPr>
      </w:pPr>
    </w:p>
    <w:p w14:paraId="494BFD5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32"/>
          <w:szCs w:val="32"/>
          <w:highlight w:val="none"/>
        </w:rPr>
      </w:pPr>
      <w:r>
        <w:rPr>
          <w:rFonts w:hint="eastAsia" w:ascii="宋体" w:hAnsi="宋体" w:eastAsia="宋体" w:cs="宋体"/>
          <w:b/>
          <w:bCs/>
          <w:color w:val="auto"/>
          <w:spacing w:val="0"/>
          <w:sz w:val="32"/>
          <w:szCs w:val="32"/>
          <w:highlight w:val="none"/>
        </w:rPr>
        <w:t>二、法定代表人身份证明</w:t>
      </w:r>
    </w:p>
    <w:p w14:paraId="5A9713DB">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6B6B4E75">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408FF33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u w:val="single"/>
          <w:lang w:val="en-US" w:eastAsia="zh-CN"/>
        </w:rPr>
      </w:pPr>
      <w:r>
        <w:rPr>
          <w:rFonts w:hint="eastAsia" w:ascii="宋体" w:hAnsi="宋体" w:eastAsia="宋体" w:cs="宋体"/>
          <w:bCs/>
          <w:snapToGrid w:val="0"/>
          <w:color w:val="auto"/>
          <w:spacing w:val="0"/>
          <w:sz w:val="24"/>
          <w:szCs w:val="24"/>
          <w:highlight w:val="none"/>
          <w:lang w:val="en-US" w:eastAsia="zh-CN"/>
        </w:rPr>
        <w:t>供应商名称：</w:t>
      </w:r>
      <w:r>
        <w:rPr>
          <w:rFonts w:hint="eastAsia" w:ascii="宋体" w:hAnsi="宋体" w:eastAsia="宋体" w:cs="宋体"/>
          <w:bCs/>
          <w:snapToGrid w:val="0"/>
          <w:color w:val="auto"/>
          <w:spacing w:val="0"/>
          <w:sz w:val="24"/>
          <w:szCs w:val="24"/>
          <w:highlight w:val="none"/>
          <w:u w:val="single"/>
          <w:lang w:val="en-US" w:eastAsia="zh-CN"/>
        </w:rPr>
        <w:t xml:space="preserve">                             </w:t>
      </w:r>
    </w:p>
    <w:p w14:paraId="052DAA4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en-US" w:eastAsia="zh-CN"/>
        </w:rPr>
      </w:pPr>
      <w:r>
        <w:rPr>
          <w:rFonts w:hint="eastAsia" w:ascii="宋体" w:hAnsi="宋体" w:eastAsia="宋体" w:cs="宋体"/>
          <w:bCs/>
          <w:snapToGrid w:val="0"/>
          <w:color w:val="auto"/>
          <w:spacing w:val="0"/>
          <w:sz w:val="24"/>
          <w:szCs w:val="24"/>
          <w:highlight w:val="none"/>
          <w:lang w:val="en-US" w:eastAsia="zh-CN"/>
        </w:rPr>
        <w:t>单位性质：</w:t>
      </w:r>
      <w:r>
        <w:rPr>
          <w:rFonts w:hint="eastAsia" w:ascii="宋体" w:hAnsi="宋体" w:eastAsia="宋体" w:cs="宋体"/>
          <w:bCs/>
          <w:snapToGrid w:val="0"/>
          <w:color w:val="auto"/>
          <w:spacing w:val="0"/>
          <w:sz w:val="24"/>
          <w:szCs w:val="24"/>
          <w:highlight w:val="none"/>
          <w:u w:val="single"/>
          <w:lang w:val="en-US" w:eastAsia="zh-CN"/>
        </w:rPr>
        <w:t xml:space="preserve">                               </w:t>
      </w:r>
      <w:r>
        <w:rPr>
          <w:rFonts w:hint="eastAsia" w:ascii="宋体" w:hAnsi="宋体" w:eastAsia="宋体" w:cs="宋体"/>
          <w:bCs/>
          <w:snapToGrid w:val="0"/>
          <w:color w:val="auto"/>
          <w:spacing w:val="0"/>
          <w:sz w:val="24"/>
          <w:szCs w:val="24"/>
          <w:highlight w:val="none"/>
          <w:lang w:val="en-US" w:eastAsia="zh-CN"/>
        </w:rPr>
        <w:t xml:space="preserve"> </w:t>
      </w:r>
    </w:p>
    <w:p w14:paraId="2F4D439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u w:val="single"/>
          <w:lang w:val="en-US" w:eastAsia="zh-CN"/>
        </w:rPr>
      </w:pPr>
      <w:r>
        <w:rPr>
          <w:rFonts w:hint="eastAsia" w:ascii="宋体" w:hAnsi="宋体" w:eastAsia="宋体" w:cs="宋体"/>
          <w:bCs/>
          <w:snapToGrid w:val="0"/>
          <w:color w:val="auto"/>
          <w:spacing w:val="0"/>
          <w:sz w:val="24"/>
          <w:szCs w:val="24"/>
          <w:highlight w:val="none"/>
          <w:lang w:val="en-US" w:eastAsia="zh-CN"/>
        </w:rPr>
        <w:t>地址：</w:t>
      </w:r>
      <w:r>
        <w:rPr>
          <w:rFonts w:hint="eastAsia" w:ascii="宋体" w:hAnsi="宋体" w:eastAsia="宋体" w:cs="宋体"/>
          <w:bCs/>
          <w:snapToGrid w:val="0"/>
          <w:color w:val="auto"/>
          <w:spacing w:val="0"/>
          <w:sz w:val="24"/>
          <w:szCs w:val="24"/>
          <w:highlight w:val="none"/>
          <w:u w:val="single"/>
          <w:lang w:val="en-US" w:eastAsia="zh-CN"/>
        </w:rPr>
        <w:t xml:space="preserve">                                   </w:t>
      </w:r>
    </w:p>
    <w:p w14:paraId="09DF163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en-US" w:eastAsia="zh-CN"/>
        </w:rPr>
      </w:pPr>
      <w:r>
        <w:rPr>
          <w:rFonts w:hint="eastAsia" w:ascii="宋体" w:hAnsi="宋体" w:eastAsia="宋体" w:cs="宋体"/>
          <w:bCs/>
          <w:snapToGrid w:val="0"/>
          <w:color w:val="auto"/>
          <w:spacing w:val="0"/>
          <w:sz w:val="24"/>
          <w:szCs w:val="24"/>
          <w:highlight w:val="none"/>
          <w:lang w:val="en-US" w:eastAsia="zh-CN"/>
        </w:rPr>
        <w:t>成立时间：</w:t>
      </w:r>
      <w:r>
        <w:rPr>
          <w:rFonts w:hint="eastAsia" w:ascii="宋体" w:hAnsi="宋体" w:eastAsia="宋体" w:cs="宋体"/>
          <w:bCs/>
          <w:snapToGrid w:val="0"/>
          <w:color w:val="auto"/>
          <w:spacing w:val="0"/>
          <w:sz w:val="24"/>
          <w:szCs w:val="24"/>
          <w:highlight w:val="none"/>
          <w:u w:val="single"/>
          <w:lang w:val="en-US" w:eastAsia="zh-CN"/>
        </w:rPr>
        <w:t xml:space="preserve">          </w:t>
      </w:r>
      <w:r>
        <w:rPr>
          <w:rFonts w:hint="eastAsia" w:ascii="宋体" w:hAnsi="宋体" w:eastAsia="宋体" w:cs="宋体"/>
          <w:bCs/>
          <w:snapToGrid w:val="0"/>
          <w:color w:val="auto"/>
          <w:spacing w:val="0"/>
          <w:sz w:val="24"/>
          <w:szCs w:val="24"/>
          <w:highlight w:val="none"/>
          <w:lang w:val="en-US" w:eastAsia="zh-CN"/>
        </w:rPr>
        <w:t>年</w:t>
      </w:r>
      <w:r>
        <w:rPr>
          <w:rFonts w:hint="eastAsia" w:ascii="宋体" w:hAnsi="宋体" w:eastAsia="宋体" w:cs="宋体"/>
          <w:bCs/>
          <w:snapToGrid w:val="0"/>
          <w:color w:val="auto"/>
          <w:spacing w:val="0"/>
          <w:sz w:val="24"/>
          <w:szCs w:val="24"/>
          <w:highlight w:val="none"/>
          <w:u w:val="single"/>
          <w:lang w:val="en-US" w:eastAsia="zh-CN"/>
        </w:rPr>
        <w:t xml:space="preserve">        </w:t>
      </w:r>
      <w:r>
        <w:rPr>
          <w:rFonts w:hint="eastAsia" w:ascii="宋体" w:hAnsi="宋体" w:eastAsia="宋体" w:cs="宋体"/>
          <w:bCs/>
          <w:snapToGrid w:val="0"/>
          <w:color w:val="auto"/>
          <w:spacing w:val="0"/>
          <w:sz w:val="24"/>
          <w:szCs w:val="24"/>
          <w:highlight w:val="none"/>
          <w:lang w:val="en-US" w:eastAsia="zh-CN"/>
        </w:rPr>
        <w:t>月</w:t>
      </w:r>
      <w:r>
        <w:rPr>
          <w:rFonts w:hint="eastAsia" w:ascii="宋体" w:hAnsi="宋体" w:eastAsia="宋体" w:cs="宋体"/>
          <w:bCs/>
          <w:snapToGrid w:val="0"/>
          <w:color w:val="auto"/>
          <w:spacing w:val="0"/>
          <w:sz w:val="24"/>
          <w:szCs w:val="24"/>
          <w:highlight w:val="none"/>
          <w:u w:val="single"/>
          <w:lang w:val="en-US" w:eastAsia="zh-CN"/>
        </w:rPr>
        <w:t xml:space="preserve">        </w:t>
      </w:r>
      <w:r>
        <w:rPr>
          <w:rFonts w:hint="eastAsia" w:ascii="宋体" w:hAnsi="宋体" w:eastAsia="宋体" w:cs="宋体"/>
          <w:bCs/>
          <w:snapToGrid w:val="0"/>
          <w:color w:val="auto"/>
          <w:spacing w:val="0"/>
          <w:sz w:val="24"/>
          <w:szCs w:val="24"/>
          <w:highlight w:val="none"/>
          <w:lang w:val="en-US" w:eastAsia="zh-CN"/>
        </w:rPr>
        <w:t>日</w:t>
      </w:r>
    </w:p>
    <w:p w14:paraId="76D10F7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en-US" w:eastAsia="zh-CN"/>
        </w:rPr>
      </w:pPr>
      <w:r>
        <w:rPr>
          <w:rFonts w:hint="eastAsia" w:ascii="宋体" w:hAnsi="宋体" w:eastAsia="宋体" w:cs="宋体"/>
          <w:bCs/>
          <w:snapToGrid w:val="0"/>
          <w:color w:val="auto"/>
          <w:spacing w:val="0"/>
          <w:sz w:val="24"/>
          <w:szCs w:val="24"/>
          <w:highlight w:val="none"/>
          <w:lang w:val="en-US" w:eastAsia="zh-CN"/>
        </w:rPr>
        <w:t>经营期限：</w:t>
      </w:r>
      <w:r>
        <w:rPr>
          <w:rFonts w:hint="eastAsia" w:ascii="宋体" w:hAnsi="宋体" w:eastAsia="宋体" w:cs="宋体"/>
          <w:bCs/>
          <w:snapToGrid w:val="0"/>
          <w:color w:val="auto"/>
          <w:spacing w:val="0"/>
          <w:sz w:val="24"/>
          <w:szCs w:val="24"/>
          <w:highlight w:val="none"/>
          <w:u w:val="single"/>
          <w:lang w:val="en-US" w:eastAsia="zh-CN"/>
        </w:rPr>
        <w:t xml:space="preserve">                               </w:t>
      </w:r>
    </w:p>
    <w:p w14:paraId="3835CEB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u w:val="single"/>
          <w:lang w:val="en-US" w:eastAsia="zh-CN"/>
        </w:rPr>
      </w:pPr>
      <w:r>
        <w:rPr>
          <w:rFonts w:hint="eastAsia" w:ascii="宋体" w:hAnsi="宋体" w:eastAsia="宋体" w:cs="宋体"/>
          <w:bCs/>
          <w:snapToGrid w:val="0"/>
          <w:color w:val="auto"/>
          <w:spacing w:val="0"/>
          <w:sz w:val="24"/>
          <w:szCs w:val="24"/>
          <w:highlight w:val="none"/>
          <w:lang w:val="en-US" w:eastAsia="zh-CN"/>
        </w:rPr>
        <w:t>姓名：</w:t>
      </w:r>
      <w:r>
        <w:rPr>
          <w:rFonts w:hint="eastAsia" w:ascii="宋体" w:hAnsi="宋体" w:eastAsia="宋体" w:cs="宋体"/>
          <w:bCs/>
          <w:snapToGrid w:val="0"/>
          <w:color w:val="auto"/>
          <w:spacing w:val="0"/>
          <w:sz w:val="24"/>
          <w:szCs w:val="24"/>
          <w:highlight w:val="none"/>
          <w:u w:val="single"/>
          <w:lang w:val="en-US" w:eastAsia="zh-CN"/>
        </w:rPr>
        <w:t xml:space="preserve">          </w:t>
      </w:r>
      <w:r>
        <w:rPr>
          <w:rFonts w:hint="eastAsia" w:ascii="宋体" w:hAnsi="宋体" w:eastAsia="宋体" w:cs="宋体"/>
          <w:bCs/>
          <w:snapToGrid w:val="0"/>
          <w:color w:val="auto"/>
          <w:spacing w:val="0"/>
          <w:sz w:val="24"/>
          <w:szCs w:val="24"/>
          <w:highlight w:val="none"/>
          <w:lang w:val="en-US" w:eastAsia="zh-CN"/>
        </w:rPr>
        <w:t>性别：</w:t>
      </w:r>
      <w:r>
        <w:rPr>
          <w:rFonts w:hint="eastAsia" w:ascii="宋体" w:hAnsi="宋体" w:eastAsia="宋体" w:cs="宋体"/>
          <w:bCs/>
          <w:snapToGrid w:val="0"/>
          <w:color w:val="auto"/>
          <w:spacing w:val="0"/>
          <w:sz w:val="24"/>
          <w:szCs w:val="24"/>
          <w:highlight w:val="none"/>
          <w:u w:val="single"/>
          <w:lang w:val="en-US" w:eastAsia="zh-CN"/>
        </w:rPr>
        <w:t xml:space="preserve">         </w:t>
      </w:r>
      <w:r>
        <w:rPr>
          <w:rFonts w:hint="eastAsia" w:ascii="宋体" w:hAnsi="宋体" w:eastAsia="宋体" w:cs="宋体"/>
          <w:bCs/>
          <w:snapToGrid w:val="0"/>
          <w:color w:val="auto"/>
          <w:spacing w:val="0"/>
          <w:sz w:val="24"/>
          <w:szCs w:val="24"/>
          <w:highlight w:val="none"/>
          <w:lang w:val="en-US" w:eastAsia="zh-CN"/>
        </w:rPr>
        <w:t>年龄：</w:t>
      </w:r>
      <w:r>
        <w:rPr>
          <w:rFonts w:hint="eastAsia" w:ascii="宋体" w:hAnsi="宋体" w:eastAsia="宋体" w:cs="宋体"/>
          <w:bCs/>
          <w:snapToGrid w:val="0"/>
          <w:color w:val="auto"/>
          <w:spacing w:val="0"/>
          <w:sz w:val="24"/>
          <w:szCs w:val="24"/>
          <w:highlight w:val="none"/>
          <w:u w:val="single"/>
          <w:lang w:val="en-US" w:eastAsia="zh-CN"/>
        </w:rPr>
        <w:t xml:space="preserve">        </w:t>
      </w:r>
      <w:r>
        <w:rPr>
          <w:rFonts w:hint="eastAsia" w:ascii="宋体" w:hAnsi="宋体" w:eastAsia="宋体" w:cs="宋体"/>
          <w:bCs/>
          <w:snapToGrid w:val="0"/>
          <w:color w:val="auto"/>
          <w:spacing w:val="0"/>
          <w:sz w:val="24"/>
          <w:szCs w:val="24"/>
          <w:highlight w:val="none"/>
          <w:lang w:val="en-US" w:eastAsia="zh-CN"/>
        </w:rPr>
        <w:t>职务：</w:t>
      </w:r>
      <w:r>
        <w:rPr>
          <w:rFonts w:hint="eastAsia" w:ascii="宋体" w:hAnsi="宋体" w:eastAsia="宋体" w:cs="宋体"/>
          <w:bCs/>
          <w:snapToGrid w:val="0"/>
          <w:color w:val="auto"/>
          <w:spacing w:val="0"/>
          <w:sz w:val="24"/>
          <w:szCs w:val="24"/>
          <w:highlight w:val="none"/>
          <w:u w:val="single"/>
          <w:lang w:val="en-US" w:eastAsia="zh-CN"/>
        </w:rPr>
        <w:t xml:space="preserve">        </w:t>
      </w:r>
    </w:p>
    <w:p w14:paraId="7053D60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en-US" w:eastAsia="zh-CN"/>
        </w:rPr>
      </w:pPr>
      <w:r>
        <w:rPr>
          <w:rFonts w:hint="eastAsia" w:ascii="宋体" w:hAnsi="宋体" w:eastAsia="宋体" w:cs="宋体"/>
          <w:bCs/>
          <w:snapToGrid w:val="0"/>
          <w:color w:val="auto"/>
          <w:spacing w:val="0"/>
          <w:sz w:val="24"/>
          <w:szCs w:val="24"/>
          <w:highlight w:val="none"/>
          <w:lang w:val="en-US" w:eastAsia="zh-CN"/>
        </w:rPr>
        <w:t>系</w:t>
      </w:r>
      <w:r>
        <w:rPr>
          <w:rFonts w:hint="eastAsia" w:ascii="宋体" w:hAnsi="宋体" w:eastAsia="宋体" w:cs="宋体"/>
          <w:bCs/>
          <w:snapToGrid w:val="0"/>
          <w:color w:val="auto"/>
          <w:spacing w:val="0"/>
          <w:sz w:val="24"/>
          <w:szCs w:val="24"/>
          <w:highlight w:val="none"/>
          <w:u w:val="single"/>
          <w:lang w:val="en-US" w:eastAsia="zh-CN"/>
        </w:rPr>
        <w:t xml:space="preserve">                              </w:t>
      </w:r>
      <w:r>
        <w:rPr>
          <w:rFonts w:hint="eastAsia" w:ascii="宋体" w:hAnsi="宋体" w:eastAsia="宋体" w:cs="宋体"/>
          <w:bCs/>
          <w:snapToGrid w:val="0"/>
          <w:color w:val="auto"/>
          <w:spacing w:val="0"/>
          <w:sz w:val="24"/>
          <w:szCs w:val="24"/>
          <w:highlight w:val="none"/>
          <w:lang w:val="en-US" w:eastAsia="zh-CN"/>
        </w:rPr>
        <w:t>（响应人名称）的法定代表人。</w:t>
      </w:r>
    </w:p>
    <w:p w14:paraId="60AD2048">
      <w:pPr>
        <w:pageBreakBefore w:val="0"/>
        <w:widowControl/>
        <w:kinsoku/>
        <w:wordWrap w:val="0"/>
        <w:overflowPunct/>
        <w:topLinePunct w:val="0"/>
        <w:autoSpaceDE w:val="0"/>
        <w:autoSpaceDN w:val="0"/>
        <w:bidi w:val="0"/>
        <w:adjustRightInd w:val="0"/>
        <w:snapToGrid w:val="0"/>
        <w:spacing w:before="0" w:beforeLines="20" w:after="0" w:afterLines="20" w:line="360" w:lineRule="auto"/>
        <w:ind w:right="0"/>
        <w:jc w:val="left"/>
        <w:textAlignment w:val="baseline"/>
        <w:rPr>
          <w:rFonts w:hint="eastAsia" w:ascii="宋体" w:hAnsi="宋体" w:eastAsia="宋体" w:cs="宋体"/>
          <w:bCs/>
          <w:snapToGrid w:val="0"/>
          <w:color w:val="auto"/>
          <w:spacing w:val="0"/>
          <w:sz w:val="24"/>
          <w:szCs w:val="24"/>
          <w:highlight w:val="none"/>
          <w:lang w:val="en-US" w:eastAsia="zh-CN"/>
        </w:rPr>
      </w:pPr>
      <w:r>
        <w:rPr>
          <w:rFonts w:hint="eastAsia" w:ascii="宋体" w:hAnsi="宋体" w:eastAsia="宋体" w:cs="宋体"/>
          <w:bCs/>
          <w:snapToGrid w:val="0"/>
          <w:color w:val="auto"/>
          <w:spacing w:val="0"/>
          <w:sz w:val="24"/>
          <w:szCs w:val="24"/>
          <w:highlight w:val="none"/>
          <w:lang w:val="en-US" w:eastAsia="zh-CN"/>
        </w:rPr>
        <w:t>特此证明。</w:t>
      </w:r>
    </w:p>
    <w:p w14:paraId="772C793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467E25E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74314B1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bCs/>
          <w:snapToGrid w:val="0"/>
          <w:color w:val="auto"/>
          <w:spacing w:val="0"/>
          <w:sz w:val="24"/>
          <w:szCs w:val="24"/>
          <w:highlight w:val="none"/>
          <w:lang w:val="en-US" w:eastAsia="zh-CN"/>
        </w:rPr>
        <w:t>供应商名称</w:t>
      </w:r>
      <w:r>
        <w:rPr>
          <w:rFonts w:hint="eastAsia" w:ascii="宋体" w:hAnsi="宋体" w:eastAsia="宋体" w:cs="宋体"/>
          <w:color w:val="auto"/>
          <w:spacing w:val="0"/>
          <w:sz w:val="24"/>
          <w:szCs w:val="24"/>
          <w:highlight w:val="none"/>
        </w:rPr>
        <w:t>（加盖公章）：</w:t>
      </w:r>
    </w:p>
    <w:p w14:paraId="40DF7834">
      <w:pPr>
        <w:pageBreakBefore w:val="0"/>
        <w:widowControl/>
        <w:tabs>
          <w:tab w:val="left" w:pos="4866"/>
        </w:tabs>
        <w:kinsoku/>
        <w:wordWrap w:val="0"/>
        <w:overflowPunct/>
        <w:topLinePunct w:val="0"/>
        <w:autoSpaceDE w:val="0"/>
        <w:autoSpaceDN w:val="0"/>
        <w:bidi w:val="0"/>
        <w:adjustRightInd w:val="0"/>
        <w:snapToGrid w:val="0"/>
        <w:spacing w:before="0" w:beforeLines="20" w:after="0" w:afterLines="20" w:line="360" w:lineRule="auto"/>
        <w:ind w:left="0" w:leftChars="0" w:right="0"/>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月</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日</w:t>
      </w:r>
    </w:p>
    <w:p w14:paraId="27D634D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0"/>
          <w:szCs w:val="20"/>
          <w:highlight w:val="none"/>
        </w:rPr>
        <w:sectPr>
          <w:footerReference r:id="rId11" w:type="default"/>
          <w:pgSz w:w="11906" w:h="16839"/>
          <w:pgMar w:top="1440" w:right="1080" w:bottom="1440" w:left="1080" w:header="0" w:footer="994" w:gutter="0"/>
          <w:pgNumType w:fmt="decimal"/>
          <w:cols w:space="720" w:num="1"/>
        </w:sectPr>
      </w:pPr>
    </w:p>
    <w:p w14:paraId="0B03071B">
      <w:pPr>
        <w:pageBreakBefore w:val="0"/>
        <w:widowControl/>
        <w:numPr>
          <w:ilvl w:val="0"/>
          <w:numId w:val="0"/>
        </w:numPr>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bCs/>
          <w:color w:val="auto"/>
          <w:spacing w:val="0"/>
          <w:sz w:val="32"/>
          <w:szCs w:val="32"/>
          <w:highlight w:val="none"/>
        </w:rPr>
      </w:pPr>
      <w:r>
        <w:rPr>
          <w:rFonts w:hint="eastAsia" w:ascii="宋体" w:hAnsi="宋体" w:eastAsia="宋体" w:cs="宋体"/>
          <w:b/>
          <w:bCs/>
          <w:color w:val="auto"/>
          <w:spacing w:val="0"/>
          <w:sz w:val="32"/>
          <w:szCs w:val="32"/>
          <w:highlight w:val="none"/>
          <w:lang w:eastAsia="zh-CN"/>
        </w:rPr>
        <w:t>二、</w:t>
      </w:r>
      <w:r>
        <w:rPr>
          <w:rFonts w:hint="eastAsia" w:ascii="宋体" w:hAnsi="宋体" w:eastAsia="宋体" w:cs="宋体"/>
          <w:b/>
          <w:bCs/>
          <w:color w:val="auto"/>
          <w:spacing w:val="0"/>
          <w:sz w:val="32"/>
          <w:szCs w:val="32"/>
          <w:highlight w:val="none"/>
        </w:rPr>
        <w:t>法定代表人授权书</w:t>
      </w:r>
    </w:p>
    <w:p w14:paraId="011381F6">
      <w:pPr>
        <w:pageBreakBefore w:val="0"/>
        <w:widowControl/>
        <w:numPr>
          <w:ilvl w:val="0"/>
          <w:numId w:val="0"/>
        </w:numPr>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bCs/>
          <w:color w:val="auto"/>
          <w:spacing w:val="0"/>
          <w:sz w:val="24"/>
          <w:szCs w:val="24"/>
          <w:highlight w:val="none"/>
        </w:rPr>
      </w:pPr>
    </w:p>
    <w:p w14:paraId="6B41113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en-US" w:eastAsia="zh-CN"/>
        </w:rPr>
      </w:pPr>
      <w:r>
        <w:rPr>
          <w:rFonts w:hint="eastAsia" w:ascii="宋体" w:hAnsi="宋体" w:eastAsia="宋体" w:cs="宋体"/>
          <w:bCs/>
          <w:snapToGrid w:val="0"/>
          <w:color w:val="auto"/>
          <w:spacing w:val="0"/>
          <w:sz w:val="24"/>
          <w:szCs w:val="24"/>
          <w:highlight w:val="none"/>
          <w:lang w:val="en-US" w:eastAsia="zh-CN"/>
        </w:rPr>
        <w:t>本人</w:t>
      </w:r>
      <w:r>
        <w:rPr>
          <w:rFonts w:hint="eastAsia" w:ascii="宋体" w:hAnsi="宋体" w:eastAsia="宋体" w:cs="宋体"/>
          <w:bCs/>
          <w:snapToGrid w:val="0"/>
          <w:color w:val="auto"/>
          <w:spacing w:val="0"/>
          <w:sz w:val="24"/>
          <w:szCs w:val="24"/>
          <w:highlight w:val="none"/>
          <w:u w:val="single"/>
          <w:lang w:val="en-US" w:eastAsia="zh-CN"/>
        </w:rPr>
        <w:t xml:space="preserve">       </w:t>
      </w:r>
      <w:r>
        <w:rPr>
          <w:rFonts w:hint="eastAsia" w:ascii="宋体" w:hAnsi="宋体" w:eastAsia="宋体" w:cs="宋体"/>
          <w:bCs/>
          <w:snapToGrid w:val="0"/>
          <w:color w:val="auto"/>
          <w:spacing w:val="0"/>
          <w:sz w:val="24"/>
          <w:szCs w:val="24"/>
          <w:highlight w:val="none"/>
          <w:lang w:val="en-US" w:eastAsia="zh-CN"/>
        </w:rPr>
        <w:t>（姓名）系</w:t>
      </w:r>
      <w:r>
        <w:rPr>
          <w:rFonts w:hint="eastAsia" w:ascii="宋体" w:hAnsi="宋体" w:eastAsia="宋体" w:cs="宋体"/>
          <w:bCs/>
          <w:snapToGrid w:val="0"/>
          <w:color w:val="auto"/>
          <w:spacing w:val="0"/>
          <w:sz w:val="24"/>
          <w:szCs w:val="24"/>
          <w:highlight w:val="none"/>
          <w:u w:val="single"/>
          <w:lang w:val="en-US" w:eastAsia="zh-CN"/>
        </w:rPr>
        <w:t xml:space="preserve">        </w:t>
      </w:r>
      <w:r>
        <w:rPr>
          <w:rFonts w:hint="eastAsia" w:ascii="宋体" w:hAnsi="宋体" w:eastAsia="宋体" w:cs="宋体"/>
          <w:bCs/>
          <w:snapToGrid w:val="0"/>
          <w:color w:val="auto"/>
          <w:spacing w:val="0"/>
          <w:sz w:val="24"/>
          <w:szCs w:val="24"/>
          <w:highlight w:val="none"/>
          <w:lang w:val="en-US" w:eastAsia="zh-CN"/>
        </w:rPr>
        <w:t>（响应人名称）的法定代表人，现委托</w:t>
      </w:r>
      <w:r>
        <w:rPr>
          <w:rFonts w:hint="eastAsia" w:ascii="宋体" w:hAnsi="宋体" w:eastAsia="宋体" w:cs="宋体"/>
          <w:bCs/>
          <w:snapToGrid w:val="0"/>
          <w:color w:val="auto"/>
          <w:spacing w:val="0"/>
          <w:sz w:val="24"/>
          <w:szCs w:val="24"/>
          <w:highlight w:val="none"/>
          <w:u w:val="single"/>
          <w:lang w:val="en-US" w:eastAsia="zh-CN"/>
        </w:rPr>
        <w:t xml:space="preserve">        </w:t>
      </w:r>
      <w:r>
        <w:rPr>
          <w:rFonts w:hint="eastAsia" w:ascii="宋体" w:hAnsi="宋体" w:eastAsia="宋体" w:cs="宋体"/>
          <w:bCs/>
          <w:snapToGrid w:val="0"/>
          <w:color w:val="auto"/>
          <w:spacing w:val="0"/>
          <w:sz w:val="24"/>
          <w:szCs w:val="24"/>
          <w:highlight w:val="none"/>
          <w:lang w:val="en-US" w:eastAsia="zh-CN"/>
        </w:rPr>
        <w:t>（姓名）为我方代理人。代理人根据授权，以我方名义签署、澄清、说明、补正、递交、撤回、修改</w:t>
      </w:r>
      <w:r>
        <w:rPr>
          <w:rFonts w:hint="eastAsia" w:ascii="宋体" w:hAnsi="宋体" w:eastAsia="宋体" w:cs="宋体"/>
          <w:bCs/>
          <w:snapToGrid w:val="0"/>
          <w:color w:val="auto"/>
          <w:spacing w:val="0"/>
          <w:sz w:val="24"/>
          <w:szCs w:val="24"/>
          <w:highlight w:val="none"/>
          <w:u w:val="single"/>
          <w:lang w:val="en-US" w:eastAsia="zh-CN"/>
        </w:rPr>
        <w:t xml:space="preserve">           </w:t>
      </w:r>
      <w:r>
        <w:rPr>
          <w:rFonts w:hint="eastAsia" w:ascii="宋体" w:hAnsi="宋体" w:eastAsia="宋体" w:cs="宋体"/>
          <w:bCs/>
          <w:snapToGrid w:val="0"/>
          <w:color w:val="auto"/>
          <w:spacing w:val="0"/>
          <w:sz w:val="24"/>
          <w:szCs w:val="24"/>
          <w:highlight w:val="none"/>
          <w:lang w:val="en-US" w:eastAsia="zh-CN"/>
        </w:rPr>
        <w:t>（项目名称）响应文件、签订合同和处理有关事宜，其法律后果由我方承担。</w:t>
      </w:r>
    </w:p>
    <w:p w14:paraId="77F9DBC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en-US" w:eastAsia="zh-CN"/>
        </w:rPr>
      </w:pPr>
      <w:r>
        <w:rPr>
          <w:rFonts w:hint="eastAsia" w:ascii="宋体" w:hAnsi="宋体" w:eastAsia="宋体" w:cs="宋体"/>
          <w:bCs/>
          <w:snapToGrid w:val="0"/>
          <w:color w:val="auto"/>
          <w:spacing w:val="0"/>
          <w:sz w:val="24"/>
          <w:szCs w:val="24"/>
          <w:highlight w:val="none"/>
          <w:lang w:val="en-US" w:eastAsia="zh-CN"/>
        </w:rPr>
        <w:t>委托期限：</w:t>
      </w:r>
      <w:r>
        <w:rPr>
          <w:rFonts w:hint="eastAsia" w:ascii="宋体" w:hAnsi="宋体" w:eastAsia="宋体" w:cs="宋体"/>
          <w:bCs/>
          <w:snapToGrid w:val="0"/>
          <w:color w:val="auto"/>
          <w:spacing w:val="0"/>
          <w:sz w:val="24"/>
          <w:szCs w:val="24"/>
          <w:highlight w:val="none"/>
          <w:u w:val="single"/>
          <w:lang w:val="en-US" w:eastAsia="zh-CN"/>
        </w:rPr>
        <w:t xml:space="preserve">             </w:t>
      </w:r>
      <w:r>
        <w:rPr>
          <w:rFonts w:hint="eastAsia" w:ascii="宋体" w:hAnsi="宋体" w:eastAsia="宋体" w:cs="宋体"/>
          <w:bCs/>
          <w:snapToGrid w:val="0"/>
          <w:color w:val="auto"/>
          <w:spacing w:val="0"/>
          <w:sz w:val="24"/>
          <w:szCs w:val="24"/>
          <w:highlight w:val="none"/>
          <w:lang w:val="en-US" w:eastAsia="zh-CN"/>
        </w:rPr>
        <w:t>。</w:t>
      </w:r>
    </w:p>
    <w:p w14:paraId="0961622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en-US" w:eastAsia="zh-CN"/>
        </w:rPr>
      </w:pPr>
      <w:r>
        <w:rPr>
          <w:rFonts w:hint="eastAsia" w:ascii="宋体" w:hAnsi="宋体" w:eastAsia="宋体" w:cs="宋体"/>
          <w:bCs/>
          <w:snapToGrid w:val="0"/>
          <w:color w:val="auto"/>
          <w:spacing w:val="0"/>
          <w:sz w:val="24"/>
          <w:szCs w:val="24"/>
          <w:highlight w:val="none"/>
          <w:lang w:val="en-US" w:eastAsia="zh-CN"/>
        </w:rPr>
        <w:t>代理人无转委托权。</w:t>
      </w:r>
    </w:p>
    <w:p w14:paraId="2FEDB81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en-US" w:eastAsia="zh-CN"/>
        </w:rPr>
      </w:pPr>
      <w:r>
        <w:rPr>
          <w:rFonts w:hint="eastAsia" w:ascii="宋体" w:hAnsi="宋体" w:eastAsia="宋体" w:cs="宋体"/>
          <w:bCs/>
          <w:snapToGrid w:val="0"/>
          <w:color w:val="auto"/>
          <w:spacing w:val="0"/>
          <w:sz w:val="24"/>
          <w:szCs w:val="24"/>
          <w:highlight w:val="none"/>
          <w:lang w:val="en-US" w:eastAsia="zh-CN"/>
        </w:rPr>
        <w:t>附：法定代表人身份证明（身份证正反面复印件）和被授权人身份证（身份证正反面复印件）</w:t>
      </w:r>
    </w:p>
    <w:p w14:paraId="192D421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en-US" w:eastAsia="zh-CN"/>
        </w:rPr>
      </w:pPr>
    </w:p>
    <w:p w14:paraId="2DD18E4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en-US" w:eastAsia="zh-CN"/>
        </w:rPr>
      </w:pPr>
      <w:r>
        <w:rPr>
          <w:rFonts w:hint="eastAsia" w:ascii="宋体" w:hAnsi="宋体" w:eastAsia="宋体" w:cs="宋体"/>
          <w:bCs/>
          <w:snapToGrid w:val="0"/>
          <w:color w:val="auto"/>
          <w:spacing w:val="0"/>
          <w:sz w:val="24"/>
          <w:szCs w:val="24"/>
          <w:highlight w:val="none"/>
          <w:lang w:val="en-US" w:eastAsia="zh-CN"/>
        </w:rPr>
        <w:t>供应商名称：</w:t>
      </w:r>
      <w:r>
        <w:rPr>
          <w:rFonts w:hint="eastAsia" w:ascii="宋体" w:hAnsi="宋体" w:eastAsia="宋体" w:cs="宋体"/>
          <w:bCs/>
          <w:snapToGrid w:val="0"/>
          <w:color w:val="auto"/>
          <w:spacing w:val="0"/>
          <w:sz w:val="24"/>
          <w:szCs w:val="24"/>
          <w:highlight w:val="none"/>
          <w:u w:val="single"/>
          <w:lang w:val="en-US" w:eastAsia="zh-CN"/>
        </w:rPr>
        <w:t xml:space="preserve">                               </w:t>
      </w:r>
      <w:r>
        <w:rPr>
          <w:rFonts w:hint="eastAsia" w:ascii="宋体" w:hAnsi="宋体" w:eastAsia="宋体" w:cs="宋体"/>
          <w:bCs/>
          <w:snapToGrid w:val="0"/>
          <w:color w:val="auto"/>
          <w:spacing w:val="0"/>
          <w:sz w:val="24"/>
          <w:szCs w:val="24"/>
          <w:highlight w:val="none"/>
          <w:lang w:val="en-US" w:eastAsia="zh-CN"/>
        </w:rPr>
        <w:t>（盖单位章）</w:t>
      </w:r>
    </w:p>
    <w:p w14:paraId="2AC45B7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en-US" w:eastAsia="zh-CN"/>
        </w:rPr>
      </w:pPr>
      <w:r>
        <w:rPr>
          <w:rFonts w:hint="eastAsia" w:ascii="宋体" w:hAnsi="宋体" w:eastAsia="宋体" w:cs="宋体"/>
          <w:bCs/>
          <w:snapToGrid w:val="0"/>
          <w:color w:val="auto"/>
          <w:spacing w:val="0"/>
          <w:sz w:val="24"/>
          <w:szCs w:val="24"/>
          <w:highlight w:val="none"/>
          <w:lang w:val="en-US" w:eastAsia="zh-CN"/>
        </w:rPr>
        <w:t>法定代表人：</w:t>
      </w:r>
      <w:r>
        <w:rPr>
          <w:rFonts w:hint="eastAsia" w:ascii="宋体" w:hAnsi="宋体" w:eastAsia="宋体" w:cs="宋体"/>
          <w:bCs/>
          <w:snapToGrid w:val="0"/>
          <w:color w:val="auto"/>
          <w:spacing w:val="0"/>
          <w:sz w:val="24"/>
          <w:szCs w:val="24"/>
          <w:highlight w:val="none"/>
          <w:u w:val="single"/>
          <w:lang w:val="en-US" w:eastAsia="zh-CN"/>
        </w:rPr>
        <w:t xml:space="preserve">                               </w:t>
      </w:r>
      <w:r>
        <w:rPr>
          <w:rFonts w:hint="eastAsia" w:ascii="宋体" w:hAnsi="宋体" w:eastAsia="宋体" w:cs="宋体"/>
          <w:bCs/>
          <w:snapToGrid w:val="0"/>
          <w:color w:val="auto"/>
          <w:spacing w:val="0"/>
          <w:sz w:val="24"/>
          <w:szCs w:val="24"/>
          <w:highlight w:val="none"/>
          <w:lang w:val="en-US" w:eastAsia="zh-CN"/>
        </w:rPr>
        <w:t>（签名或盖章）</w:t>
      </w:r>
    </w:p>
    <w:p w14:paraId="5F33E25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en-US" w:eastAsia="zh-CN"/>
        </w:rPr>
      </w:pPr>
      <w:r>
        <w:rPr>
          <w:rFonts w:hint="eastAsia" w:ascii="宋体" w:hAnsi="宋体" w:eastAsia="宋体" w:cs="宋体"/>
          <w:bCs/>
          <w:snapToGrid w:val="0"/>
          <w:color w:val="auto"/>
          <w:spacing w:val="0"/>
          <w:sz w:val="24"/>
          <w:szCs w:val="24"/>
          <w:highlight w:val="none"/>
          <w:lang w:val="en-US" w:eastAsia="zh-CN"/>
        </w:rPr>
        <w:t>身份证号码：</w:t>
      </w:r>
      <w:r>
        <w:rPr>
          <w:rFonts w:hint="eastAsia" w:ascii="宋体" w:hAnsi="宋体" w:eastAsia="宋体" w:cs="宋体"/>
          <w:bCs/>
          <w:snapToGrid w:val="0"/>
          <w:color w:val="auto"/>
          <w:spacing w:val="0"/>
          <w:sz w:val="24"/>
          <w:szCs w:val="24"/>
          <w:highlight w:val="none"/>
          <w:u w:val="single"/>
          <w:lang w:val="en-US" w:eastAsia="zh-CN"/>
        </w:rPr>
        <w:t xml:space="preserve">                               </w:t>
      </w:r>
      <w:r>
        <w:rPr>
          <w:rFonts w:hint="eastAsia" w:ascii="宋体" w:hAnsi="宋体" w:eastAsia="宋体" w:cs="宋体"/>
          <w:bCs/>
          <w:snapToGrid w:val="0"/>
          <w:color w:val="auto"/>
          <w:spacing w:val="0"/>
          <w:sz w:val="24"/>
          <w:szCs w:val="24"/>
          <w:highlight w:val="none"/>
          <w:lang w:val="en-US" w:eastAsia="zh-CN"/>
        </w:rPr>
        <w:t xml:space="preserve">      </w:t>
      </w:r>
    </w:p>
    <w:p w14:paraId="3D80000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en-US" w:eastAsia="zh-CN"/>
        </w:rPr>
      </w:pPr>
      <w:r>
        <w:rPr>
          <w:rFonts w:hint="eastAsia" w:ascii="宋体" w:hAnsi="宋体" w:eastAsia="宋体" w:cs="宋体"/>
          <w:bCs/>
          <w:snapToGrid w:val="0"/>
          <w:color w:val="auto"/>
          <w:spacing w:val="0"/>
          <w:sz w:val="24"/>
          <w:szCs w:val="24"/>
          <w:highlight w:val="none"/>
          <w:lang w:val="en-US" w:eastAsia="zh-CN"/>
        </w:rPr>
        <w:t>委托代理人：</w:t>
      </w:r>
      <w:r>
        <w:rPr>
          <w:rFonts w:hint="eastAsia" w:ascii="宋体" w:hAnsi="宋体" w:eastAsia="宋体" w:cs="宋体"/>
          <w:bCs/>
          <w:snapToGrid w:val="0"/>
          <w:color w:val="auto"/>
          <w:spacing w:val="0"/>
          <w:sz w:val="24"/>
          <w:szCs w:val="24"/>
          <w:highlight w:val="none"/>
          <w:u w:val="single"/>
          <w:lang w:val="en-US" w:eastAsia="zh-CN"/>
        </w:rPr>
        <w:t xml:space="preserve">                               </w:t>
      </w:r>
      <w:r>
        <w:rPr>
          <w:rFonts w:hint="eastAsia" w:ascii="宋体" w:hAnsi="宋体" w:eastAsia="宋体" w:cs="宋体"/>
          <w:bCs/>
          <w:snapToGrid w:val="0"/>
          <w:color w:val="auto"/>
          <w:spacing w:val="0"/>
          <w:sz w:val="24"/>
          <w:szCs w:val="24"/>
          <w:highlight w:val="none"/>
          <w:lang w:val="en-US" w:eastAsia="zh-CN"/>
        </w:rPr>
        <w:t xml:space="preserve">（签名或盖章） </w:t>
      </w:r>
    </w:p>
    <w:p w14:paraId="0E7A0EF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en-US" w:eastAsia="zh-CN"/>
        </w:rPr>
      </w:pPr>
      <w:r>
        <w:rPr>
          <w:rFonts w:hint="eastAsia" w:ascii="宋体" w:hAnsi="宋体" w:eastAsia="宋体" w:cs="宋体"/>
          <w:bCs/>
          <w:snapToGrid w:val="0"/>
          <w:color w:val="auto"/>
          <w:spacing w:val="0"/>
          <w:sz w:val="24"/>
          <w:szCs w:val="24"/>
          <w:highlight w:val="none"/>
          <w:lang w:val="en-US" w:eastAsia="zh-CN"/>
        </w:rPr>
        <w:t>身份证号码：</w:t>
      </w:r>
      <w:r>
        <w:rPr>
          <w:rFonts w:hint="eastAsia" w:ascii="宋体" w:hAnsi="宋体" w:eastAsia="宋体" w:cs="宋体"/>
          <w:bCs/>
          <w:snapToGrid w:val="0"/>
          <w:color w:val="auto"/>
          <w:spacing w:val="0"/>
          <w:sz w:val="24"/>
          <w:szCs w:val="24"/>
          <w:highlight w:val="none"/>
          <w:u w:val="single"/>
          <w:lang w:val="en-US" w:eastAsia="zh-CN"/>
        </w:rPr>
        <w:t xml:space="preserve">                               </w:t>
      </w:r>
      <w:r>
        <w:rPr>
          <w:rFonts w:hint="eastAsia" w:ascii="宋体" w:hAnsi="宋体" w:eastAsia="宋体" w:cs="宋体"/>
          <w:bCs/>
          <w:snapToGrid w:val="0"/>
          <w:color w:val="auto"/>
          <w:spacing w:val="0"/>
          <w:sz w:val="24"/>
          <w:szCs w:val="24"/>
          <w:highlight w:val="none"/>
          <w:lang w:val="en-US" w:eastAsia="zh-CN"/>
        </w:rPr>
        <w:t xml:space="preserve">       </w:t>
      </w:r>
    </w:p>
    <w:p w14:paraId="5C88901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en-US" w:eastAsia="zh-CN"/>
        </w:rPr>
      </w:pPr>
    </w:p>
    <w:p w14:paraId="24339D3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en-US" w:eastAsia="zh-CN"/>
        </w:rPr>
      </w:pPr>
    </w:p>
    <w:p w14:paraId="069EF8A8">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bCs/>
          <w:snapToGrid w:val="0"/>
          <w:color w:val="auto"/>
          <w:spacing w:val="0"/>
          <w:sz w:val="24"/>
          <w:szCs w:val="24"/>
          <w:highlight w:val="none"/>
          <w:lang w:val="en-US" w:eastAsia="zh-CN"/>
        </w:rPr>
        <w:t xml:space="preserve">       年       月       日</w:t>
      </w:r>
    </w:p>
    <w:p w14:paraId="4303EF0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sectPr>
          <w:footerReference r:id="rId12" w:type="default"/>
          <w:pgSz w:w="11906" w:h="16839"/>
          <w:pgMar w:top="1440" w:right="1080" w:bottom="1440" w:left="1080" w:header="0" w:footer="994" w:gutter="0"/>
          <w:pgNumType w:fmt="decimal"/>
          <w:cols w:space="720" w:num="1"/>
        </w:sectPr>
      </w:pPr>
    </w:p>
    <w:p w14:paraId="54264B00">
      <w:pPr>
        <w:pageBreakBefore w:val="0"/>
        <w:widowControl/>
        <w:numPr>
          <w:ilvl w:val="0"/>
          <w:numId w:val="0"/>
        </w:numPr>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bCs/>
          <w:color w:val="auto"/>
          <w:spacing w:val="0"/>
          <w:sz w:val="32"/>
          <w:szCs w:val="32"/>
          <w:highlight w:val="none"/>
          <w:lang w:eastAsia="zh-CN"/>
        </w:rPr>
      </w:pPr>
      <w:r>
        <w:rPr>
          <w:rFonts w:hint="eastAsia" w:ascii="宋体" w:hAnsi="宋体" w:eastAsia="宋体" w:cs="宋体"/>
          <w:b/>
          <w:bCs/>
          <w:color w:val="auto"/>
          <w:spacing w:val="0"/>
          <w:sz w:val="32"/>
          <w:szCs w:val="32"/>
          <w:highlight w:val="none"/>
          <w:lang w:val="en-US" w:eastAsia="zh-CN"/>
        </w:rPr>
        <w:t>三</w:t>
      </w:r>
      <w:r>
        <w:rPr>
          <w:rFonts w:hint="eastAsia" w:ascii="宋体" w:hAnsi="宋体" w:eastAsia="宋体" w:cs="宋体"/>
          <w:b/>
          <w:bCs/>
          <w:color w:val="auto"/>
          <w:spacing w:val="0"/>
          <w:sz w:val="32"/>
          <w:szCs w:val="32"/>
          <w:highlight w:val="none"/>
          <w:lang w:eastAsia="zh-CN"/>
        </w:rPr>
        <w:t>、</w:t>
      </w:r>
      <w:r>
        <w:rPr>
          <w:rFonts w:hint="eastAsia" w:ascii="宋体" w:hAnsi="宋体" w:eastAsia="宋体" w:cs="宋体"/>
          <w:b/>
          <w:bCs/>
          <w:color w:val="auto"/>
          <w:spacing w:val="0"/>
          <w:sz w:val="32"/>
          <w:szCs w:val="32"/>
          <w:highlight w:val="none"/>
        </w:rPr>
        <w:t>报价一览表</w:t>
      </w:r>
      <w:r>
        <w:rPr>
          <w:rFonts w:hint="eastAsia" w:ascii="宋体" w:hAnsi="宋体" w:eastAsia="宋体" w:cs="宋体"/>
          <w:b/>
          <w:bCs/>
          <w:color w:val="auto"/>
          <w:spacing w:val="0"/>
          <w:sz w:val="32"/>
          <w:szCs w:val="32"/>
          <w:highlight w:val="none"/>
          <w:lang w:eastAsia="zh-CN"/>
        </w:rPr>
        <w:t>（第一次）</w:t>
      </w:r>
    </w:p>
    <w:p w14:paraId="4C4FB24E">
      <w:pPr>
        <w:pStyle w:val="8"/>
        <w:pageBreakBefore w:val="0"/>
        <w:widowControl/>
        <w:numPr>
          <w:ilvl w:val="0"/>
          <w:numId w:val="0"/>
        </w:numPr>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tbl>
      <w:tblPr>
        <w:tblStyle w:val="16"/>
        <w:tblW w:w="9699" w:type="dxa"/>
        <w:tblInd w:w="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54"/>
        <w:gridCol w:w="7945"/>
      </w:tblGrid>
      <w:tr w14:paraId="549F5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1754" w:type="dxa"/>
            <w:tcBorders>
              <w:top w:val="single" w:color="auto" w:sz="4" w:space="0"/>
              <w:left w:val="single" w:color="auto" w:sz="4" w:space="0"/>
              <w:bottom w:val="single" w:color="auto" w:sz="4" w:space="0"/>
              <w:right w:val="single" w:color="auto" w:sz="4" w:space="0"/>
            </w:tcBorders>
            <w:noWrap w:val="0"/>
            <w:vAlign w:val="center"/>
          </w:tcPr>
          <w:p w14:paraId="661092C3">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kern w:val="0"/>
                <w:sz w:val="24"/>
                <w:szCs w:val="24"/>
                <w:highlight w:val="none"/>
                <w:lang w:eastAsia="zh-CN"/>
              </w:rPr>
            </w:pPr>
            <w:r>
              <w:rPr>
                <w:rFonts w:hint="eastAsia" w:ascii="宋体" w:hAnsi="宋体" w:eastAsia="宋体" w:cs="宋体"/>
                <w:color w:val="auto"/>
                <w:spacing w:val="0"/>
                <w:kern w:val="0"/>
                <w:sz w:val="24"/>
                <w:szCs w:val="24"/>
                <w:highlight w:val="none"/>
                <w:lang w:val="en-US" w:eastAsia="zh-CN"/>
              </w:rPr>
              <w:t>供应商名称</w:t>
            </w:r>
          </w:p>
        </w:tc>
        <w:tc>
          <w:tcPr>
            <w:tcW w:w="7945" w:type="dxa"/>
            <w:tcBorders>
              <w:top w:val="single" w:color="auto" w:sz="4" w:space="0"/>
              <w:left w:val="single" w:color="auto" w:sz="4" w:space="0"/>
              <w:bottom w:val="single" w:color="auto" w:sz="4" w:space="0"/>
              <w:right w:val="single" w:color="auto" w:sz="4" w:space="0"/>
            </w:tcBorders>
            <w:noWrap w:val="0"/>
            <w:vAlign w:val="center"/>
          </w:tcPr>
          <w:p w14:paraId="363685CE">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kern w:val="0"/>
                <w:sz w:val="24"/>
                <w:szCs w:val="24"/>
                <w:highlight w:val="none"/>
              </w:rPr>
            </w:pPr>
          </w:p>
        </w:tc>
      </w:tr>
      <w:tr w14:paraId="244E6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1754" w:type="dxa"/>
            <w:tcBorders>
              <w:top w:val="single" w:color="auto" w:sz="4" w:space="0"/>
              <w:left w:val="single" w:color="auto" w:sz="4" w:space="0"/>
              <w:bottom w:val="single" w:color="auto" w:sz="4" w:space="0"/>
              <w:right w:val="single" w:color="auto" w:sz="4" w:space="0"/>
            </w:tcBorders>
            <w:noWrap w:val="0"/>
            <w:vAlign w:val="center"/>
          </w:tcPr>
          <w:p w14:paraId="6BB72816">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资质</w:t>
            </w:r>
            <w:r>
              <w:rPr>
                <w:rFonts w:hint="eastAsia" w:ascii="宋体" w:hAnsi="宋体" w:eastAsia="宋体" w:cs="宋体"/>
                <w:color w:val="auto"/>
                <w:spacing w:val="0"/>
                <w:kern w:val="0"/>
                <w:sz w:val="24"/>
                <w:szCs w:val="24"/>
                <w:highlight w:val="none"/>
              </w:rPr>
              <w:t>等级</w:t>
            </w:r>
          </w:p>
        </w:tc>
        <w:tc>
          <w:tcPr>
            <w:tcW w:w="7945" w:type="dxa"/>
            <w:tcBorders>
              <w:top w:val="single" w:color="auto" w:sz="4" w:space="0"/>
              <w:left w:val="single" w:color="auto" w:sz="4" w:space="0"/>
              <w:bottom w:val="single" w:color="auto" w:sz="4" w:space="0"/>
              <w:right w:val="single" w:color="auto" w:sz="4" w:space="0"/>
            </w:tcBorders>
            <w:noWrap w:val="0"/>
            <w:vAlign w:val="center"/>
          </w:tcPr>
          <w:p w14:paraId="5F4754BD">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kern w:val="0"/>
                <w:sz w:val="24"/>
                <w:szCs w:val="24"/>
                <w:highlight w:val="none"/>
                <w:lang w:val="en-US" w:eastAsia="zh-CN"/>
              </w:rPr>
            </w:pPr>
          </w:p>
        </w:tc>
      </w:tr>
      <w:tr w14:paraId="385A9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1754" w:type="dxa"/>
            <w:tcBorders>
              <w:top w:val="single" w:color="auto" w:sz="4" w:space="0"/>
              <w:left w:val="single" w:color="auto" w:sz="4" w:space="0"/>
              <w:bottom w:val="single" w:color="auto" w:sz="4" w:space="0"/>
              <w:right w:val="single" w:color="auto" w:sz="4" w:space="0"/>
            </w:tcBorders>
            <w:noWrap w:val="0"/>
            <w:vAlign w:val="center"/>
          </w:tcPr>
          <w:p w14:paraId="73B53A5A">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rPr>
              <w:t>报价</w:t>
            </w:r>
            <w:r>
              <w:rPr>
                <w:rFonts w:hint="eastAsia" w:ascii="宋体" w:hAnsi="宋体" w:eastAsia="宋体" w:cs="宋体"/>
                <w:color w:val="auto"/>
                <w:spacing w:val="0"/>
                <w:kern w:val="0"/>
                <w:sz w:val="24"/>
                <w:szCs w:val="24"/>
                <w:highlight w:val="none"/>
                <w:lang w:eastAsia="zh-CN"/>
              </w:rPr>
              <w:t>（元）</w:t>
            </w:r>
          </w:p>
        </w:tc>
        <w:tc>
          <w:tcPr>
            <w:tcW w:w="7945" w:type="dxa"/>
            <w:tcBorders>
              <w:top w:val="single" w:color="auto" w:sz="4" w:space="0"/>
              <w:left w:val="single" w:color="auto" w:sz="4" w:space="0"/>
              <w:bottom w:val="single" w:color="auto" w:sz="4" w:space="0"/>
              <w:right w:val="single" w:color="auto" w:sz="4" w:space="0"/>
            </w:tcBorders>
            <w:noWrap w:val="0"/>
            <w:vAlign w:val="center"/>
          </w:tcPr>
          <w:p w14:paraId="4CA8C291">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kern w:val="0"/>
                <w:sz w:val="24"/>
                <w:szCs w:val="24"/>
                <w:highlight w:val="none"/>
                <w:lang w:val="en-US" w:eastAsia="zh-CN"/>
              </w:rPr>
            </w:pPr>
          </w:p>
        </w:tc>
      </w:tr>
      <w:tr w14:paraId="3F21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1754" w:type="dxa"/>
            <w:tcBorders>
              <w:top w:val="single" w:color="auto" w:sz="4" w:space="0"/>
              <w:left w:val="single" w:color="auto" w:sz="4" w:space="0"/>
              <w:bottom w:val="single" w:color="auto" w:sz="4" w:space="0"/>
              <w:right w:val="single" w:color="auto" w:sz="4" w:space="0"/>
            </w:tcBorders>
            <w:noWrap w:val="0"/>
            <w:vAlign w:val="center"/>
          </w:tcPr>
          <w:p w14:paraId="3A37C076">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kern w:val="0"/>
                <w:sz w:val="24"/>
                <w:szCs w:val="24"/>
                <w:highlight w:val="none"/>
                <w:lang w:eastAsia="zh-CN"/>
              </w:rPr>
            </w:pPr>
            <w:r>
              <w:rPr>
                <w:rFonts w:hint="eastAsia" w:ascii="宋体" w:hAnsi="宋体" w:eastAsia="宋体" w:cs="宋体"/>
                <w:color w:val="auto"/>
                <w:spacing w:val="0"/>
                <w:kern w:val="0"/>
                <w:sz w:val="24"/>
                <w:szCs w:val="24"/>
                <w:highlight w:val="none"/>
                <w:lang w:eastAsia="zh-CN"/>
              </w:rPr>
              <w:t>项目经理</w:t>
            </w:r>
          </w:p>
        </w:tc>
        <w:tc>
          <w:tcPr>
            <w:tcW w:w="7945" w:type="dxa"/>
            <w:tcBorders>
              <w:top w:val="single" w:color="auto" w:sz="4" w:space="0"/>
              <w:left w:val="single" w:color="auto" w:sz="4" w:space="0"/>
              <w:bottom w:val="single" w:color="auto" w:sz="4" w:space="0"/>
              <w:right w:val="single" w:color="auto" w:sz="4" w:space="0"/>
            </w:tcBorders>
            <w:noWrap w:val="0"/>
            <w:vAlign w:val="center"/>
          </w:tcPr>
          <w:p w14:paraId="481D6728">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kern w:val="0"/>
                <w:sz w:val="24"/>
                <w:szCs w:val="24"/>
                <w:highlight w:val="none"/>
                <w:lang w:val="en-US" w:eastAsia="zh-CN"/>
              </w:rPr>
            </w:pPr>
          </w:p>
        </w:tc>
      </w:tr>
      <w:tr w14:paraId="7ABBE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95" w:hRule="atLeast"/>
        </w:trPr>
        <w:tc>
          <w:tcPr>
            <w:tcW w:w="1754" w:type="dxa"/>
            <w:tcBorders>
              <w:top w:val="single" w:color="auto" w:sz="4" w:space="0"/>
              <w:left w:val="single" w:color="auto" w:sz="4" w:space="0"/>
              <w:bottom w:val="single" w:color="auto" w:sz="4" w:space="0"/>
              <w:right w:val="single" w:color="auto" w:sz="4" w:space="0"/>
            </w:tcBorders>
            <w:noWrap w:val="0"/>
            <w:vAlign w:val="center"/>
          </w:tcPr>
          <w:p w14:paraId="5608DC2B">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质量标准</w:t>
            </w:r>
          </w:p>
        </w:tc>
        <w:tc>
          <w:tcPr>
            <w:tcW w:w="7945" w:type="dxa"/>
            <w:tcBorders>
              <w:top w:val="single" w:color="auto" w:sz="4" w:space="0"/>
              <w:left w:val="single" w:color="auto" w:sz="4" w:space="0"/>
              <w:bottom w:val="single" w:color="auto" w:sz="4" w:space="0"/>
              <w:right w:val="single" w:color="auto" w:sz="4" w:space="0"/>
            </w:tcBorders>
            <w:noWrap w:val="0"/>
            <w:vAlign w:val="center"/>
          </w:tcPr>
          <w:p w14:paraId="67B42B81">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kern w:val="0"/>
                <w:sz w:val="24"/>
                <w:szCs w:val="24"/>
                <w:highlight w:val="none"/>
              </w:rPr>
            </w:pPr>
          </w:p>
        </w:tc>
      </w:tr>
      <w:tr w14:paraId="3AF26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1754" w:type="dxa"/>
            <w:tcBorders>
              <w:top w:val="single" w:color="auto" w:sz="4" w:space="0"/>
              <w:left w:val="single" w:color="auto" w:sz="4" w:space="0"/>
              <w:bottom w:val="single" w:color="auto" w:sz="4" w:space="0"/>
              <w:right w:val="single" w:color="auto" w:sz="4" w:space="0"/>
            </w:tcBorders>
            <w:noWrap w:val="0"/>
            <w:vAlign w:val="center"/>
          </w:tcPr>
          <w:p w14:paraId="3F77781C">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position w:val="13"/>
                <w:sz w:val="24"/>
                <w:szCs w:val="24"/>
                <w:highlight w:val="none"/>
                <w:lang w:eastAsia="zh-CN"/>
              </w:rPr>
              <w:t>计划工期</w:t>
            </w:r>
          </w:p>
        </w:tc>
        <w:tc>
          <w:tcPr>
            <w:tcW w:w="7945" w:type="dxa"/>
            <w:tcBorders>
              <w:top w:val="single" w:color="auto" w:sz="4" w:space="0"/>
              <w:left w:val="single" w:color="auto" w:sz="4" w:space="0"/>
              <w:bottom w:val="single" w:color="auto" w:sz="4" w:space="0"/>
              <w:right w:val="single" w:color="auto" w:sz="4" w:space="0"/>
            </w:tcBorders>
            <w:noWrap w:val="0"/>
            <w:vAlign w:val="center"/>
          </w:tcPr>
          <w:p w14:paraId="75102A49">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kern w:val="0"/>
                <w:sz w:val="24"/>
                <w:szCs w:val="24"/>
                <w:highlight w:val="none"/>
              </w:rPr>
            </w:pPr>
          </w:p>
        </w:tc>
      </w:tr>
      <w:tr w14:paraId="6D789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1754" w:type="dxa"/>
            <w:tcBorders>
              <w:top w:val="single" w:color="auto" w:sz="4" w:space="0"/>
              <w:left w:val="single" w:color="auto" w:sz="4" w:space="0"/>
              <w:bottom w:val="single" w:color="auto" w:sz="4" w:space="0"/>
              <w:right w:val="single" w:color="auto" w:sz="4" w:space="0"/>
            </w:tcBorders>
            <w:noWrap w:val="0"/>
            <w:vAlign w:val="center"/>
          </w:tcPr>
          <w:p w14:paraId="243A5B22">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kern w:val="0"/>
                <w:sz w:val="24"/>
                <w:szCs w:val="24"/>
                <w:highlight w:val="none"/>
                <w:lang w:eastAsia="zh-CN"/>
              </w:rPr>
            </w:pPr>
            <w:r>
              <w:rPr>
                <w:rFonts w:hint="eastAsia" w:ascii="宋体" w:hAnsi="宋体" w:eastAsia="宋体" w:cs="宋体"/>
                <w:color w:val="auto"/>
                <w:spacing w:val="0"/>
                <w:kern w:val="0"/>
                <w:sz w:val="24"/>
                <w:szCs w:val="24"/>
                <w:highlight w:val="none"/>
              </w:rPr>
              <w:t>优惠条件</w:t>
            </w:r>
            <w:r>
              <w:rPr>
                <w:rFonts w:hint="eastAsia" w:ascii="宋体" w:hAnsi="宋体" w:eastAsia="宋体" w:cs="宋体"/>
                <w:color w:val="auto"/>
                <w:spacing w:val="0"/>
                <w:kern w:val="0"/>
                <w:sz w:val="24"/>
                <w:szCs w:val="24"/>
                <w:highlight w:val="none"/>
                <w:lang w:eastAsia="zh-CN"/>
              </w:rPr>
              <w:t>及服务承诺</w:t>
            </w:r>
          </w:p>
        </w:tc>
        <w:tc>
          <w:tcPr>
            <w:tcW w:w="7945" w:type="dxa"/>
            <w:tcBorders>
              <w:top w:val="single" w:color="auto" w:sz="4" w:space="0"/>
              <w:left w:val="single" w:color="auto" w:sz="4" w:space="0"/>
              <w:bottom w:val="single" w:color="auto" w:sz="4" w:space="0"/>
              <w:right w:val="single" w:color="auto" w:sz="4" w:space="0"/>
            </w:tcBorders>
            <w:noWrap w:val="0"/>
            <w:vAlign w:val="center"/>
          </w:tcPr>
          <w:p w14:paraId="1C7EE123">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“有”或“无”</w:t>
            </w:r>
          </w:p>
        </w:tc>
      </w:tr>
      <w:tr w14:paraId="700F7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8" w:hRule="atLeast"/>
        </w:trPr>
        <w:tc>
          <w:tcPr>
            <w:tcW w:w="9699" w:type="dxa"/>
            <w:gridSpan w:val="2"/>
            <w:tcBorders>
              <w:top w:val="single" w:color="auto" w:sz="4" w:space="0"/>
              <w:left w:val="single" w:color="auto" w:sz="4" w:space="0"/>
              <w:bottom w:val="single" w:color="auto" w:sz="4" w:space="0"/>
              <w:right w:val="single" w:color="auto" w:sz="4" w:space="0"/>
            </w:tcBorders>
            <w:noWrap w:val="0"/>
            <w:vAlign w:val="center"/>
          </w:tcPr>
          <w:p w14:paraId="169D56A9">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kern w:val="0"/>
                <w:sz w:val="24"/>
                <w:szCs w:val="24"/>
                <w:highlight w:val="none"/>
              </w:rPr>
            </w:pPr>
          </w:p>
          <w:p w14:paraId="1A1AB30E">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eastAsia="zh-CN"/>
              </w:rPr>
              <w:t>供应商</w:t>
            </w:r>
            <w:r>
              <w:rPr>
                <w:rFonts w:hint="eastAsia" w:ascii="宋体" w:hAnsi="宋体" w:eastAsia="宋体" w:cs="宋体"/>
                <w:color w:val="auto"/>
                <w:spacing w:val="0"/>
                <w:kern w:val="0"/>
                <w:sz w:val="24"/>
                <w:szCs w:val="24"/>
                <w:highlight w:val="none"/>
              </w:rPr>
              <w:t xml:space="preserve">：        （盖章）         </w:t>
            </w:r>
          </w:p>
          <w:p w14:paraId="5B016FC1">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法定代表人或其委托代理人：          （签字或盖章）</w:t>
            </w:r>
          </w:p>
          <w:p w14:paraId="4A0E1C6F">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kern w:val="0"/>
                <w:sz w:val="24"/>
                <w:szCs w:val="24"/>
                <w:highlight w:val="none"/>
              </w:rPr>
            </w:pPr>
          </w:p>
        </w:tc>
      </w:tr>
    </w:tbl>
    <w:p w14:paraId="18AA0EB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Cs w:val="21"/>
          <w:highlight w:val="none"/>
          <w:lang w:val="en-US" w:eastAsia="zh-CN"/>
        </w:rPr>
      </w:pPr>
    </w:p>
    <w:p w14:paraId="04AE95A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Cs w:val="21"/>
          <w:highlight w:val="none"/>
        </w:rPr>
      </w:pPr>
    </w:p>
    <w:p w14:paraId="4EA993E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0"/>
          <w:szCs w:val="20"/>
          <w:highlight w:val="none"/>
          <w:lang w:val="en-US" w:eastAsia="zh-CN"/>
        </w:rPr>
      </w:pPr>
    </w:p>
    <w:p w14:paraId="2C3CE06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0"/>
          <w:szCs w:val="20"/>
          <w:highlight w:val="none"/>
        </w:rPr>
        <w:sectPr>
          <w:footerReference r:id="rId13" w:type="default"/>
          <w:pgSz w:w="11906" w:h="16839"/>
          <w:pgMar w:top="1440" w:right="1080" w:bottom="1440" w:left="1080" w:header="0" w:footer="994" w:gutter="0"/>
          <w:pgNumType w:fmt="decimal"/>
          <w:cols w:space="720" w:num="1"/>
        </w:sectPr>
      </w:pPr>
    </w:p>
    <w:p w14:paraId="6F88BB4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32"/>
          <w:szCs w:val="32"/>
          <w:highlight w:val="none"/>
        </w:rPr>
      </w:pPr>
      <w:r>
        <w:rPr>
          <w:rFonts w:hint="eastAsia" w:ascii="宋体" w:hAnsi="宋体" w:eastAsia="宋体" w:cs="宋体"/>
          <w:b/>
          <w:bCs/>
          <w:color w:val="auto"/>
          <w:spacing w:val="0"/>
          <w:sz w:val="32"/>
          <w:szCs w:val="32"/>
          <w:highlight w:val="none"/>
          <w:lang w:val="en-US" w:eastAsia="zh-CN"/>
        </w:rPr>
        <w:t>四</w:t>
      </w:r>
      <w:r>
        <w:rPr>
          <w:rFonts w:hint="eastAsia" w:ascii="宋体" w:hAnsi="宋体" w:eastAsia="宋体" w:cs="宋体"/>
          <w:b/>
          <w:bCs/>
          <w:color w:val="auto"/>
          <w:spacing w:val="0"/>
          <w:sz w:val="32"/>
          <w:szCs w:val="32"/>
          <w:highlight w:val="none"/>
        </w:rPr>
        <w:t>、已标价工程量清单</w:t>
      </w:r>
    </w:p>
    <w:p w14:paraId="10405B17">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699C16E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供应商应按照《建设工程工程量清单计价规范》提供的工程量清单计价格式编制。已标价工程量清单封皮有注册造价师签字并盖专用章。</w:t>
      </w:r>
    </w:p>
    <w:p w14:paraId="0B8E554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0"/>
          <w:szCs w:val="20"/>
          <w:highlight w:val="none"/>
        </w:rPr>
      </w:pPr>
    </w:p>
    <w:p w14:paraId="341DBB8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0"/>
          <w:szCs w:val="20"/>
          <w:highlight w:val="none"/>
        </w:rPr>
      </w:pPr>
    </w:p>
    <w:p w14:paraId="4B81CB6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0"/>
          <w:szCs w:val="20"/>
          <w:highlight w:val="none"/>
        </w:rPr>
        <w:sectPr>
          <w:footerReference r:id="rId14" w:type="default"/>
          <w:pgSz w:w="11906" w:h="16839"/>
          <w:pgMar w:top="1440" w:right="1080" w:bottom="1440" w:left="1080" w:header="0" w:footer="994" w:gutter="0"/>
          <w:pgNumType w:fmt="decimal"/>
          <w:cols w:space="720" w:num="1"/>
        </w:sectPr>
      </w:pPr>
    </w:p>
    <w:p w14:paraId="07C2AF8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32"/>
          <w:szCs w:val="32"/>
          <w:highlight w:val="none"/>
        </w:rPr>
      </w:pPr>
      <w:r>
        <w:rPr>
          <w:rFonts w:hint="eastAsia" w:ascii="宋体" w:hAnsi="宋体" w:eastAsia="宋体" w:cs="宋体"/>
          <w:b/>
          <w:bCs/>
          <w:color w:val="auto"/>
          <w:spacing w:val="0"/>
          <w:sz w:val="32"/>
          <w:szCs w:val="32"/>
          <w:highlight w:val="none"/>
          <w:lang w:val="en-US" w:eastAsia="zh-CN"/>
        </w:rPr>
        <w:t>五</w:t>
      </w:r>
      <w:r>
        <w:rPr>
          <w:rFonts w:hint="eastAsia" w:ascii="宋体" w:hAnsi="宋体" w:eastAsia="宋体" w:cs="宋体"/>
          <w:b/>
          <w:bCs/>
          <w:color w:val="auto"/>
          <w:spacing w:val="0"/>
          <w:sz w:val="32"/>
          <w:szCs w:val="32"/>
          <w:highlight w:val="none"/>
        </w:rPr>
        <w:t>、施工组织设计</w:t>
      </w:r>
    </w:p>
    <w:p w14:paraId="585CDCA7">
      <w:pPr>
        <w:spacing w:line="360" w:lineRule="auto"/>
        <w:jc w:val="left"/>
        <w:rPr>
          <w:rFonts w:hint="eastAsia"/>
          <w:b/>
          <w:bCs/>
          <w:color w:val="auto"/>
          <w:spacing w:val="-3"/>
          <w:sz w:val="24"/>
          <w:szCs w:val="24"/>
          <w:highlight w:val="none"/>
          <w:lang w:val="en-US" w:eastAsia="zh-CN"/>
        </w:rPr>
      </w:pPr>
      <w:r>
        <w:rPr>
          <w:b/>
          <w:bCs/>
          <w:color w:val="auto"/>
          <w:spacing w:val="-3"/>
          <w:sz w:val="24"/>
          <w:szCs w:val="24"/>
          <w:highlight w:val="none"/>
        </w:rPr>
        <w:t>技术标</w:t>
      </w:r>
      <w:r>
        <w:rPr>
          <w:rFonts w:hint="eastAsia"/>
          <w:b/>
          <w:bCs/>
          <w:color w:val="auto"/>
          <w:spacing w:val="-3"/>
          <w:sz w:val="24"/>
          <w:szCs w:val="24"/>
          <w:highlight w:val="none"/>
          <w:lang w:eastAsia="zh-CN"/>
        </w:rPr>
        <w:t>（</w:t>
      </w:r>
      <w:r>
        <w:rPr>
          <w:rFonts w:hint="eastAsia"/>
          <w:b/>
          <w:bCs/>
          <w:color w:val="auto"/>
          <w:spacing w:val="-3"/>
          <w:sz w:val="24"/>
          <w:szCs w:val="24"/>
          <w:highlight w:val="none"/>
          <w:lang w:val="en-US" w:eastAsia="zh-CN"/>
        </w:rPr>
        <w:t>暗标</w:t>
      </w:r>
      <w:r>
        <w:rPr>
          <w:rFonts w:hint="eastAsia"/>
          <w:b/>
          <w:bCs/>
          <w:color w:val="auto"/>
          <w:spacing w:val="-3"/>
          <w:sz w:val="24"/>
          <w:szCs w:val="24"/>
          <w:highlight w:val="none"/>
          <w:lang w:eastAsia="zh-CN"/>
        </w:rPr>
        <w:t>）</w:t>
      </w:r>
      <w:r>
        <w:rPr>
          <w:rFonts w:hint="eastAsia"/>
          <w:b/>
          <w:bCs/>
          <w:color w:val="auto"/>
          <w:spacing w:val="-3"/>
          <w:sz w:val="24"/>
          <w:szCs w:val="24"/>
          <w:highlight w:val="none"/>
          <w:lang w:val="en-US" w:eastAsia="zh-CN"/>
        </w:rPr>
        <w:t>编制要求：</w:t>
      </w:r>
    </w:p>
    <w:p w14:paraId="5B0A3BD0">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第一章、</w:t>
      </w:r>
      <w:r>
        <w:rPr>
          <w:rFonts w:hint="eastAsia" w:ascii="宋体" w:hAnsi="宋体" w:eastAsia="宋体" w:cs="宋体"/>
          <w:color w:val="auto"/>
          <w:spacing w:val="0"/>
          <w:sz w:val="24"/>
          <w:szCs w:val="24"/>
          <w:highlight w:val="none"/>
        </w:rPr>
        <w:t>内容完整性和编制水平</w:t>
      </w:r>
    </w:p>
    <w:p w14:paraId="1D9B8C2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第二章、</w:t>
      </w:r>
      <w:r>
        <w:rPr>
          <w:rFonts w:hint="eastAsia" w:ascii="宋体" w:hAnsi="宋体" w:eastAsia="宋体" w:cs="宋体"/>
          <w:color w:val="auto"/>
          <w:spacing w:val="0"/>
          <w:sz w:val="24"/>
          <w:szCs w:val="24"/>
          <w:highlight w:val="none"/>
        </w:rPr>
        <w:t>施工方案与技术措施</w:t>
      </w:r>
    </w:p>
    <w:p w14:paraId="6CCCD14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第三章、</w:t>
      </w:r>
      <w:r>
        <w:rPr>
          <w:rFonts w:hint="eastAsia" w:ascii="宋体" w:hAnsi="宋体" w:eastAsia="宋体" w:cs="宋体"/>
          <w:color w:val="auto"/>
          <w:spacing w:val="0"/>
          <w:sz w:val="24"/>
          <w:szCs w:val="24"/>
          <w:highlight w:val="none"/>
        </w:rPr>
        <w:t>质量管理体系与措施</w:t>
      </w:r>
    </w:p>
    <w:p w14:paraId="02CEA51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第四章、</w:t>
      </w:r>
      <w:r>
        <w:rPr>
          <w:rFonts w:hint="eastAsia" w:ascii="宋体" w:hAnsi="宋体" w:eastAsia="宋体" w:cs="宋体"/>
          <w:color w:val="auto"/>
          <w:spacing w:val="0"/>
          <w:sz w:val="24"/>
          <w:szCs w:val="24"/>
          <w:highlight w:val="none"/>
        </w:rPr>
        <w:t>安全管理体系与措施</w:t>
      </w:r>
    </w:p>
    <w:p w14:paraId="0CB9D000">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第五章、</w:t>
      </w:r>
      <w:r>
        <w:rPr>
          <w:rFonts w:hint="eastAsia" w:ascii="宋体" w:hAnsi="宋体" w:eastAsia="宋体" w:cs="宋体"/>
          <w:color w:val="auto"/>
          <w:spacing w:val="0"/>
          <w:sz w:val="24"/>
          <w:szCs w:val="24"/>
          <w:highlight w:val="none"/>
        </w:rPr>
        <w:t>环境保护管理体系与措施</w:t>
      </w:r>
    </w:p>
    <w:p w14:paraId="2E7881D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第六章、</w:t>
      </w:r>
      <w:r>
        <w:rPr>
          <w:rFonts w:hint="eastAsia" w:ascii="宋体" w:hAnsi="宋体" w:eastAsia="宋体" w:cs="宋体"/>
          <w:color w:val="auto"/>
          <w:spacing w:val="0"/>
          <w:sz w:val="24"/>
          <w:szCs w:val="24"/>
          <w:highlight w:val="none"/>
        </w:rPr>
        <w:t>工程进度计划与措施</w:t>
      </w:r>
    </w:p>
    <w:p w14:paraId="0820055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第七章、</w:t>
      </w:r>
      <w:r>
        <w:rPr>
          <w:rFonts w:hint="eastAsia" w:ascii="宋体" w:hAnsi="宋体" w:eastAsia="宋体" w:cs="宋体"/>
          <w:color w:val="auto"/>
          <w:spacing w:val="0"/>
          <w:sz w:val="24"/>
          <w:szCs w:val="24"/>
          <w:highlight w:val="none"/>
        </w:rPr>
        <w:t>资源配备计划</w:t>
      </w:r>
    </w:p>
    <w:p w14:paraId="06D90C9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第八章、</w:t>
      </w:r>
      <w:r>
        <w:rPr>
          <w:rFonts w:hint="eastAsia" w:ascii="宋体" w:hAnsi="宋体" w:eastAsia="宋体" w:cs="宋体"/>
          <w:color w:val="auto"/>
          <w:spacing w:val="0"/>
          <w:sz w:val="24"/>
          <w:szCs w:val="24"/>
          <w:highlight w:val="none"/>
        </w:rPr>
        <w:t>成品保护和工程保修工作的管理措施和承诺</w:t>
      </w:r>
    </w:p>
    <w:p w14:paraId="515508F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第九章、</w:t>
      </w:r>
      <w:r>
        <w:rPr>
          <w:rFonts w:hint="eastAsia" w:ascii="宋体" w:hAnsi="宋体" w:eastAsia="宋体" w:cs="宋体"/>
          <w:color w:val="auto"/>
          <w:spacing w:val="0"/>
          <w:sz w:val="24"/>
          <w:szCs w:val="24"/>
          <w:highlight w:val="none"/>
        </w:rPr>
        <w:t>紧急情况的处理措施、预案以及抵抗风险的措施</w:t>
      </w:r>
    </w:p>
    <w:p w14:paraId="094A0371">
      <w:pPr>
        <w:keepNext w:val="0"/>
        <w:keepLines w:val="0"/>
        <w:pageBreakBefore w:val="0"/>
        <w:widowControl/>
        <w:kinsoku/>
        <w:wordWrap/>
        <w:overflowPunct/>
        <w:topLinePunct w:val="0"/>
        <w:autoSpaceDE/>
        <w:autoSpaceDN/>
        <w:bidi w:val="0"/>
        <w:adjustRightInd/>
        <w:snapToGrid/>
        <w:spacing w:line="340" w:lineRule="exact"/>
        <w:ind w:left="-210" w:leftChars="-100" w:firstLine="482" w:firstLineChars="200"/>
        <w:jc w:val="both"/>
        <w:textAlignment w:val="auto"/>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备注：施工组织设计采用盲评方式，编制要求如下：</w:t>
      </w:r>
    </w:p>
    <w:tbl>
      <w:tblPr>
        <w:tblStyle w:val="17"/>
        <w:tblpPr w:leftFromText="180" w:rightFromText="180" w:vertAnchor="text" w:horzAnchor="page" w:tblpXSpec="center" w:tblpY="15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5"/>
      </w:tblGrid>
      <w:tr w14:paraId="6B42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2" w:hRule="atLeast"/>
          <w:jc w:val="center"/>
        </w:trPr>
        <w:tc>
          <w:tcPr>
            <w:tcW w:w="9025" w:type="dxa"/>
            <w:noWrap w:val="0"/>
            <w:vAlign w:val="top"/>
          </w:tcPr>
          <w:p w14:paraId="51FDCF5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lang w:eastAsia="zh-CN"/>
              </w:rPr>
              <w:t>投标文件技术标必须遵守的统一格式和规范。</w:t>
            </w:r>
          </w:p>
          <w:p w14:paraId="513F1C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241" w:firstLineChars="100"/>
              <w:jc w:val="both"/>
              <w:textAlignment w:val="auto"/>
              <w:rPr>
                <w:rFonts w:hint="eastAsia" w:ascii="宋体" w:hAnsi="宋体" w:eastAsia="宋体" w:cs="Times New Roman"/>
                <w:b/>
                <w:color w:val="auto"/>
                <w:sz w:val="24"/>
                <w:szCs w:val="24"/>
                <w:highlight w:val="none"/>
                <w:lang w:eastAsia="zh-CN"/>
              </w:rPr>
            </w:pPr>
            <w:r>
              <w:rPr>
                <w:rFonts w:hint="eastAsia" w:ascii="宋体" w:hAnsi="宋体" w:eastAsia="宋体" w:cs="Times New Roman"/>
                <w:b/>
                <w:color w:val="auto"/>
                <w:sz w:val="24"/>
                <w:szCs w:val="24"/>
                <w:highlight w:val="none"/>
                <w:lang w:eastAsia="zh-CN"/>
              </w:rPr>
              <w:t xml:space="preserve"> 技术标文件（暗标）未按以下“盲评”要求制作的，为无效投标，除下述要求外，不得因暗标格式问题认定为无效投标：</w:t>
            </w:r>
          </w:p>
          <w:p w14:paraId="4E75C4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241" w:firstLineChars="100"/>
              <w:jc w:val="both"/>
              <w:textAlignment w:val="auto"/>
              <w:rPr>
                <w:rFonts w:hint="eastAsia" w:ascii="宋体" w:hAnsi="宋体" w:eastAsia="宋体" w:cs="Times New Roman"/>
                <w:b/>
                <w:color w:val="auto"/>
                <w:sz w:val="24"/>
                <w:szCs w:val="24"/>
                <w:highlight w:val="none"/>
                <w:lang w:eastAsia="zh-CN"/>
              </w:rPr>
            </w:pPr>
            <w:r>
              <w:rPr>
                <w:rFonts w:hint="eastAsia" w:ascii="宋体" w:hAnsi="宋体" w:eastAsia="宋体" w:cs="Times New Roman"/>
                <w:b/>
                <w:color w:val="auto"/>
                <w:sz w:val="24"/>
                <w:szCs w:val="24"/>
                <w:highlight w:val="none"/>
                <w:lang w:eastAsia="zh-CN"/>
              </w:rPr>
              <w:t xml:space="preserve"> 1.版面要求：A4纸张大小；</w:t>
            </w:r>
          </w:p>
          <w:p w14:paraId="36DDE1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241" w:firstLineChars="100"/>
              <w:jc w:val="both"/>
              <w:textAlignment w:val="auto"/>
              <w:rPr>
                <w:rFonts w:hint="eastAsia" w:ascii="宋体" w:hAnsi="宋体" w:eastAsia="宋体" w:cs="Times New Roman"/>
                <w:b/>
                <w:color w:val="auto"/>
                <w:sz w:val="24"/>
                <w:szCs w:val="24"/>
                <w:highlight w:val="none"/>
                <w:lang w:eastAsia="zh-CN"/>
              </w:rPr>
            </w:pPr>
            <w:r>
              <w:rPr>
                <w:rFonts w:hint="eastAsia" w:ascii="宋体" w:hAnsi="宋体" w:eastAsia="宋体" w:cs="Times New Roman"/>
                <w:b/>
                <w:color w:val="auto"/>
                <w:sz w:val="24"/>
                <w:szCs w:val="24"/>
                <w:highlight w:val="none"/>
                <w:lang w:eastAsia="zh-CN"/>
              </w:rPr>
              <w:t xml:space="preserve"> 2.颜色要求：所有文字、图表均为黑色；</w:t>
            </w:r>
          </w:p>
          <w:p w14:paraId="71323B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241" w:firstLineChars="100"/>
              <w:jc w:val="both"/>
              <w:textAlignment w:val="auto"/>
              <w:rPr>
                <w:rFonts w:hint="eastAsia" w:ascii="宋体" w:hAnsi="宋体" w:eastAsia="宋体" w:cs="Times New Roman"/>
                <w:b/>
                <w:color w:val="auto"/>
                <w:sz w:val="24"/>
                <w:szCs w:val="24"/>
                <w:highlight w:val="none"/>
                <w:lang w:eastAsia="zh-CN"/>
              </w:rPr>
            </w:pPr>
            <w:r>
              <w:rPr>
                <w:rFonts w:hint="eastAsia" w:ascii="宋体" w:hAnsi="宋体" w:eastAsia="宋体" w:cs="Times New Roman"/>
                <w:b/>
                <w:color w:val="auto"/>
                <w:sz w:val="24"/>
                <w:szCs w:val="24"/>
                <w:highlight w:val="none"/>
                <w:lang w:eastAsia="zh-CN"/>
              </w:rPr>
              <w:t xml:space="preserve"> 3.字体要求：标题及正文部分所用文字均采用“宋体”四号“常规”字；图、表内的字体及字号不作要求；全部使用中文标点符号；所有字体均不得出现加粗、加色、倾斜、下划线等标记；</w:t>
            </w:r>
          </w:p>
          <w:p w14:paraId="38FAFC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241" w:firstLineChars="100"/>
              <w:jc w:val="both"/>
              <w:textAlignment w:val="auto"/>
              <w:rPr>
                <w:rFonts w:hint="eastAsia" w:ascii="宋体" w:hAnsi="宋体" w:eastAsia="宋体" w:cs="Times New Roman"/>
                <w:b/>
                <w:color w:val="auto"/>
                <w:sz w:val="24"/>
                <w:szCs w:val="24"/>
                <w:highlight w:val="none"/>
                <w:lang w:eastAsia="zh-CN"/>
              </w:rPr>
            </w:pPr>
            <w:r>
              <w:rPr>
                <w:rFonts w:hint="eastAsia" w:ascii="宋体" w:hAnsi="宋体" w:eastAsia="宋体" w:cs="Times New Roman"/>
                <w:b/>
                <w:color w:val="auto"/>
                <w:sz w:val="24"/>
                <w:szCs w:val="24"/>
                <w:highlight w:val="none"/>
                <w:lang w:eastAsia="zh-CN"/>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1533C46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firstLine="241" w:firstLineChars="100"/>
              <w:jc w:val="both"/>
              <w:textAlignment w:val="auto"/>
              <w:rPr>
                <w:rFonts w:hint="eastAsia" w:ascii="宋体" w:hAnsi="宋体" w:eastAsia="宋体" w:cs="Times New Roman"/>
                <w:b/>
                <w:color w:val="auto"/>
                <w:sz w:val="24"/>
                <w:szCs w:val="24"/>
                <w:highlight w:val="none"/>
                <w:lang w:eastAsia="zh-CN"/>
              </w:rPr>
            </w:pPr>
            <w:r>
              <w:rPr>
                <w:rFonts w:hint="eastAsia" w:ascii="宋体" w:hAnsi="宋体" w:eastAsia="宋体" w:cs="Times New Roman"/>
                <w:b/>
                <w:color w:val="auto"/>
                <w:sz w:val="24"/>
                <w:szCs w:val="24"/>
                <w:highlight w:val="none"/>
                <w:lang w:eastAsia="zh-CN"/>
              </w:rPr>
              <w:t>5.其它：除满足上述各项要求外，构成投标文件的“技术暗标”的正文中均不得出现供应商的名称和其它可识别供应商身份的字符、徽标、人员名称以及其他可能被辨别出供应商身份的任何标记。</w:t>
            </w:r>
          </w:p>
          <w:p w14:paraId="427A3C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firstLine="225" w:firstLineChars="100"/>
              <w:jc w:val="both"/>
              <w:textAlignment w:val="auto"/>
              <w:rPr>
                <w:rFonts w:hint="eastAsia" w:ascii="宋体" w:hAnsi="宋体" w:eastAsia="宋体" w:cs="Times New Roman"/>
                <w:b/>
                <w:bCs/>
                <w:color w:val="auto"/>
                <w:sz w:val="24"/>
                <w:szCs w:val="24"/>
                <w:highlight w:val="none"/>
                <w:vertAlign w:val="baseline"/>
                <w:lang w:eastAsia="zh-CN"/>
              </w:rPr>
            </w:pPr>
            <w:r>
              <w:rPr>
                <w:rFonts w:hint="eastAsia" w:ascii="宋体" w:hAnsi="宋体" w:eastAsia="宋体" w:cs="宋体"/>
                <w:b/>
                <w:bCs/>
                <w:color w:val="auto"/>
                <w:spacing w:val="-8"/>
                <w:sz w:val="24"/>
                <w:szCs w:val="24"/>
                <w:highlight w:val="none"/>
              </w:rPr>
              <w:t>投标文件技术</w:t>
            </w:r>
            <w:r>
              <w:rPr>
                <w:rFonts w:hint="eastAsia" w:ascii="宋体" w:hAnsi="宋体" w:eastAsia="宋体" w:cs="宋体"/>
                <w:b/>
                <w:bCs/>
                <w:color w:val="auto"/>
                <w:spacing w:val="1"/>
                <w:sz w:val="24"/>
                <w:szCs w:val="24"/>
                <w:highlight w:val="none"/>
              </w:rPr>
              <w:t>标</w:t>
            </w:r>
            <w:r>
              <w:rPr>
                <w:rFonts w:hint="eastAsia" w:ascii="宋体" w:hAnsi="宋体" w:eastAsia="宋体" w:cs="宋体"/>
                <w:b/>
                <w:bCs/>
                <w:color w:val="auto"/>
                <w:spacing w:val="-4"/>
                <w:sz w:val="24"/>
                <w:szCs w:val="24"/>
                <w:highlight w:val="none"/>
              </w:rPr>
              <w:t>（暗标）</w:t>
            </w:r>
            <w:r>
              <w:rPr>
                <w:rFonts w:hint="eastAsia" w:ascii="宋体" w:hAnsi="宋体" w:eastAsia="宋体" w:cs="宋体"/>
                <w:b/>
                <w:bCs/>
                <w:color w:val="auto"/>
                <w:spacing w:val="-8"/>
                <w:sz w:val="24"/>
                <w:szCs w:val="24"/>
                <w:highlight w:val="none"/>
              </w:rPr>
              <w:t>部分内容应当不超过300页。</w:t>
            </w:r>
            <w:r>
              <w:rPr>
                <w:rFonts w:hint="eastAsia" w:ascii="宋体" w:hAnsi="宋体" w:eastAsia="宋体" w:cs="Times New Roman"/>
                <w:b/>
                <w:color w:val="auto"/>
                <w:sz w:val="24"/>
                <w:szCs w:val="24"/>
                <w:highlight w:val="none"/>
              </w:rPr>
              <w:br w:type="page"/>
            </w:r>
          </w:p>
        </w:tc>
      </w:tr>
    </w:tbl>
    <w:p w14:paraId="038C89B0">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6B6C5022">
      <w:pPr>
        <w:rPr>
          <w:rFonts w:hint="eastAsia" w:ascii="宋体" w:hAnsi="宋体" w:eastAsia="宋体" w:cs="宋体"/>
          <w:b/>
          <w:bCs/>
          <w:color w:val="auto"/>
          <w:spacing w:val="0"/>
          <w:sz w:val="32"/>
          <w:szCs w:val="32"/>
          <w:highlight w:val="none"/>
          <w:lang w:val="en-US" w:eastAsia="zh-CN"/>
        </w:rPr>
      </w:pPr>
      <w:r>
        <w:rPr>
          <w:rFonts w:hint="eastAsia" w:ascii="宋体" w:hAnsi="宋体" w:eastAsia="宋体" w:cs="宋体"/>
          <w:b/>
          <w:bCs/>
          <w:color w:val="auto"/>
          <w:spacing w:val="0"/>
          <w:sz w:val="32"/>
          <w:szCs w:val="32"/>
          <w:highlight w:val="none"/>
          <w:lang w:val="en-US" w:eastAsia="zh-CN"/>
        </w:rPr>
        <w:br w:type="page"/>
      </w:r>
    </w:p>
    <w:p w14:paraId="16AAFF1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32"/>
          <w:szCs w:val="32"/>
          <w:highlight w:val="none"/>
        </w:rPr>
      </w:pPr>
      <w:r>
        <w:rPr>
          <w:rFonts w:hint="eastAsia" w:ascii="宋体" w:hAnsi="宋体" w:eastAsia="宋体" w:cs="宋体"/>
          <w:b/>
          <w:bCs/>
          <w:color w:val="auto"/>
          <w:spacing w:val="0"/>
          <w:sz w:val="32"/>
          <w:szCs w:val="32"/>
          <w:highlight w:val="none"/>
          <w:lang w:val="en-US" w:eastAsia="zh-CN"/>
        </w:rPr>
        <w:t>六</w:t>
      </w:r>
      <w:r>
        <w:rPr>
          <w:rFonts w:hint="eastAsia" w:ascii="宋体" w:hAnsi="宋体" w:eastAsia="宋体" w:cs="宋体"/>
          <w:b/>
          <w:bCs/>
          <w:color w:val="auto"/>
          <w:spacing w:val="0"/>
          <w:sz w:val="32"/>
          <w:szCs w:val="32"/>
          <w:highlight w:val="none"/>
        </w:rPr>
        <w:t>、项目管理机构</w:t>
      </w:r>
    </w:p>
    <w:p w14:paraId="4AACF3D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rPr>
        <w:t>一</w:t>
      </w: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rPr>
        <w:t>项目管理机构组成表</w:t>
      </w:r>
    </w:p>
    <w:tbl>
      <w:tblPr>
        <w:tblStyle w:val="22"/>
        <w:tblW w:w="95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8"/>
        <w:gridCol w:w="1055"/>
        <w:gridCol w:w="1054"/>
        <w:gridCol w:w="1195"/>
        <w:gridCol w:w="912"/>
        <w:gridCol w:w="1580"/>
        <w:gridCol w:w="1759"/>
        <w:gridCol w:w="889"/>
      </w:tblGrid>
      <w:tr w14:paraId="13856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jc w:val="center"/>
        </w:trPr>
        <w:tc>
          <w:tcPr>
            <w:tcW w:w="1058" w:type="dxa"/>
            <w:vMerge w:val="restart"/>
            <w:tcBorders>
              <w:bottom w:val="nil"/>
            </w:tcBorders>
            <w:vAlign w:val="center"/>
          </w:tcPr>
          <w:p w14:paraId="1C934D60">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职务</w:t>
            </w:r>
          </w:p>
        </w:tc>
        <w:tc>
          <w:tcPr>
            <w:tcW w:w="1055" w:type="dxa"/>
            <w:vMerge w:val="restart"/>
            <w:tcBorders>
              <w:bottom w:val="nil"/>
            </w:tcBorders>
            <w:vAlign w:val="center"/>
          </w:tcPr>
          <w:p w14:paraId="496520F0">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姓名</w:t>
            </w:r>
          </w:p>
        </w:tc>
        <w:tc>
          <w:tcPr>
            <w:tcW w:w="1054" w:type="dxa"/>
            <w:vMerge w:val="restart"/>
            <w:tcBorders>
              <w:bottom w:val="nil"/>
            </w:tcBorders>
            <w:vAlign w:val="center"/>
          </w:tcPr>
          <w:p w14:paraId="58CCD95F">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职称</w:t>
            </w:r>
          </w:p>
        </w:tc>
        <w:tc>
          <w:tcPr>
            <w:tcW w:w="5446" w:type="dxa"/>
            <w:gridSpan w:val="4"/>
            <w:vAlign w:val="center"/>
          </w:tcPr>
          <w:p w14:paraId="55F2C280">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执业或职业资格证明</w:t>
            </w:r>
          </w:p>
        </w:tc>
        <w:tc>
          <w:tcPr>
            <w:tcW w:w="889" w:type="dxa"/>
            <w:vMerge w:val="restart"/>
            <w:tcBorders>
              <w:bottom w:val="nil"/>
            </w:tcBorders>
            <w:vAlign w:val="center"/>
          </w:tcPr>
          <w:p w14:paraId="308AED57">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备注</w:t>
            </w:r>
          </w:p>
        </w:tc>
      </w:tr>
      <w:tr w14:paraId="456E0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jc w:val="center"/>
        </w:trPr>
        <w:tc>
          <w:tcPr>
            <w:tcW w:w="1058" w:type="dxa"/>
            <w:vMerge w:val="continue"/>
            <w:tcBorders>
              <w:top w:val="nil"/>
            </w:tcBorders>
            <w:vAlign w:val="center"/>
          </w:tcPr>
          <w:p w14:paraId="52B0427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p>
        </w:tc>
        <w:tc>
          <w:tcPr>
            <w:tcW w:w="1055" w:type="dxa"/>
            <w:vMerge w:val="continue"/>
            <w:tcBorders>
              <w:top w:val="nil"/>
            </w:tcBorders>
            <w:vAlign w:val="center"/>
          </w:tcPr>
          <w:p w14:paraId="7D5FFF2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p>
        </w:tc>
        <w:tc>
          <w:tcPr>
            <w:tcW w:w="1054" w:type="dxa"/>
            <w:vMerge w:val="continue"/>
            <w:tcBorders>
              <w:top w:val="nil"/>
            </w:tcBorders>
            <w:vAlign w:val="center"/>
          </w:tcPr>
          <w:p w14:paraId="22A9EFE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p>
        </w:tc>
        <w:tc>
          <w:tcPr>
            <w:tcW w:w="1195" w:type="dxa"/>
            <w:vAlign w:val="center"/>
          </w:tcPr>
          <w:p w14:paraId="46E1499C">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证书名称</w:t>
            </w:r>
          </w:p>
        </w:tc>
        <w:tc>
          <w:tcPr>
            <w:tcW w:w="912" w:type="dxa"/>
            <w:vAlign w:val="center"/>
          </w:tcPr>
          <w:p w14:paraId="42FBED4A">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级别</w:t>
            </w:r>
          </w:p>
        </w:tc>
        <w:tc>
          <w:tcPr>
            <w:tcW w:w="1580" w:type="dxa"/>
            <w:vAlign w:val="center"/>
          </w:tcPr>
          <w:p w14:paraId="711F8533">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证号</w:t>
            </w:r>
          </w:p>
        </w:tc>
        <w:tc>
          <w:tcPr>
            <w:tcW w:w="1759" w:type="dxa"/>
            <w:vAlign w:val="center"/>
          </w:tcPr>
          <w:p w14:paraId="25F35073">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专业</w:t>
            </w:r>
          </w:p>
        </w:tc>
        <w:tc>
          <w:tcPr>
            <w:tcW w:w="889" w:type="dxa"/>
            <w:vMerge w:val="continue"/>
            <w:tcBorders>
              <w:top w:val="nil"/>
            </w:tcBorders>
            <w:vAlign w:val="center"/>
          </w:tcPr>
          <w:p w14:paraId="4E608EC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1F980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058" w:type="dxa"/>
            <w:vAlign w:val="center"/>
          </w:tcPr>
          <w:p w14:paraId="1792B6F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055" w:type="dxa"/>
            <w:vAlign w:val="center"/>
          </w:tcPr>
          <w:p w14:paraId="38CE6D3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054" w:type="dxa"/>
            <w:vAlign w:val="center"/>
          </w:tcPr>
          <w:p w14:paraId="45E6DF7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195" w:type="dxa"/>
            <w:vAlign w:val="center"/>
          </w:tcPr>
          <w:p w14:paraId="6159D33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912" w:type="dxa"/>
            <w:vAlign w:val="center"/>
          </w:tcPr>
          <w:p w14:paraId="4A18E14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80" w:type="dxa"/>
            <w:vAlign w:val="center"/>
          </w:tcPr>
          <w:p w14:paraId="777FB44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759" w:type="dxa"/>
            <w:vAlign w:val="center"/>
          </w:tcPr>
          <w:p w14:paraId="4663308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889" w:type="dxa"/>
            <w:vAlign w:val="center"/>
          </w:tcPr>
          <w:p w14:paraId="61C0359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r>
      <w:tr w14:paraId="29776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058" w:type="dxa"/>
            <w:vAlign w:val="center"/>
          </w:tcPr>
          <w:p w14:paraId="22A58A0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055" w:type="dxa"/>
            <w:vAlign w:val="center"/>
          </w:tcPr>
          <w:p w14:paraId="1F15976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054" w:type="dxa"/>
            <w:vAlign w:val="center"/>
          </w:tcPr>
          <w:p w14:paraId="340221F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195" w:type="dxa"/>
            <w:vAlign w:val="center"/>
          </w:tcPr>
          <w:p w14:paraId="2B96223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912" w:type="dxa"/>
            <w:vAlign w:val="center"/>
          </w:tcPr>
          <w:p w14:paraId="4AC2E67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80" w:type="dxa"/>
            <w:vAlign w:val="center"/>
          </w:tcPr>
          <w:p w14:paraId="07ECE47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759" w:type="dxa"/>
            <w:vAlign w:val="center"/>
          </w:tcPr>
          <w:p w14:paraId="39FB42E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889" w:type="dxa"/>
            <w:vAlign w:val="center"/>
          </w:tcPr>
          <w:p w14:paraId="1BD5CF0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r>
      <w:tr w14:paraId="2422E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058" w:type="dxa"/>
            <w:vAlign w:val="center"/>
          </w:tcPr>
          <w:p w14:paraId="4A2732D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055" w:type="dxa"/>
            <w:vAlign w:val="center"/>
          </w:tcPr>
          <w:p w14:paraId="3E918E8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054" w:type="dxa"/>
            <w:vAlign w:val="center"/>
          </w:tcPr>
          <w:p w14:paraId="71B9349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195" w:type="dxa"/>
            <w:vAlign w:val="center"/>
          </w:tcPr>
          <w:p w14:paraId="300BF47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912" w:type="dxa"/>
            <w:vAlign w:val="center"/>
          </w:tcPr>
          <w:p w14:paraId="3C6784D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80" w:type="dxa"/>
            <w:vAlign w:val="center"/>
          </w:tcPr>
          <w:p w14:paraId="67D4039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759" w:type="dxa"/>
            <w:vAlign w:val="center"/>
          </w:tcPr>
          <w:p w14:paraId="02D99F5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889" w:type="dxa"/>
            <w:vAlign w:val="center"/>
          </w:tcPr>
          <w:p w14:paraId="4E06E1E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r>
      <w:tr w14:paraId="55E18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jc w:val="center"/>
        </w:trPr>
        <w:tc>
          <w:tcPr>
            <w:tcW w:w="1058" w:type="dxa"/>
            <w:vAlign w:val="center"/>
          </w:tcPr>
          <w:p w14:paraId="3F0751D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055" w:type="dxa"/>
            <w:vAlign w:val="center"/>
          </w:tcPr>
          <w:p w14:paraId="29A8316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054" w:type="dxa"/>
            <w:vAlign w:val="center"/>
          </w:tcPr>
          <w:p w14:paraId="58B85AB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195" w:type="dxa"/>
            <w:vAlign w:val="center"/>
          </w:tcPr>
          <w:p w14:paraId="026B058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912" w:type="dxa"/>
            <w:vAlign w:val="center"/>
          </w:tcPr>
          <w:p w14:paraId="3B65DA8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80" w:type="dxa"/>
            <w:vAlign w:val="center"/>
          </w:tcPr>
          <w:p w14:paraId="1881111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759" w:type="dxa"/>
            <w:vAlign w:val="center"/>
          </w:tcPr>
          <w:p w14:paraId="7A37055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889" w:type="dxa"/>
            <w:vAlign w:val="center"/>
          </w:tcPr>
          <w:p w14:paraId="39B4084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r>
      <w:tr w14:paraId="2A861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058" w:type="dxa"/>
            <w:vAlign w:val="center"/>
          </w:tcPr>
          <w:p w14:paraId="2AF3B1B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055" w:type="dxa"/>
            <w:vAlign w:val="center"/>
          </w:tcPr>
          <w:p w14:paraId="711403C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054" w:type="dxa"/>
            <w:vAlign w:val="center"/>
          </w:tcPr>
          <w:p w14:paraId="606D852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195" w:type="dxa"/>
            <w:vAlign w:val="center"/>
          </w:tcPr>
          <w:p w14:paraId="440B90D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912" w:type="dxa"/>
            <w:vAlign w:val="center"/>
          </w:tcPr>
          <w:p w14:paraId="59D214B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80" w:type="dxa"/>
            <w:vAlign w:val="center"/>
          </w:tcPr>
          <w:p w14:paraId="7748EFF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759" w:type="dxa"/>
            <w:vAlign w:val="center"/>
          </w:tcPr>
          <w:p w14:paraId="6C1A4D8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889" w:type="dxa"/>
            <w:vAlign w:val="center"/>
          </w:tcPr>
          <w:p w14:paraId="3766BBA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r>
      <w:tr w14:paraId="66DB6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1058" w:type="dxa"/>
            <w:vAlign w:val="center"/>
          </w:tcPr>
          <w:p w14:paraId="3869A1F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055" w:type="dxa"/>
            <w:vAlign w:val="center"/>
          </w:tcPr>
          <w:p w14:paraId="6EE9867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054" w:type="dxa"/>
            <w:vAlign w:val="center"/>
          </w:tcPr>
          <w:p w14:paraId="23ACBFA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195" w:type="dxa"/>
            <w:vAlign w:val="center"/>
          </w:tcPr>
          <w:p w14:paraId="50F0628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912" w:type="dxa"/>
            <w:vAlign w:val="center"/>
          </w:tcPr>
          <w:p w14:paraId="088AC81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80" w:type="dxa"/>
            <w:vAlign w:val="center"/>
          </w:tcPr>
          <w:p w14:paraId="020645A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759" w:type="dxa"/>
            <w:vAlign w:val="center"/>
          </w:tcPr>
          <w:p w14:paraId="7FF57DD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889" w:type="dxa"/>
            <w:vAlign w:val="center"/>
          </w:tcPr>
          <w:p w14:paraId="3F82771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r>
      <w:tr w14:paraId="31D13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058" w:type="dxa"/>
            <w:vAlign w:val="center"/>
          </w:tcPr>
          <w:p w14:paraId="00FDF89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055" w:type="dxa"/>
            <w:vAlign w:val="center"/>
          </w:tcPr>
          <w:p w14:paraId="1A859B5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054" w:type="dxa"/>
            <w:vAlign w:val="center"/>
          </w:tcPr>
          <w:p w14:paraId="128ACC2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195" w:type="dxa"/>
            <w:vAlign w:val="center"/>
          </w:tcPr>
          <w:p w14:paraId="035E66E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912" w:type="dxa"/>
            <w:vAlign w:val="center"/>
          </w:tcPr>
          <w:p w14:paraId="4FBE3A6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80" w:type="dxa"/>
            <w:vAlign w:val="center"/>
          </w:tcPr>
          <w:p w14:paraId="06DEE27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759" w:type="dxa"/>
            <w:vAlign w:val="center"/>
          </w:tcPr>
          <w:p w14:paraId="7648738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889" w:type="dxa"/>
            <w:vAlign w:val="center"/>
          </w:tcPr>
          <w:p w14:paraId="3BA1BE6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r>
      <w:tr w14:paraId="44208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058" w:type="dxa"/>
            <w:vAlign w:val="center"/>
          </w:tcPr>
          <w:p w14:paraId="11665AD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055" w:type="dxa"/>
            <w:vAlign w:val="center"/>
          </w:tcPr>
          <w:p w14:paraId="3E801AB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054" w:type="dxa"/>
            <w:vAlign w:val="center"/>
          </w:tcPr>
          <w:p w14:paraId="1A7C5A5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195" w:type="dxa"/>
            <w:vAlign w:val="center"/>
          </w:tcPr>
          <w:p w14:paraId="75A7930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912" w:type="dxa"/>
            <w:vAlign w:val="center"/>
          </w:tcPr>
          <w:p w14:paraId="01E0185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80" w:type="dxa"/>
            <w:vAlign w:val="center"/>
          </w:tcPr>
          <w:p w14:paraId="7B59F80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759" w:type="dxa"/>
            <w:vAlign w:val="center"/>
          </w:tcPr>
          <w:p w14:paraId="590AD1F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889" w:type="dxa"/>
            <w:vAlign w:val="center"/>
          </w:tcPr>
          <w:p w14:paraId="131B11A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r>
      <w:tr w14:paraId="00C5F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1058" w:type="dxa"/>
            <w:vAlign w:val="center"/>
          </w:tcPr>
          <w:p w14:paraId="09F917C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055" w:type="dxa"/>
            <w:vAlign w:val="center"/>
          </w:tcPr>
          <w:p w14:paraId="733EDE7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054" w:type="dxa"/>
            <w:vAlign w:val="center"/>
          </w:tcPr>
          <w:p w14:paraId="41D752D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195" w:type="dxa"/>
            <w:vAlign w:val="center"/>
          </w:tcPr>
          <w:p w14:paraId="605A4B6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912" w:type="dxa"/>
            <w:vAlign w:val="center"/>
          </w:tcPr>
          <w:p w14:paraId="56A20F4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80" w:type="dxa"/>
            <w:vAlign w:val="center"/>
          </w:tcPr>
          <w:p w14:paraId="3F4AB1B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759" w:type="dxa"/>
            <w:vAlign w:val="center"/>
          </w:tcPr>
          <w:p w14:paraId="4497EB2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889" w:type="dxa"/>
            <w:vAlign w:val="center"/>
          </w:tcPr>
          <w:p w14:paraId="7A4D1EE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r>
      <w:tr w14:paraId="6AE85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jc w:val="center"/>
        </w:trPr>
        <w:tc>
          <w:tcPr>
            <w:tcW w:w="1058" w:type="dxa"/>
            <w:vAlign w:val="center"/>
          </w:tcPr>
          <w:p w14:paraId="6C06C7A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055" w:type="dxa"/>
            <w:vAlign w:val="center"/>
          </w:tcPr>
          <w:p w14:paraId="6A83EC2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054" w:type="dxa"/>
            <w:vAlign w:val="center"/>
          </w:tcPr>
          <w:p w14:paraId="22078EA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195" w:type="dxa"/>
            <w:vAlign w:val="center"/>
          </w:tcPr>
          <w:p w14:paraId="255AFB1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912" w:type="dxa"/>
            <w:vAlign w:val="center"/>
          </w:tcPr>
          <w:p w14:paraId="1C4B6E6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80" w:type="dxa"/>
            <w:vAlign w:val="center"/>
          </w:tcPr>
          <w:p w14:paraId="17D453E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759" w:type="dxa"/>
            <w:vAlign w:val="center"/>
          </w:tcPr>
          <w:p w14:paraId="789EA54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889" w:type="dxa"/>
            <w:vAlign w:val="center"/>
          </w:tcPr>
          <w:p w14:paraId="1545695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r>
    </w:tbl>
    <w:p w14:paraId="3C28A7DB">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5960F1D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sectPr>
          <w:footerReference r:id="rId15" w:type="default"/>
          <w:pgSz w:w="11906" w:h="16839"/>
          <w:pgMar w:top="1440" w:right="1080" w:bottom="1440" w:left="1080" w:header="0" w:footer="994" w:gutter="0"/>
          <w:pgNumType w:fmt="decimal"/>
          <w:cols w:space="720" w:num="1"/>
        </w:sectPr>
      </w:pPr>
    </w:p>
    <w:p w14:paraId="4E963828">
      <w:pPr>
        <w:pageBreakBefore w:val="0"/>
        <w:widowControl/>
        <w:kinsoku/>
        <w:wordWrap w:val="0"/>
        <w:overflowPunct/>
        <w:topLinePunct w:val="0"/>
        <w:autoSpaceDE w:val="0"/>
        <w:autoSpaceDN w:val="0"/>
        <w:bidi w:val="0"/>
        <w:adjustRightInd w:val="0"/>
        <w:snapToGrid w:val="0"/>
        <w:spacing w:before="0" w:beforeLines="20" w:after="0" w:afterLines="20" w:line="360" w:lineRule="auto"/>
        <w:ind w:right="0"/>
        <w:jc w:val="center"/>
        <w:textAlignment w:val="baseline"/>
        <w:rPr>
          <w:rFonts w:hint="eastAsia" w:ascii="宋体" w:hAnsi="宋体" w:eastAsia="宋体" w:cs="宋体"/>
          <w:color w:val="auto"/>
          <w:spacing w:val="0"/>
          <w:sz w:val="32"/>
          <w:szCs w:val="32"/>
          <w:highlight w:val="none"/>
        </w:rPr>
      </w:pPr>
      <w:r>
        <w:rPr>
          <w:rFonts w:hint="eastAsia" w:ascii="宋体" w:hAnsi="宋体" w:eastAsia="宋体" w:cs="宋体"/>
          <w:color w:val="auto"/>
          <w:spacing w:val="0"/>
          <w:sz w:val="32"/>
          <w:szCs w:val="32"/>
          <w:highlight w:val="none"/>
          <w:lang w:eastAsia="zh-CN"/>
        </w:rPr>
        <w:t>（</w:t>
      </w:r>
      <w:r>
        <w:rPr>
          <w:rFonts w:hint="eastAsia" w:ascii="宋体" w:hAnsi="宋体" w:eastAsia="宋体" w:cs="宋体"/>
          <w:color w:val="auto"/>
          <w:spacing w:val="0"/>
          <w:sz w:val="32"/>
          <w:szCs w:val="32"/>
          <w:highlight w:val="none"/>
        </w:rPr>
        <w:t>一</w:t>
      </w:r>
      <w:r>
        <w:rPr>
          <w:rFonts w:hint="eastAsia" w:ascii="宋体" w:hAnsi="宋体" w:eastAsia="宋体" w:cs="宋体"/>
          <w:color w:val="auto"/>
          <w:spacing w:val="0"/>
          <w:sz w:val="32"/>
          <w:szCs w:val="32"/>
          <w:highlight w:val="none"/>
          <w:lang w:eastAsia="zh-CN"/>
        </w:rPr>
        <w:t>）</w:t>
      </w:r>
      <w:r>
        <w:rPr>
          <w:rFonts w:hint="eastAsia" w:ascii="宋体" w:hAnsi="宋体" w:eastAsia="宋体" w:cs="宋体"/>
          <w:color w:val="auto"/>
          <w:spacing w:val="0"/>
          <w:sz w:val="32"/>
          <w:szCs w:val="32"/>
          <w:highlight w:val="none"/>
        </w:rPr>
        <w:t>主要人员简历表</w:t>
      </w:r>
    </w:p>
    <w:p w14:paraId="365A22DF">
      <w:pPr>
        <w:pageBreakBefore w:val="0"/>
        <w:widowControl/>
        <w:kinsoku/>
        <w:wordWrap w:val="0"/>
        <w:overflowPunct/>
        <w:topLinePunct w:val="0"/>
        <w:autoSpaceDE w:val="0"/>
        <w:autoSpaceDN w:val="0"/>
        <w:bidi w:val="0"/>
        <w:adjustRightInd w:val="0"/>
        <w:snapToGrid w:val="0"/>
        <w:spacing w:before="0" w:beforeLines="20" w:after="0" w:afterLines="20" w:line="360" w:lineRule="auto"/>
        <w:ind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附1：项目经理简历表</w:t>
      </w:r>
    </w:p>
    <w:p w14:paraId="3777D25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hanging="4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“主要人员简历表”中的项目经理应附注册建造师证书、安全生产考核合格证书、身份证、学历证、养老保险复印件</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职称证书</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如有</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，管理过的项目业绩须附成交（或中标）通知书或合同协议书或竣工验收报告复印件。要求证明材料复印件清晰。</w:t>
      </w:r>
    </w:p>
    <w:tbl>
      <w:tblPr>
        <w:tblStyle w:val="22"/>
        <w:tblW w:w="93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1137"/>
        <w:gridCol w:w="1250"/>
        <w:gridCol w:w="1405"/>
        <w:gridCol w:w="2032"/>
        <w:gridCol w:w="2350"/>
      </w:tblGrid>
      <w:tr w14:paraId="13316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206" w:type="dxa"/>
            <w:vAlign w:val="top"/>
          </w:tcPr>
          <w:p w14:paraId="7D95773B">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  名</w:t>
            </w:r>
          </w:p>
        </w:tc>
        <w:tc>
          <w:tcPr>
            <w:tcW w:w="1137" w:type="dxa"/>
            <w:vAlign w:val="top"/>
          </w:tcPr>
          <w:p w14:paraId="0199AC4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p>
        </w:tc>
        <w:tc>
          <w:tcPr>
            <w:tcW w:w="1250" w:type="dxa"/>
            <w:vAlign w:val="top"/>
          </w:tcPr>
          <w:p w14:paraId="712EFA7C">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龄</w:t>
            </w:r>
          </w:p>
        </w:tc>
        <w:tc>
          <w:tcPr>
            <w:tcW w:w="1405" w:type="dxa"/>
            <w:vAlign w:val="top"/>
          </w:tcPr>
          <w:p w14:paraId="3C8765E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p>
        </w:tc>
        <w:tc>
          <w:tcPr>
            <w:tcW w:w="2032" w:type="dxa"/>
            <w:vAlign w:val="top"/>
          </w:tcPr>
          <w:p w14:paraId="014E8B4A">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学历</w:t>
            </w:r>
          </w:p>
        </w:tc>
        <w:tc>
          <w:tcPr>
            <w:tcW w:w="2350" w:type="dxa"/>
            <w:vAlign w:val="top"/>
          </w:tcPr>
          <w:p w14:paraId="09631D8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p>
        </w:tc>
      </w:tr>
      <w:tr w14:paraId="36D58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1206" w:type="dxa"/>
            <w:vAlign w:val="top"/>
          </w:tcPr>
          <w:p w14:paraId="103CDC6E">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称</w:t>
            </w:r>
          </w:p>
        </w:tc>
        <w:tc>
          <w:tcPr>
            <w:tcW w:w="1137" w:type="dxa"/>
            <w:vAlign w:val="top"/>
          </w:tcPr>
          <w:p w14:paraId="46118C5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p>
        </w:tc>
        <w:tc>
          <w:tcPr>
            <w:tcW w:w="1250" w:type="dxa"/>
            <w:vAlign w:val="top"/>
          </w:tcPr>
          <w:p w14:paraId="3FBF8F7B">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务</w:t>
            </w:r>
          </w:p>
        </w:tc>
        <w:tc>
          <w:tcPr>
            <w:tcW w:w="1405" w:type="dxa"/>
            <w:vAlign w:val="top"/>
          </w:tcPr>
          <w:p w14:paraId="3F5493D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p>
        </w:tc>
        <w:tc>
          <w:tcPr>
            <w:tcW w:w="2032" w:type="dxa"/>
            <w:vAlign w:val="top"/>
          </w:tcPr>
          <w:p w14:paraId="2DB8D2F5">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拟在本工程任职</w:t>
            </w:r>
          </w:p>
        </w:tc>
        <w:tc>
          <w:tcPr>
            <w:tcW w:w="2350" w:type="dxa"/>
            <w:vAlign w:val="top"/>
          </w:tcPr>
          <w:p w14:paraId="7ED9FDD9">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p>
        </w:tc>
      </w:tr>
      <w:tr w14:paraId="2E692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3593" w:type="dxa"/>
            <w:gridSpan w:val="3"/>
            <w:vAlign w:val="top"/>
          </w:tcPr>
          <w:p w14:paraId="20C4A412">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资格等级</w:t>
            </w:r>
          </w:p>
        </w:tc>
        <w:tc>
          <w:tcPr>
            <w:tcW w:w="1405" w:type="dxa"/>
            <w:vAlign w:val="top"/>
          </w:tcPr>
          <w:p w14:paraId="730F72BB">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级</w:t>
            </w:r>
          </w:p>
        </w:tc>
        <w:tc>
          <w:tcPr>
            <w:tcW w:w="2032" w:type="dxa"/>
            <w:vAlign w:val="top"/>
          </w:tcPr>
          <w:p w14:paraId="44282FB2">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专业</w:t>
            </w:r>
          </w:p>
        </w:tc>
        <w:tc>
          <w:tcPr>
            <w:tcW w:w="2350" w:type="dxa"/>
            <w:vAlign w:val="top"/>
          </w:tcPr>
          <w:p w14:paraId="4E4BB8B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p>
        </w:tc>
      </w:tr>
      <w:tr w14:paraId="06A6C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1206" w:type="dxa"/>
            <w:vAlign w:val="top"/>
          </w:tcPr>
          <w:p w14:paraId="6E1A77BA">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毕业学校</w:t>
            </w:r>
          </w:p>
        </w:tc>
        <w:tc>
          <w:tcPr>
            <w:tcW w:w="8174" w:type="dxa"/>
            <w:gridSpan w:val="5"/>
            <w:vAlign w:val="top"/>
          </w:tcPr>
          <w:p w14:paraId="2EE92A2C">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年毕业于                   学校            专业</w:t>
            </w:r>
          </w:p>
        </w:tc>
      </w:tr>
      <w:tr w14:paraId="3EE15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9380" w:type="dxa"/>
            <w:gridSpan w:val="6"/>
            <w:vAlign w:val="top"/>
          </w:tcPr>
          <w:p w14:paraId="45561EC0">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主要工作经历</w:t>
            </w:r>
          </w:p>
        </w:tc>
      </w:tr>
      <w:tr w14:paraId="1422D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1206" w:type="dxa"/>
            <w:vAlign w:val="top"/>
          </w:tcPr>
          <w:p w14:paraId="399678E9">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时  间</w:t>
            </w:r>
          </w:p>
        </w:tc>
        <w:tc>
          <w:tcPr>
            <w:tcW w:w="3792" w:type="dxa"/>
            <w:gridSpan w:val="3"/>
            <w:vAlign w:val="top"/>
          </w:tcPr>
          <w:p w14:paraId="7A6B2484">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参加过的类似项目名称</w:t>
            </w:r>
          </w:p>
        </w:tc>
        <w:tc>
          <w:tcPr>
            <w:tcW w:w="2032" w:type="dxa"/>
            <w:vAlign w:val="top"/>
          </w:tcPr>
          <w:p w14:paraId="3CB4E52A">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工程概况说明</w:t>
            </w:r>
          </w:p>
        </w:tc>
        <w:tc>
          <w:tcPr>
            <w:tcW w:w="2350" w:type="dxa"/>
            <w:vAlign w:val="top"/>
          </w:tcPr>
          <w:p w14:paraId="477C835B">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发包人及联系电话</w:t>
            </w:r>
          </w:p>
        </w:tc>
      </w:tr>
      <w:tr w14:paraId="07B4C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trPr>
        <w:tc>
          <w:tcPr>
            <w:tcW w:w="1206" w:type="dxa"/>
            <w:vAlign w:val="top"/>
          </w:tcPr>
          <w:p w14:paraId="20EE6B4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3792" w:type="dxa"/>
            <w:gridSpan w:val="3"/>
            <w:vAlign w:val="top"/>
          </w:tcPr>
          <w:p w14:paraId="6FDD129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2032" w:type="dxa"/>
            <w:vAlign w:val="top"/>
          </w:tcPr>
          <w:p w14:paraId="25F052D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2350" w:type="dxa"/>
            <w:vAlign w:val="top"/>
          </w:tcPr>
          <w:p w14:paraId="17A464C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668A0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trPr>
        <w:tc>
          <w:tcPr>
            <w:tcW w:w="1206" w:type="dxa"/>
            <w:vAlign w:val="top"/>
          </w:tcPr>
          <w:p w14:paraId="1223634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3792" w:type="dxa"/>
            <w:gridSpan w:val="3"/>
            <w:vAlign w:val="top"/>
          </w:tcPr>
          <w:p w14:paraId="56DD5AF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2032" w:type="dxa"/>
            <w:vAlign w:val="top"/>
          </w:tcPr>
          <w:p w14:paraId="193E7B6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2350" w:type="dxa"/>
            <w:vAlign w:val="top"/>
          </w:tcPr>
          <w:p w14:paraId="6FB2E44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635BE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trPr>
        <w:tc>
          <w:tcPr>
            <w:tcW w:w="1206" w:type="dxa"/>
            <w:vAlign w:val="top"/>
          </w:tcPr>
          <w:p w14:paraId="5D016F9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3792" w:type="dxa"/>
            <w:gridSpan w:val="3"/>
            <w:vAlign w:val="top"/>
          </w:tcPr>
          <w:p w14:paraId="2B5366B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2032" w:type="dxa"/>
            <w:vAlign w:val="top"/>
          </w:tcPr>
          <w:p w14:paraId="42EBE1F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2350" w:type="dxa"/>
            <w:vAlign w:val="top"/>
          </w:tcPr>
          <w:p w14:paraId="69CA758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52D55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1206" w:type="dxa"/>
            <w:vAlign w:val="top"/>
          </w:tcPr>
          <w:p w14:paraId="2BBEC22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3792" w:type="dxa"/>
            <w:gridSpan w:val="3"/>
            <w:vAlign w:val="top"/>
          </w:tcPr>
          <w:p w14:paraId="5B338AC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2032" w:type="dxa"/>
            <w:vAlign w:val="top"/>
          </w:tcPr>
          <w:p w14:paraId="04C82D0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2350" w:type="dxa"/>
            <w:vAlign w:val="top"/>
          </w:tcPr>
          <w:p w14:paraId="6977418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bl>
    <w:p w14:paraId="66284F2A">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6581451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default" w:ascii="宋体" w:hAnsi="宋体" w:eastAsia="宋体" w:cs="宋体"/>
          <w:color w:val="auto"/>
          <w:spacing w:val="0"/>
          <w:sz w:val="24"/>
          <w:szCs w:val="24"/>
          <w:highlight w:val="none"/>
          <w:lang w:val="en-US" w:eastAsia="zh-CN"/>
        </w:rPr>
        <w:sectPr>
          <w:footerReference r:id="rId16" w:type="default"/>
          <w:pgSz w:w="11906" w:h="16839"/>
          <w:pgMar w:top="1440" w:right="1080" w:bottom="1440" w:left="1080" w:header="0" w:footer="994" w:gutter="0"/>
          <w:pgNumType w:fmt="decimal"/>
          <w:cols w:space="720" w:num="1"/>
        </w:sectPr>
      </w:pPr>
      <w:r>
        <w:rPr>
          <w:rFonts w:hint="eastAsia" w:ascii="宋体" w:hAnsi="宋体" w:eastAsia="宋体" w:cs="宋体"/>
          <w:color w:val="auto"/>
          <w:spacing w:val="0"/>
          <w:sz w:val="24"/>
          <w:szCs w:val="24"/>
          <w:highlight w:val="none"/>
          <w:lang w:eastAsia="zh-CN"/>
        </w:rPr>
        <w:t>附相关证件</w:t>
      </w:r>
    </w:p>
    <w:p w14:paraId="42F77E7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32"/>
          <w:szCs w:val="32"/>
          <w:highlight w:val="none"/>
        </w:rPr>
      </w:pPr>
      <w:r>
        <w:rPr>
          <w:rFonts w:hint="eastAsia" w:ascii="宋体" w:hAnsi="宋体" w:eastAsia="宋体" w:cs="宋体"/>
          <w:color w:val="auto"/>
          <w:spacing w:val="0"/>
          <w:sz w:val="32"/>
          <w:szCs w:val="32"/>
          <w:highlight w:val="none"/>
        </w:rPr>
        <w:t>（二）其他项目管理人员简历表</w:t>
      </w:r>
    </w:p>
    <w:p w14:paraId="79BF12B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18"/>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其他项目管理人员简历表指技术负责人等岗位人员。技术负责人应附身份证、职称证</w:t>
      </w:r>
      <w:r>
        <w:rPr>
          <w:rFonts w:hint="eastAsia" w:ascii="宋体" w:hAnsi="宋体" w:eastAsia="宋体" w:cs="宋体"/>
          <w:color w:val="auto"/>
          <w:spacing w:val="0"/>
          <w:sz w:val="24"/>
          <w:szCs w:val="24"/>
          <w:highlight w:val="none"/>
          <w:lang w:eastAsia="zh-CN"/>
        </w:rPr>
        <w:t>、社保</w:t>
      </w:r>
      <w:r>
        <w:rPr>
          <w:rFonts w:hint="eastAsia" w:ascii="宋体" w:hAnsi="宋体" w:eastAsia="宋体" w:cs="宋体"/>
          <w:color w:val="auto"/>
          <w:spacing w:val="0"/>
          <w:sz w:val="24"/>
          <w:szCs w:val="24"/>
          <w:highlight w:val="none"/>
        </w:rPr>
        <w:t>复印件，管理过的项目业绩须附证明其所任技术职务的企业文件或用户证明；其他主要人员应附执业证或上岗证书</w:t>
      </w:r>
      <w:r>
        <w:rPr>
          <w:rFonts w:hint="eastAsia" w:ascii="宋体" w:hAnsi="宋体" w:eastAsia="宋体" w:cs="宋体"/>
          <w:color w:val="auto"/>
          <w:spacing w:val="0"/>
          <w:sz w:val="24"/>
          <w:szCs w:val="24"/>
          <w:highlight w:val="none"/>
          <w:lang w:eastAsia="zh-CN"/>
        </w:rPr>
        <w:t>、社保</w:t>
      </w:r>
      <w:r>
        <w:rPr>
          <w:rFonts w:hint="eastAsia" w:ascii="宋体" w:hAnsi="宋体" w:eastAsia="宋体" w:cs="宋体"/>
          <w:color w:val="auto"/>
          <w:spacing w:val="0"/>
          <w:sz w:val="24"/>
          <w:szCs w:val="24"/>
          <w:highlight w:val="none"/>
        </w:rPr>
        <w:t>复印件。要求证明材料复印件清晰。</w:t>
      </w:r>
    </w:p>
    <w:tbl>
      <w:tblPr>
        <w:tblStyle w:val="22"/>
        <w:tblW w:w="9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3"/>
        <w:gridCol w:w="1557"/>
        <w:gridCol w:w="1571"/>
        <w:gridCol w:w="1569"/>
        <w:gridCol w:w="1605"/>
        <w:gridCol w:w="267"/>
        <w:gridCol w:w="1262"/>
      </w:tblGrid>
      <w:tr w14:paraId="0244D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573" w:type="dxa"/>
            <w:vAlign w:val="top"/>
          </w:tcPr>
          <w:p w14:paraId="03743A1E">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岗位名称</w:t>
            </w:r>
          </w:p>
        </w:tc>
        <w:tc>
          <w:tcPr>
            <w:tcW w:w="7831" w:type="dxa"/>
            <w:gridSpan w:val="6"/>
            <w:vAlign w:val="top"/>
          </w:tcPr>
          <w:p w14:paraId="0A90521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p>
        </w:tc>
      </w:tr>
      <w:tr w14:paraId="14039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73" w:type="dxa"/>
            <w:vAlign w:val="top"/>
          </w:tcPr>
          <w:p w14:paraId="1AD31438">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姓名</w:t>
            </w:r>
          </w:p>
        </w:tc>
        <w:tc>
          <w:tcPr>
            <w:tcW w:w="1557" w:type="dxa"/>
            <w:vAlign w:val="top"/>
          </w:tcPr>
          <w:p w14:paraId="39BBAF2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p>
        </w:tc>
        <w:tc>
          <w:tcPr>
            <w:tcW w:w="1571" w:type="dxa"/>
            <w:vAlign w:val="top"/>
          </w:tcPr>
          <w:p w14:paraId="5A54B0D4">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年龄</w:t>
            </w:r>
          </w:p>
        </w:tc>
        <w:tc>
          <w:tcPr>
            <w:tcW w:w="1569" w:type="dxa"/>
            <w:vAlign w:val="top"/>
          </w:tcPr>
          <w:p w14:paraId="753FE04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p>
        </w:tc>
        <w:tc>
          <w:tcPr>
            <w:tcW w:w="1872" w:type="dxa"/>
            <w:gridSpan w:val="2"/>
            <w:vAlign w:val="top"/>
          </w:tcPr>
          <w:p w14:paraId="250C8243">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性别</w:t>
            </w:r>
          </w:p>
        </w:tc>
        <w:tc>
          <w:tcPr>
            <w:tcW w:w="1262" w:type="dxa"/>
            <w:vAlign w:val="top"/>
          </w:tcPr>
          <w:p w14:paraId="2320AC6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p>
        </w:tc>
      </w:tr>
      <w:tr w14:paraId="653EC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73" w:type="dxa"/>
            <w:vAlign w:val="top"/>
          </w:tcPr>
          <w:p w14:paraId="2D13E0A2">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学历</w:t>
            </w:r>
          </w:p>
        </w:tc>
        <w:tc>
          <w:tcPr>
            <w:tcW w:w="1557" w:type="dxa"/>
            <w:vAlign w:val="top"/>
          </w:tcPr>
          <w:p w14:paraId="27F986A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p>
        </w:tc>
        <w:tc>
          <w:tcPr>
            <w:tcW w:w="1571" w:type="dxa"/>
            <w:vAlign w:val="top"/>
          </w:tcPr>
          <w:p w14:paraId="4204F592">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专业</w:t>
            </w:r>
          </w:p>
        </w:tc>
        <w:tc>
          <w:tcPr>
            <w:tcW w:w="1569" w:type="dxa"/>
            <w:vAlign w:val="top"/>
          </w:tcPr>
          <w:p w14:paraId="7C04C7D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p>
        </w:tc>
        <w:tc>
          <w:tcPr>
            <w:tcW w:w="1872" w:type="dxa"/>
            <w:gridSpan w:val="2"/>
            <w:vAlign w:val="top"/>
          </w:tcPr>
          <w:p w14:paraId="5654F8D9">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工作年限</w:t>
            </w:r>
          </w:p>
        </w:tc>
        <w:tc>
          <w:tcPr>
            <w:tcW w:w="1262" w:type="dxa"/>
            <w:vAlign w:val="top"/>
          </w:tcPr>
          <w:p w14:paraId="669FC68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p>
        </w:tc>
      </w:tr>
      <w:tr w14:paraId="1796F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73" w:type="dxa"/>
            <w:vAlign w:val="top"/>
          </w:tcPr>
          <w:p w14:paraId="165FF7F4">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执业资格</w:t>
            </w:r>
          </w:p>
        </w:tc>
        <w:tc>
          <w:tcPr>
            <w:tcW w:w="3128" w:type="dxa"/>
            <w:gridSpan w:val="2"/>
            <w:vAlign w:val="top"/>
          </w:tcPr>
          <w:p w14:paraId="7127C5D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p>
        </w:tc>
        <w:tc>
          <w:tcPr>
            <w:tcW w:w="1569" w:type="dxa"/>
            <w:vAlign w:val="top"/>
          </w:tcPr>
          <w:p w14:paraId="69B5EA7C">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证书编号</w:t>
            </w:r>
          </w:p>
        </w:tc>
        <w:tc>
          <w:tcPr>
            <w:tcW w:w="3134" w:type="dxa"/>
            <w:gridSpan w:val="3"/>
            <w:vAlign w:val="top"/>
          </w:tcPr>
          <w:p w14:paraId="1368AB8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p>
        </w:tc>
      </w:tr>
      <w:tr w14:paraId="7CA99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73" w:type="dxa"/>
            <w:vAlign w:val="top"/>
          </w:tcPr>
          <w:p w14:paraId="6440E4CC">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毕业学校</w:t>
            </w:r>
          </w:p>
        </w:tc>
        <w:tc>
          <w:tcPr>
            <w:tcW w:w="7831" w:type="dxa"/>
            <w:gridSpan w:val="6"/>
            <w:vAlign w:val="top"/>
          </w:tcPr>
          <w:p w14:paraId="1E972876">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年毕业于         学校           专业</w:t>
            </w:r>
          </w:p>
        </w:tc>
      </w:tr>
      <w:tr w14:paraId="2F9BE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404" w:type="dxa"/>
            <w:gridSpan w:val="7"/>
            <w:vAlign w:val="top"/>
          </w:tcPr>
          <w:p w14:paraId="04E84521">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主要工作经历</w:t>
            </w:r>
          </w:p>
        </w:tc>
      </w:tr>
      <w:tr w14:paraId="1DB1E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73" w:type="dxa"/>
            <w:vAlign w:val="top"/>
          </w:tcPr>
          <w:p w14:paraId="2C43588A">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时间</w:t>
            </w:r>
          </w:p>
        </w:tc>
        <w:tc>
          <w:tcPr>
            <w:tcW w:w="3128" w:type="dxa"/>
            <w:gridSpan w:val="2"/>
            <w:vAlign w:val="top"/>
          </w:tcPr>
          <w:p w14:paraId="15764791">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参加过的类似项目</w:t>
            </w:r>
          </w:p>
        </w:tc>
        <w:tc>
          <w:tcPr>
            <w:tcW w:w="1569" w:type="dxa"/>
            <w:vAlign w:val="top"/>
          </w:tcPr>
          <w:p w14:paraId="1342965D">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规模</w:t>
            </w:r>
          </w:p>
        </w:tc>
        <w:tc>
          <w:tcPr>
            <w:tcW w:w="1605" w:type="dxa"/>
            <w:vAlign w:val="top"/>
          </w:tcPr>
          <w:p w14:paraId="7FE3033C">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担任职务</w:t>
            </w:r>
          </w:p>
        </w:tc>
        <w:tc>
          <w:tcPr>
            <w:tcW w:w="1529" w:type="dxa"/>
            <w:gridSpan w:val="2"/>
            <w:vAlign w:val="top"/>
          </w:tcPr>
          <w:p w14:paraId="1B630B42">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发包人</w:t>
            </w:r>
          </w:p>
        </w:tc>
      </w:tr>
      <w:tr w14:paraId="26D78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73" w:type="dxa"/>
            <w:vAlign w:val="top"/>
          </w:tcPr>
          <w:p w14:paraId="51CD36C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3128" w:type="dxa"/>
            <w:gridSpan w:val="2"/>
            <w:vAlign w:val="top"/>
          </w:tcPr>
          <w:p w14:paraId="7BCB0C7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69" w:type="dxa"/>
            <w:vAlign w:val="top"/>
          </w:tcPr>
          <w:p w14:paraId="3489137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605" w:type="dxa"/>
            <w:vAlign w:val="top"/>
          </w:tcPr>
          <w:p w14:paraId="70110E0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29" w:type="dxa"/>
            <w:gridSpan w:val="2"/>
            <w:vAlign w:val="top"/>
          </w:tcPr>
          <w:p w14:paraId="5552F81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r>
      <w:tr w14:paraId="7F5B3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73" w:type="dxa"/>
            <w:vAlign w:val="top"/>
          </w:tcPr>
          <w:p w14:paraId="200DB6F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3128" w:type="dxa"/>
            <w:gridSpan w:val="2"/>
            <w:vAlign w:val="top"/>
          </w:tcPr>
          <w:p w14:paraId="1BEEB35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69" w:type="dxa"/>
            <w:vAlign w:val="top"/>
          </w:tcPr>
          <w:p w14:paraId="12638A9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605" w:type="dxa"/>
            <w:vAlign w:val="top"/>
          </w:tcPr>
          <w:p w14:paraId="750738B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29" w:type="dxa"/>
            <w:gridSpan w:val="2"/>
            <w:vAlign w:val="top"/>
          </w:tcPr>
          <w:p w14:paraId="1DBBF70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r>
      <w:tr w14:paraId="67F26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73" w:type="dxa"/>
            <w:vAlign w:val="top"/>
          </w:tcPr>
          <w:p w14:paraId="5C9EED2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3128" w:type="dxa"/>
            <w:gridSpan w:val="2"/>
            <w:vAlign w:val="top"/>
          </w:tcPr>
          <w:p w14:paraId="4EBF024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69" w:type="dxa"/>
            <w:vAlign w:val="top"/>
          </w:tcPr>
          <w:p w14:paraId="353B9D4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605" w:type="dxa"/>
            <w:vAlign w:val="top"/>
          </w:tcPr>
          <w:p w14:paraId="3A128ED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29" w:type="dxa"/>
            <w:gridSpan w:val="2"/>
            <w:vAlign w:val="top"/>
          </w:tcPr>
          <w:p w14:paraId="629AEE4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r>
      <w:tr w14:paraId="451FB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73" w:type="dxa"/>
            <w:vAlign w:val="top"/>
          </w:tcPr>
          <w:p w14:paraId="267E84B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3128" w:type="dxa"/>
            <w:gridSpan w:val="2"/>
            <w:vAlign w:val="top"/>
          </w:tcPr>
          <w:p w14:paraId="63D21CA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69" w:type="dxa"/>
            <w:vAlign w:val="top"/>
          </w:tcPr>
          <w:p w14:paraId="60B9E05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605" w:type="dxa"/>
            <w:vAlign w:val="top"/>
          </w:tcPr>
          <w:p w14:paraId="4C4B67C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29" w:type="dxa"/>
            <w:gridSpan w:val="2"/>
            <w:vAlign w:val="top"/>
          </w:tcPr>
          <w:p w14:paraId="04D2DC8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r>
      <w:tr w14:paraId="2AD14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73" w:type="dxa"/>
            <w:vAlign w:val="top"/>
          </w:tcPr>
          <w:p w14:paraId="01BEF74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3128" w:type="dxa"/>
            <w:gridSpan w:val="2"/>
            <w:vAlign w:val="top"/>
          </w:tcPr>
          <w:p w14:paraId="705CFF8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69" w:type="dxa"/>
            <w:vAlign w:val="top"/>
          </w:tcPr>
          <w:p w14:paraId="0D937AD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605" w:type="dxa"/>
            <w:vAlign w:val="top"/>
          </w:tcPr>
          <w:p w14:paraId="7D3936D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29" w:type="dxa"/>
            <w:gridSpan w:val="2"/>
            <w:vAlign w:val="top"/>
          </w:tcPr>
          <w:p w14:paraId="5CB3A80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r>
      <w:tr w14:paraId="3589E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73" w:type="dxa"/>
            <w:vAlign w:val="top"/>
          </w:tcPr>
          <w:p w14:paraId="5322DB3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3128" w:type="dxa"/>
            <w:gridSpan w:val="2"/>
            <w:vAlign w:val="top"/>
          </w:tcPr>
          <w:p w14:paraId="0D7A351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69" w:type="dxa"/>
            <w:vAlign w:val="top"/>
          </w:tcPr>
          <w:p w14:paraId="0B0DFC8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605" w:type="dxa"/>
            <w:vAlign w:val="top"/>
          </w:tcPr>
          <w:p w14:paraId="7190B8C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29" w:type="dxa"/>
            <w:gridSpan w:val="2"/>
            <w:vAlign w:val="top"/>
          </w:tcPr>
          <w:p w14:paraId="6817893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r>
      <w:tr w14:paraId="2EC04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73" w:type="dxa"/>
            <w:vAlign w:val="top"/>
          </w:tcPr>
          <w:p w14:paraId="0B4E555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3128" w:type="dxa"/>
            <w:gridSpan w:val="2"/>
            <w:vAlign w:val="top"/>
          </w:tcPr>
          <w:p w14:paraId="5ECE624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69" w:type="dxa"/>
            <w:vAlign w:val="top"/>
          </w:tcPr>
          <w:p w14:paraId="708A29C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605" w:type="dxa"/>
            <w:vAlign w:val="top"/>
          </w:tcPr>
          <w:p w14:paraId="5D4CCCF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29" w:type="dxa"/>
            <w:gridSpan w:val="2"/>
            <w:vAlign w:val="top"/>
          </w:tcPr>
          <w:p w14:paraId="5077111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r>
      <w:tr w14:paraId="7C71D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73" w:type="dxa"/>
            <w:vAlign w:val="top"/>
          </w:tcPr>
          <w:p w14:paraId="23F240C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3128" w:type="dxa"/>
            <w:gridSpan w:val="2"/>
            <w:vAlign w:val="top"/>
          </w:tcPr>
          <w:p w14:paraId="0267F2B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69" w:type="dxa"/>
            <w:vAlign w:val="top"/>
          </w:tcPr>
          <w:p w14:paraId="1CA0267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605" w:type="dxa"/>
            <w:vAlign w:val="top"/>
          </w:tcPr>
          <w:p w14:paraId="3093A6D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29" w:type="dxa"/>
            <w:gridSpan w:val="2"/>
            <w:vAlign w:val="top"/>
          </w:tcPr>
          <w:p w14:paraId="1C3A3E5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r>
      <w:tr w14:paraId="6DE49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73" w:type="dxa"/>
            <w:vAlign w:val="top"/>
          </w:tcPr>
          <w:p w14:paraId="3A66328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3128" w:type="dxa"/>
            <w:gridSpan w:val="2"/>
            <w:vAlign w:val="top"/>
          </w:tcPr>
          <w:p w14:paraId="3453E0A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69" w:type="dxa"/>
            <w:vAlign w:val="top"/>
          </w:tcPr>
          <w:p w14:paraId="66C682C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605" w:type="dxa"/>
            <w:vAlign w:val="top"/>
          </w:tcPr>
          <w:p w14:paraId="731F20C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29" w:type="dxa"/>
            <w:gridSpan w:val="2"/>
            <w:vAlign w:val="top"/>
          </w:tcPr>
          <w:p w14:paraId="0D7B988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r>
      <w:tr w14:paraId="69C8F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73" w:type="dxa"/>
            <w:vAlign w:val="top"/>
          </w:tcPr>
          <w:p w14:paraId="56556A2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3128" w:type="dxa"/>
            <w:gridSpan w:val="2"/>
            <w:vAlign w:val="top"/>
          </w:tcPr>
          <w:p w14:paraId="4071D5C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69" w:type="dxa"/>
            <w:vAlign w:val="top"/>
          </w:tcPr>
          <w:p w14:paraId="322A797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605" w:type="dxa"/>
            <w:vAlign w:val="top"/>
          </w:tcPr>
          <w:p w14:paraId="6D0717D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29" w:type="dxa"/>
            <w:gridSpan w:val="2"/>
            <w:vAlign w:val="top"/>
          </w:tcPr>
          <w:p w14:paraId="354DB93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r>
      <w:tr w14:paraId="5F22F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73" w:type="dxa"/>
            <w:vAlign w:val="top"/>
          </w:tcPr>
          <w:p w14:paraId="3C3A044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3128" w:type="dxa"/>
            <w:gridSpan w:val="2"/>
            <w:vAlign w:val="top"/>
          </w:tcPr>
          <w:p w14:paraId="02A92EC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69" w:type="dxa"/>
            <w:vAlign w:val="top"/>
          </w:tcPr>
          <w:p w14:paraId="7688A7F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605" w:type="dxa"/>
            <w:vAlign w:val="top"/>
          </w:tcPr>
          <w:p w14:paraId="78E26BC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29" w:type="dxa"/>
            <w:gridSpan w:val="2"/>
            <w:vAlign w:val="top"/>
          </w:tcPr>
          <w:p w14:paraId="74409BF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r>
      <w:tr w14:paraId="55826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573" w:type="dxa"/>
            <w:vAlign w:val="top"/>
          </w:tcPr>
          <w:p w14:paraId="745E9D6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3128" w:type="dxa"/>
            <w:gridSpan w:val="2"/>
            <w:vAlign w:val="top"/>
          </w:tcPr>
          <w:p w14:paraId="4AFE22A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69" w:type="dxa"/>
            <w:vAlign w:val="top"/>
          </w:tcPr>
          <w:p w14:paraId="427B26A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605" w:type="dxa"/>
            <w:vAlign w:val="top"/>
          </w:tcPr>
          <w:p w14:paraId="38A33CF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c>
          <w:tcPr>
            <w:tcW w:w="1529" w:type="dxa"/>
            <w:gridSpan w:val="2"/>
            <w:vAlign w:val="top"/>
          </w:tcPr>
          <w:p w14:paraId="4BCF646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1"/>
                <w:highlight w:val="none"/>
              </w:rPr>
            </w:pPr>
          </w:p>
        </w:tc>
      </w:tr>
    </w:tbl>
    <w:p w14:paraId="55D53D0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default" w:ascii="宋体" w:hAnsi="宋体" w:eastAsia="宋体" w:cs="宋体"/>
          <w:color w:val="auto"/>
          <w:spacing w:val="0"/>
          <w:sz w:val="24"/>
          <w:szCs w:val="24"/>
          <w:highlight w:val="none"/>
          <w:lang w:val="en-US" w:eastAsia="zh-CN"/>
        </w:rPr>
        <w:sectPr>
          <w:footerReference r:id="rId17" w:type="default"/>
          <w:pgSz w:w="11906" w:h="16839"/>
          <w:pgMar w:top="1440" w:right="1080" w:bottom="1440" w:left="1080" w:header="0" w:footer="994" w:gutter="0"/>
          <w:pgNumType w:fmt="decimal"/>
          <w:cols w:space="720" w:num="1"/>
        </w:sectPr>
      </w:pPr>
      <w:r>
        <w:rPr>
          <w:rFonts w:hint="eastAsia" w:ascii="宋体" w:hAnsi="宋体" w:eastAsia="宋体" w:cs="宋体"/>
          <w:color w:val="auto"/>
          <w:spacing w:val="0"/>
          <w:sz w:val="24"/>
          <w:szCs w:val="24"/>
          <w:highlight w:val="none"/>
          <w:lang w:eastAsia="zh-CN"/>
        </w:rPr>
        <w:t>附相关证件</w:t>
      </w:r>
    </w:p>
    <w:p w14:paraId="031B276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32"/>
          <w:szCs w:val="32"/>
          <w:highlight w:val="none"/>
        </w:rPr>
      </w:pPr>
      <w:r>
        <w:rPr>
          <w:rFonts w:hint="eastAsia" w:ascii="宋体" w:hAnsi="宋体" w:eastAsia="宋体" w:cs="宋体"/>
          <w:b/>
          <w:bCs/>
          <w:color w:val="auto"/>
          <w:spacing w:val="0"/>
          <w:sz w:val="32"/>
          <w:szCs w:val="32"/>
          <w:highlight w:val="none"/>
          <w:lang w:val="en-US" w:eastAsia="zh-CN"/>
        </w:rPr>
        <w:t>七</w:t>
      </w:r>
      <w:r>
        <w:rPr>
          <w:rFonts w:hint="eastAsia" w:ascii="宋体" w:hAnsi="宋体" w:eastAsia="宋体" w:cs="宋体"/>
          <w:b/>
          <w:bCs/>
          <w:color w:val="auto"/>
          <w:spacing w:val="0"/>
          <w:sz w:val="32"/>
          <w:szCs w:val="32"/>
          <w:highlight w:val="none"/>
        </w:rPr>
        <w:t>、资格审查资料</w:t>
      </w:r>
    </w:p>
    <w:p w14:paraId="426977F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rPr>
        <w:t>一</w:t>
      </w: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rPr>
        <w:t>投标供应商基本情况表</w:t>
      </w:r>
    </w:p>
    <w:tbl>
      <w:tblPr>
        <w:tblStyle w:val="22"/>
        <w:tblW w:w="98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7"/>
        <w:gridCol w:w="1000"/>
        <w:gridCol w:w="1000"/>
        <w:gridCol w:w="1400"/>
        <w:gridCol w:w="202"/>
        <w:gridCol w:w="383"/>
        <w:gridCol w:w="1219"/>
        <w:gridCol w:w="400"/>
        <w:gridCol w:w="1337"/>
        <w:gridCol w:w="991"/>
      </w:tblGrid>
      <w:tr w14:paraId="511CE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1927" w:type="dxa"/>
            <w:vAlign w:val="center"/>
          </w:tcPr>
          <w:p w14:paraId="463ABC21">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投标供应商名称</w:t>
            </w:r>
          </w:p>
        </w:tc>
        <w:tc>
          <w:tcPr>
            <w:tcW w:w="7932" w:type="dxa"/>
            <w:gridSpan w:val="9"/>
            <w:vAlign w:val="center"/>
          </w:tcPr>
          <w:p w14:paraId="2762739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70991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5" w:hRule="atLeast"/>
          <w:jc w:val="center"/>
        </w:trPr>
        <w:tc>
          <w:tcPr>
            <w:tcW w:w="1927" w:type="dxa"/>
            <w:vAlign w:val="center"/>
          </w:tcPr>
          <w:p w14:paraId="7C370F2D">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注册地址</w:t>
            </w:r>
          </w:p>
        </w:tc>
        <w:tc>
          <w:tcPr>
            <w:tcW w:w="3985" w:type="dxa"/>
            <w:gridSpan w:val="5"/>
            <w:vAlign w:val="center"/>
          </w:tcPr>
          <w:p w14:paraId="45DF921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1219" w:type="dxa"/>
            <w:vAlign w:val="center"/>
          </w:tcPr>
          <w:p w14:paraId="38C208AF">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邮政编码</w:t>
            </w:r>
          </w:p>
        </w:tc>
        <w:tc>
          <w:tcPr>
            <w:tcW w:w="2728" w:type="dxa"/>
            <w:gridSpan w:val="3"/>
            <w:vAlign w:val="center"/>
          </w:tcPr>
          <w:p w14:paraId="14EF282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05756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1927" w:type="dxa"/>
            <w:vMerge w:val="restart"/>
            <w:tcBorders>
              <w:bottom w:val="nil"/>
            </w:tcBorders>
            <w:vAlign w:val="center"/>
          </w:tcPr>
          <w:p w14:paraId="3DBE3F3B">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联系方式</w:t>
            </w:r>
          </w:p>
        </w:tc>
        <w:tc>
          <w:tcPr>
            <w:tcW w:w="1000" w:type="dxa"/>
            <w:vAlign w:val="center"/>
          </w:tcPr>
          <w:p w14:paraId="51E56DC0">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联系人</w:t>
            </w:r>
          </w:p>
        </w:tc>
        <w:tc>
          <w:tcPr>
            <w:tcW w:w="2985" w:type="dxa"/>
            <w:gridSpan w:val="4"/>
            <w:vAlign w:val="center"/>
          </w:tcPr>
          <w:p w14:paraId="28869A3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1219" w:type="dxa"/>
            <w:vAlign w:val="center"/>
          </w:tcPr>
          <w:p w14:paraId="0034BB90">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电话</w:t>
            </w:r>
          </w:p>
        </w:tc>
        <w:tc>
          <w:tcPr>
            <w:tcW w:w="2728" w:type="dxa"/>
            <w:gridSpan w:val="3"/>
            <w:vAlign w:val="center"/>
          </w:tcPr>
          <w:p w14:paraId="01FE770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79720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1927" w:type="dxa"/>
            <w:vMerge w:val="continue"/>
            <w:tcBorders>
              <w:top w:val="nil"/>
            </w:tcBorders>
            <w:vAlign w:val="center"/>
          </w:tcPr>
          <w:p w14:paraId="2C323A1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1000" w:type="dxa"/>
            <w:vAlign w:val="center"/>
          </w:tcPr>
          <w:p w14:paraId="26592095">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传真</w:t>
            </w:r>
          </w:p>
        </w:tc>
        <w:tc>
          <w:tcPr>
            <w:tcW w:w="2985" w:type="dxa"/>
            <w:gridSpan w:val="4"/>
            <w:vAlign w:val="center"/>
          </w:tcPr>
          <w:p w14:paraId="3976EC7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1219" w:type="dxa"/>
            <w:vAlign w:val="center"/>
          </w:tcPr>
          <w:p w14:paraId="6E1D16CD">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网址</w:t>
            </w:r>
          </w:p>
        </w:tc>
        <w:tc>
          <w:tcPr>
            <w:tcW w:w="2728" w:type="dxa"/>
            <w:gridSpan w:val="3"/>
            <w:vAlign w:val="center"/>
          </w:tcPr>
          <w:p w14:paraId="287CDCA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04004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1927" w:type="dxa"/>
            <w:vAlign w:val="center"/>
          </w:tcPr>
          <w:p w14:paraId="215DEA55">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组织结构</w:t>
            </w:r>
          </w:p>
        </w:tc>
        <w:tc>
          <w:tcPr>
            <w:tcW w:w="7932" w:type="dxa"/>
            <w:gridSpan w:val="9"/>
            <w:vAlign w:val="center"/>
          </w:tcPr>
          <w:p w14:paraId="11890CE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3C6FA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1927" w:type="dxa"/>
            <w:vAlign w:val="center"/>
          </w:tcPr>
          <w:p w14:paraId="4AE44DCD">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w:t>
            </w:r>
          </w:p>
        </w:tc>
        <w:tc>
          <w:tcPr>
            <w:tcW w:w="1000" w:type="dxa"/>
            <w:vAlign w:val="center"/>
          </w:tcPr>
          <w:p w14:paraId="7CD633B4">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姓名</w:t>
            </w:r>
          </w:p>
        </w:tc>
        <w:tc>
          <w:tcPr>
            <w:tcW w:w="1000" w:type="dxa"/>
            <w:vAlign w:val="center"/>
          </w:tcPr>
          <w:p w14:paraId="70A972F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1602" w:type="dxa"/>
            <w:gridSpan w:val="2"/>
            <w:vAlign w:val="center"/>
          </w:tcPr>
          <w:p w14:paraId="670F64D2">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技术职称</w:t>
            </w:r>
          </w:p>
        </w:tc>
        <w:tc>
          <w:tcPr>
            <w:tcW w:w="2002" w:type="dxa"/>
            <w:gridSpan w:val="3"/>
            <w:vAlign w:val="center"/>
          </w:tcPr>
          <w:p w14:paraId="5FC3E31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1337" w:type="dxa"/>
            <w:vAlign w:val="center"/>
          </w:tcPr>
          <w:p w14:paraId="7AB2A4AD">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电话</w:t>
            </w:r>
          </w:p>
        </w:tc>
        <w:tc>
          <w:tcPr>
            <w:tcW w:w="991" w:type="dxa"/>
            <w:vAlign w:val="center"/>
          </w:tcPr>
          <w:p w14:paraId="7FECD0A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2978E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1927" w:type="dxa"/>
            <w:vAlign w:val="center"/>
          </w:tcPr>
          <w:p w14:paraId="149B276D">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技术负责人</w:t>
            </w:r>
          </w:p>
        </w:tc>
        <w:tc>
          <w:tcPr>
            <w:tcW w:w="1000" w:type="dxa"/>
            <w:vAlign w:val="center"/>
          </w:tcPr>
          <w:p w14:paraId="7DE0AF12">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姓名</w:t>
            </w:r>
          </w:p>
        </w:tc>
        <w:tc>
          <w:tcPr>
            <w:tcW w:w="1000" w:type="dxa"/>
            <w:vAlign w:val="center"/>
          </w:tcPr>
          <w:p w14:paraId="13D076E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1602" w:type="dxa"/>
            <w:gridSpan w:val="2"/>
            <w:vAlign w:val="center"/>
          </w:tcPr>
          <w:p w14:paraId="0C5DD4DE">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技术职称</w:t>
            </w:r>
          </w:p>
        </w:tc>
        <w:tc>
          <w:tcPr>
            <w:tcW w:w="2002" w:type="dxa"/>
            <w:gridSpan w:val="3"/>
            <w:vAlign w:val="center"/>
          </w:tcPr>
          <w:p w14:paraId="5C48747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1337" w:type="dxa"/>
            <w:vAlign w:val="center"/>
          </w:tcPr>
          <w:p w14:paraId="484C54D4">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电话</w:t>
            </w:r>
          </w:p>
        </w:tc>
        <w:tc>
          <w:tcPr>
            <w:tcW w:w="991" w:type="dxa"/>
            <w:vAlign w:val="center"/>
          </w:tcPr>
          <w:p w14:paraId="16C263C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48B24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1927" w:type="dxa"/>
            <w:vAlign w:val="center"/>
          </w:tcPr>
          <w:p w14:paraId="568F5FAD">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成立时间</w:t>
            </w:r>
          </w:p>
        </w:tc>
        <w:tc>
          <w:tcPr>
            <w:tcW w:w="2000" w:type="dxa"/>
            <w:gridSpan w:val="2"/>
            <w:vAlign w:val="center"/>
          </w:tcPr>
          <w:p w14:paraId="34ADFC8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5932" w:type="dxa"/>
            <w:gridSpan w:val="7"/>
            <w:vAlign w:val="center"/>
          </w:tcPr>
          <w:p w14:paraId="08EBEDFB">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员工总人数：</w:t>
            </w:r>
          </w:p>
        </w:tc>
      </w:tr>
      <w:tr w14:paraId="6A2B2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1927" w:type="dxa"/>
            <w:vAlign w:val="center"/>
          </w:tcPr>
          <w:p w14:paraId="02940CA7">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企业资质等级</w:t>
            </w:r>
          </w:p>
        </w:tc>
        <w:tc>
          <w:tcPr>
            <w:tcW w:w="2000" w:type="dxa"/>
            <w:gridSpan w:val="2"/>
            <w:vAlign w:val="center"/>
          </w:tcPr>
          <w:p w14:paraId="2295D63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1400" w:type="dxa"/>
            <w:vMerge w:val="restart"/>
            <w:tcBorders>
              <w:bottom w:val="nil"/>
            </w:tcBorders>
            <w:vAlign w:val="center"/>
          </w:tcPr>
          <w:p w14:paraId="6A05BE5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1C70F53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3BD310D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018831ED">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其中</w:t>
            </w:r>
          </w:p>
        </w:tc>
        <w:tc>
          <w:tcPr>
            <w:tcW w:w="2204" w:type="dxa"/>
            <w:gridSpan w:val="4"/>
            <w:vAlign w:val="center"/>
          </w:tcPr>
          <w:p w14:paraId="60A8F209">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p>
        </w:tc>
        <w:tc>
          <w:tcPr>
            <w:tcW w:w="2328" w:type="dxa"/>
            <w:gridSpan w:val="2"/>
            <w:vAlign w:val="center"/>
          </w:tcPr>
          <w:p w14:paraId="7282335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63F55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1927" w:type="dxa"/>
            <w:vAlign w:val="center"/>
          </w:tcPr>
          <w:p w14:paraId="2182E68B">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营业执照号</w:t>
            </w:r>
          </w:p>
        </w:tc>
        <w:tc>
          <w:tcPr>
            <w:tcW w:w="2000" w:type="dxa"/>
            <w:gridSpan w:val="2"/>
            <w:vAlign w:val="center"/>
          </w:tcPr>
          <w:p w14:paraId="5AD5EFC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1400" w:type="dxa"/>
            <w:vMerge w:val="continue"/>
            <w:tcBorders>
              <w:top w:val="nil"/>
              <w:bottom w:val="nil"/>
            </w:tcBorders>
            <w:vAlign w:val="center"/>
          </w:tcPr>
          <w:p w14:paraId="23C066D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2204" w:type="dxa"/>
            <w:gridSpan w:val="4"/>
            <w:vAlign w:val="center"/>
          </w:tcPr>
          <w:p w14:paraId="4F896E18">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高级职称人员</w:t>
            </w:r>
          </w:p>
        </w:tc>
        <w:tc>
          <w:tcPr>
            <w:tcW w:w="2328" w:type="dxa"/>
            <w:gridSpan w:val="2"/>
            <w:vAlign w:val="center"/>
          </w:tcPr>
          <w:p w14:paraId="3F73646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5DF67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1927" w:type="dxa"/>
            <w:vAlign w:val="center"/>
          </w:tcPr>
          <w:p w14:paraId="2B728AAE">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注册资金</w:t>
            </w:r>
          </w:p>
        </w:tc>
        <w:tc>
          <w:tcPr>
            <w:tcW w:w="2000" w:type="dxa"/>
            <w:gridSpan w:val="2"/>
            <w:vAlign w:val="center"/>
          </w:tcPr>
          <w:p w14:paraId="3D8169C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1400" w:type="dxa"/>
            <w:vMerge w:val="continue"/>
            <w:tcBorders>
              <w:top w:val="nil"/>
              <w:bottom w:val="nil"/>
            </w:tcBorders>
            <w:vAlign w:val="center"/>
          </w:tcPr>
          <w:p w14:paraId="5CF5336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2204" w:type="dxa"/>
            <w:gridSpan w:val="4"/>
            <w:vAlign w:val="center"/>
          </w:tcPr>
          <w:p w14:paraId="4033412F">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中级职称人员</w:t>
            </w:r>
          </w:p>
        </w:tc>
        <w:tc>
          <w:tcPr>
            <w:tcW w:w="2328" w:type="dxa"/>
            <w:gridSpan w:val="2"/>
            <w:vAlign w:val="center"/>
          </w:tcPr>
          <w:p w14:paraId="2A411FA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76945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1927" w:type="dxa"/>
            <w:vAlign w:val="center"/>
          </w:tcPr>
          <w:p w14:paraId="1A534C1B">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开户银行</w:t>
            </w:r>
          </w:p>
        </w:tc>
        <w:tc>
          <w:tcPr>
            <w:tcW w:w="2000" w:type="dxa"/>
            <w:gridSpan w:val="2"/>
            <w:vAlign w:val="center"/>
          </w:tcPr>
          <w:p w14:paraId="0397BB1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1400" w:type="dxa"/>
            <w:vMerge w:val="continue"/>
            <w:tcBorders>
              <w:top w:val="nil"/>
              <w:bottom w:val="nil"/>
            </w:tcBorders>
            <w:vAlign w:val="center"/>
          </w:tcPr>
          <w:p w14:paraId="5D462B4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2204" w:type="dxa"/>
            <w:gridSpan w:val="4"/>
            <w:vAlign w:val="center"/>
          </w:tcPr>
          <w:p w14:paraId="3D0F0454">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初级职称人员</w:t>
            </w:r>
          </w:p>
        </w:tc>
        <w:tc>
          <w:tcPr>
            <w:tcW w:w="2328" w:type="dxa"/>
            <w:gridSpan w:val="2"/>
            <w:vAlign w:val="center"/>
          </w:tcPr>
          <w:p w14:paraId="01AC9BE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09923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1927" w:type="dxa"/>
            <w:vAlign w:val="center"/>
          </w:tcPr>
          <w:p w14:paraId="13B5D2D6">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账号</w:t>
            </w:r>
          </w:p>
        </w:tc>
        <w:tc>
          <w:tcPr>
            <w:tcW w:w="2000" w:type="dxa"/>
            <w:gridSpan w:val="2"/>
            <w:vAlign w:val="center"/>
          </w:tcPr>
          <w:p w14:paraId="7A9E8C3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1400" w:type="dxa"/>
            <w:vMerge w:val="continue"/>
            <w:tcBorders>
              <w:top w:val="nil"/>
            </w:tcBorders>
            <w:vAlign w:val="center"/>
          </w:tcPr>
          <w:p w14:paraId="4CD6285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2204" w:type="dxa"/>
            <w:gridSpan w:val="4"/>
            <w:vAlign w:val="center"/>
          </w:tcPr>
          <w:p w14:paraId="1E895AEE">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技工</w:t>
            </w:r>
          </w:p>
        </w:tc>
        <w:tc>
          <w:tcPr>
            <w:tcW w:w="2328" w:type="dxa"/>
            <w:gridSpan w:val="2"/>
            <w:vAlign w:val="center"/>
          </w:tcPr>
          <w:p w14:paraId="10CC710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25A9A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3" w:hRule="atLeast"/>
          <w:jc w:val="center"/>
        </w:trPr>
        <w:tc>
          <w:tcPr>
            <w:tcW w:w="1927" w:type="dxa"/>
            <w:vAlign w:val="center"/>
          </w:tcPr>
          <w:p w14:paraId="7B3B32E9">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经营范围</w:t>
            </w:r>
          </w:p>
        </w:tc>
        <w:tc>
          <w:tcPr>
            <w:tcW w:w="7932" w:type="dxa"/>
            <w:gridSpan w:val="9"/>
            <w:vAlign w:val="center"/>
          </w:tcPr>
          <w:p w14:paraId="3E3C865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4C886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0" w:hRule="atLeast"/>
          <w:jc w:val="center"/>
        </w:trPr>
        <w:tc>
          <w:tcPr>
            <w:tcW w:w="1927" w:type="dxa"/>
            <w:vAlign w:val="center"/>
          </w:tcPr>
          <w:p w14:paraId="0355AC24">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备注</w:t>
            </w:r>
          </w:p>
        </w:tc>
        <w:tc>
          <w:tcPr>
            <w:tcW w:w="7932" w:type="dxa"/>
            <w:gridSpan w:val="9"/>
            <w:vAlign w:val="center"/>
          </w:tcPr>
          <w:p w14:paraId="5515049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bl>
    <w:p w14:paraId="407C077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后附有效营业执照副本、资质证书、安全生产许可证、开户许可信息等材料复印件加盖公章。供应商在国家企业信用信息公示系统中基础信息（体现股东及出资详细信息）的网页截图或由法定的社会验资机构出具的验资报告或注册地工商部门出具的股东出资情况证明复印件加盖公章。</w:t>
      </w:r>
    </w:p>
    <w:p w14:paraId="55E38A0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0"/>
          <w:szCs w:val="20"/>
          <w:highlight w:val="none"/>
        </w:rPr>
        <w:sectPr>
          <w:footerReference r:id="rId18" w:type="default"/>
          <w:pgSz w:w="11906" w:h="16839"/>
          <w:pgMar w:top="1440" w:right="1080" w:bottom="1440" w:left="1080" w:header="0" w:footer="994" w:gutter="0"/>
          <w:pgNumType w:fmt="decimal"/>
          <w:cols w:space="720" w:num="1"/>
        </w:sectPr>
      </w:pPr>
    </w:p>
    <w:p w14:paraId="0506912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8"/>
          <w:szCs w:val="28"/>
          <w:highlight w:val="none"/>
        </w:rPr>
      </w:pPr>
      <w:r>
        <w:rPr>
          <w:rFonts w:hint="eastAsia" w:ascii="宋体" w:hAnsi="宋体" w:eastAsia="宋体" w:cs="宋体"/>
          <w:b/>
          <w:bCs/>
          <w:color w:val="auto"/>
          <w:spacing w:val="0"/>
          <w:sz w:val="28"/>
          <w:szCs w:val="28"/>
          <w:highlight w:val="none"/>
        </w:rPr>
        <w:t>附：</w:t>
      </w:r>
    </w:p>
    <w:p w14:paraId="6A312CC7">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8"/>
          <w:szCs w:val="28"/>
          <w:highlight w:val="none"/>
        </w:rPr>
      </w:pPr>
    </w:p>
    <w:p w14:paraId="6F85FE6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8"/>
          <w:szCs w:val="28"/>
          <w:highlight w:val="none"/>
        </w:rPr>
      </w:pPr>
      <w:r>
        <w:rPr>
          <w:rFonts w:hint="eastAsia" w:ascii="宋体" w:hAnsi="宋体" w:eastAsia="宋体" w:cs="宋体"/>
          <w:b/>
          <w:bCs/>
          <w:color w:val="auto"/>
          <w:spacing w:val="0"/>
          <w:sz w:val="28"/>
          <w:szCs w:val="28"/>
          <w:highlight w:val="none"/>
        </w:rPr>
        <w:t>供应商关联单位的说明</w:t>
      </w:r>
    </w:p>
    <w:p w14:paraId="0192331D">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4CCBA36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说明：供应商应当如实披露与本单位存在下列关联关系的单位名称：</w:t>
      </w:r>
    </w:p>
    <w:p w14:paraId="4F337B8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（1）与供应商单位法定代表人（或非法人组织负责人）为同一人的其他单位；</w:t>
      </w:r>
    </w:p>
    <w:p w14:paraId="298401B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（2）与供应商存在直接控股、管理关系的其他单位。</w:t>
      </w:r>
    </w:p>
    <w:p w14:paraId="4469399F">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4F7B57F2">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59F0853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注：若无此情形，写“无”即可</w:t>
      </w:r>
    </w:p>
    <w:p w14:paraId="1CC96B8B">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2AA06654">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0A7549F7">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2D89E69C">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21EF6A04">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680A55A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供应商名称</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加盖单位公章</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w:t>
      </w:r>
    </w:p>
    <w:p w14:paraId="076116C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hanging="35"/>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法定代表人（或非法人组织负责人）或其授权委托人</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签字或盖章</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w:t>
      </w:r>
    </w:p>
    <w:p w14:paraId="50F8F1C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hanging="35"/>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日期:</w:t>
      </w:r>
    </w:p>
    <w:p w14:paraId="3A31D2B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hanging="35"/>
        <w:textAlignment w:val="baseline"/>
        <w:rPr>
          <w:rFonts w:hint="eastAsia" w:ascii="宋体" w:hAnsi="宋体" w:eastAsia="宋体" w:cs="宋体"/>
          <w:color w:val="auto"/>
          <w:spacing w:val="0"/>
          <w:sz w:val="20"/>
          <w:szCs w:val="20"/>
          <w:highlight w:val="none"/>
        </w:rPr>
      </w:pPr>
    </w:p>
    <w:p w14:paraId="7ABFA36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0"/>
          <w:szCs w:val="20"/>
          <w:highlight w:val="none"/>
        </w:rPr>
        <w:sectPr>
          <w:footerReference r:id="rId19" w:type="default"/>
          <w:pgSz w:w="11906" w:h="16839"/>
          <w:pgMar w:top="1440" w:right="1080" w:bottom="1440" w:left="1080" w:header="0" w:footer="994" w:gutter="0"/>
          <w:pgNumType w:fmt="decimal"/>
          <w:cols w:space="720" w:num="1"/>
        </w:sectPr>
      </w:pPr>
    </w:p>
    <w:p w14:paraId="28E27F5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32"/>
          <w:szCs w:val="32"/>
          <w:highlight w:val="none"/>
        </w:rPr>
      </w:pPr>
      <w:r>
        <w:rPr>
          <w:rFonts w:hint="eastAsia" w:ascii="宋体" w:hAnsi="宋体" w:eastAsia="宋体" w:cs="宋体"/>
          <w:b/>
          <w:bCs/>
          <w:color w:val="auto"/>
          <w:spacing w:val="0"/>
          <w:sz w:val="32"/>
          <w:szCs w:val="32"/>
          <w:highlight w:val="none"/>
        </w:rPr>
        <w:t>（二）中小企业声明函（工程）</w:t>
      </w:r>
    </w:p>
    <w:p w14:paraId="2A07D448">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2240CDC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21"/>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pacing w:val="0"/>
          <w:sz w:val="24"/>
          <w:szCs w:val="24"/>
          <w:highlight w:val="none"/>
          <w:u w:val="single" w:color="auto"/>
        </w:rPr>
        <w:t>（单位名称）</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u w:val="single" w:color="auto"/>
        </w:rPr>
        <w:t>（项目名称）</w:t>
      </w:r>
      <w:r>
        <w:rPr>
          <w:rFonts w:hint="eastAsia" w:ascii="宋体" w:hAnsi="宋体" w:eastAsia="宋体" w:cs="宋体"/>
          <w:color w:val="auto"/>
          <w:spacing w:val="0"/>
          <w:sz w:val="24"/>
          <w:szCs w:val="24"/>
          <w:highlight w:val="none"/>
        </w:rPr>
        <w:t>采购活动，工程的施工单位全部为符合政策要求的中小企业（或者：服务全部由符合政策要求的中小企业承接）。相关企业（含联合体中的  中小企业、签订分包意向协议的中小企业）的具体情况如下：</w:t>
      </w:r>
    </w:p>
    <w:p w14:paraId="5028800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7"/>
        <w:jc w:val="both"/>
        <w:textAlignment w:val="baseline"/>
        <w:rPr>
          <w:rFonts w:hint="eastAsia" w:ascii="宋体" w:hAnsi="宋体" w:eastAsia="宋体" w:cs="宋体"/>
          <w:color w:val="auto"/>
          <w:spacing w:val="0"/>
          <w:w w:val="95"/>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u w:val="single" w:color="auto"/>
        </w:rPr>
        <w:t xml:space="preserve"> （标的名称）</w:t>
      </w:r>
      <w:r>
        <w:rPr>
          <w:rFonts w:hint="eastAsia" w:ascii="宋体" w:hAnsi="宋体" w:eastAsia="宋体" w:cs="宋体"/>
          <w:color w:val="auto"/>
          <w:spacing w:val="0"/>
          <w:sz w:val="24"/>
          <w:szCs w:val="24"/>
          <w:highlight w:val="none"/>
        </w:rPr>
        <w:t xml:space="preserve"> ，属于</w:t>
      </w:r>
      <w:r>
        <w:rPr>
          <w:rFonts w:hint="eastAsia" w:ascii="宋体" w:hAnsi="宋体" w:eastAsia="宋体" w:cs="宋体"/>
          <w:color w:val="auto"/>
          <w:spacing w:val="0"/>
          <w:sz w:val="24"/>
          <w:szCs w:val="24"/>
          <w:highlight w:val="none"/>
          <w:u w:val="single" w:color="auto"/>
        </w:rPr>
        <w:t>（磋商文件中明确的所属行业）</w:t>
      </w:r>
      <w:r>
        <w:rPr>
          <w:rFonts w:hint="eastAsia" w:ascii="宋体" w:hAnsi="宋体" w:eastAsia="宋体" w:cs="宋体"/>
          <w:color w:val="auto"/>
          <w:spacing w:val="0"/>
          <w:sz w:val="24"/>
          <w:szCs w:val="24"/>
          <w:highlight w:val="none"/>
        </w:rPr>
        <w:t>；承建（承接）企业为</w:t>
      </w:r>
      <w:r>
        <w:rPr>
          <w:rFonts w:hint="eastAsia" w:ascii="宋体" w:hAnsi="宋体" w:eastAsia="宋体" w:cs="宋体"/>
          <w:color w:val="auto"/>
          <w:spacing w:val="0"/>
          <w:sz w:val="24"/>
          <w:szCs w:val="24"/>
          <w:highlight w:val="none"/>
          <w:u w:val="single" w:color="auto"/>
        </w:rPr>
        <w:t>（企业名称）</w:t>
      </w:r>
      <w:r>
        <w:rPr>
          <w:rFonts w:hint="eastAsia" w:ascii="宋体" w:hAnsi="宋体" w:eastAsia="宋体" w:cs="宋体"/>
          <w:color w:val="auto"/>
          <w:spacing w:val="0"/>
          <w:sz w:val="24"/>
          <w:szCs w:val="24"/>
          <w:highlight w:val="none"/>
        </w:rPr>
        <w:t xml:space="preserve">，从业人员 </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人，营业收入为</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 xml:space="preserve"> 万元，资产总额为</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 xml:space="preserve"> 万元，属于（</w:t>
      </w:r>
      <w:r>
        <w:rPr>
          <w:rFonts w:hint="eastAsia" w:ascii="宋体" w:hAnsi="宋体" w:eastAsia="宋体" w:cs="宋体"/>
          <w:color w:val="auto"/>
          <w:spacing w:val="0"/>
          <w:sz w:val="24"/>
          <w:szCs w:val="24"/>
          <w:highlight w:val="none"/>
          <w:u w:val="single" w:color="auto"/>
        </w:rPr>
        <w:t>中型企业、小型企业、微型企业</w:t>
      </w:r>
      <w:r>
        <w:rPr>
          <w:rFonts w:hint="eastAsia" w:ascii="宋体" w:hAnsi="宋体" w:eastAsia="宋体" w:cs="宋体"/>
          <w:color w:val="auto"/>
          <w:spacing w:val="0"/>
          <w:w w:val="95"/>
          <w:sz w:val="24"/>
          <w:szCs w:val="24"/>
          <w:highlight w:val="none"/>
        </w:rPr>
        <w:t>）；</w:t>
      </w:r>
    </w:p>
    <w:p w14:paraId="3900FC9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7"/>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  </w:t>
      </w:r>
      <w:r>
        <w:rPr>
          <w:rFonts w:hint="eastAsia" w:ascii="宋体" w:hAnsi="宋体" w:eastAsia="宋体" w:cs="宋体"/>
          <w:color w:val="auto"/>
          <w:spacing w:val="0"/>
          <w:sz w:val="24"/>
          <w:szCs w:val="24"/>
          <w:highlight w:val="none"/>
          <w:u w:val="single" w:color="auto"/>
        </w:rPr>
        <w:t xml:space="preserve">（标的名称） </w:t>
      </w:r>
      <w:r>
        <w:rPr>
          <w:rFonts w:hint="eastAsia" w:ascii="宋体" w:hAnsi="宋体" w:eastAsia="宋体" w:cs="宋体"/>
          <w:color w:val="auto"/>
          <w:spacing w:val="0"/>
          <w:sz w:val="24"/>
          <w:szCs w:val="24"/>
          <w:highlight w:val="none"/>
        </w:rPr>
        <w:t xml:space="preserve"> ，属于</w:t>
      </w:r>
      <w:r>
        <w:rPr>
          <w:rFonts w:hint="eastAsia" w:ascii="宋体" w:hAnsi="宋体" w:eastAsia="宋体" w:cs="宋体"/>
          <w:color w:val="auto"/>
          <w:spacing w:val="0"/>
          <w:sz w:val="24"/>
          <w:szCs w:val="24"/>
          <w:highlight w:val="none"/>
          <w:u w:val="single" w:color="auto"/>
        </w:rPr>
        <w:t>（磋商文件中明确的所属行业）</w:t>
      </w:r>
      <w:r>
        <w:rPr>
          <w:rFonts w:hint="eastAsia" w:ascii="宋体" w:hAnsi="宋体" w:eastAsia="宋体" w:cs="宋体"/>
          <w:color w:val="auto"/>
          <w:spacing w:val="0"/>
          <w:sz w:val="24"/>
          <w:szCs w:val="24"/>
          <w:highlight w:val="none"/>
        </w:rPr>
        <w:t>；承建（承接）企业为</w:t>
      </w:r>
      <w:r>
        <w:rPr>
          <w:rFonts w:hint="eastAsia" w:ascii="宋体" w:hAnsi="宋体" w:eastAsia="宋体" w:cs="宋体"/>
          <w:color w:val="auto"/>
          <w:spacing w:val="0"/>
          <w:sz w:val="24"/>
          <w:szCs w:val="24"/>
          <w:highlight w:val="none"/>
          <w:u w:val="single" w:color="auto"/>
        </w:rPr>
        <w:t>（企业名称）</w:t>
      </w:r>
      <w:r>
        <w:rPr>
          <w:rFonts w:hint="eastAsia" w:ascii="宋体" w:hAnsi="宋体" w:eastAsia="宋体" w:cs="宋体"/>
          <w:color w:val="auto"/>
          <w:spacing w:val="0"/>
          <w:sz w:val="24"/>
          <w:szCs w:val="24"/>
          <w:highlight w:val="none"/>
        </w:rPr>
        <w:t xml:space="preserve">，从业人员 </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 xml:space="preserve"> 人，营业收入为</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 xml:space="preserve"> 万元，资产总额为</w:t>
      </w:r>
      <w:r>
        <w:rPr>
          <w:rFonts w:hint="eastAsia" w:ascii="宋体" w:hAnsi="宋体" w:eastAsia="宋体" w:cs="宋体"/>
          <w:color w:val="auto"/>
          <w:spacing w:val="0"/>
          <w:sz w:val="24"/>
          <w:szCs w:val="24"/>
          <w:highlight w:val="none"/>
          <w:u w:val="single" w:color="auto"/>
        </w:rPr>
        <w:t xml:space="preserve">     </w:t>
      </w:r>
      <w:r>
        <w:rPr>
          <w:rFonts w:hint="eastAsia" w:ascii="宋体" w:hAnsi="宋体" w:eastAsia="宋体" w:cs="宋体"/>
          <w:color w:val="auto"/>
          <w:spacing w:val="0"/>
          <w:sz w:val="24"/>
          <w:szCs w:val="24"/>
          <w:highlight w:val="none"/>
        </w:rPr>
        <w:t xml:space="preserve"> 万元，属于</w:t>
      </w:r>
      <w:r>
        <w:rPr>
          <w:rFonts w:hint="eastAsia" w:ascii="宋体" w:hAnsi="宋体" w:eastAsia="宋体" w:cs="宋体"/>
          <w:color w:val="auto"/>
          <w:spacing w:val="0"/>
          <w:sz w:val="24"/>
          <w:szCs w:val="24"/>
          <w:highlight w:val="none"/>
          <w:u w:val="single" w:color="auto"/>
        </w:rPr>
        <w:t>（中型企业、小型企业、微型企业</w:t>
      </w:r>
      <w:r>
        <w:rPr>
          <w:rFonts w:hint="eastAsia" w:ascii="宋体" w:hAnsi="宋体" w:eastAsia="宋体" w:cs="宋体"/>
          <w:color w:val="auto"/>
          <w:spacing w:val="0"/>
          <w:w w:val="89"/>
          <w:sz w:val="24"/>
          <w:szCs w:val="24"/>
          <w:highlight w:val="none"/>
          <w:u w:val="single" w:color="auto"/>
        </w:rPr>
        <w:t>）</w:t>
      </w:r>
      <w:r>
        <w:rPr>
          <w:rFonts w:hint="eastAsia" w:ascii="宋体" w:hAnsi="宋体" w:eastAsia="宋体" w:cs="宋体"/>
          <w:color w:val="auto"/>
          <w:spacing w:val="0"/>
          <w:w w:val="89"/>
          <w:sz w:val="24"/>
          <w:szCs w:val="24"/>
          <w:highlight w:val="none"/>
        </w:rPr>
        <w:t>；</w:t>
      </w:r>
    </w:p>
    <w:p w14:paraId="1B3AB3B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1"/>
          <w:sz w:val="24"/>
          <w:szCs w:val="24"/>
          <w:highlight w:val="none"/>
        </w:rPr>
        <w:t>……</w:t>
      </w:r>
    </w:p>
    <w:p w14:paraId="6DCB6D4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36"/>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74A8E5AE">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1A7B6E1C">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5A16F0D2">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24E0EEE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企业名称（盖章）：</w:t>
      </w:r>
    </w:p>
    <w:p w14:paraId="2211732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outlineLvl w:val="0"/>
        <w:rPr>
          <w:rFonts w:hint="eastAsia" w:ascii="宋体" w:hAnsi="宋体" w:eastAsia="宋体" w:cs="宋体"/>
          <w:color w:val="auto"/>
          <w:spacing w:val="0"/>
          <w:sz w:val="24"/>
          <w:szCs w:val="24"/>
          <w:highlight w:val="none"/>
        </w:rPr>
      </w:pPr>
      <w:bookmarkStart w:id="419" w:name="_Toc20673"/>
      <w:bookmarkStart w:id="420" w:name="_Toc27767"/>
      <w:bookmarkStart w:id="421" w:name="_Toc32482"/>
      <w:r>
        <w:rPr>
          <w:rFonts w:hint="eastAsia" w:ascii="宋体" w:hAnsi="宋体" w:eastAsia="宋体" w:cs="宋体"/>
          <w:color w:val="auto"/>
          <w:spacing w:val="0"/>
          <w:sz w:val="24"/>
          <w:szCs w:val="24"/>
          <w:highlight w:val="none"/>
        </w:rPr>
        <w:t>日期：</w:t>
      </w:r>
      <w:bookmarkEnd w:id="419"/>
      <w:bookmarkEnd w:id="420"/>
      <w:bookmarkEnd w:id="421"/>
    </w:p>
    <w:p w14:paraId="2F611B4F">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7FBC61C8">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78870F79">
      <w:pPr>
        <w:rPr>
          <w:rFonts w:hint="eastAsia"/>
          <w:color w:val="auto"/>
        </w:rPr>
      </w:pPr>
    </w:p>
    <w:p w14:paraId="13C1569C">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7CCB82B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注：从业人员、营业收入、资产总额填报上一年度数据，无上一年度数据的新成立企业可不填报。</w:t>
      </w:r>
    </w:p>
    <w:p w14:paraId="299771A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sectPr>
          <w:footerReference r:id="rId20" w:type="default"/>
          <w:pgSz w:w="11906" w:h="16839"/>
          <w:pgMar w:top="1440" w:right="1080" w:bottom="1440" w:left="1080" w:header="0" w:footer="994" w:gutter="0"/>
          <w:pgNumType w:fmt="decimal"/>
          <w:cols w:space="720" w:num="1"/>
        </w:sectPr>
      </w:pPr>
    </w:p>
    <w:p w14:paraId="6598233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32"/>
          <w:szCs w:val="32"/>
          <w:highlight w:val="none"/>
        </w:rPr>
      </w:pPr>
      <w:r>
        <w:rPr>
          <w:rFonts w:hint="eastAsia" w:ascii="宋体" w:hAnsi="宋体" w:eastAsia="宋体" w:cs="宋体"/>
          <w:b/>
          <w:bCs/>
          <w:color w:val="auto"/>
          <w:spacing w:val="0"/>
          <w:sz w:val="32"/>
          <w:szCs w:val="32"/>
          <w:highlight w:val="none"/>
        </w:rPr>
        <w:t>监狱企业证明材料（如是，请提供）</w:t>
      </w:r>
    </w:p>
    <w:p w14:paraId="40E49DD3">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3954F925">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5F400005">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6E9352FD">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4D967F23">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3267A6D9">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111D7417">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5F6EA63F">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19A77A13">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484351B7">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1CD9A303">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016B6C97">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58C6497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企业名称（公章）：</w:t>
      </w:r>
    </w:p>
    <w:p w14:paraId="0BAF97BE">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2FE4A68B">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572C873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日期：</w:t>
      </w:r>
    </w:p>
    <w:p w14:paraId="7FB70294">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0DEB9555">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3516CAE2">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00DF7B7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2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备注：若有，后附行政主管部门出具的证明材料原件扫描件，并在开标前将证明材料原件提交给 采购代理机构收存，评标时提交评标委员会进行审查，否则不给予价格扣除。</w:t>
      </w:r>
    </w:p>
    <w:p w14:paraId="7B8A77F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sectPr>
          <w:footerReference r:id="rId21" w:type="default"/>
          <w:pgSz w:w="11906" w:h="16839"/>
          <w:pgMar w:top="1440" w:right="1080" w:bottom="1440" w:left="1080" w:header="0" w:footer="994" w:gutter="0"/>
          <w:pgNumType w:fmt="decimal"/>
          <w:cols w:space="720" w:num="1"/>
        </w:sectPr>
      </w:pPr>
    </w:p>
    <w:p w14:paraId="113E924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32"/>
          <w:szCs w:val="32"/>
          <w:highlight w:val="none"/>
        </w:rPr>
      </w:pPr>
      <w:r>
        <w:rPr>
          <w:rFonts w:hint="eastAsia" w:ascii="宋体" w:hAnsi="宋体" w:eastAsia="宋体" w:cs="宋体"/>
          <w:b/>
          <w:bCs/>
          <w:color w:val="auto"/>
          <w:spacing w:val="0"/>
          <w:sz w:val="32"/>
          <w:szCs w:val="32"/>
          <w:highlight w:val="none"/>
        </w:rPr>
        <w:t>残疾人福利性单位声明函（如是，请提供）</w:t>
      </w:r>
    </w:p>
    <w:p w14:paraId="0476ED0C">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36514861">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3A04D23C">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06A865B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44"/>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提供服务），或者提供其他残疾人福利性单位制造的货物（不包括使用非残疾人福利性单位注册商标的货物）。</w:t>
      </w:r>
    </w:p>
    <w:p w14:paraId="4028A7D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本单位对上述声明的真实性负责。如有虚假，将依法承担相应责任。</w:t>
      </w:r>
    </w:p>
    <w:p w14:paraId="480C6F87">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0F97B87B">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78E52418">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3CB521DD">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065DFA74">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500BE28F">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38AA3F2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企业名称（公章）：</w:t>
      </w:r>
    </w:p>
    <w:p w14:paraId="584AFC85">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23C4881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日期：</w:t>
      </w:r>
    </w:p>
    <w:p w14:paraId="30224F8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sectPr>
          <w:footerReference r:id="rId22" w:type="default"/>
          <w:pgSz w:w="11906" w:h="16839"/>
          <w:pgMar w:top="1440" w:right="1080" w:bottom="1440" w:left="1080" w:header="0" w:footer="994" w:gutter="0"/>
          <w:pgNumType w:fmt="decimal"/>
          <w:cols w:space="720" w:num="1"/>
        </w:sectPr>
      </w:pPr>
    </w:p>
    <w:p w14:paraId="08A69755">
      <w:pPr>
        <w:pageBreakBefore w:val="0"/>
        <w:widowControl/>
        <w:numPr>
          <w:ilvl w:val="0"/>
          <w:numId w:val="0"/>
        </w:numPr>
        <w:kinsoku/>
        <w:wordWrap w:val="0"/>
        <w:overflowPunct/>
        <w:topLinePunct w:val="0"/>
        <w:autoSpaceDE w:val="0"/>
        <w:autoSpaceDN w:val="0"/>
        <w:bidi w:val="0"/>
        <w:adjustRightInd w:val="0"/>
        <w:snapToGrid w:val="0"/>
        <w:spacing w:before="0" w:beforeLines="20" w:after="0" w:afterLines="20" w:line="360" w:lineRule="auto"/>
        <w:ind w:right="0" w:rightChars="0"/>
        <w:jc w:val="center"/>
        <w:textAlignment w:val="baseline"/>
        <w:rPr>
          <w:rFonts w:hint="eastAsia" w:ascii="宋体" w:hAnsi="宋体" w:eastAsia="宋体" w:cs="宋体"/>
          <w:b/>
          <w:bCs/>
          <w:color w:val="auto"/>
          <w:spacing w:val="0"/>
          <w:sz w:val="32"/>
          <w:szCs w:val="32"/>
          <w:highlight w:val="none"/>
          <w:lang w:eastAsia="zh-CN"/>
        </w:rPr>
      </w:pPr>
    </w:p>
    <w:p w14:paraId="2C45CBF0">
      <w:pPr>
        <w:pageBreakBefore w:val="0"/>
        <w:widowControl/>
        <w:numPr>
          <w:ilvl w:val="0"/>
          <w:numId w:val="0"/>
        </w:numPr>
        <w:kinsoku/>
        <w:wordWrap w:val="0"/>
        <w:overflowPunct/>
        <w:topLinePunct w:val="0"/>
        <w:autoSpaceDE w:val="0"/>
        <w:autoSpaceDN w:val="0"/>
        <w:bidi w:val="0"/>
        <w:adjustRightInd w:val="0"/>
        <w:snapToGrid w:val="0"/>
        <w:spacing w:before="0" w:beforeLines="20" w:after="0" w:afterLines="20" w:line="360" w:lineRule="auto"/>
        <w:ind w:right="0" w:rightChars="0"/>
        <w:jc w:val="center"/>
        <w:textAlignment w:val="baseline"/>
        <w:rPr>
          <w:rFonts w:hint="eastAsia" w:ascii="宋体" w:hAnsi="宋体" w:eastAsia="宋体" w:cs="宋体"/>
          <w:b/>
          <w:bCs/>
          <w:color w:val="auto"/>
          <w:spacing w:val="0"/>
          <w:sz w:val="32"/>
          <w:szCs w:val="32"/>
          <w:highlight w:val="none"/>
          <w:lang w:eastAsia="zh-CN"/>
        </w:rPr>
      </w:pPr>
    </w:p>
    <w:p w14:paraId="1EBCED2E">
      <w:pPr>
        <w:pageBreakBefore w:val="0"/>
        <w:widowControl/>
        <w:numPr>
          <w:ilvl w:val="0"/>
          <w:numId w:val="0"/>
        </w:numPr>
        <w:kinsoku/>
        <w:wordWrap w:val="0"/>
        <w:overflowPunct/>
        <w:topLinePunct w:val="0"/>
        <w:autoSpaceDE w:val="0"/>
        <w:autoSpaceDN w:val="0"/>
        <w:bidi w:val="0"/>
        <w:adjustRightInd w:val="0"/>
        <w:snapToGrid w:val="0"/>
        <w:spacing w:before="0" w:beforeLines="20" w:after="0" w:afterLines="20" w:line="360" w:lineRule="auto"/>
        <w:ind w:right="0" w:rightChars="0"/>
        <w:jc w:val="center"/>
        <w:textAlignment w:val="baseline"/>
        <w:rPr>
          <w:rFonts w:hint="eastAsia" w:ascii="宋体" w:hAnsi="宋体" w:eastAsia="宋体" w:cs="宋体"/>
          <w:b/>
          <w:bCs/>
          <w:color w:val="auto"/>
          <w:spacing w:val="0"/>
          <w:sz w:val="32"/>
          <w:szCs w:val="32"/>
          <w:highlight w:val="none"/>
        </w:rPr>
      </w:pPr>
      <w:r>
        <w:rPr>
          <w:rFonts w:hint="eastAsia" w:ascii="宋体" w:hAnsi="宋体" w:eastAsia="宋体" w:cs="宋体"/>
          <w:b/>
          <w:bCs/>
          <w:color w:val="auto"/>
          <w:spacing w:val="0"/>
          <w:sz w:val="32"/>
          <w:szCs w:val="32"/>
          <w:highlight w:val="none"/>
          <w:lang w:eastAsia="zh-CN"/>
        </w:rPr>
        <w:t>（三）近年财务状况</w:t>
      </w:r>
    </w:p>
    <w:p w14:paraId="67F301CC">
      <w:pPr>
        <w:pageBreakBefore w:val="0"/>
        <w:widowControl/>
        <w:numPr>
          <w:ilvl w:val="0"/>
          <w:numId w:val="0"/>
        </w:numPr>
        <w:kinsoku/>
        <w:wordWrap w:val="0"/>
        <w:overflowPunct/>
        <w:topLinePunct w:val="0"/>
        <w:autoSpaceDE w:val="0"/>
        <w:autoSpaceDN w:val="0"/>
        <w:bidi w:val="0"/>
        <w:adjustRightInd w:val="0"/>
        <w:snapToGrid w:val="0"/>
        <w:spacing w:before="0" w:beforeLines="20" w:after="0" w:afterLines="20" w:line="360" w:lineRule="auto"/>
        <w:ind w:right="0" w:rightChars="0"/>
        <w:jc w:val="both"/>
        <w:textAlignment w:val="baseline"/>
        <w:rPr>
          <w:rFonts w:hint="eastAsia" w:ascii="宋体" w:hAnsi="宋体" w:eastAsia="宋体" w:cs="宋体"/>
          <w:b/>
          <w:bCs/>
          <w:color w:val="auto"/>
          <w:spacing w:val="0"/>
          <w:sz w:val="32"/>
          <w:szCs w:val="32"/>
          <w:highlight w:val="none"/>
        </w:rPr>
      </w:pPr>
    </w:p>
    <w:p w14:paraId="383C72DB">
      <w:pPr>
        <w:pageBreakBefore w:val="0"/>
        <w:widowControl/>
        <w:numPr>
          <w:ilvl w:val="0"/>
          <w:numId w:val="0"/>
        </w:numPr>
        <w:kinsoku/>
        <w:wordWrap w:val="0"/>
        <w:overflowPunct/>
        <w:topLinePunct w:val="0"/>
        <w:autoSpaceDE w:val="0"/>
        <w:autoSpaceDN w:val="0"/>
        <w:bidi w:val="0"/>
        <w:adjustRightInd w:val="0"/>
        <w:snapToGrid w:val="0"/>
        <w:spacing w:before="0" w:beforeLines="20" w:after="0" w:afterLines="20" w:line="360" w:lineRule="auto"/>
        <w:ind w:right="0" w:rightChars="0"/>
        <w:jc w:val="both"/>
        <w:textAlignment w:val="baseline"/>
        <w:rPr>
          <w:rFonts w:hint="eastAsia" w:ascii="宋体" w:hAnsi="宋体" w:eastAsia="宋体" w:cs="宋体"/>
          <w:b/>
          <w:bCs/>
          <w:color w:val="auto"/>
          <w:spacing w:val="0"/>
          <w:sz w:val="32"/>
          <w:szCs w:val="32"/>
          <w:highlight w:val="none"/>
        </w:rPr>
      </w:pPr>
    </w:p>
    <w:p w14:paraId="4F444469">
      <w:pPr>
        <w:pageBreakBefore w:val="0"/>
        <w:widowControl/>
        <w:numPr>
          <w:ilvl w:val="0"/>
          <w:numId w:val="0"/>
        </w:numPr>
        <w:kinsoku/>
        <w:wordWrap w:val="0"/>
        <w:overflowPunct/>
        <w:topLinePunct w:val="0"/>
        <w:autoSpaceDE w:val="0"/>
        <w:autoSpaceDN w:val="0"/>
        <w:bidi w:val="0"/>
        <w:adjustRightInd w:val="0"/>
        <w:snapToGrid w:val="0"/>
        <w:spacing w:before="0" w:beforeLines="20" w:after="0" w:afterLines="20" w:line="360" w:lineRule="auto"/>
        <w:ind w:right="0" w:rightChars="0"/>
        <w:jc w:val="both"/>
        <w:textAlignment w:val="baseline"/>
        <w:rPr>
          <w:rFonts w:hint="eastAsia" w:ascii="宋体" w:hAnsi="宋体" w:eastAsia="宋体" w:cs="宋体"/>
          <w:b/>
          <w:bCs/>
          <w:color w:val="auto"/>
          <w:spacing w:val="0"/>
          <w:sz w:val="32"/>
          <w:szCs w:val="32"/>
          <w:highlight w:val="none"/>
        </w:rPr>
      </w:pPr>
    </w:p>
    <w:p w14:paraId="7914DB75">
      <w:pPr>
        <w:rPr>
          <w:rFonts w:hint="eastAsia" w:ascii="宋体" w:hAnsi="宋体" w:eastAsia="宋体" w:cs="宋体"/>
          <w:b/>
          <w:bCs/>
          <w:color w:val="auto"/>
          <w:spacing w:val="0"/>
          <w:sz w:val="32"/>
          <w:szCs w:val="32"/>
          <w:highlight w:val="none"/>
        </w:rPr>
      </w:pPr>
      <w:r>
        <w:rPr>
          <w:rFonts w:hint="eastAsia" w:ascii="宋体" w:hAnsi="宋体" w:eastAsia="宋体" w:cs="宋体"/>
          <w:b/>
          <w:bCs/>
          <w:color w:val="auto"/>
          <w:spacing w:val="0"/>
          <w:sz w:val="32"/>
          <w:szCs w:val="32"/>
          <w:highlight w:val="none"/>
        </w:rPr>
        <w:br w:type="page"/>
      </w:r>
    </w:p>
    <w:p w14:paraId="686E888A">
      <w:pPr>
        <w:pageBreakBefore w:val="0"/>
        <w:widowControl/>
        <w:numPr>
          <w:ilvl w:val="0"/>
          <w:numId w:val="0"/>
        </w:numPr>
        <w:kinsoku/>
        <w:wordWrap w:val="0"/>
        <w:overflowPunct/>
        <w:topLinePunct w:val="0"/>
        <w:autoSpaceDE w:val="0"/>
        <w:autoSpaceDN w:val="0"/>
        <w:bidi w:val="0"/>
        <w:adjustRightInd w:val="0"/>
        <w:snapToGrid w:val="0"/>
        <w:spacing w:before="0" w:beforeLines="20" w:after="0" w:afterLines="20" w:line="360" w:lineRule="auto"/>
        <w:ind w:right="0" w:rightChars="0"/>
        <w:jc w:val="both"/>
        <w:textAlignment w:val="baseline"/>
        <w:rPr>
          <w:rFonts w:hint="eastAsia" w:ascii="宋体" w:hAnsi="宋体" w:eastAsia="宋体" w:cs="宋体"/>
          <w:b/>
          <w:bCs/>
          <w:color w:val="auto"/>
          <w:spacing w:val="0"/>
          <w:sz w:val="32"/>
          <w:szCs w:val="32"/>
          <w:highlight w:val="none"/>
        </w:rPr>
      </w:pPr>
    </w:p>
    <w:p w14:paraId="299905C6">
      <w:pPr>
        <w:pageBreakBefore w:val="0"/>
        <w:widowControl/>
        <w:numPr>
          <w:ilvl w:val="0"/>
          <w:numId w:val="0"/>
        </w:numPr>
        <w:kinsoku/>
        <w:wordWrap w:val="0"/>
        <w:overflowPunct/>
        <w:topLinePunct w:val="0"/>
        <w:autoSpaceDE w:val="0"/>
        <w:autoSpaceDN w:val="0"/>
        <w:bidi w:val="0"/>
        <w:adjustRightInd w:val="0"/>
        <w:snapToGrid w:val="0"/>
        <w:spacing w:before="0" w:beforeLines="20" w:after="0" w:afterLines="20" w:line="360" w:lineRule="auto"/>
        <w:ind w:right="0" w:rightChars="0"/>
        <w:jc w:val="center"/>
        <w:textAlignment w:val="baseline"/>
        <w:rPr>
          <w:rFonts w:hint="eastAsia" w:ascii="宋体" w:hAnsi="宋体" w:eastAsia="宋体" w:cs="宋体"/>
          <w:color w:val="auto"/>
          <w:spacing w:val="0"/>
          <w:sz w:val="32"/>
          <w:szCs w:val="32"/>
          <w:highlight w:val="none"/>
          <w:lang w:eastAsia="zh-CN"/>
        </w:rPr>
      </w:pPr>
      <w:r>
        <w:rPr>
          <w:rFonts w:hint="eastAsia" w:ascii="宋体" w:hAnsi="宋体" w:eastAsia="宋体" w:cs="宋体"/>
          <w:b/>
          <w:bCs/>
          <w:color w:val="auto"/>
          <w:spacing w:val="0"/>
          <w:sz w:val="32"/>
          <w:szCs w:val="32"/>
          <w:highlight w:val="none"/>
          <w:lang w:eastAsia="zh-CN"/>
        </w:rPr>
        <w:t>（四）</w:t>
      </w:r>
      <w:r>
        <w:rPr>
          <w:rFonts w:hint="eastAsia" w:ascii="宋体" w:hAnsi="宋体" w:eastAsia="宋体" w:cs="宋体"/>
          <w:b/>
          <w:bCs/>
          <w:color w:val="auto"/>
          <w:spacing w:val="0"/>
          <w:sz w:val="32"/>
          <w:szCs w:val="32"/>
          <w:highlight w:val="none"/>
        </w:rPr>
        <w:t>依法缴纳税收和社会保障资金的相关材料</w:t>
      </w:r>
    </w:p>
    <w:p w14:paraId="57910851">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0DB4A5F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bCs/>
          <w:color w:val="auto"/>
          <w:spacing w:val="0"/>
          <w:sz w:val="28"/>
          <w:szCs w:val="28"/>
          <w:highlight w:val="none"/>
        </w:rPr>
      </w:pPr>
    </w:p>
    <w:p w14:paraId="0DD0BDA1">
      <w:pPr>
        <w:rPr>
          <w:rFonts w:hint="eastAsia" w:ascii="宋体" w:hAnsi="宋体" w:eastAsia="宋体" w:cs="宋体"/>
          <w:b/>
          <w:bCs/>
          <w:color w:val="auto"/>
          <w:spacing w:val="0"/>
          <w:sz w:val="32"/>
          <w:szCs w:val="32"/>
          <w:highlight w:val="none"/>
          <w:lang w:eastAsia="zh-CN"/>
        </w:rPr>
      </w:pPr>
      <w:r>
        <w:rPr>
          <w:rFonts w:hint="eastAsia" w:ascii="宋体" w:hAnsi="宋体" w:eastAsia="宋体" w:cs="宋体"/>
          <w:b/>
          <w:bCs/>
          <w:color w:val="auto"/>
          <w:spacing w:val="0"/>
          <w:sz w:val="32"/>
          <w:szCs w:val="32"/>
          <w:highlight w:val="none"/>
          <w:lang w:eastAsia="zh-CN"/>
        </w:rPr>
        <w:br w:type="page"/>
      </w:r>
    </w:p>
    <w:p w14:paraId="6021641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32"/>
          <w:szCs w:val="32"/>
          <w:highlight w:val="none"/>
        </w:rPr>
      </w:pPr>
      <w:r>
        <w:rPr>
          <w:rFonts w:hint="eastAsia" w:ascii="宋体" w:hAnsi="宋体" w:eastAsia="宋体" w:cs="宋体"/>
          <w:b/>
          <w:bCs/>
          <w:color w:val="auto"/>
          <w:spacing w:val="0"/>
          <w:sz w:val="32"/>
          <w:szCs w:val="32"/>
          <w:highlight w:val="none"/>
          <w:lang w:eastAsia="zh-CN"/>
        </w:rPr>
        <w:t>（五）</w:t>
      </w:r>
      <w:r>
        <w:rPr>
          <w:rFonts w:hint="eastAsia" w:ascii="宋体" w:hAnsi="宋体" w:eastAsia="宋体" w:cs="宋体"/>
          <w:b/>
          <w:bCs/>
          <w:color w:val="auto"/>
          <w:spacing w:val="0"/>
          <w:sz w:val="32"/>
          <w:szCs w:val="32"/>
          <w:highlight w:val="none"/>
        </w:rPr>
        <w:t>近年完成的类似项目情况表</w:t>
      </w:r>
    </w:p>
    <w:p w14:paraId="4BE6125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tbl>
      <w:tblPr>
        <w:tblStyle w:val="22"/>
        <w:tblW w:w="9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93"/>
        <w:gridCol w:w="6611"/>
      </w:tblGrid>
      <w:tr w14:paraId="24CDB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2793" w:type="dxa"/>
            <w:vAlign w:val="top"/>
          </w:tcPr>
          <w:p w14:paraId="5D822B51">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6611" w:type="dxa"/>
            <w:vAlign w:val="top"/>
          </w:tcPr>
          <w:p w14:paraId="6EB3297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6BC03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793" w:type="dxa"/>
            <w:vAlign w:val="top"/>
          </w:tcPr>
          <w:p w14:paraId="6F13539E">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项目所在地</w:t>
            </w:r>
          </w:p>
        </w:tc>
        <w:tc>
          <w:tcPr>
            <w:tcW w:w="6611" w:type="dxa"/>
            <w:vAlign w:val="top"/>
          </w:tcPr>
          <w:p w14:paraId="4B6E900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146C6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793" w:type="dxa"/>
            <w:vAlign w:val="top"/>
          </w:tcPr>
          <w:p w14:paraId="2554B386">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发包人名称</w:t>
            </w:r>
          </w:p>
        </w:tc>
        <w:tc>
          <w:tcPr>
            <w:tcW w:w="6611" w:type="dxa"/>
            <w:vAlign w:val="top"/>
          </w:tcPr>
          <w:p w14:paraId="3572A7B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2F18F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793" w:type="dxa"/>
            <w:vAlign w:val="top"/>
          </w:tcPr>
          <w:p w14:paraId="1B05525C">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发包人地址</w:t>
            </w:r>
          </w:p>
        </w:tc>
        <w:tc>
          <w:tcPr>
            <w:tcW w:w="6611" w:type="dxa"/>
            <w:vAlign w:val="top"/>
          </w:tcPr>
          <w:p w14:paraId="192E029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4BF22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793" w:type="dxa"/>
            <w:vAlign w:val="top"/>
          </w:tcPr>
          <w:p w14:paraId="66C63402">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发包人电话</w:t>
            </w:r>
          </w:p>
        </w:tc>
        <w:tc>
          <w:tcPr>
            <w:tcW w:w="6611" w:type="dxa"/>
            <w:vAlign w:val="top"/>
          </w:tcPr>
          <w:p w14:paraId="39EE060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18A01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793" w:type="dxa"/>
            <w:vAlign w:val="top"/>
          </w:tcPr>
          <w:p w14:paraId="7055719B">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合同价格</w:t>
            </w:r>
          </w:p>
        </w:tc>
        <w:tc>
          <w:tcPr>
            <w:tcW w:w="6611" w:type="dxa"/>
            <w:vAlign w:val="top"/>
          </w:tcPr>
          <w:p w14:paraId="1208140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72F49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793" w:type="dxa"/>
            <w:vAlign w:val="top"/>
          </w:tcPr>
          <w:p w14:paraId="4584285A">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开工日期</w:t>
            </w:r>
          </w:p>
        </w:tc>
        <w:tc>
          <w:tcPr>
            <w:tcW w:w="6611" w:type="dxa"/>
            <w:vAlign w:val="top"/>
          </w:tcPr>
          <w:p w14:paraId="18741BB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6D7B8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793" w:type="dxa"/>
            <w:vAlign w:val="top"/>
          </w:tcPr>
          <w:p w14:paraId="378C54E8">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竣工日期</w:t>
            </w:r>
          </w:p>
        </w:tc>
        <w:tc>
          <w:tcPr>
            <w:tcW w:w="6611" w:type="dxa"/>
            <w:vAlign w:val="top"/>
          </w:tcPr>
          <w:p w14:paraId="29C28DE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75739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793" w:type="dxa"/>
            <w:vAlign w:val="top"/>
          </w:tcPr>
          <w:p w14:paraId="2E008AB4">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承担的工作</w:t>
            </w:r>
          </w:p>
        </w:tc>
        <w:tc>
          <w:tcPr>
            <w:tcW w:w="6611" w:type="dxa"/>
            <w:vAlign w:val="top"/>
          </w:tcPr>
          <w:p w14:paraId="134A8E5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62AED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793" w:type="dxa"/>
            <w:vAlign w:val="top"/>
          </w:tcPr>
          <w:p w14:paraId="164EBA5E">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工程质量</w:t>
            </w:r>
          </w:p>
        </w:tc>
        <w:tc>
          <w:tcPr>
            <w:tcW w:w="6611" w:type="dxa"/>
            <w:vAlign w:val="top"/>
          </w:tcPr>
          <w:p w14:paraId="7E7044D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1660E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793" w:type="dxa"/>
            <w:vAlign w:val="top"/>
          </w:tcPr>
          <w:p w14:paraId="1BFB8B65">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p>
        </w:tc>
        <w:tc>
          <w:tcPr>
            <w:tcW w:w="6611" w:type="dxa"/>
            <w:vAlign w:val="top"/>
          </w:tcPr>
          <w:p w14:paraId="7B998A5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533F5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793" w:type="dxa"/>
            <w:vAlign w:val="top"/>
          </w:tcPr>
          <w:p w14:paraId="78DE9381">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技术负责人</w:t>
            </w:r>
          </w:p>
        </w:tc>
        <w:tc>
          <w:tcPr>
            <w:tcW w:w="6611" w:type="dxa"/>
            <w:vAlign w:val="top"/>
          </w:tcPr>
          <w:p w14:paraId="54BDA75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1D9B1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793" w:type="dxa"/>
            <w:vAlign w:val="top"/>
          </w:tcPr>
          <w:p w14:paraId="7DD95228">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总监理工程师及电话</w:t>
            </w:r>
          </w:p>
        </w:tc>
        <w:tc>
          <w:tcPr>
            <w:tcW w:w="6611" w:type="dxa"/>
            <w:vAlign w:val="top"/>
          </w:tcPr>
          <w:p w14:paraId="72D30BB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50E85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4" w:hRule="atLeast"/>
        </w:trPr>
        <w:tc>
          <w:tcPr>
            <w:tcW w:w="2793" w:type="dxa"/>
            <w:vAlign w:val="top"/>
          </w:tcPr>
          <w:p w14:paraId="6CFB8058">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项目描述</w:t>
            </w:r>
          </w:p>
        </w:tc>
        <w:tc>
          <w:tcPr>
            <w:tcW w:w="6611" w:type="dxa"/>
            <w:vAlign w:val="top"/>
          </w:tcPr>
          <w:p w14:paraId="751DE6E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38CB1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2793" w:type="dxa"/>
            <w:vAlign w:val="top"/>
          </w:tcPr>
          <w:p w14:paraId="4B683D23">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备注</w:t>
            </w:r>
          </w:p>
        </w:tc>
        <w:tc>
          <w:tcPr>
            <w:tcW w:w="6611" w:type="dxa"/>
            <w:vAlign w:val="top"/>
          </w:tcPr>
          <w:p w14:paraId="1C630E4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bl>
    <w:p w14:paraId="0E23C51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注：附成交（或中标）通知书或合同协议书或竣工验收报告复印件加盖公章。</w:t>
      </w:r>
    </w:p>
    <w:p w14:paraId="74B25C6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0"/>
          <w:szCs w:val="20"/>
          <w:highlight w:val="none"/>
        </w:rPr>
        <w:sectPr>
          <w:footerReference r:id="rId23" w:type="default"/>
          <w:pgSz w:w="11906" w:h="16839"/>
          <w:pgMar w:top="1440" w:right="1080" w:bottom="1440" w:left="1080" w:header="0" w:footer="994" w:gutter="0"/>
          <w:pgNumType w:fmt="decimal"/>
          <w:cols w:space="720" w:num="1"/>
        </w:sectPr>
      </w:pPr>
    </w:p>
    <w:p w14:paraId="34DC51E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32"/>
          <w:szCs w:val="32"/>
          <w:highlight w:val="none"/>
        </w:rPr>
      </w:pPr>
      <w:r>
        <w:rPr>
          <w:rFonts w:hint="eastAsia" w:ascii="宋体" w:hAnsi="宋体" w:eastAsia="宋体" w:cs="宋体"/>
          <w:b/>
          <w:bCs/>
          <w:color w:val="auto"/>
          <w:spacing w:val="0"/>
          <w:sz w:val="32"/>
          <w:szCs w:val="32"/>
          <w:highlight w:val="none"/>
          <w:lang w:eastAsia="zh-CN"/>
        </w:rPr>
        <w:t>（</w:t>
      </w:r>
      <w:r>
        <w:rPr>
          <w:rFonts w:hint="eastAsia" w:ascii="宋体" w:hAnsi="宋体" w:eastAsia="宋体" w:cs="宋体"/>
          <w:b/>
          <w:bCs/>
          <w:color w:val="auto"/>
          <w:spacing w:val="0"/>
          <w:sz w:val="32"/>
          <w:szCs w:val="32"/>
          <w:highlight w:val="none"/>
        </w:rPr>
        <w:t>五</w:t>
      </w:r>
      <w:r>
        <w:rPr>
          <w:rFonts w:hint="eastAsia" w:ascii="宋体" w:hAnsi="宋体" w:eastAsia="宋体" w:cs="宋体"/>
          <w:b/>
          <w:bCs/>
          <w:color w:val="auto"/>
          <w:spacing w:val="0"/>
          <w:sz w:val="32"/>
          <w:szCs w:val="32"/>
          <w:highlight w:val="none"/>
          <w:lang w:eastAsia="zh-CN"/>
        </w:rPr>
        <w:t>）</w:t>
      </w:r>
      <w:r>
        <w:rPr>
          <w:rFonts w:hint="eastAsia" w:ascii="宋体" w:hAnsi="宋体" w:eastAsia="宋体" w:cs="宋体"/>
          <w:b/>
          <w:bCs/>
          <w:color w:val="auto"/>
          <w:spacing w:val="0"/>
          <w:sz w:val="32"/>
          <w:szCs w:val="32"/>
          <w:highlight w:val="none"/>
        </w:rPr>
        <w:t>正在施工的和新承接的项目情况表</w:t>
      </w:r>
    </w:p>
    <w:p w14:paraId="58A3106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tbl>
      <w:tblPr>
        <w:tblStyle w:val="22"/>
        <w:tblW w:w="9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75"/>
        <w:gridCol w:w="6229"/>
      </w:tblGrid>
      <w:tr w14:paraId="341F0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175" w:type="dxa"/>
            <w:vAlign w:val="top"/>
          </w:tcPr>
          <w:p w14:paraId="6DC35F4B">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6229" w:type="dxa"/>
            <w:vAlign w:val="top"/>
          </w:tcPr>
          <w:p w14:paraId="63945EF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17274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175" w:type="dxa"/>
            <w:vAlign w:val="top"/>
          </w:tcPr>
          <w:p w14:paraId="0FADA902">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项目所在地</w:t>
            </w:r>
          </w:p>
        </w:tc>
        <w:tc>
          <w:tcPr>
            <w:tcW w:w="6229" w:type="dxa"/>
            <w:vAlign w:val="top"/>
          </w:tcPr>
          <w:p w14:paraId="36471D8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203B2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175" w:type="dxa"/>
            <w:vAlign w:val="top"/>
          </w:tcPr>
          <w:p w14:paraId="6001DE96">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发包人名称</w:t>
            </w:r>
          </w:p>
        </w:tc>
        <w:tc>
          <w:tcPr>
            <w:tcW w:w="6229" w:type="dxa"/>
            <w:vAlign w:val="top"/>
          </w:tcPr>
          <w:p w14:paraId="17E80E8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571DB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175" w:type="dxa"/>
            <w:vAlign w:val="top"/>
          </w:tcPr>
          <w:p w14:paraId="68DCF411">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发包人地址</w:t>
            </w:r>
          </w:p>
        </w:tc>
        <w:tc>
          <w:tcPr>
            <w:tcW w:w="6229" w:type="dxa"/>
            <w:vAlign w:val="top"/>
          </w:tcPr>
          <w:p w14:paraId="2E4F005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2F715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175" w:type="dxa"/>
            <w:vAlign w:val="top"/>
          </w:tcPr>
          <w:p w14:paraId="675542E9">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发包人电话</w:t>
            </w:r>
          </w:p>
        </w:tc>
        <w:tc>
          <w:tcPr>
            <w:tcW w:w="6229" w:type="dxa"/>
            <w:vAlign w:val="top"/>
          </w:tcPr>
          <w:p w14:paraId="2A5F598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7520B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175" w:type="dxa"/>
            <w:vAlign w:val="top"/>
          </w:tcPr>
          <w:p w14:paraId="6ED18269">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签约合同价</w:t>
            </w:r>
          </w:p>
        </w:tc>
        <w:tc>
          <w:tcPr>
            <w:tcW w:w="6229" w:type="dxa"/>
            <w:vAlign w:val="top"/>
          </w:tcPr>
          <w:p w14:paraId="0B83A5A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5C2F5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175" w:type="dxa"/>
            <w:vAlign w:val="top"/>
          </w:tcPr>
          <w:p w14:paraId="54EEC0B0">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开工日期</w:t>
            </w:r>
          </w:p>
        </w:tc>
        <w:tc>
          <w:tcPr>
            <w:tcW w:w="6229" w:type="dxa"/>
            <w:vAlign w:val="top"/>
          </w:tcPr>
          <w:p w14:paraId="453AF5C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2FEED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175" w:type="dxa"/>
            <w:vAlign w:val="top"/>
          </w:tcPr>
          <w:p w14:paraId="73DABDA6">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计划竣工日期</w:t>
            </w:r>
          </w:p>
        </w:tc>
        <w:tc>
          <w:tcPr>
            <w:tcW w:w="6229" w:type="dxa"/>
            <w:vAlign w:val="top"/>
          </w:tcPr>
          <w:p w14:paraId="2E860EE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01FA8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175" w:type="dxa"/>
            <w:vAlign w:val="top"/>
          </w:tcPr>
          <w:p w14:paraId="385B3357">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承担的工作</w:t>
            </w:r>
          </w:p>
        </w:tc>
        <w:tc>
          <w:tcPr>
            <w:tcW w:w="6229" w:type="dxa"/>
            <w:vAlign w:val="top"/>
          </w:tcPr>
          <w:p w14:paraId="6439F34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4EBD7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175" w:type="dxa"/>
            <w:vAlign w:val="top"/>
          </w:tcPr>
          <w:p w14:paraId="67202A6C">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工程质量</w:t>
            </w:r>
          </w:p>
        </w:tc>
        <w:tc>
          <w:tcPr>
            <w:tcW w:w="6229" w:type="dxa"/>
            <w:vAlign w:val="top"/>
          </w:tcPr>
          <w:p w14:paraId="6C957DE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20A5F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175" w:type="dxa"/>
            <w:vAlign w:val="top"/>
          </w:tcPr>
          <w:p w14:paraId="6D4963C9">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p>
        </w:tc>
        <w:tc>
          <w:tcPr>
            <w:tcW w:w="6229" w:type="dxa"/>
            <w:vAlign w:val="top"/>
          </w:tcPr>
          <w:p w14:paraId="1D5D74B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37D56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175" w:type="dxa"/>
            <w:vAlign w:val="top"/>
          </w:tcPr>
          <w:p w14:paraId="60A97ACD">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技术负责人</w:t>
            </w:r>
          </w:p>
        </w:tc>
        <w:tc>
          <w:tcPr>
            <w:tcW w:w="6229" w:type="dxa"/>
            <w:vAlign w:val="top"/>
          </w:tcPr>
          <w:p w14:paraId="6CA4AAF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2D330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175" w:type="dxa"/>
            <w:vAlign w:val="top"/>
          </w:tcPr>
          <w:p w14:paraId="4F041E19">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总监理工程师及电话</w:t>
            </w:r>
          </w:p>
        </w:tc>
        <w:tc>
          <w:tcPr>
            <w:tcW w:w="6229" w:type="dxa"/>
            <w:vAlign w:val="top"/>
          </w:tcPr>
          <w:p w14:paraId="21C1509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4771A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3" w:hRule="atLeast"/>
        </w:trPr>
        <w:tc>
          <w:tcPr>
            <w:tcW w:w="3175" w:type="dxa"/>
            <w:vAlign w:val="top"/>
          </w:tcPr>
          <w:p w14:paraId="244C1CBD">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项目描述</w:t>
            </w:r>
          </w:p>
        </w:tc>
        <w:tc>
          <w:tcPr>
            <w:tcW w:w="6229" w:type="dxa"/>
            <w:vAlign w:val="top"/>
          </w:tcPr>
          <w:p w14:paraId="52CB875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r w14:paraId="3EC86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175" w:type="dxa"/>
            <w:vAlign w:val="top"/>
          </w:tcPr>
          <w:p w14:paraId="101638BD">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备注</w:t>
            </w:r>
          </w:p>
        </w:tc>
        <w:tc>
          <w:tcPr>
            <w:tcW w:w="6229" w:type="dxa"/>
            <w:vAlign w:val="top"/>
          </w:tcPr>
          <w:p w14:paraId="060DF03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r>
    </w:tbl>
    <w:p w14:paraId="26023AF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outlineLvl w:val="1"/>
        <w:rPr>
          <w:rFonts w:hint="eastAsia" w:ascii="宋体" w:hAnsi="宋体" w:eastAsia="宋体" w:cs="宋体"/>
          <w:color w:val="auto"/>
          <w:spacing w:val="0"/>
          <w:sz w:val="24"/>
          <w:szCs w:val="24"/>
          <w:highlight w:val="none"/>
        </w:rPr>
      </w:pPr>
      <w:bookmarkStart w:id="422" w:name="_Toc13711"/>
      <w:bookmarkStart w:id="423" w:name="_Toc2819"/>
      <w:bookmarkStart w:id="424" w:name="_Toc23309"/>
      <w:r>
        <w:rPr>
          <w:rFonts w:hint="eastAsia" w:ascii="宋体" w:hAnsi="宋体" w:eastAsia="宋体" w:cs="宋体"/>
          <w:color w:val="auto"/>
          <w:spacing w:val="0"/>
          <w:sz w:val="24"/>
          <w:szCs w:val="24"/>
          <w:highlight w:val="none"/>
        </w:rPr>
        <w:t>注：附合同或成交（中标）通知书复印件加盖公章</w:t>
      </w:r>
      <w:bookmarkEnd w:id="422"/>
      <w:bookmarkEnd w:id="423"/>
      <w:bookmarkEnd w:id="424"/>
    </w:p>
    <w:p w14:paraId="7496114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0"/>
          <w:szCs w:val="20"/>
          <w:highlight w:val="none"/>
        </w:rPr>
        <w:sectPr>
          <w:footerReference r:id="rId24" w:type="default"/>
          <w:pgSz w:w="11906" w:h="16839"/>
          <w:pgMar w:top="1440" w:right="1080" w:bottom="1440" w:left="1080" w:header="0" w:footer="994" w:gutter="0"/>
          <w:pgNumType w:fmt="decimal"/>
          <w:cols w:space="720" w:num="1"/>
        </w:sectPr>
      </w:pPr>
    </w:p>
    <w:p w14:paraId="24B7459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32"/>
          <w:szCs w:val="32"/>
          <w:highlight w:val="none"/>
        </w:rPr>
      </w:pPr>
      <w:r>
        <w:rPr>
          <w:rFonts w:hint="eastAsia" w:ascii="宋体" w:hAnsi="宋体" w:eastAsia="宋体" w:cs="宋体"/>
          <w:b/>
          <w:bCs/>
          <w:color w:val="auto"/>
          <w:spacing w:val="0"/>
          <w:sz w:val="32"/>
          <w:szCs w:val="32"/>
          <w:highlight w:val="none"/>
          <w:lang w:eastAsia="zh-CN"/>
        </w:rPr>
        <w:t>（</w:t>
      </w:r>
      <w:r>
        <w:rPr>
          <w:rFonts w:hint="eastAsia" w:ascii="宋体" w:hAnsi="宋体" w:eastAsia="宋体" w:cs="宋体"/>
          <w:b/>
          <w:bCs/>
          <w:color w:val="auto"/>
          <w:spacing w:val="0"/>
          <w:sz w:val="32"/>
          <w:szCs w:val="32"/>
          <w:highlight w:val="none"/>
        </w:rPr>
        <w:t>六</w:t>
      </w:r>
      <w:r>
        <w:rPr>
          <w:rFonts w:hint="eastAsia" w:ascii="宋体" w:hAnsi="宋体" w:eastAsia="宋体" w:cs="宋体"/>
          <w:b/>
          <w:bCs/>
          <w:color w:val="auto"/>
          <w:spacing w:val="0"/>
          <w:sz w:val="32"/>
          <w:szCs w:val="32"/>
          <w:highlight w:val="none"/>
          <w:lang w:eastAsia="zh-CN"/>
        </w:rPr>
        <w:t>）</w:t>
      </w:r>
      <w:r>
        <w:rPr>
          <w:rFonts w:hint="eastAsia" w:ascii="宋体" w:hAnsi="宋体" w:eastAsia="宋体" w:cs="宋体"/>
          <w:b/>
          <w:bCs/>
          <w:color w:val="auto"/>
          <w:spacing w:val="0"/>
          <w:sz w:val="32"/>
          <w:szCs w:val="32"/>
          <w:highlight w:val="none"/>
        </w:rPr>
        <w:t>信用承诺及信用记录官网查询截图</w:t>
      </w:r>
    </w:p>
    <w:p w14:paraId="4D7C514E">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26F4C44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8"/>
          <w:szCs w:val="28"/>
          <w:highlight w:val="none"/>
        </w:rPr>
      </w:pPr>
      <w:r>
        <w:rPr>
          <w:rFonts w:hint="eastAsia" w:ascii="宋体" w:hAnsi="宋体" w:eastAsia="宋体" w:cs="宋体"/>
          <w:b/>
          <w:bCs/>
          <w:color w:val="auto"/>
          <w:spacing w:val="0"/>
          <w:sz w:val="28"/>
          <w:szCs w:val="28"/>
          <w:highlight w:val="none"/>
        </w:rPr>
        <w:t>信用承诺</w:t>
      </w:r>
    </w:p>
    <w:p w14:paraId="4A09639F">
      <w:pPr>
        <w:pageBreakBefore w:val="0"/>
        <w:widowControl/>
        <w:tabs>
          <w:tab w:val="left" w:pos="118"/>
        </w:tabs>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u w:val="single" w:color="auto"/>
        </w:rPr>
        <w:tab/>
      </w:r>
      <w:r>
        <w:rPr>
          <w:rFonts w:hint="eastAsia" w:ascii="宋体" w:hAnsi="宋体" w:eastAsia="宋体" w:cs="宋体"/>
          <w:b w:val="0"/>
          <w:bCs w:val="0"/>
          <w:color w:val="auto"/>
          <w:spacing w:val="0"/>
          <w:sz w:val="24"/>
          <w:szCs w:val="24"/>
          <w:highlight w:val="none"/>
          <w:u w:val="single" w:color="auto"/>
        </w:rPr>
        <w:t xml:space="preserve">（采购人或采购代理机构名称） </w:t>
      </w:r>
      <w:r>
        <w:rPr>
          <w:rFonts w:hint="eastAsia" w:ascii="宋体" w:hAnsi="宋体" w:eastAsia="宋体" w:cs="宋体"/>
          <w:b w:val="0"/>
          <w:bCs w:val="0"/>
          <w:color w:val="auto"/>
          <w:spacing w:val="0"/>
          <w:sz w:val="24"/>
          <w:szCs w:val="24"/>
          <w:highlight w:val="none"/>
        </w:rPr>
        <w:t xml:space="preserve"> ：</w:t>
      </w:r>
    </w:p>
    <w:p w14:paraId="01410FA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我单位未发生被列入政府取消投标资格记录期间的企业或个人投标情况；通过“信用中国”</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网站：</w:t>
      </w: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 HYPERLINK "http://www.creditchina.gov.cn/)、/"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 w:val="24"/>
          <w:szCs w:val="24"/>
          <w:highlight w:val="none"/>
        </w:rPr>
        <w:t>www.creditchina.gov.cn</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)、“中国政府采购网”（网站 www.ccgp.gov.cn）等渠道查询</w:t>
      </w:r>
      <w:r>
        <w:rPr>
          <w:rFonts w:hint="eastAsia" w:ascii="宋体" w:hAnsi="宋体" w:eastAsia="宋体" w:cs="宋体"/>
          <w:color w:val="auto"/>
          <w:spacing w:val="0"/>
          <w:sz w:val="24"/>
          <w:szCs w:val="24"/>
          <w:highlight w:val="none"/>
          <w:lang w:eastAsia="zh-CN"/>
        </w:rPr>
        <w:t>未</w:t>
      </w:r>
      <w:r>
        <w:rPr>
          <w:rFonts w:hint="eastAsia" w:ascii="宋体" w:hAnsi="宋体" w:eastAsia="宋体" w:cs="宋体"/>
          <w:color w:val="auto"/>
          <w:spacing w:val="0"/>
          <w:sz w:val="24"/>
          <w:szCs w:val="24"/>
          <w:highlight w:val="none"/>
        </w:rPr>
        <w:fldChar w:fldCharType="end"/>
      </w:r>
      <w:r>
        <w:rPr>
          <w:rFonts w:hint="eastAsia" w:ascii="宋体" w:hAnsi="宋体" w:eastAsia="宋体" w:cs="宋体"/>
          <w:color w:val="auto"/>
          <w:spacing w:val="0"/>
          <w:sz w:val="24"/>
          <w:szCs w:val="24"/>
          <w:highlight w:val="none"/>
          <w:lang w:eastAsia="zh-CN"/>
        </w:rPr>
        <w:t>有不良行为</w:t>
      </w:r>
      <w:r>
        <w:rPr>
          <w:rFonts w:hint="eastAsia" w:ascii="宋体" w:hAnsi="宋体" w:eastAsia="宋体" w:cs="宋体"/>
          <w:color w:val="auto"/>
          <w:spacing w:val="0"/>
          <w:sz w:val="24"/>
          <w:szCs w:val="24"/>
          <w:highlight w:val="none"/>
        </w:rPr>
        <w:t>。</w:t>
      </w:r>
    </w:p>
    <w:p w14:paraId="17AAFCF7">
      <w:pPr>
        <w:pageBreakBefore w:val="0"/>
        <w:widowControl/>
        <w:kinsoku/>
        <w:wordWrap w:val="0"/>
        <w:overflowPunct/>
        <w:topLinePunct w:val="0"/>
        <w:autoSpaceDE w:val="0"/>
        <w:autoSpaceDN w:val="0"/>
        <w:bidi w:val="0"/>
        <w:adjustRightInd w:val="0"/>
        <w:snapToGrid w:val="0"/>
        <w:spacing w:before="0" w:beforeLines="20" w:after="0" w:afterLines="20" w:line="360" w:lineRule="auto"/>
        <w:ind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如发现我单位提供的承诺不实时，我单位将按照《</w:t>
      </w:r>
      <w:r>
        <w:rPr>
          <w:rFonts w:hint="eastAsia" w:ascii="宋体" w:hAnsi="宋体" w:eastAsia="宋体" w:cs="宋体"/>
          <w:color w:val="auto"/>
          <w:spacing w:val="0"/>
          <w:sz w:val="24"/>
          <w:szCs w:val="24"/>
          <w:highlight w:val="none"/>
          <w:lang w:eastAsia="zh-CN"/>
        </w:rPr>
        <w:t>中华人民共和国政府采购法</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及《中华人民共和国政府采购法实施条例》</w:t>
      </w:r>
      <w:r>
        <w:rPr>
          <w:rFonts w:hint="eastAsia" w:ascii="宋体" w:hAnsi="宋体" w:eastAsia="宋体" w:cs="宋体"/>
          <w:color w:val="auto"/>
          <w:spacing w:val="0"/>
          <w:sz w:val="24"/>
          <w:szCs w:val="24"/>
          <w:highlight w:val="none"/>
        </w:rPr>
        <w:t>有关提供虚假材料的规定，接受处罚。</w:t>
      </w:r>
    </w:p>
    <w:p w14:paraId="48BB74B7">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6EB0FAC9">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38FAE275">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6801657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供应商名称（加盖单位公章）：</w:t>
      </w:r>
    </w:p>
    <w:p w14:paraId="3E8FE75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hanging="35"/>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法定代表人或其授权委托人</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签字或盖章</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w:t>
      </w:r>
    </w:p>
    <w:p w14:paraId="72B42E5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hanging="35"/>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日期：</w:t>
      </w:r>
    </w:p>
    <w:p w14:paraId="3238281C">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0A6FA90B">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0D7937FD">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45501261">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11E51EB7">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2EB89E11">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77F0C7FA">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46F90DC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bookmarkStart w:id="425" w:name="_Toc32102"/>
      <w:r>
        <w:rPr>
          <w:rFonts w:hint="eastAsia" w:ascii="宋体" w:hAnsi="宋体" w:eastAsia="宋体" w:cs="宋体"/>
          <w:b w:val="0"/>
          <w:bCs w:val="0"/>
          <w:color w:val="auto"/>
          <w:spacing w:val="0"/>
          <w:sz w:val="24"/>
          <w:szCs w:val="24"/>
          <w:highlight w:val="none"/>
        </w:rPr>
        <w:t>注：此后须附以下官网查询截图</w:t>
      </w:r>
      <w:bookmarkEnd w:id="425"/>
    </w:p>
    <w:p w14:paraId="4D37EEB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p>
    <w:p w14:paraId="26D3684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p>
    <w:p w14:paraId="2309DBE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rPr>
      </w:pPr>
    </w:p>
    <w:p w14:paraId="2128402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32"/>
          <w:szCs w:val="32"/>
          <w:highlight w:val="none"/>
        </w:rPr>
      </w:pPr>
      <w:r>
        <w:rPr>
          <w:rFonts w:hint="eastAsia" w:ascii="宋体" w:hAnsi="宋体" w:eastAsia="宋体" w:cs="宋体"/>
          <w:b/>
          <w:bCs/>
          <w:color w:val="auto"/>
          <w:spacing w:val="0"/>
          <w:sz w:val="32"/>
          <w:szCs w:val="32"/>
          <w:highlight w:val="none"/>
        </w:rPr>
        <w:t>（七）参加政府采购活动前3年内在经营活动中没有重大违法记录的书面声明</w:t>
      </w:r>
    </w:p>
    <w:p w14:paraId="16272672">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55EE7F6A">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highlight w:val="none"/>
        </w:rPr>
      </w:pPr>
    </w:p>
    <w:p w14:paraId="78A32C86">
      <w:pPr>
        <w:pageBreakBefore w:val="0"/>
        <w:widowControl/>
        <w:tabs>
          <w:tab w:val="left" w:pos="118"/>
        </w:tabs>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u w:val="single" w:color="auto"/>
        </w:rPr>
        <w:tab/>
      </w:r>
      <w:r>
        <w:rPr>
          <w:rFonts w:hint="eastAsia" w:ascii="宋体" w:hAnsi="宋体" w:eastAsia="宋体" w:cs="宋体"/>
          <w:b w:val="0"/>
          <w:bCs w:val="0"/>
          <w:color w:val="auto"/>
          <w:spacing w:val="0"/>
          <w:sz w:val="24"/>
          <w:szCs w:val="24"/>
          <w:highlight w:val="none"/>
          <w:u w:val="single" w:color="auto"/>
        </w:rPr>
        <w:t>（采购人或采购代理机构名称）</w:t>
      </w:r>
      <w:r>
        <w:rPr>
          <w:rFonts w:hint="eastAsia" w:ascii="宋体" w:hAnsi="宋体" w:eastAsia="宋体" w:cs="宋体"/>
          <w:b w:val="0"/>
          <w:bCs w:val="0"/>
          <w:color w:val="auto"/>
          <w:spacing w:val="0"/>
          <w:sz w:val="24"/>
          <w:szCs w:val="24"/>
          <w:highlight w:val="none"/>
        </w:rPr>
        <w:t>：</w:t>
      </w:r>
    </w:p>
    <w:p w14:paraId="2436F535">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0135459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91"/>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在本项目提交响应文件截止时间前，我单位参加本次政府采购活动前 3 年内在经营活动中没有因违法经营受到刑事处罚或者责令停产停业、吊销许可证或者执照、较大数额罚款等行政处罚的重大违法记录。</w:t>
      </w:r>
    </w:p>
    <w:p w14:paraId="46A7E9F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371"/>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如发现我单位提供的声明函不实时，我单位将按照《</w:t>
      </w:r>
      <w:r>
        <w:rPr>
          <w:rFonts w:hint="eastAsia" w:ascii="宋体" w:hAnsi="宋体" w:eastAsia="宋体" w:cs="宋体"/>
          <w:color w:val="auto"/>
          <w:spacing w:val="0"/>
          <w:sz w:val="24"/>
          <w:szCs w:val="24"/>
          <w:highlight w:val="none"/>
          <w:lang w:eastAsia="zh-CN"/>
        </w:rPr>
        <w:t>中华人民共和国政府采购法</w:t>
      </w:r>
      <w:r>
        <w:rPr>
          <w:rFonts w:hint="eastAsia" w:ascii="宋体" w:hAnsi="宋体" w:eastAsia="宋体" w:cs="宋体"/>
          <w:color w:val="auto"/>
          <w:spacing w:val="0"/>
          <w:sz w:val="24"/>
          <w:szCs w:val="24"/>
          <w:highlight w:val="none"/>
        </w:rPr>
        <w:t>》有关提供虚假材料的规定，接受处罚。</w:t>
      </w:r>
    </w:p>
    <w:p w14:paraId="63D39F3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特此声明。</w:t>
      </w:r>
    </w:p>
    <w:p w14:paraId="0A259A49">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1CF28EF5">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7364A061">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0051BBB2">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3F19CE8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供应商名称（加盖单位公章）：</w:t>
      </w:r>
    </w:p>
    <w:p w14:paraId="125CF38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hanging="35"/>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法定代表人或其授权委托人</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签字或盖章</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w:t>
      </w:r>
    </w:p>
    <w:p w14:paraId="7B1FE57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hanging="35"/>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日期：</w:t>
      </w:r>
    </w:p>
    <w:p w14:paraId="05BBC04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sectPr>
          <w:footerReference r:id="rId25" w:type="default"/>
          <w:pgSz w:w="11906" w:h="16839"/>
          <w:pgMar w:top="1440" w:right="1080" w:bottom="1440" w:left="1080" w:header="0" w:footer="994" w:gutter="0"/>
          <w:pgNumType w:fmt="decimal"/>
          <w:cols w:space="720" w:num="1"/>
        </w:sectPr>
      </w:pPr>
    </w:p>
    <w:p w14:paraId="39B5230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32"/>
          <w:szCs w:val="32"/>
          <w:highlight w:val="none"/>
        </w:rPr>
      </w:pPr>
      <w:r>
        <w:rPr>
          <w:rFonts w:hint="eastAsia" w:ascii="宋体" w:hAnsi="宋体" w:eastAsia="宋体" w:cs="宋体"/>
          <w:b/>
          <w:bCs/>
          <w:color w:val="auto"/>
          <w:spacing w:val="0"/>
          <w:sz w:val="32"/>
          <w:szCs w:val="32"/>
          <w:highlight w:val="none"/>
        </w:rPr>
        <w:t>（八）磋商文件中要求做出的承诺</w:t>
      </w:r>
    </w:p>
    <w:p w14:paraId="68D8972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outlineLvl w:val="1"/>
        <w:rPr>
          <w:rFonts w:hint="eastAsia" w:ascii="宋体" w:hAnsi="宋体" w:eastAsia="宋体" w:cs="宋体"/>
          <w:color w:val="auto"/>
          <w:spacing w:val="0"/>
          <w:sz w:val="24"/>
          <w:szCs w:val="24"/>
          <w:highlight w:val="none"/>
        </w:rPr>
      </w:pPr>
      <w:bookmarkStart w:id="426" w:name="_Toc4709"/>
      <w:bookmarkStart w:id="427" w:name="_Toc25561"/>
      <w:bookmarkStart w:id="428" w:name="_Toc7383"/>
      <w:r>
        <w:rPr>
          <w:rFonts w:hint="eastAsia" w:ascii="宋体" w:hAnsi="宋体" w:eastAsia="宋体" w:cs="宋体"/>
          <w:color w:val="auto"/>
          <w:spacing w:val="0"/>
          <w:sz w:val="24"/>
          <w:szCs w:val="24"/>
          <w:highlight w:val="none"/>
        </w:rPr>
        <w:t>格式自拟</w:t>
      </w:r>
      <w:bookmarkEnd w:id="426"/>
      <w:bookmarkEnd w:id="427"/>
      <w:bookmarkEnd w:id="428"/>
    </w:p>
    <w:p w14:paraId="17175C5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7A7CDAD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3AFF5F8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sectPr>
          <w:footerReference r:id="rId26" w:type="default"/>
          <w:pgSz w:w="11906" w:h="16839"/>
          <w:pgMar w:top="1440" w:right="1080" w:bottom="1440" w:left="1080" w:header="0" w:footer="994" w:gutter="0"/>
          <w:pgNumType w:fmt="decimal"/>
          <w:cols w:space="720" w:num="1"/>
        </w:sectPr>
      </w:pPr>
    </w:p>
    <w:p w14:paraId="0EB5AEB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32"/>
          <w:szCs w:val="32"/>
          <w:highlight w:val="none"/>
        </w:rPr>
      </w:pPr>
      <w:r>
        <w:rPr>
          <w:rFonts w:hint="eastAsia" w:ascii="宋体" w:hAnsi="宋体" w:eastAsia="宋体" w:cs="宋体"/>
          <w:b/>
          <w:bCs/>
          <w:color w:val="auto"/>
          <w:spacing w:val="0"/>
          <w:sz w:val="32"/>
          <w:szCs w:val="32"/>
          <w:highlight w:val="none"/>
          <w:lang w:val="en-US" w:eastAsia="zh-CN"/>
        </w:rPr>
        <w:t>八</w:t>
      </w:r>
      <w:r>
        <w:rPr>
          <w:rFonts w:hint="eastAsia" w:ascii="宋体" w:hAnsi="宋体" w:eastAsia="宋体" w:cs="宋体"/>
          <w:b/>
          <w:bCs/>
          <w:color w:val="auto"/>
          <w:spacing w:val="0"/>
          <w:sz w:val="32"/>
          <w:szCs w:val="32"/>
          <w:highlight w:val="none"/>
        </w:rPr>
        <w:t>、其他材料</w:t>
      </w:r>
    </w:p>
    <w:p w14:paraId="5D83F88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p>
    <w:p w14:paraId="6F0A2E5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4"/>
          <w:szCs w:val="24"/>
          <w:highlight w:val="none"/>
        </w:rPr>
        <w:t>磋商文件中要求的资料或投标供应商认为针对本项目有必要提供的资料，附后。</w:t>
      </w:r>
    </w:p>
    <w:p w14:paraId="1161B1B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0"/>
          <w:szCs w:val="20"/>
          <w:highlight w:val="none"/>
        </w:rPr>
        <w:sectPr>
          <w:footerReference r:id="rId27" w:type="default"/>
          <w:pgSz w:w="11906" w:h="16839"/>
          <w:pgMar w:top="1440" w:right="1080" w:bottom="1440" w:left="1080" w:header="0" w:footer="994" w:gutter="0"/>
          <w:pgNumType w:fmt="decimal"/>
          <w:cols w:space="720" w:num="1"/>
        </w:sectPr>
      </w:pPr>
    </w:p>
    <w:p w14:paraId="29A4AA9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bCs/>
          <w:color w:val="auto"/>
          <w:spacing w:val="0"/>
          <w:sz w:val="28"/>
          <w:szCs w:val="28"/>
          <w:highlight w:val="none"/>
          <w:lang w:eastAsia="zh-CN"/>
        </w:rPr>
      </w:pPr>
      <w:r>
        <w:rPr>
          <w:rFonts w:hint="eastAsia" w:ascii="宋体" w:hAnsi="宋体" w:eastAsia="宋体" w:cs="宋体"/>
          <w:b/>
          <w:bCs/>
          <w:color w:val="auto"/>
          <w:spacing w:val="0"/>
          <w:sz w:val="28"/>
          <w:szCs w:val="28"/>
          <w:highlight w:val="none"/>
        </w:rPr>
        <w:t>附表</w:t>
      </w:r>
      <w:r>
        <w:rPr>
          <w:rFonts w:hint="eastAsia" w:ascii="宋体" w:hAnsi="宋体" w:eastAsia="宋体" w:cs="宋体"/>
          <w:b/>
          <w:bCs/>
          <w:color w:val="auto"/>
          <w:spacing w:val="0"/>
          <w:sz w:val="28"/>
          <w:szCs w:val="28"/>
          <w:highlight w:val="none"/>
          <w:lang w:eastAsia="zh-CN"/>
        </w:rPr>
        <w:t>：</w:t>
      </w:r>
    </w:p>
    <w:p w14:paraId="1675BBC2">
      <w:pPr>
        <w:pageBreakBefore w:val="0"/>
        <w:widowControl/>
        <w:kinsoku/>
        <w:wordWrap w:val="0"/>
        <w:overflowPunct/>
        <w:topLinePunct w:val="0"/>
        <w:autoSpaceDE w:val="0"/>
        <w:autoSpaceDN w:val="0"/>
        <w:bidi w:val="0"/>
        <w:adjustRightInd w:val="0"/>
        <w:snapToGrid w:val="0"/>
        <w:spacing w:before="0" w:beforeLines="20" w:after="0" w:afterLines="20" w:line="360" w:lineRule="auto"/>
        <w:ind w:right="0"/>
        <w:jc w:val="center"/>
        <w:textAlignment w:val="baseline"/>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最后报价</w:t>
      </w:r>
    </w:p>
    <w:p w14:paraId="7CC55404">
      <w:pPr>
        <w:pageBreakBefore w:val="0"/>
        <w:widowControl/>
        <w:kinsoku/>
        <w:wordWrap w:val="0"/>
        <w:overflowPunct/>
        <w:topLinePunct w:val="0"/>
        <w:autoSpaceDE w:val="0"/>
        <w:autoSpaceDN w:val="0"/>
        <w:bidi w:val="0"/>
        <w:adjustRightInd w:val="0"/>
        <w:snapToGrid w:val="0"/>
        <w:spacing w:before="0" w:beforeLines="20" w:after="0" w:afterLines="20" w:line="360" w:lineRule="auto"/>
        <w:ind w:right="0"/>
        <w:textAlignment w:val="baseline"/>
        <w:rPr>
          <w:rFonts w:hint="eastAsia" w:ascii="宋体" w:hAnsi="宋体" w:eastAsia="宋体" w:cs="宋体"/>
          <w:b w:val="0"/>
          <w:bCs w:val="0"/>
          <w:color w:val="auto"/>
          <w:spacing w:val="0"/>
          <w:sz w:val="24"/>
          <w:szCs w:val="24"/>
          <w:highlight w:val="none"/>
        </w:rPr>
      </w:pPr>
    </w:p>
    <w:p w14:paraId="6DEB993B">
      <w:pPr>
        <w:pageBreakBefore w:val="0"/>
        <w:widowControl/>
        <w:kinsoku/>
        <w:wordWrap w:val="0"/>
        <w:overflowPunct/>
        <w:topLinePunct w:val="0"/>
        <w:autoSpaceDE w:val="0"/>
        <w:autoSpaceDN w:val="0"/>
        <w:bidi w:val="0"/>
        <w:adjustRightInd w:val="0"/>
        <w:snapToGrid w:val="0"/>
        <w:spacing w:before="0" w:beforeLines="20" w:after="0" w:afterLines="20" w:line="360" w:lineRule="auto"/>
        <w:ind w:right="0"/>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备注：</w:t>
      </w:r>
    </w:p>
    <w:p w14:paraId="197F2D55">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right="0" w:firstLine="480" w:firstLineChars="200"/>
        <w:textAlignment w:val="baseline"/>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1、供应商接到通知后在规定时间内在政采云平台进行最后报价。</w:t>
      </w:r>
    </w:p>
    <w:p w14:paraId="6511A15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val="0"/>
          <w:bCs w:val="0"/>
          <w:color w:val="auto"/>
          <w:spacing w:val="0"/>
          <w:sz w:val="24"/>
          <w:szCs w:val="24"/>
          <w:highlight w:val="none"/>
        </w:rPr>
      </w:pPr>
    </w:p>
    <w:p w14:paraId="4B589B6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bCs/>
          <w:color w:val="auto"/>
          <w:spacing w:val="0"/>
          <w:sz w:val="43"/>
          <w:szCs w:val="43"/>
          <w:highlight w:val="none"/>
        </w:rPr>
      </w:pPr>
      <w:r>
        <w:rPr>
          <w:rFonts w:hint="eastAsia" w:ascii="宋体" w:hAnsi="宋体" w:eastAsia="宋体" w:cs="宋体"/>
          <w:b/>
          <w:bCs/>
          <w:color w:val="auto"/>
          <w:spacing w:val="0"/>
          <w:sz w:val="43"/>
          <w:szCs w:val="43"/>
          <w:highlight w:val="none"/>
        </w:rPr>
        <w:br w:type="page"/>
      </w:r>
    </w:p>
    <w:p w14:paraId="3A4F491B">
      <w:pPr>
        <w:pStyle w:val="2"/>
        <w:bidi w:val="0"/>
        <w:rPr>
          <w:rFonts w:hint="eastAsia" w:ascii="宋体" w:hAnsi="宋体" w:eastAsia="宋体" w:cs="宋体"/>
          <w:b/>
          <w:bCs/>
          <w:color w:val="auto"/>
          <w:spacing w:val="0"/>
          <w:sz w:val="32"/>
          <w:szCs w:val="32"/>
          <w:highlight w:val="none"/>
        </w:rPr>
      </w:pPr>
      <w:bookmarkStart w:id="429" w:name="_Toc9862"/>
      <w:r>
        <w:rPr>
          <w:rFonts w:hint="eastAsia" w:ascii="宋体" w:hAnsi="宋体" w:eastAsia="宋体" w:cs="宋体"/>
          <w:b/>
          <w:bCs/>
          <w:color w:val="auto"/>
          <w:spacing w:val="0"/>
          <w:sz w:val="32"/>
          <w:szCs w:val="32"/>
          <w:highlight w:val="none"/>
        </w:rPr>
        <w:t>第</w:t>
      </w:r>
      <w:r>
        <w:rPr>
          <w:rFonts w:hint="eastAsia" w:ascii="宋体" w:hAnsi="宋体" w:eastAsia="宋体" w:cs="宋体"/>
          <w:b/>
          <w:bCs/>
          <w:color w:val="auto"/>
          <w:spacing w:val="0"/>
          <w:sz w:val="32"/>
          <w:szCs w:val="32"/>
          <w:highlight w:val="none"/>
          <w:lang w:val="en-US" w:eastAsia="zh-CN"/>
        </w:rPr>
        <w:t>八</w:t>
      </w:r>
      <w:r>
        <w:rPr>
          <w:rFonts w:hint="eastAsia" w:ascii="宋体" w:hAnsi="宋体" w:eastAsia="宋体" w:cs="宋体"/>
          <w:b/>
          <w:bCs/>
          <w:color w:val="auto"/>
          <w:spacing w:val="0"/>
          <w:sz w:val="32"/>
          <w:szCs w:val="32"/>
          <w:highlight w:val="none"/>
        </w:rPr>
        <w:t xml:space="preserve">章 </w:t>
      </w:r>
      <w:r>
        <w:rPr>
          <w:rFonts w:hint="eastAsia" w:ascii="宋体" w:hAnsi="宋体" w:eastAsia="宋体" w:cs="宋体"/>
          <w:b/>
          <w:bCs/>
          <w:color w:val="auto"/>
          <w:spacing w:val="0"/>
          <w:sz w:val="32"/>
          <w:szCs w:val="32"/>
          <w:highlight w:val="none"/>
          <w:lang w:val="en-US" w:eastAsia="zh-CN"/>
        </w:rPr>
        <w:t xml:space="preserve"> </w:t>
      </w:r>
      <w:r>
        <w:rPr>
          <w:rFonts w:hint="eastAsia" w:ascii="宋体" w:hAnsi="宋体" w:eastAsia="宋体" w:cs="宋体"/>
          <w:b/>
          <w:bCs/>
          <w:color w:val="auto"/>
          <w:spacing w:val="0"/>
          <w:sz w:val="32"/>
          <w:szCs w:val="32"/>
          <w:highlight w:val="none"/>
        </w:rPr>
        <w:t>竞争性磋商办法</w:t>
      </w:r>
      <w:bookmarkEnd w:id="429"/>
    </w:p>
    <w:p w14:paraId="39D00710">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一、评审方法</w:t>
      </w:r>
    </w:p>
    <w:p w14:paraId="64E3B000">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Cs/>
          <w:snapToGrid w:val="0"/>
          <w:color w:val="auto"/>
          <w:spacing w:val="0"/>
          <w:sz w:val="24"/>
          <w:szCs w:val="24"/>
          <w:highlight w:val="none"/>
          <w:lang w:val="zh-CN" w:eastAsia="zh-CN"/>
        </w:rPr>
        <w:t>本项目采用综合评分法进行评审。</w:t>
      </w:r>
    </w:p>
    <w:p w14:paraId="7C695A15">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二、评审原则及程序</w:t>
      </w:r>
    </w:p>
    <w:p w14:paraId="6E99C45B">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（一）评审原则</w:t>
      </w:r>
    </w:p>
    <w:p w14:paraId="42BD3304">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磋商小组应当按照客观、公正、审慎的原则，根据磋商文件规定的评审程序、评审办法和评审标准进行独立评审。磋商文件内容违反国家有关强制性规定的，磋商小组应当停止评审并向采购人或者采购代理机构说明情况。</w:t>
      </w:r>
    </w:p>
    <w:p w14:paraId="791E7CA9">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（二）评审程序</w:t>
      </w:r>
    </w:p>
    <w:p w14:paraId="715AB5C2">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1、资格审查</w:t>
      </w:r>
    </w:p>
    <w:p w14:paraId="6C510740">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磋商小组依据法律法规和磋商文件中规定的内容，对供应商的资格（提交的资格证明材料）进行审查。未通过资格审查的供应商不能进入下一阶段评审；通过资格审查的供应商不足</w:t>
      </w:r>
      <w:r>
        <w:rPr>
          <w:rFonts w:hint="eastAsia" w:ascii="宋体" w:hAnsi="宋体" w:eastAsia="宋体" w:cs="宋体"/>
          <w:bCs/>
          <w:snapToGrid w:val="0"/>
          <w:color w:val="auto"/>
          <w:spacing w:val="0"/>
          <w:sz w:val="24"/>
          <w:szCs w:val="24"/>
          <w:highlight w:val="none"/>
          <w:lang w:val="en-US" w:eastAsia="zh-CN"/>
        </w:rPr>
        <w:t>3</w:t>
      </w:r>
      <w:r>
        <w:rPr>
          <w:rFonts w:hint="eastAsia" w:ascii="宋体" w:hAnsi="宋体" w:eastAsia="宋体" w:cs="宋体"/>
          <w:bCs/>
          <w:snapToGrid w:val="0"/>
          <w:color w:val="auto"/>
          <w:spacing w:val="0"/>
          <w:sz w:val="24"/>
          <w:szCs w:val="24"/>
          <w:highlight w:val="none"/>
          <w:lang w:val="zh-CN" w:eastAsia="zh-CN"/>
        </w:rPr>
        <w:t>家的，不得进入下一阶段评审。</w:t>
      </w:r>
    </w:p>
    <w:tbl>
      <w:tblPr>
        <w:tblStyle w:val="22"/>
        <w:tblW w:w="94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2"/>
        <w:gridCol w:w="7352"/>
      </w:tblGrid>
      <w:tr w14:paraId="522A2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jc w:val="center"/>
        </w:trPr>
        <w:tc>
          <w:tcPr>
            <w:tcW w:w="2052" w:type="dxa"/>
            <w:vAlign w:val="center"/>
          </w:tcPr>
          <w:p w14:paraId="30B346ED">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评审因素</w:t>
            </w:r>
          </w:p>
        </w:tc>
        <w:tc>
          <w:tcPr>
            <w:tcW w:w="7352" w:type="dxa"/>
            <w:vAlign w:val="center"/>
          </w:tcPr>
          <w:p w14:paraId="25AB887E">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评审标准</w:t>
            </w:r>
          </w:p>
        </w:tc>
      </w:tr>
      <w:tr w14:paraId="2EC5E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2052" w:type="dxa"/>
            <w:vAlign w:val="center"/>
          </w:tcPr>
          <w:p w14:paraId="172F6BD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营业执照</w:t>
            </w:r>
          </w:p>
        </w:tc>
        <w:tc>
          <w:tcPr>
            <w:tcW w:w="7352" w:type="dxa"/>
            <w:vAlign w:val="center"/>
          </w:tcPr>
          <w:p w14:paraId="5AC6FFE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具备有效的营业执照，并提供营业执照（副本），标书内复印件加盖公章。</w:t>
            </w:r>
          </w:p>
        </w:tc>
      </w:tr>
      <w:tr w14:paraId="55AA2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052" w:type="dxa"/>
            <w:vAlign w:val="center"/>
          </w:tcPr>
          <w:p w14:paraId="33B9D587">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zh-CN"/>
              </w:rPr>
              <w:t>安全生产许可证</w:t>
            </w:r>
          </w:p>
        </w:tc>
        <w:tc>
          <w:tcPr>
            <w:tcW w:w="7352" w:type="dxa"/>
            <w:vAlign w:val="center"/>
          </w:tcPr>
          <w:p w14:paraId="53956FE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具备有效的安全生产许可证，提供安全生产许可证，标书中附加盖公章的复印件。</w:t>
            </w:r>
          </w:p>
        </w:tc>
      </w:tr>
      <w:tr w14:paraId="0B891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2052" w:type="dxa"/>
            <w:vAlign w:val="center"/>
          </w:tcPr>
          <w:p w14:paraId="014C1789">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zh-CN"/>
              </w:rPr>
              <w:t>资质等级</w:t>
            </w:r>
          </w:p>
        </w:tc>
        <w:tc>
          <w:tcPr>
            <w:tcW w:w="7352" w:type="dxa"/>
            <w:vAlign w:val="center"/>
          </w:tcPr>
          <w:p w14:paraId="6DAFF89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供应商具有独立法人资格，具有有效的营业执照，具备建设行政主管部门核发的建筑工程施工总承包叁级（含叁级）及以上资质，(注:1.在住房和城乡建设部网站已公告通过延续的建筑业企业，可以正常参加招投标活动。企业在投标文件中提供住房和城乡建设部网站关于核准建设工程企业资质延续名单公告的截图，即视为该企业资质延续有效，可正常参与投标。2.根据《吉林省住房和城乡建设厅关于建筑业企业资质延续有关事宜的通知》(吉建管(2023)23号)文件要求，吉林省住建厅核发建筑业企业三级总承包、三级专业承包资质，自2024年7月1日起，原资质许可机关不再受理资质换证申请，相应证书逾期自动作废。3.其他省(市)核发的资质涉及有效期届满有效期延续问题的，按照当地建设行政主管部门文件执行。投标文件内须提供当地住房和城乡建设部门官方网站发布的准予延期的文件截图及网址，否则不予认定)具有有效的安全生产许可证，并在人员、设备、资金等方面具有相应的施工能力。</w:t>
            </w:r>
          </w:p>
          <w:p w14:paraId="4203212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提供资质证书，标书内复印件加盖公章。</w:t>
            </w:r>
          </w:p>
        </w:tc>
      </w:tr>
      <w:tr w14:paraId="3F084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052" w:type="dxa"/>
            <w:vAlign w:val="center"/>
          </w:tcPr>
          <w:p w14:paraId="1BF77E35">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中小企业声明函</w:t>
            </w:r>
          </w:p>
        </w:tc>
        <w:tc>
          <w:tcPr>
            <w:tcW w:w="7352" w:type="dxa"/>
            <w:vAlign w:val="center"/>
          </w:tcPr>
          <w:p w14:paraId="4FAFC71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both"/>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根据《政府采购促进中小企业发展管理办法》规定，本项目全部面向中小企业采购。需要落实的政府采购政策：执行《关于政府采购支持监狱企业发展有关问题的通知》（财库〔2014〕68号）、《关于促进残疾人就业政府采购政策的通知》（财库〔2017〕141号）、《关于调整优化节能产品、环境标志产品政府采购执行机制的通知》（财库〔2019〕9号）、《政府采购促进中小企业发展管理办法》（财库〔2020〕46号）及《关于进一步加大政府采购支持中小企业力度的通知》（财库〔2022〕19号）。本项目所属行业为：建筑业。</w:t>
            </w:r>
          </w:p>
          <w:p w14:paraId="3706E79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both"/>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投标文件内附中小企业声明函。</w:t>
            </w:r>
          </w:p>
        </w:tc>
      </w:tr>
      <w:tr w14:paraId="795C3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jc w:val="center"/>
        </w:trPr>
        <w:tc>
          <w:tcPr>
            <w:tcW w:w="2052" w:type="dxa"/>
            <w:vAlign w:val="center"/>
          </w:tcPr>
          <w:p w14:paraId="2F80DD5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财务状况</w:t>
            </w:r>
          </w:p>
        </w:tc>
        <w:tc>
          <w:tcPr>
            <w:tcW w:w="7352" w:type="dxa"/>
            <w:vAlign w:val="center"/>
          </w:tcPr>
          <w:p w14:paraId="50BEE2A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both"/>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财务状况良好，提供近三年（2023年度、2024年度、2025年度）经会计师事务所审计的财务审计报告（成立不足三年企业提供就近年份的，2026新成立公司提供财务状况良好承诺书）</w:t>
            </w:r>
          </w:p>
        </w:tc>
      </w:tr>
      <w:tr w14:paraId="0AF9E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jc w:val="center"/>
        </w:trPr>
        <w:tc>
          <w:tcPr>
            <w:tcW w:w="2052" w:type="dxa"/>
            <w:vAlign w:val="center"/>
          </w:tcPr>
          <w:p w14:paraId="7324830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依法纳税和依法缴纳社会保障资金</w:t>
            </w:r>
            <w:r>
              <w:rPr>
                <w:rFonts w:hint="eastAsia" w:ascii="宋体" w:hAnsi="宋体" w:eastAsia="宋体" w:cs="宋体"/>
                <w:bCs/>
                <w:snapToGrid w:val="0"/>
                <w:color w:val="auto"/>
                <w:spacing w:val="0"/>
                <w:sz w:val="24"/>
                <w:szCs w:val="24"/>
                <w:highlight w:val="none"/>
                <w:lang w:val="en-US" w:eastAsia="zh-CN"/>
              </w:rPr>
              <w:t>证明</w:t>
            </w:r>
          </w:p>
        </w:tc>
        <w:tc>
          <w:tcPr>
            <w:tcW w:w="7352" w:type="dxa"/>
            <w:vAlign w:val="center"/>
          </w:tcPr>
          <w:p w14:paraId="53E0655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both"/>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企业依法缴纳税收和社会保障资金的相关材料（时间要求：2026年度任意一个月），依法免税的提供相关证明材料。</w:t>
            </w:r>
          </w:p>
        </w:tc>
      </w:tr>
      <w:tr w14:paraId="754C4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jc w:val="center"/>
        </w:trPr>
        <w:tc>
          <w:tcPr>
            <w:tcW w:w="2052" w:type="dxa"/>
            <w:vAlign w:val="center"/>
          </w:tcPr>
          <w:p w14:paraId="6587848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snapToGrid w:val="0"/>
                <w:color w:val="auto"/>
                <w:spacing w:val="0"/>
                <w:kern w:val="0"/>
                <w:sz w:val="24"/>
                <w:szCs w:val="24"/>
                <w:highlight w:val="none"/>
                <w:lang w:val="zh-CN" w:eastAsia="zh-CN" w:bidi="ar-SA"/>
              </w:rPr>
            </w:pPr>
            <w:r>
              <w:rPr>
                <w:rFonts w:hint="eastAsia" w:ascii="宋体" w:hAnsi="宋体" w:eastAsia="宋体" w:cs="宋体"/>
                <w:bCs/>
                <w:snapToGrid w:val="0"/>
                <w:color w:val="auto"/>
                <w:spacing w:val="0"/>
                <w:sz w:val="24"/>
                <w:szCs w:val="24"/>
                <w:highlight w:val="none"/>
                <w:lang w:val="zh-CN" w:eastAsia="zh-CN"/>
              </w:rPr>
              <w:t>信誉要求</w:t>
            </w:r>
          </w:p>
        </w:tc>
        <w:tc>
          <w:tcPr>
            <w:tcW w:w="7352" w:type="dxa"/>
            <w:vAlign w:val="center"/>
          </w:tcPr>
          <w:p w14:paraId="5F9665F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both"/>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拒绝列入政府取消投标资格记录期间的企业或个人投标。（2）未被工商行政管理机关在全国企业信用信息公示系统（www.gsxt.gov.cn）中列入严重违法失信企业名单。（3）供应商应通过“信用中国”网站（www.creditchina.gov.cn）、中国政府采购网（www.ccgp.gov.cn）等渠道查询信用记录。对列入失信被执行人、重大税收违法案件当事人名单、政府采购严重违法失信行为记录名单及其他不符合《中华人民共和国政府采购法》第二十二条规定条件的供应商，拒绝其参与政府采购活动。（4）供应商和其法定代表人及拟委派的项目经理（2023年1月1日至投标截止前10日内）未在“中国裁判文书网”（wenshu.court.gov.cn）上有行贿犯罪行为。</w:t>
            </w:r>
          </w:p>
          <w:p w14:paraId="6D0B848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both"/>
              <w:textAlignment w:val="baseline"/>
              <w:rPr>
                <w:rFonts w:hint="default" w:ascii="宋体" w:hAnsi="宋体" w:eastAsia="宋体" w:cs="宋体"/>
                <w:bCs/>
                <w:snapToGrid w:val="0"/>
                <w:color w:val="auto"/>
                <w:spacing w:val="0"/>
                <w:kern w:val="0"/>
                <w:sz w:val="24"/>
                <w:szCs w:val="24"/>
                <w:highlight w:val="none"/>
                <w:lang w:val="en-US" w:eastAsia="zh-CN" w:bidi="ar-SA"/>
              </w:rPr>
            </w:pPr>
            <w:r>
              <w:rPr>
                <w:rFonts w:hint="eastAsia" w:ascii="宋体" w:hAnsi="宋体" w:eastAsia="宋体" w:cs="宋体"/>
                <w:bCs/>
                <w:snapToGrid w:val="0"/>
                <w:color w:val="auto"/>
                <w:spacing w:val="0"/>
                <w:sz w:val="24"/>
                <w:szCs w:val="24"/>
                <w:highlight w:val="none"/>
                <w:lang w:val="zh-CN" w:eastAsia="zh-CN"/>
              </w:rPr>
              <w:t>注：此</w:t>
            </w:r>
            <w:r>
              <w:rPr>
                <w:rFonts w:hint="eastAsia" w:ascii="宋体" w:hAnsi="宋体" w:eastAsia="宋体" w:cs="宋体"/>
                <w:bCs/>
                <w:snapToGrid w:val="0"/>
                <w:color w:val="auto"/>
                <w:spacing w:val="0"/>
                <w:sz w:val="24"/>
                <w:szCs w:val="24"/>
                <w:highlight w:val="none"/>
                <w:lang w:val="en-US" w:eastAsia="zh-CN"/>
              </w:rPr>
              <w:t>4项</w:t>
            </w:r>
            <w:r>
              <w:rPr>
                <w:rFonts w:hint="eastAsia" w:ascii="宋体" w:hAnsi="宋体" w:eastAsia="宋体" w:cs="宋体"/>
                <w:bCs/>
                <w:snapToGrid w:val="0"/>
                <w:color w:val="auto"/>
                <w:spacing w:val="0"/>
                <w:sz w:val="24"/>
                <w:szCs w:val="24"/>
                <w:highlight w:val="none"/>
                <w:lang w:val="zh-CN" w:eastAsia="zh-CN"/>
              </w:rPr>
              <w:t>提供由法定代表人签字并加盖公章的承诺书。提供第（</w:t>
            </w:r>
            <w:r>
              <w:rPr>
                <w:rFonts w:hint="eastAsia" w:ascii="宋体" w:hAnsi="宋体" w:eastAsia="宋体" w:cs="宋体"/>
                <w:bCs/>
                <w:snapToGrid w:val="0"/>
                <w:color w:val="auto"/>
                <w:spacing w:val="0"/>
                <w:sz w:val="24"/>
                <w:szCs w:val="24"/>
                <w:highlight w:val="none"/>
                <w:lang w:val="en-US" w:eastAsia="zh-CN"/>
              </w:rPr>
              <w:t>2</w:t>
            </w:r>
            <w:r>
              <w:rPr>
                <w:rFonts w:hint="eastAsia" w:ascii="宋体" w:hAnsi="宋体" w:eastAsia="宋体" w:cs="宋体"/>
                <w:bCs/>
                <w:snapToGrid w:val="0"/>
                <w:color w:val="auto"/>
                <w:spacing w:val="0"/>
                <w:sz w:val="24"/>
                <w:szCs w:val="24"/>
                <w:highlight w:val="none"/>
                <w:lang w:val="zh-CN" w:eastAsia="zh-CN"/>
              </w:rPr>
              <w:t>）</w:t>
            </w:r>
            <w:r>
              <w:rPr>
                <w:rFonts w:hint="eastAsia" w:ascii="宋体" w:hAnsi="宋体" w:eastAsia="宋体" w:cs="宋体"/>
                <w:bCs/>
                <w:snapToGrid w:val="0"/>
                <w:color w:val="auto"/>
                <w:spacing w:val="0"/>
                <w:sz w:val="24"/>
                <w:szCs w:val="24"/>
                <w:highlight w:val="none"/>
                <w:lang w:val="en-US" w:eastAsia="zh-CN"/>
              </w:rPr>
              <w:t>-（4）网查截图</w:t>
            </w:r>
            <w:bookmarkStart w:id="435" w:name="_GoBack"/>
            <w:bookmarkEnd w:id="435"/>
          </w:p>
        </w:tc>
      </w:tr>
      <w:tr w14:paraId="64004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2" w:hRule="atLeast"/>
          <w:jc w:val="center"/>
        </w:trPr>
        <w:tc>
          <w:tcPr>
            <w:tcW w:w="2052" w:type="dxa"/>
            <w:vAlign w:val="center"/>
          </w:tcPr>
          <w:p w14:paraId="20D029C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color w:val="auto"/>
                <w:spacing w:val="0"/>
                <w:sz w:val="24"/>
                <w:szCs w:val="24"/>
                <w:highlight w:val="none"/>
                <w:lang w:val="zh-CN"/>
              </w:rPr>
              <w:t>项目经理及项目管理机构</w:t>
            </w:r>
          </w:p>
        </w:tc>
        <w:tc>
          <w:tcPr>
            <w:tcW w:w="7352" w:type="dxa"/>
            <w:vAlign w:val="center"/>
          </w:tcPr>
          <w:p w14:paraId="71785B8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lang w:val="zh-CN"/>
              </w:rPr>
            </w:pPr>
            <w:r>
              <w:rPr>
                <w:rFonts w:hint="eastAsia" w:ascii="宋体" w:hAnsi="宋体" w:eastAsia="宋体" w:cs="宋体"/>
                <w:color w:val="auto"/>
                <w:spacing w:val="0"/>
                <w:sz w:val="24"/>
                <w:szCs w:val="24"/>
                <w:highlight w:val="none"/>
                <w:lang w:val="zh-CN"/>
              </w:rPr>
              <w:t>项目经理：投标人拟派项目经理须具备建设行政主管部门核发的</w:t>
            </w:r>
            <w:r>
              <w:rPr>
                <w:rFonts w:hint="eastAsia" w:ascii="宋体" w:hAnsi="宋体" w:eastAsia="宋体" w:cs="宋体"/>
                <w:color w:val="auto"/>
                <w:spacing w:val="0"/>
                <w:sz w:val="24"/>
                <w:szCs w:val="24"/>
                <w:highlight w:val="none"/>
                <w:lang w:val="zh-CN" w:eastAsia="zh-CN"/>
              </w:rPr>
              <w:t>建筑工程</w:t>
            </w:r>
            <w:r>
              <w:rPr>
                <w:rFonts w:hint="eastAsia" w:ascii="宋体" w:hAnsi="宋体" w:eastAsia="宋体" w:cs="宋体"/>
                <w:color w:val="auto"/>
                <w:spacing w:val="0"/>
                <w:sz w:val="24"/>
                <w:szCs w:val="24"/>
                <w:highlight w:val="none"/>
                <w:lang w:val="zh-CN"/>
              </w:rPr>
              <w:t>专业贰级（含贰级）及以上注册建造师执业资格，具备有效的安全生产考核合格证书(B类)</w:t>
            </w:r>
            <w:r>
              <w:rPr>
                <w:rFonts w:hint="eastAsia" w:ascii="宋体" w:hAnsi="宋体" w:eastAsia="宋体" w:cs="宋体"/>
                <w:color w:val="auto"/>
                <w:spacing w:val="0"/>
                <w:sz w:val="24"/>
                <w:szCs w:val="24"/>
                <w:highlight w:val="none"/>
                <w:lang w:val="zh-CN" w:eastAsia="zh-CN"/>
              </w:rPr>
              <w:t>及个人社保证明材料（个人社保时间要求：2026年度任意一个月）</w:t>
            </w:r>
            <w:r>
              <w:rPr>
                <w:rFonts w:hint="eastAsia" w:ascii="宋体" w:hAnsi="宋体" w:eastAsia="宋体" w:cs="宋体"/>
                <w:color w:val="auto"/>
                <w:spacing w:val="0"/>
                <w:sz w:val="24"/>
                <w:szCs w:val="24"/>
                <w:highlight w:val="none"/>
                <w:lang w:val="zh-CN"/>
              </w:rPr>
              <w:t>，且未担任其他在施建设工程项目的项目经理。</w:t>
            </w:r>
            <w:r>
              <w:rPr>
                <w:rFonts w:hint="eastAsia" w:ascii="宋体" w:hAnsi="宋体" w:eastAsia="宋体" w:cs="宋体"/>
                <w:color w:val="auto"/>
                <w:spacing w:val="0"/>
                <w:sz w:val="24"/>
                <w:szCs w:val="24"/>
                <w:highlight w:val="none"/>
                <w:lang w:val="en-US" w:eastAsia="zh-CN"/>
              </w:rPr>
              <w:t>提供</w:t>
            </w:r>
            <w:r>
              <w:rPr>
                <w:rFonts w:hint="eastAsia" w:ascii="宋体" w:hAnsi="宋体" w:eastAsia="宋体" w:cs="宋体"/>
                <w:color w:val="auto"/>
                <w:spacing w:val="0"/>
                <w:sz w:val="24"/>
                <w:szCs w:val="24"/>
                <w:highlight w:val="none"/>
                <w:lang w:val="zh-CN" w:eastAsia="zh-CN"/>
              </w:rPr>
              <w:t>由法人和项目经理签字的无在建承诺书（格式自拟）</w:t>
            </w:r>
            <w:r>
              <w:rPr>
                <w:rFonts w:hint="eastAsia" w:ascii="宋体" w:hAnsi="宋体" w:eastAsia="宋体" w:cs="宋体"/>
                <w:color w:val="auto"/>
                <w:spacing w:val="0"/>
                <w:sz w:val="24"/>
                <w:szCs w:val="24"/>
                <w:highlight w:val="none"/>
                <w:lang w:val="zh-CN"/>
              </w:rPr>
              <w:t>。</w:t>
            </w:r>
          </w:p>
          <w:p w14:paraId="1E28A16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val="zh-CN"/>
              </w:rPr>
              <w:t>其他人员要求：拟派出的技术负责人须具备相关专业中级（含）以上的技术职称，且施工员、质量员、安全员人员</w:t>
            </w:r>
            <w:r>
              <w:rPr>
                <w:rFonts w:hint="eastAsia" w:ascii="宋体" w:hAnsi="宋体" w:eastAsia="宋体" w:cs="宋体"/>
                <w:color w:val="auto"/>
                <w:spacing w:val="0"/>
                <w:sz w:val="24"/>
                <w:szCs w:val="24"/>
                <w:highlight w:val="none"/>
                <w:lang w:val="zh-CN" w:eastAsia="zh-CN"/>
              </w:rPr>
              <w:t>配备</w:t>
            </w:r>
            <w:r>
              <w:rPr>
                <w:rFonts w:hint="eastAsia" w:ascii="宋体" w:hAnsi="宋体" w:eastAsia="宋体" w:cs="宋体"/>
                <w:color w:val="auto"/>
                <w:spacing w:val="0"/>
                <w:sz w:val="24"/>
                <w:szCs w:val="24"/>
                <w:highlight w:val="none"/>
                <w:lang w:val="zh-CN"/>
              </w:rPr>
              <w:t>齐全</w:t>
            </w:r>
            <w:r>
              <w:rPr>
                <w:rFonts w:hint="eastAsia" w:ascii="宋体" w:hAnsi="宋体" w:eastAsia="宋体" w:cs="宋体"/>
                <w:color w:val="auto"/>
                <w:spacing w:val="0"/>
                <w:sz w:val="24"/>
                <w:szCs w:val="24"/>
                <w:highlight w:val="none"/>
                <w:lang w:val="zh-CN" w:eastAsia="zh-CN"/>
              </w:rPr>
              <w:t>,提供岗位证书及个人社保证明材料（个人社保时间要求：2026年度任意一个月）。</w:t>
            </w:r>
          </w:p>
          <w:p w14:paraId="4E86DF3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color w:val="auto"/>
                <w:spacing w:val="0"/>
                <w:sz w:val="24"/>
                <w:szCs w:val="24"/>
                <w:highlight w:val="none"/>
                <w:lang w:val="zh-CN"/>
              </w:rPr>
              <w:t>启用电子证书的供应商，响应文件内附电子证书的有效查询网址，信息真伪由磋商小组登录其提供的有效网址进行查询确认。</w:t>
            </w:r>
          </w:p>
        </w:tc>
      </w:tr>
      <w:tr w14:paraId="2EF30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2052" w:type="dxa"/>
            <w:vAlign w:val="center"/>
          </w:tcPr>
          <w:p w14:paraId="5D9BB776">
            <w:pPr>
              <w:pageBreakBefore w:val="0"/>
              <w:widowControl/>
              <w:tabs>
                <w:tab w:val="left" w:pos="200"/>
              </w:tabs>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color w:val="auto"/>
                <w:spacing w:val="0"/>
                <w:sz w:val="24"/>
                <w:szCs w:val="24"/>
                <w:highlight w:val="none"/>
              </w:rPr>
              <w:t>履约历史</w:t>
            </w:r>
          </w:p>
        </w:tc>
        <w:tc>
          <w:tcPr>
            <w:tcW w:w="7352" w:type="dxa"/>
            <w:vAlign w:val="center"/>
          </w:tcPr>
          <w:p w14:paraId="4CAA215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left"/>
              <w:textAlignment w:val="baseline"/>
              <w:rPr>
                <w:rFonts w:hint="eastAsia" w:ascii="宋体" w:hAnsi="宋体" w:eastAsia="宋体" w:cs="宋体"/>
                <w:color w:val="auto"/>
                <w:spacing w:val="0"/>
                <w:sz w:val="24"/>
                <w:szCs w:val="24"/>
                <w:highlight w:val="none"/>
                <w:lang w:val="zh-CN"/>
              </w:rPr>
            </w:pPr>
            <w:r>
              <w:rPr>
                <w:rFonts w:hint="eastAsia" w:ascii="宋体" w:hAnsi="宋体" w:eastAsia="宋体" w:cs="宋体"/>
                <w:color w:val="auto"/>
                <w:spacing w:val="0"/>
                <w:sz w:val="24"/>
                <w:szCs w:val="24"/>
                <w:highlight w:val="none"/>
                <w:lang w:val="zh-CN"/>
              </w:rPr>
              <w:t>（20</w:t>
            </w: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val="zh-CN"/>
              </w:rPr>
              <w:t>年至</w:t>
            </w:r>
            <w:r>
              <w:rPr>
                <w:rFonts w:hint="eastAsia" w:ascii="宋体" w:hAnsi="宋体" w:eastAsia="宋体" w:cs="宋体"/>
                <w:color w:val="auto"/>
                <w:spacing w:val="0"/>
                <w:sz w:val="24"/>
                <w:szCs w:val="24"/>
                <w:highlight w:val="none"/>
              </w:rPr>
              <w:t>今</w:t>
            </w:r>
            <w:r>
              <w:rPr>
                <w:rFonts w:hint="eastAsia" w:ascii="宋体" w:hAnsi="宋体" w:eastAsia="宋体" w:cs="宋体"/>
                <w:color w:val="auto"/>
                <w:spacing w:val="0"/>
                <w:sz w:val="24"/>
                <w:szCs w:val="24"/>
                <w:highlight w:val="none"/>
                <w:lang w:val="zh-CN"/>
              </w:rPr>
              <w:t>）没有骗取中标和严重违约及严重工程质量问题。</w:t>
            </w:r>
          </w:p>
          <w:p w14:paraId="12802DF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color w:val="auto"/>
                <w:spacing w:val="0"/>
                <w:sz w:val="24"/>
                <w:szCs w:val="24"/>
                <w:highlight w:val="none"/>
                <w:lang w:val="zh-CN"/>
              </w:rPr>
              <w:t>标书内提供加盖公章及法定代表人签字并盖章的承诺书。</w:t>
            </w:r>
          </w:p>
        </w:tc>
      </w:tr>
      <w:tr w14:paraId="13430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jc w:val="center"/>
        </w:trPr>
        <w:tc>
          <w:tcPr>
            <w:tcW w:w="2052" w:type="dxa"/>
            <w:vAlign w:val="center"/>
          </w:tcPr>
          <w:p w14:paraId="0C35339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color w:val="auto"/>
                <w:spacing w:val="0"/>
                <w:sz w:val="24"/>
                <w:szCs w:val="24"/>
                <w:highlight w:val="none"/>
                <w:lang w:val="zh-CN"/>
              </w:rPr>
              <w:t>不存在禁止投标的情形</w:t>
            </w:r>
          </w:p>
        </w:tc>
        <w:tc>
          <w:tcPr>
            <w:tcW w:w="7352" w:type="dxa"/>
            <w:vAlign w:val="center"/>
          </w:tcPr>
          <w:p w14:paraId="74C0A7D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color w:val="auto"/>
                <w:spacing w:val="0"/>
                <w:sz w:val="24"/>
                <w:szCs w:val="24"/>
                <w:highlight w:val="none"/>
                <w:lang w:val="zh-CN"/>
              </w:rPr>
              <w:t>不存在第二章“供应商须知”第</w:t>
            </w:r>
            <w:r>
              <w:rPr>
                <w:rFonts w:hint="eastAsia" w:ascii="宋体" w:hAnsi="宋体" w:eastAsia="宋体" w:cs="宋体"/>
                <w:color w:val="auto"/>
                <w:spacing w:val="0"/>
                <w:sz w:val="24"/>
                <w:szCs w:val="24"/>
                <w:highlight w:val="none"/>
              </w:rPr>
              <w:t>1.4.</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项</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1.4.3</w:t>
            </w:r>
            <w:r>
              <w:rPr>
                <w:rFonts w:hint="eastAsia" w:ascii="宋体" w:hAnsi="宋体" w:eastAsia="宋体" w:cs="宋体"/>
                <w:color w:val="auto"/>
                <w:spacing w:val="0"/>
                <w:sz w:val="24"/>
                <w:szCs w:val="24"/>
                <w:highlight w:val="none"/>
              </w:rPr>
              <w:t>项规定的任何一种情形</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投标文件内附由法定代表人</w:t>
            </w:r>
            <w:r>
              <w:rPr>
                <w:rFonts w:hint="eastAsia" w:ascii="宋体" w:hAnsi="宋体" w:eastAsia="宋体" w:cs="宋体"/>
                <w:color w:val="auto"/>
                <w:spacing w:val="0"/>
                <w:sz w:val="24"/>
                <w:szCs w:val="24"/>
                <w:highlight w:val="none"/>
                <w:lang w:eastAsia="zh-CN"/>
              </w:rPr>
              <w:t>盖章</w:t>
            </w:r>
            <w:r>
              <w:rPr>
                <w:rFonts w:hint="eastAsia" w:ascii="宋体" w:hAnsi="宋体" w:eastAsia="宋体" w:cs="宋体"/>
                <w:color w:val="auto"/>
                <w:spacing w:val="0"/>
                <w:sz w:val="24"/>
                <w:szCs w:val="24"/>
                <w:highlight w:val="none"/>
              </w:rPr>
              <w:t>并加盖投标单位公章的承诺书</w:t>
            </w:r>
            <w:r>
              <w:rPr>
                <w:rFonts w:hint="eastAsia" w:ascii="宋体" w:hAnsi="宋体" w:eastAsia="宋体" w:cs="宋体"/>
                <w:color w:val="auto"/>
                <w:spacing w:val="0"/>
                <w:sz w:val="24"/>
                <w:szCs w:val="24"/>
                <w:highlight w:val="none"/>
                <w:lang w:eastAsia="zh-CN"/>
              </w:rPr>
              <w:t>。</w:t>
            </w:r>
          </w:p>
        </w:tc>
      </w:tr>
    </w:tbl>
    <w:p w14:paraId="7CD5506C">
      <w:pPr>
        <w:pageBreakBefore w:val="0"/>
        <w:widowControl/>
        <w:kinsoku/>
        <w:wordWrap w:val="0"/>
        <w:overflowPunct/>
        <w:topLinePunct w:val="0"/>
        <w:autoSpaceDE w:val="0"/>
        <w:autoSpaceDN w:val="0"/>
        <w:bidi w:val="0"/>
        <w:adjustRightInd w:val="0"/>
        <w:snapToGrid w:val="0"/>
        <w:spacing w:before="0" w:beforeLines="20" w:after="0" w:afterLines="20" w:line="360" w:lineRule="auto"/>
        <w:ind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bCs/>
          <w:snapToGrid w:val="0"/>
          <w:color w:val="auto"/>
          <w:spacing w:val="0"/>
          <w:sz w:val="24"/>
          <w:szCs w:val="24"/>
          <w:highlight w:val="none"/>
          <w:lang w:val="zh-CN" w:eastAsia="zh-CN"/>
        </w:rPr>
        <w:t>注：</w:t>
      </w:r>
      <w:r>
        <w:rPr>
          <w:rFonts w:hint="eastAsia" w:ascii="宋体" w:hAnsi="宋体" w:eastAsia="宋体" w:cs="宋体"/>
          <w:bCs/>
          <w:snapToGrid w:val="0"/>
          <w:color w:val="auto"/>
          <w:spacing w:val="0"/>
          <w:kern w:val="0"/>
          <w:sz w:val="24"/>
          <w:szCs w:val="24"/>
          <w:lang w:val="zh-CN" w:eastAsia="zh-CN" w:bidi="ar-SA"/>
        </w:rPr>
        <w:t>1、</w:t>
      </w:r>
      <w:r>
        <w:rPr>
          <w:rFonts w:hint="eastAsia" w:ascii="宋体" w:hAnsi="宋体" w:eastAsia="宋体" w:cs="宋体"/>
          <w:bCs/>
          <w:snapToGrid w:val="0"/>
          <w:color w:val="auto"/>
          <w:spacing w:val="0"/>
          <w:sz w:val="24"/>
          <w:szCs w:val="24"/>
          <w:highlight w:val="none"/>
          <w:lang w:val="zh-CN" w:eastAsia="zh-CN"/>
        </w:rPr>
        <w:t>上述审查项目中，有一项不符合采购文件要求，该响应文件则作无效投标处理，不再进入符合性审查。2、本表由磋商小组共同商议基础上给出结论，意见不一致时，按照少数服从多数的原则确定。</w:t>
      </w:r>
    </w:p>
    <w:p w14:paraId="4851F85B">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2、符合性审查</w:t>
      </w:r>
    </w:p>
    <w:p w14:paraId="6D856975">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符合性审查是指依据磋商文件的规定，从响应文件的有效性和完整性对磋商文件的响应程度进行审查，以确定是否对磋商文件的实质性要求做出响应。供应商应按照《响应文件内容及格式》中的相应要求，提交符合性证明材料。未通过符合性审查的供应商不能进入下一阶段评审，其响应将被认定为无效响应；通过符合性审查的供应商数量不足</w:t>
      </w:r>
      <w:r>
        <w:rPr>
          <w:rFonts w:hint="eastAsia" w:ascii="宋体" w:hAnsi="宋体" w:eastAsia="宋体" w:cs="宋体"/>
          <w:bCs/>
          <w:snapToGrid w:val="0"/>
          <w:color w:val="auto"/>
          <w:spacing w:val="0"/>
          <w:sz w:val="24"/>
          <w:szCs w:val="24"/>
          <w:highlight w:val="none"/>
          <w:lang w:val="en-US" w:eastAsia="zh-CN"/>
        </w:rPr>
        <w:t>3</w:t>
      </w:r>
      <w:r>
        <w:rPr>
          <w:rFonts w:hint="eastAsia" w:ascii="宋体" w:hAnsi="宋体" w:eastAsia="宋体" w:cs="宋体"/>
          <w:bCs/>
          <w:snapToGrid w:val="0"/>
          <w:color w:val="auto"/>
          <w:spacing w:val="0"/>
          <w:sz w:val="24"/>
          <w:szCs w:val="24"/>
          <w:highlight w:val="none"/>
          <w:lang w:val="zh-CN" w:eastAsia="zh-CN"/>
        </w:rPr>
        <w:t>家的，不得做进一步的比较和评价。</w:t>
      </w:r>
    </w:p>
    <w:tbl>
      <w:tblPr>
        <w:tblStyle w:val="22"/>
        <w:tblW w:w="96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3"/>
        <w:gridCol w:w="7389"/>
      </w:tblGrid>
      <w:tr w14:paraId="35DA2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2213" w:type="dxa"/>
            <w:vAlign w:val="center"/>
          </w:tcPr>
          <w:p w14:paraId="73312526">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评审因素</w:t>
            </w:r>
          </w:p>
        </w:tc>
        <w:tc>
          <w:tcPr>
            <w:tcW w:w="7389" w:type="dxa"/>
            <w:vAlign w:val="center"/>
          </w:tcPr>
          <w:p w14:paraId="651D8F08">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评审标准</w:t>
            </w:r>
          </w:p>
        </w:tc>
      </w:tr>
      <w:tr w14:paraId="25345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13" w:type="dxa"/>
            <w:vAlign w:val="center"/>
          </w:tcPr>
          <w:p w14:paraId="0B88209E">
            <w:pPr>
              <w:pageBreakBefore w:val="0"/>
              <w:widowControl/>
              <w:tabs>
                <w:tab w:val="left" w:pos="200"/>
              </w:tabs>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供应商名称</w:t>
            </w:r>
          </w:p>
        </w:tc>
        <w:tc>
          <w:tcPr>
            <w:tcW w:w="7389" w:type="dxa"/>
            <w:vAlign w:val="center"/>
          </w:tcPr>
          <w:p w14:paraId="363C6FA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left"/>
              <w:textAlignment w:val="baseline"/>
              <w:rPr>
                <w:rFonts w:hint="eastAsia" w:ascii="宋体" w:hAnsi="宋体" w:eastAsia="宋体" w:cs="宋体"/>
                <w:color w:val="auto"/>
                <w:spacing w:val="0"/>
                <w:sz w:val="24"/>
                <w:szCs w:val="24"/>
                <w:highlight w:val="none"/>
                <w:lang w:val="zh-CN"/>
              </w:rPr>
            </w:pPr>
            <w:r>
              <w:rPr>
                <w:rFonts w:hint="eastAsia" w:ascii="宋体" w:hAnsi="宋体" w:eastAsia="宋体" w:cs="宋体"/>
                <w:color w:val="auto"/>
                <w:spacing w:val="0"/>
                <w:sz w:val="24"/>
                <w:szCs w:val="24"/>
                <w:highlight w:val="none"/>
                <w:lang w:val="zh-CN"/>
              </w:rPr>
              <w:t>与营业执照、资质证书、安全生产许可证一致。</w:t>
            </w:r>
          </w:p>
        </w:tc>
      </w:tr>
      <w:tr w14:paraId="04F3C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13" w:type="dxa"/>
            <w:vAlign w:val="center"/>
          </w:tcPr>
          <w:p w14:paraId="2FDC6C5D">
            <w:pPr>
              <w:pageBreakBefore w:val="0"/>
              <w:widowControl/>
              <w:tabs>
                <w:tab w:val="left" w:pos="200"/>
              </w:tabs>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lang w:val="en-US" w:eastAsia="en-US"/>
              </w:rPr>
            </w:pPr>
            <w:r>
              <w:rPr>
                <w:rFonts w:hint="eastAsia" w:ascii="宋体" w:hAnsi="宋体" w:eastAsia="宋体" w:cs="宋体"/>
                <w:color w:val="auto"/>
                <w:spacing w:val="0"/>
                <w:sz w:val="24"/>
                <w:szCs w:val="24"/>
                <w:highlight w:val="none"/>
              </w:rPr>
              <w:t>报价函签字盖章</w:t>
            </w:r>
          </w:p>
        </w:tc>
        <w:tc>
          <w:tcPr>
            <w:tcW w:w="7389" w:type="dxa"/>
            <w:vAlign w:val="center"/>
          </w:tcPr>
          <w:p w14:paraId="1A701AF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left"/>
              <w:textAlignment w:val="baseline"/>
              <w:rPr>
                <w:rFonts w:hint="eastAsia" w:ascii="宋体" w:hAnsi="宋体" w:eastAsia="宋体" w:cs="宋体"/>
                <w:color w:val="auto"/>
                <w:spacing w:val="0"/>
                <w:sz w:val="24"/>
                <w:szCs w:val="24"/>
                <w:highlight w:val="none"/>
                <w:lang w:val="en-US" w:eastAsia="en-US"/>
              </w:rPr>
            </w:pPr>
            <w:r>
              <w:rPr>
                <w:rFonts w:hint="eastAsia" w:ascii="宋体" w:hAnsi="宋体" w:eastAsia="宋体" w:cs="宋体"/>
                <w:color w:val="auto"/>
                <w:spacing w:val="0"/>
                <w:sz w:val="24"/>
                <w:szCs w:val="24"/>
                <w:highlight w:val="none"/>
                <w:lang w:val="zh-CN"/>
              </w:rPr>
              <w:t>报价函均应加盖投标供应商印章并经法定代表人或其委托代理人签字或盖章。</w:t>
            </w:r>
          </w:p>
        </w:tc>
      </w:tr>
      <w:tr w14:paraId="79EB1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13" w:type="dxa"/>
            <w:vAlign w:val="center"/>
          </w:tcPr>
          <w:p w14:paraId="474C2782">
            <w:pPr>
              <w:pageBreakBefore w:val="0"/>
              <w:widowControl/>
              <w:tabs>
                <w:tab w:val="left" w:pos="200"/>
              </w:tabs>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lang w:val="en-US" w:eastAsia="en-US"/>
              </w:rPr>
            </w:pPr>
            <w:r>
              <w:rPr>
                <w:rFonts w:hint="eastAsia" w:ascii="宋体" w:hAnsi="宋体" w:eastAsia="宋体" w:cs="宋体"/>
                <w:color w:val="auto"/>
                <w:spacing w:val="0"/>
                <w:sz w:val="24"/>
                <w:szCs w:val="24"/>
                <w:highlight w:val="none"/>
              </w:rPr>
              <w:t>响应文件格式及编制</w:t>
            </w:r>
          </w:p>
        </w:tc>
        <w:tc>
          <w:tcPr>
            <w:tcW w:w="7389" w:type="dxa"/>
            <w:vAlign w:val="center"/>
          </w:tcPr>
          <w:p w14:paraId="06CD26B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left"/>
              <w:textAlignment w:val="baseline"/>
              <w:rPr>
                <w:rFonts w:hint="eastAsia" w:ascii="宋体" w:hAnsi="宋体" w:eastAsia="宋体" w:cs="宋体"/>
                <w:color w:val="auto"/>
                <w:spacing w:val="0"/>
                <w:sz w:val="24"/>
                <w:szCs w:val="24"/>
                <w:highlight w:val="none"/>
                <w:lang w:val="en-US" w:eastAsia="en-US"/>
              </w:rPr>
            </w:pPr>
            <w:r>
              <w:rPr>
                <w:rFonts w:hint="eastAsia" w:ascii="宋体" w:hAnsi="宋体" w:eastAsia="宋体" w:cs="宋体"/>
                <w:color w:val="auto"/>
                <w:spacing w:val="0"/>
                <w:sz w:val="24"/>
                <w:szCs w:val="24"/>
                <w:highlight w:val="none"/>
                <w:lang w:val="zh-CN"/>
              </w:rPr>
              <w:t>符合磋商文件中“响应文件格式”的要求，按磋商文件的要求盖章、签署及编制。</w:t>
            </w:r>
          </w:p>
        </w:tc>
      </w:tr>
      <w:tr w14:paraId="59912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13" w:type="dxa"/>
            <w:vAlign w:val="center"/>
          </w:tcPr>
          <w:p w14:paraId="3E854032">
            <w:pPr>
              <w:pageBreakBefore w:val="0"/>
              <w:widowControl/>
              <w:tabs>
                <w:tab w:val="left" w:pos="200"/>
              </w:tabs>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lang w:val="en-US" w:eastAsia="en-US"/>
              </w:rPr>
            </w:pPr>
            <w:r>
              <w:rPr>
                <w:rFonts w:hint="eastAsia" w:ascii="宋体" w:hAnsi="宋体" w:eastAsia="宋体" w:cs="宋体"/>
                <w:color w:val="auto"/>
                <w:spacing w:val="0"/>
                <w:sz w:val="24"/>
                <w:szCs w:val="24"/>
                <w:highlight w:val="none"/>
              </w:rPr>
              <w:t>响应文件签字盖章</w:t>
            </w:r>
          </w:p>
        </w:tc>
        <w:tc>
          <w:tcPr>
            <w:tcW w:w="7389" w:type="dxa"/>
            <w:vAlign w:val="center"/>
          </w:tcPr>
          <w:p w14:paraId="76E8AB7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left"/>
              <w:textAlignment w:val="baseline"/>
              <w:rPr>
                <w:rFonts w:hint="eastAsia" w:ascii="宋体" w:hAnsi="宋体" w:eastAsia="宋体" w:cs="宋体"/>
                <w:color w:val="auto"/>
                <w:spacing w:val="0"/>
                <w:sz w:val="24"/>
                <w:szCs w:val="24"/>
                <w:highlight w:val="none"/>
                <w:lang w:val="en-US" w:eastAsia="en-US"/>
              </w:rPr>
            </w:pPr>
            <w:r>
              <w:rPr>
                <w:rFonts w:hint="eastAsia" w:ascii="宋体" w:hAnsi="宋体" w:eastAsia="宋体" w:cs="宋体"/>
                <w:color w:val="auto"/>
                <w:spacing w:val="0"/>
                <w:sz w:val="24"/>
                <w:szCs w:val="24"/>
                <w:highlight w:val="none"/>
                <w:lang w:val="zh-CN"/>
              </w:rPr>
              <w:t>响应文件的签字盖章须符合磋商文件中的规定要求。</w:t>
            </w:r>
          </w:p>
        </w:tc>
      </w:tr>
      <w:tr w14:paraId="1D4F0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13" w:type="dxa"/>
            <w:vAlign w:val="center"/>
          </w:tcPr>
          <w:p w14:paraId="5CB0AD73">
            <w:pPr>
              <w:pageBreakBefore w:val="0"/>
              <w:widowControl/>
              <w:tabs>
                <w:tab w:val="left" w:pos="200"/>
              </w:tabs>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lang w:val="en-US" w:eastAsia="en-US"/>
              </w:rPr>
            </w:pPr>
            <w:r>
              <w:rPr>
                <w:rFonts w:hint="eastAsia" w:ascii="宋体" w:hAnsi="宋体" w:eastAsia="宋体" w:cs="宋体"/>
                <w:color w:val="auto"/>
                <w:spacing w:val="0"/>
                <w:sz w:val="24"/>
                <w:szCs w:val="24"/>
                <w:highlight w:val="none"/>
              </w:rPr>
              <w:t>报价</w:t>
            </w:r>
          </w:p>
        </w:tc>
        <w:tc>
          <w:tcPr>
            <w:tcW w:w="7389" w:type="dxa"/>
            <w:vAlign w:val="center"/>
          </w:tcPr>
          <w:p w14:paraId="3ED0C43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left"/>
              <w:textAlignment w:val="baseline"/>
              <w:rPr>
                <w:rFonts w:hint="eastAsia" w:ascii="宋体" w:hAnsi="宋体" w:eastAsia="宋体" w:cs="宋体"/>
                <w:color w:val="auto"/>
                <w:spacing w:val="0"/>
                <w:sz w:val="24"/>
                <w:szCs w:val="24"/>
                <w:highlight w:val="none"/>
                <w:lang w:val="en-US" w:eastAsia="en-US"/>
              </w:rPr>
            </w:pPr>
            <w:r>
              <w:rPr>
                <w:rFonts w:hint="eastAsia" w:ascii="宋体" w:hAnsi="宋体" w:eastAsia="宋体" w:cs="宋体"/>
                <w:color w:val="auto"/>
                <w:spacing w:val="0"/>
                <w:sz w:val="24"/>
                <w:szCs w:val="24"/>
                <w:highlight w:val="none"/>
                <w:lang w:val="zh-CN"/>
              </w:rPr>
              <w:t>投标报价不超过采购预算（最高投标限价）。</w:t>
            </w:r>
          </w:p>
        </w:tc>
      </w:tr>
      <w:tr w14:paraId="2F868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13" w:type="dxa"/>
            <w:vAlign w:val="center"/>
          </w:tcPr>
          <w:p w14:paraId="4D1849D1">
            <w:pPr>
              <w:pageBreakBefore w:val="0"/>
              <w:widowControl/>
              <w:tabs>
                <w:tab w:val="left" w:pos="200"/>
              </w:tabs>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lang w:val="en-US" w:eastAsia="en-US"/>
              </w:rPr>
            </w:pPr>
            <w:r>
              <w:rPr>
                <w:rFonts w:hint="eastAsia" w:ascii="宋体" w:hAnsi="宋体" w:eastAsia="宋体" w:cs="宋体"/>
                <w:color w:val="auto"/>
                <w:spacing w:val="0"/>
                <w:sz w:val="24"/>
                <w:szCs w:val="24"/>
                <w:highlight w:val="none"/>
              </w:rPr>
              <w:t>计划工期</w:t>
            </w:r>
          </w:p>
        </w:tc>
        <w:tc>
          <w:tcPr>
            <w:tcW w:w="7389" w:type="dxa"/>
            <w:vAlign w:val="center"/>
          </w:tcPr>
          <w:p w14:paraId="4B696E0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left"/>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bCs/>
                <w:color w:val="auto"/>
                <w:spacing w:val="0"/>
                <w:kern w:val="2"/>
                <w:sz w:val="24"/>
                <w:szCs w:val="24"/>
                <w:highlight w:val="none"/>
                <w:lang w:val="zh-CN" w:eastAsia="zh-CN"/>
              </w:rPr>
              <w:t>计划开工日期2026年5月22日，计划竣工日期2026年10月31日，总共163日历天</w:t>
            </w:r>
          </w:p>
        </w:tc>
      </w:tr>
      <w:tr w14:paraId="5B7E3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13" w:type="dxa"/>
            <w:vAlign w:val="center"/>
          </w:tcPr>
          <w:p w14:paraId="57FF2BD9">
            <w:pPr>
              <w:pageBreakBefore w:val="0"/>
              <w:widowControl/>
              <w:tabs>
                <w:tab w:val="left" w:pos="200"/>
              </w:tabs>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lang w:val="en-US" w:eastAsia="en-US"/>
              </w:rPr>
            </w:pPr>
            <w:r>
              <w:rPr>
                <w:rFonts w:hint="eastAsia" w:ascii="宋体" w:hAnsi="宋体" w:eastAsia="宋体" w:cs="宋体"/>
                <w:color w:val="auto"/>
                <w:spacing w:val="0"/>
                <w:sz w:val="24"/>
                <w:szCs w:val="24"/>
                <w:highlight w:val="none"/>
                <w:lang w:val="en-US" w:eastAsia="en-US"/>
              </w:rPr>
              <w:t>质量标准</w:t>
            </w:r>
          </w:p>
        </w:tc>
        <w:tc>
          <w:tcPr>
            <w:tcW w:w="7389" w:type="dxa"/>
            <w:vAlign w:val="center"/>
          </w:tcPr>
          <w:p w14:paraId="0162BF8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left"/>
              <w:textAlignment w:val="baseline"/>
              <w:rPr>
                <w:rFonts w:hint="eastAsia" w:ascii="宋体" w:hAnsi="宋体" w:eastAsia="宋体" w:cs="宋体"/>
                <w:color w:val="auto"/>
                <w:spacing w:val="0"/>
                <w:sz w:val="24"/>
                <w:szCs w:val="24"/>
                <w:highlight w:val="none"/>
                <w:lang w:val="en-US" w:eastAsia="en-US"/>
              </w:rPr>
            </w:pPr>
            <w:r>
              <w:rPr>
                <w:rFonts w:hint="eastAsia" w:ascii="宋体" w:hAnsi="宋体" w:eastAsia="宋体" w:cs="宋体"/>
                <w:color w:val="auto"/>
                <w:spacing w:val="0"/>
                <w:sz w:val="24"/>
                <w:szCs w:val="24"/>
                <w:highlight w:val="none"/>
                <w:lang w:val="en-US" w:eastAsia="en-US"/>
              </w:rPr>
              <w:t>符合国家《建筑工程施工质量验收统一标准》及相关标准的合格工程</w:t>
            </w:r>
          </w:p>
        </w:tc>
      </w:tr>
      <w:tr w14:paraId="6FBD5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13" w:type="dxa"/>
            <w:vAlign w:val="center"/>
          </w:tcPr>
          <w:p w14:paraId="42AC77D9">
            <w:pPr>
              <w:pageBreakBefore w:val="0"/>
              <w:widowControl/>
              <w:tabs>
                <w:tab w:val="left" w:pos="200"/>
              </w:tabs>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lang w:val="en-US" w:eastAsia="en-US"/>
              </w:rPr>
            </w:pPr>
            <w:r>
              <w:rPr>
                <w:rFonts w:hint="eastAsia" w:ascii="宋体" w:hAnsi="宋体" w:eastAsia="宋体" w:cs="宋体"/>
                <w:color w:val="auto"/>
                <w:spacing w:val="0"/>
                <w:sz w:val="24"/>
                <w:szCs w:val="24"/>
                <w:highlight w:val="none"/>
              </w:rPr>
              <w:t>投标有效期</w:t>
            </w:r>
          </w:p>
        </w:tc>
        <w:tc>
          <w:tcPr>
            <w:tcW w:w="7389" w:type="dxa"/>
            <w:vAlign w:val="center"/>
          </w:tcPr>
          <w:p w14:paraId="57449B4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left"/>
              <w:textAlignment w:val="baseline"/>
              <w:rPr>
                <w:rFonts w:hint="eastAsia" w:ascii="宋体" w:hAnsi="宋体" w:eastAsia="宋体" w:cs="宋体"/>
                <w:color w:val="auto"/>
                <w:spacing w:val="0"/>
                <w:sz w:val="24"/>
                <w:szCs w:val="24"/>
                <w:highlight w:val="none"/>
                <w:lang w:val="en-US" w:eastAsia="en-US"/>
              </w:rPr>
            </w:pPr>
            <w:r>
              <w:rPr>
                <w:rFonts w:hint="eastAsia" w:ascii="宋体" w:hAnsi="宋体" w:eastAsia="宋体" w:cs="宋体"/>
                <w:color w:val="auto"/>
                <w:spacing w:val="0"/>
                <w:sz w:val="24"/>
                <w:szCs w:val="24"/>
                <w:highlight w:val="none"/>
                <w:lang w:val="zh-CN"/>
              </w:rPr>
              <w:t>响应文件递交截止之日后</w:t>
            </w:r>
            <w:r>
              <w:rPr>
                <w:rFonts w:hint="eastAsia" w:ascii="宋体" w:hAnsi="宋体" w:eastAsia="宋体" w:cs="宋体"/>
                <w:color w:val="auto"/>
                <w:spacing w:val="0"/>
                <w:sz w:val="24"/>
                <w:szCs w:val="24"/>
                <w:highlight w:val="none"/>
                <w:lang w:val="en-US" w:eastAsia="zh-CN"/>
              </w:rPr>
              <w:t>90</w:t>
            </w:r>
            <w:r>
              <w:rPr>
                <w:rFonts w:hint="eastAsia" w:ascii="宋体" w:hAnsi="宋体" w:eastAsia="宋体" w:cs="宋体"/>
                <w:color w:val="auto"/>
                <w:spacing w:val="0"/>
                <w:sz w:val="24"/>
                <w:szCs w:val="24"/>
                <w:highlight w:val="none"/>
                <w:lang w:val="zh-CN"/>
              </w:rPr>
              <w:t>天（日历天）。</w:t>
            </w:r>
          </w:p>
        </w:tc>
      </w:tr>
      <w:tr w14:paraId="0A847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13" w:type="dxa"/>
            <w:vAlign w:val="center"/>
          </w:tcPr>
          <w:p w14:paraId="39212274">
            <w:pPr>
              <w:autoSpaceDE w:val="0"/>
              <w:autoSpaceDN w:val="0"/>
              <w:adjustRightInd w:val="0"/>
              <w:spacing w:line="276"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z w:val="24"/>
                <w:highlight w:val="none"/>
              </w:rPr>
              <w:t>权利义务</w:t>
            </w:r>
          </w:p>
        </w:tc>
        <w:tc>
          <w:tcPr>
            <w:tcW w:w="7389" w:type="dxa"/>
            <w:vAlign w:val="center"/>
          </w:tcPr>
          <w:p w14:paraId="693972D4">
            <w:pPr>
              <w:autoSpaceDE w:val="0"/>
              <w:autoSpaceDN w:val="0"/>
              <w:adjustRightInd w:val="0"/>
              <w:spacing w:line="276" w:lineRule="auto"/>
              <w:rPr>
                <w:rFonts w:hint="eastAsia" w:ascii="宋体" w:hAnsi="宋体" w:eastAsia="宋体" w:cs="宋体"/>
                <w:color w:val="auto"/>
                <w:spacing w:val="0"/>
                <w:sz w:val="24"/>
                <w:szCs w:val="24"/>
                <w:highlight w:val="none"/>
                <w:lang w:val="zh-CN"/>
              </w:rPr>
            </w:pPr>
            <w:r>
              <w:rPr>
                <w:rFonts w:hint="eastAsia" w:ascii="宋体" w:hAnsi="宋体" w:eastAsia="宋体" w:cs="宋体"/>
                <w:color w:val="auto"/>
                <w:sz w:val="24"/>
                <w:highlight w:val="none"/>
              </w:rPr>
              <w:t>符合第三章 合同条款</w:t>
            </w:r>
          </w:p>
        </w:tc>
      </w:tr>
      <w:tr w14:paraId="21966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2213" w:type="dxa"/>
            <w:vAlign w:val="center"/>
          </w:tcPr>
          <w:p w14:paraId="10F5BC69">
            <w:pPr>
              <w:pageBreakBefore w:val="0"/>
              <w:widowControl/>
              <w:tabs>
                <w:tab w:val="left" w:pos="200"/>
              </w:tabs>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val="0"/>
                <w:bCs w:val="0"/>
                <w:color w:val="auto"/>
                <w:spacing w:val="0"/>
                <w:sz w:val="24"/>
                <w:szCs w:val="24"/>
                <w:highlight w:val="none"/>
                <w:lang w:val="en-US" w:eastAsia="en-US"/>
              </w:rPr>
            </w:pPr>
            <w:r>
              <w:rPr>
                <w:rFonts w:hint="eastAsia" w:ascii="宋体" w:hAnsi="宋体" w:eastAsia="宋体" w:cs="宋体"/>
                <w:b w:val="0"/>
                <w:bCs w:val="0"/>
                <w:color w:val="auto"/>
                <w:spacing w:val="0"/>
                <w:sz w:val="24"/>
                <w:szCs w:val="24"/>
                <w:highlight w:val="none"/>
              </w:rPr>
              <w:t>已标价工程量清单</w:t>
            </w:r>
          </w:p>
        </w:tc>
        <w:tc>
          <w:tcPr>
            <w:tcW w:w="7389" w:type="dxa"/>
            <w:vAlign w:val="center"/>
          </w:tcPr>
          <w:p w14:paraId="4C8B76A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val="0"/>
                <w:bCs w:val="0"/>
                <w:color w:val="auto"/>
                <w:spacing w:val="0"/>
                <w:sz w:val="24"/>
                <w:szCs w:val="24"/>
                <w:highlight w:val="none"/>
                <w:lang w:val="en-US" w:eastAsia="en-US"/>
              </w:rPr>
            </w:pPr>
            <w:r>
              <w:rPr>
                <w:rFonts w:hint="eastAsia" w:ascii="宋体" w:hAnsi="宋体" w:eastAsia="宋体" w:cs="宋体"/>
                <w:b w:val="0"/>
                <w:bCs w:val="0"/>
                <w:color w:val="auto"/>
                <w:spacing w:val="0"/>
                <w:sz w:val="24"/>
                <w:szCs w:val="24"/>
                <w:highlight w:val="none"/>
                <w:lang w:val="zh-CN"/>
              </w:rPr>
              <w:t>与磋商文件“工程量清单”给出的范围及数量，供应商应按招标工程量清单填报价格。项目编码、项目标段名称、项目特征、计量单位、工程量必须与招标工程量清单一致，投标总价表必须经有资格的注册造价师签字并加盖执业专用章。如不是本单位造价师编制，则须委托造价咨询单位编制（须提供供应商与造价咨询单位签署的委托书扫描件加盖公章）。同一单位的注册造价师在本招标项目中不能为两个及两个以上的投标单位编制工程量清单，否则按废标处理）。</w:t>
            </w:r>
          </w:p>
        </w:tc>
      </w:tr>
      <w:tr w14:paraId="58D10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2213" w:type="dxa"/>
            <w:vAlign w:val="center"/>
          </w:tcPr>
          <w:p w14:paraId="60F023ED">
            <w:pPr>
              <w:pageBreakBefore w:val="0"/>
              <w:widowControl/>
              <w:tabs>
                <w:tab w:val="left" w:pos="200"/>
              </w:tabs>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其它材料</w:t>
            </w:r>
          </w:p>
        </w:tc>
        <w:tc>
          <w:tcPr>
            <w:tcW w:w="7389" w:type="dxa"/>
            <w:vAlign w:val="center"/>
          </w:tcPr>
          <w:p w14:paraId="359DB8B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lang w:val="zh-CN"/>
              </w:rPr>
            </w:pPr>
            <w:r>
              <w:rPr>
                <w:rFonts w:hint="eastAsia" w:ascii="宋体" w:hAnsi="宋体" w:eastAsia="宋体" w:cs="宋体"/>
                <w:color w:val="auto"/>
                <w:spacing w:val="0"/>
                <w:sz w:val="24"/>
                <w:szCs w:val="24"/>
                <w:highlight w:val="none"/>
                <w:lang w:val="zh-CN"/>
              </w:rPr>
              <w:t>竞争性磋商文件规定的其它响应材料</w:t>
            </w:r>
          </w:p>
        </w:tc>
      </w:tr>
    </w:tbl>
    <w:p w14:paraId="752F3D5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注：投标供应商有一项不满足符合性评审标准的，其投标将被否决，不再进入后续详细评审。</w:t>
      </w:r>
    </w:p>
    <w:p w14:paraId="699A2CAD">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3、磋商</w:t>
      </w:r>
    </w:p>
    <w:p w14:paraId="0E858A8E">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3.1 磋商小组将集中根据磋商文件规定的程序、评定成交的标准等事项与实质性响应磋商文件要求的供应商分别进行磋商。在磋商中，磋商的任何一方不得透露与磋商有关的其他供应商的技术资料、价格和其他信息。</w:t>
      </w:r>
    </w:p>
    <w:p w14:paraId="7F2E977B">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3.2 在磋商过程中，磋商小组可以根据磋商文件和磋商情况，经采购人代表确认后变动采购需求中的技术、服务要求以及合同草案条例等实质性内容。</w:t>
      </w:r>
    </w:p>
    <w:p w14:paraId="1343035B">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3.3 对磋商文件作出实质性变动是磋商文件的有效组成部分，磋商小组将以书面形式同时通知所有参加磋商的供应商。</w:t>
      </w:r>
    </w:p>
    <w:p w14:paraId="3281825A">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3.4 供应商应当按照磋商文件的变动情况和磋商小组的要求重新提交响应文件，并由其法定代表人或授权代表签字或者加盖公章。由授权代表签字的，应当附法定代表人授权书。</w:t>
      </w:r>
    </w:p>
    <w:p w14:paraId="4B9817EA">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4、最后报价</w:t>
      </w:r>
    </w:p>
    <w:p w14:paraId="75E95E7F">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 w:val="0"/>
          <w:bCs/>
          <w:snapToGrid w:val="0"/>
          <w:color w:val="auto"/>
          <w:spacing w:val="0"/>
          <w:sz w:val="24"/>
          <w:szCs w:val="24"/>
          <w:highlight w:val="none"/>
          <w:lang w:val="zh-CN" w:eastAsia="zh-CN"/>
        </w:rPr>
      </w:pPr>
      <w:r>
        <w:rPr>
          <w:rFonts w:hint="eastAsia" w:ascii="宋体" w:hAnsi="宋体" w:eastAsia="宋体" w:cs="宋体"/>
          <w:b w:val="0"/>
          <w:bCs/>
          <w:snapToGrid w:val="0"/>
          <w:color w:val="auto"/>
          <w:spacing w:val="0"/>
          <w:sz w:val="24"/>
          <w:szCs w:val="24"/>
          <w:highlight w:val="none"/>
          <w:lang w:val="zh-CN" w:eastAsia="zh-CN"/>
        </w:rPr>
        <w:t>由评标委员会通过政采云发出最终报价，投标人在规定时间内按系统规定提交最终报价。</w:t>
      </w:r>
    </w:p>
    <w:p w14:paraId="5CE795FB">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2" w:firstLineChars="200"/>
        <w:textAlignment w:val="baseline"/>
        <w:rPr>
          <w:rFonts w:hint="eastAsia" w:ascii="宋体" w:hAnsi="宋体" w:eastAsia="宋体" w:cs="宋体"/>
          <w:b/>
          <w:bCs w:val="0"/>
          <w:snapToGrid w:val="0"/>
          <w:color w:val="auto"/>
          <w:spacing w:val="0"/>
          <w:sz w:val="24"/>
          <w:szCs w:val="24"/>
          <w:highlight w:val="none"/>
          <w:lang w:val="zh-CN" w:eastAsia="zh-CN"/>
        </w:rPr>
      </w:pPr>
      <w:r>
        <w:rPr>
          <w:rFonts w:hint="eastAsia" w:ascii="宋体" w:hAnsi="宋体" w:eastAsia="宋体" w:cs="宋体"/>
          <w:b/>
          <w:bCs w:val="0"/>
          <w:snapToGrid w:val="0"/>
          <w:color w:val="auto"/>
          <w:spacing w:val="0"/>
          <w:sz w:val="24"/>
          <w:szCs w:val="24"/>
          <w:highlight w:val="none"/>
          <w:lang w:val="zh-CN" w:eastAsia="zh-CN"/>
        </w:rPr>
        <w:t>5、比较及评价</w:t>
      </w:r>
    </w:p>
    <w:p w14:paraId="198C9B5F">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5.1 磋商小组对通过资格审查、符合性审查的响应文件进行比较和评价。</w:t>
      </w:r>
    </w:p>
    <w:p w14:paraId="50254B6E">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5.2 在磋商期间，磋商小组可以书面要求供应商对其响应文件中含义不明确、同类问题表述不一致或者有明显文字和计算错误的内容作必要的澄清、说明或补正。供应商的澄清、说明或补正应在磋商小组规定的时间内以书面方式进行，并不得超出响应文件范围或者改变响应文件的实质性内容。供应商拒不进行澄清、说明、补正的，或者不能在规定时间内作出书面澄清、说明、补正的，其响应文 件将被作为无效响应处理。</w:t>
      </w:r>
    </w:p>
    <w:p w14:paraId="1D7755CB">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5.2.1 供应商的澄清、说明或者补正应当由法定代表人或其授权代表签字或者加盖公章。供应商为自然人的，应当由本人签字并附身份证明。</w:t>
      </w:r>
    </w:p>
    <w:p w14:paraId="27DDF9C3">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5.2.2 供应商的澄清、说明或补正将作为响应文件的一部分。</w:t>
      </w:r>
    </w:p>
    <w:p w14:paraId="48B44589">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5.2.3 响应文件报价出现前后不一致的，按照下列规定修正：</w:t>
      </w:r>
    </w:p>
    <w:p w14:paraId="04E90D70">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（1）响应文件中报价一览表内容与响应文件中相应内容不一致的，以报价一览表为准；</w:t>
      </w:r>
    </w:p>
    <w:p w14:paraId="47110CDB">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（2）大写金额和小写金额不一致的，以大写金额为准；</w:t>
      </w:r>
    </w:p>
    <w:p w14:paraId="2103DC2E">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（3）单价金额小数点或者百分比有明显错位的，以报价一览表的总价为准，并修改单价；</w:t>
      </w:r>
    </w:p>
    <w:p w14:paraId="66E9C8AB">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（4）总价金额与按单价汇总金额不一致的，以单价金额计算结果为准。</w:t>
      </w:r>
    </w:p>
    <w:p w14:paraId="5464ED2D">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同时出现两种以上不一致的，按照前款规定的顺序修正。修正后的报价经供应商确认后产生约束力，供应商不确认的，其响应文件将被认定为无效响应。</w:t>
      </w:r>
    </w:p>
    <w:p w14:paraId="1D5C0E67">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5.3 磋商小组认为供应商的报价明显低于其他通过符合性审查的供应商报价，有可能影响工程质量或者不能诚信履约的，磋商小组应当要求其在评审现场合理的时间（接到通知后1个小时）内提供书面说明，并提交相关证明材料，供应商不能证明其报价合理性的，磋商小组应当将其响应作为无效响应处理。</w:t>
      </w:r>
    </w:p>
    <w:p w14:paraId="4997A8A4">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供应商的书面说明材料包含货物本身成本、人工费用、运输、税收等，以及最后报价不会影响产品质量或诚信履约能力的说明等。</w:t>
      </w:r>
    </w:p>
    <w:p w14:paraId="085C1EBE">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供应商的书面说明应当签字确认或者加盖公章，否则无效。书面说明的签字确认，由其法定代表人或者其授权代表签字确认。</w:t>
      </w:r>
    </w:p>
    <w:p w14:paraId="0B80CF09">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供应商提供书面说明后，磋商小组应当结合采购项目采购需求、专业实际情况、供应商财务状况报告、与其他供应商比较情况等就供应商的书面说明进行审查评价。供应商如有下列情况的，磋商小组应当将其响应文件作为无效处理：</w:t>
      </w:r>
    </w:p>
    <w:p w14:paraId="321D184C">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（1）拒绝或者变相拒绝提供有效书面说明；</w:t>
      </w:r>
    </w:p>
    <w:p w14:paraId="42FC5242">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（2）书面说明不能证明其报价合理性的；</w:t>
      </w:r>
    </w:p>
    <w:p w14:paraId="51413B75">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（3）未在规定时间内递交有效书面说明书的。</w:t>
      </w:r>
    </w:p>
    <w:p w14:paraId="42773D5E">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2"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
          <w:bCs w:val="0"/>
          <w:snapToGrid w:val="0"/>
          <w:color w:val="auto"/>
          <w:spacing w:val="0"/>
          <w:sz w:val="24"/>
          <w:szCs w:val="24"/>
          <w:highlight w:val="none"/>
          <w:lang w:val="zh-CN" w:eastAsia="zh-CN"/>
        </w:rPr>
        <w:t>6、需落实的政府采购政策性规定：本次采购项目属于专门面向中小企业的项目。</w:t>
      </w:r>
    </w:p>
    <w:p w14:paraId="4BD27CD9">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sectPr>
          <w:footerReference r:id="rId28" w:type="default"/>
          <w:pgSz w:w="11906" w:h="16839"/>
          <w:pgMar w:top="1440" w:right="1080" w:bottom="1440" w:left="1080" w:header="0" w:footer="994" w:gutter="0"/>
          <w:pgNumType w:fmt="decimal"/>
          <w:cols w:space="720" w:num="1"/>
        </w:sectPr>
      </w:pPr>
    </w:p>
    <w:p w14:paraId="631662C5">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2" w:firstLineChars="200"/>
        <w:textAlignment w:val="baseline"/>
        <w:rPr>
          <w:rFonts w:hint="eastAsia" w:ascii="宋体" w:hAnsi="宋体" w:eastAsia="宋体" w:cs="宋体"/>
          <w:b/>
          <w:bCs w:val="0"/>
          <w:snapToGrid w:val="0"/>
          <w:color w:val="auto"/>
          <w:spacing w:val="0"/>
          <w:sz w:val="24"/>
          <w:szCs w:val="24"/>
          <w:highlight w:val="none"/>
          <w:lang w:val="zh-CN" w:eastAsia="zh-CN"/>
        </w:rPr>
      </w:pPr>
      <w:r>
        <w:rPr>
          <w:rFonts w:hint="eastAsia" w:ascii="宋体" w:hAnsi="宋体" w:eastAsia="宋体" w:cs="宋体"/>
          <w:b/>
          <w:bCs w:val="0"/>
          <w:snapToGrid w:val="0"/>
          <w:color w:val="auto"/>
          <w:spacing w:val="0"/>
          <w:sz w:val="24"/>
          <w:szCs w:val="24"/>
          <w:highlight w:val="none"/>
          <w:lang w:val="zh-CN" w:eastAsia="zh-CN"/>
        </w:rPr>
        <w:t>7、响应无效</w:t>
      </w:r>
    </w:p>
    <w:p w14:paraId="72CD171B">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7.1 在比较与评价之前，根据本须知的规定，磋商小组将审查每份响应文件是否实质上响应了磋商文件的要求。如果响应文件没有对磋商文件的实质性要求进行响应，将作为无效响应处理，供应商不得再对响应文件进行任何修正从而使其响应成为实质上响应。</w:t>
      </w:r>
    </w:p>
    <w:p w14:paraId="41444997">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磋商小组决定是否实质性响应只根据磋商文件要求、响应文件内容及财政主管部门指定媒体发布的相关信息。</w:t>
      </w:r>
    </w:p>
    <w:p w14:paraId="7AE07480">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7.2 如发现下列情况之一的，其响应文件将被认定为无效响应：</w:t>
      </w:r>
    </w:p>
    <w:p w14:paraId="08F427DB">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（1）未按磋商文件的规定提交磋商保证金的；</w:t>
      </w:r>
    </w:p>
    <w:p w14:paraId="0711B2B3">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（2）未按照磋商文件规定要求签署、盖章的；</w:t>
      </w:r>
    </w:p>
    <w:p w14:paraId="4FD8E853">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（3）供应商的报价超过了磋商文件中规定的预算金额或者最高限价的；</w:t>
      </w:r>
    </w:p>
    <w:p w14:paraId="537505D7">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（4）不具备磋商文件中规定的资格要求的；</w:t>
      </w:r>
    </w:p>
    <w:p w14:paraId="2CB8BCC3">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（5）不符合法律法规和磋商文件中规定的实质性要求的。</w:t>
      </w:r>
    </w:p>
    <w:p w14:paraId="795CE111">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（6）磋商小组认为供应商的报价明显低于其他通过符合性审查供应商的报价，有可能影响履约的，且供应商未按照规定证明其报价合理性的；</w:t>
      </w:r>
    </w:p>
    <w:p w14:paraId="481331A6">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（7）响应文件含有采购人不能接受的附加条件的；</w:t>
      </w:r>
    </w:p>
    <w:p w14:paraId="0BCBEEDF">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Cs/>
          <w:snapToGrid w:val="0"/>
          <w:color w:val="auto"/>
          <w:spacing w:val="0"/>
          <w:sz w:val="24"/>
          <w:szCs w:val="24"/>
          <w:highlight w:val="none"/>
          <w:lang w:val="zh-CN" w:eastAsia="zh-CN"/>
        </w:rPr>
        <w:t>（8）属于法律法规和磋商文件中规定的其他无效响应情形的。</w:t>
      </w:r>
    </w:p>
    <w:p w14:paraId="331EF802">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2" w:firstLineChars="200"/>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三、推荐成交供应商的原则</w:t>
      </w:r>
    </w:p>
    <w:p w14:paraId="28D67711">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磋商结束后，除了算数修正和落实政府采购政策需进行的价格扣除外，不对供应商的响应价格进行任何调整。评审结果按照得分由高至低的顺序排序。综合得分相等时，按最后报价由低至高顺序排序；按前款不能区分的，按施工组织设计优劣排序；其他情况，由磋商小组投票处理。</w:t>
      </w:r>
    </w:p>
    <w:p w14:paraId="087F5B8D">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四、确定成交供应商</w:t>
      </w:r>
    </w:p>
    <w:p w14:paraId="4CF06E17">
      <w:pPr>
        <w:keepNext w:val="0"/>
        <w:keepLines w:val="0"/>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磋商小组根据全体磋商小组成员签字的原始评审记录和评审结果编写评审报告，并向采购人提交书面评审报告。</w:t>
      </w:r>
    </w:p>
    <w:p w14:paraId="6C0EB92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61DC799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附：</w:t>
      </w:r>
    </w:p>
    <w:p w14:paraId="2DA4A35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详细评审</w:t>
      </w:r>
    </w:p>
    <w:tbl>
      <w:tblPr>
        <w:tblStyle w:val="22"/>
        <w:tblW w:w="94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2233"/>
        <w:gridCol w:w="6208"/>
      </w:tblGrid>
      <w:tr w14:paraId="15A64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963" w:type="dxa"/>
            <w:vAlign w:val="center"/>
          </w:tcPr>
          <w:p w14:paraId="08C85D29">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2233" w:type="dxa"/>
            <w:vAlign w:val="center"/>
          </w:tcPr>
          <w:p w14:paraId="5E16B163">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评审因素</w:t>
            </w:r>
          </w:p>
        </w:tc>
        <w:tc>
          <w:tcPr>
            <w:tcW w:w="6208" w:type="dxa"/>
            <w:vAlign w:val="center"/>
          </w:tcPr>
          <w:p w14:paraId="60B841A6">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评审标准</w:t>
            </w:r>
          </w:p>
        </w:tc>
      </w:tr>
      <w:tr w14:paraId="1DB13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jc w:val="center"/>
        </w:trPr>
        <w:tc>
          <w:tcPr>
            <w:tcW w:w="963" w:type="dxa"/>
            <w:vAlign w:val="center"/>
          </w:tcPr>
          <w:p w14:paraId="58443F5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2233" w:type="dxa"/>
            <w:vAlign w:val="center"/>
          </w:tcPr>
          <w:p w14:paraId="5506D79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分值构成</w:t>
            </w:r>
          </w:p>
          <w:p w14:paraId="542E970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（总分100分）</w:t>
            </w:r>
          </w:p>
        </w:tc>
        <w:tc>
          <w:tcPr>
            <w:tcW w:w="6208" w:type="dxa"/>
            <w:vAlign w:val="center"/>
          </w:tcPr>
          <w:p w14:paraId="4B8BEA9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技术部分：施工组织设计部分</w:t>
            </w:r>
            <w:r>
              <w:rPr>
                <w:rFonts w:hint="eastAsia" w:ascii="宋体" w:hAnsi="宋体" w:eastAsia="宋体" w:cs="宋体"/>
                <w:color w:val="auto"/>
                <w:spacing w:val="0"/>
                <w:sz w:val="24"/>
                <w:szCs w:val="24"/>
                <w:highlight w:val="none"/>
                <w:lang w:val="en-US" w:eastAsia="zh-CN"/>
              </w:rPr>
              <w:t>54</w:t>
            </w:r>
            <w:r>
              <w:rPr>
                <w:rFonts w:hint="eastAsia" w:ascii="宋体" w:hAnsi="宋体" w:eastAsia="宋体" w:cs="宋体"/>
                <w:color w:val="auto"/>
                <w:spacing w:val="0"/>
                <w:sz w:val="24"/>
                <w:szCs w:val="24"/>
                <w:highlight w:val="none"/>
              </w:rPr>
              <w:t>分</w:t>
            </w:r>
          </w:p>
          <w:p w14:paraId="4FAA17C8">
            <w:pPr>
              <w:pageBreakBefore w:val="0"/>
              <w:widowControl/>
              <w:kinsoku/>
              <w:wordWrap w:val="0"/>
              <w:overflowPunct/>
              <w:topLinePunct w:val="0"/>
              <w:autoSpaceDE w:val="0"/>
              <w:autoSpaceDN w:val="0"/>
              <w:bidi w:val="0"/>
              <w:adjustRightInd w:val="0"/>
              <w:snapToGrid w:val="0"/>
              <w:spacing w:before="0" w:beforeLines="20" w:after="0" w:afterLines="20" w:line="360" w:lineRule="auto"/>
              <w:ind w:right="0"/>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投标报价：</w:t>
            </w:r>
            <w:r>
              <w:rPr>
                <w:rFonts w:hint="eastAsia" w:ascii="宋体" w:hAnsi="宋体" w:eastAsia="宋体" w:cs="宋体"/>
                <w:color w:val="auto"/>
                <w:spacing w:val="0"/>
                <w:sz w:val="24"/>
                <w:szCs w:val="24"/>
                <w:highlight w:val="none"/>
                <w:lang w:val="en-US" w:eastAsia="zh-CN"/>
              </w:rPr>
              <w:t>30</w:t>
            </w:r>
            <w:r>
              <w:rPr>
                <w:rFonts w:hint="eastAsia" w:ascii="宋体" w:hAnsi="宋体" w:eastAsia="宋体" w:cs="宋体"/>
                <w:color w:val="auto"/>
                <w:spacing w:val="0"/>
                <w:sz w:val="24"/>
                <w:szCs w:val="24"/>
                <w:highlight w:val="none"/>
              </w:rPr>
              <w:t>分</w:t>
            </w:r>
            <w:r>
              <w:rPr>
                <w:rFonts w:hint="eastAsia" w:ascii="宋体" w:hAnsi="宋体" w:eastAsia="宋体" w:cs="宋体"/>
                <w:color w:val="auto"/>
                <w:spacing w:val="0"/>
                <w:sz w:val="24"/>
                <w:szCs w:val="24"/>
                <w:highlight w:val="none"/>
                <w:lang w:val="en-US" w:eastAsia="zh-CN"/>
              </w:rPr>
              <w:t xml:space="preserve">       </w:t>
            </w:r>
          </w:p>
          <w:p w14:paraId="5DE0BBF3">
            <w:pPr>
              <w:pageBreakBefore w:val="0"/>
              <w:widowControl/>
              <w:kinsoku/>
              <w:wordWrap w:val="0"/>
              <w:overflowPunct/>
              <w:topLinePunct w:val="0"/>
              <w:autoSpaceDE w:val="0"/>
              <w:autoSpaceDN w:val="0"/>
              <w:bidi w:val="0"/>
              <w:adjustRightInd w:val="0"/>
              <w:snapToGrid w:val="0"/>
              <w:spacing w:before="0" w:beforeLines="20" w:after="0" w:afterLines="20" w:line="360" w:lineRule="auto"/>
              <w:ind w:right="0"/>
              <w:textAlignment w:val="baseline"/>
              <w:rPr>
                <w:rFonts w:hint="eastAsia" w:ascii="宋体" w:hAnsi="宋体" w:eastAsia="宋体" w:cs="宋体"/>
                <w:color w:val="auto"/>
                <w:spacing w:val="0"/>
                <w:sz w:val="24"/>
                <w:szCs w:val="24"/>
                <w:highlight w:val="none"/>
                <w:lang w:val="zh-CN"/>
              </w:rPr>
            </w:pPr>
            <w:r>
              <w:rPr>
                <w:rFonts w:hint="eastAsia" w:ascii="宋体" w:hAnsi="宋体" w:eastAsia="宋体" w:cs="宋体"/>
                <w:color w:val="auto"/>
                <w:spacing w:val="0"/>
                <w:sz w:val="24"/>
                <w:szCs w:val="24"/>
                <w:highlight w:val="none"/>
              </w:rPr>
              <w:t>其他因素评分标准：</w:t>
            </w:r>
            <w:r>
              <w:rPr>
                <w:rFonts w:hint="eastAsia" w:ascii="宋体" w:hAnsi="宋体" w:eastAsia="宋体" w:cs="宋体"/>
                <w:color w:val="auto"/>
                <w:spacing w:val="0"/>
                <w:sz w:val="24"/>
                <w:szCs w:val="24"/>
                <w:highlight w:val="none"/>
                <w:lang w:val="en-US" w:eastAsia="zh-CN"/>
              </w:rPr>
              <w:t>16</w:t>
            </w:r>
            <w:r>
              <w:rPr>
                <w:rFonts w:hint="eastAsia" w:ascii="宋体" w:hAnsi="宋体" w:eastAsia="宋体" w:cs="宋体"/>
                <w:color w:val="auto"/>
                <w:spacing w:val="0"/>
                <w:sz w:val="24"/>
                <w:szCs w:val="24"/>
                <w:highlight w:val="none"/>
              </w:rPr>
              <w:t>分</w:t>
            </w:r>
          </w:p>
        </w:tc>
      </w:tr>
      <w:tr w14:paraId="2911A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jc w:val="center"/>
        </w:trPr>
        <w:tc>
          <w:tcPr>
            <w:tcW w:w="963" w:type="dxa"/>
            <w:vAlign w:val="center"/>
          </w:tcPr>
          <w:p w14:paraId="13A66A6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2233" w:type="dxa"/>
            <w:vAlign w:val="center"/>
          </w:tcPr>
          <w:p w14:paraId="0D650FA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报价得分计算方法</w:t>
            </w:r>
          </w:p>
        </w:tc>
        <w:tc>
          <w:tcPr>
            <w:tcW w:w="6208" w:type="dxa"/>
            <w:vAlign w:val="center"/>
          </w:tcPr>
          <w:p w14:paraId="35F7C5E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sz w:val="24"/>
                <w:szCs w:val="24"/>
                <w:highlight w:val="none"/>
                <w:lang w:val="zh-CN" w:eastAsia="zh-CN"/>
              </w:rPr>
            </w:pPr>
            <w:r>
              <w:rPr>
                <w:rFonts w:hint="eastAsia" w:ascii="宋体" w:hAnsi="宋体" w:eastAsia="宋体" w:cs="宋体"/>
                <w:bCs/>
                <w:color w:val="auto"/>
                <w:spacing w:val="0"/>
                <w:sz w:val="24"/>
                <w:szCs w:val="24"/>
                <w:highlight w:val="none"/>
                <w:lang w:val="zh-CN" w:eastAsia="zh-CN"/>
              </w:rPr>
              <w:t>价格部分统一采用低价优先法计算，即满足磋商文件要求且最后报价，最低的供应商的价格为磋商基准价，其价格分为满分</w:t>
            </w:r>
            <w:r>
              <w:rPr>
                <w:rFonts w:hint="eastAsia" w:ascii="宋体" w:hAnsi="宋体" w:eastAsia="宋体" w:cs="宋体"/>
                <w:bCs/>
                <w:color w:val="auto"/>
                <w:spacing w:val="0"/>
                <w:sz w:val="24"/>
                <w:szCs w:val="24"/>
                <w:highlight w:val="none"/>
                <w:lang w:val="en-US" w:eastAsia="zh-CN"/>
              </w:rPr>
              <w:t>30分</w:t>
            </w:r>
            <w:r>
              <w:rPr>
                <w:rFonts w:hint="eastAsia" w:ascii="宋体" w:hAnsi="宋体" w:eastAsia="宋体" w:cs="宋体"/>
                <w:bCs/>
                <w:color w:val="auto"/>
                <w:spacing w:val="0"/>
                <w:sz w:val="24"/>
                <w:szCs w:val="24"/>
                <w:highlight w:val="none"/>
                <w:lang w:val="zh-CN" w:eastAsia="zh-CN"/>
              </w:rPr>
              <w:t>。</w:t>
            </w:r>
          </w:p>
          <w:p w14:paraId="2E4F5C4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sz w:val="24"/>
                <w:szCs w:val="24"/>
                <w:highlight w:val="none"/>
                <w:lang w:val="zh-CN"/>
              </w:rPr>
            </w:pPr>
            <w:r>
              <w:rPr>
                <w:rFonts w:hint="eastAsia" w:ascii="宋体" w:hAnsi="宋体" w:eastAsia="宋体" w:cs="宋体"/>
                <w:bCs/>
                <w:color w:val="auto"/>
                <w:spacing w:val="0"/>
                <w:sz w:val="24"/>
                <w:szCs w:val="24"/>
                <w:highlight w:val="none"/>
                <w:lang w:val="zh-CN" w:eastAsia="zh-CN"/>
              </w:rPr>
              <w:t>其他供应商的价格统一按照下列公式计算：</w:t>
            </w:r>
          </w:p>
          <w:p w14:paraId="038DC7B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default" w:ascii="宋体" w:hAnsi="宋体" w:eastAsia="宋体" w:cs="宋体"/>
                <w:color w:val="auto"/>
                <w:spacing w:val="0"/>
                <w:sz w:val="24"/>
                <w:szCs w:val="24"/>
                <w:highlight w:val="none"/>
                <w:lang w:val="en-US"/>
              </w:rPr>
            </w:pPr>
            <w:r>
              <w:rPr>
                <w:rFonts w:hint="eastAsia" w:ascii="宋体" w:hAnsi="宋体" w:eastAsia="宋体" w:cs="宋体"/>
                <w:bCs/>
                <w:color w:val="auto"/>
                <w:spacing w:val="0"/>
                <w:sz w:val="24"/>
                <w:szCs w:val="24"/>
                <w:highlight w:val="none"/>
                <w:lang w:val="zh-CN" w:eastAsia="zh-CN"/>
              </w:rPr>
              <w:t>磋商报价得分=（磋商基准价/最后磋商报价）×</w:t>
            </w:r>
            <w:r>
              <w:rPr>
                <w:rFonts w:hint="eastAsia" w:ascii="宋体" w:hAnsi="宋体" w:eastAsia="宋体" w:cs="宋体"/>
                <w:bCs/>
                <w:color w:val="auto"/>
                <w:spacing w:val="0"/>
                <w:sz w:val="24"/>
                <w:szCs w:val="24"/>
                <w:highlight w:val="none"/>
                <w:lang w:val="en-US" w:eastAsia="zh-CN"/>
              </w:rPr>
              <w:t>30</w:t>
            </w:r>
          </w:p>
        </w:tc>
      </w:tr>
      <w:tr w14:paraId="22BA9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3196" w:type="dxa"/>
            <w:gridSpan w:val="2"/>
            <w:vAlign w:val="center"/>
          </w:tcPr>
          <w:p w14:paraId="5269B6E6">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评分因素</w:t>
            </w:r>
          </w:p>
        </w:tc>
        <w:tc>
          <w:tcPr>
            <w:tcW w:w="6208" w:type="dxa"/>
            <w:vAlign w:val="center"/>
          </w:tcPr>
          <w:p w14:paraId="24124F05">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评分标准</w:t>
            </w:r>
          </w:p>
        </w:tc>
      </w:tr>
      <w:tr w14:paraId="6AAC9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63" w:type="dxa"/>
            <w:vMerge w:val="restart"/>
            <w:vAlign w:val="center"/>
          </w:tcPr>
          <w:p w14:paraId="38B94F83">
            <w:pPr>
              <w:pStyle w:val="23"/>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hanging="45"/>
              <w:jc w:val="center"/>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bCs/>
                <w:color w:val="auto"/>
                <w:spacing w:val="0"/>
                <w:sz w:val="24"/>
                <w:szCs w:val="24"/>
                <w:highlight w:val="none"/>
              </w:rPr>
              <w:t>施工组织设计部分评分标准</w:t>
            </w:r>
            <w:r>
              <w:rPr>
                <w:rFonts w:hint="eastAsia" w:cs="宋体"/>
                <w:bCs/>
                <w:color w:val="auto"/>
                <w:spacing w:val="0"/>
                <w:sz w:val="24"/>
                <w:szCs w:val="24"/>
                <w:highlight w:val="none"/>
                <w:lang w:val="en-US" w:eastAsia="zh-CN"/>
              </w:rPr>
              <w:t>54</w:t>
            </w:r>
            <w:r>
              <w:rPr>
                <w:rFonts w:hint="eastAsia" w:ascii="宋体" w:hAnsi="宋体" w:eastAsia="宋体" w:cs="宋体"/>
                <w:bCs/>
                <w:color w:val="auto"/>
                <w:spacing w:val="0"/>
                <w:sz w:val="24"/>
                <w:szCs w:val="24"/>
                <w:highlight w:val="none"/>
              </w:rPr>
              <w:t>分</w:t>
            </w:r>
            <w:r>
              <w:rPr>
                <w:rFonts w:hint="eastAsia" w:cs="宋体"/>
                <w:bCs/>
                <w:color w:val="auto"/>
                <w:spacing w:val="0"/>
                <w:sz w:val="24"/>
                <w:szCs w:val="24"/>
                <w:highlight w:val="none"/>
                <w:lang w:eastAsia="zh-CN"/>
              </w:rPr>
              <w:t>（</w:t>
            </w:r>
            <w:r>
              <w:rPr>
                <w:rFonts w:hint="eastAsia" w:cs="宋体"/>
                <w:bCs/>
                <w:color w:val="auto"/>
                <w:spacing w:val="0"/>
                <w:sz w:val="24"/>
                <w:szCs w:val="24"/>
                <w:highlight w:val="none"/>
                <w:lang w:val="en-US" w:eastAsia="zh-CN"/>
              </w:rPr>
              <w:t>暗标</w:t>
            </w:r>
            <w:r>
              <w:rPr>
                <w:rFonts w:hint="eastAsia" w:cs="宋体"/>
                <w:bCs/>
                <w:color w:val="auto"/>
                <w:spacing w:val="0"/>
                <w:sz w:val="24"/>
                <w:szCs w:val="24"/>
                <w:highlight w:val="none"/>
                <w:lang w:eastAsia="zh-CN"/>
              </w:rPr>
              <w:t>）</w:t>
            </w:r>
          </w:p>
        </w:tc>
        <w:tc>
          <w:tcPr>
            <w:tcW w:w="2233" w:type="dxa"/>
            <w:vAlign w:val="center"/>
          </w:tcPr>
          <w:p w14:paraId="4108767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snapToGrid w:val="0"/>
                <w:color w:val="auto"/>
                <w:spacing w:val="0"/>
                <w:kern w:val="0"/>
                <w:sz w:val="24"/>
                <w:szCs w:val="24"/>
                <w:highlight w:val="none"/>
                <w:lang w:val="zh-CN" w:eastAsia="en-US" w:bidi="ar-SA"/>
              </w:rPr>
            </w:pPr>
            <w:r>
              <w:rPr>
                <w:rFonts w:hint="eastAsia" w:ascii="宋体" w:hAnsi="宋体" w:eastAsia="宋体" w:cs="宋体"/>
                <w:color w:val="auto"/>
                <w:spacing w:val="0"/>
                <w:sz w:val="24"/>
                <w:szCs w:val="24"/>
                <w:highlight w:val="none"/>
              </w:rPr>
              <w:t>内容完整性和编制水平（</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分）</w:t>
            </w:r>
          </w:p>
        </w:tc>
        <w:tc>
          <w:tcPr>
            <w:tcW w:w="6208" w:type="dxa"/>
            <w:vAlign w:val="center"/>
          </w:tcPr>
          <w:p w14:paraId="16A1F8F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snapToGrid w:val="0"/>
                <w:color w:val="auto"/>
                <w:spacing w:val="0"/>
                <w:kern w:val="0"/>
                <w:sz w:val="24"/>
                <w:szCs w:val="24"/>
                <w:highlight w:val="none"/>
                <w:lang w:val="zh-CN" w:eastAsia="en-US" w:bidi="ar-SA"/>
              </w:rPr>
            </w:pPr>
            <w:r>
              <w:rPr>
                <w:rFonts w:hint="eastAsia" w:ascii="宋体" w:hAnsi="宋体" w:eastAsia="宋体" w:cs="宋体"/>
                <w:bCs/>
                <w:color w:val="auto"/>
                <w:spacing w:val="0"/>
                <w:sz w:val="24"/>
                <w:szCs w:val="24"/>
                <w:highlight w:val="none"/>
              </w:rPr>
              <w:t>内容完整性和编制水平进行比较，内容完整、合理、可行；优得</w:t>
            </w:r>
            <w:r>
              <w:rPr>
                <w:rFonts w:hint="eastAsia" w:ascii="宋体" w:hAnsi="宋体" w:eastAsia="宋体" w:cs="宋体"/>
                <w:bCs/>
                <w:color w:val="auto"/>
                <w:spacing w:val="0"/>
                <w:sz w:val="24"/>
                <w:szCs w:val="24"/>
                <w:highlight w:val="none"/>
                <w:lang w:val="en-US" w:eastAsia="zh-CN"/>
              </w:rPr>
              <w:t>6-5</w:t>
            </w:r>
            <w:r>
              <w:rPr>
                <w:rFonts w:hint="eastAsia" w:ascii="宋体" w:hAnsi="宋体" w:eastAsia="宋体" w:cs="宋体"/>
                <w:bCs/>
                <w:color w:val="auto"/>
                <w:spacing w:val="0"/>
                <w:sz w:val="24"/>
                <w:szCs w:val="24"/>
                <w:highlight w:val="none"/>
              </w:rPr>
              <w:t>分，良</w:t>
            </w:r>
            <w:r>
              <w:rPr>
                <w:rFonts w:hint="eastAsia" w:ascii="宋体" w:hAnsi="宋体" w:eastAsia="宋体" w:cs="宋体"/>
                <w:bCs/>
                <w:color w:val="auto"/>
                <w:spacing w:val="0"/>
                <w:sz w:val="24"/>
                <w:szCs w:val="24"/>
                <w:highlight w:val="none"/>
                <w:lang w:val="en-US" w:eastAsia="zh-CN"/>
              </w:rPr>
              <w:t>4-3</w:t>
            </w:r>
            <w:r>
              <w:rPr>
                <w:rFonts w:hint="eastAsia" w:ascii="宋体" w:hAnsi="宋体" w:eastAsia="宋体" w:cs="宋体"/>
                <w:bCs/>
                <w:color w:val="auto"/>
                <w:spacing w:val="0"/>
                <w:sz w:val="24"/>
                <w:szCs w:val="24"/>
                <w:highlight w:val="none"/>
              </w:rPr>
              <w:t>得分，一般得</w:t>
            </w:r>
            <w:r>
              <w:rPr>
                <w:rFonts w:hint="eastAsia" w:ascii="宋体" w:hAnsi="宋体" w:eastAsia="宋体" w:cs="宋体"/>
                <w:bCs/>
                <w:color w:val="auto"/>
                <w:spacing w:val="0"/>
                <w:sz w:val="24"/>
                <w:szCs w:val="24"/>
                <w:highlight w:val="none"/>
                <w:lang w:val="en-US" w:eastAsia="zh-CN"/>
              </w:rPr>
              <w:t>2-1</w:t>
            </w:r>
            <w:r>
              <w:rPr>
                <w:rFonts w:hint="eastAsia" w:ascii="宋体" w:hAnsi="宋体" w:eastAsia="宋体" w:cs="宋体"/>
                <w:bCs/>
                <w:color w:val="auto"/>
                <w:spacing w:val="0"/>
                <w:sz w:val="24"/>
                <w:szCs w:val="24"/>
                <w:highlight w:val="none"/>
              </w:rPr>
              <w:t>分，无不得分。</w:t>
            </w:r>
          </w:p>
        </w:tc>
      </w:tr>
      <w:tr w14:paraId="46CD6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963" w:type="dxa"/>
            <w:vMerge w:val="continue"/>
            <w:vAlign w:val="center"/>
          </w:tcPr>
          <w:p w14:paraId="5E07361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p>
        </w:tc>
        <w:tc>
          <w:tcPr>
            <w:tcW w:w="2233" w:type="dxa"/>
            <w:vAlign w:val="center"/>
          </w:tcPr>
          <w:p w14:paraId="38E372C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施工方案与技术措施</w:t>
            </w:r>
          </w:p>
          <w:p w14:paraId="6CC6D26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snapToGrid w:val="0"/>
                <w:color w:val="auto"/>
                <w:spacing w:val="0"/>
                <w:kern w:val="0"/>
                <w:sz w:val="24"/>
                <w:szCs w:val="24"/>
                <w:highlight w:val="none"/>
                <w:lang w:val="zh-CN" w:eastAsia="en-US" w:bidi="ar-SA"/>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分）</w:t>
            </w:r>
          </w:p>
        </w:tc>
        <w:tc>
          <w:tcPr>
            <w:tcW w:w="6208" w:type="dxa"/>
            <w:vAlign w:val="center"/>
          </w:tcPr>
          <w:p w14:paraId="77A7655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snapToGrid w:val="0"/>
                <w:color w:val="auto"/>
                <w:spacing w:val="0"/>
                <w:kern w:val="0"/>
                <w:sz w:val="24"/>
                <w:szCs w:val="24"/>
                <w:highlight w:val="none"/>
                <w:lang w:val="zh-CN" w:eastAsia="en-US" w:bidi="ar-SA"/>
              </w:rPr>
            </w:pPr>
            <w:r>
              <w:rPr>
                <w:rFonts w:hint="eastAsia" w:ascii="宋体" w:hAnsi="宋体" w:eastAsia="宋体" w:cs="宋体"/>
                <w:bCs/>
                <w:color w:val="auto"/>
                <w:spacing w:val="0"/>
                <w:sz w:val="24"/>
                <w:szCs w:val="24"/>
                <w:highlight w:val="none"/>
              </w:rPr>
              <w:t>施工方案与技术措施进行比较，内容完整、合理、可行；优得</w:t>
            </w:r>
            <w:r>
              <w:rPr>
                <w:rFonts w:hint="eastAsia" w:ascii="宋体" w:hAnsi="宋体" w:eastAsia="宋体" w:cs="宋体"/>
                <w:bCs/>
                <w:color w:val="auto"/>
                <w:spacing w:val="0"/>
                <w:sz w:val="24"/>
                <w:szCs w:val="24"/>
                <w:highlight w:val="none"/>
                <w:lang w:val="en-US" w:eastAsia="zh-CN"/>
              </w:rPr>
              <w:t>6-5</w:t>
            </w:r>
            <w:r>
              <w:rPr>
                <w:rFonts w:hint="eastAsia" w:ascii="宋体" w:hAnsi="宋体" w:eastAsia="宋体" w:cs="宋体"/>
                <w:bCs/>
                <w:color w:val="auto"/>
                <w:spacing w:val="0"/>
                <w:sz w:val="24"/>
                <w:szCs w:val="24"/>
                <w:highlight w:val="none"/>
              </w:rPr>
              <w:t>分，良得</w:t>
            </w:r>
            <w:r>
              <w:rPr>
                <w:rFonts w:hint="eastAsia" w:ascii="宋体" w:hAnsi="宋体" w:eastAsia="宋体" w:cs="宋体"/>
                <w:bCs/>
                <w:color w:val="auto"/>
                <w:spacing w:val="0"/>
                <w:sz w:val="24"/>
                <w:szCs w:val="24"/>
                <w:highlight w:val="none"/>
                <w:lang w:val="en-US" w:eastAsia="zh-CN"/>
              </w:rPr>
              <w:t>4-3</w:t>
            </w:r>
            <w:r>
              <w:rPr>
                <w:rFonts w:hint="eastAsia" w:ascii="宋体" w:hAnsi="宋体" w:eastAsia="宋体" w:cs="宋体"/>
                <w:bCs/>
                <w:color w:val="auto"/>
                <w:spacing w:val="0"/>
                <w:sz w:val="24"/>
                <w:szCs w:val="24"/>
                <w:highlight w:val="none"/>
              </w:rPr>
              <w:t>分，一般得</w:t>
            </w:r>
            <w:r>
              <w:rPr>
                <w:rFonts w:hint="eastAsia" w:ascii="宋体" w:hAnsi="宋体" w:eastAsia="宋体" w:cs="宋体"/>
                <w:bCs/>
                <w:color w:val="auto"/>
                <w:spacing w:val="0"/>
                <w:sz w:val="24"/>
                <w:szCs w:val="24"/>
                <w:highlight w:val="none"/>
                <w:lang w:val="en-US" w:eastAsia="zh-CN"/>
              </w:rPr>
              <w:t>2-1</w:t>
            </w:r>
            <w:r>
              <w:rPr>
                <w:rFonts w:hint="eastAsia" w:ascii="宋体" w:hAnsi="宋体" w:eastAsia="宋体" w:cs="宋体"/>
                <w:bCs/>
                <w:color w:val="auto"/>
                <w:spacing w:val="0"/>
                <w:sz w:val="24"/>
                <w:szCs w:val="24"/>
                <w:highlight w:val="none"/>
              </w:rPr>
              <w:t>分，无不得分。</w:t>
            </w:r>
          </w:p>
        </w:tc>
      </w:tr>
      <w:tr w14:paraId="3EA3B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jc w:val="center"/>
        </w:trPr>
        <w:tc>
          <w:tcPr>
            <w:tcW w:w="963" w:type="dxa"/>
            <w:vMerge w:val="continue"/>
            <w:vAlign w:val="center"/>
          </w:tcPr>
          <w:p w14:paraId="5B0066B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p>
        </w:tc>
        <w:tc>
          <w:tcPr>
            <w:tcW w:w="2233" w:type="dxa"/>
            <w:vAlign w:val="center"/>
          </w:tcPr>
          <w:p w14:paraId="707A377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质量管理体系与措施</w:t>
            </w:r>
          </w:p>
          <w:p w14:paraId="7C3B219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snapToGrid w:val="0"/>
                <w:color w:val="auto"/>
                <w:spacing w:val="0"/>
                <w:kern w:val="0"/>
                <w:sz w:val="24"/>
                <w:szCs w:val="24"/>
                <w:highlight w:val="none"/>
                <w:lang w:val="zh-CN" w:eastAsia="en-US" w:bidi="ar-SA"/>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分）</w:t>
            </w:r>
          </w:p>
        </w:tc>
        <w:tc>
          <w:tcPr>
            <w:tcW w:w="6208" w:type="dxa"/>
            <w:vAlign w:val="center"/>
          </w:tcPr>
          <w:p w14:paraId="776380D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snapToGrid w:val="0"/>
                <w:color w:val="auto"/>
                <w:spacing w:val="0"/>
                <w:kern w:val="0"/>
                <w:sz w:val="24"/>
                <w:szCs w:val="24"/>
                <w:highlight w:val="none"/>
                <w:lang w:val="zh-CN" w:eastAsia="en-US" w:bidi="ar-SA"/>
              </w:rPr>
            </w:pPr>
            <w:r>
              <w:rPr>
                <w:rFonts w:hint="eastAsia" w:ascii="宋体" w:hAnsi="宋体" w:eastAsia="宋体" w:cs="宋体"/>
                <w:bCs/>
                <w:color w:val="auto"/>
                <w:spacing w:val="0"/>
                <w:sz w:val="24"/>
                <w:szCs w:val="24"/>
                <w:highlight w:val="none"/>
              </w:rPr>
              <w:t>质量管理体系与措施进行比较，内容完整、合理、可行；优得</w:t>
            </w:r>
            <w:r>
              <w:rPr>
                <w:rFonts w:hint="eastAsia" w:ascii="宋体" w:hAnsi="宋体" w:eastAsia="宋体" w:cs="宋体"/>
                <w:bCs/>
                <w:color w:val="auto"/>
                <w:spacing w:val="0"/>
                <w:sz w:val="24"/>
                <w:szCs w:val="24"/>
                <w:highlight w:val="none"/>
                <w:lang w:val="en-US" w:eastAsia="zh-CN"/>
              </w:rPr>
              <w:t>6-5</w:t>
            </w:r>
            <w:r>
              <w:rPr>
                <w:rFonts w:hint="eastAsia" w:ascii="宋体" w:hAnsi="宋体" w:eastAsia="宋体" w:cs="宋体"/>
                <w:bCs/>
                <w:color w:val="auto"/>
                <w:spacing w:val="0"/>
                <w:sz w:val="24"/>
                <w:szCs w:val="24"/>
                <w:highlight w:val="none"/>
              </w:rPr>
              <w:t>分，良得</w:t>
            </w:r>
            <w:r>
              <w:rPr>
                <w:rFonts w:hint="eastAsia" w:ascii="宋体" w:hAnsi="宋体" w:eastAsia="宋体" w:cs="宋体"/>
                <w:bCs/>
                <w:color w:val="auto"/>
                <w:spacing w:val="0"/>
                <w:sz w:val="24"/>
                <w:szCs w:val="24"/>
                <w:highlight w:val="none"/>
                <w:lang w:val="en-US" w:eastAsia="zh-CN"/>
              </w:rPr>
              <w:t>4-3</w:t>
            </w:r>
            <w:r>
              <w:rPr>
                <w:rFonts w:hint="eastAsia" w:ascii="宋体" w:hAnsi="宋体" w:eastAsia="宋体" w:cs="宋体"/>
                <w:bCs/>
                <w:color w:val="auto"/>
                <w:spacing w:val="0"/>
                <w:sz w:val="24"/>
                <w:szCs w:val="24"/>
                <w:highlight w:val="none"/>
              </w:rPr>
              <w:t>分，一般得</w:t>
            </w:r>
            <w:r>
              <w:rPr>
                <w:rFonts w:hint="eastAsia" w:ascii="宋体" w:hAnsi="宋体" w:eastAsia="宋体" w:cs="宋体"/>
                <w:bCs/>
                <w:color w:val="auto"/>
                <w:spacing w:val="0"/>
                <w:sz w:val="24"/>
                <w:szCs w:val="24"/>
                <w:highlight w:val="none"/>
                <w:lang w:val="en-US" w:eastAsia="zh-CN"/>
              </w:rPr>
              <w:t>2-1</w:t>
            </w:r>
            <w:r>
              <w:rPr>
                <w:rFonts w:hint="eastAsia" w:ascii="宋体" w:hAnsi="宋体" w:eastAsia="宋体" w:cs="宋体"/>
                <w:bCs/>
                <w:color w:val="auto"/>
                <w:spacing w:val="0"/>
                <w:sz w:val="24"/>
                <w:szCs w:val="24"/>
                <w:highlight w:val="none"/>
              </w:rPr>
              <w:t>分，无不得分。</w:t>
            </w:r>
          </w:p>
        </w:tc>
      </w:tr>
      <w:tr w14:paraId="08B4D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963" w:type="dxa"/>
            <w:vMerge w:val="continue"/>
            <w:vAlign w:val="center"/>
          </w:tcPr>
          <w:p w14:paraId="45D7E2E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p>
        </w:tc>
        <w:tc>
          <w:tcPr>
            <w:tcW w:w="2233" w:type="dxa"/>
            <w:vAlign w:val="center"/>
          </w:tcPr>
          <w:p w14:paraId="1EDF3AA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安全管理体系与措施</w:t>
            </w:r>
          </w:p>
          <w:p w14:paraId="36F078A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分）</w:t>
            </w:r>
          </w:p>
        </w:tc>
        <w:tc>
          <w:tcPr>
            <w:tcW w:w="6208" w:type="dxa"/>
            <w:vAlign w:val="center"/>
          </w:tcPr>
          <w:p w14:paraId="3CFCC54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snapToGrid w:val="0"/>
                <w:color w:val="auto"/>
                <w:spacing w:val="0"/>
                <w:kern w:val="0"/>
                <w:sz w:val="24"/>
                <w:szCs w:val="24"/>
                <w:highlight w:val="none"/>
                <w:lang w:val="zh-CN" w:eastAsia="en-US" w:bidi="ar-SA"/>
              </w:rPr>
            </w:pPr>
            <w:r>
              <w:rPr>
                <w:rFonts w:hint="eastAsia" w:ascii="宋体" w:hAnsi="宋体" w:eastAsia="宋体" w:cs="宋体"/>
                <w:bCs/>
                <w:color w:val="auto"/>
                <w:spacing w:val="0"/>
                <w:sz w:val="24"/>
                <w:szCs w:val="24"/>
                <w:highlight w:val="none"/>
              </w:rPr>
              <w:t>安全管理体系与措施进行比较，内容完整、合理、可行；优得</w:t>
            </w:r>
            <w:r>
              <w:rPr>
                <w:rFonts w:hint="eastAsia" w:ascii="宋体" w:hAnsi="宋体" w:eastAsia="宋体" w:cs="宋体"/>
                <w:bCs/>
                <w:color w:val="auto"/>
                <w:spacing w:val="0"/>
                <w:sz w:val="24"/>
                <w:szCs w:val="24"/>
                <w:highlight w:val="none"/>
                <w:lang w:val="en-US" w:eastAsia="zh-CN"/>
              </w:rPr>
              <w:t>6-5</w:t>
            </w:r>
            <w:r>
              <w:rPr>
                <w:rFonts w:hint="eastAsia" w:ascii="宋体" w:hAnsi="宋体" w:eastAsia="宋体" w:cs="宋体"/>
                <w:bCs/>
                <w:color w:val="auto"/>
                <w:spacing w:val="0"/>
                <w:sz w:val="24"/>
                <w:szCs w:val="24"/>
                <w:highlight w:val="none"/>
              </w:rPr>
              <w:t>分，良得</w:t>
            </w:r>
            <w:r>
              <w:rPr>
                <w:rFonts w:hint="eastAsia" w:ascii="宋体" w:hAnsi="宋体" w:eastAsia="宋体" w:cs="宋体"/>
                <w:bCs/>
                <w:color w:val="auto"/>
                <w:spacing w:val="0"/>
                <w:sz w:val="24"/>
                <w:szCs w:val="24"/>
                <w:highlight w:val="none"/>
                <w:lang w:val="en-US" w:eastAsia="zh-CN"/>
              </w:rPr>
              <w:t>4-3</w:t>
            </w:r>
            <w:r>
              <w:rPr>
                <w:rFonts w:hint="eastAsia" w:ascii="宋体" w:hAnsi="宋体" w:eastAsia="宋体" w:cs="宋体"/>
                <w:bCs/>
                <w:color w:val="auto"/>
                <w:spacing w:val="0"/>
                <w:sz w:val="24"/>
                <w:szCs w:val="24"/>
                <w:highlight w:val="none"/>
              </w:rPr>
              <w:t>分，一般得</w:t>
            </w:r>
            <w:r>
              <w:rPr>
                <w:rFonts w:hint="eastAsia" w:ascii="宋体" w:hAnsi="宋体" w:eastAsia="宋体" w:cs="宋体"/>
                <w:bCs/>
                <w:color w:val="auto"/>
                <w:spacing w:val="0"/>
                <w:sz w:val="24"/>
                <w:szCs w:val="24"/>
                <w:highlight w:val="none"/>
                <w:lang w:val="en-US" w:eastAsia="zh-CN"/>
              </w:rPr>
              <w:t>2-1</w:t>
            </w:r>
            <w:r>
              <w:rPr>
                <w:rFonts w:hint="eastAsia" w:ascii="宋体" w:hAnsi="宋体" w:eastAsia="宋体" w:cs="宋体"/>
                <w:bCs/>
                <w:color w:val="auto"/>
                <w:spacing w:val="0"/>
                <w:sz w:val="24"/>
                <w:szCs w:val="24"/>
                <w:highlight w:val="none"/>
              </w:rPr>
              <w:t>分，无不得分。</w:t>
            </w:r>
          </w:p>
        </w:tc>
      </w:tr>
      <w:tr w14:paraId="22E6E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963" w:type="dxa"/>
            <w:vMerge w:val="continue"/>
            <w:vAlign w:val="center"/>
          </w:tcPr>
          <w:p w14:paraId="5403AD8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p>
        </w:tc>
        <w:tc>
          <w:tcPr>
            <w:tcW w:w="2233" w:type="dxa"/>
            <w:vAlign w:val="center"/>
          </w:tcPr>
          <w:p w14:paraId="62B724D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color w:val="auto"/>
                <w:spacing w:val="0"/>
                <w:sz w:val="24"/>
                <w:szCs w:val="24"/>
                <w:highlight w:val="none"/>
              </w:rPr>
              <w:t>环境保护管理体系与措施（</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分）</w:t>
            </w:r>
          </w:p>
        </w:tc>
        <w:tc>
          <w:tcPr>
            <w:tcW w:w="6208" w:type="dxa"/>
            <w:vAlign w:val="center"/>
          </w:tcPr>
          <w:p w14:paraId="7EA0279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snapToGrid w:val="0"/>
                <w:color w:val="auto"/>
                <w:spacing w:val="0"/>
                <w:kern w:val="0"/>
                <w:sz w:val="24"/>
                <w:szCs w:val="24"/>
                <w:highlight w:val="none"/>
                <w:lang w:val="zh-CN" w:eastAsia="en-US" w:bidi="ar-SA"/>
              </w:rPr>
            </w:pPr>
            <w:r>
              <w:rPr>
                <w:rFonts w:hint="eastAsia" w:ascii="宋体" w:hAnsi="宋体" w:eastAsia="宋体" w:cs="宋体"/>
                <w:bCs/>
                <w:color w:val="auto"/>
                <w:spacing w:val="0"/>
                <w:sz w:val="24"/>
                <w:szCs w:val="24"/>
                <w:highlight w:val="none"/>
              </w:rPr>
              <w:t>环境保护管理体系与措施进行比较，内容完整、合理、可行；优得</w:t>
            </w:r>
            <w:r>
              <w:rPr>
                <w:rFonts w:hint="eastAsia" w:ascii="宋体" w:hAnsi="宋体" w:eastAsia="宋体" w:cs="宋体"/>
                <w:bCs/>
                <w:color w:val="auto"/>
                <w:spacing w:val="0"/>
                <w:sz w:val="24"/>
                <w:szCs w:val="24"/>
                <w:highlight w:val="none"/>
                <w:lang w:val="en-US" w:eastAsia="zh-CN"/>
              </w:rPr>
              <w:t>6-5</w:t>
            </w:r>
            <w:r>
              <w:rPr>
                <w:rFonts w:hint="eastAsia" w:ascii="宋体" w:hAnsi="宋体" w:eastAsia="宋体" w:cs="宋体"/>
                <w:bCs/>
                <w:color w:val="auto"/>
                <w:spacing w:val="0"/>
                <w:sz w:val="24"/>
                <w:szCs w:val="24"/>
                <w:highlight w:val="none"/>
              </w:rPr>
              <w:t>分，良得</w:t>
            </w:r>
            <w:r>
              <w:rPr>
                <w:rFonts w:hint="eastAsia" w:ascii="宋体" w:hAnsi="宋体" w:eastAsia="宋体" w:cs="宋体"/>
                <w:bCs/>
                <w:color w:val="auto"/>
                <w:spacing w:val="0"/>
                <w:sz w:val="24"/>
                <w:szCs w:val="24"/>
                <w:highlight w:val="none"/>
                <w:lang w:val="en-US" w:eastAsia="zh-CN"/>
              </w:rPr>
              <w:t>4-3</w:t>
            </w:r>
            <w:r>
              <w:rPr>
                <w:rFonts w:hint="eastAsia" w:ascii="宋体" w:hAnsi="宋体" w:eastAsia="宋体" w:cs="宋体"/>
                <w:bCs/>
                <w:color w:val="auto"/>
                <w:spacing w:val="0"/>
                <w:sz w:val="24"/>
                <w:szCs w:val="24"/>
                <w:highlight w:val="none"/>
              </w:rPr>
              <w:t>分，一般得</w:t>
            </w:r>
            <w:r>
              <w:rPr>
                <w:rFonts w:hint="eastAsia" w:ascii="宋体" w:hAnsi="宋体" w:eastAsia="宋体" w:cs="宋体"/>
                <w:bCs/>
                <w:color w:val="auto"/>
                <w:spacing w:val="0"/>
                <w:sz w:val="24"/>
                <w:szCs w:val="24"/>
                <w:highlight w:val="none"/>
                <w:lang w:val="en-US" w:eastAsia="zh-CN"/>
              </w:rPr>
              <w:t>2-1</w:t>
            </w:r>
            <w:r>
              <w:rPr>
                <w:rFonts w:hint="eastAsia" w:ascii="宋体" w:hAnsi="宋体" w:eastAsia="宋体" w:cs="宋体"/>
                <w:bCs/>
                <w:color w:val="auto"/>
                <w:spacing w:val="0"/>
                <w:sz w:val="24"/>
                <w:szCs w:val="24"/>
                <w:highlight w:val="none"/>
              </w:rPr>
              <w:t>分，无不得分。</w:t>
            </w:r>
          </w:p>
        </w:tc>
      </w:tr>
      <w:tr w14:paraId="134AE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jc w:val="center"/>
        </w:trPr>
        <w:tc>
          <w:tcPr>
            <w:tcW w:w="963" w:type="dxa"/>
            <w:vMerge w:val="continue"/>
            <w:vAlign w:val="center"/>
          </w:tcPr>
          <w:p w14:paraId="79B0912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p>
        </w:tc>
        <w:tc>
          <w:tcPr>
            <w:tcW w:w="2233" w:type="dxa"/>
            <w:vAlign w:val="center"/>
          </w:tcPr>
          <w:p w14:paraId="1231A4B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工程进度计划与措施</w:t>
            </w:r>
          </w:p>
          <w:p w14:paraId="3B53F8C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snapToGrid w:val="0"/>
                <w:color w:val="auto"/>
                <w:spacing w:val="0"/>
                <w:kern w:val="0"/>
                <w:sz w:val="24"/>
                <w:szCs w:val="24"/>
                <w:highlight w:val="none"/>
                <w:lang w:val="zh-CN" w:eastAsia="en-US" w:bidi="ar-SA"/>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分）</w:t>
            </w:r>
          </w:p>
        </w:tc>
        <w:tc>
          <w:tcPr>
            <w:tcW w:w="6208" w:type="dxa"/>
            <w:vAlign w:val="center"/>
          </w:tcPr>
          <w:p w14:paraId="482465E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snapToGrid w:val="0"/>
                <w:color w:val="auto"/>
                <w:spacing w:val="0"/>
                <w:kern w:val="0"/>
                <w:sz w:val="24"/>
                <w:szCs w:val="24"/>
                <w:highlight w:val="none"/>
                <w:lang w:val="zh-CN" w:eastAsia="en-US" w:bidi="ar-SA"/>
              </w:rPr>
            </w:pPr>
            <w:r>
              <w:rPr>
                <w:rFonts w:hint="eastAsia" w:ascii="宋体" w:hAnsi="宋体" w:eastAsia="宋体" w:cs="宋体"/>
                <w:bCs/>
                <w:color w:val="auto"/>
                <w:spacing w:val="0"/>
                <w:sz w:val="24"/>
                <w:szCs w:val="24"/>
                <w:highlight w:val="none"/>
              </w:rPr>
              <w:t>工程进度计划与措施进行比较，内容完整、合理、可行；优得</w:t>
            </w:r>
            <w:r>
              <w:rPr>
                <w:rFonts w:hint="eastAsia" w:ascii="宋体" w:hAnsi="宋体" w:eastAsia="宋体" w:cs="宋体"/>
                <w:bCs/>
                <w:color w:val="auto"/>
                <w:spacing w:val="0"/>
                <w:sz w:val="24"/>
                <w:szCs w:val="24"/>
                <w:highlight w:val="none"/>
                <w:lang w:val="en-US" w:eastAsia="zh-CN"/>
              </w:rPr>
              <w:t>6-5</w:t>
            </w:r>
            <w:r>
              <w:rPr>
                <w:rFonts w:hint="eastAsia" w:ascii="宋体" w:hAnsi="宋体" w:eastAsia="宋体" w:cs="宋体"/>
                <w:bCs/>
                <w:color w:val="auto"/>
                <w:spacing w:val="0"/>
                <w:sz w:val="24"/>
                <w:szCs w:val="24"/>
                <w:highlight w:val="none"/>
              </w:rPr>
              <w:t>分，良得</w:t>
            </w:r>
            <w:r>
              <w:rPr>
                <w:rFonts w:hint="eastAsia" w:ascii="宋体" w:hAnsi="宋体" w:eastAsia="宋体" w:cs="宋体"/>
                <w:bCs/>
                <w:color w:val="auto"/>
                <w:spacing w:val="0"/>
                <w:sz w:val="24"/>
                <w:szCs w:val="24"/>
                <w:highlight w:val="none"/>
                <w:lang w:val="en-US" w:eastAsia="zh-CN"/>
              </w:rPr>
              <w:t>4-3</w:t>
            </w:r>
            <w:r>
              <w:rPr>
                <w:rFonts w:hint="eastAsia" w:ascii="宋体" w:hAnsi="宋体" w:eastAsia="宋体" w:cs="宋体"/>
                <w:bCs/>
                <w:color w:val="auto"/>
                <w:spacing w:val="0"/>
                <w:sz w:val="24"/>
                <w:szCs w:val="24"/>
                <w:highlight w:val="none"/>
              </w:rPr>
              <w:t>分，一般得</w:t>
            </w:r>
            <w:r>
              <w:rPr>
                <w:rFonts w:hint="eastAsia" w:ascii="宋体" w:hAnsi="宋体" w:eastAsia="宋体" w:cs="宋体"/>
                <w:bCs/>
                <w:color w:val="auto"/>
                <w:spacing w:val="0"/>
                <w:sz w:val="24"/>
                <w:szCs w:val="24"/>
                <w:highlight w:val="none"/>
                <w:lang w:val="en-US" w:eastAsia="zh-CN"/>
              </w:rPr>
              <w:t>2-1</w:t>
            </w:r>
            <w:r>
              <w:rPr>
                <w:rFonts w:hint="eastAsia" w:ascii="宋体" w:hAnsi="宋体" w:eastAsia="宋体" w:cs="宋体"/>
                <w:bCs/>
                <w:color w:val="auto"/>
                <w:spacing w:val="0"/>
                <w:sz w:val="24"/>
                <w:szCs w:val="24"/>
                <w:highlight w:val="none"/>
              </w:rPr>
              <w:t>分，无不得分。</w:t>
            </w:r>
          </w:p>
        </w:tc>
      </w:tr>
      <w:tr w14:paraId="25B0C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963" w:type="dxa"/>
            <w:vMerge w:val="continue"/>
            <w:vAlign w:val="center"/>
          </w:tcPr>
          <w:p w14:paraId="587394D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2233" w:type="dxa"/>
            <w:vAlign w:val="center"/>
          </w:tcPr>
          <w:p w14:paraId="7EBAC03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资源配备计划</w:t>
            </w:r>
          </w:p>
          <w:p w14:paraId="0CF42E0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snapToGrid w:val="0"/>
                <w:color w:val="auto"/>
                <w:spacing w:val="0"/>
                <w:kern w:val="0"/>
                <w:sz w:val="24"/>
                <w:szCs w:val="24"/>
                <w:highlight w:val="none"/>
                <w:lang w:val="zh-CN" w:eastAsia="en-US" w:bidi="ar-SA"/>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分）</w:t>
            </w:r>
          </w:p>
        </w:tc>
        <w:tc>
          <w:tcPr>
            <w:tcW w:w="6208" w:type="dxa"/>
            <w:vAlign w:val="center"/>
          </w:tcPr>
          <w:p w14:paraId="59EC1B4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snapToGrid w:val="0"/>
                <w:color w:val="auto"/>
                <w:spacing w:val="0"/>
                <w:kern w:val="0"/>
                <w:sz w:val="24"/>
                <w:szCs w:val="24"/>
                <w:highlight w:val="none"/>
                <w:lang w:val="zh-CN" w:eastAsia="en-US" w:bidi="ar-SA"/>
              </w:rPr>
            </w:pPr>
            <w:r>
              <w:rPr>
                <w:rFonts w:hint="eastAsia" w:ascii="宋体" w:hAnsi="宋体" w:eastAsia="宋体" w:cs="宋体"/>
                <w:bCs/>
                <w:color w:val="auto"/>
                <w:spacing w:val="0"/>
                <w:sz w:val="24"/>
                <w:szCs w:val="24"/>
                <w:highlight w:val="none"/>
              </w:rPr>
              <w:t>资源配备计划进行比较，内容完整、合理、可行；优得</w:t>
            </w:r>
            <w:r>
              <w:rPr>
                <w:rFonts w:hint="eastAsia" w:ascii="宋体" w:hAnsi="宋体" w:eastAsia="宋体" w:cs="宋体"/>
                <w:bCs/>
                <w:color w:val="auto"/>
                <w:spacing w:val="0"/>
                <w:sz w:val="24"/>
                <w:szCs w:val="24"/>
                <w:highlight w:val="none"/>
                <w:lang w:val="en-US" w:eastAsia="zh-CN"/>
              </w:rPr>
              <w:t>6-5</w:t>
            </w:r>
            <w:r>
              <w:rPr>
                <w:rFonts w:hint="eastAsia" w:ascii="宋体" w:hAnsi="宋体" w:eastAsia="宋体" w:cs="宋体"/>
                <w:bCs/>
                <w:color w:val="auto"/>
                <w:spacing w:val="0"/>
                <w:sz w:val="24"/>
                <w:szCs w:val="24"/>
                <w:highlight w:val="none"/>
              </w:rPr>
              <w:t>分，良得</w:t>
            </w:r>
            <w:r>
              <w:rPr>
                <w:rFonts w:hint="eastAsia" w:ascii="宋体" w:hAnsi="宋体" w:eastAsia="宋体" w:cs="宋体"/>
                <w:bCs/>
                <w:color w:val="auto"/>
                <w:spacing w:val="0"/>
                <w:sz w:val="24"/>
                <w:szCs w:val="24"/>
                <w:highlight w:val="none"/>
                <w:lang w:val="en-US" w:eastAsia="zh-CN"/>
              </w:rPr>
              <w:t>4-3</w:t>
            </w:r>
            <w:r>
              <w:rPr>
                <w:rFonts w:hint="eastAsia" w:ascii="宋体" w:hAnsi="宋体" w:eastAsia="宋体" w:cs="宋体"/>
                <w:bCs/>
                <w:color w:val="auto"/>
                <w:spacing w:val="0"/>
                <w:sz w:val="24"/>
                <w:szCs w:val="24"/>
                <w:highlight w:val="none"/>
              </w:rPr>
              <w:t>分，一般得</w:t>
            </w:r>
            <w:r>
              <w:rPr>
                <w:rFonts w:hint="eastAsia" w:ascii="宋体" w:hAnsi="宋体" w:eastAsia="宋体" w:cs="宋体"/>
                <w:bCs/>
                <w:color w:val="auto"/>
                <w:spacing w:val="0"/>
                <w:sz w:val="24"/>
                <w:szCs w:val="24"/>
                <w:highlight w:val="none"/>
                <w:lang w:val="en-US" w:eastAsia="zh-CN"/>
              </w:rPr>
              <w:t>2-1</w:t>
            </w:r>
            <w:r>
              <w:rPr>
                <w:rFonts w:hint="eastAsia" w:ascii="宋体" w:hAnsi="宋体" w:eastAsia="宋体" w:cs="宋体"/>
                <w:bCs/>
                <w:color w:val="auto"/>
                <w:spacing w:val="0"/>
                <w:sz w:val="24"/>
                <w:szCs w:val="24"/>
                <w:highlight w:val="none"/>
              </w:rPr>
              <w:t>分，无不得分。</w:t>
            </w:r>
          </w:p>
        </w:tc>
      </w:tr>
      <w:tr w14:paraId="793C8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963" w:type="dxa"/>
            <w:vMerge w:val="continue"/>
            <w:vAlign w:val="center"/>
          </w:tcPr>
          <w:p w14:paraId="05AD4B8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2233" w:type="dxa"/>
            <w:vAlign w:val="center"/>
          </w:tcPr>
          <w:p w14:paraId="20998DD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snapToGrid w:val="0"/>
                <w:color w:val="auto"/>
                <w:spacing w:val="0"/>
                <w:kern w:val="0"/>
                <w:sz w:val="24"/>
                <w:szCs w:val="24"/>
                <w:highlight w:val="none"/>
                <w:lang w:val="zh-CN" w:eastAsia="en-US" w:bidi="ar-SA"/>
              </w:rPr>
            </w:pPr>
            <w:r>
              <w:rPr>
                <w:rFonts w:hint="eastAsia" w:ascii="宋体" w:hAnsi="宋体" w:eastAsia="宋体" w:cs="宋体"/>
                <w:color w:val="auto"/>
                <w:spacing w:val="0"/>
                <w:sz w:val="24"/>
                <w:szCs w:val="24"/>
                <w:highlight w:val="none"/>
              </w:rPr>
              <w:t>成品保护和工程保修工作的管理措施和承诺（</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分）</w:t>
            </w:r>
          </w:p>
        </w:tc>
        <w:tc>
          <w:tcPr>
            <w:tcW w:w="6208" w:type="dxa"/>
            <w:vAlign w:val="center"/>
          </w:tcPr>
          <w:p w14:paraId="7883FDD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snapToGrid w:val="0"/>
                <w:color w:val="auto"/>
                <w:spacing w:val="0"/>
                <w:kern w:val="0"/>
                <w:sz w:val="24"/>
                <w:szCs w:val="24"/>
                <w:highlight w:val="none"/>
                <w:lang w:val="zh-CN" w:eastAsia="en-US" w:bidi="ar-SA"/>
              </w:rPr>
            </w:pPr>
            <w:r>
              <w:rPr>
                <w:rFonts w:hint="eastAsia" w:ascii="宋体" w:hAnsi="宋体" w:eastAsia="宋体" w:cs="宋体"/>
                <w:bCs/>
                <w:color w:val="auto"/>
                <w:spacing w:val="0"/>
                <w:sz w:val="24"/>
                <w:szCs w:val="24"/>
                <w:highlight w:val="none"/>
              </w:rPr>
              <w:t>成品保护和工程保修工作的管理措施和承诺进行比较，内容完整、合理、可行；优得</w:t>
            </w:r>
            <w:r>
              <w:rPr>
                <w:rFonts w:hint="eastAsia" w:ascii="宋体" w:hAnsi="宋体" w:eastAsia="宋体" w:cs="宋体"/>
                <w:bCs/>
                <w:color w:val="auto"/>
                <w:spacing w:val="0"/>
                <w:sz w:val="24"/>
                <w:szCs w:val="24"/>
                <w:highlight w:val="none"/>
                <w:lang w:val="en-US" w:eastAsia="zh-CN"/>
              </w:rPr>
              <w:t>6-5</w:t>
            </w:r>
            <w:r>
              <w:rPr>
                <w:rFonts w:hint="eastAsia" w:ascii="宋体" w:hAnsi="宋体" w:eastAsia="宋体" w:cs="宋体"/>
                <w:bCs/>
                <w:color w:val="auto"/>
                <w:spacing w:val="0"/>
                <w:sz w:val="24"/>
                <w:szCs w:val="24"/>
                <w:highlight w:val="none"/>
              </w:rPr>
              <w:t>分，良得</w:t>
            </w:r>
            <w:r>
              <w:rPr>
                <w:rFonts w:hint="eastAsia" w:ascii="宋体" w:hAnsi="宋体" w:eastAsia="宋体" w:cs="宋体"/>
                <w:bCs/>
                <w:color w:val="auto"/>
                <w:spacing w:val="0"/>
                <w:sz w:val="24"/>
                <w:szCs w:val="24"/>
                <w:highlight w:val="none"/>
                <w:lang w:val="en-US" w:eastAsia="zh-CN"/>
              </w:rPr>
              <w:t>4-3</w:t>
            </w:r>
            <w:r>
              <w:rPr>
                <w:rFonts w:hint="eastAsia" w:ascii="宋体" w:hAnsi="宋体" w:eastAsia="宋体" w:cs="宋体"/>
                <w:bCs/>
                <w:color w:val="auto"/>
                <w:spacing w:val="0"/>
                <w:sz w:val="24"/>
                <w:szCs w:val="24"/>
                <w:highlight w:val="none"/>
              </w:rPr>
              <w:t>分，一般得</w:t>
            </w:r>
            <w:r>
              <w:rPr>
                <w:rFonts w:hint="eastAsia" w:ascii="宋体" w:hAnsi="宋体" w:eastAsia="宋体" w:cs="宋体"/>
                <w:bCs/>
                <w:color w:val="auto"/>
                <w:spacing w:val="0"/>
                <w:sz w:val="24"/>
                <w:szCs w:val="24"/>
                <w:highlight w:val="none"/>
                <w:lang w:val="en-US" w:eastAsia="zh-CN"/>
              </w:rPr>
              <w:t>2-1</w:t>
            </w:r>
            <w:r>
              <w:rPr>
                <w:rFonts w:hint="eastAsia" w:ascii="宋体" w:hAnsi="宋体" w:eastAsia="宋体" w:cs="宋体"/>
                <w:bCs/>
                <w:color w:val="auto"/>
                <w:spacing w:val="0"/>
                <w:sz w:val="24"/>
                <w:szCs w:val="24"/>
                <w:highlight w:val="none"/>
              </w:rPr>
              <w:t>分，无不得分。</w:t>
            </w:r>
          </w:p>
        </w:tc>
      </w:tr>
      <w:tr w14:paraId="436E4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963" w:type="dxa"/>
            <w:vMerge w:val="continue"/>
            <w:vAlign w:val="center"/>
          </w:tcPr>
          <w:p w14:paraId="01FBA2D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tc>
        <w:tc>
          <w:tcPr>
            <w:tcW w:w="2233" w:type="dxa"/>
            <w:vAlign w:val="center"/>
          </w:tcPr>
          <w:p w14:paraId="30E2641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snapToGrid w:val="0"/>
                <w:color w:val="auto"/>
                <w:spacing w:val="0"/>
                <w:kern w:val="0"/>
                <w:sz w:val="24"/>
                <w:szCs w:val="24"/>
                <w:highlight w:val="none"/>
                <w:lang w:val="zh-CN" w:eastAsia="en-US" w:bidi="ar-SA"/>
              </w:rPr>
            </w:pPr>
            <w:r>
              <w:rPr>
                <w:rFonts w:hint="eastAsia" w:ascii="宋体" w:hAnsi="宋体" w:eastAsia="宋体" w:cs="宋体"/>
                <w:color w:val="auto"/>
                <w:spacing w:val="0"/>
                <w:sz w:val="24"/>
                <w:szCs w:val="24"/>
                <w:highlight w:val="none"/>
              </w:rPr>
              <w:t>紧急情况的处理措施、预案以及抵抗风险的措施（</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分）</w:t>
            </w:r>
          </w:p>
        </w:tc>
        <w:tc>
          <w:tcPr>
            <w:tcW w:w="6208" w:type="dxa"/>
            <w:vAlign w:val="center"/>
          </w:tcPr>
          <w:p w14:paraId="1F805DF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snapToGrid w:val="0"/>
                <w:color w:val="auto"/>
                <w:spacing w:val="0"/>
                <w:kern w:val="0"/>
                <w:sz w:val="24"/>
                <w:szCs w:val="24"/>
                <w:highlight w:val="none"/>
                <w:lang w:val="zh-CN" w:eastAsia="en-US" w:bidi="ar-SA"/>
              </w:rPr>
            </w:pPr>
            <w:r>
              <w:rPr>
                <w:rFonts w:hint="eastAsia" w:ascii="宋体" w:hAnsi="宋体" w:eastAsia="宋体" w:cs="宋体"/>
                <w:bCs/>
                <w:color w:val="auto"/>
                <w:spacing w:val="0"/>
                <w:sz w:val="24"/>
                <w:szCs w:val="24"/>
                <w:highlight w:val="none"/>
              </w:rPr>
              <w:t>紧急情况的处理措施、预案以及抵抗风险的措施进行比较，内容完整、合理、可行；优得</w:t>
            </w:r>
            <w:r>
              <w:rPr>
                <w:rFonts w:hint="eastAsia" w:ascii="宋体" w:hAnsi="宋体" w:eastAsia="宋体" w:cs="宋体"/>
                <w:bCs/>
                <w:color w:val="auto"/>
                <w:spacing w:val="0"/>
                <w:sz w:val="24"/>
                <w:szCs w:val="24"/>
                <w:highlight w:val="none"/>
                <w:lang w:val="en-US" w:eastAsia="zh-CN"/>
              </w:rPr>
              <w:t>6-5</w:t>
            </w:r>
            <w:r>
              <w:rPr>
                <w:rFonts w:hint="eastAsia" w:ascii="宋体" w:hAnsi="宋体" w:eastAsia="宋体" w:cs="宋体"/>
                <w:bCs/>
                <w:color w:val="auto"/>
                <w:spacing w:val="0"/>
                <w:sz w:val="24"/>
                <w:szCs w:val="24"/>
                <w:highlight w:val="none"/>
              </w:rPr>
              <w:t>分，良得</w:t>
            </w:r>
            <w:r>
              <w:rPr>
                <w:rFonts w:hint="eastAsia" w:ascii="宋体" w:hAnsi="宋体" w:eastAsia="宋体" w:cs="宋体"/>
                <w:bCs/>
                <w:color w:val="auto"/>
                <w:spacing w:val="0"/>
                <w:sz w:val="24"/>
                <w:szCs w:val="24"/>
                <w:highlight w:val="none"/>
                <w:lang w:val="en-US" w:eastAsia="zh-CN"/>
              </w:rPr>
              <w:t>4-3</w:t>
            </w:r>
            <w:r>
              <w:rPr>
                <w:rFonts w:hint="eastAsia" w:ascii="宋体" w:hAnsi="宋体" w:eastAsia="宋体" w:cs="宋体"/>
                <w:bCs/>
                <w:color w:val="auto"/>
                <w:spacing w:val="0"/>
                <w:sz w:val="24"/>
                <w:szCs w:val="24"/>
                <w:highlight w:val="none"/>
              </w:rPr>
              <w:t>分，一般得</w:t>
            </w:r>
            <w:r>
              <w:rPr>
                <w:rFonts w:hint="eastAsia" w:ascii="宋体" w:hAnsi="宋体" w:eastAsia="宋体" w:cs="宋体"/>
                <w:bCs/>
                <w:color w:val="auto"/>
                <w:spacing w:val="0"/>
                <w:sz w:val="24"/>
                <w:szCs w:val="24"/>
                <w:highlight w:val="none"/>
                <w:lang w:val="en-US" w:eastAsia="zh-CN"/>
              </w:rPr>
              <w:t>2-</w:t>
            </w:r>
            <w:r>
              <w:rPr>
                <w:rFonts w:hint="eastAsia" w:ascii="宋体" w:hAnsi="宋体" w:eastAsia="宋体" w:cs="宋体"/>
                <w:bCs/>
                <w:color w:val="auto"/>
                <w:spacing w:val="0"/>
                <w:sz w:val="24"/>
                <w:szCs w:val="24"/>
                <w:highlight w:val="none"/>
              </w:rPr>
              <w:t>1分，无不得分。</w:t>
            </w:r>
          </w:p>
        </w:tc>
      </w:tr>
      <w:tr w14:paraId="68E92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jc w:val="center"/>
        </w:trPr>
        <w:tc>
          <w:tcPr>
            <w:tcW w:w="963" w:type="dxa"/>
            <w:tcBorders>
              <w:top w:val="single" w:color="auto" w:sz="4" w:space="0"/>
              <w:left w:val="single" w:color="auto" w:sz="4" w:space="0"/>
              <w:right w:val="single" w:color="auto" w:sz="4" w:space="0"/>
            </w:tcBorders>
            <w:vAlign w:val="center"/>
          </w:tcPr>
          <w:p w14:paraId="31567F6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Cs/>
                <w:color w:val="auto"/>
                <w:spacing w:val="0"/>
                <w:sz w:val="24"/>
                <w:szCs w:val="24"/>
                <w:highlight w:val="none"/>
                <w:lang w:val="en-US" w:eastAsia="zh-CN"/>
              </w:rPr>
            </w:pPr>
            <w:r>
              <w:rPr>
                <w:rFonts w:hint="eastAsia" w:ascii="宋体" w:hAnsi="宋体" w:eastAsia="宋体" w:cs="宋体"/>
                <w:bCs/>
                <w:color w:val="auto"/>
                <w:spacing w:val="0"/>
                <w:sz w:val="24"/>
                <w:szCs w:val="24"/>
                <w:highlight w:val="none"/>
                <w:lang w:val="en-US" w:eastAsia="zh-CN"/>
              </w:rPr>
              <w:t>报价</w:t>
            </w:r>
          </w:p>
          <w:p w14:paraId="7BDED4E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bCs/>
                <w:color w:val="auto"/>
                <w:spacing w:val="0"/>
                <w:sz w:val="24"/>
                <w:szCs w:val="24"/>
                <w:highlight w:val="none"/>
                <w:lang w:val="en-US" w:eastAsia="zh-CN"/>
              </w:rPr>
              <w:t>(30分)</w:t>
            </w:r>
          </w:p>
        </w:tc>
        <w:tc>
          <w:tcPr>
            <w:tcW w:w="2233" w:type="dxa"/>
            <w:tcBorders>
              <w:left w:val="single" w:color="auto" w:sz="4" w:space="0"/>
            </w:tcBorders>
            <w:vAlign w:val="center"/>
          </w:tcPr>
          <w:p w14:paraId="4708E74B">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 w:val="24"/>
                <w:szCs w:val="24"/>
                <w:highlight w:val="none"/>
                <w:lang w:val="en-US" w:eastAsia="zh-CN" w:bidi="ar"/>
              </w:rPr>
              <w:t>磋商报价得分</w:t>
            </w:r>
          </w:p>
          <w:p w14:paraId="24B39980">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 w:val="24"/>
                <w:szCs w:val="24"/>
                <w:highlight w:val="none"/>
                <w:lang w:val="en-US" w:eastAsia="zh-CN" w:bidi="ar"/>
              </w:rPr>
              <w:t>（3</w:t>
            </w:r>
            <w:r>
              <w:rPr>
                <w:rFonts w:hint="eastAsia" w:ascii="宋体" w:hAnsi="宋体" w:eastAsia="宋体" w:cs="宋体"/>
                <w:bCs/>
                <w:color w:val="auto"/>
                <w:spacing w:val="0"/>
                <w:sz w:val="24"/>
                <w:szCs w:val="24"/>
                <w:highlight w:val="none"/>
                <w:lang w:val="en-US" w:eastAsia="zh-CN"/>
              </w:rPr>
              <w:t>0分</w:t>
            </w:r>
            <w:r>
              <w:rPr>
                <w:rFonts w:hint="eastAsia" w:ascii="宋体" w:hAnsi="宋体" w:eastAsia="宋体" w:cs="宋体"/>
                <w:snapToGrid w:val="0"/>
                <w:color w:val="auto"/>
                <w:spacing w:val="0"/>
                <w:kern w:val="0"/>
                <w:sz w:val="24"/>
                <w:szCs w:val="24"/>
                <w:highlight w:val="none"/>
                <w:lang w:val="en-US" w:eastAsia="zh-CN" w:bidi="ar"/>
              </w:rPr>
              <w:t>）</w:t>
            </w:r>
          </w:p>
        </w:tc>
        <w:tc>
          <w:tcPr>
            <w:tcW w:w="6208" w:type="dxa"/>
            <w:vAlign w:val="center"/>
          </w:tcPr>
          <w:p w14:paraId="3211724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sz w:val="24"/>
                <w:szCs w:val="24"/>
                <w:highlight w:val="none"/>
              </w:rPr>
            </w:pPr>
            <w:r>
              <w:rPr>
                <w:rFonts w:hint="eastAsia" w:ascii="宋体" w:hAnsi="宋体" w:eastAsia="宋体" w:cs="宋体"/>
                <w:snapToGrid w:val="0"/>
                <w:color w:val="auto"/>
                <w:spacing w:val="0"/>
                <w:kern w:val="0"/>
                <w:sz w:val="24"/>
                <w:szCs w:val="24"/>
                <w:highlight w:val="none"/>
                <w:lang w:val="en-US" w:eastAsia="zh-CN" w:bidi="ar"/>
              </w:rPr>
              <w:t>价格</w:t>
            </w:r>
            <w:r>
              <w:rPr>
                <w:rFonts w:hint="eastAsia" w:ascii="宋体" w:hAnsi="宋体" w:eastAsia="宋体" w:cs="宋体"/>
                <w:bCs/>
                <w:color w:val="auto"/>
                <w:spacing w:val="0"/>
                <w:sz w:val="24"/>
                <w:szCs w:val="24"/>
                <w:highlight w:val="none"/>
                <w:lang w:val="en-US" w:eastAsia="zh-CN"/>
              </w:rPr>
              <w:t>统一采用低价优先法计算，即满足磋商文件要求且最后报价；最低的供应商的价格为磋商基准价，其价格分为满分。其他供应商的价格统一按照下列公式计算：</w:t>
            </w:r>
          </w:p>
          <w:p w14:paraId="40E80EC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lang w:val="zh-CN"/>
              </w:rPr>
            </w:pPr>
            <w:r>
              <w:rPr>
                <w:rFonts w:hint="eastAsia" w:ascii="宋体" w:hAnsi="宋体" w:eastAsia="宋体" w:cs="宋体"/>
                <w:bCs/>
                <w:color w:val="auto"/>
                <w:spacing w:val="0"/>
                <w:sz w:val="24"/>
                <w:szCs w:val="24"/>
                <w:highlight w:val="none"/>
                <w:lang w:val="en-US" w:eastAsia="zh-CN"/>
              </w:rPr>
              <w:t>磋商报价得分=（磋商基准价/最后磋商报价）×30</w:t>
            </w:r>
          </w:p>
        </w:tc>
      </w:tr>
      <w:tr w14:paraId="4280F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63" w:type="dxa"/>
            <w:vMerge w:val="restart"/>
            <w:tcBorders>
              <w:top w:val="single" w:color="auto" w:sz="4" w:space="0"/>
              <w:left w:val="single" w:color="auto" w:sz="4" w:space="0"/>
              <w:right w:val="single" w:color="auto" w:sz="4" w:space="0"/>
            </w:tcBorders>
            <w:vAlign w:val="center"/>
          </w:tcPr>
          <w:p w14:paraId="7AD757C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bCs/>
                <w:color w:val="auto"/>
                <w:spacing w:val="0"/>
                <w:sz w:val="24"/>
                <w:szCs w:val="24"/>
                <w:highlight w:val="none"/>
              </w:rPr>
              <w:t>其他因素评分标准（</w:t>
            </w:r>
            <w:r>
              <w:rPr>
                <w:rFonts w:hint="eastAsia" w:ascii="宋体" w:hAnsi="宋体" w:eastAsia="宋体" w:cs="宋体"/>
                <w:bCs/>
                <w:color w:val="auto"/>
                <w:spacing w:val="0"/>
                <w:sz w:val="24"/>
                <w:szCs w:val="24"/>
                <w:highlight w:val="none"/>
                <w:lang w:val="en-US" w:eastAsia="zh-CN"/>
              </w:rPr>
              <w:t>16</w:t>
            </w:r>
            <w:r>
              <w:rPr>
                <w:rFonts w:hint="eastAsia" w:ascii="宋体" w:hAnsi="宋体" w:eastAsia="宋体" w:cs="宋体"/>
                <w:bCs/>
                <w:color w:val="auto"/>
                <w:spacing w:val="0"/>
                <w:sz w:val="24"/>
                <w:szCs w:val="24"/>
                <w:highlight w:val="none"/>
              </w:rPr>
              <w:t>分）</w:t>
            </w:r>
          </w:p>
        </w:tc>
        <w:tc>
          <w:tcPr>
            <w:tcW w:w="2233" w:type="dxa"/>
            <w:tcBorders>
              <w:left w:val="single" w:color="auto" w:sz="4" w:space="0"/>
            </w:tcBorders>
            <w:vAlign w:val="center"/>
          </w:tcPr>
          <w:p w14:paraId="392A933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bCs/>
                <w:color w:val="auto"/>
                <w:spacing w:val="0"/>
                <w:sz w:val="24"/>
                <w:szCs w:val="24"/>
                <w:highlight w:val="none"/>
              </w:rPr>
              <w:t>类似项目业绩（</w:t>
            </w:r>
            <w:r>
              <w:rPr>
                <w:rFonts w:hint="eastAsia" w:ascii="宋体" w:hAnsi="宋体" w:eastAsia="宋体" w:cs="宋体"/>
                <w:bCs/>
                <w:color w:val="auto"/>
                <w:spacing w:val="0"/>
                <w:sz w:val="24"/>
                <w:szCs w:val="24"/>
                <w:highlight w:val="none"/>
                <w:lang w:val="en-US" w:eastAsia="zh-CN"/>
              </w:rPr>
              <w:t>2</w:t>
            </w:r>
            <w:r>
              <w:rPr>
                <w:rFonts w:hint="eastAsia" w:ascii="宋体" w:hAnsi="宋体" w:eastAsia="宋体" w:cs="宋体"/>
                <w:bCs/>
                <w:color w:val="auto"/>
                <w:spacing w:val="0"/>
                <w:sz w:val="24"/>
                <w:szCs w:val="24"/>
                <w:highlight w:val="none"/>
              </w:rPr>
              <w:t>分）</w:t>
            </w:r>
          </w:p>
        </w:tc>
        <w:tc>
          <w:tcPr>
            <w:tcW w:w="6208" w:type="dxa"/>
            <w:vAlign w:val="center"/>
          </w:tcPr>
          <w:p w14:paraId="0CF907E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bCs/>
                <w:color w:val="auto"/>
                <w:spacing w:val="0"/>
                <w:sz w:val="24"/>
                <w:szCs w:val="24"/>
                <w:highlight w:val="none"/>
                <w:lang w:val="zh-CN"/>
              </w:rPr>
            </w:pPr>
            <w:r>
              <w:rPr>
                <w:rFonts w:hint="eastAsia" w:ascii="宋体" w:hAnsi="宋体" w:eastAsia="宋体" w:cs="宋体"/>
                <w:bCs/>
                <w:color w:val="auto"/>
                <w:spacing w:val="0"/>
                <w:sz w:val="24"/>
                <w:szCs w:val="24"/>
                <w:highlight w:val="none"/>
                <w:lang w:val="zh-CN"/>
              </w:rPr>
              <w:t>供应商在（20</w:t>
            </w:r>
            <w:r>
              <w:rPr>
                <w:rFonts w:hint="eastAsia" w:ascii="宋体" w:hAnsi="宋体" w:eastAsia="宋体" w:cs="宋体"/>
                <w:bCs/>
                <w:color w:val="auto"/>
                <w:spacing w:val="0"/>
                <w:sz w:val="24"/>
                <w:szCs w:val="24"/>
                <w:highlight w:val="none"/>
              </w:rPr>
              <w:t>2</w:t>
            </w:r>
            <w:r>
              <w:rPr>
                <w:rFonts w:hint="eastAsia" w:ascii="宋体" w:hAnsi="宋体" w:eastAsia="宋体" w:cs="宋体"/>
                <w:bCs/>
                <w:color w:val="auto"/>
                <w:spacing w:val="0"/>
                <w:sz w:val="24"/>
                <w:szCs w:val="24"/>
                <w:highlight w:val="none"/>
                <w:lang w:val="en-US" w:eastAsia="zh-CN"/>
              </w:rPr>
              <w:t>2</w:t>
            </w:r>
            <w:r>
              <w:rPr>
                <w:rFonts w:hint="eastAsia" w:ascii="宋体" w:hAnsi="宋体" w:eastAsia="宋体" w:cs="宋体"/>
                <w:bCs/>
                <w:color w:val="auto"/>
                <w:spacing w:val="0"/>
                <w:sz w:val="24"/>
                <w:szCs w:val="24"/>
                <w:highlight w:val="none"/>
                <w:lang w:val="zh-CN"/>
              </w:rPr>
              <w:t>年1月1日至</w:t>
            </w:r>
            <w:r>
              <w:rPr>
                <w:rFonts w:hint="eastAsia" w:ascii="宋体" w:hAnsi="宋体" w:eastAsia="宋体" w:cs="宋体"/>
                <w:bCs/>
                <w:color w:val="auto"/>
                <w:spacing w:val="0"/>
                <w:sz w:val="24"/>
                <w:szCs w:val="24"/>
                <w:highlight w:val="none"/>
              </w:rPr>
              <w:t>今</w:t>
            </w:r>
            <w:r>
              <w:rPr>
                <w:rFonts w:hint="eastAsia" w:ascii="宋体" w:hAnsi="宋体" w:eastAsia="宋体" w:cs="宋体"/>
                <w:bCs/>
                <w:color w:val="auto"/>
                <w:spacing w:val="0"/>
                <w:sz w:val="24"/>
                <w:szCs w:val="24"/>
                <w:highlight w:val="none"/>
                <w:lang w:val="zh-CN"/>
              </w:rPr>
              <w:t>）完成过与本项目相类似的项目业绩，一项得</w:t>
            </w:r>
            <w:r>
              <w:rPr>
                <w:rFonts w:hint="eastAsia" w:ascii="宋体" w:hAnsi="宋体" w:eastAsia="宋体" w:cs="宋体"/>
                <w:bCs/>
                <w:color w:val="auto"/>
                <w:spacing w:val="0"/>
                <w:sz w:val="24"/>
                <w:szCs w:val="24"/>
                <w:highlight w:val="none"/>
              </w:rPr>
              <w:t>1</w:t>
            </w:r>
            <w:r>
              <w:rPr>
                <w:rFonts w:hint="eastAsia" w:ascii="宋体" w:hAnsi="宋体" w:eastAsia="宋体" w:cs="宋体"/>
                <w:bCs/>
                <w:color w:val="auto"/>
                <w:spacing w:val="0"/>
                <w:sz w:val="24"/>
                <w:szCs w:val="24"/>
                <w:highlight w:val="none"/>
                <w:lang w:val="zh-CN"/>
              </w:rPr>
              <w:t>分，满分</w:t>
            </w:r>
            <w:r>
              <w:rPr>
                <w:rFonts w:hint="eastAsia" w:ascii="宋体" w:hAnsi="宋体" w:eastAsia="宋体" w:cs="宋体"/>
                <w:bCs/>
                <w:color w:val="auto"/>
                <w:spacing w:val="0"/>
                <w:sz w:val="24"/>
                <w:szCs w:val="24"/>
                <w:highlight w:val="none"/>
              </w:rPr>
              <w:t>2</w:t>
            </w:r>
            <w:r>
              <w:rPr>
                <w:rFonts w:hint="eastAsia" w:ascii="宋体" w:hAnsi="宋体" w:eastAsia="宋体" w:cs="宋体"/>
                <w:bCs/>
                <w:color w:val="auto"/>
                <w:spacing w:val="0"/>
                <w:sz w:val="24"/>
                <w:szCs w:val="24"/>
                <w:highlight w:val="none"/>
                <w:lang w:val="zh-CN"/>
              </w:rPr>
              <w:t>分。</w:t>
            </w:r>
          </w:p>
          <w:p w14:paraId="65CBF81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snapToGrid w:val="0"/>
                <w:color w:val="auto"/>
                <w:spacing w:val="0"/>
                <w:kern w:val="0"/>
                <w:sz w:val="24"/>
                <w:szCs w:val="24"/>
                <w:highlight w:val="none"/>
                <w:lang w:val="zh-CN" w:eastAsia="en-US" w:bidi="ar-SA"/>
              </w:rPr>
            </w:pPr>
            <w:r>
              <w:rPr>
                <w:rFonts w:hint="eastAsia" w:ascii="宋体" w:hAnsi="宋体" w:eastAsia="宋体" w:cs="宋体"/>
                <w:bCs/>
                <w:color w:val="auto"/>
                <w:spacing w:val="0"/>
                <w:sz w:val="24"/>
                <w:szCs w:val="24"/>
                <w:highlight w:val="none"/>
                <w:lang w:val="zh-CN"/>
              </w:rPr>
              <w:t>提供中标通知书或合同协议书或加盖建设单位公章的验收证明材料，响应文件内附加盖公章的复印件。</w:t>
            </w:r>
          </w:p>
        </w:tc>
      </w:tr>
      <w:tr w14:paraId="50D57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963" w:type="dxa"/>
            <w:vMerge w:val="continue"/>
            <w:tcBorders>
              <w:left w:val="single" w:color="auto" w:sz="4" w:space="0"/>
              <w:right w:val="single" w:color="auto" w:sz="4" w:space="0"/>
            </w:tcBorders>
            <w:vAlign w:val="center"/>
          </w:tcPr>
          <w:p w14:paraId="77A6EB7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lang w:val="en-US" w:eastAsia="zh-CN"/>
              </w:rPr>
            </w:pPr>
          </w:p>
        </w:tc>
        <w:tc>
          <w:tcPr>
            <w:tcW w:w="2233" w:type="dxa"/>
            <w:tcBorders>
              <w:left w:val="single" w:color="auto" w:sz="4" w:space="0"/>
            </w:tcBorders>
            <w:vAlign w:val="center"/>
          </w:tcPr>
          <w:p w14:paraId="2475E94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bCs/>
                <w:color w:val="auto"/>
                <w:spacing w:val="0"/>
                <w:sz w:val="24"/>
                <w:szCs w:val="24"/>
                <w:highlight w:val="none"/>
              </w:rPr>
              <w:t>优惠条件（</w:t>
            </w:r>
            <w:r>
              <w:rPr>
                <w:rFonts w:hint="eastAsia" w:ascii="宋体" w:hAnsi="宋体" w:eastAsia="宋体" w:cs="宋体"/>
                <w:bCs/>
                <w:color w:val="auto"/>
                <w:spacing w:val="0"/>
                <w:sz w:val="24"/>
                <w:szCs w:val="24"/>
                <w:highlight w:val="none"/>
                <w:lang w:val="en-US" w:eastAsia="zh-CN"/>
              </w:rPr>
              <w:t>4</w:t>
            </w:r>
            <w:r>
              <w:rPr>
                <w:rFonts w:hint="eastAsia" w:ascii="宋体" w:hAnsi="宋体" w:eastAsia="宋体" w:cs="宋体"/>
                <w:bCs/>
                <w:color w:val="auto"/>
                <w:spacing w:val="0"/>
                <w:sz w:val="24"/>
                <w:szCs w:val="24"/>
                <w:highlight w:val="none"/>
              </w:rPr>
              <w:t>分）</w:t>
            </w:r>
          </w:p>
        </w:tc>
        <w:tc>
          <w:tcPr>
            <w:tcW w:w="6208" w:type="dxa"/>
            <w:vAlign w:val="center"/>
          </w:tcPr>
          <w:p w14:paraId="70EA710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snapToGrid w:val="0"/>
                <w:color w:val="auto"/>
                <w:spacing w:val="0"/>
                <w:kern w:val="0"/>
                <w:sz w:val="24"/>
                <w:szCs w:val="24"/>
                <w:highlight w:val="none"/>
                <w:lang w:val="zh-CN" w:eastAsia="en-US" w:bidi="ar-SA"/>
              </w:rPr>
            </w:pPr>
            <w:r>
              <w:rPr>
                <w:rFonts w:hint="eastAsia" w:ascii="宋体" w:hAnsi="宋体" w:eastAsia="宋体" w:cs="宋体"/>
                <w:bCs/>
                <w:color w:val="auto"/>
                <w:spacing w:val="0"/>
                <w:sz w:val="24"/>
                <w:szCs w:val="24"/>
                <w:highlight w:val="none"/>
                <w:lang w:val="zh-CN"/>
              </w:rPr>
              <w:t>对供应商提出的采购人可以接受的合理优惠条件进行综合评价，综合评价优得</w:t>
            </w:r>
            <w:r>
              <w:rPr>
                <w:rFonts w:hint="eastAsia" w:ascii="宋体" w:hAnsi="宋体" w:eastAsia="宋体" w:cs="宋体"/>
                <w:bCs/>
                <w:color w:val="auto"/>
                <w:spacing w:val="0"/>
                <w:sz w:val="24"/>
                <w:szCs w:val="24"/>
                <w:highlight w:val="none"/>
                <w:lang w:val="en-US" w:eastAsia="zh-CN"/>
              </w:rPr>
              <w:t>4</w:t>
            </w:r>
            <w:r>
              <w:rPr>
                <w:rFonts w:hint="eastAsia" w:ascii="宋体" w:hAnsi="宋体" w:eastAsia="宋体" w:cs="宋体"/>
                <w:bCs/>
                <w:color w:val="auto"/>
                <w:spacing w:val="0"/>
                <w:sz w:val="24"/>
                <w:szCs w:val="24"/>
                <w:highlight w:val="none"/>
                <w:lang w:val="zh-CN"/>
              </w:rPr>
              <w:t>分，</w:t>
            </w:r>
            <w:r>
              <w:rPr>
                <w:rFonts w:hint="eastAsia" w:ascii="宋体" w:hAnsi="宋体" w:eastAsia="宋体" w:cs="宋体"/>
                <w:bCs/>
                <w:color w:val="auto"/>
                <w:spacing w:val="0"/>
                <w:sz w:val="24"/>
                <w:szCs w:val="24"/>
                <w:highlight w:val="none"/>
              </w:rPr>
              <w:t>良</w:t>
            </w:r>
            <w:r>
              <w:rPr>
                <w:rFonts w:hint="eastAsia" w:ascii="宋体" w:hAnsi="宋体" w:eastAsia="宋体" w:cs="宋体"/>
                <w:bCs/>
                <w:color w:val="auto"/>
                <w:spacing w:val="0"/>
                <w:sz w:val="24"/>
                <w:szCs w:val="24"/>
                <w:highlight w:val="none"/>
                <w:lang w:val="zh-CN"/>
              </w:rPr>
              <w:t>得</w:t>
            </w:r>
            <w:r>
              <w:rPr>
                <w:rFonts w:hint="eastAsia" w:ascii="宋体" w:hAnsi="宋体" w:eastAsia="宋体" w:cs="宋体"/>
                <w:bCs/>
                <w:color w:val="auto"/>
                <w:spacing w:val="0"/>
                <w:sz w:val="24"/>
                <w:szCs w:val="24"/>
                <w:highlight w:val="none"/>
                <w:lang w:val="en-US" w:eastAsia="zh-CN"/>
              </w:rPr>
              <w:t>3-2</w:t>
            </w:r>
            <w:r>
              <w:rPr>
                <w:rFonts w:hint="eastAsia" w:ascii="宋体" w:hAnsi="宋体" w:eastAsia="宋体" w:cs="宋体"/>
                <w:bCs/>
                <w:color w:val="auto"/>
                <w:spacing w:val="0"/>
                <w:sz w:val="24"/>
                <w:szCs w:val="24"/>
                <w:highlight w:val="none"/>
                <w:lang w:val="zh-CN"/>
              </w:rPr>
              <w:t>分，一般得</w:t>
            </w:r>
            <w:r>
              <w:rPr>
                <w:rFonts w:hint="eastAsia" w:ascii="宋体" w:hAnsi="宋体" w:eastAsia="宋体" w:cs="宋体"/>
                <w:bCs/>
                <w:color w:val="auto"/>
                <w:spacing w:val="0"/>
                <w:sz w:val="24"/>
                <w:szCs w:val="24"/>
                <w:highlight w:val="none"/>
                <w:lang w:val="en-US" w:eastAsia="zh-CN"/>
              </w:rPr>
              <w:t>1</w:t>
            </w:r>
            <w:r>
              <w:rPr>
                <w:rFonts w:hint="eastAsia" w:ascii="宋体" w:hAnsi="宋体" w:eastAsia="宋体" w:cs="宋体"/>
                <w:bCs/>
                <w:color w:val="auto"/>
                <w:spacing w:val="0"/>
                <w:sz w:val="24"/>
                <w:szCs w:val="24"/>
                <w:highlight w:val="none"/>
                <w:lang w:val="zh-CN"/>
              </w:rPr>
              <w:t>分，无不得分。</w:t>
            </w:r>
          </w:p>
        </w:tc>
      </w:tr>
      <w:tr w14:paraId="45A91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963" w:type="dxa"/>
            <w:vMerge w:val="continue"/>
            <w:tcBorders>
              <w:left w:val="single" w:color="auto" w:sz="4" w:space="0"/>
              <w:right w:val="single" w:color="auto" w:sz="4" w:space="0"/>
            </w:tcBorders>
            <w:vAlign w:val="center"/>
          </w:tcPr>
          <w:p w14:paraId="686F176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lang w:val="en-US" w:eastAsia="zh-CN"/>
              </w:rPr>
            </w:pPr>
          </w:p>
        </w:tc>
        <w:tc>
          <w:tcPr>
            <w:tcW w:w="2233" w:type="dxa"/>
            <w:tcBorders>
              <w:left w:val="single" w:color="auto" w:sz="4" w:space="0"/>
            </w:tcBorders>
            <w:vAlign w:val="center"/>
          </w:tcPr>
          <w:p w14:paraId="0A603E3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bCs/>
                <w:color w:val="auto"/>
                <w:spacing w:val="0"/>
                <w:sz w:val="24"/>
                <w:szCs w:val="24"/>
                <w:highlight w:val="none"/>
              </w:rPr>
              <w:t>服务承诺（</w:t>
            </w:r>
            <w:r>
              <w:rPr>
                <w:rFonts w:hint="eastAsia" w:ascii="宋体" w:hAnsi="宋体" w:eastAsia="宋体" w:cs="宋体"/>
                <w:bCs/>
                <w:color w:val="auto"/>
                <w:spacing w:val="0"/>
                <w:sz w:val="24"/>
                <w:szCs w:val="24"/>
                <w:highlight w:val="none"/>
                <w:lang w:val="en-US" w:eastAsia="zh-CN"/>
              </w:rPr>
              <w:t>4</w:t>
            </w:r>
            <w:r>
              <w:rPr>
                <w:rFonts w:hint="eastAsia" w:ascii="宋体" w:hAnsi="宋体" w:eastAsia="宋体" w:cs="宋体"/>
                <w:bCs/>
                <w:color w:val="auto"/>
                <w:spacing w:val="0"/>
                <w:sz w:val="24"/>
                <w:szCs w:val="24"/>
                <w:highlight w:val="none"/>
              </w:rPr>
              <w:t>分）</w:t>
            </w:r>
          </w:p>
        </w:tc>
        <w:tc>
          <w:tcPr>
            <w:tcW w:w="6208" w:type="dxa"/>
            <w:vAlign w:val="center"/>
          </w:tcPr>
          <w:p w14:paraId="0429D0A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snapToGrid w:val="0"/>
                <w:color w:val="auto"/>
                <w:spacing w:val="0"/>
                <w:kern w:val="0"/>
                <w:sz w:val="24"/>
                <w:szCs w:val="24"/>
                <w:highlight w:val="none"/>
                <w:lang w:val="zh-CN" w:eastAsia="en-US" w:bidi="ar-SA"/>
              </w:rPr>
            </w:pPr>
            <w:r>
              <w:rPr>
                <w:rFonts w:hint="eastAsia" w:ascii="宋体" w:hAnsi="宋体" w:eastAsia="宋体" w:cs="宋体"/>
                <w:bCs/>
                <w:color w:val="auto"/>
                <w:spacing w:val="0"/>
                <w:sz w:val="24"/>
                <w:szCs w:val="24"/>
                <w:highlight w:val="none"/>
                <w:lang w:val="zh-CN"/>
              </w:rPr>
              <w:t>对供应商提出的采购人可以接受的合理服务承诺进行综合评价，综合评价优得</w:t>
            </w:r>
            <w:r>
              <w:rPr>
                <w:rFonts w:hint="eastAsia" w:ascii="宋体" w:hAnsi="宋体" w:eastAsia="宋体" w:cs="宋体"/>
                <w:bCs/>
                <w:color w:val="auto"/>
                <w:spacing w:val="0"/>
                <w:sz w:val="24"/>
                <w:szCs w:val="24"/>
                <w:highlight w:val="none"/>
                <w:lang w:val="en-US" w:eastAsia="zh-CN"/>
              </w:rPr>
              <w:t>4</w:t>
            </w:r>
            <w:r>
              <w:rPr>
                <w:rFonts w:hint="eastAsia" w:ascii="宋体" w:hAnsi="宋体" w:eastAsia="宋体" w:cs="宋体"/>
                <w:bCs/>
                <w:color w:val="auto"/>
                <w:spacing w:val="0"/>
                <w:sz w:val="24"/>
                <w:szCs w:val="24"/>
                <w:highlight w:val="none"/>
                <w:lang w:val="zh-CN"/>
              </w:rPr>
              <w:t>分，</w:t>
            </w:r>
            <w:r>
              <w:rPr>
                <w:rFonts w:hint="eastAsia" w:ascii="宋体" w:hAnsi="宋体" w:eastAsia="宋体" w:cs="宋体"/>
                <w:bCs/>
                <w:color w:val="auto"/>
                <w:spacing w:val="0"/>
                <w:sz w:val="24"/>
                <w:szCs w:val="24"/>
                <w:highlight w:val="none"/>
              </w:rPr>
              <w:t>良</w:t>
            </w:r>
            <w:r>
              <w:rPr>
                <w:rFonts w:hint="eastAsia" w:ascii="宋体" w:hAnsi="宋体" w:eastAsia="宋体" w:cs="宋体"/>
                <w:bCs/>
                <w:color w:val="auto"/>
                <w:spacing w:val="0"/>
                <w:sz w:val="24"/>
                <w:szCs w:val="24"/>
                <w:highlight w:val="none"/>
                <w:lang w:val="zh-CN"/>
              </w:rPr>
              <w:t>得</w:t>
            </w:r>
            <w:r>
              <w:rPr>
                <w:rFonts w:hint="eastAsia" w:ascii="宋体" w:hAnsi="宋体" w:eastAsia="宋体" w:cs="宋体"/>
                <w:bCs/>
                <w:color w:val="auto"/>
                <w:spacing w:val="0"/>
                <w:sz w:val="24"/>
                <w:szCs w:val="24"/>
                <w:highlight w:val="none"/>
                <w:lang w:val="en-US" w:eastAsia="zh-CN"/>
              </w:rPr>
              <w:t>3-2</w:t>
            </w:r>
            <w:r>
              <w:rPr>
                <w:rFonts w:hint="eastAsia" w:ascii="宋体" w:hAnsi="宋体" w:eastAsia="宋体" w:cs="宋体"/>
                <w:bCs/>
                <w:color w:val="auto"/>
                <w:spacing w:val="0"/>
                <w:sz w:val="24"/>
                <w:szCs w:val="24"/>
                <w:highlight w:val="none"/>
                <w:lang w:val="zh-CN"/>
              </w:rPr>
              <w:t>分，一般得</w:t>
            </w:r>
            <w:r>
              <w:rPr>
                <w:rFonts w:hint="eastAsia" w:ascii="宋体" w:hAnsi="宋体" w:eastAsia="宋体" w:cs="宋体"/>
                <w:bCs/>
                <w:color w:val="auto"/>
                <w:spacing w:val="0"/>
                <w:sz w:val="24"/>
                <w:szCs w:val="24"/>
                <w:highlight w:val="none"/>
                <w:lang w:val="en-US" w:eastAsia="zh-CN"/>
              </w:rPr>
              <w:t>1</w:t>
            </w:r>
            <w:r>
              <w:rPr>
                <w:rFonts w:hint="eastAsia" w:ascii="宋体" w:hAnsi="宋体" w:eastAsia="宋体" w:cs="宋体"/>
                <w:bCs/>
                <w:color w:val="auto"/>
                <w:spacing w:val="0"/>
                <w:sz w:val="24"/>
                <w:szCs w:val="24"/>
                <w:highlight w:val="none"/>
                <w:lang w:val="zh-CN"/>
              </w:rPr>
              <w:t>分，无不得分。</w:t>
            </w:r>
          </w:p>
        </w:tc>
      </w:tr>
      <w:tr w14:paraId="0AE11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963" w:type="dxa"/>
            <w:vMerge w:val="continue"/>
            <w:tcBorders>
              <w:left w:val="single" w:color="auto" w:sz="4" w:space="0"/>
              <w:right w:val="single" w:color="auto" w:sz="4" w:space="0"/>
            </w:tcBorders>
            <w:vAlign w:val="center"/>
          </w:tcPr>
          <w:p w14:paraId="74B55D5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lang w:val="en-US" w:eastAsia="zh-CN"/>
              </w:rPr>
            </w:pPr>
          </w:p>
        </w:tc>
        <w:tc>
          <w:tcPr>
            <w:tcW w:w="2233" w:type="dxa"/>
            <w:tcBorders>
              <w:left w:val="single" w:color="auto" w:sz="4" w:space="0"/>
            </w:tcBorders>
            <w:vAlign w:val="center"/>
          </w:tcPr>
          <w:p w14:paraId="5BE389F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施工现场平面图</w:t>
            </w:r>
          </w:p>
          <w:p w14:paraId="76F854D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rightChars="0"/>
              <w:jc w:val="center"/>
              <w:textAlignment w:val="baseline"/>
              <w:rPr>
                <w:rFonts w:hint="eastAsia" w:ascii="宋体" w:hAnsi="宋体" w:eastAsia="宋体" w:cs="宋体"/>
                <w:bCs/>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分）</w:t>
            </w:r>
          </w:p>
        </w:tc>
        <w:tc>
          <w:tcPr>
            <w:tcW w:w="6208" w:type="dxa"/>
            <w:vAlign w:val="center"/>
          </w:tcPr>
          <w:p w14:paraId="3F92E8F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rightChars="0"/>
              <w:textAlignment w:val="baseline"/>
              <w:rPr>
                <w:rFonts w:hint="eastAsia" w:ascii="宋体" w:hAnsi="宋体" w:eastAsia="宋体" w:cs="宋体"/>
                <w:bCs/>
                <w:color w:val="auto"/>
                <w:spacing w:val="0"/>
                <w:sz w:val="24"/>
                <w:szCs w:val="24"/>
                <w:highlight w:val="none"/>
                <w:lang w:val="zh-CN"/>
              </w:rPr>
            </w:pPr>
            <w:r>
              <w:rPr>
                <w:rFonts w:hint="eastAsia" w:ascii="宋体" w:hAnsi="宋体" w:eastAsia="宋体" w:cs="宋体"/>
                <w:bCs/>
                <w:color w:val="auto"/>
                <w:spacing w:val="0"/>
                <w:sz w:val="24"/>
                <w:szCs w:val="24"/>
                <w:highlight w:val="none"/>
              </w:rPr>
              <w:t>施工现场平面图进行比较，内容完整、合理、可行；优得</w:t>
            </w:r>
            <w:r>
              <w:rPr>
                <w:rFonts w:hint="eastAsia" w:ascii="宋体" w:hAnsi="宋体" w:eastAsia="宋体" w:cs="宋体"/>
                <w:bCs/>
                <w:color w:val="auto"/>
                <w:spacing w:val="0"/>
                <w:sz w:val="24"/>
                <w:szCs w:val="24"/>
                <w:highlight w:val="none"/>
                <w:lang w:val="en-US" w:eastAsia="zh-CN"/>
              </w:rPr>
              <w:t>3</w:t>
            </w:r>
            <w:r>
              <w:rPr>
                <w:rFonts w:hint="eastAsia" w:ascii="宋体" w:hAnsi="宋体" w:eastAsia="宋体" w:cs="宋体"/>
                <w:bCs/>
                <w:color w:val="auto"/>
                <w:spacing w:val="0"/>
                <w:sz w:val="24"/>
                <w:szCs w:val="24"/>
                <w:highlight w:val="none"/>
              </w:rPr>
              <w:t>分，良得2分，一般得1分，无不得分。</w:t>
            </w:r>
          </w:p>
        </w:tc>
      </w:tr>
      <w:tr w14:paraId="5DB5B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963" w:type="dxa"/>
            <w:vMerge w:val="continue"/>
            <w:tcBorders>
              <w:left w:val="single" w:color="auto" w:sz="4" w:space="0"/>
              <w:bottom w:val="single" w:color="auto" w:sz="4" w:space="0"/>
              <w:right w:val="single" w:color="auto" w:sz="4" w:space="0"/>
            </w:tcBorders>
            <w:vAlign w:val="center"/>
          </w:tcPr>
          <w:p w14:paraId="4AF7151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lang w:val="en-US" w:eastAsia="zh-CN"/>
              </w:rPr>
            </w:pPr>
          </w:p>
        </w:tc>
        <w:tc>
          <w:tcPr>
            <w:tcW w:w="2233" w:type="dxa"/>
            <w:tcBorders>
              <w:left w:val="single" w:color="auto" w:sz="4" w:space="0"/>
            </w:tcBorders>
            <w:vAlign w:val="center"/>
          </w:tcPr>
          <w:p w14:paraId="7B9C96C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rightChars="0"/>
              <w:jc w:val="center"/>
              <w:textAlignment w:val="baseline"/>
              <w:rPr>
                <w:rFonts w:hint="eastAsia" w:ascii="宋体" w:hAnsi="宋体" w:eastAsia="宋体" w:cs="宋体"/>
                <w:bCs/>
                <w:color w:val="auto"/>
                <w:spacing w:val="0"/>
                <w:sz w:val="24"/>
                <w:szCs w:val="24"/>
                <w:highlight w:val="none"/>
              </w:rPr>
            </w:pPr>
            <w:r>
              <w:rPr>
                <w:rFonts w:hint="eastAsia" w:ascii="宋体" w:hAnsi="宋体" w:eastAsia="宋体" w:cs="宋体"/>
                <w:color w:val="auto"/>
                <w:spacing w:val="0"/>
                <w:sz w:val="24"/>
                <w:szCs w:val="24"/>
                <w:highlight w:val="none"/>
              </w:rPr>
              <w:t>施工进度计划横道图或网络图（</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分）</w:t>
            </w:r>
          </w:p>
        </w:tc>
        <w:tc>
          <w:tcPr>
            <w:tcW w:w="6208" w:type="dxa"/>
            <w:vAlign w:val="center"/>
          </w:tcPr>
          <w:p w14:paraId="0DD2B10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rightChars="0"/>
              <w:textAlignment w:val="baseline"/>
              <w:rPr>
                <w:rFonts w:hint="eastAsia" w:ascii="宋体" w:hAnsi="宋体" w:eastAsia="宋体" w:cs="宋体"/>
                <w:bCs/>
                <w:color w:val="auto"/>
                <w:spacing w:val="0"/>
                <w:sz w:val="24"/>
                <w:szCs w:val="24"/>
                <w:highlight w:val="none"/>
                <w:lang w:val="zh-CN"/>
              </w:rPr>
            </w:pPr>
            <w:r>
              <w:rPr>
                <w:rFonts w:hint="eastAsia" w:ascii="宋体" w:hAnsi="宋体" w:eastAsia="宋体" w:cs="宋体"/>
                <w:bCs/>
                <w:color w:val="auto"/>
                <w:spacing w:val="0"/>
                <w:sz w:val="24"/>
                <w:szCs w:val="24"/>
                <w:highlight w:val="none"/>
              </w:rPr>
              <w:t>施工进度计划横道图或网络图进行比较，内容完整、合理、可行；优得3分，良得2分，一般得1分，无不得分。</w:t>
            </w:r>
          </w:p>
        </w:tc>
      </w:tr>
    </w:tbl>
    <w:p w14:paraId="05C8B50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附：电子响应文件编制及报送要求</w:t>
      </w:r>
    </w:p>
    <w:p w14:paraId="0AA36DC9">
      <w:pPr>
        <w:pStyle w:val="8"/>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p>
    <w:p w14:paraId="0E8B565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bCs/>
          <w:color w:val="auto"/>
          <w:spacing w:val="0"/>
          <w:sz w:val="28"/>
          <w:szCs w:val="28"/>
          <w:highlight w:val="none"/>
        </w:rPr>
      </w:pPr>
    </w:p>
    <w:p w14:paraId="4679993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8"/>
          <w:szCs w:val="28"/>
          <w:highlight w:val="none"/>
        </w:rPr>
      </w:pPr>
      <w:r>
        <w:rPr>
          <w:rFonts w:hint="eastAsia" w:ascii="宋体" w:hAnsi="宋体" w:eastAsia="宋体" w:cs="宋体"/>
          <w:b/>
          <w:bCs/>
          <w:color w:val="auto"/>
          <w:spacing w:val="0"/>
          <w:sz w:val="28"/>
          <w:szCs w:val="28"/>
          <w:highlight w:val="none"/>
        </w:rPr>
        <w:t>电子响应文件编制要求</w:t>
      </w:r>
    </w:p>
    <w:p w14:paraId="42A997B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21"/>
        <w:textAlignment w:val="baseline"/>
        <w:rPr>
          <w:rFonts w:hint="eastAsia" w:ascii="宋体" w:hAnsi="宋体" w:eastAsia="宋体" w:cs="宋体"/>
          <w:color w:val="auto"/>
          <w:spacing w:val="0"/>
          <w:position w:val="2"/>
          <w:sz w:val="24"/>
          <w:szCs w:val="24"/>
          <w:highlight w:val="none"/>
        </w:rPr>
      </w:pPr>
    </w:p>
    <w:p w14:paraId="17BCDC0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21"/>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2"/>
          <w:sz w:val="24"/>
          <w:szCs w:val="24"/>
          <w:highlight w:val="none"/>
        </w:rPr>
        <w:t>一、</w:t>
      </w:r>
      <w:r>
        <w:rPr>
          <w:rFonts w:hint="eastAsia" w:ascii="宋体" w:hAnsi="宋体" w:eastAsia="宋体" w:cs="宋体"/>
          <w:color w:val="auto"/>
          <w:spacing w:val="0"/>
          <w:sz w:val="24"/>
          <w:szCs w:val="24"/>
          <w:highlight w:val="none"/>
        </w:rPr>
        <w:t>投标供应商应按磋商文件要求编制响应文件，将所有响应文件内容上传至政采云平台，并持编制响应文件的供应商企业锁远程解密。</w:t>
      </w:r>
    </w:p>
    <w:p w14:paraId="207D213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06"/>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二、投标供应商编制的响应文件应严格执行《建设工程工程量清单计价规范》GB50500—2013 的规定。</w:t>
      </w:r>
    </w:p>
    <w:p w14:paraId="1485ADF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1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三、投标供应商在编制工程量清单报价时，工程项目、单项工程、单位工程的编号必须与招标清单中工程项目、单项工程、单位工程的编号一致。</w:t>
      </w:r>
    </w:p>
    <w:p w14:paraId="1A73622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39"/>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四、投标供应商对规费、安全文明施工费、税金不得作为竞争性费用必须按照现行费用定额规定计算。</w:t>
      </w:r>
    </w:p>
    <w:p w14:paraId="18E309C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0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2"/>
          <w:sz w:val="24"/>
          <w:szCs w:val="24"/>
          <w:highlight w:val="none"/>
        </w:rPr>
        <w:t>五、</w:t>
      </w:r>
      <w:r>
        <w:rPr>
          <w:rFonts w:hint="eastAsia" w:ascii="宋体" w:hAnsi="宋体" w:eastAsia="宋体" w:cs="宋体"/>
          <w:color w:val="auto"/>
          <w:spacing w:val="0"/>
          <w:sz w:val="24"/>
          <w:szCs w:val="24"/>
          <w:highlight w:val="none"/>
        </w:rPr>
        <w:t>电子响应文件中</w:t>
      </w:r>
      <w:r>
        <w:rPr>
          <w:rFonts w:hint="eastAsia" w:ascii="宋体" w:hAnsi="宋体" w:eastAsia="宋体" w:cs="宋体"/>
          <w:color w:val="auto"/>
          <w:spacing w:val="0"/>
          <w:sz w:val="24"/>
          <w:szCs w:val="24"/>
          <w:highlight w:val="none"/>
          <w:lang w:eastAsia="zh-CN"/>
        </w:rPr>
        <w:t>反映</w:t>
      </w:r>
      <w:r>
        <w:rPr>
          <w:rFonts w:hint="eastAsia" w:ascii="宋体" w:hAnsi="宋体" w:eastAsia="宋体" w:cs="宋体"/>
          <w:color w:val="auto"/>
          <w:spacing w:val="0"/>
          <w:sz w:val="24"/>
          <w:szCs w:val="24"/>
          <w:highlight w:val="none"/>
        </w:rPr>
        <w:t>投标供应商资格审查的图片、扫描件、文字描述等，必须清晰可见。其中所有证书和执照必须为原件扫描。</w:t>
      </w:r>
    </w:p>
    <w:p w14:paraId="24E264C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2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六、若投标供应商上传的电子响应文件因无法解密而对响应文件无法进行评价的，采购人可以拒绝该投标供应商投标。</w:t>
      </w:r>
    </w:p>
    <w:p w14:paraId="176D06D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七、若出现停电、灾害、系统故障等不可抗力情况，暂停开标。</w:t>
      </w:r>
    </w:p>
    <w:p w14:paraId="2661616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2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八、本项目将查询电子版响应文件的文件制作机器码（文件制作机器码是以电脑的网卡MAC地址、硬盘序列号、CPU序列号、主板序列号、以及工具标识号五大特征组成），若出现不同投标供应商之</w:t>
      </w:r>
      <w:bookmarkStart w:id="430" w:name="_Toc16535"/>
      <w:r>
        <w:rPr>
          <w:rFonts w:hint="eastAsia" w:ascii="宋体" w:hAnsi="宋体" w:eastAsia="宋体" w:cs="宋体"/>
          <w:color w:val="auto"/>
          <w:spacing w:val="0"/>
          <w:sz w:val="24"/>
          <w:szCs w:val="24"/>
          <w:highlight w:val="none"/>
        </w:rPr>
        <w:t>间文件制作机器码相同的情形，视为投标供应商之间串通投标，予以否决其投标。</w:t>
      </w:r>
      <w:bookmarkEnd w:id="430"/>
    </w:p>
    <w:p w14:paraId="6EEB8BE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szCs w:val="24"/>
          <w:highlight w:val="none"/>
        </w:rPr>
        <w:sectPr>
          <w:footerReference r:id="rId29" w:type="default"/>
          <w:pgSz w:w="11906" w:h="16839"/>
          <w:pgMar w:top="1440" w:right="1080" w:bottom="1440" w:left="1080" w:header="0" w:footer="994" w:gutter="0"/>
          <w:pgNumType w:fmt="decimal"/>
          <w:cols w:space="720" w:num="1"/>
        </w:sectPr>
      </w:pPr>
    </w:p>
    <w:p w14:paraId="3C9479F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bCs/>
          <w:color w:val="auto"/>
          <w:spacing w:val="0"/>
          <w:sz w:val="28"/>
          <w:szCs w:val="28"/>
          <w:highlight w:val="none"/>
        </w:rPr>
      </w:pPr>
      <w:bookmarkStart w:id="431" w:name="bookmark7"/>
      <w:bookmarkEnd w:id="431"/>
      <w:r>
        <w:rPr>
          <w:rFonts w:hint="eastAsia" w:ascii="宋体" w:hAnsi="宋体" w:eastAsia="宋体" w:cs="宋体"/>
          <w:b/>
          <w:bCs/>
          <w:color w:val="auto"/>
          <w:spacing w:val="0"/>
          <w:sz w:val="28"/>
          <w:szCs w:val="28"/>
          <w:highlight w:val="none"/>
        </w:rPr>
        <w:t>政府采购促进中小企业发展管理办法</w:t>
      </w:r>
    </w:p>
    <w:p w14:paraId="64AC619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第一条　为了发挥政府采购的政策功能，促进中小企业健康发展，根据《中华人民共和国政府采购法》《中华人民共和国中小企业促进法》等有关法律法规，制定本办法。</w:t>
      </w:r>
    </w:p>
    <w:p w14:paraId="52F2E67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3981BD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符合中小企业划分标准的个体工商户，在政府采购活动中视同中小企业。</w:t>
      </w:r>
    </w:p>
    <w:p w14:paraId="0A721FD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第三条　采购人在政府采购活动中应当通过加强采购需求管理，落实预留采购份额、价格评审优惠、优先采购等措施，提高中小企业在政府采购中的份额，支持中小企业发展。</w:t>
      </w:r>
    </w:p>
    <w:p w14:paraId="353213F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第四条　在政府采购活动中，供应商提供的货物、工程或者服务符合下列情形的，享受本办法规定的中小企业扶持政策：</w:t>
      </w:r>
    </w:p>
    <w:p w14:paraId="17861B0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（一）在货物采购项目中，货物由中小企业制造，即货物由中小企业生产且使用该中小企业商号或者注册商标；</w:t>
      </w:r>
    </w:p>
    <w:p w14:paraId="5EFF3CC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（二）在工程采购项目中，工程由中小企业承建，即工程施工单位为中小企业；</w:t>
      </w:r>
    </w:p>
    <w:p w14:paraId="66E3260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（三）在服务采购项目中，服务由中小企业承接，即提供服务的人员为中小企业依照《中华人民共和国劳动合同法》订立劳动合同的从业人员。</w:t>
      </w:r>
    </w:p>
    <w:p w14:paraId="5B1295D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在货物采购项目中，供应商提供的货物既有中小企业制造货物，也有大型企业制造货物的，不享受本办法规定的中小企业扶持政策。</w:t>
      </w:r>
    </w:p>
    <w:p w14:paraId="348345C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以联合体形式参加政府采购活动，联合体各方均为中小企业的，联合体视同中小企业。其中，联合体各方均为小微企业的，联合体视同小微企业。</w:t>
      </w:r>
    </w:p>
    <w:p w14:paraId="2720ED4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E6EE06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DC82AC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符合下列情形之一的，可不专门面向中小企业预留采购份额：</w:t>
      </w:r>
    </w:p>
    <w:p w14:paraId="22AFC71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（一）法律法规和国家有关政策明确规定优先或者应当面向事业单位、社会组织等非企业主体采购的；</w:t>
      </w:r>
    </w:p>
    <w:p w14:paraId="08A7354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（二）因确需使用不可替代的专利、专有技术，基础设施限制，或者提供特定公共服务等原因，只能从中小企业之外的供应商处采购的；</w:t>
      </w:r>
    </w:p>
    <w:p w14:paraId="037896B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（三）按照本办法规定预留采购份额无法确保充分供应、充分竞争，或者存在可能影响政府采购目标实现的情形；</w:t>
      </w:r>
    </w:p>
    <w:p w14:paraId="6CF810F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（四）框架协议采购项目；</w:t>
      </w:r>
    </w:p>
    <w:p w14:paraId="5B93E7D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（五）省级以上人民政府财政部门规定的其他情形。</w:t>
      </w:r>
    </w:p>
    <w:p w14:paraId="2F2F73B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除上述情形外，其他均为适宜由中小企业提供的情形。</w:t>
      </w:r>
    </w:p>
    <w:p w14:paraId="2C18BE5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第七条　采购限额标准以上，200万元以下的货物和服务采购项目、400万元以下的工程采购项目，适宜由中小企业提供的，采购人应当专门面向中小企业采购。</w:t>
      </w:r>
    </w:p>
    <w:p w14:paraId="4A1729C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17E7A66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（一）将采购项目整体或者设置采购包专门面向中小企业采购；</w:t>
      </w:r>
    </w:p>
    <w:p w14:paraId="76AD147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（二）要求供应商以联合体形式参加采购活动，且联合体中中小企业承担的部分达到一定比例；</w:t>
      </w:r>
    </w:p>
    <w:p w14:paraId="7C5D707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（三）要求获得采购合同的供应商将采购项目中的一定比例分包给一家或者多家中小企业。</w:t>
      </w:r>
    </w:p>
    <w:p w14:paraId="33BB019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组成联合体或者接受分包合同的中小企业与联合体内其他企业、分包企业之间不得存在直接控股、管理关系。</w:t>
      </w:r>
    </w:p>
    <w:p w14:paraId="6E7D68A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第九条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A439F6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1E7B65A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价格扣除比例或者价格部分加分比例对小型企业和微型企业同等对待，不作区分。具体采购项目的价格扣除比例或者价格部分加分比例，由采购人根据采购标的相关行业平均利润率、市场竞争状况等，在本办法规定的幅度内确定。</w:t>
      </w:r>
    </w:p>
    <w:p w14:paraId="0A6F990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1319C4C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14:paraId="05E30AE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第十二条　采购项目涉及中小企业采购的，采购文件应当明确以下内容：</w:t>
      </w:r>
    </w:p>
    <w:p w14:paraId="3EF061F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（一）预留份额的采购项目或者采购包，明确该项目或相关采购包专门面向中小企业采购，以及相关标的及预算金额；</w:t>
      </w:r>
    </w:p>
    <w:p w14:paraId="1EC47EF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（二）要求以联合体形式参加或者合同分包的，明确联合协议或者分包意向协议中中小企业合同金额应当达到的比例，并作为供应商资格条件；</w:t>
      </w:r>
    </w:p>
    <w:p w14:paraId="56F490F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（三）非预留份额的采购项目或者采购包，明确有关价格扣除比例或者价格部分加分比例；</w:t>
      </w:r>
    </w:p>
    <w:p w14:paraId="0476BDB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（四）规定依据本办法规定享受扶持政策获得政府采购合同的，小微企业不得将合同分包给大中型企业，中型企业不得将合同分包给大型企业；</w:t>
      </w:r>
    </w:p>
    <w:p w14:paraId="3977A4E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（五）采购人认为具备相关条件的，明确对中小企业在资金支付期限、预付款比例等方面的优惠措施；</w:t>
      </w:r>
    </w:p>
    <w:p w14:paraId="7D59A87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（六）明确采购标的对应的中小企业划分标准所属行业；</w:t>
      </w:r>
    </w:p>
    <w:p w14:paraId="6AB8700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（七）法律法规和省级以上人民政府财政部门规定的其他事项。</w:t>
      </w:r>
    </w:p>
    <w:p w14:paraId="1C2B6B9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第十三条　中标、成交供应商享受本办法规定的中小企业扶持政策的，采购人、采购代理机构应当随中标、成交结果公开中标、成交供应商的《中小企业声明函》。</w:t>
      </w:r>
    </w:p>
    <w:p w14:paraId="6C7CBB5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适用招标投标法的政府采购工程建设项目，应当在公示中标候选人时公开中标候选人的《中小企业声明函》。</w:t>
      </w:r>
    </w:p>
    <w:p w14:paraId="07D2BF6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6915B6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第十五条　鼓励各地区、各部门在采购活动中允许中小企业引入信用担保手段，为中小企业在投标（响应）保证、履约保证等方面提供专业化服务。鼓励中小企业依法合规通过政府采购合同融资。</w:t>
      </w:r>
    </w:p>
    <w:p w14:paraId="1C237DD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第十六条　政府采购监督检查、投诉处理及政府采购行政处罚中对中小企业的认定，由货物制造商或者工程、服务供应商注册登记所在地的县级以上人民政府中小企业主管部门负责。</w:t>
      </w:r>
    </w:p>
    <w:p w14:paraId="6A17BF0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中小企业主管部门应当在收到财政部门或者有关招标投标行政监督部门关于协助开展中小企业认定函后10个工作日内做出书面答复。</w:t>
      </w:r>
    </w:p>
    <w:p w14:paraId="3DF6AEA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第十七条　各地区、各部门应当对涉及中小企业采购的预算项目实施全过程绩效管理，合理设置绩效目标和指标，落实扶持中小企业有关政策要求，定期开展绩效监控和评价，强化绩效评价结果应用。</w:t>
      </w:r>
    </w:p>
    <w:p w14:paraId="25142A2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第十八条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2562BB5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6B9A850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第二十条　供应商按照本办法规定提供声明函内容不实的，属于提供虚假材料谋取中标、成交，依照《中华人民共和国政府采购法》等国家有关规定追究相应责任。</w:t>
      </w:r>
    </w:p>
    <w:p w14:paraId="51E5F8A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适用招标投标法的政府采购工程建设项目，供应商按照本办法规定提供声明函内容不实的，属于弄虚作假骗取中标，依照《中华人民共和国招标投标法》等国家有关规定追究相应责任。</w:t>
      </w:r>
    </w:p>
    <w:p w14:paraId="6509B92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7FDB05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第二十二条　对外援助项目、国家相关资格或者资质管理制度另有规定的项目，不适用本办法。</w:t>
      </w:r>
    </w:p>
    <w:p w14:paraId="0A26BA3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第二十三条　关于视同中小企业的其他主体的政府采购扶持政策，由财政部会同有关部门另行规定。</w:t>
      </w:r>
    </w:p>
    <w:p w14:paraId="229ED72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第二十四条　省级财政部门可以会同中小企业主管部门根据本办法的规定制定具体实施办法。</w:t>
      </w:r>
    </w:p>
    <w:p w14:paraId="7D1AC75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第二十五条　本办法自2021年1月1日起施行。《财政部工业和信息化部关于印发〈政府采购促进中小企业发展暂行办法〉的通知》（财库﹝2011﹞181号）同时废止。</w:t>
      </w:r>
    </w:p>
    <w:p w14:paraId="73CC3FD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highlight w:val="none"/>
        </w:rPr>
      </w:pPr>
    </w:p>
    <w:p w14:paraId="1663224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highlight w:val="none"/>
        </w:rPr>
      </w:pPr>
    </w:p>
    <w:p w14:paraId="3DF2A4B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br w:type="page"/>
      </w:r>
    </w:p>
    <w:p w14:paraId="1F64E87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关于进一步加大政府采购支持中小企业力度的通知</w:t>
      </w:r>
    </w:p>
    <w:p w14:paraId="4EFAA054">
      <w:pPr>
        <w:pageBreakBefore w:val="0"/>
        <w:widowControl/>
        <w:kinsoku/>
        <w:wordWrap w:val="0"/>
        <w:overflowPunct/>
        <w:topLinePunct w:val="0"/>
        <w:autoSpaceDE w:val="0"/>
        <w:autoSpaceDN w:val="0"/>
        <w:bidi w:val="0"/>
        <w:adjustRightInd w:val="0"/>
        <w:snapToGrid w:val="0"/>
        <w:spacing w:before="0" w:beforeLines="20" w:after="0" w:afterLines="20" w:line="360" w:lineRule="auto"/>
        <w:ind w:right="0"/>
        <w:jc w:val="center"/>
        <w:textAlignment w:val="baseline"/>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t>财库〔2022〕19号</w:t>
      </w:r>
    </w:p>
    <w:p w14:paraId="7F0015B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各中央预算单位，各省、自治区、直辖市、计划单列市财政厅（局），新疆生产建设兵团财政局：</w:t>
      </w:r>
    </w:p>
    <w:p w14:paraId="4EE0FB8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　　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14B0599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　　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3FFCA50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　　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03B0921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　　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0A22EE8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　　四、认真做好组织实施。各地区、各部门应当加强组织领导，明确工作责任，细化执行要求，强化监督检查，确保国务院部署落实到位，对通知执行中出现的问题要及时向财政部报告。</w:t>
      </w:r>
    </w:p>
    <w:p w14:paraId="5AC72B9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　　本通知自2022年7月1日起执行。</w:t>
      </w:r>
    </w:p>
    <w:p w14:paraId="7836AE2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20" w:firstLineChars="200"/>
        <w:jc w:val="left"/>
        <w:textAlignment w:val="baseline"/>
        <w:rPr>
          <w:rFonts w:hint="eastAsia" w:ascii="宋体" w:hAnsi="宋体" w:eastAsia="宋体" w:cs="宋体"/>
          <w:bCs/>
          <w:snapToGrid w:val="0"/>
          <w:color w:val="auto"/>
          <w:spacing w:val="0"/>
          <w:szCs w:val="21"/>
          <w:highlight w:val="none"/>
          <w:lang w:val="zh-CN" w:eastAsia="zh-CN"/>
        </w:rPr>
      </w:pPr>
    </w:p>
    <w:p w14:paraId="0BFA21F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20" w:firstLineChars="200"/>
        <w:jc w:val="left"/>
        <w:textAlignment w:val="baseline"/>
        <w:rPr>
          <w:rFonts w:hint="eastAsia" w:ascii="宋体" w:hAnsi="宋体" w:eastAsia="宋体" w:cs="宋体"/>
          <w:bCs/>
          <w:snapToGrid w:val="0"/>
          <w:color w:val="auto"/>
          <w:spacing w:val="0"/>
          <w:szCs w:val="21"/>
          <w:highlight w:val="none"/>
          <w:lang w:val="zh-CN" w:eastAsia="zh-CN"/>
        </w:rPr>
      </w:pPr>
    </w:p>
    <w:p w14:paraId="465D464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20" w:firstLineChars="200"/>
        <w:jc w:val="left"/>
        <w:textAlignment w:val="baseline"/>
        <w:rPr>
          <w:rFonts w:hint="eastAsia" w:ascii="宋体" w:hAnsi="宋体" w:eastAsia="宋体" w:cs="宋体"/>
          <w:bCs/>
          <w:snapToGrid w:val="0"/>
          <w:color w:val="auto"/>
          <w:spacing w:val="0"/>
          <w:szCs w:val="21"/>
          <w:highlight w:val="none"/>
          <w:lang w:val="zh-CN" w:eastAsia="zh-CN"/>
        </w:rPr>
      </w:pPr>
    </w:p>
    <w:p w14:paraId="65E05AE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20" w:firstLineChars="200"/>
        <w:jc w:val="left"/>
        <w:textAlignment w:val="baseline"/>
        <w:rPr>
          <w:rFonts w:hint="eastAsia" w:ascii="宋体" w:hAnsi="宋体" w:eastAsia="宋体" w:cs="宋体"/>
          <w:bCs/>
          <w:snapToGrid w:val="0"/>
          <w:color w:val="auto"/>
          <w:spacing w:val="0"/>
          <w:szCs w:val="21"/>
          <w:highlight w:val="none"/>
          <w:lang w:val="zh-CN" w:eastAsia="zh-CN"/>
        </w:rPr>
      </w:pPr>
    </w:p>
    <w:p w14:paraId="7E0E1B8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20" w:firstLineChars="200"/>
        <w:jc w:val="left"/>
        <w:textAlignment w:val="baseline"/>
        <w:rPr>
          <w:rFonts w:hint="eastAsia" w:ascii="宋体" w:hAnsi="宋体" w:eastAsia="宋体" w:cs="宋体"/>
          <w:bCs/>
          <w:snapToGrid w:val="0"/>
          <w:color w:val="auto"/>
          <w:spacing w:val="0"/>
          <w:szCs w:val="21"/>
          <w:highlight w:val="none"/>
          <w:lang w:val="zh-CN" w:eastAsia="zh-CN"/>
        </w:rPr>
      </w:pPr>
    </w:p>
    <w:p w14:paraId="61D9AF9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20" w:firstLineChars="200"/>
        <w:jc w:val="left"/>
        <w:textAlignment w:val="baseline"/>
        <w:rPr>
          <w:rFonts w:hint="eastAsia" w:ascii="宋体" w:hAnsi="宋体" w:eastAsia="宋体" w:cs="宋体"/>
          <w:bCs/>
          <w:snapToGrid w:val="0"/>
          <w:color w:val="auto"/>
          <w:spacing w:val="0"/>
          <w:szCs w:val="21"/>
          <w:highlight w:val="none"/>
          <w:lang w:val="zh-CN" w:eastAsia="zh-CN"/>
        </w:rPr>
      </w:pPr>
    </w:p>
    <w:p w14:paraId="09D39D7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20" w:firstLineChars="200"/>
        <w:jc w:val="left"/>
        <w:textAlignment w:val="baseline"/>
        <w:rPr>
          <w:rFonts w:hint="eastAsia" w:ascii="宋体" w:hAnsi="宋体" w:eastAsia="宋体" w:cs="宋体"/>
          <w:bCs/>
          <w:snapToGrid w:val="0"/>
          <w:color w:val="auto"/>
          <w:spacing w:val="0"/>
          <w:szCs w:val="21"/>
          <w:highlight w:val="none"/>
          <w:lang w:val="zh-CN" w:eastAsia="zh-CN"/>
        </w:rPr>
      </w:pPr>
    </w:p>
    <w:p w14:paraId="6F89CD58">
      <w:pPr>
        <w:pageBreakBefore w:val="0"/>
        <w:widowControl/>
        <w:kinsoku/>
        <w:wordWrap w:val="0"/>
        <w:overflowPunct/>
        <w:topLinePunct w:val="0"/>
        <w:autoSpaceDE w:val="0"/>
        <w:autoSpaceDN w:val="0"/>
        <w:bidi w:val="0"/>
        <w:adjustRightInd w:val="0"/>
        <w:snapToGrid w:val="0"/>
        <w:spacing w:before="0" w:beforeLines="20" w:after="0" w:afterLines="20" w:line="360" w:lineRule="auto"/>
        <w:ind w:right="0"/>
        <w:jc w:val="left"/>
        <w:textAlignment w:val="baseline"/>
        <w:rPr>
          <w:rFonts w:hint="eastAsia" w:ascii="宋体" w:hAnsi="宋体" w:eastAsia="宋体" w:cs="宋体"/>
          <w:bCs/>
          <w:snapToGrid w:val="0"/>
          <w:color w:val="auto"/>
          <w:spacing w:val="0"/>
          <w:szCs w:val="21"/>
          <w:highlight w:val="none"/>
          <w:lang w:val="zh-CN" w:eastAsia="zh-CN"/>
        </w:rPr>
      </w:pPr>
      <w:r>
        <w:rPr>
          <w:rFonts w:hint="eastAsia" w:ascii="宋体" w:hAnsi="宋体" w:eastAsia="宋体" w:cs="宋体"/>
          <w:bCs/>
          <w:snapToGrid w:val="0"/>
          <w:color w:val="auto"/>
          <w:spacing w:val="0"/>
          <w:szCs w:val="21"/>
          <w:highlight w:val="none"/>
          <w:lang w:val="zh-CN" w:eastAsia="zh-CN"/>
        </w:rPr>
        <w:br w:type="page"/>
      </w:r>
    </w:p>
    <w:p w14:paraId="01F7C55E">
      <w:pPr>
        <w:pageBreakBefore w:val="0"/>
        <w:widowControl/>
        <w:kinsoku/>
        <w:wordWrap w:val="0"/>
        <w:overflowPunct/>
        <w:topLinePunct w:val="0"/>
        <w:autoSpaceDE w:val="0"/>
        <w:autoSpaceDN w:val="0"/>
        <w:bidi w:val="0"/>
        <w:adjustRightInd w:val="0"/>
        <w:snapToGrid w:val="0"/>
        <w:spacing w:before="0" w:beforeLines="20" w:after="0" w:afterLines="20" w:line="360" w:lineRule="auto"/>
        <w:ind w:right="0"/>
        <w:jc w:val="center"/>
        <w:textAlignment w:val="baseline"/>
        <w:rPr>
          <w:rFonts w:hint="eastAsia" w:ascii="宋体" w:hAnsi="宋体" w:eastAsia="宋体" w:cs="宋体"/>
          <w:bCs/>
          <w:snapToGrid w:val="0"/>
          <w:color w:val="auto"/>
          <w:spacing w:val="0"/>
          <w:sz w:val="28"/>
          <w:szCs w:val="28"/>
          <w:highlight w:val="none"/>
          <w:lang w:val="zh-CN" w:eastAsia="zh-CN"/>
        </w:rPr>
      </w:pPr>
      <w:r>
        <w:rPr>
          <w:rFonts w:hint="eastAsia" w:ascii="宋体" w:hAnsi="宋体" w:eastAsia="宋体" w:cs="宋体"/>
          <w:b/>
          <w:bCs w:val="0"/>
          <w:snapToGrid w:val="0"/>
          <w:color w:val="auto"/>
          <w:spacing w:val="0"/>
          <w:sz w:val="28"/>
          <w:szCs w:val="28"/>
          <w:highlight w:val="none"/>
          <w:lang w:val="zh-CN" w:eastAsia="zh-CN"/>
        </w:rPr>
        <w:t>国家统计局关于印发《统计上大中小微型企业划分办法（2017）》的通知</w:t>
      </w:r>
    </w:p>
    <w:p w14:paraId="22723EF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各省、自治区、直辖市统计局，新疆生产建设兵团统计局，国务院各有关部门，国家统计局</w:t>
      </w:r>
    </w:p>
    <w:p w14:paraId="0428C01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 xml:space="preserve">各调查总队： </w:t>
      </w:r>
    </w:p>
    <w:p w14:paraId="623339A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《国民经济行业分类》（GB/T 4754—2017）已正式实施，现对 2011 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61A29B1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统计上大中小微型企业划分办法（2017）</w:t>
      </w:r>
    </w:p>
    <w:p w14:paraId="3D378BD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一、根据工业和信息化部、国家统计局、国家发展改革委、财政部《关于印发中小企业划型标准规定的通知》（工信部联企业〔2011〕300 号），以《国民经济行业分类》（GB/T4754-2017）为基础，结合统计工作的实际情况，制定本办法。</w:t>
      </w:r>
    </w:p>
    <w:p w14:paraId="0D1AE20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二、本办法适用对象为在中华人民共和国境内依法设立的各种组织形式的法人企业或单位。个体工商户参照本办法进行划分。</w:t>
      </w:r>
    </w:p>
    <w:p w14:paraId="1A11134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 xml:space="preserve">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 15 个行业门类以及社会工作行业大类。 </w:t>
      </w:r>
    </w:p>
    <w:p w14:paraId="1EF2E60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 xml:space="preserve">四、本办法按照行业门类、大类、中类和组合类别，依据从业人员、营业收入、资产总额等指标或替代指标，将我国的企业划分为大型、中型、小型、微型等四种类型。具体划分标准见附表。 </w:t>
      </w:r>
    </w:p>
    <w:p w14:paraId="5403270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五、企业划分由政府综合统计部门根据统计年报每年确定一次，定报统计原则上不进行调整。</w:t>
      </w:r>
    </w:p>
    <w:p w14:paraId="2AF4195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 xml:space="preserve">六、本办法自印发之日起执行，国家统计局 2011 年印发的《统计上大中小微型企业划分办法》（国统字〔2011〕75 号）同时废止。 </w:t>
      </w:r>
    </w:p>
    <w:p w14:paraId="4C12600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 xml:space="preserve">附表：统计上大中小微型企业划分标准 </w:t>
      </w:r>
    </w:p>
    <w:p w14:paraId="7B32AF7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统计上大中小微型企业划分标准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ECD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noWrap w:val="0"/>
            <w:vAlign w:val="center"/>
          </w:tcPr>
          <w:p w14:paraId="1641B331">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行业名称</w:t>
            </w:r>
          </w:p>
        </w:tc>
        <w:tc>
          <w:tcPr>
            <w:tcW w:w="1369" w:type="dxa"/>
            <w:noWrap w:val="0"/>
            <w:vAlign w:val="center"/>
          </w:tcPr>
          <w:p w14:paraId="4E3B7A01">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指标名称</w:t>
            </w:r>
          </w:p>
        </w:tc>
        <w:tc>
          <w:tcPr>
            <w:tcW w:w="709" w:type="dxa"/>
            <w:noWrap w:val="0"/>
            <w:vAlign w:val="center"/>
          </w:tcPr>
          <w:p w14:paraId="43757415">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计量</w:t>
            </w:r>
          </w:p>
          <w:p w14:paraId="57C5E8DF">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单位</w:t>
            </w:r>
          </w:p>
        </w:tc>
        <w:tc>
          <w:tcPr>
            <w:tcW w:w="1125" w:type="dxa"/>
            <w:noWrap w:val="0"/>
            <w:vAlign w:val="center"/>
          </w:tcPr>
          <w:p w14:paraId="55FA12E7">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大型</w:t>
            </w:r>
          </w:p>
        </w:tc>
        <w:tc>
          <w:tcPr>
            <w:tcW w:w="1701" w:type="dxa"/>
            <w:noWrap w:val="0"/>
            <w:vAlign w:val="center"/>
          </w:tcPr>
          <w:p w14:paraId="47DF5BCE">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中型</w:t>
            </w:r>
          </w:p>
        </w:tc>
        <w:tc>
          <w:tcPr>
            <w:tcW w:w="1426" w:type="dxa"/>
            <w:noWrap w:val="0"/>
            <w:vAlign w:val="center"/>
          </w:tcPr>
          <w:p w14:paraId="33905AD8">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小型</w:t>
            </w:r>
          </w:p>
        </w:tc>
        <w:tc>
          <w:tcPr>
            <w:tcW w:w="992" w:type="dxa"/>
            <w:noWrap w:val="0"/>
            <w:vAlign w:val="center"/>
          </w:tcPr>
          <w:p w14:paraId="0BADB77A">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微型</w:t>
            </w:r>
          </w:p>
        </w:tc>
      </w:tr>
      <w:tr w14:paraId="15A8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noWrap w:val="0"/>
            <w:vAlign w:val="center"/>
          </w:tcPr>
          <w:p w14:paraId="16BE3E93">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农、林、牧、渔业</w:t>
            </w:r>
          </w:p>
        </w:tc>
        <w:tc>
          <w:tcPr>
            <w:tcW w:w="1369" w:type="dxa"/>
            <w:noWrap w:val="0"/>
            <w:vAlign w:val="center"/>
          </w:tcPr>
          <w:p w14:paraId="6EE3D234">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营业收入</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Y)</w:t>
            </w:r>
          </w:p>
        </w:tc>
        <w:tc>
          <w:tcPr>
            <w:tcW w:w="709" w:type="dxa"/>
            <w:noWrap w:val="0"/>
            <w:vAlign w:val="center"/>
          </w:tcPr>
          <w:p w14:paraId="4A923D9F">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125" w:type="dxa"/>
            <w:noWrap w:val="0"/>
            <w:vAlign w:val="center"/>
          </w:tcPr>
          <w:p w14:paraId="1B45E339">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Y≥20000</w:t>
            </w:r>
          </w:p>
        </w:tc>
        <w:tc>
          <w:tcPr>
            <w:tcW w:w="1701" w:type="dxa"/>
            <w:noWrap w:val="0"/>
            <w:vAlign w:val="center"/>
          </w:tcPr>
          <w:p w14:paraId="2159CFE2">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500≤Y＜20000</w:t>
            </w:r>
          </w:p>
        </w:tc>
        <w:tc>
          <w:tcPr>
            <w:tcW w:w="1426" w:type="dxa"/>
            <w:noWrap w:val="0"/>
            <w:vAlign w:val="center"/>
          </w:tcPr>
          <w:p w14:paraId="70254480">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50≤Y＜500</w:t>
            </w:r>
          </w:p>
        </w:tc>
        <w:tc>
          <w:tcPr>
            <w:tcW w:w="992" w:type="dxa"/>
            <w:noWrap w:val="0"/>
            <w:vAlign w:val="center"/>
          </w:tcPr>
          <w:p w14:paraId="5E171687">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Y＜50</w:t>
            </w:r>
          </w:p>
        </w:tc>
      </w:tr>
      <w:tr w14:paraId="51C3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67F5A136">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工业 *</w:t>
            </w:r>
          </w:p>
        </w:tc>
        <w:tc>
          <w:tcPr>
            <w:tcW w:w="1369" w:type="dxa"/>
            <w:noWrap w:val="0"/>
            <w:vAlign w:val="center"/>
          </w:tcPr>
          <w:p w14:paraId="01201E26">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X)</w:t>
            </w:r>
          </w:p>
        </w:tc>
        <w:tc>
          <w:tcPr>
            <w:tcW w:w="709" w:type="dxa"/>
            <w:noWrap w:val="0"/>
            <w:vAlign w:val="center"/>
          </w:tcPr>
          <w:p w14:paraId="5412E392">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人</w:t>
            </w:r>
          </w:p>
        </w:tc>
        <w:tc>
          <w:tcPr>
            <w:tcW w:w="1125" w:type="dxa"/>
            <w:noWrap w:val="0"/>
            <w:vAlign w:val="center"/>
          </w:tcPr>
          <w:p w14:paraId="415FEB04">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X≥1000</w:t>
            </w:r>
          </w:p>
        </w:tc>
        <w:tc>
          <w:tcPr>
            <w:tcW w:w="1701" w:type="dxa"/>
            <w:noWrap w:val="0"/>
            <w:vAlign w:val="center"/>
          </w:tcPr>
          <w:p w14:paraId="49C4D900">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300≤X＜1000</w:t>
            </w:r>
          </w:p>
        </w:tc>
        <w:tc>
          <w:tcPr>
            <w:tcW w:w="1426" w:type="dxa"/>
            <w:noWrap w:val="0"/>
            <w:vAlign w:val="center"/>
          </w:tcPr>
          <w:p w14:paraId="7A0FCEF6">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20≤X＜300</w:t>
            </w:r>
          </w:p>
        </w:tc>
        <w:tc>
          <w:tcPr>
            <w:tcW w:w="992" w:type="dxa"/>
            <w:noWrap w:val="0"/>
            <w:vAlign w:val="center"/>
          </w:tcPr>
          <w:p w14:paraId="32DB8AC3">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X＜20</w:t>
            </w:r>
          </w:p>
        </w:tc>
      </w:tr>
      <w:tr w14:paraId="2A9F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4459B7A4">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p>
        </w:tc>
        <w:tc>
          <w:tcPr>
            <w:tcW w:w="1369" w:type="dxa"/>
            <w:noWrap w:val="0"/>
            <w:vAlign w:val="center"/>
          </w:tcPr>
          <w:p w14:paraId="11F5CC7F">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营业收入</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Y)</w:t>
            </w:r>
          </w:p>
        </w:tc>
        <w:tc>
          <w:tcPr>
            <w:tcW w:w="709" w:type="dxa"/>
            <w:noWrap w:val="0"/>
            <w:vAlign w:val="center"/>
          </w:tcPr>
          <w:p w14:paraId="37C50134">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125" w:type="dxa"/>
            <w:noWrap w:val="0"/>
            <w:vAlign w:val="center"/>
          </w:tcPr>
          <w:p w14:paraId="4E888DD4">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Y≥40000</w:t>
            </w:r>
          </w:p>
        </w:tc>
        <w:tc>
          <w:tcPr>
            <w:tcW w:w="1701" w:type="dxa"/>
            <w:noWrap w:val="0"/>
            <w:vAlign w:val="center"/>
          </w:tcPr>
          <w:p w14:paraId="0FDE371E">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2000≤Y＜40000</w:t>
            </w:r>
          </w:p>
        </w:tc>
        <w:tc>
          <w:tcPr>
            <w:tcW w:w="1426" w:type="dxa"/>
            <w:noWrap w:val="0"/>
            <w:vAlign w:val="center"/>
          </w:tcPr>
          <w:p w14:paraId="76FBF580">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300≤Y＜2000</w:t>
            </w:r>
          </w:p>
        </w:tc>
        <w:tc>
          <w:tcPr>
            <w:tcW w:w="992" w:type="dxa"/>
            <w:noWrap w:val="0"/>
            <w:vAlign w:val="center"/>
          </w:tcPr>
          <w:p w14:paraId="0722B309">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Y＜300</w:t>
            </w:r>
          </w:p>
        </w:tc>
      </w:tr>
      <w:tr w14:paraId="5FB0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4F36D324">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建筑业</w:t>
            </w:r>
          </w:p>
        </w:tc>
        <w:tc>
          <w:tcPr>
            <w:tcW w:w="1369" w:type="dxa"/>
            <w:noWrap w:val="0"/>
            <w:vAlign w:val="center"/>
          </w:tcPr>
          <w:p w14:paraId="48E4B7CE">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营业收入</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Y)</w:t>
            </w:r>
          </w:p>
        </w:tc>
        <w:tc>
          <w:tcPr>
            <w:tcW w:w="709" w:type="dxa"/>
            <w:noWrap w:val="0"/>
            <w:vAlign w:val="center"/>
          </w:tcPr>
          <w:p w14:paraId="6B0E5954">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125" w:type="dxa"/>
            <w:noWrap w:val="0"/>
            <w:vAlign w:val="center"/>
          </w:tcPr>
          <w:p w14:paraId="58AC02EC">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Y≥80000</w:t>
            </w:r>
          </w:p>
        </w:tc>
        <w:tc>
          <w:tcPr>
            <w:tcW w:w="1701" w:type="dxa"/>
            <w:noWrap w:val="0"/>
            <w:vAlign w:val="center"/>
          </w:tcPr>
          <w:p w14:paraId="5249350E">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6000≤Y＜80000</w:t>
            </w:r>
          </w:p>
        </w:tc>
        <w:tc>
          <w:tcPr>
            <w:tcW w:w="1426" w:type="dxa"/>
            <w:noWrap w:val="0"/>
            <w:vAlign w:val="center"/>
          </w:tcPr>
          <w:p w14:paraId="0FECAAD3">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300≤Y＜6000</w:t>
            </w:r>
          </w:p>
        </w:tc>
        <w:tc>
          <w:tcPr>
            <w:tcW w:w="992" w:type="dxa"/>
            <w:noWrap w:val="0"/>
            <w:vAlign w:val="center"/>
          </w:tcPr>
          <w:p w14:paraId="068C483B">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Y＜300</w:t>
            </w:r>
          </w:p>
        </w:tc>
      </w:tr>
      <w:tr w14:paraId="5FE0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052651A4">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p>
        </w:tc>
        <w:tc>
          <w:tcPr>
            <w:tcW w:w="1369" w:type="dxa"/>
            <w:noWrap w:val="0"/>
            <w:vAlign w:val="center"/>
          </w:tcPr>
          <w:p w14:paraId="5D3FDFC1">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资产总额</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Z)</w:t>
            </w:r>
          </w:p>
        </w:tc>
        <w:tc>
          <w:tcPr>
            <w:tcW w:w="709" w:type="dxa"/>
            <w:noWrap w:val="0"/>
            <w:vAlign w:val="center"/>
          </w:tcPr>
          <w:p w14:paraId="0230981D">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125" w:type="dxa"/>
            <w:noWrap w:val="0"/>
            <w:vAlign w:val="center"/>
          </w:tcPr>
          <w:p w14:paraId="676BDCEF">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Z≥80000</w:t>
            </w:r>
          </w:p>
        </w:tc>
        <w:tc>
          <w:tcPr>
            <w:tcW w:w="1701" w:type="dxa"/>
            <w:noWrap w:val="0"/>
            <w:vAlign w:val="center"/>
          </w:tcPr>
          <w:p w14:paraId="26088D53">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5000≤Z＜80000</w:t>
            </w:r>
          </w:p>
        </w:tc>
        <w:tc>
          <w:tcPr>
            <w:tcW w:w="1426" w:type="dxa"/>
            <w:noWrap w:val="0"/>
            <w:vAlign w:val="center"/>
          </w:tcPr>
          <w:p w14:paraId="4EAB10D8">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300≤Z＜5000</w:t>
            </w:r>
          </w:p>
        </w:tc>
        <w:tc>
          <w:tcPr>
            <w:tcW w:w="992" w:type="dxa"/>
            <w:noWrap w:val="0"/>
            <w:vAlign w:val="center"/>
          </w:tcPr>
          <w:p w14:paraId="22176101">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Z＜300</w:t>
            </w:r>
          </w:p>
        </w:tc>
      </w:tr>
      <w:tr w14:paraId="63B5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4F827368">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批发业</w:t>
            </w:r>
          </w:p>
        </w:tc>
        <w:tc>
          <w:tcPr>
            <w:tcW w:w="1369" w:type="dxa"/>
            <w:noWrap w:val="0"/>
            <w:vAlign w:val="center"/>
          </w:tcPr>
          <w:p w14:paraId="7CA0569E">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X)</w:t>
            </w:r>
          </w:p>
        </w:tc>
        <w:tc>
          <w:tcPr>
            <w:tcW w:w="709" w:type="dxa"/>
            <w:noWrap w:val="0"/>
            <w:vAlign w:val="center"/>
          </w:tcPr>
          <w:p w14:paraId="06DF9ABE">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人</w:t>
            </w:r>
          </w:p>
        </w:tc>
        <w:tc>
          <w:tcPr>
            <w:tcW w:w="1125" w:type="dxa"/>
            <w:noWrap w:val="0"/>
            <w:vAlign w:val="center"/>
          </w:tcPr>
          <w:p w14:paraId="7791AB1B">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X≥200</w:t>
            </w:r>
          </w:p>
        </w:tc>
        <w:tc>
          <w:tcPr>
            <w:tcW w:w="1701" w:type="dxa"/>
            <w:noWrap w:val="0"/>
            <w:vAlign w:val="center"/>
          </w:tcPr>
          <w:p w14:paraId="634B358E">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20≤X＜200</w:t>
            </w:r>
          </w:p>
        </w:tc>
        <w:tc>
          <w:tcPr>
            <w:tcW w:w="1426" w:type="dxa"/>
            <w:noWrap w:val="0"/>
            <w:vAlign w:val="center"/>
          </w:tcPr>
          <w:p w14:paraId="77BC436D">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5≤X＜20</w:t>
            </w:r>
          </w:p>
        </w:tc>
        <w:tc>
          <w:tcPr>
            <w:tcW w:w="992" w:type="dxa"/>
            <w:noWrap w:val="0"/>
            <w:vAlign w:val="center"/>
          </w:tcPr>
          <w:p w14:paraId="7975845A">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X＜5</w:t>
            </w:r>
          </w:p>
        </w:tc>
      </w:tr>
      <w:tr w14:paraId="6973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71C471B6">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p>
        </w:tc>
        <w:tc>
          <w:tcPr>
            <w:tcW w:w="1369" w:type="dxa"/>
            <w:noWrap w:val="0"/>
            <w:vAlign w:val="center"/>
          </w:tcPr>
          <w:p w14:paraId="0D222F74">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营业收入</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Y)</w:t>
            </w:r>
          </w:p>
        </w:tc>
        <w:tc>
          <w:tcPr>
            <w:tcW w:w="709" w:type="dxa"/>
            <w:noWrap w:val="0"/>
            <w:vAlign w:val="center"/>
          </w:tcPr>
          <w:p w14:paraId="04D4F567">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125" w:type="dxa"/>
            <w:noWrap w:val="0"/>
            <w:vAlign w:val="center"/>
          </w:tcPr>
          <w:p w14:paraId="365FFF45">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Y≥40000</w:t>
            </w:r>
          </w:p>
        </w:tc>
        <w:tc>
          <w:tcPr>
            <w:tcW w:w="1701" w:type="dxa"/>
            <w:noWrap w:val="0"/>
            <w:vAlign w:val="center"/>
          </w:tcPr>
          <w:p w14:paraId="67FFA2CA">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5000≤Y＜40000</w:t>
            </w:r>
          </w:p>
        </w:tc>
        <w:tc>
          <w:tcPr>
            <w:tcW w:w="1426" w:type="dxa"/>
            <w:noWrap w:val="0"/>
            <w:vAlign w:val="center"/>
          </w:tcPr>
          <w:p w14:paraId="21A07DE4">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hanging="1"/>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1000≤Y＜5000</w:t>
            </w:r>
          </w:p>
        </w:tc>
        <w:tc>
          <w:tcPr>
            <w:tcW w:w="992" w:type="dxa"/>
            <w:noWrap w:val="0"/>
            <w:vAlign w:val="center"/>
          </w:tcPr>
          <w:p w14:paraId="238DB87D">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Y＜1000</w:t>
            </w:r>
          </w:p>
        </w:tc>
      </w:tr>
      <w:tr w14:paraId="23FC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177939B3">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零售业</w:t>
            </w:r>
          </w:p>
        </w:tc>
        <w:tc>
          <w:tcPr>
            <w:tcW w:w="1369" w:type="dxa"/>
            <w:noWrap w:val="0"/>
            <w:vAlign w:val="center"/>
          </w:tcPr>
          <w:p w14:paraId="60179818">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X)</w:t>
            </w:r>
          </w:p>
        </w:tc>
        <w:tc>
          <w:tcPr>
            <w:tcW w:w="709" w:type="dxa"/>
            <w:noWrap w:val="0"/>
            <w:vAlign w:val="center"/>
          </w:tcPr>
          <w:p w14:paraId="7884AA5C">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人</w:t>
            </w:r>
          </w:p>
        </w:tc>
        <w:tc>
          <w:tcPr>
            <w:tcW w:w="1125" w:type="dxa"/>
            <w:noWrap w:val="0"/>
            <w:vAlign w:val="center"/>
          </w:tcPr>
          <w:p w14:paraId="7509081A">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X≥300</w:t>
            </w:r>
          </w:p>
        </w:tc>
        <w:tc>
          <w:tcPr>
            <w:tcW w:w="1701" w:type="dxa"/>
            <w:noWrap w:val="0"/>
            <w:vAlign w:val="center"/>
          </w:tcPr>
          <w:p w14:paraId="220BCE9F">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50≤X＜300</w:t>
            </w:r>
          </w:p>
        </w:tc>
        <w:tc>
          <w:tcPr>
            <w:tcW w:w="1426" w:type="dxa"/>
            <w:noWrap w:val="0"/>
            <w:vAlign w:val="center"/>
          </w:tcPr>
          <w:p w14:paraId="27BA5460">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hanging="1"/>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10≤X＜50 </w:t>
            </w:r>
          </w:p>
        </w:tc>
        <w:tc>
          <w:tcPr>
            <w:tcW w:w="992" w:type="dxa"/>
            <w:noWrap w:val="0"/>
            <w:vAlign w:val="center"/>
          </w:tcPr>
          <w:p w14:paraId="687ADC13">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X＜10</w:t>
            </w:r>
          </w:p>
        </w:tc>
      </w:tr>
      <w:tr w14:paraId="7EF9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1DF351AD">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p>
        </w:tc>
        <w:tc>
          <w:tcPr>
            <w:tcW w:w="1369" w:type="dxa"/>
            <w:noWrap w:val="0"/>
            <w:vAlign w:val="center"/>
          </w:tcPr>
          <w:p w14:paraId="25F84B50">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营业收入</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Y)</w:t>
            </w:r>
          </w:p>
        </w:tc>
        <w:tc>
          <w:tcPr>
            <w:tcW w:w="709" w:type="dxa"/>
            <w:noWrap w:val="0"/>
            <w:vAlign w:val="center"/>
          </w:tcPr>
          <w:p w14:paraId="73D5B1F1">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125" w:type="dxa"/>
            <w:noWrap w:val="0"/>
            <w:vAlign w:val="center"/>
          </w:tcPr>
          <w:p w14:paraId="3600C957">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Y≥20000</w:t>
            </w:r>
          </w:p>
        </w:tc>
        <w:tc>
          <w:tcPr>
            <w:tcW w:w="1701" w:type="dxa"/>
            <w:noWrap w:val="0"/>
            <w:vAlign w:val="center"/>
          </w:tcPr>
          <w:p w14:paraId="371D2C61">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500≤Y＜20000</w:t>
            </w:r>
          </w:p>
        </w:tc>
        <w:tc>
          <w:tcPr>
            <w:tcW w:w="1426" w:type="dxa"/>
            <w:noWrap w:val="0"/>
            <w:vAlign w:val="center"/>
          </w:tcPr>
          <w:p w14:paraId="2CACD467">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hanging="1"/>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100≤Y＜500 </w:t>
            </w:r>
          </w:p>
        </w:tc>
        <w:tc>
          <w:tcPr>
            <w:tcW w:w="992" w:type="dxa"/>
            <w:noWrap w:val="0"/>
            <w:vAlign w:val="center"/>
          </w:tcPr>
          <w:p w14:paraId="28F31C38">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Y＜100</w:t>
            </w:r>
          </w:p>
        </w:tc>
      </w:tr>
      <w:tr w14:paraId="2854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676E045D">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交通运输业 *</w:t>
            </w:r>
          </w:p>
        </w:tc>
        <w:tc>
          <w:tcPr>
            <w:tcW w:w="1369" w:type="dxa"/>
            <w:noWrap w:val="0"/>
            <w:vAlign w:val="center"/>
          </w:tcPr>
          <w:p w14:paraId="3252AFEA">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X)</w:t>
            </w:r>
          </w:p>
        </w:tc>
        <w:tc>
          <w:tcPr>
            <w:tcW w:w="709" w:type="dxa"/>
            <w:noWrap w:val="0"/>
            <w:vAlign w:val="center"/>
          </w:tcPr>
          <w:p w14:paraId="19A1B6F6">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人</w:t>
            </w:r>
          </w:p>
        </w:tc>
        <w:tc>
          <w:tcPr>
            <w:tcW w:w="1125" w:type="dxa"/>
            <w:noWrap w:val="0"/>
            <w:vAlign w:val="center"/>
          </w:tcPr>
          <w:p w14:paraId="66DA692D">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X≥1000</w:t>
            </w:r>
          </w:p>
        </w:tc>
        <w:tc>
          <w:tcPr>
            <w:tcW w:w="1701" w:type="dxa"/>
            <w:noWrap w:val="0"/>
            <w:vAlign w:val="center"/>
          </w:tcPr>
          <w:p w14:paraId="1FAA227D">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300≤X＜1000</w:t>
            </w:r>
          </w:p>
        </w:tc>
        <w:tc>
          <w:tcPr>
            <w:tcW w:w="1426" w:type="dxa"/>
            <w:noWrap w:val="0"/>
            <w:vAlign w:val="center"/>
          </w:tcPr>
          <w:p w14:paraId="2C24F7D6">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20≤X＜300</w:t>
            </w:r>
          </w:p>
        </w:tc>
        <w:tc>
          <w:tcPr>
            <w:tcW w:w="992" w:type="dxa"/>
            <w:noWrap w:val="0"/>
            <w:vAlign w:val="center"/>
          </w:tcPr>
          <w:p w14:paraId="0E0D769C">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X＜20</w:t>
            </w:r>
          </w:p>
        </w:tc>
      </w:tr>
      <w:tr w14:paraId="56DA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10DE3D63">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p>
        </w:tc>
        <w:tc>
          <w:tcPr>
            <w:tcW w:w="1369" w:type="dxa"/>
            <w:noWrap w:val="0"/>
            <w:vAlign w:val="center"/>
          </w:tcPr>
          <w:p w14:paraId="6AC7E928">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营业收入</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Y)</w:t>
            </w:r>
          </w:p>
        </w:tc>
        <w:tc>
          <w:tcPr>
            <w:tcW w:w="709" w:type="dxa"/>
            <w:noWrap w:val="0"/>
            <w:vAlign w:val="center"/>
          </w:tcPr>
          <w:p w14:paraId="3F875967">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125" w:type="dxa"/>
            <w:noWrap w:val="0"/>
            <w:vAlign w:val="center"/>
          </w:tcPr>
          <w:p w14:paraId="24C22CA2">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Y≥30000</w:t>
            </w:r>
          </w:p>
        </w:tc>
        <w:tc>
          <w:tcPr>
            <w:tcW w:w="1701" w:type="dxa"/>
            <w:noWrap w:val="0"/>
            <w:vAlign w:val="center"/>
          </w:tcPr>
          <w:p w14:paraId="7BF544CC">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3000≤Y＜30000</w:t>
            </w:r>
          </w:p>
        </w:tc>
        <w:tc>
          <w:tcPr>
            <w:tcW w:w="1426" w:type="dxa"/>
            <w:noWrap w:val="0"/>
            <w:vAlign w:val="center"/>
          </w:tcPr>
          <w:p w14:paraId="087CB860">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200≤Y＜3000</w:t>
            </w:r>
          </w:p>
        </w:tc>
        <w:tc>
          <w:tcPr>
            <w:tcW w:w="992" w:type="dxa"/>
            <w:noWrap w:val="0"/>
            <w:vAlign w:val="center"/>
          </w:tcPr>
          <w:p w14:paraId="3E0E57EC">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Y＜200</w:t>
            </w:r>
          </w:p>
        </w:tc>
      </w:tr>
      <w:tr w14:paraId="5461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4EF2D559">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仓储业*</w:t>
            </w:r>
          </w:p>
        </w:tc>
        <w:tc>
          <w:tcPr>
            <w:tcW w:w="1369" w:type="dxa"/>
            <w:noWrap w:val="0"/>
            <w:vAlign w:val="center"/>
          </w:tcPr>
          <w:p w14:paraId="4A671034">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X)</w:t>
            </w:r>
          </w:p>
        </w:tc>
        <w:tc>
          <w:tcPr>
            <w:tcW w:w="709" w:type="dxa"/>
            <w:noWrap w:val="0"/>
            <w:vAlign w:val="center"/>
          </w:tcPr>
          <w:p w14:paraId="7545523D">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人</w:t>
            </w:r>
          </w:p>
        </w:tc>
        <w:tc>
          <w:tcPr>
            <w:tcW w:w="1125" w:type="dxa"/>
            <w:noWrap w:val="0"/>
            <w:vAlign w:val="center"/>
          </w:tcPr>
          <w:p w14:paraId="44385675">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X≥200</w:t>
            </w:r>
          </w:p>
        </w:tc>
        <w:tc>
          <w:tcPr>
            <w:tcW w:w="1701" w:type="dxa"/>
            <w:noWrap w:val="0"/>
            <w:vAlign w:val="center"/>
          </w:tcPr>
          <w:p w14:paraId="22A37B47">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144" w:leftChars="0" w:right="0" w:hanging="144" w:hangingChars="6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100≤X＜200</w:t>
            </w:r>
          </w:p>
        </w:tc>
        <w:tc>
          <w:tcPr>
            <w:tcW w:w="1426" w:type="dxa"/>
            <w:noWrap w:val="0"/>
            <w:vAlign w:val="center"/>
          </w:tcPr>
          <w:p w14:paraId="47D3A375">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20≤X＜100</w:t>
            </w:r>
          </w:p>
        </w:tc>
        <w:tc>
          <w:tcPr>
            <w:tcW w:w="992" w:type="dxa"/>
            <w:noWrap w:val="0"/>
            <w:vAlign w:val="center"/>
          </w:tcPr>
          <w:p w14:paraId="2BFDC85A">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X＜20</w:t>
            </w:r>
          </w:p>
        </w:tc>
      </w:tr>
      <w:tr w14:paraId="1C51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14C66B01">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p>
        </w:tc>
        <w:tc>
          <w:tcPr>
            <w:tcW w:w="1369" w:type="dxa"/>
            <w:noWrap w:val="0"/>
            <w:vAlign w:val="center"/>
          </w:tcPr>
          <w:p w14:paraId="5538B650">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营业收入</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Y)</w:t>
            </w:r>
          </w:p>
        </w:tc>
        <w:tc>
          <w:tcPr>
            <w:tcW w:w="709" w:type="dxa"/>
            <w:noWrap w:val="0"/>
            <w:vAlign w:val="center"/>
          </w:tcPr>
          <w:p w14:paraId="24220377">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125" w:type="dxa"/>
            <w:noWrap w:val="0"/>
            <w:vAlign w:val="center"/>
          </w:tcPr>
          <w:p w14:paraId="21D7112B">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Y≥30000</w:t>
            </w:r>
          </w:p>
        </w:tc>
        <w:tc>
          <w:tcPr>
            <w:tcW w:w="1701" w:type="dxa"/>
            <w:noWrap w:val="0"/>
            <w:vAlign w:val="center"/>
          </w:tcPr>
          <w:p w14:paraId="166B0A03">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1000≤Y＜30000</w:t>
            </w:r>
          </w:p>
        </w:tc>
        <w:tc>
          <w:tcPr>
            <w:tcW w:w="1426" w:type="dxa"/>
            <w:noWrap w:val="0"/>
            <w:vAlign w:val="center"/>
          </w:tcPr>
          <w:p w14:paraId="03093075">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100≤Y＜1000</w:t>
            </w:r>
          </w:p>
        </w:tc>
        <w:tc>
          <w:tcPr>
            <w:tcW w:w="992" w:type="dxa"/>
            <w:noWrap w:val="0"/>
            <w:vAlign w:val="center"/>
          </w:tcPr>
          <w:p w14:paraId="64F9DC9C">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Y＜100</w:t>
            </w:r>
          </w:p>
        </w:tc>
      </w:tr>
      <w:tr w14:paraId="4BD2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393FD49A">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邮政业</w:t>
            </w:r>
          </w:p>
        </w:tc>
        <w:tc>
          <w:tcPr>
            <w:tcW w:w="1369" w:type="dxa"/>
            <w:noWrap w:val="0"/>
            <w:vAlign w:val="center"/>
          </w:tcPr>
          <w:p w14:paraId="578CB43D">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X)</w:t>
            </w:r>
          </w:p>
        </w:tc>
        <w:tc>
          <w:tcPr>
            <w:tcW w:w="709" w:type="dxa"/>
            <w:noWrap w:val="0"/>
            <w:vAlign w:val="center"/>
          </w:tcPr>
          <w:p w14:paraId="39B052C1">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人</w:t>
            </w:r>
          </w:p>
        </w:tc>
        <w:tc>
          <w:tcPr>
            <w:tcW w:w="1125" w:type="dxa"/>
            <w:noWrap w:val="0"/>
            <w:vAlign w:val="center"/>
          </w:tcPr>
          <w:p w14:paraId="5CBEFBEB">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X≥1000</w:t>
            </w:r>
          </w:p>
        </w:tc>
        <w:tc>
          <w:tcPr>
            <w:tcW w:w="1701" w:type="dxa"/>
            <w:noWrap w:val="0"/>
            <w:vAlign w:val="center"/>
          </w:tcPr>
          <w:p w14:paraId="59C71B2B">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300≤X＜1000</w:t>
            </w:r>
          </w:p>
        </w:tc>
        <w:tc>
          <w:tcPr>
            <w:tcW w:w="1426" w:type="dxa"/>
            <w:noWrap w:val="0"/>
            <w:vAlign w:val="center"/>
          </w:tcPr>
          <w:p w14:paraId="7A46E6FE">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20≤X＜300</w:t>
            </w:r>
          </w:p>
        </w:tc>
        <w:tc>
          <w:tcPr>
            <w:tcW w:w="992" w:type="dxa"/>
            <w:noWrap w:val="0"/>
            <w:vAlign w:val="center"/>
          </w:tcPr>
          <w:p w14:paraId="3092571C">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X＜20</w:t>
            </w:r>
          </w:p>
        </w:tc>
      </w:tr>
      <w:tr w14:paraId="26E0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0776CC7F">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p>
        </w:tc>
        <w:tc>
          <w:tcPr>
            <w:tcW w:w="1369" w:type="dxa"/>
            <w:noWrap w:val="0"/>
            <w:vAlign w:val="center"/>
          </w:tcPr>
          <w:p w14:paraId="1999BB60">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营业收入</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Y)</w:t>
            </w:r>
          </w:p>
        </w:tc>
        <w:tc>
          <w:tcPr>
            <w:tcW w:w="709" w:type="dxa"/>
            <w:noWrap w:val="0"/>
            <w:vAlign w:val="center"/>
          </w:tcPr>
          <w:p w14:paraId="78E3BE5B">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125" w:type="dxa"/>
            <w:noWrap w:val="0"/>
            <w:vAlign w:val="center"/>
          </w:tcPr>
          <w:p w14:paraId="6996C284">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Y≥30000</w:t>
            </w:r>
          </w:p>
        </w:tc>
        <w:tc>
          <w:tcPr>
            <w:tcW w:w="1701" w:type="dxa"/>
            <w:noWrap w:val="0"/>
            <w:vAlign w:val="center"/>
          </w:tcPr>
          <w:p w14:paraId="6CEB66DE">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2000≤Y＜30000</w:t>
            </w:r>
          </w:p>
        </w:tc>
        <w:tc>
          <w:tcPr>
            <w:tcW w:w="1426" w:type="dxa"/>
            <w:noWrap w:val="0"/>
            <w:vAlign w:val="center"/>
          </w:tcPr>
          <w:p w14:paraId="1325BEED">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100≤Y＜2000</w:t>
            </w:r>
          </w:p>
        </w:tc>
        <w:tc>
          <w:tcPr>
            <w:tcW w:w="992" w:type="dxa"/>
            <w:noWrap w:val="0"/>
            <w:vAlign w:val="center"/>
          </w:tcPr>
          <w:p w14:paraId="2A7DE986">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Y＜100</w:t>
            </w:r>
          </w:p>
        </w:tc>
      </w:tr>
      <w:tr w14:paraId="70E3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55F34714">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住宿业</w:t>
            </w:r>
          </w:p>
        </w:tc>
        <w:tc>
          <w:tcPr>
            <w:tcW w:w="1369" w:type="dxa"/>
            <w:noWrap w:val="0"/>
            <w:vAlign w:val="center"/>
          </w:tcPr>
          <w:p w14:paraId="094915CC">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X)</w:t>
            </w:r>
          </w:p>
        </w:tc>
        <w:tc>
          <w:tcPr>
            <w:tcW w:w="709" w:type="dxa"/>
            <w:noWrap w:val="0"/>
            <w:vAlign w:val="center"/>
          </w:tcPr>
          <w:p w14:paraId="4BC3AF87">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人</w:t>
            </w:r>
          </w:p>
        </w:tc>
        <w:tc>
          <w:tcPr>
            <w:tcW w:w="1125" w:type="dxa"/>
            <w:noWrap w:val="0"/>
            <w:vAlign w:val="center"/>
          </w:tcPr>
          <w:p w14:paraId="64E791B7">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X≥300</w:t>
            </w:r>
          </w:p>
        </w:tc>
        <w:tc>
          <w:tcPr>
            <w:tcW w:w="1701" w:type="dxa"/>
            <w:noWrap w:val="0"/>
            <w:vAlign w:val="center"/>
          </w:tcPr>
          <w:p w14:paraId="00AF506D">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144" w:leftChars="0" w:right="0" w:hanging="144" w:hangingChars="6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100≤X＜300 </w:t>
            </w:r>
          </w:p>
        </w:tc>
        <w:tc>
          <w:tcPr>
            <w:tcW w:w="1426" w:type="dxa"/>
            <w:noWrap w:val="0"/>
            <w:vAlign w:val="center"/>
          </w:tcPr>
          <w:p w14:paraId="06F93282">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10≤X＜100</w:t>
            </w:r>
          </w:p>
        </w:tc>
        <w:tc>
          <w:tcPr>
            <w:tcW w:w="992" w:type="dxa"/>
            <w:noWrap w:val="0"/>
            <w:vAlign w:val="center"/>
          </w:tcPr>
          <w:p w14:paraId="320C0A2D">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X＜10</w:t>
            </w:r>
          </w:p>
        </w:tc>
      </w:tr>
      <w:tr w14:paraId="2B5E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08F20D95">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p>
        </w:tc>
        <w:tc>
          <w:tcPr>
            <w:tcW w:w="1369" w:type="dxa"/>
            <w:noWrap w:val="0"/>
            <w:vAlign w:val="center"/>
          </w:tcPr>
          <w:p w14:paraId="72A7722E">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营业收入</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Y)</w:t>
            </w:r>
          </w:p>
        </w:tc>
        <w:tc>
          <w:tcPr>
            <w:tcW w:w="709" w:type="dxa"/>
            <w:noWrap w:val="0"/>
            <w:vAlign w:val="center"/>
          </w:tcPr>
          <w:p w14:paraId="160F53DF">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125" w:type="dxa"/>
            <w:noWrap w:val="0"/>
            <w:vAlign w:val="center"/>
          </w:tcPr>
          <w:p w14:paraId="7230CD61">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Y≥10000</w:t>
            </w:r>
          </w:p>
        </w:tc>
        <w:tc>
          <w:tcPr>
            <w:tcW w:w="1701" w:type="dxa"/>
            <w:noWrap w:val="0"/>
            <w:vAlign w:val="center"/>
          </w:tcPr>
          <w:p w14:paraId="51CD4514">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2000≤Y＜10000</w:t>
            </w:r>
          </w:p>
        </w:tc>
        <w:tc>
          <w:tcPr>
            <w:tcW w:w="1426" w:type="dxa"/>
            <w:noWrap w:val="0"/>
            <w:vAlign w:val="center"/>
          </w:tcPr>
          <w:p w14:paraId="5548A413">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100≤Y＜2000</w:t>
            </w:r>
          </w:p>
        </w:tc>
        <w:tc>
          <w:tcPr>
            <w:tcW w:w="992" w:type="dxa"/>
            <w:noWrap w:val="0"/>
            <w:vAlign w:val="center"/>
          </w:tcPr>
          <w:p w14:paraId="189AE8CA">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Y＜100</w:t>
            </w:r>
          </w:p>
        </w:tc>
      </w:tr>
      <w:tr w14:paraId="2FEE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19B002BF">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餐饮业</w:t>
            </w:r>
          </w:p>
        </w:tc>
        <w:tc>
          <w:tcPr>
            <w:tcW w:w="1369" w:type="dxa"/>
            <w:noWrap w:val="0"/>
            <w:vAlign w:val="center"/>
          </w:tcPr>
          <w:p w14:paraId="2A7760CB">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X)</w:t>
            </w:r>
          </w:p>
        </w:tc>
        <w:tc>
          <w:tcPr>
            <w:tcW w:w="709" w:type="dxa"/>
            <w:noWrap w:val="0"/>
            <w:vAlign w:val="center"/>
          </w:tcPr>
          <w:p w14:paraId="4440DCE4">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人</w:t>
            </w:r>
          </w:p>
        </w:tc>
        <w:tc>
          <w:tcPr>
            <w:tcW w:w="1125" w:type="dxa"/>
            <w:noWrap w:val="0"/>
            <w:vAlign w:val="center"/>
          </w:tcPr>
          <w:p w14:paraId="1F70A2FD">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X≥300</w:t>
            </w:r>
          </w:p>
        </w:tc>
        <w:tc>
          <w:tcPr>
            <w:tcW w:w="1701" w:type="dxa"/>
            <w:noWrap w:val="0"/>
            <w:vAlign w:val="center"/>
          </w:tcPr>
          <w:p w14:paraId="112102EF">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144" w:leftChars="0" w:right="0" w:hanging="144" w:hangingChars="6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100≤X＜300 </w:t>
            </w:r>
          </w:p>
        </w:tc>
        <w:tc>
          <w:tcPr>
            <w:tcW w:w="1426" w:type="dxa"/>
            <w:noWrap w:val="0"/>
            <w:vAlign w:val="center"/>
          </w:tcPr>
          <w:p w14:paraId="6464D13E">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10≤X＜100</w:t>
            </w:r>
          </w:p>
        </w:tc>
        <w:tc>
          <w:tcPr>
            <w:tcW w:w="992" w:type="dxa"/>
            <w:noWrap w:val="0"/>
            <w:vAlign w:val="center"/>
          </w:tcPr>
          <w:p w14:paraId="074D4F96">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X＜10</w:t>
            </w:r>
          </w:p>
        </w:tc>
      </w:tr>
      <w:tr w14:paraId="385B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464F61BA">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p>
        </w:tc>
        <w:tc>
          <w:tcPr>
            <w:tcW w:w="1369" w:type="dxa"/>
            <w:noWrap w:val="0"/>
            <w:vAlign w:val="center"/>
          </w:tcPr>
          <w:p w14:paraId="3D62F1C8">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营业收入</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Y)</w:t>
            </w:r>
          </w:p>
        </w:tc>
        <w:tc>
          <w:tcPr>
            <w:tcW w:w="709" w:type="dxa"/>
            <w:noWrap w:val="0"/>
            <w:vAlign w:val="center"/>
          </w:tcPr>
          <w:p w14:paraId="4D4EF9A1">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125" w:type="dxa"/>
            <w:noWrap w:val="0"/>
            <w:vAlign w:val="center"/>
          </w:tcPr>
          <w:p w14:paraId="36A0DBDA">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Y≥10000</w:t>
            </w:r>
          </w:p>
        </w:tc>
        <w:tc>
          <w:tcPr>
            <w:tcW w:w="1701" w:type="dxa"/>
            <w:noWrap w:val="0"/>
            <w:vAlign w:val="center"/>
          </w:tcPr>
          <w:p w14:paraId="719031AE">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2000≤Y＜10000</w:t>
            </w:r>
          </w:p>
        </w:tc>
        <w:tc>
          <w:tcPr>
            <w:tcW w:w="1426" w:type="dxa"/>
            <w:noWrap w:val="0"/>
            <w:vAlign w:val="center"/>
          </w:tcPr>
          <w:p w14:paraId="137EF0EA">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100≤Y＜2000</w:t>
            </w:r>
          </w:p>
        </w:tc>
        <w:tc>
          <w:tcPr>
            <w:tcW w:w="992" w:type="dxa"/>
            <w:noWrap w:val="0"/>
            <w:vAlign w:val="center"/>
          </w:tcPr>
          <w:p w14:paraId="5FB7557B">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Y＜100</w:t>
            </w:r>
          </w:p>
        </w:tc>
      </w:tr>
      <w:tr w14:paraId="79C0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1680237B">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信息传输业 *</w:t>
            </w:r>
          </w:p>
        </w:tc>
        <w:tc>
          <w:tcPr>
            <w:tcW w:w="1369" w:type="dxa"/>
            <w:noWrap w:val="0"/>
            <w:vAlign w:val="center"/>
          </w:tcPr>
          <w:p w14:paraId="369D4AC9">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X)</w:t>
            </w:r>
          </w:p>
        </w:tc>
        <w:tc>
          <w:tcPr>
            <w:tcW w:w="709" w:type="dxa"/>
            <w:noWrap w:val="0"/>
            <w:vAlign w:val="center"/>
          </w:tcPr>
          <w:p w14:paraId="4928AC5A">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人</w:t>
            </w:r>
          </w:p>
        </w:tc>
        <w:tc>
          <w:tcPr>
            <w:tcW w:w="1125" w:type="dxa"/>
            <w:noWrap w:val="0"/>
            <w:vAlign w:val="center"/>
          </w:tcPr>
          <w:p w14:paraId="74F14665">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X≥2000</w:t>
            </w:r>
          </w:p>
        </w:tc>
        <w:tc>
          <w:tcPr>
            <w:tcW w:w="1701" w:type="dxa"/>
            <w:noWrap w:val="0"/>
            <w:vAlign w:val="center"/>
          </w:tcPr>
          <w:p w14:paraId="11FE5E0E">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100≤X＜2000</w:t>
            </w:r>
          </w:p>
        </w:tc>
        <w:tc>
          <w:tcPr>
            <w:tcW w:w="1426" w:type="dxa"/>
            <w:noWrap w:val="0"/>
            <w:vAlign w:val="center"/>
          </w:tcPr>
          <w:p w14:paraId="2DCFE03D">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10≤X＜100</w:t>
            </w:r>
          </w:p>
        </w:tc>
        <w:tc>
          <w:tcPr>
            <w:tcW w:w="992" w:type="dxa"/>
            <w:noWrap w:val="0"/>
            <w:vAlign w:val="center"/>
          </w:tcPr>
          <w:p w14:paraId="57F048F7">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X＜10</w:t>
            </w:r>
          </w:p>
        </w:tc>
      </w:tr>
      <w:tr w14:paraId="64B9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6D19F2C0">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p>
        </w:tc>
        <w:tc>
          <w:tcPr>
            <w:tcW w:w="1369" w:type="dxa"/>
            <w:noWrap w:val="0"/>
            <w:vAlign w:val="center"/>
          </w:tcPr>
          <w:p w14:paraId="69FF7E28">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营业收入</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Y)</w:t>
            </w:r>
          </w:p>
        </w:tc>
        <w:tc>
          <w:tcPr>
            <w:tcW w:w="709" w:type="dxa"/>
            <w:noWrap w:val="0"/>
            <w:vAlign w:val="center"/>
          </w:tcPr>
          <w:p w14:paraId="6119DA37">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125" w:type="dxa"/>
            <w:noWrap w:val="0"/>
            <w:vAlign w:val="center"/>
          </w:tcPr>
          <w:p w14:paraId="7705E3EB">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Y≥100000</w:t>
            </w:r>
          </w:p>
        </w:tc>
        <w:tc>
          <w:tcPr>
            <w:tcW w:w="1701" w:type="dxa"/>
            <w:noWrap w:val="0"/>
            <w:vAlign w:val="center"/>
          </w:tcPr>
          <w:p w14:paraId="04EAC3DB">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1000≤Y＜100000</w:t>
            </w:r>
          </w:p>
        </w:tc>
        <w:tc>
          <w:tcPr>
            <w:tcW w:w="1426" w:type="dxa"/>
            <w:noWrap w:val="0"/>
            <w:vAlign w:val="center"/>
          </w:tcPr>
          <w:p w14:paraId="426097C6">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100≤Y＜1000</w:t>
            </w:r>
          </w:p>
        </w:tc>
        <w:tc>
          <w:tcPr>
            <w:tcW w:w="992" w:type="dxa"/>
            <w:noWrap w:val="0"/>
            <w:vAlign w:val="center"/>
          </w:tcPr>
          <w:p w14:paraId="6F209072">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Y＜100</w:t>
            </w:r>
          </w:p>
        </w:tc>
      </w:tr>
      <w:tr w14:paraId="1CDC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06B4B5EE">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软件和信息技术服务业</w:t>
            </w:r>
          </w:p>
        </w:tc>
        <w:tc>
          <w:tcPr>
            <w:tcW w:w="1369" w:type="dxa"/>
            <w:noWrap w:val="0"/>
            <w:vAlign w:val="center"/>
          </w:tcPr>
          <w:p w14:paraId="2DC5C7E3">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X)</w:t>
            </w:r>
          </w:p>
        </w:tc>
        <w:tc>
          <w:tcPr>
            <w:tcW w:w="709" w:type="dxa"/>
            <w:noWrap w:val="0"/>
            <w:vAlign w:val="center"/>
          </w:tcPr>
          <w:p w14:paraId="772023FB">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人</w:t>
            </w:r>
          </w:p>
        </w:tc>
        <w:tc>
          <w:tcPr>
            <w:tcW w:w="1125" w:type="dxa"/>
            <w:noWrap w:val="0"/>
            <w:vAlign w:val="center"/>
          </w:tcPr>
          <w:p w14:paraId="45FFF496">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X≥300</w:t>
            </w:r>
          </w:p>
        </w:tc>
        <w:tc>
          <w:tcPr>
            <w:tcW w:w="1701" w:type="dxa"/>
            <w:noWrap w:val="0"/>
            <w:vAlign w:val="center"/>
          </w:tcPr>
          <w:p w14:paraId="5AD53F7E">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144" w:leftChars="0" w:right="0" w:hanging="144" w:hangingChars="6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100≤X＜300 </w:t>
            </w:r>
          </w:p>
        </w:tc>
        <w:tc>
          <w:tcPr>
            <w:tcW w:w="1426" w:type="dxa"/>
            <w:noWrap w:val="0"/>
            <w:vAlign w:val="center"/>
          </w:tcPr>
          <w:p w14:paraId="02982204">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10≤X＜100</w:t>
            </w:r>
          </w:p>
        </w:tc>
        <w:tc>
          <w:tcPr>
            <w:tcW w:w="992" w:type="dxa"/>
            <w:noWrap w:val="0"/>
            <w:vAlign w:val="center"/>
          </w:tcPr>
          <w:p w14:paraId="725CC6BB">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X＜10</w:t>
            </w:r>
          </w:p>
        </w:tc>
      </w:tr>
      <w:tr w14:paraId="2F35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568ECFAA">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p>
        </w:tc>
        <w:tc>
          <w:tcPr>
            <w:tcW w:w="1369" w:type="dxa"/>
            <w:noWrap w:val="0"/>
            <w:vAlign w:val="center"/>
          </w:tcPr>
          <w:p w14:paraId="2B2861D7">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营业收入</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Y)</w:t>
            </w:r>
          </w:p>
        </w:tc>
        <w:tc>
          <w:tcPr>
            <w:tcW w:w="709" w:type="dxa"/>
            <w:noWrap w:val="0"/>
            <w:vAlign w:val="center"/>
          </w:tcPr>
          <w:p w14:paraId="52D17A20">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125" w:type="dxa"/>
            <w:noWrap w:val="0"/>
            <w:vAlign w:val="center"/>
          </w:tcPr>
          <w:p w14:paraId="64AF460B">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Y≥10000</w:t>
            </w:r>
          </w:p>
        </w:tc>
        <w:tc>
          <w:tcPr>
            <w:tcW w:w="1701" w:type="dxa"/>
            <w:noWrap w:val="0"/>
            <w:vAlign w:val="center"/>
          </w:tcPr>
          <w:p w14:paraId="26D40BED">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1000≤Y＜10000</w:t>
            </w:r>
          </w:p>
        </w:tc>
        <w:tc>
          <w:tcPr>
            <w:tcW w:w="1426" w:type="dxa"/>
            <w:noWrap w:val="0"/>
            <w:vAlign w:val="center"/>
          </w:tcPr>
          <w:p w14:paraId="7A13D4D9">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50≤Y＜1000</w:t>
            </w:r>
          </w:p>
        </w:tc>
        <w:tc>
          <w:tcPr>
            <w:tcW w:w="992" w:type="dxa"/>
            <w:noWrap w:val="0"/>
            <w:vAlign w:val="center"/>
          </w:tcPr>
          <w:p w14:paraId="37193813">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Y＜50</w:t>
            </w:r>
          </w:p>
        </w:tc>
      </w:tr>
      <w:tr w14:paraId="7725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419B04C7">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房地产开发经营</w:t>
            </w:r>
          </w:p>
        </w:tc>
        <w:tc>
          <w:tcPr>
            <w:tcW w:w="1369" w:type="dxa"/>
            <w:noWrap w:val="0"/>
            <w:vAlign w:val="center"/>
          </w:tcPr>
          <w:p w14:paraId="14212065">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营业收入</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Y)</w:t>
            </w:r>
          </w:p>
        </w:tc>
        <w:tc>
          <w:tcPr>
            <w:tcW w:w="709" w:type="dxa"/>
            <w:noWrap w:val="0"/>
            <w:vAlign w:val="center"/>
          </w:tcPr>
          <w:p w14:paraId="5980507E">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125" w:type="dxa"/>
            <w:noWrap w:val="0"/>
            <w:vAlign w:val="center"/>
          </w:tcPr>
          <w:p w14:paraId="621BFC92">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Y≥200000</w:t>
            </w:r>
          </w:p>
        </w:tc>
        <w:tc>
          <w:tcPr>
            <w:tcW w:w="1701" w:type="dxa"/>
            <w:noWrap w:val="0"/>
            <w:vAlign w:val="center"/>
          </w:tcPr>
          <w:p w14:paraId="2161C145">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1000≤Y＜200000</w:t>
            </w:r>
          </w:p>
        </w:tc>
        <w:tc>
          <w:tcPr>
            <w:tcW w:w="1426" w:type="dxa"/>
            <w:noWrap w:val="0"/>
            <w:vAlign w:val="center"/>
          </w:tcPr>
          <w:p w14:paraId="237A921B">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100≤Y＜1000</w:t>
            </w:r>
          </w:p>
        </w:tc>
        <w:tc>
          <w:tcPr>
            <w:tcW w:w="992" w:type="dxa"/>
            <w:noWrap w:val="0"/>
            <w:vAlign w:val="center"/>
          </w:tcPr>
          <w:p w14:paraId="650C4007">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Y＜100</w:t>
            </w:r>
          </w:p>
        </w:tc>
      </w:tr>
      <w:tr w14:paraId="30A7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137A2715">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p>
        </w:tc>
        <w:tc>
          <w:tcPr>
            <w:tcW w:w="1369" w:type="dxa"/>
            <w:noWrap w:val="0"/>
            <w:vAlign w:val="center"/>
          </w:tcPr>
          <w:p w14:paraId="43AEDDC8">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资产总额</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Z)</w:t>
            </w:r>
          </w:p>
        </w:tc>
        <w:tc>
          <w:tcPr>
            <w:tcW w:w="709" w:type="dxa"/>
            <w:noWrap w:val="0"/>
            <w:vAlign w:val="center"/>
          </w:tcPr>
          <w:p w14:paraId="76E9DEA1">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125" w:type="dxa"/>
            <w:noWrap w:val="0"/>
            <w:vAlign w:val="center"/>
          </w:tcPr>
          <w:p w14:paraId="14F00CB2">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Z≥10000</w:t>
            </w:r>
          </w:p>
        </w:tc>
        <w:tc>
          <w:tcPr>
            <w:tcW w:w="1701" w:type="dxa"/>
            <w:noWrap w:val="0"/>
            <w:vAlign w:val="center"/>
          </w:tcPr>
          <w:p w14:paraId="77C6ADF5">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5000≤Z＜10000</w:t>
            </w:r>
          </w:p>
        </w:tc>
        <w:tc>
          <w:tcPr>
            <w:tcW w:w="1426" w:type="dxa"/>
            <w:noWrap w:val="0"/>
            <w:vAlign w:val="center"/>
          </w:tcPr>
          <w:p w14:paraId="07CF43CB">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2000≤Z＜5000</w:t>
            </w:r>
          </w:p>
        </w:tc>
        <w:tc>
          <w:tcPr>
            <w:tcW w:w="992" w:type="dxa"/>
            <w:noWrap w:val="0"/>
            <w:vAlign w:val="center"/>
          </w:tcPr>
          <w:p w14:paraId="51F2CC14">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Z＜2000</w:t>
            </w:r>
          </w:p>
        </w:tc>
      </w:tr>
      <w:tr w14:paraId="3A40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4B938B61">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物业管理</w:t>
            </w:r>
          </w:p>
        </w:tc>
        <w:tc>
          <w:tcPr>
            <w:tcW w:w="1369" w:type="dxa"/>
            <w:noWrap w:val="0"/>
            <w:vAlign w:val="center"/>
          </w:tcPr>
          <w:p w14:paraId="2CFFC9CA">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X)</w:t>
            </w:r>
          </w:p>
        </w:tc>
        <w:tc>
          <w:tcPr>
            <w:tcW w:w="709" w:type="dxa"/>
            <w:noWrap w:val="0"/>
            <w:vAlign w:val="center"/>
          </w:tcPr>
          <w:p w14:paraId="708E63C7">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人</w:t>
            </w:r>
          </w:p>
        </w:tc>
        <w:tc>
          <w:tcPr>
            <w:tcW w:w="1125" w:type="dxa"/>
            <w:noWrap w:val="0"/>
            <w:vAlign w:val="center"/>
          </w:tcPr>
          <w:p w14:paraId="37D1CE74">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X≥1000</w:t>
            </w:r>
          </w:p>
        </w:tc>
        <w:tc>
          <w:tcPr>
            <w:tcW w:w="1701" w:type="dxa"/>
            <w:noWrap w:val="0"/>
            <w:vAlign w:val="center"/>
          </w:tcPr>
          <w:p w14:paraId="38D7865A">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300≤X＜1000</w:t>
            </w:r>
          </w:p>
        </w:tc>
        <w:tc>
          <w:tcPr>
            <w:tcW w:w="1426" w:type="dxa"/>
            <w:noWrap w:val="0"/>
            <w:vAlign w:val="center"/>
          </w:tcPr>
          <w:p w14:paraId="576DDB21">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100≤X＜300</w:t>
            </w:r>
          </w:p>
        </w:tc>
        <w:tc>
          <w:tcPr>
            <w:tcW w:w="992" w:type="dxa"/>
            <w:noWrap w:val="0"/>
            <w:vAlign w:val="center"/>
          </w:tcPr>
          <w:p w14:paraId="4D3261A9">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X＜100</w:t>
            </w:r>
          </w:p>
        </w:tc>
      </w:tr>
      <w:tr w14:paraId="2B01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71E168C2">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p>
        </w:tc>
        <w:tc>
          <w:tcPr>
            <w:tcW w:w="1369" w:type="dxa"/>
            <w:noWrap w:val="0"/>
            <w:vAlign w:val="center"/>
          </w:tcPr>
          <w:p w14:paraId="6B730943">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营业收入</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Y)</w:t>
            </w:r>
          </w:p>
        </w:tc>
        <w:tc>
          <w:tcPr>
            <w:tcW w:w="709" w:type="dxa"/>
            <w:noWrap w:val="0"/>
            <w:vAlign w:val="center"/>
          </w:tcPr>
          <w:p w14:paraId="74497631">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125" w:type="dxa"/>
            <w:noWrap w:val="0"/>
            <w:vAlign w:val="center"/>
          </w:tcPr>
          <w:p w14:paraId="7DEA759C">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Y≥5000</w:t>
            </w:r>
          </w:p>
        </w:tc>
        <w:tc>
          <w:tcPr>
            <w:tcW w:w="1701" w:type="dxa"/>
            <w:noWrap w:val="0"/>
            <w:vAlign w:val="center"/>
          </w:tcPr>
          <w:p w14:paraId="5D45C0E2">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144" w:leftChars="0" w:right="0" w:hanging="144" w:hangingChars="6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1000≤Y＜5000 </w:t>
            </w:r>
          </w:p>
        </w:tc>
        <w:tc>
          <w:tcPr>
            <w:tcW w:w="1426" w:type="dxa"/>
            <w:noWrap w:val="0"/>
            <w:vAlign w:val="center"/>
          </w:tcPr>
          <w:p w14:paraId="238A91DD">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500≤Y＜1000</w:t>
            </w:r>
          </w:p>
        </w:tc>
        <w:tc>
          <w:tcPr>
            <w:tcW w:w="992" w:type="dxa"/>
            <w:noWrap w:val="0"/>
            <w:vAlign w:val="center"/>
          </w:tcPr>
          <w:p w14:paraId="5FAFC504">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Y＜500</w:t>
            </w:r>
          </w:p>
        </w:tc>
      </w:tr>
      <w:tr w14:paraId="3F5E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0C7E184E">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租赁和商务服务业</w:t>
            </w:r>
          </w:p>
        </w:tc>
        <w:tc>
          <w:tcPr>
            <w:tcW w:w="1369" w:type="dxa"/>
            <w:noWrap w:val="0"/>
            <w:vAlign w:val="center"/>
          </w:tcPr>
          <w:p w14:paraId="5D494DBA">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X)</w:t>
            </w:r>
          </w:p>
        </w:tc>
        <w:tc>
          <w:tcPr>
            <w:tcW w:w="709" w:type="dxa"/>
            <w:noWrap w:val="0"/>
            <w:vAlign w:val="center"/>
          </w:tcPr>
          <w:p w14:paraId="5B2371F3">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人</w:t>
            </w:r>
          </w:p>
        </w:tc>
        <w:tc>
          <w:tcPr>
            <w:tcW w:w="1125" w:type="dxa"/>
            <w:noWrap w:val="0"/>
            <w:vAlign w:val="center"/>
          </w:tcPr>
          <w:p w14:paraId="2C657F75">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X≥300</w:t>
            </w:r>
          </w:p>
        </w:tc>
        <w:tc>
          <w:tcPr>
            <w:tcW w:w="1701" w:type="dxa"/>
            <w:noWrap w:val="0"/>
            <w:vAlign w:val="center"/>
          </w:tcPr>
          <w:p w14:paraId="08896AAD">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144" w:leftChars="0" w:right="0" w:hanging="144" w:hangingChars="6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100≤X＜300 </w:t>
            </w:r>
          </w:p>
        </w:tc>
        <w:tc>
          <w:tcPr>
            <w:tcW w:w="1426" w:type="dxa"/>
            <w:noWrap w:val="0"/>
            <w:vAlign w:val="center"/>
          </w:tcPr>
          <w:p w14:paraId="4D165E46">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10≤X＜100</w:t>
            </w:r>
          </w:p>
        </w:tc>
        <w:tc>
          <w:tcPr>
            <w:tcW w:w="992" w:type="dxa"/>
            <w:noWrap w:val="0"/>
            <w:vAlign w:val="center"/>
          </w:tcPr>
          <w:p w14:paraId="04C59905">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X＜10</w:t>
            </w:r>
          </w:p>
        </w:tc>
      </w:tr>
      <w:tr w14:paraId="4451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52208C03">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p>
        </w:tc>
        <w:tc>
          <w:tcPr>
            <w:tcW w:w="1369" w:type="dxa"/>
            <w:noWrap w:val="0"/>
            <w:vAlign w:val="center"/>
          </w:tcPr>
          <w:p w14:paraId="1A9A8F5A">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资产总额</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Z)</w:t>
            </w:r>
          </w:p>
        </w:tc>
        <w:tc>
          <w:tcPr>
            <w:tcW w:w="709" w:type="dxa"/>
            <w:noWrap w:val="0"/>
            <w:vAlign w:val="center"/>
          </w:tcPr>
          <w:p w14:paraId="48A73D01">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万元</w:t>
            </w:r>
          </w:p>
        </w:tc>
        <w:tc>
          <w:tcPr>
            <w:tcW w:w="1125" w:type="dxa"/>
            <w:noWrap w:val="0"/>
            <w:vAlign w:val="center"/>
          </w:tcPr>
          <w:p w14:paraId="2ED3BC28">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Z≥120000</w:t>
            </w:r>
          </w:p>
        </w:tc>
        <w:tc>
          <w:tcPr>
            <w:tcW w:w="1701" w:type="dxa"/>
            <w:noWrap w:val="0"/>
            <w:vAlign w:val="center"/>
          </w:tcPr>
          <w:p w14:paraId="595B31A5">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8000≤Z＜120000</w:t>
            </w:r>
          </w:p>
        </w:tc>
        <w:tc>
          <w:tcPr>
            <w:tcW w:w="1426" w:type="dxa"/>
            <w:noWrap w:val="0"/>
            <w:vAlign w:val="center"/>
          </w:tcPr>
          <w:p w14:paraId="4F57C03B">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100≤Z＜8000</w:t>
            </w:r>
          </w:p>
        </w:tc>
        <w:tc>
          <w:tcPr>
            <w:tcW w:w="992" w:type="dxa"/>
            <w:noWrap w:val="0"/>
            <w:vAlign w:val="center"/>
          </w:tcPr>
          <w:p w14:paraId="1D5F6BA2">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Z＜100</w:t>
            </w:r>
          </w:p>
        </w:tc>
      </w:tr>
      <w:tr w14:paraId="4C7B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noWrap w:val="0"/>
            <w:vAlign w:val="center"/>
          </w:tcPr>
          <w:p w14:paraId="77D3E445">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其他未列明行业*</w:t>
            </w:r>
          </w:p>
        </w:tc>
        <w:tc>
          <w:tcPr>
            <w:tcW w:w="1369" w:type="dxa"/>
            <w:noWrap w:val="0"/>
            <w:vAlign w:val="center"/>
          </w:tcPr>
          <w:p w14:paraId="03D856F0">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从业人员</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X)</w:t>
            </w:r>
          </w:p>
        </w:tc>
        <w:tc>
          <w:tcPr>
            <w:tcW w:w="709" w:type="dxa"/>
            <w:noWrap w:val="0"/>
            <w:vAlign w:val="center"/>
          </w:tcPr>
          <w:p w14:paraId="55920927">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人</w:t>
            </w:r>
          </w:p>
        </w:tc>
        <w:tc>
          <w:tcPr>
            <w:tcW w:w="1125" w:type="dxa"/>
            <w:noWrap w:val="0"/>
            <w:vAlign w:val="center"/>
          </w:tcPr>
          <w:p w14:paraId="3B2A2A9C">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X≥300</w:t>
            </w:r>
          </w:p>
        </w:tc>
        <w:tc>
          <w:tcPr>
            <w:tcW w:w="1701" w:type="dxa"/>
            <w:noWrap w:val="0"/>
            <w:vAlign w:val="center"/>
          </w:tcPr>
          <w:p w14:paraId="6895ADE9">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144" w:leftChars="0" w:right="0" w:hanging="144" w:hangingChars="6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100≤X＜300 </w:t>
            </w:r>
          </w:p>
        </w:tc>
        <w:tc>
          <w:tcPr>
            <w:tcW w:w="1426" w:type="dxa"/>
            <w:noWrap w:val="0"/>
            <w:vAlign w:val="center"/>
          </w:tcPr>
          <w:p w14:paraId="08683137">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10≤X＜100</w:t>
            </w:r>
          </w:p>
        </w:tc>
        <w:tc>
          <w:tcPr>
            <w:tcW w:w="992" w:type="dxa"/>
            <w:noWrap w:val="0"/>
            <w:vAlign w:val="center"/>
          </w:tcPr>
          <w:p w14:paraId="4332713A">
            <w:pPr>
              <w:keepNext w:val="0"/>
              <w:keepLines w:val="0"/>
              <w:pageBreakBefore w:val="0"/>
              <w:widowControl/>
              <w:suppressLineNumbers w:val="0"/>
              <w:kinsoku/>
              <w:wordWrap w:val="0"/>
              <w:overflowPunct/>
              <w:topLinePunct w:val="0"/>
              <w:autoSpaceDE w:val="0"/>
              <w:autoSpaceDN w:val="0"/>
              <w:bidi w:val="0"/>
              <w:adjustRightInd w:val="0"/>
              <w:snapToGrid w:val="0"/>
              <w:spacing w:before="0" w:beforeLines="20" w:beforeAutospacing="0" w:after="0" w:afterLines="20" w:afterAutospacing="0" w:line="360" w:lineRule="auto"/>
              <w:ind w:left="0" w:leftChars="0" w:right="0" w:firstLine="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X＜10</w:t>
            </w:r>
          </w:p>
        </w:tc>
      </w:tr>
    </w:tbl>
    <w:p w14:paraId="17BAE98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说明：</w:t>
      </w:r>
    </w:p>
    <w:p w14:paraId="491895F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1.大型、中型和小型企业须同时满足所列指标的下限，否则下划一档；微型企业只须满足所列指标中的一项即可。</w:t>
      </w:r>
    </w:p>
    <w:p w14:paraId="5C5D34D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CD4B9E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FEF819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textAlignment w:val="baseline"/>
        <w:rPr>
          <w:rFonts w:hint="eastAsia" w:ascii="宋体" w:hAnsi="宋体" w:eastAsia="宋体" w:cs="宋体"/>
          <w:color w:val="auto"/>
          <w:spacing w:val="0"/>
          <w:sz w:val="24"/>
          <w:highlight w:val="none"/>
        </w:rPr>
      </w:pPr>
    </w:p>
    <w:p w14:paraId="64324A3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4B3FF28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6690011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173C29B7">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1878828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349551E5">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67C0EDB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2CA547D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7A05F93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11B3F00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43B1E51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5B376E8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6028F14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3D693CBB">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6A9FCA1E">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01FA23C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595959D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5DE402F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29244CF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583819E1">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0C212D74">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652C96D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6946B01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13C32AA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7FCB7908">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1B5CEDB2">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49CEDBFD">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jc w:val="center"/>
        <w:textAlignment w:val="baseline"/>
        <w:rPr>
          <w:rFonts w:hint="eastAsia" w:ascii="宋体" w:hAnsi="宋体" w:eastAsia="宋体" w:cs="宋体"/>
          <w:color w:val="auto"/>
          <w:spacing w:val="0"/>
          <w:sz w:val="21"/>
          <w:szCs w:val="21"/>
          <w:highlight w:val="none"/>
        </w:rPr>
      </w:pPr>
    </w:p>
    <w:p w14:paraId="6FD24D04">
      <w:pPr>
        <w:pageBreakBefore w:val="0"/>
        <w:widowControl/>
        <w:kinsoku/>
        <w:wordWrap w:val="0"/>
        <w:overflowPunct/>
        <w:topLinePunct w:val="0"/>
        <w:autoSpaceDE w:val="0"/>
        <w:autoSpaceDN w:val="0"/>
        <w:bidi w:val="0"/>
        <w:adjustRightInd w:val="0"/>
        <w:snapToGrid w:val="0"/>
        <w:spacing w:before="0" w:beforeLines="20" w:after="0" w:afterLines="20" w:line="360" w:lineRule="auto"/>
        <w:ind w:right="0"/>
        <w:jc w:val="center"/>
        <w:textAlignment w:val="baseline"/>
        <w:rPr>
          <w:rFonts w:hint="eastAsia" w:ascii="宋体" w:hAnsi="宋体" w:eastAsia="宋体" w:cs="宋体"/>
          <w:b/>
          <w:bCs w:val="0"/>
          <w:snapToGrid w:val="0"/>
          <w:color w:val="auto"/>
          <w:spacing w:val="0"/>
          <w:sz w:val="28"/>
          <w:szCs w:val="28"/>
          <w:highlight w:val="none"/>
          <w:lang w:val="zh-CN" w:eastAsia="zh-CN"/>
        </w:rPr>
      </w:pPr>
      <w:r>
        <w:rPr>
          <w:rFonts w:hint="eastAsia" w:ascii="宋体" w:hAnsi="宋体" w:eastAsia="宋体" w:cs="宋体"/>
          <w:b/>
          <w:bCs w:val="0"/>
          <w:snapToGrid w:val="0"/>
          <w:color w:val="auto"/>
          <w:spacing w:val="0"/>
          <w:sz w:val="28"/>
          <w:szCs w:val="28"/>
          <w:highlight w:val="none"/>
          <w:lang w:val="zh-CN" w:eastAsia="zh-CN"/>
        </w:rPr>
        <w:t>《统计上大中小微型企业划分办法（2017）》修订说明</w:t>
      </w:r>
    </w:p>
    <w:p w14:paraId="080B6B99">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p>
    <w:p w14:paraId="1AF0C2FA">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一、修订背景</w:t>
      </w:r>
    </w:p>
    <w:p w14:paraId="62139FCC">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2C80DDBF">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0EAD4A6">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二、修订主要内容</w:t>
      </w:r>
    </w:p>
    <w:p w14:paraId="37BAD90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本次修订是在2011年《统计上大中小微型企业划分办法》基础上进行的，修订延续原有的分类原则、方法和结构框架，在保持适用范围不变的情况下,依据标准由《国民经济行业分类》（GB/T4754—2011）修改为《国民经济行业分类》（GB/T 4754—2017），并根据新旧国民经济行业的对应关系，进行了行业所包含类别的对应调整。</w:t>
      </w:r>
    </w:p>
    <w:p w14:paraId="7D7D7AB0">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jc w:val="left"/>
        <w:textAlignment w:val="baseline"/>
        <w:rPr>
          <w:rFonts w:hint="eastAsia" w:ascii="宋体" w:hAnsi="宋体" w:eastAsia="宋体" w:cs="宋体"/>
          <w:bCs/>
          <w:snapToGrid w:val="0"/>
          <w:color w:val="auto"/>
          <w:spacing w:val="0"/>
          <w:sz w:val="24"/>
          <w:szCs w:val="24"/>
          <w:highlight w:val="none"/>
          <w:lang w:val="zh-CN" w:eastAsia="zh-CN"/>
        </w:rPr>
      </w:pPr>
      <w:r>
        <w:rPr>
          <w:rFonts w:hint="eastAsia" w:ascii="宋体" w:hAnsi="宋体" w:eastAsia="宋体" w:cs="宋体"/>
          <w:bCs/>
          <w:snapToGrid w:val="0"/>
          <w:color w:val="auto"/>
          <w:spacing w:val="0"/>
          <w:sz w:val="24"/>
          <w:szCs w:val="24"/>
          <w:highlight w:val="none"/>
          <w:lang w:val="zh-CN" w:eastAsia="zh-CN"/>
        </w:rPr>
        <w:t>将交通运输业中包括的“装卸搬运和运输代理业”修改为“多式联运和运输代理业、装卸搬运”。</w:t>
      </w:r>
    </w:p>
    <w:p w14:paraId="32F69DE3">
      <w:pPr>
        <w:pageBreakBefore w:val="0"/>
        <w:widowControl/>
        <w:kinsoku/>
        <w:wordWrap w:val="0"/>
        <w:overflowPunct/>
        <w:topLinePunct w:val="0"/>
        <w:autoSpaceDE w:val="0"/>
        <w:autoSpaceDN w:val="0"/>
        <w:bidi w:val="0"/>
        <w:adjustRightInd w:val="0"/>
        <w:snapToGrid w:val="0"/>
        <w:spacing w:before="0" w:beforeLines="20" w:after="0" w:afterLines="20" w:line="360" w:lineRule="auto"/>
        <w:ind w:left="0" w:leftChars="0" w:right="0" w:firstLine="480" w:firstLineChars="200"/>
        <w:textAlignment w:val="baseline"/>
        <w:outlineLvl w:val="0"/>
        <w:rPr>
          <w:rFonts w:hint="eastAsia" w:ascii="宋体" w:hAnsi="宋体" w:eastAsia="宋体" w:cs="宋体"/>
          <w:color w:val="auto"/>
          <w:spacing w:val="0"/>
          <w:sz w:val="24"/>
          <w:szCs w:val="24"/>
          <w:highlight w:val="none"/>
        </w:rPr>
      </w:pPr>
      <w:bookmarkStart w:id="432" w:name="_Toc5711"/>
      <w:bookmarkStart w:id="433" w:name="_Toc17261"/>
      <w:bookmarkStart w:id="434" w:name="_Toc26242"/>
      <w:r>
        <w:rPr>
          <w:rFonts w:hint="eastAsia" w:ascii="宋体" w:hAnsi="宋体" w:eastAsia="宋体" w:cs="宋体"/>
          <w:bCs/>
          <w:snapToGrid w:val="0"/>
          <w:color w:val="auto"/>
          <w:spacing w:val="0"/>
          <w:sz w:val="24"/>
          <w:szCs w:val="24"/>
          <w:highlight w:val="none"/>
          <w:lang w:val="zh-CN" w:eastAsia="zh-CN"/>
        </w:rPr>
        <w:t>仓储业所包括的行业种类，根据《国民经济行业分类》（GB/T 4754—2017）调整为“通用仓储，低温仓储，危险品仓储，谷物、棉花等农产品仓储，中药材仓储和其他仓储业”。</w:t>
      </w:r>
      <w:bookmarkEnd w:id="432"/>
      <w:bookmarkEnd w:id="433"/>
      <w:bookmarkEnd w:id="434"/>
    </w:p>
    <w:sectPr>
      <w:footerReference r:id="rId30" w:type="default"/>
      <w:pgSz w:w="11906" w:h="16839"/>
      <w:pgMar w:top="1440" w:right="1080" w:bottom="1440" w:left="1080" w:header="0"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54E7A">
    <w:pPr>
      <w:spacing w:line="176" w:lineRule="auto"/>
      <w:ind w:left="4701"/>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85B83">
    <w:pPr>
      <w:spacing w:line="176" w:lineRule="auto"/>
      <w:ind w:left="44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F1F04">
                          <w:pPr>
                            <w:pStyle w:val="1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2CAF1F04">
                    <w:pPr>
                      <w:pStyle w:val="1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A51DD">
    <w:pPr>
      <w:spacing w:line="176" w:lineRule="auto"/>
      <w:ind w:left="46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53A3B">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F553A3B">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54767">
    <w:pPr>
      <w:spacing w:line="173" w:lineRule="auto"/>
      <w:ind w:left="46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5EF2">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73945EF2">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3429A">
    <w:pPr>
      <w:spacing w:line="176" w:lineRule="auto"/>
      <w:ind w:left="46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712CA">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32C712CA">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8051">
    <w:pPr>
      <w:spacing w:line="176" w:lineRule="auto"/>
      <w:ind w:left="46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2B794">
                          <w:pPr>
                            <w:pStyle w:val="1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1EE2B794">
                    <w:pPr>
                      <w:pStyle w:val="1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366CF">
    <w:pPr>
      <w:spacing w:line="176" w:lineRule="auto"/>
      <w:ind w:left="45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B8306">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4F8B8306">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86F1D">
    <w:pPr>
      <w:spacing w:line="176" w:lineRule="auto"/>
      <w:ind w:left="45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42B1B">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9D42B1B">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F47F1">
    <w:pPr>
      <w:spacing w:line="176" w:lineRule="auto"/>
      <w:ind w:left="45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E5CE7">
                          <w:pPr>
                            <w:pStyle w:val="1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226E5CE7">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98ECE">
    <w:pPr>
      <w:spacing w:line="176" w:lineRule="auto"/>
      <w:ind w:left="45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A84A8">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33BA84A8">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F4234">
    <w:pPr>
      <w:spacing w:line="176" w:lineRule="auto"/>
      <w:ind w:left="46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5FED5">
                          <w:pPr>
                            <w:pStyle w:val="1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0D35FED5">
                    <w:pPr>
                      <w:pStyle w:val="1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8D3BD">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B8CF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2ECB8CF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68869">
    <w:pPr>
      <w:spacing w:line="176" w:lineRule="auto"/>
      <w:ind w:left="46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14E6C">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71D14E6C">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39CBC">
    <w:pPr>
      <w:spacing w:line="176" w:lineRule="auto"/>
      <w:ind w:left="45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A37E2">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323A37E2">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77E8C">
    <w:pPr>
      <w:spacing w:line="176"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B5342">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31AB5342">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F03B9">
    <w:pPr>
      <w:spacing w:line="176"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F3040">
                          <w:pPr>
                            <w:pStyle w:val="1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5B0F3040">
                    <w:pPr>
                      <w:pStyle w:val="1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3C270">
    <w:pPr>
      <w:spacing w:line="176" w:lineRule="auto"/>
      <w:ind w:left="44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1E32D">
                          <w:pPr>
                            <w:pStyle w:val="1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2561E32D">
                    <w:pPr>
                      <w:pStyle w:val="1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2B406">
    <w:pPr>
      <w:spacing w:line="176" w:lineRule="auto"/>
      <w:ind w:left="44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D3752">
                          <w:pPr>
                            <w:pStyle w:val="10"/>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5D6D3752">
                    <w:pPr>
                      <w:pStyle w:val="10"/>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46068">
    <w:pPr>
      <w:spacing w:line="176" w:lineRule="auto"/>
      <w:ind w:left="45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156DC">
                          <w:pPr>
                            <w:pStyle w:val="10"/>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433156DC">
                    <w:pPr>
                      <w:pStyle w:val="10"/>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461EF">
    <w:pPr>
      <w:spacing w:line="173"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17FF0">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8E17FF0">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BE8DA">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F47C6">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37F47C6">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CA367">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36C77">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5B936C77">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2F450">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0FB17">
                          <w:pPr>
                            <w:pStyle w:val="1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30F0FB17">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BA0B">
    <w:pPr>
      <w:spacing w:line="176" w:lineRule="auto"/>
      <w:ind w:left="44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84791">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05E84791">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1462F">
    <w:pPr>
      <w:spacing w:line="176" w:lineRule="auto"/>
      <w:ind w:left="46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E4732">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6F4E4732">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2EA3">
    <w:pPr>
      <w:spacing w:line="176" w:lineRule="auto"/>
      <w:ind w:left="46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F5AEF">
                          <w:pPr>
                            <w:pStyle w:val="1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758F5AEF">
                    <w:pPr>
                      <w:pStyle w:val="1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AzOTFhNDAxMTRhM2M4Yzg4YmVhOGFkMDBmNzdlN2QifQ=="/>
  </w:docVars>
  <w:rsids>
    <w:rsidRoot w:val="00000000"/>
    <w:rsid w:val="00092509"/>
    <w:rsid w:val="005C6ADC"/>
    <w:rsid w:val="0071020B"/>
    <w:rsid w:val="00CE006A"/>
    <w:rsid w:val="017E6F26"/>
    <w:rsid w:val="021B2B71"/>
    <w:rsid w:val="02C1752C"/>
    <w:rsid w:val="034740A2"/>
    <w:rsid w:val="037B54CB"/>
    <w:rsid w:val="03B94246"/>
    <w:rsid w:val="03E12F49"/>
    <w:rsid w:val="03F90AE6"/>
    <w:rsid w:val="041201CF"/>
    <w:rsid w:val="043D09D3"/>
    <w:rsid w:val="04846A80"/>
    <w:rsid w:val="04AB0712"/>
    <w:rsid w:val="059D0610"/>
    <w:rsid w:val="060B77B7"/>
    <w:rsid w:val="06316315"/>
    <w:rsid w:val="064B31D3"/>
    <w:rsid w:val="06F573F1"/>
    <w:rsid w:val="073B21BC"/>
    <w:rsid w:val="0742172F"/>
    <w:rsid w:val="07A72EEE"/>
    <w:rsid w:val="07C00A58"/>
    <w:rsid w:val="080D0C0C"/>
    <w:rsid w:val="082425D6"/>
    <w:rsid w:val="082F2D28"/>
    <w:rsid w:val="08422A5C"/>
    <w:rsid w:val="08D505E6"/>
    <w:rsid w:val="09480230"/>
    <w:rsid w:val="094F7EEF"/>
    <w:rsid w:val="0A3509DE"/>
    <w:rsid w:val="0A624962"/>
    <w:rsid w:val="0A805070"/>
    <w:rsid w:val="0B503EF0"/>
    <w:rsid w:val="0C14470F"/>
    <w:rsid w:val="0CA17E5F"/>
    <w:rsid w:val="0CA27F6D"/>
    <w:rsid w:val="0CAD5B6F"/>
    <w:rsid w:val="0CDE0FAD"/>
    <w:rsid w:val="0D20037A"/>
    <w:rsid w:val="0D2C66E8"/>
    <w:rsid w:val="0D8A4A23"/>
    <w:rsid w:val="0DCC5EB8"/>
    <w:rsid w:val="0DF50570"/>
    <w:rsid w:val="0E3B7B03"/>
    <w:rsid w:val="0E7B00FB"/>
    <w:rsid w:val="0E934402"/>
    <w:rsid w:val="0FA91612"/>
    <w:rsid w:val="0FCF1D58"/>
    <w:rsid w:val="10894C2E"/>
    <w:rsid w:val="10BE03C5"/>
    <w:rsid w:val="114B17C9"/>
    <w:rsid w:val="11BA5C2E"/>
    <w:rsid w:val="12495049"/>
    <w:rsid w:val="12F17A0D"/>
    <w:rsid w:val="13037AFF"/>
    <w:rsid w:val="139B1B3C"/>
    <w:rsid w:val="13E7048F"/>
    <w:rsid w:val="14A800EA"/>
    <w:rsid w:val="15842CA4"/>
    <w:rsid w:val="166D135D"/>
    <w:rsid w:val="1673767D"/>
    <w:rsid w:val="171F3B96"/>
    <w:rsid w:val="1726254C"/>
    <w:rsid w:val="177B159F"/>
    <w:rsid w:val="17BE23F0"/>
    <w:rsid w:val="17E214C0"/>
    <w:rsid w:val="17FF44C5"/>
    <w:rsid w:val="18B20495"/>
    <w:rsid w:val="18F74FD6"/>
    <w:rsid w:val="194B373A"/>
    <w:rsid w:val="19CE069F"/>
    <w:rsid w:val="1A253366"/>
    <w:rsid w:val="1A405DBE"/>
    <w:rsid w:val="1A49035C"/>
    <w:rsid w:val="1A6146E8"/>
    <w:rsid w:val="1A693E78"/>
    <w:rsid w:val="1AF8344E"/>
    <w:rsid w:val="1BE00BFA"/>
    <w:rsid w:val="1BFA7804"/>
    <w:rsid w:val="1C80524F"/>
    <w:rsid w:val="1C8F393E"/>
    <w:rsid w:val="1D1B676C"/>
    <w:rsid w:val="1D4B24DF"/>
    <w:rsid w:val="1D577AB5"/>
    <w:rsid w:val="1D8A4831"/>
    <w:rsid w:val="1D8F5720"/>
    <w:rsid w:val="1DA653E3"/>
    <w:rsid w:val="1DD97567"/>
    <w:rsid w:val="1FA1145E"/>
    <w:rsid w:val="1FBE07C2"/>
    <w:rsid w:val="206B7F2F"/>
    <w:rsid w:val="2144654F"/>
    <w:rsid w:val="21E968BD"/>
    <w:rsid w:val="220A087A"/>
    <w:rsid w:val="220F79FB"/>
    <w:rsid w:val="238E4C6A"/>
    <w:rsid w:val="23FE7D27"/>
    <w:rsid w:val="24305A06"/>
    <w:rsid w:val="24627485"/>
    <w:rsid w:val="247E4E60"/>
    <w:rsid w:val="25401C79"/>
    <w:rsid w:val="255274B4"/>
    <w:rsid w:val="259F40A6"/>
    <w:rsid w:val="25B3069D"/>
    <w:rsid w:val="26190E48"/>
    <w:rsid w:val="263E3E76"/>
    <w:rsid w:val="26B11081"/>
    <w:rsid w:val="273D4513"/>
    <w:rsid w:val="27535D48"/>
    <w:rsid w:val="27637E7B"/>
    <w:rsid w:val="27A16033"/>
    <w:rsid w:val="281A4A03"/>
    <w:rsid w:val="28A933AF"/>
    <w:rsid w:val="28DC5EA4"/>
    <w:rsid w:val="29332221"/>
    <w:rsid w:val="29803BF1"/>
    <w:rsid w:val="2A60320F"/>
    <w:rsid w:val="2B822FEC"/>
    <w:rsid w:val="2B8F1B40"/>
    <w:rsid w:val="2B9F623D"/>
    <w:rsid w:val="2BC730F4"/>
    <w:rsid w:val="2CD23AFF"/>
    <w:rsid w:val="2CDE3F21"/>
    <w:rsid w:val="2D2D1B91"/>
    <w:rsid w:val="2D371BB4"/>
    <w:rsid w:val="2D4B3B25"/>
    <w:rsid w:val="2DD13DB6"/>
    <w:rsid w:val="2E12184A"/>
    <w:rsid w:val="2E513149"/>
    <w:rsid w:val="2E7E42AC"/>
    <w:rsid w:val="2EE9735C"/>
    <w:rsid w:val="2F6161C3"/>
    <w:rsid w:val="2F631577"/>
    <w:rsid w:val="2FA84FEB"/>
    <w:rsid w:val="2FDB1EBD"/>
    <w:rsid w:val="3072301E"/>
    <w:rsid w:val="30B33C47"/>
    <w:rsid w:val="31102C85"/>
    <w:rsid w:val="313E79B5"/>
    <w:rsid w:val="31515E9D"/>
    <w:rsid w:val="318D6246"/>
    <w:rsid w:val="31A93DE0"/>
    <w:rsid w:val="320F03C1"/>
    <w:rsid w:val="32851613"/>
    <w:rsid w:val="32E526AF"/>
    <w:rsid w:val="32E64C05"/>
    <w:rsid w:val="32FA55E0"/>
    <w:rsid w:val="33265EB1"/>
    <w:rsid w:val="33412AF1"/>
    <w:rsid w:val="33941ABC"/>
    <w:rsid w:val="33B46DD2"/>
    <w:rsid w:val="33F15DA5"/>
    <w:rsid w:val="34C158F2"/>
    <w:rsid w:val="34D36666"/>
    <w:rsid w:val="36BB54E1"/>
    <w:rsid w:val="374D00D9"/>
    <w:rsid w:val="37BE4F69"/>
    <w:rsid w:val="37DB7774"/>
    <w:rsid w:val="382C302D"/>
    <w:rsid w:val="3834696B"/>
    <w:rsid w:val="3842527F"/>
    <w:rsid w:val="38474CC1"/>
    <w:rsid w:val="384A0B59"/>
    <w:rsid w:val="38AF2F46"/>
    <w:rsid w:val="38E5315D"/>
    <w:rsid w:val="39FD796B"/>
    <w:rsid w:val="3A38706E"/>
    <w:rsid w:val="3A6D57BE"/>
    <w:rsid w:val="3BFF2436"/>
    <w:rsid w:val="3C4D31A2"/>
    <w:rsid w:val="3C657A8D"/>
    <w:rsid w:val="3C687FDC"/>
    <w:rsid w:val="3CFC3366"/>
    <w:rsid w:val="3D1C2F74"/>
    <w:rsid w:val="3D3E0D3C"/>
    <w:rsid w:val="3DA063F9"/>
    <w:rsid w:val="3E154DAD"/>
    <w:rsid w:val="3F0B492F"/>
    <w:rsid w:val="3FDC5A4A"/>
    <w:rsid w:val="40440A53"/>
    <w:rsid w:val="407A652F"/>
    <w:rsid w:val="42154762"/>
    <w:rsid w:val="42345589"/>
    <w:rsid w:val="42AC1D79"/>
    <w:rsid w:val="42E243E9"/>
    <w:rsid w:val="431C0A89"/>
    <w:rsid w:val="43EB5803"/>
    <w:rsid w:val="448A748E"/>
    <w:rsid w:val="44E664B5"/>
    <w:rsid w:val="44EF390A"/>
    <w:rsid w:val="45211AC1"/>
    <w:rsid w:val="45383EA0"/>
    <w:rsid w:val="458E5786"/>
    <w:rsid w:val="46304E6E"/>
    <w:rsid w:val="469E6E1E"/>
    <w:rsid w:val="46AE6B8F"/>
    <w:rsid w:val="46EC34CC"/>
    <w:rsid w:val="472D60AA"/>
    <w:rsid w:val="4782435E"/>
    <w:rsid w:val="47D418D7"/>
    <w:rsid w:val="48032022"/>
    <w:rsid w:val="48D766C0"/>
    <w:rsid w:val="48E642F1"/>
    <w:rsid w:val="491D5CAA"/>
    <w:rsid w:val="49311309"/>
    <w:rsid w:val="493354CD"/>
    <w:rsid w:val="4958341F"/>
    <w:rsid w:val="49947C60"/>
    <w:rsid w:val="4B6F67D8"/>
    <w:rsid w:val="4B7C13AE"/>
    <w:rsid w:val="4BCE5679"/>
    <w:rsid w:val="4D36480A"/>
    <w:rsid w:val="4D3B0DF4"/>
    <w:rsid w:val="4DCD30F6"/>
    <w:rsid w:val="4DFB3170"/>
    <w:rsid w:val="4E935E29"/>
    <w:rsid w:val="4EFB1625"/>
    <w:rsid w:val="4F634FF0"/>
    <w:rsid w:val="4F6A77B6"/>
    <w:rsid w:val="5003209D"/>
    <w:rsid w:val="507408A5"/>
    <w:rsid w:val="50AA5B0E"/>
    <w:rsid w:val="50FE0CB7"/>
    <w:rsid w:val="51547A40"/>
    <w:rsid w:val="51EE4E78"/>
    <w:rsid w:val="520F42B6"/>
    <w:rsid w:val="5229133D"/>
    <w:rsid w:val="525C3066"/>
    <w:rsid w:val="527B0CFF"/>
    <w:rsid w:val="52BF3883"/>
    <w:rsid w:val="52ED287F"/>
    <w:rsid w:val="536A2433"/>
    <w:rsid w:val="5373753A"/>
    <w:rsid w:val="5376227B"/>
    <w:rsid w:val="540672D6"/>
    <w:rsid w:val="540E60AE"/>
    <w:rsid w:val="54442C85"/>
    <w:rsid w:val="54FB14A2"/>
    <w:rsid w:val="559D5BD0"/>
    <w:rsid w:val="55B00076"/>
    <w:rsid w:val="55DA4515"/>
    <w:rsid w:val="55E4027B"/>
    <w:rsid w:val="562C553B"/>
    <w:rsid w:val="56321E69"/>
    <w:rsid w:val="564156CE"/>
    <w:rsid w:val="56570A4D"/>
    <w:rsid w:val="567D2601"/>
    <w:rsid w:val="56837EA6"/>
    <w:rsid w:val="56986659"/>
    <w:rsid w:val="57543198"/>
    <w:rsid w:val="57547004"/>
    <w:rsid w:val="576E6903"/>
    <w:rsid w:val="57A852D8"/>
    <w:rsid w:val="58340ACF"/>
    <w:rsid w:val="59D418A4"/>
    <w:rsid w:val="5B38460D"/>
    <w:rsid w:val="5B396675"/>
    <w:rsid w:val="5BD112A2"/>
    <w:rsid w:val="5BF40AEC"/>
    <w:rsid w:val="5C180C7F"/>
    <w:rsid w:val="5C2123A3"/>
    <w:rsid w:val="5CF039A9"/>
    <w:rsid w:val="5D1C19D8"/>
    <w:rsid w:val="5D4B7D01"/>
    <w:rsid w:val="5D621107"/>
    <w:rsid w:val="5DF262C7"/>
    <w:rsid w:val="5DFB3F5C"/>
    <w:rsid w:val="5E583892"/>
    <w:rsid w:val="5F795ED8"/>
    <w:rsid w:val="60587822"/>
    <w:rsid w:val="60C116AE"/>
    <w:rsid w:val="61C732C5"/>
    <w:rsid w:val="623065F6"/>
    <w:rsid w:val="62FC0898"/>
    <w:rsid w:val="63691FEE"/>
    <w:rsid w:val="63A4086C"/>
    <w:rsid w:val="644B4371"/>
    <w:rsid w:val="64AD49B4"/>
    <w:rsid w:val="65215860"/>
    <w:rsid w:val="65C303AF"/>
    <w:rsid w:val="66332254"/>
    <w:rsid w:val="663C37BC"/>
    <w:rsid w:val="66CA300B"/>
    <w:rsid w:val="671D183F"/>
    <w:rsid w:val="67214F17"/>
    <w:rsid w:val="67254332"/>
    <w:rsid w:val="672D7A8A"/>
    <w:rsid w:val="67972599"/>
    <w:rsid w:val="67CE0AC3"/>
    <w:rsid w:val="67E2197B"/>
    <w:rsid w:val="68185C29"/>
    <w:rsid w:val="68663D88"/>
    <w:rsid w:val="686F39E8"/>
    <w:rsid w:val="69236EB5"/>
    <w:rsid w:val="696900E4"/>
    <w:rsid w:val="696A0640"/>
    <w:rsid w:val="69DF498D"/>
    <w:rsid w:val="6B0716A5"/>
    <w:rsid w:val="6B1B463A"/>
    <w:rsid w:val="6B3D5CD6"/>
    <w:rsid w:val="6B6E7FEC"/>
    <w:rsid w:val="6BBE6B05"/>
    <w:rsid w:val="6C172CD8"/>
    <w:rsid w:val="6C253C2F"/>
    <w:rsid w:val="6D9D5BEC"/>
    <w:rsid w:val="6DC93B4B"/>
    <w:rsid w:val="6E142EBC"/>
    <w:rsid w:val="6E6E0BD2"/>
    <w:rsid w:val="6E867030"/>
    <w:rsid w:val="6EA44515"/>
    <w:rsid w:val="6F0D2199"/>
    <w:rsid w:val="6F2F79BF"/>
    <w:rsid w:val="6F6A285B"/>
    <w:rsid w:val="6FDB592F"/>
    <w:rsid w:val="70C525FF"/>
    <w:rsid w:val="717175D4"/>
    <w:rsid w:val="719166A9"/>
    <w:rsid w:val="71B049BF"/>
    <w:rsid w:val="71D47469"/>
    <w:rsid w:val="72083669"/>
    <w:rsid w:val="72816D82"/>
    <w:rsid w:val="7399049F"/>
    <w:rsid w:val="73AD2DB1"/>
    <w:rsid w:val="73B344DE"/>
    <w:rsid w:val="74021350"/>
    <w:rsid w:val="74122D81"/>
    <w:rsid w:val="74361CD0"/>
    <w:rsid w:val="7440091B"/>
    <w:rsid w:val="75101B82"/>
    <w:rsid w:val="7537110F"/>
    <w:rsid w:val="75383CE8"/>
    <w:rsid w:val="75E86FC4"/>
    <w:rsid w:val="76BB222A"/>
    <w:rsid w:val="76EE2959"/>
    <w:rsid w:val="76FB595A"/>
    <w:rsid w:val="775841CD"/>
    <w:rsid w:val="77647D61"/>
    <w:rsid w:val="77E85551"/>
    <w:rsid w:val="78016C2B"/>
    <w:rsid w:val="785F0A27"/>
    <w:rsid w:val="788F1E71"/>
    <w:rsid w:val="78E33F6B"/>
    <w:rsid w:val="79804AF6"/>
    <w:rsid w:val="7A555714"/>
    <w:rsid w:val="7AC540CB"/>
    <w:rsid w:val="7B2935E6"/>
    <w:rsid w:val="7B343185"/>
    <w:rsid w:val="7C850C1E"/>
    <w:rsid w:val="7D4F12C7"/>
    <w:rsid w:val="7D6C3C01"/>
    <w:rsid w:val="7DFF350C"/>
    <w:rsid w:val="7E4866C0"/>
    <w:rsid w:val="7E7538B7"/>
    <w:rsid w:val="7E857D6E"/>
    <w:rsid w:val="7F4532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2" w:semiHidden="0" w:name="heading 1"/>
    <w:lsdException w:qFormat="1" w:unhideWhenUsed="0" w:uiPriority="0" w:semiHidden="0" w:name="heading 2"/>
    <w:lsdException w:qFormat="1" w:unhideWhenUsed="0" w:uiPriority="2"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2"/>
    <w:pPr>
      <w:keepNext/>
      <w:keepLines/>
      <w:spacing w:before="340" w:after="330" w:line="578" w:lineRule="auto"/>
      <w:jc w:val="center"/>
      <w:outlineLvl w:val="0"/>
    </w:pPr>
    <w:rPr>
      <w:rFonts w:ascii="Arial" w:hAnsi="Arial" w:eastAsia="宋体"/>
      <w:bCs/>
      <w:kern w:val="44"/>
      <w:sz w:val="32"/>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qFormat/>
    <w:uiPriority w:val="2"/>
    <w:pPr>
      <w:keepNext/>
      <w:keepLines/>
      <w:spacing w:before="260" w:after="260" w:line="413" w:lineRule="auto"/>
      <w:outlineLvl w:val="2"/>
    </w:pPr>
    <w:rPr>
      <w:rFonts w:ascii="Calibri" w:hAnsi="Calibri"/>
      <w:b/>
      <w:color w:val="000000"/>
      <w:kern w:val="0"/>
      <w:sz w:val="32"/>
    </w:rPr>
  </w:style>
  <w:style w:type="character" w:default="1" w:styleId="18">
    <w:name w:val="Default Paragraph Font"/>
    <w:semiHidden/>
    <w:qFormat/>
    <w:uiPriority w:val="0"/>
  </w:style>
  <w:style w:type="table" w:default="1" w:styleId="16">
    <w:name w:val="Normal Table"/>
    <w:qFormat/>
    <w:uiPriority w:val="0"/>
    <w:pPr>
      <w:keepNext w:val="0"/>
      <w:keepLines w:val="0"/>
      <w:widowControl/>
      <w:suppressLineNumbers w:val="0"/>
      <w:autoSpaceDE w:val="0"/>
      <w:autoSpaceDN/>
      <w:spacing w:before="0" w:beforeAutospacing="0" w:after="0" w:afterAutospacing="0"/>
      <w:ind w:left="0" w:right="0" w:firstLine="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index 5"/>
    <w:basedOn w:val="1"/>
    <w:next w:val="1"/>
    <w:qFormat/>
    <w:uiPriority w:val="0"/>
    <w:pPr>
      <w:adjustRightInd w:val="0"/>
      <w:snapToGrid w:val="0"/>
      <w:spacing w:line="360" w:lineRule="auto"/>
      <w:jc w:val="center"/>
    </w:pPr>
    <w:rPr>
      <w:rFonts w:ascii="宋体" w:hAnsi="宋体" w:cs="宋体"/>
      <w:bCs/>
      <w:szCs w:val="21"/>
    </w:rPr>
  </w:style>
  <w:style w:type="paragraph" w:styleId="7">
    <w:name w:val="annotation text"/>
    <w:basedOn w:val="1"/>
    <w:next w:val="1"/>
    <w:qFormat/>
    <w:uiPriority w:val="0"/>
    <w:pPr>
      <w:jc w:val="left"/>
    </w:pPr>
  </w:style>
  <w:style w:type="paragraph" w:styleId="8">
    <w:name w:val="Body Text"/>
    <w:basedOn w:val="1"/>
    <w:next w:val="1"/>
    <w:semiHidden/>
    <w:qFormat/>
    <w:uiPriority w:val="0"/>
    <w:rPr>
      <w:rFonts w:ascii="Arial" w:hAnsi="Arial" w:eastAsia="Arial" w:cs="Arial"/>
      <w:sz w:val="21"/>
      <w:szCs w:val="21"/>
      <w:lang w:val="en-US" w:eastAsia="en-US" w:bidi="ar-SA"/>
    </w:rPr>
  </w:style>
  <w:style w:type="paragraph" w:styleId="9">
    <w:name w:val="Date"/>
    <w:basedOn w:val="1"/>
    <w:next w:val="1"/>
    <w:qFormat/>
    <w:uiPriority w:val="0"/>
    <w:pPr>
      <w:ind w:left="100" w:leftChars="2500"/>
    </w:pPr>
    <w:rPr>
      <w:rFonts w:ascii="宋体" w:hAnsi="宋体"/>
      <w:sz w:val="28"/>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Title"/>
    <w:basedOn w:val="1"/>
    <w:next w:val="1"/>
    <w:qFormat/>
    <w:uiPriority w:val="0"/>
    <w:pPr>
      <w:spacing w:before="240" w:beforeLines="0" w:after="60" w:afterLines="0"/>
      <w:jc w:val="center"/>
      <w:outlineLvl w:val="0"/>
    </w:pPr>
    <w:rPr>
      <w:rFonts w:cs="Arial"/>
      <w:b/>
      <w:bCs/>
      <w:sz w:val="36"/>
      <w:szCs w:val="32"/>
    </w:rPr>
  </w:style>
  <w:style w:type="paragraph" w:styleId="15">
    <w:name w:val="Body Text First Indent"/>
    <w:basedOn w:val="8"/>
    <w:qFormat/>
    <w:uiPriority w:val="0"/>
    <w:pPr>
      <w:spacing w:line="312" w:lineRule="auto"/>
      <w:ind w:firstLine="420"/>
    </w:pPr>
    <w:rPr>
      <w:sz w:val="24"/>
      <w:szCs w:val="24"/>
    </w:rPr>
  </w:style>
  <w:style w:type="table" w:styleId="17">
    <w:name w:val="Table Grid"/>
    <w:basedOn w:val="16"/>
    <w:qFormat/>
    <w:uiPriority w:val="0"/>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character" w:styleId="21">
    <w:name w:val="HTML Sample"/>
    <w:basedOn w:val="18"/>
    <w:qFormat/>
    <w:uiPriority w:val="0"/>
    <w:rPr>
      <w:rFonts w:ascii="Courier New" w:hAnsi="Courier New"/>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20"/>
      <w:szCs w:val="20"/>
      <w:lang w:val="en-US" w:eastAsia="en-US" w:bidi="ar-SA"/>
    </w:rPr>
  </w:style>
  <w:style w:type="paragraph" w:customStyle="1" w:styleId="24">
    <w:name w:val="Default"/>
    <w:next w:val="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5">
    <w:name w:val="NormalCharacter"/>
    <w:link w:val="26"/>
    <w:qFormat/>
    <w:uiPriority w:val="0"/>
    <w:rPr>
      <w:rFonts w:eastAsia="宋体"/>
    </w:rPr>
  </w:style>
  <w:style w:type="paragraph" w:customStyle="1" w:styleId="26">
    <w:name w:val="UserStyle_0"/>
    <w:basedOn w:val="1"/>
    <w:link w:val="25"/>
    <w:qFormat/>
    <w:uiPriority w:val="0"/>
    <w:pPr>
      <w:widowControl/>
      <w:adjustRightInd/>
      <w:spacing w:after="160" w:line="240" w:lineRule="exact"/>
      <w:jc w:val="left"/>
    </w:pPr>
    <w:rPr>
      <w:rFonts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81</Pages>
  <Words>31008</Words>
  <Characters>33046</Characters>
  <TotalTime>12</TotalTime>
  <ScaleCrop>false</ScaleCrop>
  <LinksUpToDate>false</LinksUpToDate>
  <CharactersWithSpaces>34874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2024-06-11T16:09:00Z</dcterms:created>
  <dc:creator>Administrator</dc:creator>
  <cp:lastModifiedBy>Administrator</cp:lastModifiedBy>
  <cp:lastPrinted>2025-04-22T01:55:00Z</cp:lastPrinted>
  <dcterms:modified xsi:type="dcterms:W3CDTF">2026-05-07T06:19:22Z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2024-06-14T13:18:16Z</vt:filetime>
  </property>
  <property fmtid="{D5CDD505-2E9C-101B-9397-08002B2CF9AE}" pid="4" name="KSOProductBuildVer">
    <vt:lpwstr>2052-12.1.0.25865</vt:lpwstr>
  </property>
  <property fmtid="{D5CDD505-2E9C-101B-9397-08002B2CF9AE}" pid="5" name="ICV">
    <vt:lpwstr>9B9FDC63AC624C13A257EDBE9374596B_13</vt:lpwstr>
  </property>
  <property fmtid="{D5CDD505-2E9C-101B-9397-08002B2CF9AE}" pid="6" name="KSOTemplateDocerSaveRecord">
    <vt:lpwstr>eyJoZGlkIjoiZDgyNjEwZWY0ZDBiNDk4NmIxY2ZjOTE5MjVkOGEyZjYiLCJ1c2VySWQiOiI4Mjk2NjAxMzEifQ==</vt:lpwstr>
  </property>
</Properties>
</file>