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03ACC">
      <w:pPr>
        <w:pStyle w:val="17"/>
        <w:shd w:val="clear" w:color="auto" w:fill="auto"/>
        <w:jc w:val="center"/>
        <w:rPr>
          <w:rFonts w:hint="eastAsia" w:ascii="宋体" w:hAnsi="宋体" w:eastAsia="宋体" w:cs="宋体"/>
          <w:b w:val="0"/>
          <w:bCs w:val="0"/>
          <w:color w:val="auto"/>
          <w:highlight w:val="none"/>
        </w:rPr>
      </w:pPr>
      <w:r>
        <w:rPr>
          <w:rFonts w:hint="eastAsia" w:hAnsi="宋体" w:cs="宋体"/>
          <w:b/>
          <w:bCs/>
          <w:color w:val="auto"/>
          <w:kern w:val="2"/>
          <w:sz w:val="44"/>
          <w:szCs w:val="44"/>
          <w:highlight w:val="none"/>
          <w:lang w:eastAsia="zh-CN"/>
        </w:rPr>
        <w:t>丽江市古城区开南街道贵峰社区菊花种苗繁育中心建设项目</w:t>
      </w:r>
    </w:p>
    <w:p w14:paraId="4C8C7C99">
      <w:pPr>
        <w:pStyle w:val="17"/>
        <w:shd w:val="clear" w:color="auto" w:fill="auto"/>
        <w:rPr>
          <w:rFonts w:hint="eastAsia" w:ascii="宋体" w:hAnsi="宋体" w:eastAsia="宋体" w:cs="宋体"/>
          <w:color w:val="auto"/>
          <w:highlight w:val="none"/>
        </w:rPr>
      </w:pPr>
    </w:p>
    <w:p w14:paraId="63929856">
      <w:pPr>
        <w:pStyle w:val="17"/>
        <w:shd w:val="clear" w:color="auto" w:fill="auto"/>
        <w:rPr>
          <w:rFonts w:hint="eastAsia" w:ascii="宋体" w:hAnsi="宋体" w:eastAsia="宋体" w:cs="宋体"/>
          <w:color w:val="auto"/>
          <w:highlight w:val="none"/>
        </w:rPr>
      </w:pPr>
    </w:p>
    <w:p w14:paraId="79F180CC">
      <w:pPr>
        <w:pStyle w:val="17"/>
        <w:shd w:val="clear" w:color="auto" w:fill="auto"/>
        <w:rPr>
          <w:rFonts w:hint="eastAsia" w:ascii="宋体" w:hAnsi="宋体" w:eastAsia="宋体" w:cs="宋体"/>
          <w:color w:val="auto"/>
          <w:highlight w:val="none"/>
        </w:rPr>
      </w:pPr>
    </w:p>
    <w:p w14:paraId="3F7C4222">
      <w:pPr>
        <w:pStyle w:val="17"/>
        <w:shd w:val="clear" w:color="auto" w:fill="auto"/>
        <w:rPr>
          <w:rFonts w:hint="eastAsia" w:ascii="宋体" w:hAnsi="宋体" w:eastAsia="宋体" w:cs="宋体"/>
          <w:color w:val="auto"/>
          <w:highlight w:val="none"/>
        </w:rPr>
      </w:pPr>
    </w:p>
    <w:p w14:paraId="0F7966D1">
      <w:pPr>
        <w:pStyle w:val="17"/>
        <w:shd w:val="clear" w:color="auto" w:fill="auto"/>
        <w:rPr>
          <w:rFonts w:hint="eastAsia" w:ascii="宋体" w:hAnsi="宋体" w:eastAsia="宋体" w:cs="宋体"/>
          <w:color w:val="auto"/>
          <w:highlight w:val="none"/>
        </w:rPr>
      </w:pPr>
    </w:p>
    <w:p w14:paraId="023EA7A7">
      <w:pPr>
        <w:pStyle w:val="17"/>
        <w:shd w:val="clear" w:color="auto" w:fill="auto"/>
        <w:rPr>
          <w:rFonts w:hint="eastAsia" w:ascii="宋体" w:hAnsi="宋体" w:eastAsia="宋体" w:cs="宋体"/>
          <w:color w:val="auto"/>
          <w:highlight w:val="none"/>
        </w:rPr>
      </w:pPr>
    </w:p>
    <w:p w14:paraId="72389532">
      <w:pPr>
        <w:pStyle w:val="17"/>
        <w:shd w:val="clear" w:color="auto" w:fill="auto"/>
        <w:rPr>
          <w:rFonts w:hint="eastAsia" w:ascii="宋体" w:hAnsi="宋体" w:eastAsia="宋体" w:cs="宋体"/>
          <w:color w:val="auto"/>
          <w:highlight w:val="none"/>
        </w:rPr>
      </w:pPr>
    </w:p>
    <w:p w14:paraId="085419D7">
      <w:pPr>
        <w:widowControl/>
        <w:shd w:val="clear" w:color="auto" w:fill="auto"/>
        <w:spacing w:line="720" w:lineRule="auto"/>
        <w:jc w:val="center"/>
        <w:rPr>
          <w:rFonts w:hint="eastAsia" w:ascii="宋体" w:hAnsi="宋体" w:eastAsia="宋体" w:cs="宋体"/>
          <w:b/>
          <w:snapToGrid/>
          <w:color w:val="auto"/>
          <w:kern w:val="0"/>
          <w:sz w:val="72"/>
          <w:szCs w:val="72"/>
          <w:highlight w:val="none"/>
        </w:rPr>
      </w:pPr>
      <w:r>
        <w:rPr>
          <w:rFonts w:hint="eastAsia" w:ascii="宋体" w:hAnsi="宋体" w:eastAsia="宋体" w:cs="宋体"/>
          <w:b/>
          <w:snapToGrid/>
          <w:color w:val="auto"/>
          <w:kern w:val="0"/>
          <w:sz w:val="84"/>
          <w:szCs w:val="84"/>
          <w:highlight w:val="none"/>
        </w:rPr>
        <w:t>竞争性磋商文件</w:t>
      </w:r>
    </w:p>
    <w:p w14:paraId="7547A3B4">
      <w:pPr>
        <w:widowControl/>
        <w:shd w:val="clear" w:color="auto" w:fill="auto"/>
        <w:spacing w:line="720" w:lineRule="auto"/>
        <w:jc w:val="center"/>
        <w:rPr>
          <w:rFonts w:hint="default" w:ascii="宋体" w:hAnsi="宋体" w:eastAsia="宋体" w:cs="宋体"/>
          <w:b/>
          <w:snapToGrid/>
          <w:color w:val="auto"/>
          <w:kern w:val="0"/>
          <w:sz w:val="28"/>
          <w:szCs w:val="28"/>
          <w:highlight w:val="none"/>
          <w:lang w:val="en-US" w:eastAsia="zh-CN"/>
        </w:rPr>
      </w:pPr>
      <w:r>
        <w:rPr>
          <w:rFonts w:hint="eastAsia" w:ascii="宋体" w:hAnsi="宋体" w:eastAsia="宋体" w:cs="宋体"/>
          <w:b/>
          <w:snapToGrid/>
          <w:color w:val="auto"/>
          <w:kern w:val="0"/>
          <w:sz w:val="28"/>
          <w:szCs w:val="28"/>
          <w:highlight w:val="none"/>
        </w:rPr>
        <w:t>项目编号：</w:t>
      </w:r>
      <w:r>
        <w:rPr>
          <w:rFonts w:hint="eastAsia" w:hAnsi="宋体" w:cs="宋体"/>
          <w:b/>
          <w:snapToGrid/>
          <w:color w:val="auto"/>
          <w:kern w:val="0"/>
          <w:sz w:val="28"/>
          <w:szCs w:val="28"/>
          <w:highlight w:val="none"/>
          <w:lang w:eastAsia="zh-CN"/>
        </w:rPr>
        <w:t>LJZC2026-C2-00328-LJHS-0001</w:t>
      </w:r>
      <w:r>
        <w:rPr>
          <w:rFonts w:hint="eastAsia" w:hAnsi="宋体" w:cs="宋体"/>
          <w:b/>
          <w:snapToGrid/>
          <w:color w:val="auto"/>
          <w:kern w:val="0"/>
          <w:sz w:val="28"/>
          <w:szCs w:val="28"/>
          <w:highlight w:val="none"/>
          <w:lang w:val="en-US" w:eastAsia="zh-CN"/>
        </w:rPr>
        <w:t xml:space="preserve"> </w:t>
      </w:r>
      <w:r>
        <w:rPr>
          <w:rFonts w:hint="eastAsia" w:hAnsi="宋体" w:cs="宋体"/>
          <w:b/>
          <w:snapToGrid/>
          <w:color w:val="auto"/>
          <w:kern w:val="0"/>
          <w:sz w:val="28"/>
          <w:szCs w:val="28"/>
          <w:highlight w:val="none"/>
          <w:lang w:val="en-US" w:eastAsia="zh-CN"/>
        </w:rPr>
        <w:t xml:space="preserve">                  </w:t>
      </w:r>
    </w:p>
    <w:p w14:paraId="03F5A14D">
      <w:pPr>
        <w:shd w:val="clear" w:color="auto" w:fill="auto"/>
        <w:spacing w:line="760" w:lineRule="exact"/>
        <w:jc w:val="center"/>
        <w:rPr>
          <w:rFonts w:hint="eastAsia" w:ascii="宋体" w:hAnsi="宋体" w:eastAsia="宋体" w:cs="宋体"/>
          <w:bCs/>
          <w:color w:val="auto"/>
          <w:szCs w:val="21"/>
          <w:highlight w:val="none"/>
        </w:rPr>
      </w:pPr>
    </w:p>
    <w:p w14:paraId="02993A3B">
      <w:pPr>
        <w:pStyle w:val="5"/>
        <w:ind w:left="0" w:leftChars="0" w:firstLine="0" w:firstLineChars="0"/>
        <w:rPr>
          <w:rFonts w:hint="eastAsia" w:ascii="宋体" w:hAnsi="宋体" w:eastAsia="宋体" w:cs="宋体"/>
          <w:color w:val="auto"/>
          <w:highlight w:val="none"/>
        </w:rPr>
      </w:pPr>
    </w:p>
    <w:p w14:paraId="737E6249">
      <w:pPr>
        <w:pStyle w:val="5"/>
        <w:rPr>
          <w:rFonts w:hint="eastAsia" w:ascii="宋体" w:hAnsi="宋体" w:eastAsia="宋体" w:cs="宋体"/>
          <w:color w:val="auto"/>
          <w:highlight w:val="none"/>
        </w:rPr>
      </w:pPr>
    </w:p>
    <w:p w14:paraId="1956356E">
      <w:pPr>
        <w:pStyle w:val="5"/>
        <w:ind w:left="0" w:leftChars="0" w:firstLine="0" w:firstLineChars="0"/>
        <w:rPr>
          <w:rFonts w:hint="eastAsia" w:ascii="宋体" w:hAnsi="宋体" w:eastAsia="宋体" w:cs="宋体"/>
          <w:color w:val="auto"/>
          <w:highlight w:val="none"/>
        </w:rPr>
      </w:pPr>
    </w:p>
    <w:p w14:paraId="76C6571A">
      <w:pPr>
        <w:pStyle w:val="5"/>
        <w:rPr>
          <w:rFonts w:hint="eastAsia" w:ascii="宋体" w:hAnsi="宋体" w:eastAsia="宋体" w:cs="宋体"/>
          <w:color w:val="auto"/>
          <w:highlight w:val="none"/>
        </w:rPr>
      </w:pPr>
    </w:p>
    <w:p w14:paraId="4218E376">
      <w:pPr>
        <w:pStyle w:val="5"/>
        <w:rPr>
          <w:rFonts w:hint="eastAsia" w:ascii="宋体" w:hAnsi="宋体" w:eastAsia="宋体" w:cs="宋体"/>
          <w:color w:val="auto"/>
          <w:highlight w:val="none"/>
        </w:rPr>
      </w:pPr>
    </w:p>
    <w:p w14:paraId="3ED163AC">
      <w:pPr>
        <w:pStyle w:val="5"/>
        <w:rPr>
          <w:rFonts w:hint="eastAsia" w:ascii="宋体" w:hAnsi="宋体" w:eastAsia="宋体" w:cs="宋体"/>
          <w:color w:val="auto"/>
          <w:highlight w:val="none"/>
        </w:rPr>
      </w:pPr>
    </w:p>
    <w:p w14:paraId="6A296DEE">
      <w:pPr>
        <w:shd w:val="clear" w:color="auto" w:fill="auto"/>
        <w:rPr>
          <w:rFonts w:hint="eastAsia" w:ascii="宋体" w:hAnsi="宋体" w:eastAsia="宋体" w:cs="宋体"/>
          <w:color w:val="auto"/>
          <w:highlight w:val="none"/>
        </w:rPr>
      </w:pPr>
    </w:p>
    <w:p w14:paraId="3C441B9C">
      <w:pPr>
        <w:shd w:val="clear" w:color="auto" w:fill="auto"/>
        <w:rPr>
          <w:rFonts w:hint="eastAsia" w:ascii="宋体" w:hAnsi="宋体" w:eastAsia="宋体" w:cs="宋体"/>
          <w:color w:val="auto"/>
          <w:highlight w:val="none"/>
        </w:rPr>
      </w:pPr>
    </w:p>
    <w:p w14:paraId="57BED774">
      <w:pPr>
        <w:shd w:val="clear" w:color="auto" w:fill="auto"/>
        <w:rPr>
          <w:rFonts w:hint="eastAsia" w:ascii="宋体" w:hAnsi="宋体" w:eastAsia="宋体" w:cs="宋体"/>
          <w:color w:val="auto"/>
          <w:highlight w:val="none"/>
        </w:rPr>
      </w:pPr>
    </w:p>
    <w:p w14:paraId="576E7ED2">
      <w:pPr>
        <w:widowControl/>
        <w:shd w:val="clear" w:color="auto" w:fill="auto"/>
        <w:spacing w:line="600" w:lineRule="auto"/>
        <w:ind w:firstLine="1205" w:firstLineChars="400"/>
        <w:jc w:val="both"/>
        <w:rPr>
          <w:rFonts w:hint="eastAsia" w:hAnsi="宋体" w:cs="宋体"/>
          <w:b/>
          <w:bCs/>
          <w:snapToGrid/>
          <w:color w:val="auto"/>
          <w:kern w:val="0"/>
          <w:sz w:val="30"/>
          <w:szCs w:val="30"/>
          <w:highlight w:val="none"/>
          <w:lang w:val="en-US" w:eastAsia="zh-CN"/>
        </w:rPr>
      </w:pPr>
      <w:r>
        <w:rPr>
          <w:rFonts w:hint="eastAsia" w:ascii="宋体" w:hAnsi="宋体" w:eastAsia="宋体" w:cs="宋体"/>
          <w:b/>
          <w:bCs/>
          <w:snapToGrid/>
          <w:color w:val="auto"/>
          <w:kern w:val="0"/>
          <w:sz w:val="30"/>
          <w:szCs w:val="30"/>
          <w:highlight w:val="none"/>
        </w:rPr>
        <w:t>采</w:t>
      </w:r>
      <w:r>
        <w:rPr>
          <w:rFonts w:hint="eastAsia" w:hAnsi="宋体" w:cs="宋体"/>
          <w:b/>
          <w:bCs/>
          <w:snapToGrid/>
          <w:color w:val="auto"/>
          <w:kern w:val="0"/>
          <w:sz w:val="30"/>
          <w:szCs w:val="30"/>
          <w:highlight w:val="none"/>
          <w:lang w:val="en-US" w:eastAsia="zh-CN"/>
        </w:rPr>
        <w:t xml:space="preserve">   </w:t>
      </w:r>
      <w:r>
        <w:rPr>
          <w:rFonts w:hint="eastAsia" w:ascii="宋体" w:hAnsi="宋体" w:eastAsia="宋体" w:cs="宋体"/>
          <w:b/>
          <w:bCs/>
          <w:snapToGrid/>
          <w:color w:val="auto"/>
          <w:kern w:val="0"/>
          <w:sz w:val="30"/>
          <w:szCs w:val="30"/>
          <w:highlight w:val="none"/>
        </w:rPr>
        <w:t>购</w:t>
      </w:r>
      <w:r>
        <w:rPr>
          <w:rFonts w:hint="eastAsia" w:hAnsi="宋体" w:cs="宋体"/>
          <w:b/>
          <w:bCs/>
          <w:snapToGrid/>
          <w:color w:val="auto"/>
          <w:kern w:val="0"/>
          <w:sz w:val="30"/>
          <w:szCs w:val="30"/>
          <w:highlight w:val="none"/>
          <w:lang w:val="en-US" w:eastAsia="zh-CN"/>
        </w:rPr>
        <w:t xml:space="preserve">   </w:t>
      </w:r>
      <w:r>
        <w:rPr>
          <w:rFonts w:hint="eastAsia" w:ascii="宋体" w:hAnsi="宋体" w:eastAsia="宋体" w:cs="宋体"/>
          <w:b/>
          <w:bCs/>
          <w:snapToGrid/>
          <w:color w:val="auto"/>
          <w:kern w:val="0"/>
          <w:sz w:val="30"/>
          <w:szCs w:val="30"/>
          <w:highlight w:val="none"/>
        </w:rPr>
        <w:t>人：</w:t>
      </w:r>
      <w:r>
        <w:rPr>
          <w:rFonts w:hint="eastAsia" w:hAnsi="宋体" w:cs="宋体"/>
          <w:b/>
          <w:bCs/>
          <w:snapToGrid/>
          <w:color w:val="auto"/>
          <w:kern w:val="0"/>
          <w:sz w:val="30"/>
          <w:szCs w:val="30"/>
          <w:highlight w:val="none"/>
          <w:lang w:eastAsia="zh-CN"/>
        </w:rPr>
        <w:t>丽江市古城区人民政府开南街道办事处</w:t>
      </w:r>
    </w:p>
    <w:p w14:paraId="2D546A96">
      <w:pPr>
        <w:widowControl/>
        <w:shd w:val="clear" w:color="auto" w:fill="auto"/>
        <w:spacing w:line="600" w:lineRule="auto"/>
        <w:ind w:firstLine="1205" w:firstLineChars="400"/>
        <w:jc w:val="both"/>
        <w:rPr>
          <w:rFonts w:hint="eastAsia" w:ascii="宋体" w:hAnsi="宋体" w:eastAsia="宋体" w:cs="宋体"/>
          <w:b/>
          <w:bCs/>
          <w:snapToGrid/>
          <w:color w:val="auto"/>
          <w:kern w:val="0"/>
          <w:sz w:val="30"/>
          <w:szCs w:val="30"/>
          <w:highlight w:val="none"/>
          <w:lang w:eastAsia="zh-CN"/>
        </w:rPr>
      </w:pPr>
      <w:r>
        <w:rPr>
          <w:rFonts w:hint="eastAsia" w:ascii="宋体" w:hAnsi="宋体" w:eastAsia="宋体" w:cs="宋体"/>
          <w:b/>
          <w:bCs/>
          <w:snapToGrid/>
          <w:color w:val="auto"/>
          <w:kern w:val="0"/>
          <w:sz w:val="30"/>
          <w:szCs w:val="30"/>
          <w:highlight w:val="none"/>
        </w:rPr>
        <w:t>采购代理机构：</w:t>
      </w:r>
      <w:r>
        <w:rPr>
          <w:rFonts w:hint="eastAsia" w:hAnsi="宋体" w:cs="宋体"/>
          <w:b/>
          <w:bCs/>
          <w:snapToGrid/>
          <w:color w:val="auto"/>
          <w:kern w:val="0"/>
          <w:sz w:val="30"/>
          <w:szCs w:val="30"/>
          <w:highlight w:val="none"/>
          <w:lang w:eastAsia="zh-CN"/>
        </w:rPr>
        <w:t>丽江和盛工程管理咨询有限公司</w:t>
      </w:r>
    </w:p>
    <w:p w14:paraId="5B8655D7">
      <w:pPr>
        <w:widowControl/>
        <w:shd w:val="clear" w:color="auto" w:fill="auto"/>
        <w:spacing w:line="600" w:lineRule="auto"/>
        <w:ind w:firstLine="1205" w:firstLineChars="400"/>
        <w:jc w:val="both"/>
        <w:rPr>
          <w:rFonts w:hint="eastAsia" w:ascii="宋体" w:hAnsi="宋体" w:eastAsia="宋体" w:cs="宋体"/>
          <w:b/>
          <w:bCs/>
          <w:snapToGrid/>
          <w:color w:val="auto"/>
          <w:kern w:val="11"/>
          <w:sz w:val="30"/>
          <w:szCs w:val="30"/>
          <w:highlight w:val="none"/>
        </w:rPr>
      </w:pPr>
      <w:r>
        <w:rPr>
          <w:rFonts w:hint="eastAsia" w:ascii="宋体" w:hAnsi="宋体" w:eastAsia="宋体" w:cs="宋体"/>
          <w:b/>
          <w:bCs/>
          <w:snapToGrid/>
          <w:color w:val="auto"/>
          <w:kern w:val="0"/>
          <w:sz w:val="30"/>
          <w:szCs w:val="30"/>
          <w:highlight w:val="none"/>
        </w:rPr>
        <w:t>日</w:t>
      </w:r>
      <w:r>
        <w:rPr>
          <w:rFonts w:hint="eastAsia" w:hAnsi="宋体" w:cs="宋体"/>
          <w:b/>
          <w:bCs/>
          <w:snapToGrid/>
          <w:color w:val="auto"/>
          <w:kern w:val="0"/>
          <w:sz w:val="30"/>
          <w:szCs w:val="30"/>
          <w:highlight w:val="none"/>
          <w:lang w:val="en-US" w:eastAsia="zh-CN"/>
        </w:rPr>
        <w:t xml:space="preserve">        </w:t>
      </w:r>
      <w:r>
        <w:rPr>
          <w:rFonts w:hint="eastAsia" w:ascii="宋体" w:hAnsi="宋体" w:eastAsia="宋体" w:cs="宋体"/>
          <w:b/>
          <w:bCs/>
          <w:snapToGrid/>
          <w:color w:val="auto"/>
          <w:kern w:val="0"/>
          <w:sz w:val="30"/>
          <w:szCs w:val="30"/>
          <w:highlight w:val="none"/>
        </w:rPr>
        <w:t>期：</w:t>
      </w:r>
      <w:r>
        <w:rPr>
          <w:rFonts w:hint="eastAsia" w:hAnsi="宋体" w:cs="宋体"/>
          <w:b/>
          <w:bCs/>
          <w:snapToGrid/>
          <w:color w:val="auto"/>
          <w:kern w:val="0"/>
          <w:sz w:val="30"/>
          <w:szCs w:val="30"/>
          <w:highlight w:val="none"/>
          <w:lang w:val="en-US" w:eastAsia="zh-CN"/>
        </w:rPr>
        <w:t>2026</w:t>
      </w:r>
      <w:r>
        <w:rPr>
          <w:rFonts w:hint="eastAsia" w:ascii="宋体" w:hAnsi="宋体" w:eastAsia="宋体" w:cs="宋体"/>
          <w:b/>
          <w:bCs/>
          <w:snapToGrid/>
          <w:color w:val="auto"/>
          <w:kern w:val="0"/>
          <w:sz w:val="30"/>
          <w:szCs w:val="30"/>
          <w:highlight w:val="none"/>
        </w:rPr>
        <w:t>年</w:t>
      </w:r>
      <w:r>
        <w:rPr>
          <w:rFonts w:hint="eastAsia" w:hAnsi="宋体" w:cs="宋体"/>
          <w:b/>
          <w:bCs/>
          <w:snapToGrid/>
          <w:color w:val="auto"/>
          <w:kern w:val="0"/>
          <w:sz w:val="30"/>
          <w:szCs w:val="30"/>
          <w:highlight w:val="none"/>
          <w:lang w:val="en-US" w:eastAsia="zh-CN"/>
        </w:rPr>
        <w:t>5</w:t>
      </w:r>
      <w:r>
        <w:rPr>
          <w:rFonts w:hint="eastAsia" w:ascii="宋体" w:hAnsi="宋体" w:eastAsia="宋体" w:cs="宋体"/>
          <w:b/>
          <w:bCs/>
          <w:snapToGrid/>
          <w:color w:val="auto"/>
          <w:kern w:val="0"/>
          <w:sz w:val="30"/>
          <w:szCs w:val="30"/>
          <w:highlight w:val="none"/>
        </w:rPr>
        <w:t>月</w:t>
      </w:r>
    </w:p>
    <w:p w14:paraId="0FC3A567">
      <w:pPr>
        <w:widowControl/>
        <w:shd w:val="clear" w:color="auto" w:fill="auto"/>
        <w:spacing w:line="240" w:lineRule="auto"/>
        <w:jc w:val="left"/>
        <w:rPr>
          <w:rFonts w:hint="eastAsia" w:ascii="宋体" w:hAnsi="宋体" w:eastAsia="宋体" w:cs="宋体"/>
          <w:b/>
          <w:snapToGrid/>
          <w:color w:val="auto"/>
          <w:kern w:val="11"/>
          <w:sz w:val="32"/>
          <w:szCs w:val="32"/>
          <w:highlight w:val="none"/>
        </w:rPr>
        <w:sectPr>
          <w:headerReference r:id="rId3" w:type="default"/>
          <w:pgSz w:w="11906" w:h="16838"/>
          <w:pgMar w:top="1389" w:right="1389" w:bottom="1389" w:left="1389" w:header="851" w:footer="992" w:gutter="0"/>
          <w:cols w:space="720" w:num="1"/>
          <w:rtlGutter w:val="0"/>
          <w:docGrid w:type="lines" w:linePitch="312" w:charSpace="0"/>
        </w:sectPr>
      </w:pPr>
    </w:p>
    <w:p w14:paraId="3A346BBB">
      <w:pPr>
        <w:widowControl/>
        <w:shd w:val="clear" w:color="auto" w:fill="auto"/>
        <w:spacing w:line="240" w:lineRule="auto"/>
        <w:jc w:val="left"/>
        <w:rPr>
          <w:rFonts w:hint="eastAsia" w:ascii="宋体" w:hAnsi="宋体" w:eastAsia="宋体" w:cs="宋体"/>
          <w:b/>
          <w:snapToGrid/>
          <w:color w:val="auto"/>
          <w:kern w:val="11"/>
          <w:sz w:val="32"/>
          <w:szCs w:val="32"/>
          <w:highlight w:val="none"/>
        </w:rPr>
      </w:pPr>
    </w:p>
    <w:p w14:paraId="0354858E">
      <w:pPr>
        <w:widowControl/>
        <w:shd w:val="clear" w:color="auto" w:fill="auto"/>
        <w:spacing w:line="360" w:lineRule="auto"/>
        <w:jc w:val="center"/>
        <w:rPr>
          <w:rFonts w:hint="eastAsia" w:ascii="宋体" w:hAnsi="宋体" w:eastAsia="宋体" w:cs="宋体"/>
          <w:b/>
          <w:snapToGrid/>
          <w:color w:val="auto"/>
          <w:kern w:val="11"/>
          <w:sz w:val="32"/>
          <w:szCs w:val="32"/>
          <w:highlight w:val="none"/>
        </w:rPr>
      </w:pPr>
      <w:r>
        <w:rPr>
          <w:rFonts w:hint="eastAsia" w:ascii="宋体" w:hAnsi="宋体" w:eastAsia="宋体" w:cs="宋体"/>
          <w:b/>
          <w:snapToGrid/>
          <w:color w:val="auto"/>
          <w:kern w:val="11"/>
          <w:sz w:val="32"/>
          <w:szCs w:val="32"/>
          <w:highlight w:val="none"/>
        </w:rPr>
        <w:t>目  录</w:t>
      </w:r>
    </w:p>
    <w:p w14:paraId="67FA123A">
      <w:pPr>
        <w:pStyle w:val="11"/>
        <w:shd w:val="clear" w:color="auto" w:fill="auto"/>
        <w:tabs>
          <w:tab w:val="right" w:leader="dot" w:pos="9070"/>
          <w:tab w:val="clear" w:pos="9060"/>
        </w:tabs>
        <w:spacing w:line="480" w:lineRule="auto"/>
        <w:rPr>
          <w:color w:val="auto"/>
          <w:sz w:val="24"/>
          <w:szCs w:val="24"/>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TOC \o "1-2" \h \z \u </w:instrText>
      </w:r>
      <w:r>
        <w:rPr>
          <w:rFonts w:hint="eastAsia" w:ascii="宋体" w:hAnsi="宋体" w:eastAsia="宋体" w:cs="宋体"/>
          <w:b w:val="0"/>
          <w:bCs w:val="0"/>
          <w:color w:val="auto"/>
          <w:highlight w:val="none"/>
        </w:rPr>
        <w:fldChar w:fldCharType="separate"/>
      </w: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_Toc15027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color w:val="auto"/>
          <w:sz w:val="24"/>
          <w:szCs w:val="24"/>
          <w:highlight w:val="none"/>
          <w:lang w:val="zh-CN"/>
        </w:rPr>
        <w:t xml:space="preserve">第一章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竞争性磋商公告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_Toc15027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709804D7">
      <w:pPr>
        <w:pStyle w:val="11"/>
        <w:shd w:val="clear" w:color="auto" w:fill="auto"/>
        <w:tabs>
          <w:tab w:val="right" w:leader="dot" w:pos="9070"/>
          <w:tab w:val="clear" w:pos="9060"/>
        </w:tabs>
        <w:spacing w:line="480" w:lineRule="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_Toc4134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color w:val="auto"/>
          <w:sz w:val="24"/>
          <w:szCs w:val="24"/>
          <w:highlight w:val="none"/>
          <w:lang w:val="zh-CN"/>
        </w:rPr>
        <w:t>第二章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_Toc4134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2E3F52D0">
      <w:pPr>
        <w:pStyle w:val="11"/>
        <w:shd w:val="clear" w:color="auto" w:fill="auto"/>
        <w:tabs>
          <w:tab w:val="right" w:leader="dot" w:pos="9070"/>
          <w:tab w:val="clear" w:pos="9060"/>
        </w:tabs>
        <w:spacing w:line="480" w:lineRule="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_Toc23419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color w:val="auto"/>
          <w:sz w:val="24"/>
          <w:szCs w:val="24"/>
          <w:highlight w:val="none"/>
          <w:lang w:val="zh-CN"/>
        </w:rPr>
        <w:t>第三章  合同书样式及主要条款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_Toc23419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05DB79E8">
      <w:pPr>
        <w:pStyle w:val="11"/>
        <w:shd w:val="clear" w:color="auto" w:fill="auto"/>
        <w:tabs>
          <w:tab w:val="right" w:leader="dot" w:pos="9070"/>
          <w:tab w:val="clear" w:pos="9060"/>
        </w:tabs>
        <w:spacing w:line="480" w:lineRule="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_Toc30882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color w:val="auto"/>
          <w:sz w:val="24"/>
          <w:szCs w:val="24"/>
          <w:highlight w:val="none"/>
          <w:lang w:val="zh-CN"/>
        </w:rPr>
        <w:t>第四章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_Toc30882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70FB6BAC">
      <w:pPr>
        <w:pStyle w:val="11"/>
        <w:shd w:val="clear" w:color="auto" w:fill="auto"/>
        <w:tabs>
          <w:tab w:val="right" w:leader="dot" w:pos="9070"/>
          <w:tab w:val="clear" w:pos="9060"/>
        </w:tabs>
        <w:spacing w:line="480" w:lineRule="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_Toc29421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color w:val="auto"/>
          <w:sz w:val="24"/>
          <w:szCs w:val="24"/>
          <w:highlight w:val="none"/>
          <w:lang w:val="zh-CN"/>
        </w:rPr>
        <w:t>第五章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_Toc29421 \h </w:instrText>
      </w:r>
      <w:r>
        <w:rPr>
          <w:color w:val="auto"/>
          <w:sz w:val="24"/>
          <w:szCs w:val="24"/>
          <w:highlight w:val="none"/>
        </w:rPr>
        <w:fldChar w:fldCharType="separate"/>
      </w:r>
      <w:r>
        <w:rPr>
          <w:color w:val="auto"/>
          <w:sz w:val="24"/>
          <w:szCs w:val="24"/>
          <w:highlight w:val="none"/>
        </w:rPr>
        <w:t>103</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11D289DC">
      <w:pPr>
        <w:pStyle w:val="11"/>
        <w:shd w:val="clear" w:color="auto" w:fill="auto"/>
        <w:tabs>
          <w:tab w:val="right" w:leader="dot" w:pos="9070"/>
          <w:tab w:val="clear" w:pos="9060"/>
        </w:tabs>
        <w:spacing w:line="480" w:lineRule="auto"/>
        <w:rPr>
          <w:rFonts w:hint="eastAsia" w:ascii="宋体" w:hAnsi="宋体" w:eastAsia="宋体" w:cs="宋体"/>
          <w:bCs w:val="0"/>
          <w:color w:val="auto"/>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_Toc25533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color w:val="auto"/>
          <w:sz w:val="24"/>
          <w:szCs w:val="24"/>
          <w:highlight w:val="none"/>
          <w:lang w:val="zh-CN"/>
        </w:rPr>
        <w:t>第六章  评审方法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_Toc25533 \h </w:instrText>
      </w:r>
      <w:r>
        <w:rPr>
          <w:color w:val="auto"/>
          <w:sz w:val="24"/>
          <w:szCs w:val="24"/>
          <w:highlight w:val="none"/>
        </w:rPr>
        <w:fldChar w:fldCharType="separate"/>
      </w:r>
      <w:r>
        <w:rPr>
          <w:color w:val="auto"/>
          <w:sz w:val="24"/>
          <w:szCs w:val="24"/>
          <w:highlight w:val="none"/>
        </w:rPr>
        <w:t>105</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r>
        <w:rPr>
          <w:rFonts w:hint="eastAsia" w:ascii="宋体" w:hAnsi="宋体" w:eastAsia="宋体" w:cs="宋体"/>
          <w:bCs w:val="0"/>
          <w:color w:val="auto"/>
          <w:highlight w:val="none"/>
        </w:rPr>
        <w:fldChar w:fldCharType="end"/>
      </w:r>
      <w:bookmarkStart w:id="0" w:name="_Toc5104"/>
      <w:bookmarkStart w:id="1" w:name="_Toc15027"/>
    </w:p>
    <w:p w14:paraId="091D2C9B">
      <w:pPr>
        <w:bidi w:val="0"/>
        <w:rPr>
          <w:rFonts w:hint="eastAsia"/>
          <w:color w:val="auto"/>
          <w:highlight w:val="none"/>
          <w:lang w:val="en-US" w:eastAsia="zh-CN"/>
        </w:rPr>
      </w:pPr>
    </w:p>
    <w:p w14:paraId="4EB43C5C">
      <w:pPr>
        <w:tabs>
          <w:tab w:val="left" w:pos="5404"/>
        </w:tabs>
        <w:bidi w:val="0"/>
        <w:jc w:val="left"/>
        <w:rPr>
          <w:rFonts w:hint="eastAsia"/>
          <w:color w:val="auto"/>
          <w:highlight w:val="none"/>
          <w:lang w:val="en-US" w:eastAsia="zh-CN"/>
        </w:rPr>
        <w:sectPr>
          <w:footerReference r:id="rId4" w:type="default"/>
          <w:pgSz w:w="11906" w:h="16838"/>
          <w:pgMar w:top="1389" w:right="1389" w:bottom="1389" w:left="1389" w:header="851" w:footer="992" w:gutter="0"/>
          <w:pgNumType w:start="1"/>
          <w:cols w:space="720" w:num="1"/>
          <w:rtlGutter w:val="0"/>
          <w:docGrid w:type="lines" w:linePitch="312" w:charSpace="0"/>
        </w:sectPr>
      </w:pPr>
      <w:r>
        <w:rPr>
          <w:rFonts w:hint="eastAsia"/>
          <w:color w:val="auto"/>
          <w:highlight w:val="none"/>
          <w:lang w:val="en-US" w:eastAsia="zh-CN"/>
        </w:rPr>
        <w:tab/>
      </w:r>
    </w:p>
    <w:p w14:paraId="36C796B7">
      <w:pPr>
        <w:pStyle w:val="2"/>
        <w:widowControl/>
        <w:shd w:val="clear" w:color="auto" w:fill="auto"/>
        <w:spacing w:before="240" w:after="240" w:line="312" w:lineRule="auto"/>
        <w:rPr>
          <w:rFonts w:hint="eastAsia" w:ascii="宋体" w:hAnsi="宋体" w:eastAsia="宋体" w:cs="宋体"/>
          <w:color w:val="auto"/>
          <w:sz w:val="36"/>
          <w:szCs w:val="36"/>
          <w:highlight w:val="none"/>
          <w:lang w:val="zh-CN"/>
        </w:rPr>
      </w:pPr>
      <w:r>
        <w:rPr>
          <w:rFonts w:hint="eastAsia" w:cs="宋体"/>
          <w:color w:val="auto"/>
          <w:sz w:val="36"/>
          <w:szCs w:val="36"/>
          <w:highlight w:val="none"/>
          <w:lang w:val="en-US" w:eastAsia="zh-CN"/>
        </w:rPr>
        <w:t xml:space="preserve">第一章  </w:t>
      </w:r>
      <w:r>
        <w:rPr>
          <w:rFonts w:hint="eastAsia" w:ascii="宋体" w:hAnsi="宋体" w:eastAsia="宋体" w:cs="宋体"/>
          <w:color w:val="auto"/>
          <w:sz w:val="36"/>
          <w:szCs w:val="36"/>
          <w:highlight w:val="none"/>
          <w:lang w:val="zh-CN"/>
        </w:rPr>
        <w:t>竞争性磋商公告</w:t>
      </w:r>
      <w:bookmarkEnd w:id="0"/>
      <w:bookmarkEnd w:id="1"/>
    </w:p>
    <w:p w14:paraId="73E34146">
      <w:pPr>
        <w:keepNext/>
        <w:keepLines/>
        <w:pageBreakBefore w:val="0"/>
        <w:widowControl/>
        <w:numPr>
          <w:ilvl w:val="0"/>
          <w:numId w:val="0"/>
        </w:numPr>
        <w:shd w:val="clear" w:color="auto" w:fill="auto"/>
        <w:kinsoku/>
        <w:wordWrap/>
        <w:overflowPunct/>
        <w:topLinePunct w:val="0"/>
        <w:autoSpaceDE/>
        <w:autoSpaceDN/>
        <w:bidi w:val="0"/>
        <w:adjustRightInd/>
        <w:snapToGrid/>
        <w:spacing w:line="360" w:lineRule="auto"/>
        <w:jc w:val="center"/>
        <w:textAlignment w:val="auto"/>
        <w:outlineLvl w:val="9"/>
        <w:rPr>
          <w:rFonts w:hint="eastAsia" w:hAnsi="宋体" w:cs="宋体"/>
          <w:b/>
          <w:bCs/>
          <w:color w:val="auto"/>
          <w:sz w:val="32"/>
          <w:szCs w:val="32"/>
          <w:highlight w:val="none"/>
          <w:u w:val="none"/>
          <w:lang w:val="zh-CN" w:eastAsia="zh-CN"/>
        </w:rPr>
      </w:pPr>
      <w:r>
        <w:rPr>
          <w:rFonts w:hint="eastAsia" w:hAnsi="宋体" w:cs="宋体"/>
          <w:b/>
          <w:bCs/>
          <w:color w:val="auto"/>
          <w:sz w:val="32"/>
          <w:szCs w:val="32"/>
          <w:highlight w:val="none"/>
          <w:u w:val="none"/>
          <w:lang w:val="zh-CN" w:eastAsia="zh-CN"/>
        </w:rPr>
        <w:t>丽江市古城区开南街道贵峰社区菊花种苗繁育中心建设项目</w:t>
      </w:r>
    </w:p>
    <w:p w14:paraId="3EA37F77">
      <w:pPr>
        <w:keepNext/>
        <w:keepLines/>
        <w:pageBreakBefore w:val="0"/>
        <w:widowControl/>
        <w:numPr>
          <w:ilvl w:val="0"/>
          <w:numId w:val="0"/>
        </w:numPr>
        <w:shd w:val="clear" w:color="auto" w:fill="auto"/>
        <w:kinsoku/>
        <w:wordWrap/>
        <w:overflowPunct/>
        <w:topLinePunct w:val="0"/>
        <w:autoSpaceDE/>
        <w:autoSpaceDN/>
        <w:bidi w:val="0"/>
        <w:adjustRightInd/>
        <w:snapToGrid/>
        <w:spacing w:line="360" w:lineRule="auto"/>
        <w:jc w:val="center"/>
        <w:textAlignment w:val="auto"/>
        <w:outlineLvl w:val="9"/>
        <w:rPr>
          <w:rFonts w:hint="eastAsia" w:hAnsi="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竞争性磋商公告</w:t>
      </w:r>
    </w:p>
    <w:p w14:paraId="43C300E4">
      <w:pPr>
        <w:pBdr>
          <w:top w:val="single" w:color="auto" w:sz="4" w:space="1"/>
          <w:left w:val="single" w:color="auto" w:sz="4" w:space="4"/>
          <w:bottom w:val="single" w:color="auto" w:sz="4" w:space="1"/>
          <w:right w:val="single" w:color="auto" w:sz="4" w:space="0"/>
        </w:pBdr>
        <w:shd w:val="clear" w:color="auto" w:fill="auto"/>
        <w:spacing w:before="156" w:before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5B0DC8F">
      <w:pPr>
        <w:pBdr>
          <w:top w:val="single" w:color="auto" w:sz="4" w:space="1"/>
          <w:left w:val="single" w:color="auto" w:sz="4" w:space="4"/>
          <w:bottom w:val="single" w:color="auto" w:sz="4" w:space="1"/>
          <w:right w:val="single" w:color="auto" w:sz="4" w:space="0"/>
        </w:pBdr>
        <w:shd w:val="clear" w:color="auto" w:fill="auto"/>
        <w:spacing w:line="360" w:lineRule="auto"/>
        <w:ind w:firstLine="482" w:firstLineChars="200"/>
        <w:rPr>
          <w:rFonts w:hint="eastAsia" w:ascii="宋体" w:hAnsi="宋体" w:eastAsia="宋体" w:cs="宋体"/>
          <w:color w:val="auto"/>
          <w:sz w:val="24"/>
          <w:szCs w:val="24"/>
          <w:highlight w:val="none"/>
          <w:u w:val="none"/>
        </w:rPr>
      </w:pPr>
      <w:r>
        <w:rPr>
          <w:rFonts w:hint="eastAsia" w:hAnsi="宋体" w:cs="宋体"/>
          <w:b/>
          <w:bCs/>
          <w:color w:val="auto"/>
          <w:sz w:val="24"/>
          <w:szCs w:val="24"/>
          <w:highlight w:val="none"/>
          <w:u w:val="none"/>
          <w:lang w:eastAsia="zh-CN"/>
        </w:rPr>
        <w:t>丽江市古城区开南街道贵峰社区菊花种苗繁育中心建设项目</w:t>
      </w:r>
      <w:r>
        <w:rPr>
          <w:rFonts w:hint="eastAsia" w:ascii="宋体" w:hAnsi="宋体" w:eastAsia="宋体" w:cs="宋体"/>
          <w:color w:val="auto"/>
          <w:sz w:val="24"/>
          <w:szCs w:val="24"/>
          <w:highlight w:val="none"/>
          <w:u w:val="none"/>
        </w:rPr>
        <w:t>的潜在供应商应在政府采购云平台</w:t>
      </w:r>
      <w:r>
        <w:rPr>
          <w:rFonts w:hint="eastAsia" w:ascii="宋体" w:hAnsi="宋体" w:eastAsia="宋体" w:cs="宋体"/>
          <w:color w:val="auto"/>
          <w:sz w:val="24"/>
          <w:szCs w:val="24"/>
          <w:highlight w:val="none"/>
          <w:u w:val="none"/>
          <w:lang w:val="en-US" w:eastAsia="zh-CN"/>
        </w:rPr>
        <w:t>线上</w:t>
      </w:r>
      <w:r>
        <w:rPr>
          <w:rFonts w:hint="eastAsia" w:ascii="宋体" w:hAnsi="宋体" w:eastAsia="宋体" w:cs="宋体"/>
          <w:color w:val="auto"/>
          <w:sz w:val="24"/>
          <w:szCs w:val="24"/>
          <w:highlight w:val="none"/>
          <w:u w:val="none"/>
        </w:rPr>
        <w:t>（网址：</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"http://www.zcygov.cn）获取竞争性磋商文件，并于2024年"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https://www.zcygov.cn）获取竞争性磋商文件，并于</w:t>
      </w:r>
      <w:r>
        <w:rPr>
          <w:rFonts w:hint="eastAsia" w:ascii="宋体" w:hAnsi="宋体" w:eastAsia="宋体" w:cs="宋体"/>
          <w:b/>
          <w:bCs/>
          <w:color w:val="auto"/>
          <w:sz w:val="24"/>
          <w:szCs w:val="24"/>
          <w:highlight w:val="none"/>
          <w:u w:val="none"/>
          <w:lang w:val="en-US" w:eastAsia="zh-CN"/>
        </w:rPr>
        <w:t>2026</w:t>
      </w:r>
      <w:r>
        <w:rPr>
          <w:rFonts w:hint="eastAsia" w:ascii="宋体" w:hAnsi="宋体" w:eastAsia="宋体" w:cs="宋体"/>
          <w:b/>
          <w:bCs/>
          <w:color w:val="auto"/>
          <w:sz w:val="24"/>
          <w:szCs w:val="24"/>
          <w:highlight w:val="none"/>
          <w:u w:val="none"/>
        </w:rPr>
        <w:t>年</w:t>
      </w:r>
      <w:r>
        <w:rPr>
          <w:rFonts w:hint="eastAsia" w:ascii="宋体" w:hAnsi="宋体" w:eastAsia="宋体" w:cs="宋体"/>
          <w:color w:val="auto"/>
          <w:sz w:val="24"/>
          <w:szCs w:val="24"/>
          <w:highlight w:val="none"/>
          <w:u w:val="none"/>
        </w:rPr>
        <w:fldChar w:fldCharType="end"/>
      </w:r>
      <w:r>
        <w:rPr>
          <w:rFonts w:hint="eastAsia" w:hAnsi="宋体" w:cs="宋体"/>
          <w:b/>
          <w:bCs/>
          <w:color w:val="auto"/>
          <w:sz w:val="24"/>
          <w:szCs w:val="24"/>
          <w:highlight w:val="none"/>
          <w:u w:val="none"/>
          <w:lang w:val="en-US" w:eastAsia="zh-CN"/>
        </w:rPr>
        <w:t>05月28日上</w:t>
      </w:r>
      <w:r>
        <w:rPr>
          <w:rFonts w:hint="eastAsia" w:ascii="宋体" w:hAnsi="宋体" w:eastAsia="宋体" w:cs="宋体"/>
          <w:b/>
          <w:bCs/>
          <w:color w:val="auto"/>
          <w:sz w:val="24"/>
          <w:szCs w:val="24"/>
          <w:highlight w:val="none"/>
          <w:u w:val="none"/>
          <w:lang w:val="en-US" w:eastAsia="zh-CN"/>
        </w:rPr>
        <w:t>午</w:t>
      </w:r>
      <w:r>
        <w:rPr>
          <w:rFonts w:hint="eastAsia" w:hAnsi="宋体" w:cs="宋体"/>
          <w:b/>
          <w:bCs/>
          <w:color w:val="auto"/>
          <w:sz w:val="24"/>
          <w:szCs w:val="24"/>
          <w:highlight w:val="none"/>
          <w:u w:val="none"/>
          <w:lang w:val="en-US" w:eastAsia="zh-CN"/>
        </w:rPr>
        <w:t>09</w:t>
      </w:r>
      <w:r>
        <w:rPr>
          <w:rFonts w:hint="eastAsia" w:ascii="宋体" w:hAnsi="宋体" w:eastAsia="宋体" w:cs="宋体"/>
          <w:b/>
          <w:bCs/>
          <w:color w:val="auto"/>
          <w:sz w:val="24"/>
          <w:szCs w:val="24"/>
          <w:highlight w:val="none"/>
          <w:u w:val="none"/>
        </w:rPr>
        <w:t>时</w:t>
      </w:r>
      <w:r>
        <w:rPr>
          <w:rFonts w:hint="eastAsia" w:hAnsi="宋体" w:cs="宋体"/>
          <w:b/>
          <w:bCs/>
          <w:color w:val="auto"/>
          <w:sz w:val="24"/>
          <w:szCs w:val="24"/>
          <w:highlight w:val="none"/>
          <w:u w:val="none"/>
          <w:lang w:val="en-US" w:eastAsia="zh-CN"/>
        </w:rPr>
        <w:t>00</w:t>
      </w:r>
      <w:r>
        <w:rPr>
          <w:rFonts w:hint="eastAsia" w:ascii="宋体" w:hAnsi="宋体" w:eastAsia="宋体" w:cs="宋体"/>
          <w:b/>
          <w:bCs/>
          <w:color w:val="auto"/>
          <w:sz w:val="24"/>
          <w:szCs w:val="24"/>
          <w:highlight w:val="none"/>
          <w:u w:val="none"/>
        </w:rPr>
        <w:t>分</w:t>
      </w:r>
      <w:r>
        <w:rPr>
          <w:rFonts w:hint="eastAsia" w:ascii="宋体" w:hAnsi="宋体" w:eastAsia="宋体" w:cs="宋体"/>
          <w:color w:val="auto"/>
          <w:sz w:val="24"/>
          <w:szCs w:val="24"/>
          <w:highlight w:val="none"/>
          <w:u w:val="none"/>
        </w:rPr>
        <w:t>（北京时间）前提交响应文件。</w:t>
      </w:r>
    </w:p>
    <w:p w14:paraId="4F6C6F5F">
      <w:pPr>
        <w:shd w:val="clear" w:color="auto" w:fill="auto"/>
        <w:spacing w:line="360" w:lineRule="auto"/>
        <w:rPr>
          <w:rFonts w:hint="eastAsia" w:ascii="宋体" w:hAnsi="宋体" w:eastAsia="宋体" w:cs="宋体"/>
          <w:color w:val="auto"/>
          <w:sz w:val="24"/>
          <w:szCs w:val="24"/>
          <w:highlight w:val="none"/>
        </w:rPr>
      </w:pPr>
    </w:p>
    <w:p w14:paraId="11C81228">
      <w:pPr>
        <w:pStyle w:val="3"/>
        <w:pageBreakBefore w:val="0"/>
        <w:widowControl/>
        <w:shd w:val="clear" w:color="auto" w:fill="auto"/>
        <w:kinsoku/>
        <w:wordWrap/>
        <w:overflowPunct/>
        <w:topLinePunct w:val="0"/>
        <w:autoSpaceDE/>
        <w:autoSpaceDN/>
        <w:bidi w:val="0"/>
        <w:adjustRightInd w:val="0"/>
        <w:snapToGrid/>
        <w:spacing w:before="0" w:after="0" w:line="360" w:lineRule="auto"/>
        <w:jc w:val="left"/>
        <w:textAlignment w:val="auto"/>
        <w:rPr>
          <w:rFonts w:hint="eastAsia" w:ascii="宋体" w:hAnsi="宋体" w:eastAsia="宋体" w:cs="宋体"/>
          <w:b/>
          <w:color w:val="auto"/>
          <w:kern w:val="0"/>
          <w:sz w:val="24"/>
          <w:szCs w:val="24"/>
          <w:highlight w:val="none"/>
        </w:rPr>
      </w:pPr>
      <w:bookmarkStart w:id="2" w:name="_Toc35393798"/>
      <w:bookmarkStart w:id="3" w:name="_Toc35393629"/>
      <w:bookmarkStart w:id="4" w:name="_Toc9836"/>
      <w:bookmarkStart w:id="5" w:name="_Toc28359089"/>
      <w:bookmarkStart w:id="6" w:name="_Toc28359012"/>
      <w:bookmarkStart w:id="7" w:name="_Toc12508"/>
      <w:r>
        <w:rPr>
          <w:rFonts w:hint="eastAsia" w:ascii="宋体" w:hAnsi="宋体" w:eastAsia="宋体" w:cs="宋体"/>
          <w:b/>
          <w:color w:val="auto"/>
          <w:kern w:val="0"/>
          <w:sz w:val="24"/>
          <w:szCs w:val="24"/>
          <w:highlight w:val="none"/>
        </w:rPr>
        <w:t>一、项目基本情况</w:t>
      </w:r>
      <w:bookmarkEnd w:id="2"/>
      <w:bookmarkEnd w:id="3"/>
      <w:bookmarkEnd w:id="4"/>
      <w:bookmarkEnd w:id="5"/>
      <w:bookmarkEnd w:id="6"/>
      <w:bookmarkEnd w:id="7"/>
    </w:p>
    <w:p w14:paraId="454C4932">
      <w:pPr>
        <w:pageBreakBefore w:val="0"/>
        <w:shd w:val="clear" w:color="auto" w:fill="auto"/>
        <w:kinsoku/>
        <w:wordWrap/>
        <w:overflowPunct/>
        <w:topLinePunct w:val="0"/>
        <w:autoSpaceDE/>
        <w:autoSpaceDN/>
        <w:bidi w:val="0"/>
        <w:snapToGrid/>
        <w:spacing w:line="360" w:lineRule="auto"/>
        <w:ind w:firstLine="480" w:firstLineChars="200"/>
        <w:textAlignment w:val="auto"/>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bookmarkStart w:id="1009" w:name="_GoBack"/>
      <w:r>
        <w:rPr>
          <w:rFonts w:hint="eastAsia" w:ascii="宋体" w:hAnsi="宋体" w:eastAsia="宋体" w:cs="宋体"/>
          <w:color w:val="auto"/>
          <w:sz w:val="24"/>
          <w:szCs w:val="24"/>
          <w:highlight w:val="none"/>
        </w:rPr>
        <w:t>项目编号</w:t>
      </w:r>
      <w:bookmarkEnd w:id="1009"/>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LJZC2026-C2-00328-LJHS-0001</w:t>
      </w:r>
      <w:r>
        <w:rPr>
          <w:rFonts w:hint="eastAsia" w:hAnsi="宋体" w:cs="宋体"/>
          <w:color w:val="auto"/>
          <w:sz w:val="24"/>
          <w:szCs w:val="24"/>
          <w:highlight w:val="none"/>
          <w:lang w:val="en-US" w:eastAsia="zh-CN"/>
        </w:rPr>
        <w:t xml:space="preserve">             </w:t>
      </w:r>
    </w:p>
    <w:p w14:paraId="7A7BF9DF">
      <w:pPr>
        <w:pageBreakBefore w:val="0"/>
        <w:shd w:val="clear" w:color="auto" w:fill="auto"/>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hAnsi="宋体" w:cs="宋体"/>
          <w:color w:val="auto"/>
          <w:sz w:val="24"/>
          <w:szCs w:val="24"/>
          <w:highlight w:val="none"/>
          <w:u w:val="none"/>
          <w:lang w:eastAsia="zh-CN"/>
        </w:rPr>
        <w:t>丽江市古城区开南街道贵峰社区菊花种苗繁育中心建设项目</w:t>
      </w:r>
    </w:p>
    <w:p w14:paraId="547D6E2A">
      <w:pPr>
        <w:pageBreakBefore w:val="0"/>
        <w:shd w:val="clear" w:color="auto" w:fill="auto"/>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采购方式：竞争性磋商</w:t>
      </w:r>
    </w:p>
    <w:p w14:paraId="5A34BDA7">
      <w:pPr>
        <w:pageBreakBefore w:val="0"/>
        <w:shd w:val="clear" w:color="auto" w:fill="auto"/>
        <w:kinsoku/>
        <w:wordWrap/>
        <w:overflowPunct/>
        <w:topLinePunct w:val="0"/>
        <w:autoSpaceDE/>
        <w:autoSpaceDN/>
        <w:bidi w:val="0"/>
        <w:snapToGrid/>
        <w:spacing w:line="360" w:lineRule="auto"/>
        <w:ind w:firstLine="480" w:firstLineChars="200"/>
        <w:textAlignment w:val="auto"/>
        <w:rPr>
          <w:rFonts w:hint="default"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80万元</w:t>
      </w:r>
    </w:p>
    <w:p w14:paraId="5E7A6930">
      <w:pPr>
        <w:pageBreakBefore w:val="0"/>
        <w:shd w:val="clear" w:color="auto" w:fill="auto"/>
        <w:kinsoku/>
        <w:wordWrap/>
        <w:overflowPunct/>
        <w:topLinePunct w:val="0"/>
        <w:autoSpaceDE/>
        <w:autoSpaceDN/>
        <w:bidi w:val="0"/>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 xml:space="preserve">799794.25元    </w:t>
      </w:r>
    </w:p>
    <w:p w14:paraId="53B4ECDC">
      <w:pPr>
        <w:pStyle w:val="18"/>
        <w:pageBreakBefore w:val="0"/>
        <w:shd w:val="clear" w:color="auto" w:fill="auto"/>
        <w:kinsoku/>
        <w:wordWrap/>
        <w:overflowPunct/>
        <w:topLinePunct w:val="0"/>
        <w:autoSpaceDE/>
        <w:autoSpaceDN/>
        <w:bidi w:val="0"/>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val="en-US" w:eastAsia="zh-CN"/>
        </w:rPr>
        <w:t>主要</w:t>
      </w:r>
      <w:r>
        <w:rPr>
          <w:rFonts w:hint="eastAsia" w:ascii="宋体" w:hAnsi="宋体" w:cs="宋体"/>
          <w:color w:val="auto"/>
          <w:sz w:val="24"/>
          <w:szCs w:val="24"/>
          <w:highlight w:val="none"/>
          <w:lang w:val="en-US" w:eastAsia="zh-CN"/>
        </w:rPr>
        <w:t>建设内容为</w:t>
      </w:r>
      <w:r>
        <w:rPr>
          <w:rFonts w:hint="eastAsia" w:ascii="宋体" w:hAnsi="宋体" w:eastAsia="宋体" w:cs="宋体"/>
          <w:color w:val="auto"/>
          <w:sz w:val="24"/>
          <w:szCs w:val="24"/>
          <w:highlight w:val="none"/>
          <w:lang w:val="en-US" w:eastAsia="zh-CN"/>
        </w:rPr>
        <w:t>土地平整、国内育苗标准大棚搭建及必要的遮阳、喷灌等设施建设。</w:t>
      </w:r>
      <w:r>
        <w:rPr>
          <w:rFonts w:hint="eastAsia" w:ascii="宋体" w:hAnsi="宋体" w:cs="宋体"/>
          <w:color w:val="auto"/>
          <w:sz w:val="24"/>
          <w:szCs w:val="24"/>
          <w:highlight w:val="none"/>
          <w:lang w:val="en-US" w:eastAsia="zh-CN"/>
        </w:rPr>
        <w:t>新建</w:t>
      </w:r>
      <w:r>
        <w:rPr>
          <w:rFonts w:hint="eastAsia" w:ascii="宋体" w:hAnsi="宋体" w:eastAsia="宋体" w:cs="宋体"/>
          <w:color w:val="auto"/>
          <w:sz w:val="24"/>
          <w:szCs w:val="24"/>
          <w:highlight w:val="none"/>
          <w:lang w:val="en-US" w:eastAsia="zh-CN"/>
        </w:rPr>
        <w:t>3亩连体大棚2个</w:t>
      </w:r>
      <w:r>
        <w:rPr>
          <w:rFonts w:hint="eastAsia" w:ascii="宋体" w:hAnsi="宋体" w:cs="宋体"/>
          <w:color w:val="auto"/>
          <w:sz w:val="24"/>
          <w:szCs w:val="24"/>
          <w:highlight w:val="none"/>
          <w:lang w:val="en-US" w:eastAsia="zh-CN"/>
        </w:rPr>
        <w:t>，大棚膜采用0.15mm防老化放流滴聚乙烯PE、P0多功能膜,以及蓄水池等</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具体内容详见“第五章采购内容”为准。</w:t>
      </w:r>
    </w:p>
    <w:p w14:paraId="3FF6944F">
      <w:pPr>
        <w:pStyle w:val="18"/>
        <w:pageBreakBefore w:val="0"/>
        <w:shd w:val="clear" w:color="auto" w:fill="auto"/>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bookmarkStart w:id="8" w:name="_Hlk123118098"/>
      <w:r>
        <w:rPr>
          <w:rFonts w:hint="eastAsia" w:ascii="宋体" w:hAnsi="宋体" w:eastAsia="宋体" w:cs="宋体"/>
          <w:color w:val="auto"/>
          <w:sz w:val="24"/>
          <w:szCs w:val="24"/>
          <w:highlight w:val="none"/>
        </w:rPr>
        <w:t>项目实施地点</w:t>
      </w:r>
      <w:bookmarkEnd w:id="8"/>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开南街道贵峰社区大来下居民小组</w:t>
      </w:r>
      <w:r>
        <w:rPr>
          <w:rFonts w:hint="eastAsia" w:ascii="宋体" w:hAnsi="宋体" w:cs="宋体"/>
          <w:color w:val="auto"/>
          <w:sz w:val="24"/>
          <w:szCs w:val="24"/>
          <w:highlight w:val="none"/>
          <w:lang w:val="en-US" w:eastAsia="zh-CN"/>
        </w:rPr>
        <w:t>。</w:t>
      </w:r>
    </w:p>
    <w:p w14:paraId="24ECD631">
      <w:pPr>
        <w:pStyle w:val="18"/>
        <w:pageBreakBefore w:val="0"/>
        <w:shd w:val="clear" w:color="auto" w:fill="auto"/>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9" w:name="_Hlk123118113"/>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质量标准：</w:t>
      </w:r>
      <w:r>
        <w:rPr>
          <w:rFonts w:hint="eastAsia" w:ascii="宋体" w:hAnsi="宋体" w:eastAsia="宋体" w:cs="宋体"/>
          <w:color w:val="auto"/>
          <w:sz w:val="24"/>
          <w:szCs w:val="24"/>
          <w:highlight w:val="none"/>
          <w:lang w:val="en-US" w:eastAsia="zh-CN"/>
        </w:rPr>
        <w:t>符合《建筑工程施工质量验收统一标准》（GB 50300-2013）、《建筑与市政工程施工质量控制通用规范》（GB 55032-2022）及国家、地方、行业现行的相关质量验收标准及规范的要求，且一次性验收合格。</w:t>
      </w:r>
    </w:p>
    <w:p w14:paraId="30765868">
      <w:pPr>
        <w:pStyle w:val="18"/>
        <w:pageBreakBefore w:val="0"/>
        <w:shd w:val="clear" w:color="auto" w:fill="auto"/>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注：在项目实施过程中如有相关规范及标准调整，按最新的规范及标准执行。</w:t>
      </w:r>
    </w:p>
    <w:bookmarkEnd w:id="9"/>
    <w:p w14:paraId="00FEC4D7">
      <w:pPr>
        <w:pStyle w:val="18"/>
        <w:pageBreakBefore w:val="0"/>
        <w:shd w:val="clear" w:color="auto" w:fill="auto"/>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合同履行期限：</w:t>
      </w:r>
      <w:r>
        <w:rPr>
          <w:rFonts w:hint="eastAsia" w:ascii="宋体" w:hAnsi="宋体" w:cs="宋体"/>
          <w:color w:val="auto"/>
          <w:sz w:val="24"/>
          <w:szCs w:val="24"/>
          <w:highlight w:val="none"/>
          <w:lang w:eastAsia="zh-CN"/>
        </w:rPr>
        <w:t>自合同签订生效之日起60日历天完成</w:t>
      </w:r>
      <w:r>
        <w:rPr>
          <w:rFonts w:hint="eastAsia" w:ascii="宋体" w:hAnsi="宋体" w:eastAsia="宋体" w:cs="宋体"/>
          <w:color w:val="auto"/>
          <w:sz w:val="24"/>
          <w:szCs w:val="24"/>
          <w:highlight w:val="none"/>
          <w:lang w:eastAsia="zh-CN"/>
        </w:rPr>
        <w:t>。</w:t>
      </w:r>
    </w:p>
    <w:p w14:paraId="3C3A64C6">
      <w:pPr>
        <w:pageBreakBefore w:val="0"/>
        <w:shd w:val="clear" w:color="auto" w:fill="auto"/>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w:t>
      </w:r>
      <w:r>
        <w:rPr>
          <w:rFonts w:hint="eastAsia" w:ascii="宋体" w:hAnsi="宋体" w:eastAsia="宋体" w:cs="宋体"/>
          <w:b/>
          <w:bCs/>
          <w:color w:val="auto"/>
          <w:sz w:val="24"/>
          <w:szCs w:val="24"/>
          <w:highlight w:val="none"/>
        </w:rPr>
        <w:t>（否）</w:t>
      </w:r>
      <w:r>
        <w:rPr>
          <w:rFonts w:hint="eastAsia" w:ascii="宋体" w:hAnsi="宋体" w:eastAsia="宋体" w:cs="宋体"/>
          <w:color w:val="auto"/>
          <w:sz w:val="24"/>
          <w:szCs w:val="24"/>
          <w:highlight w:val="none"/>
        </w:rPr>
        <w:t>接受联合体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w:t>
      </w:r>
    </w:p>
    <w:p w14:paraId="22BBBEBF">
      <w:pPr>
        <w:pStyle w:val="3"/>
        <w:pageBreakBefore w:val="0"/>
        <w:widowControl/>
        <w:shd w:val="clear" w:color="auto" w:fill="auto"/>
        <w:kinsoku/>
        <w:wordWrap/>
        <w:overflowPunct/>
        <w:topLinePunct w:val="0"/>
        <w:autoSpaceDE/>
        <w:autoSpaceDN/>
        <w:bidi w:val="0"/>
        <w:adjustRightInd w:val="0"/>
        <w:snapToGrid/>
        <w:spacing w:before="0" w:after="0" w:line="360" w:lineRule="auto"/>
        <w:jc w:val="left"/>
        <w:textAlignment w:val="auto"/>
        <w:rPr>
          <w:rFonts w:hint="eastAsia" w:ascii="宋体" w:hAnsi="宋体" w:eastAsia="宋体" w:cs="宋体"/>
          <w:b/>
          <w:color w:val="auto"/>
          <w:kern w:val="0"/>
          <w:sz w:val="24"/>
          <w:szCs w:val="24"/>
          <w:highlight w:val="none"/>
        </w:rPr>
      </w:pPr>
      <w:bookmarkStart w:id="10" w:name="_Toc28359090"/>
      <w:bookmarkStart w:id="11" w:name="_Toc2275"/>
      <w:bookmarkStart w:id="12" w:name="_Toc28359013"/>
      <w:bookmarkStart w:id="13" w:name="_Toc35393799"/>
      <w:bookmarkStart w:id="14" w:name="_Toc11489"/>
      <w:bookmarkStart w:id="15" w:name="_Toc35393630"/>
      <w:r>
        <w:rPr>
          <w:rFonts w:hint="eastAsia" w:ascii="宋体" w:hAnsi="宋体" w:eastAsia="宋体" w:cs="宋体"/>
          <w:b/>
          <w:color w:val="auto"/>
          <w:kern w:val="0"/>
          <w:sz w:val="24"/>
          <w:szCs w:val="24"/>
          <w:highlight w:val="none"/>
        </w:rPr>
        <w:t>二、申请人的资格要求</w:t>
      </w:r>
      <w:bookmarkEnd w:id="10"/>
      <w:bookmarkEnd w:id="11"/>
      <w:bookmarkEnd w:id="12"/>
      <w:bookmarkEnd w:id="13"/>
      <w:bookmarkEnd w:id="14"/>
      <w:bookmarkEnd w:id="15"/>
    </w:p>
    <w:p w14:paraId="03BA5D9F">
      <w:pPr>
        <w:pageBreakBefore w:val="0"/>
        <w:shd w:val="clear" w:color="auto" w:fill="auto"/>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满足《中华人民共和国政府采购法》第二十二条规定；</w:t>
      </w:r>
    </w:p>
    <w:p w14:paraId="0D4315D6">
      <w:pPr>
        <w:pageBreakBefore w:val="0"/>
        <w:shd w:val="clear" w:color="auto" w:fill="auto"/>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val="0"/>
          <w:color w:val="auto"/>
          <w:sz w:val="24"/>
          <w:szCs w:val="22"/>
          <w:highlight w:val="none"/>
          <w:lang w:val="en-US" w:eastAsia="zh-CN"/>
        </w:rPr>
      </w:pPr>
      <w:bookmarkStart w:id="16" w:name="_Toc28359091"/>
      <w:bookmarkStart w:id="17" w:name="_Toc28359014"/>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highlight w:val="none"/>
          <w:lang w:val="en-US" w:eastAsia="zh-CN"/>
        </w:rPr>
        <w:t>落实政府采购政策需满足的资格要求：</w:t>
      </w:r>
      <w:r>
        <w:rPr>
          <w:rFonts w:hint="eastAsia" w:ascii="宋体" w:hAnsi="宋体" w:eastAsia="宋体" w:cs="宋体"/>
          <w:b/>
          <w:bCs w:val="0"/>
          <w:color w:val="auto"/>
          <w:sz w:val="24"/>
          <w:szCs w:val="22"/>
          <w:highlight w:val="none"/>
          <w:lang w:val="en-US" w:eastAsia="zh-CN"/>
        </w:rPr>
        <w:t>本项目属于专门面向中小微企业采购的项目。</w:t>
      </w:r>
    </w:p>
    <w:p w14:paraId="04805593">
      <w:pPr>
        <w:pageBreakBefore w:val="0"/>
        <w:shd w:val="clear" w:color="auto" w:fill="auto"/>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.本项目的特定资格要求：</w:t>
      </w:r>
    </w:p>
    <w:bookmarkEnd w:id="16"/>
    <w:bookmarkEnd w:id="17"/>
    <w:p w14:paraId="2CCF5BA7">
      <w:pPr>
        <w:shd w:val="clear" w:color="auto" w:fill="auto"/>
        <w:spacing w:line="360" w:lineRule="auto"/>
        <w:ind w:firstLine="480" w:firstLineChars="200"/>
        <w:rPr>
          <w:rFonts w:hint="eastAsia" w:ascii="宋体" w:hAnsi="宋体" w:eastAsia="宋体" w:cs="宋体"/>
          <w:color w:val="auto"/>
          <w:sz w:val="24"/>
          <w:szCs w:val="24"/>
          <w:highlight w:val="none"/>
        </w:rPr>
      </w:pPr>
      <w:bookmarkStart w:id="18" w:name="_Toc20709"/>
      <w:r>
        <w:rPr>
          <w:rFonts w:hint="eastAsia" w:ascii="宋体" w:hAnsi="宋体" w:eastAsia="宋体" w:cs="宋体"/>
          <w:b w:val="0"/>
          <w:bCs w:val="0"/>
          <w:color w:val="auto"/>
          <w:sz w:val="24"/>
          <w:szCs w:val="24"/>
          <w:highlight w:val="none"/>
        </w:rPr>
        <w:t>3.1</w:t>
      </w:r>
      <w:r>
        <w:rPr>
          <w:rFonts w:hint="eastAsia" w:ascii="宋体" w:hAnsi="宋体" w:eastAsia="宋体" w:cs="宋体"/>
          <w:b w:val="0"/>
          <w:bCs w:val="0"/>
          <w:color w:val="auto"/>
          <w:sz w:val="24"/>
          <w:szCs w:val="24"/>
          <w:highlight w:val="none"/>
          <w:lang w:val="en-US" w:eastAsia="zh-CN"/>
        </w:rPr>
        <w:t>资质要求</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具备有效的建设行政主管部门颁发的</w:t>
      </w:r>
      <w:r>
        <w:rPr>
          <w:rFonts w:hint="eastAsia" w:hAnsi="宋体" w:cs="宋体"/>
          <w:color w:val="auto"/>
          <w:kern w:val="0"/>
          <w:sz w:val="24"/>
          <w:highlight w:val="none"/>
          <w:lang w:eastAsia="zh-CN"/>
        </w:rPr>
        <w:t>建筑工程</w:t>
      </w:r>
      <w:r>
        <w:rPr>
          <w:rFonts w:hint="eastAsia" w:ascii="宋体" w:hAnsi="宋体" w:eastAsia="宋体" w:cs="宋体"/>
          <w:color w:val="auto"/>
          <w:sz w:val="24"/>
          <w:szCs w:val="24"/>
          <w:highlight w:val="none"/>
          <w:lang w:val="en-US" w:eastAsia="zh-CN"/>
        </w:rPr>
        <w:t>施工总承包三级</w:t>
      </w:r>
      <w:r>
        <w:rPr>
          <w:rFonts w:hint="eastAsia" w:ascii="宋体" w:hAnsi="宋体" w:eastAsia="宋体" w:cs="宋体"/>
          <w:color w:val="auto"/>
          <w:sz w:val="24"/>
          <w:szCs w:val="24"/>
          <w:highlight w:val="none"/>
        </w:rPr>
        <w:t>及其以上资质，且资质证书在有效期内</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并具备有效的安全生产许可证，并在人员、设备、资金等方面具有相应施工能力的单位。</w:t>
      </w:r>
    </w:p>
    <w:p w14:paraId="0E140C3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3.2项目经理要求：拟派往本项目的项目经理须具备国家注册二级及以上建造师（</w:t>
      </w:r>
      <w:r>
        <w:rPr>
          <w:rFonts w:hint="eastAsia" w:hAnsi="宋体" w:cs="宋体"/>
          <w:color w:val="auto"/>
          <w:kern w:val="0"/>
          <w:sz w:val="24"/>
          <w:highlight w:val="none"/>
          <w:lang w:eastAsia="zh-CN"/>
        </w:rPr>
        <w:t>建筑工程</w:t>
      </w:r>
      <w:r>
        <w:rPr>
          <w:rFonts w:hint="eastAsia" w:ascii="宋体" w:hAnsi="宋体" w:eastAsia="宋体" w:cs="宋体"/>
          <w:color w:val="auto"/>
          <w:sz w:val="24"/>
          <w:szCs w:val="24"/>
          <w:highlight w:val="none"/>
          <w:lang w:eastAsia="zh-CN"/>
        </w:rPr>
        <w:t>专业</w:t>
      </w:r>
      <w:r>
        <w:rPr>
          <w:rFonts w:hint="eastAsia" w:ascii="宋体" w:hAnsi="宋体" w:eastAsia="宋体" w:cs="宋体"/>
          <w:color w:val="auto"/>
          <w:sz w:val="24"/>
          <w:szCs w:val="24"/>
          <w:highlight w:val="none"/>
        </w:rPr>
        <w:t>）执业资格和有效的安全生产考核合格证书（B证），需注册在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本单位，提供</w:t>
      </w:r>
      <w:r>
        <w:rPr>
          <w:rFonts w:hint="eastAsia" w:ascii="宋体" w:hAnsi="宋体" w:eastAsia="宋体" w:cs="宋体"/>
          <w:color w:val="auto"/>
          <w:sz w:val="24"/>
          <w:szCs w:val="24"/>
          <w:highlight w:val="none"/>
          <w:lang w:eastAsia="zh-CN"/>
        </w:rPr>
        <w:t>劳动合同或社保缴纳证明材料；且未担任其他在建建设工程项目的项目负责人或项目经理职务（并作出承诺）</w:t>
      </w:r>
      <w:r>
        <w:rPr>
          <w:rFonts w:hint="eastAsia" w:ascii="宋体" w:hAnsi="宋体" w:eastAsia="宋体" w:cs="宋体"/>
          <w:color w:val="auto"/>
          <w:sz w:val="24"/>
          <w:szCs w:val="24"/>
          <w:highlight w:val="none"/>
        </w:rPr>
        <w:t>。</w:t>
      </w:r>
    </w:p>
    <w:p w14:paraId="6578E22C">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3.3其他人员要求:</w:t>
      </w:r>
    </w:p>
    <w:p w14:paraId="185F2982">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①技术负责人:具有工程师及以上的职称证书，拟派本项目技术负责人应为供应商本单位人员，提供劳动合同或社保缴纳证明材料。</w:t>
      </w:r>
    </w:p>
    <w:p w14:paraId="57BAE05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②专职安全员:持有安全生产考核合格证书（C证），拟派本项目专职安全员应为供应商本单位人员</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提供劳动合同或社保缴纳证明材料</w:t>
      </w:r>
      <w:r>
        <w:rPr>
          <w:rFonts w:hint="eastAsia" w:ascii="宋体" w:hAnsi="宋体" w:eastAsia="宋体" w:cs="宋体"/>
          <w:color w:val="auto"/>
          <w:sz w:val="24"/>
          <w:szCs w:val="24"/>
          <w:highlight w:val="none"/>
        </w:rPr>
        <w:t>。</w:t>
      </w:r>
    </w:p>
    <w:p w14:paraId="4FCA879D">
      <w:pPr>
        <w:pStyle w:val="3"/>
        <w:pageBreakBefore w:val="0"/>
        <w:widowControl/>
        <w:shd w:val="clear" w:color="auto" w:fill="auto"/>
        <w:kinsoku/>
        <w:wordWrap/>
        <w:overflowPunct/>
        <w:topLinePunct w:val="0"/>
        <w:autoSpaceDE/>
        <w:autoSpaceDN/>
        <w:bidi w:val="0"/>
        <w:adjustRightInd w:val="0"/>
        <w:snapToGrid/>
        <w:spacing w:before="0" w:after="0" w:line="360" w:lineRule="auto"/>
        <w:jc w:val="left"/>
        <w:textAlignment w:val="auto"/>
        <w:rPr>
          <w:rFonts w:hint="eastAsia" w:ascii="宋体" w:hAnsi="宋体" w:eastAsia="宋体" w:cs="宋体"/>
          <w:b/>
          <w:color w:val="auto"/>
          <w:kern w:val="0"/>
          <w:sz w:val="24"/>
          <w:szCs w:val="24"/>
          <w:highlight w:val="none"/>
        </w:rPr>
      </w:pPr>
      <w:bookmarkStart w:id="19" w:name="_Toc6150"/>
      <w:r>
        <w:rPr>
          <w:rFonts w:hint="eastAsia" w:ascii="宋体" w:hAnsi="宋体" w:eastAsia="宋体" w:cs="宋体"/>
          <w:b/>
          <w:color w:val="auto"/>
          <w:kern w:val="0"/>
          <w:sz w:val="24"/>
          <w:szCs w:val="24"/>
          <w:highlight w:val="none"/>
        </w:rPr>
        <w:t>三、获取采购文件</w:t>
      </w:r>
      <w:bookmarkEnd w:id="18"/>
      <w:bookmarkEnd w:id="19"/>
    </w:p>
    <w:p w14:paraId="7077BB10">
      <w:pPr>
        <w:pageBreakBefore w:val="0"/>
        <w:shd w:val="clear" w:color="auto" w:fill="auto"/>
        <w:kinsoku/>
        <w:wordWrap/>
        <w:overflowPunct/>
        <w:topLinePunct w:val="0"/>
        <w:autoSpaceDE/>
        <w:autoSpaceDN/>
        <w:bidi w:val="0"/>
        <w:snapToGrid/>
        <w:spacing w:line="360" w:lineRule="auto"/>
        <w:ind w:firstLine="480" w:firstLineChars="200"/>
        <w:jc w:val="left"/>
        <w:textAlignment w:val="auto"/>
        <w:outlineLvl w:val="9"/>
        <w:rPr>
          <w:rFonts w:hint="eastAsia" w:ascii="宋体" w:hAnsi="宋体" w:eastAsia="宋体" w:cs="宋体"/>
          <w:bCs w:val="0"/>
          <w:color w:val="auto"/>
          <w:spacing w:val="0"/>
          <w:sz w:val="24"/>
          <w:szCs w:val="24"/>
          <w:highlight w:val="none"/>
          <w:shd w:val="clear" w:color="auto" w:fill="auto"/>
        </w:rPr>
      </w:pPr>
      <w:r>
        <w:rPr>
          <w:rFonts w:hint="eastAsia" w:ascii="宋体" w:hAnsi="宋体" w:eastAsia="宋体" w:cs="宋体"/>
          <w:bCs w:val="0"/>
          <w:color w:val="auto"/>
          <w:spacing w:val="0"/>
          <w:sz w:val="24"/>
          <w:szCs w:val="24"/>
          <w:highlight w:val="none"/>
        </w:rPr>
        <w:t>1、时间</w:t>
      </w:r>
      <w:r>
        <w:rPr>
          <w:rFonts w:hint="eastAsia" w:ascii="宋体" w:hAnsi="宋体" w:eastAsia="宋体" w:cs="宋体"/>
          <w:bCs w:val="0"/>
          <w:color w:val="auto"/>
          <w:spacing w:val="0"/>
          <w:sz w:val="24"/>
          <w:szCs w:val="24"/>
          <w:highlight w:val="none"/>
          <w:shd w:val="clear" w:color="auto" w:fill="auto"/>
        </w:rPr>
        <w:t>：</w:t>
      </w:r>
      <w:r>
        <w:rPr>
          <w:rFonts w:hint="eastAsia" w:hAnsi="宋体" w:cs="宋体"/>
          <w:bCs w:val="0"/>
          <w:color w:val="auto"/>
          <w:spacing w:val="0"/>
          <w:sz w:val="24"/>
          <w:szCs w:val="24"/>
          <w:highlight w:val="none"/>
          <w:shd w:val="clear" w:color="auto" w:fill="auto"/>
          <w:lang w:val="en-US" w:eastAsia="zh-CN"/>
        </w:rPr>
        <w:t>2026</w:t>
      </w:r>
      <w:r>
        <w:rPr>
          <w:rFonts w:hint="eastAsia" w:ascii="宋体" w:hAnsi="宋体" w:eastAsia="宋体" w:cs="宋体"/>
          <w:bCs w:val="0"/>
          <w:color w:val="auto"/>
          <w:spacing w:val="0"/>
          <w:sz w:val="24"/>
          <w:szCs w:val="24"/>
          <w:highlight w:val="none"/>
          <w:shd w:val="clear" w:color="auto" w:fill="auto"/>
        </w:rPr>
        <w:t>年</w:t>
      </w:r>
      <w:r>
        <w:rPr>
          <w:rFonts w:hint="eastAsia" w:hAnsi="宋体" w:cs="宋体"/>
          <w:bCs w:val="0"/>
          <w:color w:val="auto"/>
          <w:spacing w:val="0"/>
          <w:sz w:val="24"/>
          <w:szCs w:val="24"/>
          <w:highlight w:val="none"/>
          <w:shd w:val="clear" w:color="auto" w:fill="auto"/>
          <w:lang w:val="en-US" w:eastAsia="zh-CN"/>
        </w:rPr>
        <w:t>05</w:t>
      </w:r>
      <w:r>
        <w:rPr>
          <w:rFonts w:hint="eastAsia" w:ascii="宋体" w:hAnsi="宋体" w:eastAsia="宋体" w:cs="宋体"/>
          <w:bCs w:val="0"/>
          <w:color w:val="auto"/>
          <w:spacing w:val="0"/>
          <w:sz w:val="24"/>
          <w:szCs w:val="24"/>
          <w:highlight w:val="none"/>
          <w:shd w:val="clear" w:color="auto" w:fill="auto"/>
          <w:lang w:val="en-US" w:eastAsia="zh-CN"/>
        </w:rPr>
        <w:t>月</w:t>
      </w:r>
      <w:r>
        <w:rPr>
          <w:rFonts w:hint="eastAsia" w:hAnsi="宋体" w:cs="宋体"/>
          <w:bCs w:val="0"/>
          <w:color w:val="auto"/>
          <w:spacing w:val="0"/>
          <w:sz w:val="24"/>
          <w:szCs w:val="24"/>
          <w:highlight w:val="none"/>
          <w:shd w:val="clear" w:color="auto" w:fill="auto"/>
          <w:lang w:val="en-US" w:eastAsia="zh-CN"/>
        </w:rPr>
        <w:t>14</w:t>
      </w:r>
      <w:r>
        <w:rPr>
          <w:rFonts w:hint="eastAsia" w:ascii="宋体" w:hAnsi="宋体" w:eastAsia="宋体" w:cs="宋体"/>
          <w:bCs w:val="0"/>
          <w:color w:val="auto"/>
          <w:spacing w:val="0"/>
          <w:sz w:val="24"/>
          <w:szCs w:val="24"/>
          <w:highlight w:val="none"/>
          <w:shd w:val="clear" w:color="auto" w:fill="auto"/>
          <w:lang w:val="en-US" w:eastAsia="zh-CN"/>
        </w:rPr>
        <w:t>日</w:t>
      </w:r>
      <w:r>
        <w:rPr>
          <w:rFonts w:hint="eastAsia" w:ascii="宋体" w:hAnsi="宋体" w:eastAsia="宋体" w:cs="宋体"/>
          <w:bCs w:val="0"/>
          <w:color w:val="auto"/>
          <w:spacing w:val="0"/>
          <w:sz w:val="24"/>
          <w:szCs w:val="24"/>
          <w:highlight w:val="none"/>
          <w:shd w:val="clear" w:color="auto" w:fill="auto"/>
        </w:rPr>
        <w:t>至</w:t>
      </w:r>
      <w:r>
        <w:rPr>
          <w:rFonts w:hint="eastAsia" w:hAnsi="宋体" w:cs="宋体"/>
          <w:bCs w:val="0"/>
          <w:color w:val="auto"/>
          <w:spacing w:val="0"/>
          <w:sz w:val="24"/>
          <w:szCs w:val="24"/>
          <w:highlight w:val="none"/>
          <w:shd w:val="clear" w:color="auto" w:fill="auto"/>
          <w:lang w:val="en-US" w:eastAsia="zh-CN"/>
        </w:rPr>
        <w:t>2026</w:t>
      </w:r>
      <w:r>
        <w:rPr>
          <w:rFonts w:hint="eastAsia" w:ascii="宋体" w:hAnsi="宋体" w:eastAsia="宋体" w:cs="宋体"/>
          <w:bCs w:val="0"/>
          <w:color w:val="auto"/>
          <w:spacing w:val="0"/>
          <w:sz w:val="24"/>
          <w:szCs w:val="24"/>
          <w:highlight w:val="none"/>
          <w:shd w:val="clear" w:color="auto" w:fill="auto"/>
        </w:rPr>
        <w:t>年</w:t>
      </w:r>
      <w:r>
        <w:rPr>
          <w:rFonts w:hint="eastAsia" w:hAnsi="宋体" w:cs="宋体"/>
          <w:bCs w:val="0"/>
          <w:color w:val="auto"/>
          <w:spacing w:val="0"/>
          <w:sz w:val="24"/>
          <w:szCs w:val="24"/>
          <w:highlight w:val="none"/>
          <w:shd w:val="clear" w:color="auto" w:fill="auto"/>
          <w:lang w:val="en-US" w:eastAsia="zh-CN"/>
        </w:rPr>
        <w:t>05</w:t>
      </w:r>
      <w:r>
        <w:rPr>
          <w:rFonts w:hint="eastAsia" w:ascii="宋体" w:hAnsi="宋体" w:eastAsia="宋体" w:cs="宋体"/>
          <w:bCs w:val="0"/>
          <w:color w:val="auto"/>
          <w:spacing w:val="0"/>
          <w:sz w:val="24"/>
          <w:szCs w:val="24"/>
          <w:highlight w:val="none"/>
          <w:shd w:val="clear" w:color="auto" w:fill="auto"/>
          <w:lang w:val="en-US" w:eastAsia="zh-CN"/>
        </w:rPr>
        <w:t>月</w:t>
      </w:r>
      <w:r>
        <w:rPr>
          <w:rFonts w:hint="eastAsia" w:hAnsi="宋体" w:cs="宋体"/>
          <w:bCs w:val="0"/>
          <w:color w:val="auto"/>
          <w:spacing w:val="0"/>
          <w:sz w:val="24"/>
          <w:szCs w:val="24"/>
          <w:highlight w:val="none"/>
          <w:shd w:val="clear" w:color="auto" w:fill="auto"/>
          <w:lang w:val="en-US" w:eastAsia="zh-CN"/>
        </w:rPr>
        <w:t>21</w:t>
      </w:r>
      <w:r>
        <w:rPr>
          <w:rFonts w:hint="eastAsia" w:ascii="宋体" w:hAnsi="宋体" w:eastAsia="宋体" w:cs="宋体"/>
          <w:bCs w:val="0"/>
          <w:color w:val="auto"/>
          <w:spacing w:val="0"/>
          <w:sz w:val="24"/>
          <w:szCs w:val="24"/>
          <w:highlight w:val="none"/>
          <w:shd w:val="clear" w:color="auto" w:fill="auto"/>
          <w:lang w:val="en-US" w:eastAsia="zh-CN"/>
        </w:rPr>
        <w:t>日</w:t>
      </w:r>
      <w:r>
        <w:rPr>
          <w:rFonts w:hint="eastAsia" w:ascii="宋体" w:hAnsi="宋体" w:eastAsia="宋体" w:cs="宋体"/>
          <w:bCs w:val="0"/>
          <w:color w:val="auto"/>
          <w:spacing w:val="0"/>
          <w:sz w:val="24"/>
          <w:szCs w:val="24"/>
          <w:highlight w:val="none"/>
          <w:shd w:val="clear" w:color="auto" w:fill="auto"/>
        </w:rPr>
        <w:t>，每天上午</w:t>
      </w:r>
      <w:r>
        <w:rPr>
          <w:rFonts w:hint="eastAsia" w:hAnsi="宋体" w:cs="宋体"/>
          <w:bCs w:val="0"/>
          <w:color w:val="auto"/>
          <w:spacing w:val="0"/>
          <w:sz w:val="24"/>
          <w:szCs w:val="24"/>
          <w:highlight w:val="none"/>
          <w:shd w:val="clear" w:color="auto" w:fill="auto"/>
          <w:lang w:val="en-US" w:eastAsia="zh-CN"/>
        </w:rPr>
        <w:t>06</w:t>
      </w:r>
      <w:r>
        <w:rPr>
          <w:rFonts w:hint="eastAsia" w:ascii="宋体" w:hAnsi="宋体" w:eastAsia="宋体" w:cs="宋体"/>
          <w:bCs w:val="0"/>
          <w:color w:val="auto"/>
          <w:spacing w:val="0"/>
          <w:sz w:val="24"/>
          <w:szCs w:val="24"/>
          <w:highlight w:val="none"/>
          <w:shd w:val="clear" w:color="auto" w:fill="auto"/>
        </w:rPr>
        <w:t>:00至12:00，下午12:00至2</w:t>
      </w:r>
      <w:r>
        <w:rPr>
          <w:rFonts w:hint="eastAsia" w:ascii="宋体" w:hAnsi="宋体" w:eastAsia="宋体" w:cs="宋体"/>
          <w:bCs w:val="0"/>
          <w:color w:val="auto"/>
          <w:spacing w:val="0"/>
          <w:sz w:val="24"/>
          <w:szCs w:val="24"/>
          <w:highlight w:val="none"/>
          <w:shd w:val="clear" w:color="auto" w:fill="auto"/>
          <w:lang w:val="en-US" w:eastAsia="zh-CN"/>
        </w:rPr>
        <w:t>3</w:t>
      </w:r>
      <w:r>
        <w:rPr>
          <w:rFonts w:hint="eastAsia" w:ascii="宋体" w:hAnsi="宋体" w:eastAsia="宋体" w:cs="宋体"/>
          <w:bCs w:val="0"/>
          <w:color w:val="auto"/>
          <w:spacing w:val="0"/>
          <w:sz w:val="24"/>
          <w:szCs w:val="24"/>
          <w:highlight w:val="none"/>
          <w:shd w:val="clear" w:color="auto" w:fill="auto"/>
        </w:rPr>
        <w:t>:</w:t>
      </w:r>
      <w:r>
        <w:rPr>
          <w:rFonts w:hint="eastAsia" w:ascii="宋体" w:hAnsi="宋体" w:eastAsia="宋体" w:cs="宋体"/>
          <w:bCs w:val="0"/>
          <w:color w:val="auto"/>
          <w:spacing w:val="0"/>
          <w:sz w:val="24"/>
          <w:szCs w:val="24"/>
          <w:highlight w:val="none"/>
          <w:shd w:val="clear" w:color="auto" w:fill="auto"/>
          <w:lang w:val="en-US" w:eastAsia="zh-CN"/>
        </w:rPr>
        <w:t>59</w:t>
      </w:r>
      <w:r>
        <w:rPr>
          <w:rFonts w:hint="eastAsia" w:ascii="宋体" w:hAnsi="宋体" w:eastAsia="宋体" w:cs="宋体"/>
          <w:bCs w:val="0"/>
          <w:color w:val="auto"/>
          <w:spacing w:val="0"/>
          <w:sz w:val="24"/>
          <w:szCs w:val="24"/>
          <w:highlight w:val="none"/>
          <w:shd w:val="clear" w:color="auto" w:fill="auto"/>
        </w:rPr>
        <w:t>（北京时间，法定节假日除外）。</w:t>
      </w:r>
    </w:p>
    <w:p w14:paraId="3776C42C">
      <w:pPr>
        <w:pageBreakBefore w:val="0"/>
        <w:shd w:val="clear" w:color="auto" w:fill="auto"/>
        <w:kinsoku/>
        <w:wordWrap/>
        <w:overflowPunct/>
        <w:topLinePunct w:val="0"/>
        <w:autoSpaceDE/>
        <w:autoSpaceDN/>
        <w:bidi w:val="0"/>
        <w:snapToGrid/>
        <w:spacing w:line="360" w:lineRule="auto"/>
        <w:ind w:firstLine="480" w:firstLineChars="200"/>
        <w:jc w:val="left"/>
        <w:textAlignment w:val="auto"/>
        <w:outlineLvl w:val="9"/>
        <w:rPr>
          <w:rFonts w:hint="eastAsia" w:ascii="宋体" w:hAnsi="宋体" w:eastAsia="宋体" w:cs="宋体"/>
          <w:bCs w:val="0"/>
          <w:color w:val="auto"/>
          <w:spacing w:val="0"/>
          <w:sz w:val="24"/>
          <w:szCs w:val="24"/>
          <w:highlight w:val="none"/>
        </w:rPr>
      </w:pPr>
      <w:r>
        <w:rPr>
          <w:rFonts w:hint="eastAsia" w:ascii="宋体" w:hAnsi="宋体" w:eastAsia="宋体" w:cs="宋体"/>
          <w:bCs w:val="0"/>
          <w:color w:val="auto"/>
          <w:spacing w:val="0"/>
          <w:sz w:val="24"/>
          <w:szCs w:val="24"/>
          <w:highlight w:val="none"/>
        </w:rPr>
        <w:t>2、地点：云南省政府采购电子交易平台（政采云https://www.zcygov.cn/）</w:t>
      </w:r>
    </w:p>
    <w:p w14:paraId="45E32BB6">
      <w:pPr>
        <w:pageBreakBefore w:val="0"/>
        <w:shd w:val="clear" w:color="auto" w:fill="auto"/>
        <w:kinsoku/>
        <w:wordWrap/>
        <w:overflowPunct/>
        <w:topLinePunct w:val="0"/>
        <w:autoSpaceDE/>
        <w:autoSpaceDN/>
        <w:bidi w:val="0"/>
        <w:snapToGrid/>
        <w:spacing w:line="360" w:lineRule="auto"/>
        <w:ind w:firstLine="480" w:firstLineChars="200"/>
        <w:jc w:val="left"/>
        <w:textAlignment w:val="auto"/>
        <w:outlineLvl w:val="9"/>
        <w:rPr>
          <w:rFonts w:hint="eastAsia" w:ascii="宋体" w:hAnsi="宋体" w:eastAsia="宋体" w:cs="宋体"/>
          <w:bCs w:val="0"/>
          <w:color w:val="auto"/>
          <w:spacing w:val="0"/>
          <w:sz w:val="24"/>
          <w:szCs w:val="24"/>
          <w:highlight w:val="none"/>
        </w:rPr>
      </w:pPr>
      <w:r>
        <w:rPr>
          <w:rFonts w:hint="eastAsia" w:ascii="宋体" w:hAnsi="宋体" w:eastAsia="宋体" w:cs="宋体"/>
          <w:bCs w:val="0"/>
          <w:color w:val="auto"/>
          <w:spacing w:val="0"/>
          <w:sz w:val="24"/>
          <w:szCs w:val="24"/>
          <w:highlight w:val="none"/>
        </w:rPr>
        <w:t>3、方式：</w:t>
      </w:r>
    </w:p>
    <w:p w14:paraId="2EB55637">
      <w:pPr>
        <w:pageBreakBefore w:val="0"/>
        <w:shd w:val="clear" w:color="auto" w:fill="auto"/>
        <w:kinsoku/>
        <w:wordWrap/>
        <w:overflowPunct/>
        <w:topLinePunct w:val="0"/>
        <w:autoSpaceDE/>
        <w:autoSpaceDN/>
        <w:bidi w:val="0"/>
        <w:snapToGrid/>
        <w:spacing w:line="360" w:lineRule="auto"/>
        <w:ind w:firstLine="480" w:firstLineChars="200"/>
        <w:jc w:val="left"/>
        <w:textAlignment w:val="auto"/>
        <w:outlineLvl w:val="9"/>
        <w:rPr>
          <w:rFonts w:hint="eastAsia" w:ascii="宋体" w:hAnsi="宋体" w:eastAsia="宋体" w:cs="宋体"/>
          <w:bCs w:val="0"/>
          <w:color w:val="auto"/>
          <w:spacing w:val="0"/>
          <w:sz w:val="24"/>
          <w:szCs w:val="24"/>
          <w:highlight w:val="none"/>
        </w:rPr>
      </w:pPr>
      <w:r>
        <w:rPr>
          <w:rFonts w:hint="eastAsia" w:ascii="宋体" w:hAnsi="宋体" w:eastAsia="宋体" w:cs="宋体"/>
          <w:bCs w:val="0"/>
          <w:color w:val="auto"/>
          <w:spacing w:val="0"/>
          <w:sz w:val="24"/>
          <w:szCs w:val="24"/>
          <w:highlight w:val="none"/>
        </w:rPr>
        <w:t>（一）凡有意参加投标（磋商或谈判）者，须注册政采云平台账号并登录办理数字证书（CA），若供应商未办理数字证书（CA）的，可选择办理云南壹证通CA。CA申领链接：http://yzt.ynsmartcert.cn/cms/ca0069.html云南壹证通CA 可支持线上、线下两种办理方式，并提供7*24小时全天候客户服务支持，客服热线</w:t>
      </w:r>
      <w:r>
        <w:rPr>
          <w:rFonts w:hint="eastAsia" w:ascii="宋体" w:hAnsi="宋体" w:eastAsia="宋体" w:cs="宋体"/>
          <w:bCs w:val="0"/>
          <w:color w:val="auto"/>
          <w:spacing w:val="0"/>
          <w:sz w:val="24"/>
          <w:szCs w:val="24"/>
          <w:highlight w:val="none"/>
          <w:lang w:eastAsia="zh-CN"/>
        </w:rPr>
        <w:t>95763</w:t>
      </w:r>
      <w:r>
        <w:rPr>
          <w:rFonts w:hint="eastAsia" w:ascii="宋体" w:hAnsi="宋体" w:eastAsia="宋体" w:cs="宋体"/>
          <w:bCs w:val="0"/>
          <w:color w:val="auto"/>
          <w:spacing w:val="0"/>
          <w:sz w:val="24"/>
          <w:szCs w:val="24"/>
          <w:highlight w:val="none"/>
        </w:rPr>
        <w:t>。（紧急CA办理电话：19988166369）政府采购云平台支持多家CA服务商，供应商可自行选择办理。</w:t>
      </w:r>
    </w:p>
    <w:p w14:paraId="5A9FAE9D">
      <w:pPr>
        <w:pageBreakBefore w:val="0"/>
        <w:shd w:val="clear" w:color="auto" w:fill="auto"/>
        <w:kinsoku/>
        <w:wordWrap/>
        <w:overflowPunct/>
        <w:topLinePunct w:val="0"/>
        <w:autoSpaceDE/>
        <w:autoSpaceDN/>
        <w:bidi w:val="0"/>
        <w:snapToGrid/>
        <w:spacing w:line="360" w:lineRule="auto"/>
        <w:ind w:firstLine="480" w:firstLineChars="200"/>
        <w:jc w:val="left"/>
        <w:textAlignment w:val="auto"/>
        <w:outlineLvl w:val="9"/>
        <w:rPr>
          <w:rFonts w:hint="eastAsia" w:ascii="宋体" w:hAnsi="宋体" w:eastAsia="宋体" w:cs="宋体"/>
          <w:bCs w:val="0"/>
          <w:color w:val="auto"/>
          <w:spacing w:val="0"/>
          <w:sz w:val="24"/>
          <w:szCs w:val="24"/>
          <w:highlight w:val="none"/>
        </w:rPr>
      </w:pPr>
      <w:r>
        <w:rPr>
          <w:rFonts w:hint="eastAsia" w:ascii="宋体" w:hAnsi="宋体" w:eastAsia="宋体" w:cs="宋体"/>
          <w:bCs w:val="0"/>
          <w:color w:val="auto"/>
          <w:spacing w:val="0"/>
          <w:sz w:val="24"/>
          <w:szCs w:val="24"/>
          <w:highlight w:val="none"/>
        </w:rPr>
        <w:t>（二）数字证书（CA）申领完成之后进入政府采购云平台，企业账号与数字证书（CA）进行绑定，凭企业数字证书（CA）进行项目报名及免费下载招标文件。</w:t>
      </w:r>
    </w:p>
    <w:p w14:paraId="58C958D1">
      <w:pPr>
        <w:pageBreakBefore w:val="0"/>
        <w:shd w:val="clear" w:color="auto" w:fill="auto"/>
        <w:kinsoku/>
        <w:wordWrap/>
        <w:overflowPunct/>
        <w:topLinePunct w:val="0"/>
        <w:autoSpaceDE/>
        <w:autoSpaceDN/>
        <w:bidi w:val="0"/>
        <w:snapToGrid/>
        <w:spacing w:line="360" w:lineRule="auto"/>
        <w:ind w:firstLine="480" w:firstLineChars="200"/>
        <w:jc w:val="left"/>
        <w:textAlignment w:val="auto"/>
        <w:outlineLvl w:val="9"/>
        <w:rPr>
          <w:rFonts w:hint="eastAsia" w:ascii="宋体" w:hAnsi="宋体" w:eastAsia="宋体" w:cs="宋体"/>
          <w:bCs w:val="0"/>
          <w:color w:val="auto"/>
          <w:spacing w:val="0"/>
          <w:sz w:val="24"/>
          <w:szCs w:val="24"/>
          <w:highlight w:val="none"/>
        </w:rPr>
      </w:pPr>
      <w:r>
        <w:rPr>
          <w:rFonts w:hint="eastAsia" w:ascii="宋体" w:hAnsi="宋体" w:eastAsia="宋体" w:cs="宋体"/>
          <w:bCs w:val="0"/>
          <w:color w:val="auto"/>
          <w:spacing w:val="0"/>
          <w:sz w:val="24"/>
          <w:szCs w:val="24"/>
          <w:highlight w:val="none"/>
        </w:rPr>
        <w:t>（三）按上述要求获取文件的供应商视为已合法获取本项目采购文件，具备本项目的投标（磋商或谈判）资格。</w:t>
      </w:r>
    </w:p>
    <w:p w14:paraId="66F060A6">
      <w:pPr>
        <w:pageBreakBefore w:val="0"/>
        <w:shd w:val="clear" w:color="auto" w:fill="auto"/>
        <w:kinsoku/>
        <w:wordWrap/>
        <w:overflowPunct/>
        <w:topLinePunct w:val="0"/>
        <w:autoSpaceDE/>
        <w:autoSpaceDN/>
        <w:bidi w:val="0"/>
        <w:snapToGrid/>
        <w:spacing w:line="360" w:lineRule="auto"/>
        <w:ind w:firstLine="480" w:firstLineChars="200"/>
        <w:jc w:val="left"/>
        <w:textAlignment w:val="auto"/>
        <w:outlineLvl w:val="9"/>
        <w:rPr>
          <w:rFonts w:hint="eastAsia" w:ascii="宋体" w:hAnsi="宋体" w:eastAsia="宋体" w:cs="宋体"/>
          <w:bCs w:val="0"/>
          <w:color w:val="auto"/>
          <w:spacing w:val="0"/>
          <w:sz w:val="24"/>
          <w:szCs w:val="24"/>
          <w:highlight w:val="none"/>
        </w:rPr>
      </w:pPr>
      <w:r>
        <w:rPr>
          <w:rFonts w:hint="eastAsia" w:ascii="宋体" w:hAnsi="宋体" w:eastAsia="宋体" w:cs="宋体"/>
          <w:bCs w:val="0"/>
          <w:color w:val="auto"/>
          <w:spacing w:val="0"/>
          <w:sz w:val="24"/>
          <w:szCs w:val="24"/>
          <w:highlight w:val="none"/>
        </w:rPr>
        <w:t>（四）如有问题可拨打政采云客户服务热线95763进行咨询，数字证书（CA）问题可咨询24小时技术支持热线</w:t>
      </w:r>
      <w:r>
        <w:rPr>
          <w:rFonts w:hint="eastAsia" w:ascii="宋体" w:hAnsi="宋体" w:eastAsia="宋体" w:cs="宋体"/>
          <w:bCs w:val="0"/>
          <w:color w:val="auto"/>
          <w:spacing w:val="0"/>
          <w:sz w:val="24"/>
          <w:szCs w:val="24"/>
          <w:highlight w:val="none"/>
          <w:lang w:eastAsia="zh-CN"/>
        </w:rPr>
        <w:t>95763</w:t>
      </w:r>
      <w:r>
        <w:rPr>
          <w:rFonts w:hint="eastAsia" w:ascii="宋体" w:hAnsi="宋体" w:eastAsia="宋体" w:cs="宋体"/>
          <w:bCs w:val="0"/>
          <w:color w:val="auto"/>
          <w:spacing w:val="0"/>
          <w:sz w:val="24"/>
          <w:szCs w:val="24"/>
          <w:highlight w:val="none"/>
        </w:rPr>
        <w:t>（紧急办理可拨：19988166369）</w:t>
      </w:r>
    </w:p>
    <w:p w14:paraId="443F2789">
      <w:pPr>
        <w:pageBreakBefore w:val="0"/>
        <w:shd w:val="clear" w:color="auto" w:fill="auto"/>
        <w:kinsoku/>
        <w:wordWrap/>
        <w:overflowPunct/>
        <w:topLinePunct w:val="0"/>
        <w:autoSpaceDE/>
        <w:autoSpaceDN/>
        <w:bidi w:val="0"/>
        <w:snapToGrid/>
        <w:spacing w:line="360" w:lineRule="auto"/>
        <w:ind w:firstLine="480" w:firstLineChars="200"/>
        <w:jc w:val="left"/>
        <w:textAlignment w:val="auto"/>
        <w:outlineLvl w:val="9"/>
        <w:rPr>
          <w:rFonts w:hint="eastAsia" w:ascii="宋体" w:hAnsi="宋体" w:eastAsia="宋体" w:cs="宋体"/>
          <w:bCs w:val="0"/>
          <w:color w:val="auto"/>
          <w:spacing w:val="0"/>
          <w:sz w:val="24"/>
          <w:szCs w:val="24"/>
          <w:highlight w:val="none"/>
        </w:rPr>
      </w:pPr>
      <w:r>
        <w:rPr>
          <w:rFonts w:hint="eastAsia" w:ascii="宋体" w:hAnsi="宋体" w:eastAsia="宋体" w:cs="宋体"/>
          <w:bCs w:val="0"/>
          <w:color w:val="auto"/>
          <w:spacing w:val="0"/>
          <w:sz w:val="24"/>
          <w:szCs w:val="24"/>
          <w:highlight w:val="none"/>
        </w:rPr>
        <w:t>注：云南省外供应商在政采云平台办理的其他CA可直接使用，无需重复办理。</w:t>
      </w:r>
    </w:p>
    <w:p w14:paraId="2497A9C5">
      <w:pPr>
        <w:pageBreakBefore w:val="0"/>
        <w:shd w:val="clear" w:color="auto" w:fill="auto"/>
        <w:kinsoku/>
        <w:wordWrap/>
        <w:overflowPunct/>
        <w:topLinePunct w:val="0"/>
        <w:autoSpaceDE/>
        <w:autoSpaceDN/>
        <w:bidi w:val="0"/>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w:t>
      </w:r>
      <w:r>
        <w:rPr>
          <w:rFonts w:hint="eastAsia" w:ascii="宋体" w:hAnsi="宋体" w:eastAsia="宋体" w:cs="宋体"/>
          <w:color w:val="auto"/>
          <w:sz w:val="24"/>
          <w:szCs w:val="24"/>
          <w:highlight w:val="none"/>
          <w:lang w:val="en-US" w:eastAsia="zh-CN"/>
        </w:rPr>
        <w:t>0元</w:t>
      </w:r>
      <w:r>
        <w:rPr>
          <w:rFonts w:hint="eastAsia" w:ascii="宋体" w:hAnsi="宋体" w:eastAsia="宋体" w:cs="宋体"/>
          <w:color w:val="auto"/>
          <w:sz w:val="24"/>
          <w:szCs w:val="24"/>
          <w:highlight w:val="none"/>
        </w:rPr>
        <w:t>。</w:t>
      </w:r>
    </w:p>
    <w:p w14:paraId="2DD4C420">
      <w:pPr>
        <w:pStyle w:val="3"/>
        <w:pageBreakBefore w:val="0"/>
        <w:widowControl/>
        <w:shd w:val="clear" w:color="auto" w:fill="auto"/>
        <w:kinsoku/>
        <w:wordWrap/>
        <w:overflowPunct/>
        <w:topLinePunct w:val="0"/>
        <w:autoSpaceDE/>
        <w:autoSpaceDN/>
        <w:bidi w:val="0"/>
        <w:adjustRightInd w:val="0"/>
        <w:snapToGrid/>
        <w:spacing w:before="0" w:after="0" w:line="360" w:lineRule="auto"/>
        <w:jc w:val="left"/>
        <w:textAlignment w:val="auto"/>
        <w:rPr>
          <w:rFonts w:hint="eastAsia" w:ascii="宋体" w:hAnsi="宋体" w:eastAsia="宋体" w:cs="宋体"/>
          <w:b/>
          <w:color w:val="auto"/>
          <w:kern w:val="0"/>
          <w:sz w:val="24"/>
          <w:szCs w:val="24"/>
          <w:highlight w:val="none"/>
          <w:lang w:val="en-US" w:eastAsia="zh-CN"/>
        </w:rPr>
      </w:pPr>
      <w:bookmarkStart w:id="20" w:name="_Toc11085"/>
      <w:bookmarkStart w:id="21" w:name="_Toc4282"/>
      <w:r>
        <w:rPr>
          <w:rFonts w:hint="eastAsia" w:ascii="宋体" w:hAnsi="宋体" w:eastAsia="宋体" w:cs="宋体"/>
          <w:b/>
          <w:color w:val="auto"/>
          <w:kern w:val="0"/>
          <w:sz w:val="24"/>
          <w:szCs w:val="24"/>
          <w:highlight w:val="none"/>
        </w:rPr>
        <w:t>四、响应文件</w:t>
      </w:r>
      <w:r>
        <w:rPr>
          <w:rFonts w:hint="eastAsia" w:ascii="宋体" w:hAnsi="宋体" w:eastAsia="宋体" w:cs="宋体"/>
          <w:b/>
          <w:color w:val="auto"/>
          <w:kern w:val="0"/>
          <w:sz w:val="24"/>
          <w:szCs w:val="24"/>
          <w:highlight w:val="none"/>
          <w:lang w:val="en-US" w:eastAsia="zh-CN"/>
        </w:rPr>
        <w:t>提交</w:t>
      </w:r>
      <w:bookmarkEnd w:id="20"/>
      <w:bookmarkEnd w:id="21"/>
    </w:p>
    <w:p w14:paraId="19848653">
      <w:pPr>
        <w:pageBreakBefore w:val="0"/>
        <w:shd w:val="clear" w:color="auto" w:fill="auto"/>
        <w:kinsoku/>
        <w:wordWrap/>
        <w:overflowPunct/>
        <w:topLinePunct w:val="0"/>
        <w:autoSpaceDE/>
        <w:autoSpaceDN/>
        <w:bidi w:val="0"/>
        <w:snapToGrid/>
        <w:spacing w:line="360" w:lineRule="auto"/>
        <w:ind w:firstLine="480" w:firstLineChars="200"/>
        <w:jc w:val="left"/>
        <w:textAlignment w:val="auto"/>
        <w:outlineLvl w:val="9"/>
        <w:rPr>
          <w:rFonts w:hint="eastAsia" w:ascii="宋体" w:hAnsi="宋体" w:eastAsia="宋体" w:cs="宋体"/>
          <w:bCs w:val="0"/>
          <w:color w:val="auto"/>
          <w:spacing w:val="0"/>
          <w:sz w:val="24"/>
          <w:szCs w:val="24"/>
          <w:highlight w:val="none"/>
        </w:rPr>
      </w:pPr>
      <w:r>
        <w:rPr>
          <w:rFonts w:hint="eastAsia" w:ascii="宋体" w:hAnsi="宋体" w:eastAsia="宋体" w:cs="宋体"/>
          <w:bCs w:val="0"/>
          <w:color w:val="auto"/>
          <w:spacing w:val="0"/>
          <w:sz w:val="24"/>
          <w:szCs w:val="24"/>
          <w:highlight w:val="none"/>
        </w:rPr>
        <w:t>1.截止时间：</w:t>
      </w:r>
      <w:r>
        <w:rPr>
          <w:rFonts w:hint="eastAsia" w:hAnsi="宋体" w:cs="宋体"/>
          <w:color w:val="auto"/>
          <w:sz w:val="24"/>
          <w:szCs w:val="24"/>
          <w:highlight w:val="none"/>
          <w:u w:val="single"/>
          <w:shd w:val="clear" w:color="auto" w:fill="auto"/>
          <w:lang w:val="en-US" w:eastAsia="zh-CN"/>
        </w:rPr>
        <w:t>2026年05月28日上午09</w:t>
      </w:r>
      <w:r>
        <w:rPr>
          <w:rFonts w:hint="eastAsia" w:ascii="宋体" w:hAnsi="宋体" w:eastAsia="宋体" w:cs="宋体"/>
          <w:color w:val="auto"/>
          <w:sz w:val="24"/>
          <w:szCs w:val="24"/>
          <w:highlight w:val="none"/>
          <w:u w:val="single"/>
          <w:shd w:val="clear" w:color="auto" w:fill="auto"/>
          <w:lang w:val="en-US" w:eastAsia="zh-CN"/>
        </w:rPr>
        <w:t>时</w:t>
      </w:r>
      <w:r>
        <w:rPr>
          <w:rFonts w:hint="eastAsia" w:hAnsi="宋体" w:cs="宋体"/>
          <w:color w:val="auto"/>
          <w:sz w:val="24"/>
          <w:szCs w:val="24"/>
          <w:highlight w:val="none"/>
          <w:u w:val="single"/>
          <w:shd w:val="clear" w:color="auto" w:fill="auto"/>
          <w:lang w:val="en-US" w:eastAsia="zh-CN"/>
        </w:rPr>
        <w:t>00</w:t>
      </w:r>
      <w:r>
        <w:rPr>
          <w:rFonts w:hint="eastAsia" w:ascii="宋体" w:hAnsi="宋体" w:eastAsia="宋体" w:cs="宋体"/>
          <w:color w:val="auto"/>
          <w:sz w:val="24"/>
          <w:szCs w:val="24"/>
          <w:highlight w:val="none"/>
          <w:u w:val="single"/>
          <w:shd w:val="clear" w:color="auto" w:fill="auto"/>
          <w:lang w:val="en-US" w:eastAsia="zh-CN"/>
        </w:rPr>
        <w:t>分</w:t>
      </w:r>
      <w:r>
        <w:rPr>
          <w:rFonts w:hint="eastAsia" w:ascii="宋体" w:hAnsi="宋体" w:eastAsia="宋体" w:cs="宋体"/>
          <w:bCs w:val="0"/>
          <w:color w:val="auto"/>
          <w:spacing w:val="0"/>
          <w:sz w:val="24"/>
          <w:szCs w:val="24"/>
          <w:highlight w:val="none"/>
          <w:shd w:val="clear" w:color="auto" w:fill="auto"/>
        </w:rPr>
        <w:t>（北京时间）。</w:t>
      </w:r>
    </w:p>
    <w:p w14:paraId="429E2B92">
      <w:pPr>
        <w:pageBreakBefore w:val="0"/>
        <w:shd w:val="clear" w:color="auto" w:fill="auto"/>
        <w:kinsoku/>
        <w:wordWrap/>
        <w:overflowPunct/>
        <w:topLinePunct w:val="0"/>
        <w:autoSpaceDE/>
        <w:autoSpaceDN/>
        <w:bidi w:val="0"/>
        <w:snapToGrid/>
        <w:spacing w:line="360" w:lineRule="auto"/>
        <w:ind w:firstLine="480" w:firstLineChars="200"/>
        <w:jc w:val="left"/>
        <w:textAlignment w:val="auto"/>
        <w:outlineLvl w:val="9"/>
        <w:rPr>
          <w:rFonts w:hint="eastAsia" w:ascii="宋体" w:hAnsi="宋体" w:eastAsia="宋体" w:cs="宋体"/>
          <w:bCs w:val="0"/>
          <w:color w:val="auto"/>
          <w:spacing w:val="0"/>
          <w:sz w:val="24"/>
          <w:szCs w:val="24"/>
          <w:highlight w:val="none"/>
        </w:rPr>
      </w:pPr>
      <w:r>
        <w:rPr>
          <w:rFonts w:hint="eastAsia" w:ascii="宋体" w:hAnsi="宋体" w:eastAsia="宋体" w:cs="宋体"/>
          <w:bCs w:val="0"/>
          <w:color w:val="auto"/>
          <w:spacing w:val="0"/>
          <w:sz w:val="24"/>
          <w:szCs w:val="24"/>
          <w:highlight w:val="none"/>
        </w:rPr>
        <w:t>2.地点：供应商应按照采购文件和“政采云”平台的要求编制响应文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2680FC4A">
      <w:pPr>
        <w:pStyle w:val="3"/>
        <w:pageBreakBefore w:val="0"/>
        <w:widowControl/>
        <w:shd w:val="clear" w:color="auto" w:fill="auto"/>
        <w:kinsoku/>
        <w:wordWrap/>
        <w:overflowPunct/>
        <w:topLinePunct w:val="0"/>
        <w:autoSpaceDE/>
        <w:autoSpaceDN/>
        <w:bidi w:val="0"/>
        <w:adjustRightInd w:val="0"/>
        <w:snapToGrid/>
        <w:spacing w:before="0" w:after="0" w:line="360" w:lineRule="auto"/>
        <w:jc w:val="left"/>
        <w:textAlignment w:val="auto"/>
        <w:rPr>
          <w:rFonts w:hint="eastAsia" w:ascii="宋体" w:hAnsi="宋体" w:eastAsia="宋体" w:cs="宋体"/>
          <w:b/>
          <w:color w:val="auto"/>
          <w:kern w:val="0"/>
          <w:sz w:val="24"/>
          <w:szCs w:val="24"/>
          <w:highlight w:val="none"/>
        </w:rPr>
      </w:pPr>
      <w:bookmarkStart w:id="22" w:name="_Toc23721"/>
      <w:bookmarkStart w:id="23" w:name="_Toc5945"/>
      <w:r>
        <w:rPr>
          <w:rFonts w:hint="eastAsia" w:ascii="宋体" w:hAnsi="宋体" w:eastAsia="宋体" w:cs="宋体"/>
          <w:b/>
          <w:color w:val="auto"/>
          <w:kern w:val="0"/>
          <w:sz w:val="24"/>
          <w:szCs w:val="24"/>
          <w:highlight w:val="none"/>
        </w:rPr>
        <w:t>五、</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开启</w:t>
      </w:r>
      <w:bookmarkEnd w:id="22"/>
      <w:bookmarkEnd w:id="23"/>
    </w:p>
    <w:p w14:paraId="21684F16">
      <w:pPr>
        <w:pageBreakBefore w:val="0"/>
        <w:shd w:val="clear" w:color="auto" w:fill="auto"/>
        <w:kinsoku/>
        <w:wordWrap/>
        <w:overflowPunct/>
        <w:topLinePunct w:val="0"/>
        <w:autoSpaceDE/>
        <w:autoSpaceDN/>
        <w:bidi w:val="0"/>
        <w:snapToGrid/>
        <w:spacing w:line="360" w:lineRule="auto"/>
        <w:ind w:firstLine="480" w:firstLineChars="200"/>
        <w:jc w:val="left"/>
        <w:textAlignment w:val="auto"/>
        <w:outlineLvl w:val="9"/>
        <w:rPr>
          <w:rFonts w:hint="eastAsia" w:ascii="宋体" w:hAnsi="宋体" w:eastAsia="宋体" w:cs="宋体"/>
          <w:bCs w:val="0"/>
          <w:color w:val="auto"/>
          <w:spacing w:val="0"/>
          <w:sz w:val="24"/>
          <w:szCs w:val="24"/>
          <w:highlight w:val="none"/>
        </w:rPr>
      </w:pPr>
      <w:r>
        <w:rPr>
          <w:rFonts w:hint="eastAsia" w:ascii="宋体" w:hAnsi="宋体" w:eastAsia="宋体" w:cs="宋体"/>
          <w:bCs w:val="0"/>
          <w:color w:val="auto"/>
          <w:spacing w:val="0"/>
          <w:sz w:val="24"/>
          <w:szCs w:val="24"/>
          <w:highlight w:val="none"/>
        </w:rPr>
        <w:t>1.时间：</w:t>
      </w:r>
      <w:r>
        <w:rPr>
          <w:rFonts w:hint="eastAsia" w:hAnsi="宋体" w:cs="宋体"/>
          <w:color w:val="auto"/>
          <w:sz w:val="24"/>
          <w:szCs w:val="24"/>
          <w:highlight w:val="none"/>
          <w:u w:val="single"/>
          <w:shd w:val="clear" w:color="auto" w:fill="auto"/>
          <w:lang w:val="en-US" w:eastAsia="zh-CN"/>
        </w:rPr>
        <w:t>2026年05月28日上</w:t>
      </w:r>
      <w:r>
        <w:rPr>
          <w:rFonts w:hint="eastAsia" w:ascii="宋体" w:hAnsi="宋体" w:eastAsia="宋体" w:cs="宋体"/>
          <w:color w:val="auto"/>
          <w:sz w:val="24"/>
          <w:szCs w:val="24"/>
          <w:highlight w:val="none"/>
          <w:u w:val="single"/>
          <w:shd w:val="clear" w:color="auto" w:fill="auto"/>
          <w:lang w:val="en-US" w:eastAsia="zh-CN"/>
        </w:rPr>
        <w:t>午</w:t>
      </w:r>
      <w:r>
        <w:rPr>
          <w:rFonts w:hint="eastAsia" w:hAnsi="宋体" w:cs="宋体"/>
          <w:color w:val="auto"/>
          <w:sz w:val="24"/>
          <w:szCs w:val="24"/>
          <w:highlight w:val="none"/>
          <w:u w:val="single"/>
          <w:shd w:val="clear" w:color="auto" w:fill="auto"/>
          <w:lang w:val="en-US" w:eastAsia="zh-CN"/>
        </w:rPr>
        <w:t>09</w:t>
      </w:r>
      <w:r>
        <w:rPr>
          <w:rFonts w:hint="eastAsia" w:ascii="宋体" w:hAnsi="宋体" w:eastAsia="宋体" w:cs="宋体"/>
          <w:color w:val="auto"/>
          <w:sz w:val="24"/>
          <w:szCs w:val="24"/>
          <w:highlight w:val="none"/>
          <w:u w:val="single"/>
          <w:shd w:val="clear" w:color="auto" w:fill="auto"/>
          <w:lang w:val="en-US" w:eastAsia="zh-CN"/>
        </w:rPr>
        <w:t>时</w:t>
      </w:r>
      <w:r>
        <w:rPr>
          <w:rFonts w:hint="eastAsia" w:hAnsi="宋体" w:cs="宋体"/>
          <w:color w:val="auto"/>
          <w:sz w:val="24"/>
          <w:szCs w:val="24"/>
          <w:highlight w:val="none"/>
          <w:u w:val="single"/>
          <w:shd w:val="clear" w:color="auto" w:fill="auto"/>
          <w:lang w:val="en-US" w:eastAsia="zh-CN"/>
        </w:rPr>
        <w:t>00</w:t>
      </w:r>
      <w:r>
        <w:rPr>
          <w:rFonts w:hint="eastAsia" w:ascii="宋体" w:hAnsi="宋体" w:eastAsia="宋体" w:cs="宋体"/>
          <w:color w:val="auto"/>
          <w:sz w:val="24"/>
          <w:szCs w:val="24"/>
          <w:highlight w:val="none"/>
          <w:u w:val="single"/>
          <w:shd w:val="clear" w:color="auto" w:fill="auto"/>
          <w:lang w:val="en-US" w:eastAsia="zh-CN"/>
        </w:rPr>
        <w:t>分</w:t>
      </w:r>
      <w:r>
        <w:rPr>
          <w:rFonts w:hint="eastAsia" w:ascii="宋体" w:hAnsi="宋体" w:eastAsia="宋体" w:cs="宋体"/>
          <w:bCs w:val="0"/>
          <w:color w:val="auto"/>
          <w:spacing w:val="0"/>
          <w:sz w:val="24"/>
          <w:szCs w:val="24"/>
          <w:highlight w:val="none"/>
          <w:shd w:val="clear" w:color="auto" w:fill="auto"/>
        </w:rPr>
        <w:t>（北京时间）。</w:t>
      </w:r>
    </w:p>
    <w:p w14:paraId="0ADC8320">
      <w:pPr>
        <w:pageBreakBefore w:val="0"/>
        <w:shd w:val="clear" w:color="auto" w:fill="auto"/>
        <w:kinsoku/>
        <w:wordWrap/>
        <w:overflowPunct/>
        <w:topLinePunct w:val="0"/>
        <w:autoSpaceDE/>
        <w:autoSpaceDN/>
        <w:bidi w:val="0"/>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Cs w:val="0"/>
          <w:color w:val="auto"/>
          <w:spacing w:val="0"/>
          <w:sz w:val="24"/>
          <w:szCs w:val="24"/>
          <w:highlight w:val="none"/>
        </w:rPr>
        <w:t>2.地点：</w:t>
      </w:r>
      <w:r>
        <w:rPr>
          <w:rFonts w:hint="eastAsia" w:hAnsi="宋体" w:cs="宋体"/>
          <w:bCs w:val="0"/>
          <w:color w:val="auto"/>
          <w:spacing w:val="0"/>
          <w:sz w:val="24"/>
          <w:szCs w:val="24"/>
          <w:highlight w:val="none"/>
          <w:lang w:eastAsia="zh-CN"/>
        </w:rPr>
        <w:t>丽江和盛工程管理咨询有限公司</w:t>
      </w:r>
      <w:r>
        <w:rPr>
          <w:rFonts w:hint="eastAsia" w:ascii="宋体" w:hAnsi="宋体" w:eastAsia="宋体" w:cs="宋体"/>
          <w:bCs w:val="0"/>
          <w:color w:val="auto"/>
          <w:spacing w:val="0"/>
          <w:sz w:val="24"/>
          <w:szCs w:val="24"/>
          <w:highlight w:val="none"/>
        </w:rPr>
        <w:t>（</w:t>
      </w:r>
      <w:r>
        <w:rPr>
          <w:rFonts w:hint="eastAsia" w:hAnsi="宋体" w:cs="宋体"/>
          <w:bCs w:val="0"/>
          <w:color w:val="auto"/>
          <w:spacing w:val="0"/>
          <w:sz w:val="24"/>
          <w:szCs w:val="24"/>
          <w:highlight w:val="none"/>
          <w:lang w:eastAsia="zh-CN"/>
        </w:rPr>
        <w:t>丽江市玉龙县瑞景苑会所二楼</w:t>
      </w:r>
      <w:r>
        <w:rPr>
          <w:rFonts w:hint="eastAsia" w:ascii="宋体" w:hAnsi="宋体" w:eastAsia="宋体" w:cs="宋体"/>
          <w:bCs w:val="0"/>
          <w:color w:val="auto"/>
          <w:spacing w:val="0"/>
          <w:sz w:val="24"/>
          <w:szCs w:val="24"/>
          <w:highlight w:val="none"/>
        </w:rPr>
        <w:t>）。</w:t>
      </w:r>
      <w:r>
        <w:rPr>
          <w:rFonts w:hint="eastAsia" w:ascii="宋体" w:hAnsi="宋体" w:eastAsia="宋体" w:cs="宋体"/>
          <w:bCs w:val="0"/>
          <w:color w:val="auto"/>
          <w:spacing w:val="0"/>
          <w:sz w:val="24"/>
          <w:szCs w:val="24"/>
          <w:highlight w:val="none"/>
          <w:shd w:val="clear" w:color="auto" w:fill="auto"/>
        </w:rPr>
        <w:t>供应商通过政采云平台（https://www.zcygov.cn/）在线参与解密开启。</w:t>
      </w:r>
    </w:p>
    <w:p w14:paraId="04185094">
      <w:pPr>
        <w:pStyle w:val="3"/>
        <w:pageBreakBefore w:val="0"/>
        <w:widowControl/>
        <w:shd w:val="clear" w:color="auto" w:fill="auto"/>
        <w:kinsoku/>
        <w:wordWrap/>
        <w:overflowPunct/>
        <w:topLinePunct w:val="0"/>
        <w:autoSpaceDE/>
        <w:autoSpaceDN/>
        <w:bidi w:val="0"/>
        <w:adjustRightInd w:val="0"/>
        <w:snapToGrid/>
        <w:spacing w:before="0" w:after="0" w:line="360" w:lineRule="auto"/>
        <w:jc w:val="left"/>
        <w:textAlignment w:val="auto"/>
        <w:rPr>
          <w:rFonts w:hint="eastAsia" w:ascii="宋体" w:hAnsi="宋体" w:eastAsia="宋体" w:cs="宋体"/>
          <w:b/>
          <w:color w:val="auto"/>
          <w:kern w:val="0"/>
          <w:sz w:val="24"/>
          <w:szCs w:val="24"/>
          <w:highlight w:val="none"/>
        </w:rPr>
      </w:pPr>
      <w:bookmarkStart w:id="24" w:name="_Toc2826"/>
      <w:bookmarkStart w:id="25" w:name="_Toc18713"/>
      <w:r>
        <w:rPr>
          <w:rFonts w:hint="eastAsia" w:ascii="宋体" w:hAnsi="宋体" w:eastAsia="宋体" w:cs="宋体"/>
          <w:b/>
          <w:color w:val="auto"/>
          <w:kern w:val="0"/>
          <w:sz w:val="24"/>
          <w:szCs w:val="24"/>
          <w:highlight w:val="none"/>
        </w:rPr>
        <w:t>六、公告期限</w:t>
      </w:r>
      <w:bookmarkEnd w:id="24"/>
      <w:bookmarkEnd w:id="25"/>
    </w:p>
    <w:p w14:paraId="2167FB47">
      <w:pPr>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自本公告发布之日起</w:t>
      </w:r>
      <w:r>
        <w:rPr>
          <w:rFonts w:hint="eastAsia"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14:paraId="7A83854B">
      <w:pPr>
        <w:pStyle w:val="3"/>
        <w:pageBreakBefore w:val="0"/>
        <w:widowControl/>
        <w:shd w:val="clear" w:color="auto" w:fill="auto"/>
        <w:kinsoku/>
        <w:wordWrap/>
        <w:overflowPunct/>
        <w:topLinePunct w:val="0"/>
        <w:autoSpaceDE/>
        <w:autoSpaceDN/>
        <w:bidi w:val="0"/>
        <w:adjustRightInd w:val="0"/>
        <w:snapToGrid/>
        <w:spacing w:before="0" w:after="0" w:line="360" w:lineRule="auto"/>
        <w:jc w:val="left"/>
        <w:textAlignment w:val="auto"/>
        <w:rPr>
          <w:rFonts w:hint="eastAsia" w:ascii="宋体" w:hAnsi="宋体" w:eastAsia="宋体" w:cs="宋体"/>
          <w:b/>
          <w:color w:val="auto"/>
          <w:kern w:val="0"/>
          <w:sz w:val="24"/>
          <w:szCs w:val="24"/>
          <w:highlight w:val="none"/>
        </w:rPr>
      </w:pPr>
      <w:bookmarkStart w:id="26" w:name="_Toc24021"/>
      <w:bookmarkStart w:id="27" w:name="_Toc27638"/>
      <w:r>
        <w:rPr>
          <w:rFonts w:hint="eastAsia" w:ascii="宋体" w:hAnsi="宋体" w:eastAsia="宋体" w:cs="宋体"/>
          <w:b/>
          <w:color w:val="auto"/>
          <w:kern w:val="0"/>
          <w:sz w:val="24"/>
          <w:szCs w:val="24"/>
          <w:highlight w:val="none"/>
        </w:rPr>
        <w:t>七、其他补充事宜</w:t>
      </w:r>
      <w:bookmarkEnd w:id="26"/>
      <w:bookmarkEnd w:id="27"/>
    </w:p>
    <w:p w14:paraId="1A17795A">
      <w:pPr>
        <w:pageBreakBefore w:val="0"/>
        <w:shd w:val="clear" w:color="auto" w:fill="auto"/>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Cs w:val="0"/>
          <w:color w:val="auto"/>
          <w:spacing w:val="0"/>
          <w:kern w:val="0"/>
          <w:sz w:val="24"/>
          <w:szCs w:val="24"/>
          <w:highlight w:val="none"/>
        </w:rPr>
      </w:pPr>
      <w:bookmarkStart w:id="28" w:name="_Toc10936"/>
      <w:bookmarkStart w:id="29" w:name="_Toc28988"/>
      <w:r>
        <w:rPr>
          <w:rFonts w:hint="eastAsia" w:ascii="宋体" w:hAnsi="宋体" w:eastAsia="宋体" w:cs="宋体"/>
          <w:bCs w:val="0"/>
          <w:color w:val="auto"/>
          <w:spacing w:val="0"/>
          <w:kern w:val="0"/>
          <w:sz w:val="24"/>
          <w:szCs w:val="24"/>
          <w:highlight w:val="none"/>
          <w:lang w:eastAsia="zh-CN"/>
        </w:rPr>
        <w:t>1</w:t>
      </w:r>
      <w:r>
        <w:rPr>
          <w:rFonts w:hint="eastAsia" w:ascii="宋体" w:hAnsi="宋体" w:eastAsia="宋体" w:cs="宋体"/>
          <w:bCs w:val="0"/>
          <w:color w:val="auto"/>
          <w:spacing w:val="0"/>
          <w:kern w:val="0"/>
          <w:sz w:val="24"/>
          <w:szCs w:val="24"/>
          <w:highlight w:val="none"/>
        </w:rPr>
        <w:t>.本项目竞争性磋商公告发布媒介为“云南省政府采购网”（</w:t>
      </w:r>
      <w:r>
        <w:rPr>
          <w:rFonts w:hint="eastAsia" w:hAnsi="宋体" w:cs="宋体"/>
          <w:bCs w:val="0"/>
          <w:color w:val="auto"/>
          <w:spacing w:val="0"/>
          <w:kern w:val="0"/>
          <w:sz w:val="24"/>
          <w:szCs w:val="24"/>
          <w:highlight w:val="none"/>
          <w:lang w:eastAsia="zh-CN"/>
        </w:rPr>
        <w:t>http://www.yngp.com/</w:t>
      </w:r>
      <w:r>
        <w:rPr>
          <w:rFonts w:hint="eastAsia" w:ascii="宋体" w:hAnsi="宋体" w:eastAsia="宋体" w:cs="宋体"/>
          <w:bCs w:val="0"/>
          <w:color w:val="auto"/>
          <w:spacing w:val="0"/>
          <w:kern w:val="0"/>
          <w:sz w:val="24"/>
          <w:szCs w:val="24"/>
          <w:highlight w:val="none"/>
        </w:rPr>
        <w:t>），我公司对其他网站转载的公告信息不承担任何责任</w:t>
      </w:r>
      <w:r>
        <w:rPr>
          <w:rFonts w:hint="eastAsia" w:hAnsi="宋体" w:cs="宋体"/>
          <w:bCs w:val="0"/>
          <w:color w:val="auto"/>
          <w:spacing w:val="0"/>
          <w:kern w:val="0"/>
          <w:sz w:val="24"/>
          <w:szCs w:val="24"/>
          <w:highlight w:val="none"/>
          <w:lang w:eastAsia="zh-CN"/>
        </w:rPr>
        <w:t>，</w:t>
      </w:r>
      <w:r>
        <w:rPr>
          <w:rFonts w:hint="eastAsia" w:ascii="宋体" w:hAnsi="宋体" w:eastAsia="宋体" w:cs="宋体"/>
          <w:bCs w:val="0"/>
          <w:color w:val="auto"/>
          <w:spacing w:val="0"/>
          <w:kern w:val="0"/>
          <w:sz w:val="24"/>
          <w:szCs w:val="24"/>
          <w:highlight w:val="none"/>
        </w:rPr>
        <w:t>请各位供应商在递交投标（响应）文件前随时查看，以获取最新的消息。</w:t>
      </w:r>
    </w:p>
    <w:p w14:paraId="634C8DFF">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pacing w:val="0"/>
          <w:kern w:val="0"/>
          <w:sz w:val="24"/>
          <w:szCs w:val="24"/>
          <w:highlight w:val="none"/>
        </w:rPr>
      </w:pPr>
      <w:r>
        <w:rPr>
          <w:rFonts w:hint="eastAsia" w:ascii="宋体" w:hAnsi="宋体" w:eastAsia="宋体" w:cs="宋体"/>
          <w:bCs w:val="0"/>
          <w:color w:val="auto"/>
          <w:spacing w:val="0"/>
          <w:kern w:val="0"/>
          <w:sz w:val="24"/>
          <w:szCs w:val="24"/>
          <w:highlight w:val="none"/>
        </w:rPr>
        <w:t>2.本次项目采用全流程电子化采购方式，各供应商认真学习云南省政府采购电子交易平台（政采云）发布的相关操作手册。操作手册查询链接：https://helpcenter.zcygov.cn/document/#/document/dashboard?siteCode=yunnan。如有疑问联系95763。</w:t>
      </w:r>
    </w:p>
    <w:p w14:paraId="5DFA1C8E">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pacing w:val="0"/>
          <w:kern w:val="0"/>
          <w:sz w:val="24"/>
          <w:szCs w:val="24"/>
          <w:highlight w:val="none"/>
        </w:rPr>
      </w:pPr>
      <w:r>
        <w:rPr>
          <w:rFonts w:hint="eastAsia" w:ascii="宋体" w:hAnsi="宋体" w:eastAsia="宋体" w:cs="宋体"/>
          <w:bCs w:val="0"/>
          <w:color w:val="auto"/>
          <w:spacing w:val="0"/>
          <w:kern w:val="0"/>
          <w:sz w:val="24"/>
          <w:szCs w:val="24"/>
          <w:highlight w:val="none"/>
        </w:rPr>
        <w:t>（1）供应商注册。供应商须在云南省政府采购电子交易平台注册后，方可参与项目。操作路径：云南省政府采购电子交易平台-业务支持-用户注册-供应商模块。</w:t>
      </w:r>
    </w:p>
    <w:p w14:paraId="030AC29A">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pacing w:val="0"/>
          <w:kern w:val="0"/>
          <w:sz w:val="24"/>
          <w:szCs w:val="24"/>
          <w:highlight w:val="none"/>
        </w:rPr>
      </w:pPr>
      <w:r>
        <w:rPr>
          <w:rFonts w:hint="eastAsia" w:ascii="宋体" w:hAnsi="宋体" w:eastAsia="宋体" w:cs="宋体"/>
          <w:bCs w:val="0"/>
          <w:color w:val="auto"/>
          <w:spacing w:val="0"/>
          <w:kern w:val="0"/>
          <w:sz w:val="24"/>
          <w:szCs w:val="24"/>
          <w:highlight w:val="none"/>
        </w:rPr>
        <w:t>（2）CA数字证书办理。供应商须办理有效CA数字证书。申领链接：</w:t>
      </w:r>
      <w:r>
        <w:rPr>
          <w:rFonts w:hint="eastAsia" w:ascii="宋体" w:hAnsi="宋体" w:eastAsia="宋体" w:cs="宋体"/>
          <w:bCs w:val="0"/>
          <w:color w:val="auto"/>
          <w:spacing w:val="0"/>
          <w:kern w:val="0"/>
          <w:sz w:val="24"/>
          <w:szCs w:val="24"/>
          <w:highlight w:val="none"/>
        </w:rPr>
        <w:fldChar w:fldCharType="begin"/>
      </w:r>
      <w:r>
        <w:rPr>
          <w:rFonts w:hint="eastAsia" w:ascii="宋体" w:hAnsi="宋体" w:eastAsia="宋体" w:cs="宋体"/>
          <w:bCs w:val="0"/>
          <w:color w:val="auto"/>
          <w:spacing w:val="0"/>
          <w:kern w:val="0"/>
          <w:sz w:val="24"/>
          <w:szCs w:val="24"/>
          <w:highlight w:val="none"/>
        </w:rPr>
        <w:instrText xml:space="preserve"> HYPERLINK "https://middle.zcygov.cn/ca/apply/choose。" </w:instrText>
      </w:r>
      <w:r>
        <w:rPr>
          <w:rFonts w:hint="eastAsia" w:ascii="宋体" w:hAnsi="宋体" w:eastAsia="宋体" w:cs="宋体"/>
          <w:bCs w:val="0"/>
          <w:color w:val="auto"/>
          <w:spacing w:val="0"/>
          <w:kern w:val="0"/>
          <w:sz w:val="24"/>
          <w:szCs w:val="24"/>
          <w:highlight w:val="none"/>
        </w:rPr>
        <w:fldChar w:fldCharType="separate"/>
      </w:r>
      <w:r>
        <w:rPr>
          <w:rStyle w:val="16"/>
          <w:rFonts w:hint="eastAsia" w:ascii="宋体" w:hAnsi="宋体" w:eastAsia="宋体" w:cs="宋体"/>
          <w:bCs w:val="0"/>
          <w:color w:val="auto"/>
          <w:spacing w:val="0"/>
          <w:kern w:val="0"/>
          <w:sz w:val="24"/>
          <w:szCs w:val="24"/>
          <w:highlight w:val="none"/>
        </w:rPr>
        <w:t>https://middle.zcygov.cn/ca/apply/choose。</w:t>
      </w:r>
      <w:r>
        <w:rPr>
          <w:rFonts w:hint="eastAsia" w:ascii="宋体" w:hAnsi="宋体" w:eastAsia="宋体" w:cs="宋体"/>
          <w:bCs w:val="0"/>
          <w:color w:val="auto"/>
          <w:spacing w:val="0"/>
          <w:kern w:val="0"/>
          <w:sz w:val="24"/>
          <w:szCs w:val="24"/>
          <w:highlight w:val="none"/>
        </w:rPr>
        <w:fldChar w:fldCharType="end"/>
      </w:r>
    </w:p>
    <w:p w14:paraId="5C3688F7">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pacing w:val="0"/>
          <w:kern w:val="0"/>
          <w:sz w:val="24"/>
          <w:szCs w:val="24"/>
          <w:highlight w:val="none"/>
        </w:rPr>
      </w:pPr>
      <w:r>
        <w:rPr>
          <w:rFonts w:hint="eastAsia" w:ascii="宋体" w:hAnsi="宋体" w:eastAsia="宋体" w:cs="宋体"/>
          <w:bCs w:val="0"/>
          <w:color w:val="auto"/>
          <w:spacing w:val="0"/>
          <w:kern w:val="0"/>
          <w:sz w:val="24"/>
          <w:szCs w:val="24"/>
          <w:highlight w:val="none"/>
        </w:rPr>
        <w:t>（3）CA数字证书绑定。供应商进行CA绑定。操作路径：云南省政府采购电子交易平台-我的工作台-系统管理-ca管理-ca绑定。</w:t>
      </w:r>
    </w:p>
    <w:p w14:paraId="6F5B443F">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pacing w:val="0"/>
          <w:kern w:val="0"/>
          <w:sz w:val="24"/>
          <w:szCs w:val="24"/>
          <w:highlight w:val="none"/>
        </w:rPr>
      </w:pPr>
      <w:r>
        <w:rPr>
          <w:rFonts w:hint="eastAsia" w:ascii="宋体" w:hAnsi="宋体" w:eastAsia="宋体" w:cs="宋体"/>
          <w:bCs w:val="0"/>
          <w:color w:val="auto"/>
          <w:spacing w:val="0"/>
          <w:kern w:val="0"/>
          <w:sz w:val="24"/>
          <w:szCs w:val="24"/>
          <w:highlight w:val="none"/>
        </w:rPr>
        <w:t>（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w:t>
      </w:r>
      <w:r>
        <w:rPr>
          <w:rFonts w:hint="eastAsia" w:hAnsi="宋体" w:cs="宋体"/>
          <w:bCs w:val="0"/>
          <w:color w:val="auto"/>
          <w:spacing w:val="0"/>
          <w:kern w:val="0"/>
          <w:sz w:val="24"/>
          <w:szCs w:val="24"/>
          <w:highlight w:val="none"/>
          <w:lang w:val="en-US" w:eastAsia="zh-CN"/>
        </w:rPr>
        <w:t xml:space="preserve">    </w:t>
      </w:r>
      <w:r>
        <w:rPr>
          <w:rFonts w:hint="eastAsia" w:ascii="宋体" w:hAnsi="宋体" w:eastAsia="宋体" w:cs="宋体"/>
          <w:bCs w:val="0"/>
          <w:color w:val="auto"/>
          <w:spacing w:val="0"/>
          <w:kern w:val="0"/>
          <w:sz w:val="24"/>
          <w:szCs w:val="24"/>
          <w:highlight w:val="none"/>
        </w:rPr>
        <w:t>（5）投标（响应）文件编制与递交。供应商须下载投标（响应）客户端，通过客户端编制投标（响应）文件，并线上递交。投标客户端下载路径：</w:t>
      </w:r>
      <w:r>
        <w:rPr>
          <w:rFonts w:hint="eastAsia" w:ascii="宋体" w:hAnsi="宋体" w:eastAsia="宋体" w:cs="宋体"/>
          <w:bCs w:val="0"/>
          <w:color w:val="auto"/>
          <w:spacing w:val="0"/>
          <w:kern w:val="0"/>
          <w:sz w:val="24"/>
          <w:szCs w:val="24"/>
          <w:highlight w:val="none"/>
        </w:rPr>
        <w:fldChar w:fldCharType="begin"/>
      </w:r>
      <w:r>
        <w:rPr>
          <w:rFonts w:hint="eastAsia" w:ascii="宋体" w:hAnsi="宋体" w:eastAsia="宋体" w:cs="宋体"/>
          <w:bCs w:val="0"/>
          <w:color w:val="auto"/>
          <w:spacing w:val="0"/>
          <w:kern w:val="0"/>
          <w:sz w:val="24"/>
          <w:szCs w:val="24"/>
          <w:highlight w:val="none"/>
        </w:rPr>
        <w:instrText xml:space="preserve"> HYPERLINK "https://market.zcygov.cn/application-market/#/download/list" </w:instrText>
      </w:r>
      <w:r>
        <w:rPr>
          <w:rFonts w:hint="eastAsia" w:ascii="宋体" w:hAnsi="宋体" w:eastAsia="宋体" w:cs="宋体"/>
          <w:bCs w:val="0"/>
          <w:color w:val="auto"/>
          <w:spacing w:val="0"/>
          <w:kern w:val="0"/>
          <w:sz w:val="24"/>
          <w:szCs w:val="24"/>
          <w:highlight w:val="none"/>
        </w:rPr>
        <w:fldChar w:fldCharType="separate"/>
      </w:r>
      <w:r>
        <w:rPr>
          <w:rStyle w:val="16"/>
          <w:rFonts w:hint="eastAsia" w:ascii="宋体" w:hAnsi="宋体" w:eastAsia="宋体" w:cs="宋体"/>
          <w:bCs w:val="0"/>
          <w:color w:val="auto"/>
          <w:spacing w:val="0"/>
          <w:kern w:val="0"/>
          <w:sz w:val="24"/>
          <w:szCs w:val="24"/>
          <w:highlight w:val="none"/>
        </w:rPr>
        <w:t>https://market.zcygov.cn/application-market/#/download/list</w:t>
      </w:r>
      <w:r>
        <w:rPr>
          <w:rFonts w:hint="eastAsia" w:ascii="宋体" w:hAnsi="宋体" w:eastAsia="宋体" w:cs="宋体"/>
          <w:bCs w:val="0"/>
          <w:color w:val="auto"/>
          <w:spacing w:val="0"/>
          <w:kern w:val="0"/>
          <w:sz w:val="24"/>
          <w:szCs w:val="24"/>
          <w:highlight w:val="none"/>
        </w:rPr>
        <w:fldChar w:fldCharType="end"/>
      </w:r>
    </w:p>
    <w:p w14:paraId="26DDF352">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pacing w:val="0"/>
          <w:kern w:val="0"/>
          <w:sz w:val="24"/>
          <w:szCs w:val="24"/>
          <w:highlight w:val="none"/>
        </w:rPr>
      </w:pPr>
      <w:r>
        <w:rPr>
          <w:rFonts w:hint="eastAsia" w:ascii="宋体" w:hAnsi="宋体" w:eastAsia="宋体" w:cs="宋体"/>
          <w:bCs w:val="0"/>
          <w:color w:val="auto"/>
          <w:spacing w:val="0"/>
          <w:kern w:val="0"/>
          <w:sz w:val="24"/>
          <w:szCs w:val="24"/>
          <w:highlight w:val="none"/>
        </w:rPr>
        <w: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22F68EB6">
      <w:pPr>
        <w:pStyle w:val="3"/>
        <w:pageBreakBefore w:val="0"/>
        <w:widowControl/>
        <w:shd w:val="clear" w:color="auto" w:fill="auto"/>
        <w:kinsoku/>
        <w:wordWrap/>
        <w:overflowPunct/>
        <w:topLinePunct w:val="0"/>
        <w:autoSpaceDE/>
        <w:autoSpaceDN/>
        <w:bidi w:val="0"/>
        <w:adjustRightInd w:val="0"/>
        <w:snapToGrid/>
        <w:spacing w:before="0" w:after="0" w:line="360" w:lineRule="auto"/>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八、凡对本次采购提出询问，请按以下方式联系</w:t>
      </w:r>
      <w:bookmarkEnd w:id="28"/>
      <w:bookmarkEnd w:id="29"/>
    </w:p>
    <w:p w14:paraId="5C58CCC3">
      <w:pPr>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70EEF564">
      <w:pPr>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名    称：</w:t>
      </w:r>
      <w:r>
        <w:rPr>
          <w:rFonts w:hint="eastAsia" w:hAnsi="宋体" w:cs="宋体"/>
          <w:color w:val="auto"/>
          <w:kern w:val="0"/>
          <w:sz w:val="24"/>
          <w:szCs w:val="24"/>
          <w:highlight w:val="none"/>
          <w:lang w:eastAsia="zh-CN"/>
        </w:rPr>
        <w:t>丽江市古城区人民政府开南街道办事处</w:t>
      </w:r>
    </w:p>
    <w:p w14:paraId="0A461B82">
      <w:pPr>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hAnsi="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kern w:val="0"/>
          <w:sz w:val="24"/>
          <w:szCs w:val="24"/>
          <w:highlight w:val="none"/>
          <w:lang w:eastAsia="zh-CN"/>
        </w:rPr>
        <w:t>：</w:t>
      </w:r>
      <w:r>
        <w:rPr>
          <w:rFonts w:hint="eastAsia" w:hAnsi="宋体" w:cs="宋体"/>
          <w:color w:val="auto"/>
          <w:kern w:val="0"/>
          <w:sz w:val="24"/>
          <w:szCs w:val="24"/>
          <w:highlight w:val="none"/>
          <w:lang w:eastAsia="zh-CN"/>
        </w:rPr>
        <w:t>丽江市古城区开南街道贵峰社区大来下居民小组</w:t>
      </w:r>
    </w:p>
    <w:p w14:paraId="35FBB047">
      <w:pPr>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rPr>
        <w:t>联系方式：</w:t>
      </w:r>
      <w:r>
        <w:rPr>
          <w:rFonts w:hint="eastAsia" w:hAnsi="宋体" w:cs="宋体"/>
          <w:color w:val="auto"/>
          <w:kern w:val="0"/>
          <w:sz w:val="24"/>
          <w:szCs w:val="24"/>
          <w:highlight w:val="none"/>
          <w:lang w:eastAsia="zh-CN"/>
        </w:rPr>
        <w:t>0888-5128767</w:t>
      </w:r>
    </w:p>
    <w:p w14:paraId="76692AAD">
      <w:pPr>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p>
    <w:p w14:paraId="1AC495D8">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14:paraId="31D4320F">
      <w:pPr>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名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称：</w:t>
      </w:r>
      <w:r>
        <w:rPr>
          <w:rFonts w:hint="eastAsia" w:hAnsi="宋体" w:cs="宋体"/>
          <w:color w:val="auto"/>
          <w:kern w:val="0"/>
          <w:sz w:val="24"/>
          <w:szCs w:val="24"/>
          <w:highlight w:val="none"/>
          <w:lang w:eastAsia="zh-CN"/>
        </w:rPr>
        <w:t>丽江和盛工程管理咨询有限公司</w:t>
      </w:r>
    </w:p>
    <w:p w14:paraId="65E816C4">
      <w:pPr>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址：</w:t>
      </w:r>
      <w:r>
        <w:rPr>
          <w:rFonts w:hint="eastAsia" w:hAnsi="宋体" w:cs="宋体"/>
          <w:color w:val="auto"/>
          <w:kern w:val="0"/>
          <w:sz w:val="24"/>
          <w:szCs w:val="24"/>
          <w:highlight w:val="none"/>
          <w:lang w:eastAsia="zh-CN"/>
        </w:rPr>
        <w:t>丽江市玉龙县瑞景苑会所二楼</w:t>
      </w:r>
    </w:p>
    <w:p w14:paraId="73906F56">
      <w:pPr>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联 系 人：张卓曦、杨元美</w:t>
      </w:r>
    </w:p>
    <w:p w14:paraId="413D384C">
      <w:pPr>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联系方式：</w:t>
      </w:r>
      <w:r>
        <w:rPr>
          <w:rFonts w:hint="eastAsia" w:hAnsi="宋体" w:cs="宋体"/>
          <w:color w:val="auto"/>
          <w:kern w:val="0"/>
          <w:sz w:val="24"/>
          <w:szCs w:val="24"/>
          <w:highlight w:val="none"/>
          <w:lang w:eastAsia="zh-CN"/>
        </w:rPr>
        <w:t>13988800740、15240987539</w:t>
      </w:r>
    </w:p>
    <w:p w14:paraId="5CE355D4">
      <w:pPr>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eastAsia="zh-CN"/>
        </w:rPr>
      </w:pPr>
    </w:p>
    <w:p w14:paraId="66F29B50">
      <w:pPr>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3.项目联系方式</w:t>
      </w:r>
    </w:p>
    <w:p w14:paraId="7936D867">
      <w:pPr>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联 系 人：张卓曦、杨元美</w:t>
      </w:r>
    </w:p>
    <w:p w14:paraId="49BC6CB1">
      <w:pPr>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联系方式：</w:t>
      </w:r>
      <w:r>
        <w:rPr>
          <w:rFonts w:hint="eastAsia" w:hAnsi="宋体" w:cs="宋体"/>
          <w:color w:val="auto"/>
          <w:kern w:val="0"/>
          <w:sz w:val="24"/>
          <w:szCs w:val="24"/>
          <w:highlight w:val="none"/>
          <w:lang w:eastAsia="zh-CN"/>
        </w:rPr>
        <w:t>13988800740、15240987539</w:t>
      </w:r>
    </w:p>
    <w:p w14:paraId="7DF6CAB2">
      <w:pPr>
        <w:pStyle w:val="2"/>
        <w:widowControl/>
        <w:shd w:val="clear" w:color="auto" w:fill="auto"/>
        <w:spacing w:before="240" w:after="240" w:line="312" w:lineRule="auto"/>
        <w:rPr>
          <w:rFonts w:hint="eastAsia" w:ascii="宋体" w:hAnsi="宋体" w:eastAsia="宋体" w:cs="宋体"/>
          <w:color w:val="auto"/>
          <w:sz w:val="36"/>
          <w:szCs w:val="36"/>
          <w:highlight w:val="none"/>
          <w:lang w:val="zh-CN"/>
        </w:rPr>
      </w:pPr>
      <w:r>
        <w:rPr>
          <w:rFonts w:hint="eastAsia" w:ascii="宋体" w:hAnsi="宋体" w:eastAsia="宋体" w:cs="宋体"/>
          <w:b w:val="0"/>
          <w:bCs w:val="0"/>
          <w:snapToGrid w:val="0"/>
          <w:color w:val="auto"/>
          <w:kern w:val="21"/>
          <w:sz w:val="21"/>
          <w:szCs w:val="24"/>
          <w:highlight w:val="none"/>
        </w:rPr>
        <w:br w:type="page"/>
      </w:r>
      <w:bookmarkStart w:id="30" w:name="_Toc4134"/>
      <w:bookmarkStart w:id="31" w:name="_Toc6350"/>
      <w:r>
        <w:rPr>
          <w:rFonts w:hint="eastAsia" w:ascii="宋体" w:hAnsi="宋体" w:eastAsia="宋体" w:cs="宋体"/>
          <w:color w:val="auto"/>
          <w:sz w:val="36"/>
          <w:szCs w:val="36"/>
          <w:highlight w:val="none"/>
          <w:lang w:val="zh-CN"/>
        </w:rPr>
        <w:t>第二章  供应商须知</w:t>
      </w:r>
      <w:bookmarkEnd w:id="30"/>
      <w:bookmarkEnd w:id="31"/>
    </w:p>
    <w:p w14:paraId="2ABD39D1">
      <w:pPr>
        <w:pStyle w:val="3"/>
        <w:shd w:val="clear" w:color="auto" w:fill="auto"/>
        <w:spacing w:before="0" w:after="120" w:line="360" w:lineRule="auto"/>
        <w:jc w:val="center"/>
        <w:rPr>
          <w:rFonts w:hint="eastAsia" w:ascii="宋体" w:hAnsi="宋体" w:eastAsia="宋体" w:cs="宋体"/>
          <w:b/>
          <w:color w:val="auto"/>
          <w:sz w:val="28"/>
          <w:szCs w:val="28"/>
          <w:highlight w:val="none"/>
          <w:lang w:val="en-US"/>
        </w:rPr>
      </w:pPr>
      <w:bookmarkStart w:id="32" w:name="_Toc8876"/>
      <w:bookmarkStart w:id="33" w:name="_Toc32313"/>
      <w:r>
        <w:rPr>
          <w:rFonts w:hint="eastAsia" w:ascii="宋体" w:hAnsi="宋体" w:eastAsia="宋体" w:cs="宋体"/>
          <w:b/>
          <w:color w:val="auto"/>
          <w:sz w:val="28"/>
          <w:szCs w:val="28"/>
          <w:highlight w:val="none"/>
          <w:lang w:val="en-US"/>
        </w:rPr>
        <w:t>供应商须知前附表</w:t>
      </w:r>
      <w:bookmarkEnd w:id="32"/>
      <w:bookmarkEnd w:id="33"/>
    </w:p>
    <w:tbl>
      <w:tblPr>
        <w:tblStyle w:val="14"/>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1"/>
        <w:gridCol w:w="2352"/>
        <w:gridCol w:w="6576"/>
      </w:tblGrid>
      <w:tr w14:paraId="6388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12C0BCC6">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52" w:type="dxa"/>
            <w:noWrap w:val="0"/>
            <w:vAlign w:val="center"/>
          </w:tcPr>
          <w:p w14:paraId="5F6D84C8">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6576" w:type="dxa"/>
            <w:noWrap w:val="0"/>
            <w:vAlign w:val="center"/>
          </w:tcPr>
          <w:p w14:paraId="3658D89E">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14:paraId="6560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4D8BD7B9">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352" w:type="dxa"/>
            <w:noWrap w:val="0"/>
            <w:vAlign w:val="center"/>
          </w:tcPr>
          <w:p w14:paraId="29E3C8C4">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采购人</w:t>
            </w:r>
          </w:p>
        </w:tc>
        <w:tc>
          <w:tcPr>
            <w:tcW w:w="6576" w:type="dxa"/>
            <w:noWrap w:val="0"/>
            <w:vAlign w:val="center"/>
          </w:tcPr>
          <w:p w14:paraId="72E7FDE1">
            <w:pPr>
              <w:shd w:val="clear" w:color="auto" w:fill="auto"/>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hAnsi="宋体" w:cs="宋体"/>
                <w:color w:val="auto"/>
                <w:sz w:val="24"/>
                <w:szCs w:val="24"/>
                <w:highlight w:val="none"/>
                <w:lang w:val="en-US" w:eastAsia="zh-CN"/>
              </w:rPr>
              <w:t>丽江市古城区人民政府开南街道办事处</w:t>
            </w:r>
          </w:p>
          <w:p w14:paraId="32D33D02">
            <w:pPr>
              <w:shd w:val="clear" w:color="auto" w:fill="auto"/>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hAnsi="宋体" w:cs="宋体"/>
                <w:color w:val="auto"/>
                <w:sz w:val="24"/>
                <w:szCs w:val="24"/>
                <w:highlight w:val="none"/>
                <w:lang w:val="en-US" w:eastAsia="zh-CN"/>
              </w:rPr>
              <w:t>丽江市古城区开南街道贵峰社区大来下居民小组</w:t>
            </w:r>
          </w:p>
          <w:p w14:paraId="0B978696">
            <w:pPr>
              <w:shd w:val="clear" w:color="auto" w:fill="auto"/>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hAnsi="宋体" w:cs="宋体"/>
                <w:color w:val="auto"/>
                <w:sz w:val="24"/>
                <w:szCs w:val="24"/>
                <w:highlight w:val="none"/>
                <w:lang w:val="en-US" w:eastAsia="zh-CN"/>
              </w:rPr>
              <w:t>0888-5128767</w:t>
            </w:r>
          </w:p>
        </w:tc>
      </w:tr>
      <w:tr w14:paraId="3501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4354ADAE">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352" w:type="dxa"/>
            <w:noWrap w:val="0"/>
            <w:vAlign w:val="center"/>
          </w:tcPr>
          <w:p w14:paraId="44BE7BE8">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采购代理机构</w:t>
            </w:r>
          </w:p>
        </w:tc>
        <w:tc>
          <w:tcPr>
            <w:tcW w:w="6576" w:type="dxa"/>
            <w:noWrap w:val="0"/>
            <w:vAlign w:val="center"/>
          </w:tcPr>
          <w:p w14:paraId="3172DDB9">
            <w:pPr>
              <w:shd w:val="clear" w:color="auto" w:fill="auto"/>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hAnsi="宋体" w:cs="宋体"/>
                <w:color w:val="auto"/>
                <w:sz w:val="24"/>
                <w:szCs w:val="24"/>
                <w:highlight w:val="none"/>
                <w:lang w:val="en-US" w:eastAsia="zh-CN"/>
              </w:rPr>
              <w:t>丽江和盛工程管理咨询有限公司</w:t>
            </w:r>
          </w:p>
          <w:p w14:paraId="3B8D0B31">
            <w:pPr>
              <w:shd w:val="clear" w:color="auto" w:fill="auto"/>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hAnsi="宋体" w:cs="宋体"/>
                <w:color w:val="auto"/>
                <w:sz w:val="24"/>
                <w:szCs w:val="24"/>
                <w:highlight w:val="none"/>
                <w:lang w:val="en-US" w:eastAsia="zh-CN"/>
              </w:rPr>
              <w:t>丽江市玉龙县瑞景苑会所二楼</w:t>
            </w:r>
          </w:p>
          <w:p w14:paraId="215B7BCA">
            <w:pPr>
              <w:shd w:val="clear" w:color="auto" w:fill="auto"/>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w:t>
            </w:r>
            <w:r>
              <w:rPr>
                <w:rFonts w:hint="eastAsia" w:hAnsi="宋体" w:cs="宋体"/>
                <w:color w:val="auto"/>
                <w:sz w:val="24"/>
                <w:szCs w:val="24"/>
                <w:highlight w:val="none"/>
                <w:lang w:val="en-US" w:eastAsia="zh-CN"/>
              </w:rPr>
              <w:t>张卓曦、杨元美</w:t>
            </w:r>
          </w:p>
          <w:p w14:paraId="06F88752">
            <w:pPr>
              <w:shd w:val="clear" w:color="auto" w:fill="auto"/>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hAnsi="宋体" w:cs="宋体"/>
                <w:color w:val="auto"/>
                <w:sz w:val="24"/>
                <w:szCs w:val="24"/>
                <w:highlight w:val="none"/>
                <w:lang w:val="en-US" w:eastAsia="zh-CN"/>
              </w:rPr>
              <w:t>13988800740、15240987539</w:t>
            </w:r>
          </w:p>
        </w:tc>
      </w:tr>
      <w:tr w14:paraId="4702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583BDAE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352" w:type="dxa"/>
            <w:noWrap w:val="0"/>
            <w:vAlign w:val="center"/>
          </w:tcPr>
          <w:p w14:paraId="63226457">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576" w:type="dxa"/>
            <w:noWrap w:val="0"/>
            <w:vAlign w:val="center"/>
          </w:tcPr>
          <w:p w14:paraId="7EC7F4A2">
            <w:pPr>
              <w:shd w:val="clear" w:color="auto" w:fill="auto"/>
              <w:spacing w:before="93" w:beforeLines="3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hAnsi="宋体" w:cs="宋体"/>
                <w:color w:val="auto"/>
                <w:sz w:val="24"/>
                <w:szCs w:val="24"/>
                <w:highlight w:val="none"/>
                <w:lang w:eastAsia="zh-CN"/>
              </w:rPr>
              <w:t>丽江市古城区开南街道贵峰社区菊花种苗繁育中心建设项目</w:t>
            </w:r>
          </w:p>
          <w:p w14:paraId="24B47968">
            <w:pPr>
              <w:shd w:val="clear" w:color="auto" w:fill="auto"/>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auto"/>
              </w:rPr>
              <w:t>项目编号：</w:t>
            </w:r>
            <w:r>
              <w:rPr>
                <w:rFonts w:hint="eastAsia" w:hAnsi="宋体" w:cs="宋体"/>
                <w:color w:val="auto"/>
                <w:sz w:val="24"/>
                <w:szCs w:val="24"/>
                <w:highlight w:val="none"/>
                <w:shd w:val="clear" w:color="auto" w:fill="auto"/>
                <w:lang w:eastAsia="zh-CN"/>
              </w:rPr>
              <w:t>LJZC2026-C2-00328-LJHS-0001</w:t>
            </w:r>
          </w:p>
        </w:tc>
      </w:tr>
      <w:tr w14:paraId="0372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078FAFDE">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352" w:type="dxa"/>
            <w:noWrap w:val="0"/>
            <w:vAlign w:val="center"/>
          </w:tcPr>
          <w:p w14:paraId="31036038">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资金来源及预算金额</w:t>
            </w:r>
          </w:p>
        </w:tc>
        <w:tc>
          <w:tcPr>
            <w:tcW w:w="6576" w:type="dxa"/>
            <w:noWrap w:val="0"/>
            <w:vAlign w:val="center"/>
          </w:tcPr>
          <w:p w14:paraId="52ED228B">
            <w:pPr>
              <w:shd w:val="clear" w:color="auto" w:fill="auto"/>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val="en-US" w:eastAsia="zh-CN"/>
              </w:rPr>
              <w:t>财政</w:t>
            </w:r>
            <w:r>
              <w:rPr>
                <w:rFonts w:hint="eastAsia" w:ascii="宋体" w:hAnsi="宋体" w:eastAsia="宋体" w:cs="宋体"/>
                <w:color w:val="auto"/>
                <w:sz w:val="24"/>
                <w:szCs w:val="24"/>
                <w:highlight w:val="none"/>
              </w:rPr>
              <w:t>资金</w:t>
            </w:r>
          </w:p>
          <w:p w14:paraId="6FEE0C96">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预算金额：详见 第一章 竞争性磋商公告 一、项目基本情况 “预算金额”</w:t>
            </w:r>
          </w:p>
        </w:tc>
      </w:tr>
      <w:tr w14:paraId="311C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6D8003BF">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352" w:type="dxa"/>
            <w:noWrap w:val="0"/>
            <w:vAlign w:val="center"/>
          </w:tcPr>
          <w:p w14:paraId="77F86366">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6576" w:type="dxa"/>
            <w:noWrap w:val="0"/>
            <w:vAlign w:val="center"/>
          </w:tcPr>
          <w:p w14:paraId="4442D793">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 第一章 竞争性磋商公告 一、项目基本情况 “采购需求”</w:t>
            </w:r>
          </w:p>
        </w:tc>
      </w:tr>
      <w:tr w14:paraId="69FF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7BDF7F49">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2352" w:type="dxa"/>
            <w:noWrap w:val="0"/>
            <w:vAlign w:val="center"/>
          </w:tcPr>
          <w:p w14:paraId="4E10E963">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项目实施地点</w:t>
            </w:r>
          </w:p>
        </w:tc>
        <w:tc>
          <w:tcPr>
            <w:tcW w:w="6576" w:type="dxa"/>
            <w:noWrap w:val="0"/>
            <w:vAlign w:val="center"/>
          </w:tcPr>
          <w:p w14:paraId="316399E6">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 第一章 竞争性磋商公告 一、项目基本情况 “项目实施地点”</w:t>
            </w:r>
          </w:p>
        </w:tc>
      </w:tr>
      <w:tr w14:paraId="1098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26E0C90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2352" w:type="dxa"/>
            <w:noWrap w:val="0"/>
            <w:vAlign w:val="center"/>
          </w:tcPr>
          <w:p w14:paraId="3E5612F3">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6576" w:type="dxa"/>
            <w:noWrap w:val="0"/>
            <w:vAlign w:val="center"/>
          </w:tcPr>
          <w:p w14:paraId="264DD848">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 第一章 竞争性磋商公告 一、项目基本情况 “质量标准”</w:t>
            </w:r>
          </w:p>
        </w:tc>
      </w:tr>
      <w:tr w14:paraId="00CC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06DA800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2352" w:type="dxa"/>
            <w:noWrap w:val="0"/>
            <w:vAlign w:val="center"/>
          </w:tcPr>
          <w:p w14:paraId="22D4D31B">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6576" w:type="dxa"/>
            <w:noWrap w:val="0"/>
            <w:vAlign w:val="center"/>
          </w:tcPr>
          <w:p w14:paraId="1C41430E">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 第一章 竞争性磋商公告 一、项目基本情况 “合同履行期限”</w:t>
            </w:r>
          </w:p>
        </w:tc>
      </w:tr>
      <w:tr w14:paraId="5201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45BB866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2352" w:type="dxa"/>
            <w:noWrap w:val="0"/>
            <w:vAlign w:val="center"/>
          </w:tcPr>
          <w:p w14:paraId="63E54504">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6576" w:type="dxa"/>
            <w:noWrap w:val="0"/>
            <w:vAlign w:val="center"/>
          </w:tcPr>
          <w:p w14:paraId="1BD3FEB3">
            <w:pPr>
              <w:pageBreakBefore w:val="0"/>
              <w:shd w:val="clear" w:color="auto" w:fill="auto"/>
              <w:kinsoku/>
              <w:wordWrap/>
              <w:overflowPunct/>
              <w:topLinePunct w:val="0"/>
              <w:autoSpaceDE/>
              <w:autoSpaceDN/>
              <w:bidi w:val="0"/>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满足《中华人民共和国政府采购法》第二十二条规定；</w:t>
            </w:r>
          </w:p>
          <w:p w14:paraId="4037D5B5">
            <w:pPr>
              <w:pageBreakBefore w:val="0"/>
              <w:shd w:val="clear" w:color="auto" w:fill="auto"/>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具有独立承担民事责任的能力</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供应商为法人、其他组织或者自然人；提供法人或者其他组织的营业执照等证明文件，自然人的身份证明</w:t>
            </w:r>
            <w:r>
              <w:rPr>
                <w:rFonts w:hint="eastAsia" w:ascii="宋体" w:hAnsi="宋体" w:eastAsia="宋体" w:cs="宋体"/>
                <w:color w:val="auto"/>
                <w:sz w:val="24"/>
                <w:szCs w:val="24"/>
                <w:highlight w:val="none"/>
                <w:lang w:eastAsia="zh-CN"/>
              </w:rPr>
              <w:t>。</w:t>
            </w:r>
          </w:p>
          <w:p w14:paraId="5B5CA8B7">
            <w:pPr>
              <w:keepNext w:val="0"/>
              <w:keepLines w:val="0"/>
              <w:pageBreakBefore w:val="0"/>
              <w:widowControl/>
              <w:shd w:val="clear" w:color="auto" w:fill="auto"/>
              <w:kinsoku/>
              <w:wordWrap w:val="0"/>
              <w:overflowPunct/>
              <w:topLinePunct w:val="0"/>
              <w:bidi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具有良好的商业信誉和健全的财务会计制度</w:t>
            </w:r>
            <w:r>
              <w:rPr>
                <w:rFonts w:hint="eastAsia" w:ascii="宋体" w:hAnsi="宋体" w:eastAsia="宋体" w:cs="宋体"/>
                <w:b/>
                <w:bCs/>
                <w:color w:val="auto"/>
                <w:sz w:val="24"/>
                <w:szCs w:val="24"/>
                <w:highlight w:val="none"/>
                <w:lang w:eastAsia="zh-CN"/>
              </w:rPr>
              <w:t>；</w:t>
            </w:r>
          </w:p>
          <w:p w14:paraId="774392CC">
            <w:pPr>
              <w:keepNext w:val="0"/>
              <w:keepLines w:val="0"/>
              <w:pageBreakBefore w:val="0"/>
              <w:widowControl/>
              <w:shd w:val="clear" w:color="auto" w:fill="auto"/>
              <w:kinsoku/>
              <w:wordWrap w:val="0"/>
              <w:overflowPunct/>
              <w:topLinePunct w:val="0"/>
              <w:bidi w:val="0"/>
              <w:spacing w:line="360" w:lineRule="auto"/>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1.2.1</w:t>
            </w:r>
            <w:r>
              <w:rPr>
                <w:rFonts w:hint="eastAsia" w:ascii="宋体" w:hAnsi="宋体" w:eastAsia="宋体" w:cs="宋体"/>
                <w:color w:val="auto"/>
                <w:sz w:val="24"/>
                <w:szCs w:val="24"/>
                <w:highlight w:val="none"/>
                <w:lang w:val="en-US" w:eastAsia="zh-CN"/>
              </w:rPr>
              <w:t>供应商信誉良好，当前未被建设行政主管部门取消投标资格；没有财务被接管、冻结、破产等状态。并对上述内容进行承诺</w:t>
            </w:r>
            <w:r>
              <w:rPr>
                <w:rFonts w:hint="eastAsia" w:ascii="宋体" w:hAnsi="宋体" w:eastAsia="宋体" w:cs="宋体"/>
                <w:color w:val="auto"/>
                <w:sz w:val="24"/>
                <w:szCs w:val="24"/>
                <w:highlight w:val="none"/>
              </w:rPr>
              <w:t>；</w:t>
            </w:r>
          </w:p>
          <w:p w14:paraId="201152D1">
            <w:pPr>
              <w:keepNext w:val="0"/>
              <w:keepLines w:val="0"/>
              <w:pageBreakBefore w:val="0"/>
              <w:widowControl/>
              <w:shd w:val="clear" w:color="auto" w:fill="auto"/>
              <w:kinsoku/>
              <w:wordWrap w:val="0"/>
              <w:overflowPunct/>
              <w:topLinePunct w:val="0"/>
              <w:bidi w:val="0"/>
              <w:spacing w:line="360" w:lineRule="auto"/>
              <w:jc w:val="left"/>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1.2.2</w:t>
            </w:r>
            <w:r>
              <w:rPr>
                <w:rFonts w:hint="eastAsia" w:ascii="宋体" w:hAnsi="宋体" w:eastAsia="宋体" w:cs="宋体"/>
                <w:color w:val="auto"/>
                <w:sz w:val="24"/>
                <w:szCs w:val="24"/>
                <w:highlight w:val="none"/>
              </w:rPr>
              <w:t>提供</w:t>
            </w:r>
            <w:r>
              <w:rPr>
                <w:rFonts w:hint="eastAsia" w:hAnsi="宋体" w:cs="宋体"/>
                <w:color w:val="auto"/>
                <w:sz w:val="24"/>
                <w:szCs w:val="24"/>
                <w:highlight w:val="none"/>
                <w:lang w:val="en-US" w:eastAsia="zh-CN"/>
              </w:rPr>
              <w:t>2023</w:t>
            </w:r>
            <w:r>
              <w:rPr>
                <w:rFonts w:hint="eastAsia" w:ascii="宋体" w:hAnsi="宋体" w:eastAsia="宋体" w:cs="宋体"/>
                <w:color w:val="auto"/>
                <w:sz w:val="24"/>
                <w:szCs w:val="24"/>
                <w:highlight w:val="none"/>
              </w:rPr>
              <w:t>年度至</w:t>
            </w:r>
            <w:r>
              <w:rPr>
                <w:rFonts w:hint="eastAsia"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年度任意一年经审计的财务会计报表（包括资产负债表、利润表、现金流量表）及审计报告或</w:t>
            </w:r>
            <w:r>
              <w:rPr>
                <w:rFonts w:hint="eastAsia" w:hAnsi="宋体" w:cs="宋体"/>
                <w:color w:val="auto"/>
                <w:sz w:val="24"/>
                <w:szCs w:val="24"/>
                <w:highlight w:val="none"/>
                <w:lang w:val="en-US" w:eastAsia="zh-CN"/>
              </w:rPr>
              <w:t>2023</w:t>
            </w:r>
            <w:r>
              <w:rPr>
                <w:rFonts w:hint="eastAsia" w:ascii="宋体" w:hAnsi="宋体" w:eastAsia="宋体" w:cs="宋体"/>
                <w:color w:val="auto"/>
                <w:sz w:val="24"/>
                <w:szCs w:val="24"/>
                <w:highlight w:val="none"/>
              </w:rPr>
              <w:t>年度至</w:t>
            </w:r>
            <w:r>
              <w:rPr>
                <w:rFonts w:hint="eastAsia"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年度任意一年事业单位内部财务报表；供应商成立时间不足一年的，提供银行开具的资信证明文件或资金证明文件或提供自成立至今财务报表</w:t>
            </w:r>
            <w:r>
              <w:rPr>
                <w:rFonts w:hint="eastAsia" w:ascii="宋体" w:hAnsi="宋体" w:eastAsia="宋体" w:cs="宋体"/>
                <w:color w:val="auto"/>
                <w:sz w:val="24"/>
                <w:szCs w:val="24"/>
                <w:highlight w:val="none"/>
                <w:lang w:eastAsia="zh-CN"/>
              </w:rPr>
              <w:t>。</w:t>
            </w:r>
          </w:p>
          <w:p w14:paraId="5BA2B8C1">
            <w:pPr>
              <w:pageBreakBefore w:val="0"/>
              <w:shd w:val="clear" w:color="auto" w:fill="auto"/>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具有履行合同所必需的设备和专业技术能力</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提供</w:t>
            </w:r>
            <w:r>
              <w:rPr>
                <w:rFonts w:hint="eastAsia" w:ascii="宋体" w:hAnsi="宋体" w:eastAsia="宋体" w:cs="宋体"/>
                <w:color w:val="auto"/>
                <w:kern w:val="0"/>
                <w:sz w:val="24"/>
                <w:szCs w:val="24"/>
                <w:highlight w:val="none"/>
              </w:rPr>
              <w:t>证明材料或</w:t>
            </w:r>
            <w:r>
              <w:rPr>
                <w:rFonts w:hint="eastAsia" w:ascii="宋体" w:hAnsi="宋体" w:eastAsia="宋体" w:cs="宋体"/>
                <w:color w:val="auto"/>
                <w:sz w:val="24"/>
                <w:szCs w:val="24"/>
                <w:highlight w:val="none"/>
              </w:rPr>
              <w:t>书面</w:t>
            </w:r>
            <w:r>
              <w:rPr>
                <w:rFonts w:hint="eastAsia" w:ascii="宋体" w:hAnsi="宋体" w:eastAsia="宋体" w:cs="宋体"/>
                <w:color w:val="auto"/>
                <w:sz w:val="24"/>
                <w:szCs w:val="24"/>
                <w:highlight w:val="none"/>
                <w:lang w:val="en-US" w:eastAsia="zh-CN"/>
              </w:rPr>
              <w:t>声明</w:t>
            </w:r>
            <w:r>
              <w:rPr>
                <w:rFonts w:hint="eastAsia" w:ascii="宋体" w:hAnsi="宋体" w:eastAsia="宋体" w:cs="宋体"/>
                <w:color w:val="auto"/>
                <w:sz w:val="24"/>
                <w:szCs w:val="24"/>
                <w:highlight w:val="none"/>
                <w:lang w:eastAsia="zh-CN"/>
              </w:rPr>
              <w:t>。</w:t>
            </w:r>
          </w:p>
          <w:p w14:paraId="26734445">
            <w:pPr>
              <w:keepNext w:val="0"/>
              <w:keepLines w:val="0"/>
              <w:pageBreakBefore w:val="0"/>
              <w:widowControl/>
              <w:shd w:val="clear" w:color="auto" w:fill="auto"/>
              <w:kinsoku/>
              <w:wordWrap/>
              <w:overflowPunct/>
              <w:topLinePunct w:val="0"/>
              <w:bidi w:val="0"/>
              <w:spacing w:line="360" w:lineRule="auto"/>
              <w:jc w:val="left"/>
              <w:rPr>
                <w:rFonts w:hint="eastAsia" w:ascii="宋体" w:hAnsi="宋体" w:eastAsia="宋体" w:cs="宋体"/>
                <w:b/>
                <w:bCs/>
                <w:color w:val="auto"/>
                <w:sz w:val="24"/>
                <w:szCs w:val="24"/>
                <w:highlight w:val="none"/>
                <w:shd w:val="clear" w:color="auto" w:fill="auto"/>
                <w:lang w:eastAsia="zh-CN"/>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有依法缴纳税收</w:t>
            </w:r>
            <w:r>
              <w:rPr>
                <w:rFonts w:hint="eastAsia" w:ascii="宋体" w:hAnsi="宋体" w:eastAsia="宋体" w:cs="宋体"/>
                <w:b/>
                <w:bCs/>
                <w:color w:val="auto"/>
                <w:sz w:val="24"/>
                <w:szCs w:val="24"/>
                <w:highlight w:val="none"/>
                <w:shd w:val="clear" w:color="auto" w:fill="auto"/>
              </w:rPr>
              <w:t>和社会保障资金的良好记录</w:t>
            </w:r>
            <w:r>
              <w:rPr>
                <w:rFonts w:hint="eastAsia" w:ascii="宋体" w:hAnsi="宋体" w:eastAsia="宋体" w:cs="宋体"/>
                <w:b/>
                <w:bCs/>
                <w:color w:val="auto"/>
                <w:sz w:val="24"/>
                <w:szCs w:val="24"/>
                <w:highlight w:val="none"/>
                <w:shd w:val="clear" w:color="auto" w:fill="auto"/>
                <w:lang w:eastAsia="zh-CN"/>
              </w:rPr>
              <w:t>；</w:t>
            </w:r>
          </w:p>
          <w:p w14:paraId="7A96F58F">
            <w:pPr>
              <w:keepNext w:val="0"/>
              <w:keepLines w:val="0"/>
              <w:pageBreakBefore w:val="0"/>
              <w:widowControl/>
              <w:shd w:val="clear" w:color="auto" w:fill="auto"/>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hAnsi="宋体" w:cs="宋体"/>
                <w:color w:val="auto"/>
                <w:sz w:val="24"/>
                <w:szCs w:val="24"/>
                <w:highlight w:val="none"/>
                <w:shd w:val="clear" w:color="auto" w:fill="auto"/>
                <w:lang w:val="en-US" w:eastAsia="zh-CN"/>
              </w:rPr>
              <w:t>1.4.1</w:t>
            </w:r>
            <w:r>
              <w:rPr>
                <w:rFonts w:hint="eastAsia" w:ascii="宋体" w:hAnsi="宋体" w:eastAsia="宋体" w:cs="宋体"/>
                <w:color w:val="auto"/>
                <w:sz w:val="24"/>
                <w:szCs w:val="24"/>
                <w:highlight w:val="none"/>
                <w:shd w:val="clear" w:color="auto" w:fill="auto"/>
              </w:rPr>
              <w:t>提供</w:t>
            </w:r>
            <w:r>
              <w:rPr>
                <w:rFonts w:hint="eastAsia" w:hAnsi="宋体" w:cs="宋体"/>
                <w:color w:val="auto"/>
                <w:sz w:val="24"/>
                <w:szCs w:val="24"/>
                <w:highlight w:val="none"/>
                <w:shd w:val="clear" w:color="auto" w:fill="auto"/>
                <w:lang w:val="en-US" w:eastAsia="zh-CN"/>
              </w:rPr>
              <w:t>2025</w:t>
            </w:r>
            <w:r>
              <w:rPr>
                <w:rFonts w:hint="eastAsia" w:ascii="宋体" w:hAnsi="宋体" w:eastAsia="宋体" w:cs="宋体"/>
                <w:color w:val="auto"/>
                <w:sz w:val="24"/>
                <w:szCs w:val="24"/>
                <w:highlight w:val="none"/>
                <w:shd w:val="clear" w:color="auto" w:fill="auto"/>
              </w:rPr>
              <w:t>年</w:t>
            </w:r>
            <w:r>
              <w:rPr>
                <w:rFonts w:hint="eastAsia" w:hAnsi="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月至今任意2个月的税务局税收通用缴款书复印件或银行电子缴税（费）凭证复印件或税务局出具纳税情况的相关证明复印件；</w:t>
            </w:r>
          </w:p>
          <w:p w14:paraId="15A224E2">
            <w:pPr>
              <w:keepNext w:val="0"/>
              <w:keepLines w:val="0"/>
              <w:pageBreakBefore w:val="0"/>
              <w:widowControl/>
              <w:shd w:val="clear" w:color="auto" w:fill="auto"/>
              <w:kinsoku/>
              <w:wordWrap/>
              <w:overflowPunct/>
              <w:topLinePunct w:val="0"/>
              <w:bidi w:val="0"/>
              <w:spacing w:line="360" w:lineRule="auto"/>
              <w:jc w:val="left"/>
              <w:rPr>
                <w:rFonts w:hint="eastAsia" w:hAnsi="宋体" w:cs="宋体"/>
                <w:color w:val="auto"/>
                <w:sz w:val="24"/>
                <w:szCs w:val="24"/>
                <w:highlight w:val="none"/>
                <w:shd w:val="clear" w:color="auto" w:fill="auto"/>
                <w:lang w:eastAsia="zh-CN"/>
              </w:rPr>
            </w:pPr>
            <w:r>
              <w:rPr>
                <w:rFonts w:hint="eastAsia" w:hAnsi="宋体" w:cs="宋体"/>
                <w:color w:val="auto"/>
                <w:sz w:val="24"/>
                <w:szCs w:val="24"/>
                <w:highlight w:val="none"/>
                <w:shd w:val="clear" w:color="auto" w:fill="auto"/>
                <w:lang w:val="en-US" w:eastAsia="zh-CN"/>
              </w:rPr>
              <w:t>1.4.2</w:t>
            </w:r>
            <w:r>
              <w:rPr>
                <w:rFonts w:hint="eastAsia" w:ascii="宋体" w:hAnsi="宋体" w:eastAsia="宋体" w:cs="宋体"/>
                <w:color w:val="auto"/>
                <w:sz w:val="24"/>
                <w:szCs w:val="24"/>
                <w:highlight w:val="none"/>
                <w:shd w:val="clear" w:color="auto" w:fill="auto"/>
              </w:rPr>
              <w:t>提供</w:t>
            </w:r>
            <w:r>
              <w:rPr>
                <w:rFonts w:hint="eastAsia" w:hAnsi="宋体" w:cs="宋体"/>
                <w:color w:val="auto"/>
                <w:sz w:val="24"/>
                <w:szCs w:val="24"/>
                <w:highlight w:val="none"/>
                <w:shd w:val="clear" w:color="auto" w:fill="auto"/>
                <w:lang w:val="en-US" w:eastAsia="zh-CN"/>
              </w:rPr>
              <w:t>2025</w:t>
            </w:r>
            <w:r>
              <w:rPr>
                <w:rFonts w:hint="eastAsia" w:ascii="宋体" w:hAnsi="宋体" w:eastAsia="宋体" w:cs="宋体"/>
                <w:color w:val="auto"/>
                <w:sz w:val="24"/>
                <w:szCs w:val="24"/>
                <w:highlight w:val="none"/>
                <w:shd w:val="clear" w:color="auto" w:fill="auto"/>
              </w:rPr>
              <w:t>年</w:t>
            </w:r>
            <w:r>
              <w:rPr>
                <w:rFonts w:hint="eastAsia" w:hAnsi="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月至今任意2个月的社会保险费缴款书复印件或银行电子缴税（费）凭证复印件或社保管理部门出具的有效的缴款证明复印件</w:t>
            </w:r>
            <w:r>
              <w:rPr>
                <w:rFonts w:hint="eastAsia" w:hAnsi="宋体" w:cs="宋体"/>
                <w:color w:val="auto"/>
                <w:sz w:val="24"/>
                <w:szCs w:val="24"/>
                <w:highlight w:val="none"/>
                <w:shd w:val="clear" w:color="auto" w:fill="auto"/>
                <w:lang w:eastAsia="zh-CN"/>
              </w:rPr>
              <w:t>；</w:t>
            </w:r>
          </w:p>
          <w:p w14:paraId="5E945D6B">
            <w:pPr>
              <w:keepNext w:val="0"/>
              <w:keepLines w:val="0"/>
              <w:pageBreakBefore w:val="0"/>
              <w:widowControl/>
              <w:shd w:val="clear" w:color="auto" w:fill="auto"/>
              <w:kinsoku/>
              <w:wordWrap/>
              <w:overflowPunct/>
              <w:topLinePunct w:val="0"/>
              <w:bidi w:val="0"/>
              <w:spacing w:line="360" w:lineRule="auto"/>
              <w:jc w:val="left"/>
              <w:rPr>
                <w:rFonts w:hint="eastAsia" w:ascii="宋体" w:hAnsi="宋体" w:eastAsia="宋体" w:cs="宋体"/>
                <w:color w:val="auto"/>
                <w:sz w:val="24"/>
                <w:szCs w:val="24"/>
                <w:highlight w:val="none"/>
                <w:lang w:eastAsia="zh-CN"/>
              </w:rPr>
            </w:pPr>
            <w:r>
              <w:rPr>
                <w:rFonts w:hint="eastAsia" w:hAnsi="宋体" w:cs="宋体"/>
                <w:b/>
                <w:bCs/>
                <w:color w:val="auto"/>
                <w:sz w:val="24"/>
                <w:szCs w:val="24"/>
                <w:highlight w:val="none"/>
                <w:shd w:val="clear" w:color="auto" w:fill="auto"/>
                <w:lang w:val="en-US" w:eastAsia="zh-CN"/>
              </w:rPr>
              <w:t>注：</w:t>
            </w:r>
            <w:r>
              <w:rPr>
                <w:rFonts w:hint="eastAsia" w:ascii="宋体" w:hAnsi="宋体" w:eastAsia="宋体" w:cs="宋体"/>
                <w:color w:val="auto"/>
                <w:sz w:val="24"/>
                <w:szCs w:val="24"/>
                <w:highlight w:val="none"/>
                <w:shd w:val="clear" w:color="auto" w:fill="auto"/>
              </w:rPr>
              <w:t>成立未满2个月的提供成立以来的税收和社会保障资金缴纳凭证或相关情况说明；依法免税或不需要缴纳社会保障资金的</w:t>
            </w:r>
            <w:r>
              <w:rPr>
                <w:rFonts w:hint="eastAsia" w:ascii="宋体" w:hAnsi="宋体" w:eastAsia="宋体" w:cs="宋体"/>
                <w:color w:val="auto"/>
                <w:sz w:val="24"/>
                <w:szCs w:val="24"/>
                <w:highlight w:val="none"/>
                <w:shd w:val="clear" w:color="auto" w:fill="auto"/>
                <w:lang w:val="en-US" w:eastAsia="zh-CN"/>
              </w:rPr>
              <w:t>供应商</w:t>
            </w:r>
            <w:r>
              <w:rPr>
                <w:rFonts w:hint="eastAsia" w:ascii="宋体" w:hAnsi="宋体" w:eastAsia="宋体" w:cs="宋体"/>
                <w:color w:val="auto"/>
                <w:sz w:val="24"/>
                <w:szCs w:val="24"/>
                <w:highlight w:val="none"/>
                <w:shd w:val="clear" w:color="auto" w:fill="auto"/>
              </w:rPr>
              <w:t>，应提供相应文件证明其依法免税或不需要缴纳社会保障资金</w:t>
            </w:r>
            <w:r>
              <w:rPr>
                <w:rFonts w:hint="eastAsia" w:ascii="宋体" w:hAnsi="宋体" w:eastAsia="宋体" w:cs="宋体"/>
                <w:color w:val="auto"/>
                <w:sz w:val="24"/>
                <w:szCs w:val="24"/>
                <w:highlight w:val="none"/>
                <w:lang w:eastAsia="zh-CN"/>
              </w:rPr>
              <w:t>。</w:t>
            </w:r>
          </w:p>
          <w:p w14:paraId="1F962376">
            <w:pPr>
              <w:pageBreakBefore w:val="0"/>
              <w:shd w:val="clear" w:color="auto" w:fill="auto"/>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参加政府采购活动前三年内，在经营活动中没有重大违法记录</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重大违法记录，指供应商因违法经营受到刑事处罚或者责令停产停业、吊销许可证或者执照、较大数额罚款等行政处罚，提供书面声明</w:t>
            </w:r>
            <w:r>
              <w:rPr>
                <w:rFonts w:hint="eastAsia" w:ascii="宋体" w:hAnsi="宋体" w:eastAsia="宋体" w:cs="宋体"/>
                <w:color w:val="auto"/>
                <w:sz w:val="24"/>
                <w:szCs w:val="24"/>
                <w:highlight w:val="none"/>
                <w:lang w:eastAsia="zh-CN"/>
              </w:rPr>
              <w:t>。</w:t>
            </w:r>
          </w:p>
          <w:p w14:paraId="37194DDF">
            <w:pPr>
              <w:pageBreakBefore w:val="0"/>
              <w:widowControl w:val="0"/>
              <w:shd w:val="clear" w:color="auto" w:fill="auto"/>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rPr>
              <w:t>法律、行政法规规定的其他条件</w:t>
            </w:r>
            <w:r>
              <w:rPr>
                <w:rFonts w:hint="eastAsia" w:ascii="宋体" w:hAnsi="宋体" w:eastAsia="宋体" w:cs="宋体"/>
                <w:b/>
                <w:bCs/>
                <w:color w:val="auto"/>
                <w:sz w:val="24"/>
                <w:szCs w:val="24"/>
                <w:highlight w:val="none"/>
                <w:lang w:eastAsia="zh-CN"/>
              </w:rPr>
              <w:t>；</w:t>
            </w:r>
          </w:p>
          <w:p w14:paraId="60B839B4">
            <w:pPr>
              <w:pageBreakBefore w:val="0"/>
              <w:widowControl w:val="0"/>
              <w:shd w:val="clear" w:color="auto" w:fill="auto"/>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1.6.1</w:t>
            </w:r>
            <w:r>
              <w:rPr>
                <w:rFonts w:hint="eastAsia" w:ascii="宋体" w:hAnsi="宋体" w:eastAsia="宋体" w:cs="宋体"/>
                <w:color w:val="auto"/>
                <w:sz w:val="24"/>
                <w:szCs w:val="24"/>
                <w:highlight w:val="none"/>
              </w:rPr>
              <w:t>供应商未被“中国执行信息公开网”（</w:t>
            </w:r>
            <w:r>
              <w:rPr>
                <w:rFonts w:hint="eastAsia" w:hAnsi="宋体" w:cs="宋体"/>
                <w:color w:val="auto"/>
                <w:sz w:val="24"/>
                <w:szCs w:val="24"/>
                <w:highlight w:val="none"/>
                <w:lang w:eastAsia="zh-CN"/>
              </w:rPr>
              <w:t>https://zxgk.court.gov.cn/shixin/</w:t>
            </w:r>
            <w:r>
              <w:rPr>
                <w:rFonts w:hint="eastAsia" w:ascii="宋体" w:hAnsi="宋体" w:eastAsia="宋体" w:cs="宋体"/>
                <w:color w:val="auto"/>
                <w:sz w:val="24"/>
                <w:szCs w:val="24"/>
                <w:highlight w:val="none"/>
              </w:rPr>
              <w:t>）列入失信被执行人、“信用中国”（</w:t>
            </w:r>
            <w:r>
              <w:rPr>
                <w:rFonts w:hint="eastAsia" w:hAnsi="宋体" w:cs="宋体"/>
                <w:color w:val="auto"/>
                <w:sz w:val="24"/>
                <w:szCs w:val="24"/>
                <w:highlight w:val="none"/>
                <w:lang w:eastAsia="zh-CN"/>
              </w:rPr>
              <w:t>https://www.creditchina.gov.cn/</w:t>
            </w:r>
            <w:r>
              <w:rPr>
                <w:rFonts w:hint="eastAsia" w:ascii="宋体" w:hAnsi="宋体" w:eastAsia="宋体" w:cs="宋体"/>
                <w:color w:val="auto"/>
                <w:sz w:val="24"/>
                <w:szCs w:val="24"/>
                <w:highlight w:val="none"/>
              </w:rPr>
              <w:t>）列入重大税收违法失信主体、“国家企业信用信息公示系统（http://www.gsxt.gov.cn）列入严重违法失信行为记录”，</w:t>
            </w:r>
            <w:r>
              <w:rPr>
                <w:rFonts w:hint="eastAsia" w:hAnsi="宋体" w:cs="宋体"/>
                <w:color w:val="auto"/>
                <w:sz w:val="24"/>
                <w:szCs w:val="24"/>
                <w:highlight w:val="none"/>
                <w:lang w:eastAsia="zh-CN"/>
              </w:rPr>
              <w:t>“中国政府采购网（http://www.ccgp.gov.cn/）</w:t>
            </w:r>
            <w:r>
              <w:rPr>
                <w:rFonts w:hint="eastAsia" w:hAnsi="宋体" w:cs="宋体"/>
                <w:color w:val="auto"/>
                <w:sz w:val="24"/>
                <w:szCs w:val="24"/>
                <w:highlight w:val="none"/>
                <w:lang w:val="en-US" w:eastAsia="zh-CN"/>
              </w:rPr>
              <w:t>列入</w:t>
            </w:r>
            <w:r>
              <w:rPr>
                <w:rFonts w:hint="eastAsia" w:hAnsi="宋体" w:cs="宋体"/>
                <w:color w:val="auto"/>
                <w:sz w:val="24"/>
                <w:szCs w:val="24"/>
                <w:highlight w:val="none"/>
                <w:lang w:eastAsia="zh-CN"/>
              </w:rPr>
              <w:t>政府采购严重违法失信行为信息记录名单”，</w:t>
            </w:r>
            <w:r>
              <w:rPr>
                <w:rFonts w:hint="eastAsia" w:ascii="宋体" w:hAnsi="宋体" w:eastAsia="宋体" w:cs="宋体"/>
                <w:color w:val="auto"/>
                <w:sz w:val="24"/>
                <w:szCs w:val="24"/>
                <w:highlight w:val="none"/>
              </w:rPr>
              <w:t>提供书面声明</w:t>
            </w:r>
            <w:r>
              <w:rPr>
                <w:rFonts w:hint="eastAsia" w:ascii="宋体" w:hAnsi="宋体" w:eastAsia="宋体" w:cs="宋体"/>
                <w:color w:val="auto"/>
                <w:sz w:val="24"/>
                <w:szCs w:val="24"/>
                <w:highlight w:val="none"/>
                <w:lang w:eastAsia="zh-CN"/>
              </w:rPr>
              <w:t>。</w:t>
            </w:r>
          </w:p>
          <w:p w14:paraId="2B89B8DA">
            <w:pPr>
              <w:pageBreakBefore w:val="0"/>
              <w:widowControl w:val="0"/>
              <w:shd w:val="clear" w:color="auto" w:fill="auto"/>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上述信用信息由采购代理机构负责在项目磋商会议开始前查询、存档，供应商存在不良信用记录的，其响应文件将被拒绝。</w:t>
            </w:r>
          </w:p>
          <w:p w14:paraId="465A57C3">
            <w:pPr>
              <w:pageBreakBefore w:val="0"/>
              <w:shd w:val="clear" w:color="auto" w:fill="auto"/>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shd w:val="clear" w:color="auto" w:fill="auto"/>
                <w:lang w:val="en-US" w:eastAsia="zh-CN"/>
              </w:rPr>
              <w:t>1.6.2</w:t>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宋体" w:cs="宋体"/>
                <w:color w:val="auto"/>
                <w:sz w:val="24"/>
                <w:szCs w:val="24"/>
                <w:highlight w:val="none"/>
                <w:lang w:eastAsia="zh-CN"/>
              </w:rPr>
              <w:t>。</w:t>
            </w:r>
          </w:p>
          <w:p w14:paraId="4285C1AD">
            <w:pPr>
              <w:pageBreakBefore w:val="0"/>
              <w:shd w:val="clear" w:color="auto" w:fill="auto"/>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highlight w:val="none"/>
                <w:lang w:val="en-US" w:eastAsia="zh-CN"/>
              </w:rPr>
              <w:t>落实政府采购政策需满足的资格要求：</w:t>
            </w:r>
            <w:r>
              <w:rPr>
                <w:rFonts w:hint="eastAsia" w:ascii="宋体" w:hAnsi="宋体" w:eastAsia="宋体" w:cs="宋体"/>
                <w:b/>
                <w:bCs w:val="0"/>
                <w:color w:val="auto"/>
                <w:sz w:val="24"/>
                <w:szCs w:val="22"/>
                <w:highlight w:val="none"/>
                <w:lang w:val="en-US" w:eastAsia="zh-CN"/>
              </w:rPr>
              <w:t>本项目属于专门面向中小微企业采购的项目。</w:t>
            </w:r>
            <w:r>
              <w:rPr>
                <w:rFonts w:hint="eastAsia" w:ascii="宋体" w:hAnsi="宋体" w:eastAsia="宋体" w:cs="宋体"/>
                <w:bCs/>
                <w:color w:val="auto"/>
                <w:sz w:val="24"/>
                <w:szCs w:val="22"/>
                <w:highlight w:val="none"/>
                <w:lang w:val="en-US" w:eastAsia="zh-CN"/>
              </w:rPr>
              <w:t>（1）扶持中小企业政策：按照“根据《关于印发《政府采购促进中小企业发展管理办法》的通知》（财库〔2020〕46号）和《关于进一步加大政府采购支持中小企业力度的通知》（财库〔2022〕19号）的规定”执行。（2）支持监狱企业政策：按照根据财政部《司法部关于政府采购支持监狱企业发展有关问题》的通知（财库〔2014〕68 号）执行。（3）支持残疾人福利性单位政策：根据《三部门联合发布关于促进残疾人就业政府采购政策的通知》（财库〔2017〕141号）执行</w:t>
            </w:r>
            <w:r>
              <w:rPr>
                <w:rFonts w:hint="eastAsia" w:ascii="宋体" w:hAnsi="宋体" w:eastAsia="宋体" w:cs="宋体"/>
                <w:color w:val="auto"/>
                <w:sz w:val="24"/>
                <w:szCs w:val="24"/>
                <w:highlight w:val="none"/>
                <w:lang w:val="en-US" w:eastAsia="zh-CN"/>
              </w:rPr>
              <w:t>。</w:t>
            </w:r>
          </w:p>
          <w:p w14:paraId="073F14C4">
            <w:pPr>
              <w:pageBreakBefore w:val="0"/>
              <w:shd w:val="clear" w:color="auto" w:fill="auto"/>
              <w:kinsoku/>
              <w:wordWrap/>
              <w:overflowPunct/>
              <w:topLinePunct w:val="0"/>
              <w:autoSpaceDE/>
              <w:autoSpaceDN/>
              <w:bidi w:val="0"/>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.本项目的特定资格要求：</w:t>
            </w:r>
          </w:p>
          <w:p w14:paraId="6104921C">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3.1</w:t>
            </w:r>
            <w:r>
              <w:rPr>
                <w:rFonts w:hint="eastAsia" w:ascii="宋体" w:hAnsi="宋体" w:eastAsia="宋体" w:cs="宋体"/>
                <w:b w:val="0"/>
                <w:bCs w:val="0"/>
                <w:color w:val="auto"/>
                <w:sz w:val="24"/>
                <w:szCs w:val="24"/>
                <w:highlight w:val="none"/>
                <w:lang w:val="en-US" w:eastAsia="zh-CN"/>
              </w:rPr>
              <w:t>资质要求</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具备有效的建设行政主管部门颁发的</w:t>
            </w:r>
            <w:r>
              <w:rPr>
                <w:rFonts w:hint="eastAsia" w:hAnsi="宋体" w:cs="宋体"/>
                <w:color w:val="auto"/>
                <w:kern w:val="0"/>
                <w:sz w:val="24"/>
                <w:highlight w:val="none"/>
                <w:lang w:eastAsia="zh-CN"/>
              </w:rPr>
              <w:t>建筑工程</w:t>
            </w:r>
            <w:r>
              <w:rPr>
                <w:rFonts w:hint="eastAsia" w:ascii="宋体" w:hAnsi="宋体" w:eastAsia="宋体" w:cs="宋体"/>
                <w:color w:val="auto"/>
                <w:sz w:val="24"/>
                <w:szCs w:val="24"/>
                <w:highlight w:val="none"/>
                <w:lang w:val="en-US" w:eastAsia="zh-CN"/>
              </w:rPr>
              <w:t>施工总承包三级</w:t>
            </w:r>
            <w:r>
              <w:rPr>
                <w:rFonts w:hint="eastAsia" w:ascii="宋体" w:hAnsi="宋体" w:eastAsia="宋体" w:cs="宋体"/>
                <w:color w:val="auto"/>
                <w:sz w:val="24"/>
                <w:szCs w:val="24"/>
                <w:highlight w:val="none"/>
              </w:rPr>
              <w:t>及其以上资质，且资质证书在有效期内</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并具备有效的安全生产许可证，并在人员、设备、资金等方面具有相应施工能力的单位。</w:t>
            </w:r>
          </w:p>
          <w:p w14:paraId="38D20A6F">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3.2项目经理要求：拟派往本项目的项目经理须具备国家注册二级及以上建造师（</w:t>
            </w:r>
            <w:r>
              <w:rPr>
                <w:rFonts w:hint="eastAsia" w:hAnsi="宋体" w:cs="宋体"/>
                <w:color w:val="auto"/>
                <w:kern w:val="0"/>
                <w:sz w:val="24"/>
                <w:highlight w:val="none"/>
                <w:lang w:eastAsia="zh-CN"/>
              </w:rPr>
              <w:t>建筑工程</w:t>
            </w:r>
            <w:r>
              <w:rPr>
                <w:rFonts w:hint="eastAsia" w:ascii="宋体" w:hAnsi="宋体" w:eastAsia="宋体" w:cs="宋体"/>
                <w:color w:val="auto"/>
                <w:sz w:val="24"/>
                <w:szCs w:val="24"/>
                <w:highlight w:val="none"/>
                <w:lang w:eastAsia="zh-CN"/>
              </w:rPr>
              <w:t>专业</w:t>
            </w:r>
            <w:r>
              <w:rPr>
                <w:rFonts w:hint="eastAsia" w:ascii="宋体" w:hAnsi="宋体" w:eastAsia="宋体" w:cs="宋体"/>
                <w:color w:val="auto"/>
                <w:sz w:val="24"/>
                <w:szCs w:val="24"/>
                <w:highlight w:val="none"/>
              </w:rPr>
              <w:t>）执业资格和有效的安全生产考核合格证书（B证），需注册在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本单位，提供</w:t>
            </w:r>
            <w:r>
              <w:rPr>
                <w:rFonts w:hint="eastAsia" w:ascii="宋体" w:hAnsi="宋体" w:eastAsia="宋体" w:cs="宋体"/>
                <w:color w:val="auto"/>
                <w:sz w:val="24"/>
                <w:szCs w:val="24"/>
                <w:highlight w:val="none"/>
                <w:lang w:eastAsia="zh-CN"/>
              </w:rPr>
              <w:t>劳动合同或社保缴纳证明材料；且未担任其他在建建设工程项目的项目负责人或项目经理职务（并作出承诺）</w:t>
            </w:r>
            <w:r>
              <w:rPr>
                <w:rFonts w:hint="eastAsia" w:ascii="宋体" w:hAnsi="宋体" w:eastAsia="宋体" w:cs="宋体"/>
                <w:color w:val="auto"/>
                <w:sz w:val="24"/>
                <w:szCs w:val="24"/>
                <w:highlight w:val="none"/>
              </w:rPr>
              <w:t>。</w:t>
            </w:r>
          </w:p>
          <w:p w14:paraId="4EF8327A">
            <w:pPr>
              <w:shd w:val="clear" w:color="auto" w:fill="auto"/>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3.3其他人员要求:</w:t>
            </w:r>
          </w:p>
          <w:p w14:paraId="366E19C3">
            <w:pPr>
              <w:shd w:val="clear" w:color="auto" w:fill="auto"/>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①技术负责人:具有工程师及以上的职称证书，拟派本项目技术负责人应为供应商本单位人员，提供劳动合同或社保缴纳证明材料。</w:t>
            </w:r>
          </w:p>
          <w:p w14:paraId="515748A2">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②专职安全员:持有安全生产考核合格证书（C证），拟派本项目专职安全员应为供应商本单位人员</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提供劳动合同或社保缴纳证明材料</w:t>
            </w:r>
            <w:r>
              <w:rPr>
                <w:rFonts w:hint="eastAsia" w:ascii="宋体" w:hAnsi="宋体" w:eastAsia="宋体" w:cs="宋体"/>
                <w:color w:val="auto"/>
                <w:sz w:val="24"/>
                <w:szCs w:val="24"/>
                <w:highlight w:val="none"/>
              </w:rPr>
              <w:t>。</w:t>
            </w:r>
          </w:p>
        </w:tc>
      </w:tr>
      <w:tr w14:paraId="1C7B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91" w:type="dxa"/>
            <w:noWrap w:val="0"/>
            <w:vAlign w:val="center"/>
          </w:tcPr>
          <w:p w14:paraId="491580E3">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2352" w:type="dxa"/>
            <w:noWrap w:val="0"/>
            <w:vAlign w:val="center"/>
          </w:tcPr>
          <w:p w14:paraId="12E19FD7">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是否接受联合体参加</w:t>
            </w:r>
          </w:p>
        </w:tc>
        <w:tc>
          <w:tcPr>
            <w:tcW w:w="6576" w:type="dxa"/>
            <w:noWrap w:val="0"/>
            <w:vAlign w:val="center"/>
          </w:tcPr>
          <w:p w14:paraId="22C4FC26">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lang w:val="en-US" w:eastAsia="zh-CN"/>
              </w:rPr>
              <w:t>不</w:t>
            </w:r>
            <w:r>
              <w:rPr>
                <w:rFonts w:hint="eastAsia" w:ascii="宋体" w:hAnsi="宋体" w:eastAsia="宋体" w:cs="宋体"/>
                <w:b w:val="0"/>
                <w:bCs w:val="0"/>
                <w:color w:val="auto"/>
                <w:sz w:val="24"/>
                <w:szCs w:val="24"/>
                <w:highlight w:val="none"/>
              </w:rPr>
              <w:t>接受联合体。</w:t>
            </w:r>
          </w:p>
        </w:tc>
      </w:tr>
      <w:tr w14:paraId="084E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73D1C5CF">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2352" w:type="dxa"/>
            <w:noWrap w:val="0"/>
            <w:vAlign w:val="center"/>
          </w:tcPr>
          <w:p w14:paraId="54E6EBF5">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w:t>
            </w:r>
          </w:p>
        </w:tc>
        <w:tc>
          <w:tcPr>
            <w:tcW w:w="6576" w:type="dxa"/>
            <w:noWrap w:val="0"/>
            <w:vAlign w:val="center"/>
          </w:tcPr>
          <w:p w14:paraId="2B71A52E">
            <w:pPr>
              <w:shd w:val="clear" w:color="auto" w:fill="auto"/>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0F29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2DA1A83E">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2352" w:type="dxa"/>
            <w:noWrap w:val="0"/>
            <w:vAlign w:val="center"/>
          </w:tcPr>
          <w:p w14:paraId="4682E168">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磋商前答疑会</w:t>
            </w:r>
          </w:p>
        </w:tc>
        <w:tc>
          <w:tcPr>
            <w:tcW w:w="6576" w:type="dxa"/>
            <w:noWrap w:val="0"/>
            <w:vAlign w:val="center"/>
          </w:tcPr>
          <w:p w14:paraId="251E2DE8">
            <w:pPr>
              <w:shd w:val="clear" w:color="auto" w:fill="auto"/>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3A5B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401400B6">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352" w:type="dxa"/>
            <w:noWrap w:val="0"/>
            <w:vAlign w:val="center"/>
          </w:tcPr>
          <w:p w14:paraId="0C805F04">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竞争性磋商文件的询问时间</w:t>
            </w:r>
          </w:p>
        </w:tc>
        <w:tc>
          <w:tcPr>
            <w:tcW w:w="6576" w:type="dxa"/>
            <w:noWrap w:val="0"/>
            <w:vAlign w:val="center"/>
          </w:tcPr>
          <w:p w14:paraId="3E809E55">
            <w:pPr>
              <w:shd w:val="clear" w:color="auto" w:fill="auto"/>
              <w:autoSpaceDE w:val="0"/>
              <w:autoSpaceDN w:val="0"/>
              <w:adjustRightInd w:val="0"/>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供应商应认真阅读竞争性磋商文件，如有疑问的，供应商可以向采购人或采购代理机构提出询问。所有获取了竞争性磋商文件的潜在供应商凭企业账号【或企业数字证书（CA）】登录政府采购云平台（</w:t>
            </w:r>
            <w:r>
              <w:rPr>
                <w:rFonts w:hint="eastAsia" w:hAnsi="宋体" w:cs="宋体"/>
                <w:color w:val="auto"/>
                <w:sz w:val="24"/>
                <w:szCs w:val="24"/>
                <w:highlight w:val="none"/>
                <w:lang w:eastAsia="zh-CN"/>
              </w:rPr>
              <w:t>https://www.zcygov.cn/</w:t>
            </w:r>
            <w:r>
              <w:rPr>
                <w:rFonts w:hint="eastAsia" w:ascii="宋体" w:hAnsi="宋体" w:eastAsia="宋体" w:cs="宋体"/>
                <w:color w:val="auto"/>
                <w:sz w:val="24"/>
                <w:szCs w:val="24"/>
                <w:highlight w:val="none"/>
              </w:rPr>
              <w:t>），通过网络在线方式向采购人或采购代理进行不署名提问，采购人或者采购代理机构在接到询问后的3个工作日内对供应商依法提出的询问作出答复，但答复的内容不涉及商业秘密。</w:t>
            </w:r>
          </w:p>
        </w:tc>
      </w:tr>
      <w:tr w14:paraId="5C5E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91" w:type="dxa"/>
            <w:noWrap w:val="0"/>
            <w:vAlign w:val="center"/>
          </w:tcPr>
          <w:p w14:paraId="7AFAEE85">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352" w:type="dxa"/>
            <w:noWrap w:val="0"/>
            <w:vAlign w:val="center"/>
          </w:tcPr>
          <w:p w14:paraId="21B8F57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竞争性磋商文件询问联系方式</w:t>
            </w:r>
          </w:p>
        </w:tc>
        <w:tc>
          <w:tcPr>
            <w:tcW w:w="6576" w:type="dxa"/>
            <w:noWrap w:val="0"/>
            <w:vAlign w:val="center"/>
          </w:tcPr>
          <w:p w14:paraId="404E5E0C">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hAnsi="宋体" w:cs="宋体"/>
                <w:color w:val="auto"/>
                <w:sz w:val="24"/>
                <w:szCs w:val="24"/>
                <w:highlight w:val="none"/>
                <w:lang w:val="en-US" w:eastAsia="zh-CN"/>
              </w:rPr>
              <w:t>张卓曦、杨元美</w:t>
            </w:r>
          </w:p>
          <w:p w14:paraId="59EA0479">
            <w:pPr>
              <w:shd w:val="clear" w:color="auto" w:fill="auto"/>
              <w:autoSpaceDE w:val="0"/>
              <w:autoSpaceDN w:val="0"/>
              <w:adjustRightInd w:val="0"/>
              <w:spacing w:line="36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电话：</w:t>
            </w:r>
            <w:r>
              <w:rPr>
                <w:rFonts w:hint="eastAsia" w:hAnsi="宋体" w:cs="宋体"/>
                <w:color w:val="auto"/>
                <w:sz w:val="24"/>
                <w:szCs w:val="24"/>
                <w:highlight w:val="none"/>
                <w:lang w:val="en-US" w:eastAsia="zh-CN"/>
              </w:rPr>
              <w:t>13988800740、15240987539</w:t>
            </w:r>
          </w:p>
        </w:tc>
      </w:tr>
      <w:tr w14:paraId="1E30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0618632C">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352" w:type="dxa"/>
            <w:noWrap w:val="0"/>
            <w:vAlign w:val="center"/>
          </w:tcPr>
          <w:p w14:paraId="7A87388F">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竞争性磋商文件澄清、修改时间</w:t>
            </w:r>
          </w:p>
        </w:tc>
        <w:tc>
          <w:tcPr>
            <w:tcW w:w="6576" w:type="dxa"/>
            <w:noWrap w:val="0"/>
            <w:vAlign w:val="center"/>
          </w:tcPr>
          <w:p w14:paraId="61D0100B">
            <w:pPr>
              <w:shd w:val="clear" w:color="auto" w:fill="auto"/>
              <w:autoSpaceDE w:val="0"/>
              <w:autoSpaceDN w:val="0"/>
              <w:adjustRightInd w:val="0"/>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或者修改的内容可能影响响应文件编制的，采购人、采购代理机构将在提交首次响应文件截止时间至少5日前，在竞争性磋商公告发布的同一媒介通过网络向潜在供应商发布，且供应商不须回函确认，所有获取了竞争性磋商文件的潜在供应商凭企业账号【或企业数字证书（CA）】登录政府采购云平台查看澄清或者修改内容，澄清或者修改的内容作为竞争性磋商文件的组成部分。不足5日的，采购人、采购代理机构将顺延提交首次响应文件截止时间。供应商应在提交响应文件截止时间前及时登录政府采购云平台（网址：</w:t>
            </w:r>
            <w:r>
              <w:rPr>
                <w:rFonts w:hint="eastAsia" w:hAnsi="宋体" w:cs="宋体"/>
                <w:color w:val="auto"/>
                <w:sz w:val="24"/>
                <w:szCs w:val="24"/>
                <w:highlight w:val="none"/>
                <w:lang w:eastAsia="zh-CN"/>
              </w:rPr>
              <w:t>https://www.zcygov.cn/</w:t>
            </w:r>
            <w:r>
              <w:rPr>
                <w:rFonts w:hint="eastAsia" w:ascii="宋体" w:hAnsi="宋体" w:eastAsia="宋体" w:cs="宋体"/>
                <w:color w:val="auto"/>
                <w:sz w:val="24"/>
                <w:szCs w:val="24"/>
                <w:highlight w:val="none"/>
              </w:rPr>
              <w:t>）中查看有关该项目竞争性磋商文件的答疑、补遗内容。否则，后果自负。竞争性磋商文件澄清、竞争性磋商文件修改文件内容均以网上电子文件为准，当竞争性磋商文件、竞争性磋商文件澄清、竞争性磋商文件修改文件内容后前相互矛盾时，以最新发布的竞争性磋商文件为准。</w:t>
            </w:r>
          </w:p>
        </w:tc>
      </w:tr>
      <w:tr w14:paraId="4BD9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891" w:type="dxa"/>
            <w:noWrap w:val="0"/>
            <w:vAlign w:val="center"/>
          </w:tcPr>
          <w:p w14:paraId="43FB5E9C">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2352" w:type="dxa"/>
            <w:noWrap w:val="0"/>
            <w:vAlign w:val="center"/>
          </w:tcPr>
          <w:p w14:paraId="6AC387B1">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供应商确认收到竞争性磋商文件澄清、修改时间</w:t>
            </w:r>
          </w:p>
        </w:tc>
        <w:tc>
          <w:tcPr>
            <w:tcW w:w="6576" w:type="dxa"/>
            <w:noWrap w:val="0"/>
            <w:vAlign w:val="center"/>
          </w:tcPr>
          <w:p w14:paraId="4DD651FD">
            <w:pPr>
              <w:shd w:val="clear" w:color="auto" w:fill="auto"/>
              <w:autoSpaceDE w:val="0"/>
              <w:autoSpaceDN w:val="0"/>
              <w:adjustRightInd w:val="0"/>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供应商不须回函确认收到竞争性磋商文件澄清、修改，供应商应在磋商截止时间前及时登录政府采购云平台（网址：</w:t>
            </w:r>
            <w:r>
              <w:rPr>
                <w:rFonts w:hint="eastAsia" w:hAnsi="宋体" w:cs="宋体"/>
                <w:color w:val="auto"/>
                <w:sz w:val="24"/>
                <w:szCs w:val="24"/>
                <w:highlight w:val="none"/>
                <w:lang w:eastAsia="zh-CN"/>
              </w:rPr>
              <w:t>https://www.zcygov.cn/</w:t>
            </w:r>
            <w:r>
              <w:rPr>
                <w:rFonts w:hint="eastAsia" w:ascii="宋体" w:hAnsi="宋体" w:eastAsia="宋体" w:cs="宋体"/>
                <w:color w:val="auto"/>
                <w:sz w:val="24"/>
                <w:szCs w:val="24"/>
                <w:highlight w:val="none"/>
              </w:rPr>
              <w:t>）中查看有关该项目竞争性磋商文件的答疑、补遗内容。否则，后果自负。</w:t>
            </w:r>
          </w:p>
        </w:tc>
      </w:tr>
      <w:tr w14:paraId="300C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61F06C49">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352" w:type="dxa"/>
            <w:noWrap w:val="0"/>
            <w:vAlign w:val="center"/>
          </w:tcPr>
          <w:p w14:paraId="0420CA6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语言文字</w:t>
            </w:r>
          </w:p>
        </w:tc>
        <w:tc>
          <w:tcPr>
            <w:tcW w:w="6576" w:type="dxa"/>
            <w:noWrap w:val="0"/>
            <w:vAlign w:val="center"/>
          </w:tcPr>
          <w:p w14:paraId="595DE619">
            <w:pPr>
              <w:shd w:val="clear" w:color="auto" w:fill="auto"/>
              <w:autoSpaceDE w:val="0"/>
              <w:autoSpaceDN w:val="0"/>
              <w:adjustRightInd w:val="0"/>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供应商的响应文件以及供应商与采购人、采购代理机构、磋商小组就有关磋商的所有来往函电统一使用中文（特别规定除外）。</w:t>
            </w:r>
          </w:p>
        </w:tc>
      </w:tr>
      <w:tr w14:paraId="66FB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7E4F3B26">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352" w:type="dxa"/>
            <w:noWrap w:val="0"/>
            <w:vAlign w:val="center"/>
          </w:tcPr>
          <w:p w14:paraId="105699B6">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6576" w:type="dxa"/>
            <w:noWrap w:val="0"/>
            <w:vAlign w:val="center"/>
          </w:tcPr>
          <w:p w14:paraId="323CE4D1">
            <w:pPr>
              <w:shd w:val="clear" w:color="auto" w:fill="auto"/>
              <w:autoSpaceDE w:val="0"/>
              <w:autoSpaceDN w:val="0"/>
              <w:adjustRightInd w:val="0"/>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响应文件中使用的计量单位除磋商文件中有特殊规定外，一律使用中华人民共和国法定计量单位。</w:t>
            </w:r>
          </w:p>
        </w:tc>
      </w:tr>
      <w:tr w14:paraId="36F8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32C4DC7F">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w:t>
            </w:r>
          </w:p>
        </w:tc>
        <w:tc>
          <w:tcPr>
            <w:tcW w:w="2352" w:type="dxa"/>
            <w:noWrap w:val="0"/>
            <w:vAlign w:val="center"/>
          </w:tcPr>
          <w:p w14:paraId="37DBE241">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构成响应文件</w:t>
            </w:r>
          </w:p>
          <w:p w14:paraId="5A392E6E">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的其他资料</w:t>
            </w:r>
          </w:p>
        </w:tc>
        <w:tc>
          <w:tcPr>
            <w:tcW w:w="6576" w:type="dxa"/>
            <w:noWrap w:val="0"/>
            <w:vAlign w:val="center"/>
          </w:tcPr>
          <w:p w14:paraId="01F602C6">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bookmarkStart w:id="34" w:name="_Hlk122600837"/>
            <w:r>
              <w:rPr>
                <w:rFonts w:hint="eastAsia" w:ascii="宋体" w:hAnsi="宋体" w:eastAsia="宋体" w:cs="宋体"/>
                <w:color w:val="auto"/>
                <w:sz w:val="24"/>
                <w:szCs w:val="24"/>
                <w:highlight w:val="none"/>
              </w:rPr>
              <w:t>竞争性磋商文件中所涉及到的相关资料及证明文件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竞争性磋商文件所作出的澄清、修改</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供应商认为必须提供的其他相关资料。</w:t>
            </w:r>
            <w:bookmarkEnd w:id="34"/>
          </w:p>
        </w:tc>
      </w:tr>
      <w:tr w14:paraId="632D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53B95421">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2352" w:type="dxa"/>
            <w:noWrap w:val="0"/>
            <w:vAlign w:val="center"/>
          </w:tcPr>
          <w:p w14:paraId="7615E0AD">
            <w:pPr>
              <w:pStyle w:val="13"/>
              <w:shd w:val="clear" w:color="auto" w:fill="auto"/>
              <w:spacing w:before="0" w:beforeAutospacing="0" w:after="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576" w:type="dxa"/>
            <w:noWrap w:val="0"/>
            <w:vAlign w:val="center"/>
          </w:tcPr>
          <w:p w14:paraId="01B18126">
            <w:pPr>
              <w:shd w:val="clear" w:color="auto" w:fill="auto"/>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90日历天，从提交响应文件的截止之日算起。</w:t>
            </w:r>
          </w:p>
        </w:tc>
      </w:tr>
      <w:tr w14:paraId="3335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625FED1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2352" w:type="dxa"/>
            <w:noWrap w:val="0"/>
            <w:vAlign w:val="center"/>
          </w:tcPr>
          <w:p w14:paraId="66D61C2B">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6576" w:type="dxa"/>
            <w:noWrap w:val="0"/>
            <w:vAlign w:val="center"/>
          </w:tcPr>
          <w:p w14:paraId="4002B932">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按照《云南省发展和改革委员会等部门关于鼓励减免政府投资项目投标保证金的通知》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云发改交易管理〔2023〕397号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云南省财政厅关于促进政府采购公平竞争优化营商环境的实施意见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云财规〔2019〕5号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本项目不收取</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tc>
      </w:tr>
      <w:tr w14:paraId="2434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891" w:type="dxa"/>
            <w:noWrap w:val="0"/>
            <w:vAlign w:val="center"/>
          </w:tcPr>
          <w:p w14:paraId="0F3C90C8">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2352" w:type="dxa"/>
            <w:noWrap w:val="0"/>
            <w:vAlign w:val="center"/>
          </w:tcPr>
          <w:p w14:paraId="78191763">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响应文件编制及格式</w:t>
            </w:r>
          </w:p>
        </w:tc>
        <w:tc>
          <w:tcPr>
            <w:tcW w:w="6576" w:type="dxa"/>
            <w:noWrap w:val="0"/>
            <w:vAlign w:val="center"/>
          </w:tcPr>
          <w:p w14:paraId="39A8AD59">
            <w:pPr>
              <w:shd w:val="clear" w:color="auto" w:fill="auto"/>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响应文件全部采用电子文档，响应文件应包含第四章《响应文件格式》要求的所有内容。</w:t>
            </w:r>
          </w:p>
          <w:p w14:paraId="549E453C">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电子响应文件应使用政府采购云平台（网址：</w:t>
            </w:r>
            <w:r>
              <w:rPr>
                <w:rFonts w:hint="eastAsia" w:hAnsi="宋体" w:cs="宋体"/>
                <w:color w:val="auto"/>
                <w:sz w:val="24"/>
                <w:szCs w:val="24"/>
                <w:highlight w:val="none"/>
                <w:lang w:eastAsia="zh-CN"/>
              </w:rPr>
              <w:t>https://www.zcygov.cn/</w:t>
            </w:r>
            <w:r>
              <w:rPr>
                <w:rFonts w:hint="eastAsia" w:ascii="宋体" w:hAnsi="宋体" w:eastAsia="宋体" w:cs="宋体"/>
                <w:color w:val="auto"/>
                <w:sz w:val="24"/>
                <w:szCs w:val="24"/>
                <w:highlight w:val="none"/>
              </w:rPr>
              <w:t>）中下载的政采云电子投标客户端制作，并进行电子签章及加密后上传至政府采购云平台。编制要求见《电子投标文件编制要求》。</w:t>
            </w:r>
          </w:p>
          <w:p w14:paraId="16CC7653">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如供应商提交的电子标书不符合上述要求或开标时无法读取导入或解密，其响应文件将不予受理。</w:t>
            </w:r>
          </w:p>
          <w:p w14:paraId="1BC9CA59">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特别注意：</w:t>
            </w:r>
          </w:p>
          <w:p w14:paraId="44871E43">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（1）供应商不得对竞争性磋商文件格式中的内容进行删减或修改。</w:t>
            </w:r>
          </w:p>
          <w:p w14:paraId="272E92DB">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可以在格式内容之外另行说明和增加相关内容，作为响应文件的组成部分。另行说明或自行增加的内容、以及按响应文件格式在空格（下划线）由供应商填写的内容，不得与竞争性磋商文件的强制性审查标准和禁止性规定相抵触。</w:t>
            </w:r>
          </w:p>
          <w:p w14:paraId="67CB160C">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（3）按响应文件格式在空格（下划线）由供应商填写的内容，确实没有需要填写的，可以在空格中用“/”标示，也可以不填（空白）。但竞争性磋商文件中另有规定的从其规定。 </w:t>
            </w:r>
          </w:p>
          <w:p w14:paraId="30768587">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（4）响应文件应对竞争性磋商文件提出的所有实质性要求和条件作出实质性响应，并且实质性响应的内容不得互相矛盾。</w:t>
            </w:r>
          </w:p>
        </w:tc>
      </w:tr>
      <w:tr w14:paraId="072E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68D0232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2352" w:type="dxa"/>
            <w:noWrap w:val="0"/>
            <w:vAlign w:val="center"/>
          </w:tcPr>
          <w:p w14:paraId="775B605F">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响应文件的签署</w:t>
            </w:r>
          </w:p>
        </w:tc>
        <w:tc>
          <w:tcPr>
            <w:tcW w:w="6576" w:type="dxa"/>
            <w:noWrap w:val="0"/>
            <w:vAlign w:val="center"/>
          </w:tcPr>
          <w:p w14:paraId="760C0C3D">
            <w:pPr>
              <w:shd w:val="clear" w:color="auto" w:fill="auto"/>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按照响应文件格式，采用单位和个人数字证书电子签章；响应文件（包含供应商电子文档响应文件的全部）需要企业、法定代表人电子签章。注：在需要电子签章的地方进行电子签章，无需逐页电子签章。</w:t>
            </w:r>
          </w:p>
        </w:tc>
      </w:tr>
      <w:tr w14:paraId="1DF8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25500903">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w:t>
            </w:r>
          </w:p>
        </w:tc>
        <w:tc>
          <w:tcPr>
            <w:tcW w:w="2352" w:type="dxa"/>
            <w:noWrap w:val="0"/>
            <w:vAlign w:val="center"/>
          </w:tcPr>
          <w:p w14:paraId="22930D42">
            <w:pPr>
              <w:shd w:val="clear" w:color="auto" w:fill="auto"/>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★报价要求</w:t>
            </w:r>
          </w:p>
        </w:tc>
        <w:tc>
          <w:tcPr>
            <w:tcW w:w="6576" w:type="dxa"/>
            <w:noWrap w:val="0"/>
            <w:vAlign w:val="center"/>
          </w:tcPr>
          <w:p w14:paraId="38E2DF41">
            <w:pPr>
              <w:shd w:val="clear" w:color="auto" w:fill="auto"/>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采用工程量清单计价模式报价，具体报价详见工程量清单及控制价公布表。供应商应依据竞争性磋商采购文件的要求及有关资料，执行国家或行业现行技术经济标准、定额及规范，自行测算出满足采购要求的货物、工程或者服务的竞争性报价，该报价应符合市场行情并能保证供应商完成履行合同所需的一切工作。</w:t>
            </w:r>
          </w:p>
          <w:p w14:paraId="633DA1BD">
            <w:pPr>
              <w:shd w:val="clear" w:color="auto" w:fill="auto"/>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报价为供应商在报价文件中规定的完成竞争性磋商采购文件采购范围及合同文件中规定的工作内容的各项费用的总和，包含但不仅限于全部材料费、设备费（采购人自购材料及设备除外）、施工费、人工费、安装费、管理费、台班费、检验费、施工耗损、利润、税金、采购代理服务费、临时工程费、工程维护费、缺陷修复费用、工程一切险、第三者责任险、国家或地方行政管理部门强制要求承包人承担的险种的费用、施工技术措施费用、施工单位范围内报建相关手续的费用、一切施工所必需的因素所需费用，以及合同中明确的其他责任、义务。不论这些价格是否包括在磋商报价中，采购人视供应商在计算报价时已包括在内。即应是完成本竞争性磋商采购文件采购范围及合同条款上所列项目范围及工期的全部，不得以任何理由予以重复。</w:t>
            </w:r>
          </w:p>
          <w:p w14:paraId="00E1E526">
            <w:pPr>
              <w:shd w:val="clear" w:color="auto" w:fill="auto"/>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工程结算：本项目合同约定结算时优惠率=（第一轮总报价-第二轮总报价）/第一轮总报价。工程结算时，承包人使用第一轮工程量清单报价乘以(1-本合同优惠率)进行结算。工程审计结算价（即应支付实际工程款）=经审计后的结算价*(1-优惠率)。</w:t>
            </w:r>
          </w:p>
          <w:p w14:paraId="50FC5E8B">
            <w:pPr>
              <w:shd w:val="clear" w:color="auto" w:fill="auto"/>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供应商可先到工地踏勘以充分了解工地位置、情况、道路、储存空间、施工现场条件的限制和临时设施的搭建、施工场地周边居民住房、公路等基础设施、装卸限制及任何其他足以影响报价的情况。供应商的供应商报价应考虑上述情况对工程造价的影响，以及施工期间对施工场地周边居民住房、公路等基础设施的影响，因上述条件产生的相关费用包含在供应商报价中，采购人不另行支付任何有关费用。</w:t>
            </w:r>
          </w:p>
          <w:p w14:paraId="7C7E66C7">
            <w:pPr>
              <w:shd w:val="clear" w:color="auto" w:fill="auto"/>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设结算总造价限价，成交的磋商报价即为结算总造价限价，结算时按照实际完成的合格工程量乘以合同综合单价后按实计算，若计算值低于结算总造价限价的，按实际完成的工程量乘以合同综合单价按实进行结算;若计算值高于结算总造价限价的，超过限价的部分将不予支付，供应商应综合考虑结算总造价限价、市场行情及自身情况后合理填报价格，并能保证供应商完成行合同所需的一切工作，并承担合同中明示和暗示的一切责任;合同一旦签订，此合同价格在合同实施期间将不因工作量及市场设备材料价格的变化而调整。</w:t>
            </w:r>
          </w:p>
          <w:p w14:paraId="2E20AFE5">
            <w:pPr>
              <w:shd w:val="clear" w:color="auto" w:fill="auto"/>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6、本项目设置两轮报价，第一轮报价为各供应商提交的响应文件中的报价，第二轮报价为磋商现场报价，只有通过</w:t>
            </w:r>
            <w:r>
              <w:rPr>
                <w:rFonts w:hint="eastAsia" w:hAnsi="宋体" w:cs="宋体"/>
                <w:color w:val="auto"/>
                <w:kern w:val="0"/>
                <w:sz w:val="24"/>
                <w:szCs w:val="24"/>
                <w:highlight w:val="none"/>
                <w:lang w:val="en-US" w:eastAsia="zh-CN"/>
              </w:rPr>
              <w:t>初步评审</w:t>
            </w:r>
            <w:r>
              <w:rPr>
                <w:rFonts w:hint="eastAsia" w:ascii="宋体" w:hAnsi="宋体" w:eastAsia="宋体" w:cs="宋体"/>
                <w:color w:val="auto"/>
                <w:kern w:val="0"/>
                <w:sz w:val="24"/>
                <w:szCs w:val="24"/>
                <w:highlight w:val="none"/>
              </w:rPr>
              <w:t>的供应商才能进入磋商程序并进行第二轮报价，第二轮报价为最后报价。</w:t>
            </w:r>
          </w:p>
          <w:p w14:paraId="7C56AE06">
            <w:pPr>
              <w:shd w:val="clear" w:color="auto" w:fill="auto"/>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最后报价文件应由法定代表人或委托代理人签字，在规定的时间统一密封递交。若已递交的最后报价文件若出现含义不明确、同类问题表述不一致或者签署不完整、有明显文字和计算错误的，可以进行澄清和补充，但不得改变最后报价文件中报价等实质性内容（算术性错误修正的除外）。</w:t>
            </w:r>
          </w:p>
          <w:p w14:paraId="06815C3F">
            <w:pPr>
              <w:shd w:val="clear" w:color="auto" w:fill="auto"/>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8、供应商不得哄抬报价，也不应低于成本价（或进价）报价。磋商小组认为供应商的报价明显不合理或者低于成本，有可能影响服务质量和不能诚信履约的，将要求其在规定的期限内提供书面文件予以解释说明，并提交相关证明材料。否则，磋商小组可以取消该供应商的成交候选资格。</w:t>
            </w:r>
          </w:p>
        </w:tc>
      </w:tr>
      <w:tr w14:paraId="5017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55FF2AFF">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2352" w:type="dxa"/>
            <w:noWrap w:val="0"/>
            <w:vAlign w:val="center"/>
          </w:tcPr>
          <w:p w14:paraId="498F2C1D">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响应文件的递交</w:t>
            </w:r>
          </w:p>
          <w:p w14:paraId="1C6857F1">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及解密须知</w:t>
            </w:r>
          </w:p>
        </w:tc>
        <w:tc>
          <w:tcPr>
            <w:tcW w:w="6576" w:type="dxa"/>
            <w:noWrap w:val="0"/>
            <w:vAlign w:val="center"/>
          </w:tcPr>
          <w:p w14:paraId="769C1404">
            <w:pPr>
              <w:shd w:val="clear" w:color="auto" w:fill="auto"/>
              <w:spacing w:before="93" w:beforeLines="3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1、网上递交：网上递交网址为：</w:t>
            </w:r>
            <w:r>
              <w:rPr>
                <w:rFonts w:hint="eastAsia" w:hAnsi="宋体" w:cs="宋体"/>
                <w:b w:val="0"/>
                <w:bCs/>
                <w:color w:val="auto"/>
                <w:sz w:val="24"/>
                <w:szCs w:val="24"/>
                <w:highlight w:val="none"/>
                <w:lang w:eastAsia="zh-CN"/>
              </w:rPr>
              <w:t>https://www.zcygov.cn/</w:t>
            </w:r>
            <w:r>
              <w:rPr>
                <w:rFonts w:hint="eastAsia" w:ascii="宋体" w:hAnsi="宋体" w:eastAsia="宋体" w:cs="宋体"/>
                <w:b w:val="0"/>
                <w:bCs/>
                <w:color w:val="auto"/>
                <w:sz w:val="24"/>
                <w:szCs w:val="24"/>
                <w:highlight w:val="none"/>
              </w:rPr>
              <w:t>。供应商须在响应文件递交截止时间前完成所有响应文件的上传。供应商根据拟要参与的项目，须在响应文件递交截止时间前按照网上投标系统要求上传全部响应文件，响应文件上传后须自行检查响应文件的完整性并进行确认签名后，方完成全部响应文件网上上传操作。供应商可自行打印“上传投标文件回执”。响应文件递交截止时间前未完成响应文件上传的，视为撤回响应文件；</w:t>
            </w:r>
          </w:p>
          <w:p w14:paraId="05BBD591">
            <w:pPr>
              <w:shd w:val="clear" w:color="auto" w:fill="auto"/>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网上递交的响应文件应使用数字证书进行加密。供应商使用某个数字证书（CA）对响应文件进行了数字证书（CA）加密，需要在现场或远程解密时使用同一把数字证书（CA）进行现场或远程解密，才能读取或导入响应文件，</w:t>
            </w:r>
            <w:r>
              <w:rPr>
                <w:rFonts w:hint="eastAsia" w:ascii="宋体" w:hAnsi="宋体" w:eastAsia="宋体" w:cs="宋体"/>
                <w:b w:val="0"/>
                <w:bCs/>
                <w:color w:val="auto"/>
                <w:kern w:val="0"/>
                <w:sz w:val="24"/>
                <w:szCs w:val="24"/>
                <w:highlight w:val="none"/>
              </w:rPr>
              <w:t>因供应商自身原因致使响应文件未成功解密的</w:t>
            </w:r>
            <w:r>
              <w:rPr>
                <w:rFonts w:hint="eastAsia" w:ascii="宋体" w:hAnsi="宋体" w:eastAsia="宋体" w:cs="宋体"/>
                <w:b w:val="0"/>
                <w:bCs/>
                <w:color w:val="auto"/>
                <w:sz w:val="24"/>
                <w:szCs w:val="24"/>
                <w:highlight w:val="none"/>
              </w:rPr>
              <w:t>或供应商提交的电子标书不符合本项目电子投标文件编制要求或开标时无法读取导入或解密</w:t>
            </w:r>
            <w:r>
              <w:rPr>
                <w:rFonts w:hint="eastAsia" w:ascii="宋体" w:hAnsi="宋体" w:eastAsia="宋体" w:cs="宋体"/>
                <w:b w:val="0"/>
                <w:bCs/>
                <w:color w:val="auto"/>
                <w:kern w:val="0"/>
                <w:sz w:val="24"/>
                <w:szCs w:val="24"/>
                <w:highlight w:val="none"/>
              </w:rPr>
              <w:t>，其响应文件将不予受理</w:t>
            </w:r>
            <w:r>
              <w:rPr>
                <w:rFonts w:hint="eastAsia" w:ascii="宋体" w:hAnsi="宋体" w:eastAsia="宋体" w:cs="宋体"/>
                <w:b w:val="0"/>
                <w:bCs/>
                <w:color w:val="auto"/>
                <w:sz w:val="24"/>
                <w:szCs w:val="24"/>
                <w:highlight w:val="none"/>
              </w:rPr>
              <w:t>。未办理数字证书（CA）的供应商其编制的响应文件将无法按竞争性磋商文件的要求进行电子签章及加密，由此造成的后果由供应商自行承担。</w:t>
            </w:r>
          </w:p>
          <w:p w14:paraId="4486E59F">
            <w:pPr>
              <w:shd w:val="clear" w:color="auto" w:fill="auto"/>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464128A9">
            <w:pPr>
              <w:shd w:val="clear" w:color="auto" w:fill="auto"/>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（1）请各供应商自行登录政府采购云平台（</w:t>
            </w:r>
            <w:r>
              <w:rPr>
                <w:rFonts w:hint="eastAsia" w:hAnsi="宋体" w:cs="宋体"/>
                <w:b w:val="0"/>
                <w:bCs/>
                <w:color w:val="auto"/>
                <w:sz w:val="24"/>
                <w:szCs w:val="24"/>
                <w:highlight w:val="none"/>
                <w:lang w:eastAsia="zh-CN"/>
              </w:rPr>
              <w:t>https://www.zcygov.cn/</w:t>
            </w:r>
            <w:r>
              <w:rPr>
                <w:rFonts w:hint="eastAsia" w:ascii="宋体" w:hAnsi="宋体" w:eastAsia="宋体" w:cs="宋体"/>
                <w:b w:val="0"/>
                <w:bCs/>
                <w:color w:val="auto"/>
                <w:sz w:val="24"/>
                <w:szCs w:val="24"/>
                <w:highlight w:val="none"/>
              </w:rPr>
              <w:t>）仔细查看相关操作流程，任何因忽视或误解而导致响应文件未上传或已上传但无法读取导入的，由此造成的后果由供应商自行承担。</w:t>
            </w:r>
          </w:p>
          <w:p w14:paraId="1F0FDFF7">
            <w:pPr>
              <w:shd w:val="clear" w:color="auto" w:fill="auto"/>
              <w:wordWrap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（2）政府采购云平台（</w:t>
            </w:r>
            <w:r>
              <w:rPr>
                <w:rFonts w:hint="eastAsia" w:hAnsi="宋体" w:cs="宋体"/>
                <w:b w:val="0"/>
                <w:bCs/>
                <w:color w:val="auto"/>
                <w:sz w:val="24"/>
                <w:szCs w:val="24"/>
                <w:highlight w:val="none"/>
                <w:lang w:eastAsia="zh-CN"/>
              </w:rPr>
              <w:t>https://www.zcygov.cn/</w:t>
            </w:r>
            <w:r>
              <w:rPr>
                <w:rFonts w:hint="eastAsia" w:ascii="宋体" w:hAnsi="宋体" w:eastAsia="宋体" w:cs="宋体"/>
                <w:b w:val="0"/>
                <w:bCs/>
                <w:color w:val="auto"/>
                <w:sz w:val="24"/>
                <w:szCs w:val="24"/>
                <w:highlight w:val="none"/>
              </w:rPr>
              <w:t>）中供应商网上递交的响应文件应使用数字证书进行加密及电子签章。未办理数字证书（CA）的供应商须先办理数字证书（CA）。供应商须在政府采购云平台办理数字证书（CA），CA申领链接：https://login.zcygov.cn/user-login/#/login，并通过政采云绑定数字证书（CA）后在网上获取采购文件及其它采购资料，数字证书（CA）详见其办理流程。</w:t>
            </w:r>
          </w:p>
          <w:p w14:paraId="1D6E6639">
            <w:pPr>
              <w:shd w:val="clear" w:color="auto" w:fill="auto"/>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供应商如之前已在云南CA在线数字证书办理网进行过注册并办理过企业数字证书（CA）的，直接绑定即可，无需重复办理（2022年1月1日前在云南省公共资源交易平台办理过云南CA证书的需到原办理点进行升级后方可使用）。云南省省外供应商在政府采购云平台办理的其他CA可直接使用，无需重复办理。无论是云南省省内供应商还是云南省省外供应商，须确保其办理的企业数字证书（CA）为最新版本（老版本的须进行升级），确保其所办理的企业数字证书（CA）可以在政府采购云平台（网址：</w:t>
            </w:r>
            <w:r>
              <w:rPr>
                <w:rFonts w:hint="eastAsia" w:hAnsi="宋体" w:cs="宋体"/>
                <w:b w:val="0"/>
                <w:bCs/>
                <w:color w:val="auto"/>
                <w:sz w:val="24"/>
                <w:szCs w:val="24"/>
                <w:highlight w:val="none"/>
                <w:lang w:eastAsia="zh-CN"/>
              </w:rPr>
              <w:t>https://www.zcygov.cn/</w:t>
            </w:r>
            <w:r>
              <w:rPr>
                <w:rFonts w:hint="eastAsia" w:ascii="宋体" w:hAnsi="宋体" w:eastAsia="宋体" w:cs="宋体"/>
                <w:b w:val="0"/>
                <w:bCs/>
                <w:color w:val="auto"/>
                <w:sz w:val="24"/>
                <w:szCs w:val="24"/>
                <w:highlight w:val="none"/>
              </w:rPr>
              <w:t>）正常的登录、电子签章、加密、上传及解密响应文件，否则因供应商自身原因致使响应文件未成功解密的或供应商提交的电子标书不符合本项目电子响应文件编制要求或开标时无法读取导入或解密，其响应文件将不予受理；由此造成的损失及后果由供应商自行承担。具体不清楚或有疑问的，请致电“政采云客服热线：95763（服务时间为工作日8:00-20:00）”或登录政府采购云平台（网址：</w:t>
            </w:r>
            <w:r>
              <w:rPr>
                <w:rFonts w:hint="eastAsia" w:hAnsi="宋体" w:cs="宋体"/>
                <w:b w:val="0"/>
                <w:bCs/>
                <w:color w:val="auto"/>
                <w:sz w:val="24"/>
                <w:szCs w:val="24"/>
                <w:highlight w:val="none"/>
                <w:lang w:eastAsia="zh-CN"/>
              </w:rPr>
              <w:t>https://www.zcygov.cn/</w:t>
            </w:r>
            <w:r>
              <w:rPr>
                <w:rFonts w:hint="eastAsia" w:ascii="宋体" w:hAnsi="宋体" w:eastAsia="宋体" w:cs="宋体"/>
                <w:b w:val="0"/>
                <w:bCs/>
                <w:color w:val="auto"/>
                <w:sz w:val="24"/>
                <w:szCs w:val="24"/>
                <w:highlight w:val="none"/>
              </w:rPr>
              <w:t>）连线智能客服进行线上咨询。</w:t>
            </w:r>
          </w:p>
          <w:p w14:paraId="6496BAE0">
            <w:pPr>
              <w:shd w:val="clear" w:color="auto" w:fill="auto"/>
              <w:autoSpaceDE w:val="0"/>
              <w:autoSpaceDN w:val="0"/>
              <w:adjustRightIn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（3）未办理数字证书（CA）的供应商其编制的响应文件将无法按竞争性磋商文件的要求进行电子签章及加密，由此造成的后果由供应商自行承担。</w:t>
            </w:r>
          </w:p>
        </w:tc>
      </w:tr>
      <w:tr w14:paraId="223B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2A7681BF">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2352" w:type="dxa"/>
            <w:noWrap w:val="0"/>
            <w:vAlign w:val="center"/>
          </w:tcPr>
          <w:p w14:paraId="3737DFC7">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网上递交响应文件</w:t>
            </w:r>
          </w:p>
        </w:tc>
        <w:tc>
          <w:tcPr>
            <w:tcW w:w="6576" w:type="dxa"/>
            <w:noWrap w:val="0"/>
            <w:vAlign w:val="center"/>
          </w:tcPr>
          <w:p w14:paraId="4A294339">
            <w:pPr>
              <w:shd w:val="clear" w:color="auto" w:fill="auto"/>
              <w:spacing w:before="93" w:beforeLines="3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上递交的响应文件应使用数字证书进行加密。供应商使用某个数字证书（CA）对响应文件进行了数字证书（CA）加密，需使用同一把数字证书（CA）对该响应文件进行解密才能读取或导入响应文件，因供应商原因造成响应文件未解密的，视为撤回其响应文件。因供应商自身原因致使响应文件未成功解密的或供应商提交的电子标书不符合本项目电子投标文件编制要求或开标时无法读取导入或解密，其响应文件将不予受理。</w:t>
            </w:r>
          </w:p>
        </w:tc>
      </w:tr>
      <w:tr w14:paraId="6D44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91" w:type="dxa"/>
            <w:noWrap w:val="0"/>
            <w:vAlign w:val="center"/>
          </w:tcPr>
          <w:p w14:paraId="7D0B45BC">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2352" w:type="dxa"/>
            <w:noWrap w:val="0"/>
            <w:vAlign w:val="center"/>
          </w:tcPr>
          <w:p w14:paraId="4DA1571A">
            <w:pPr>
              <w:pStyle w:val="13"/>
              <w:shd w:val="clear" w:color="auto" w:fill="auto"/>
              <w:spacing w:before="0" w:beforeAutospacing="0" w:after="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递交响应文件的截止时间及地点</w:t>
            </w:r>
          </w:p>
        </w:tc>
        <w:tc>
          <w:tcPr>
            <w:tcW w:w="6576" w:type="dxa"/>
            <w:noWrap w:val="0"/>
            <w:vAlign w:val="center"/>
          </w:tcPr>
          <w:p w14:paraId="023DA5D0">
            <w:pPr>
              <w:shd w:val="clear" w:color="auto" w:fill="auto"/>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 第一章 竞争性磋商公告 “四、响应文件</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w:t>
            </w:r>
          </w:p>
        </w:tc>
      </w:tr>
      <w:tr w14:paraId="2AB5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1" w:hRule="atLeast"/>
          <w:jc w:val="center"/>
        </w:trPr>
        <w:tc>
          <w:tcPr>
            <w:tcW w:w="891" w:type="dxa"/>
            <w:noWrap w:val="0"/>
            <w:vAlign w:val="center"/>
          </w:tcPr>
          <w:p w14:paraId="183A7127">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2352" w:type="dxa"/>
            <w:noWrap w:val="0"/>
            <w:vAlign w:val="center"/>
          </w:tcPr>
          <w:p w14:paraId="70CF95F0">
            <w:pPr>
              <w:pStyle w:val="13"/>
              <w:shd w:val="clear" w:color="auto" w:fill="auto"/>
              <w:spacing w:before="0" w:beforeAutospacing="0" w:after="0" w:afterAutospacing="0" w:line="360" w:lineRule="auto"/>
              <w:ind w:left="-31" w:leftChars="-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w:t>
            </w:r>
          </w:p>
        </w:tc>
        <w:tc>
          <w:tcPr>
            <w:tcW w:w="6576" w:type="dxa"/>
            <w:noWrap w:val="0"/>
            <w:vAlign w:val="center"/>
          </w:tcPr>
          <w:p w14:paraId="2F197981">
            <w:pPr>
              <w:shd w:val="clear" w:color="auto" w:fill="auto"/>
              <w:autoSpaceDE w:val="0"/>
              <w:autoSpaceDN w:val="0"/>
              <w:adjustRightInd w:val="0"/>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磋商小组由采购人依法组建，磋商由磋商小组负责。磋商小组由采购人代表和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云南省政府采购网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随机抽取的</w:t>
            </w:r>
            <w:r>
              <w:rPr>
                <w:rFonts w:hint="eastAsia" w:ascii="宋体" w:hAnsi="宋体" w:eastAsia="宋体" w:cs="宋体"/>
                <w:color w:val="auto"/>
                <w:sz w:val="24"/>
                <w:szCs w:val="24"/>
                <w:highlight w:val="none"/>
              </w:rPr>
              <w:t>评审专家共3人以上单数组成，其中评审专家人数不得少于磋商小组成员总数的2/3。</w:t>
            </w:r>
          </w:p>
        </w:tc>
      </w:tr>
      <w:tr w14:paraId="6D95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2D2BDE1B">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w:t>
            </w:r>
          </w:p>
        </w:tc>
        <w:tc>
          <w:tcPr>
            <w:tcW w:w="2352" w:type="dxa"/>
            <w:noWrap w:val="0"/>
            <w:vAlign w:val="center"/>
          </w:tcPr>
          <w:p w14:paraId="12F4AD18">
            <w:pPr>
              <w:pStyle w:val="13"/>
              <w:shd w:val="clear" w:color="auto" w:fill="auto"/>
              <w:spacing w:before="0" w:beforeAutospacing="0" w:after="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w:t>
            </w:r>
          </w:p>
        </w:tc>
        <w:tc>
          <w:tcPr>
            <w:tcW w:w="6576" w:type="dxa"/>
            <w:noWrap w:val="0"/>
            <w:vAlign w:val="center"/>
          </w:tcPr>
          <w:p w14:paraId="7AEB81EC">
            <w:pPr>
              <w:shd w:val="clear" w:color="auto" w:fill="auto"/>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121F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891" w:type="dxa"/>
            <w:noWrap w:val="0"/>
            <w:vAlign w:val="center"/>
          </w:tcPr>
          <w:p w14:paraId="48CACF39">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w:t>
            </w:r>
          </w:p>
        </w:tc>
        <w:tc>
          <w:tcPr>
            <w:tcW w:w="2352" w:type="dxa"/>
            <w:noWrap w:val="0"/>
            <w:vAlign w:val="center"/>
          </w:tcPr>
          <w:p w14:paraId="2C1E07DD">
            <w:pPr>
              <w:shd w:val="clear" w:color="auto" w:fill="auto"/>
              <w:spacing w:line="360" w:lineRule="auto"/>
              <w:jc w:val="center"/>
              <w:rPr>
                <w:rFonts w:hint="eastAsia" w:ascii="宋体" w:hAnsi="宋体" w:eastAsia="宋体" w:cs="宋体"/>
                <w:snapToGrid/>
                <w:color w:val="auto"/>
                <w:kern w:val="0"/>
                <w:sz w:val="24"/>
                <w:szCs w:val="24"/>
                <w:highlight w:val="none"/>
              </w:rPr>
            </w:pPr>
            <w:r>
              <w:rPr>
                <w:rFonts w:hint="eastAsia" w:ascii="宋体" w:hAnsi="宋体" w:eastAsia="宋体" w:cs="宋体"/>
                <w:color w:val="auto"/>
                <w:sz w:val="24"/>
                <w:szCs w:val="24"/>
                <w:highlight w:val="none"/>
              </w:rPr>
              <w:t>履约保证金</w:t>
            </w:r>
          </w:p>
        </w:tc>
        <w:tc>
          <w:tcPr>
            <w:tcW w:w="6576" w:type="dxa"/>
            <w:noWrap w:val="0"/>
            <w:vAlign w:val="center"/>
          </w:tcPr>
          <w:p w14:paraId="581CA683">
            <w:pPr>
              <w:shd w:val="clear" w:color="auto" w:fill="auto"/>
              <w:autoSpaceDE w:val="0"/>
              <w:autoSpaceDN w:val="0"/>
              <w:adjustRightInd w:val="0"/>
              <w:spacing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履约保证金的形式：银行转账、支票转账</w:t>
            </w:r>
            <w:r>
              <w:rPr>
                <w:rFonts w:hint="eastAsia" w:hAnsi="宋体" w:cs="宋体"/>
                <w:color w:val="auto"/>
                <w:sz w:val="24"/>
                <w:szCs w:val="24"/>
                <w:highlight w:val="none"/>
                <w:u w:val="none"/>
                <w:lang w:val="en-US" w:eastAsia="zh-CN"/>
              </w:rPr>
              <w:t>、汇票、本票</w:t>
            </w:r>
            <w:r>
              <w:rPr>
                <w:rFonts w:hint="eastAsia" w:ascii="宋体" w:hAnsi="宋体" w:eastAsia="宋体" w:cs="宋体"/>
                <w:color w:val="auto"/>
                <w:sz w:val="24"/>
                <w:szCs w:val="24"/>
                <w:highlight w:val="none"/>
                <w:u w:val="none"/>
                <w:lang w:val="en-US" w:eastAsia="zh-CN"/>
              </w:rPr>
              <w:t>或银行保函或保证保险</w:t>
            </w:r>
          </w:p>
          <w:p w14:paraId="206C0A49">
            <w:pPr>
              <w:shd w:val="clear" w:color="auto" w:fill="auto"/>
              <w:autoSpaceDE w:val="0"/>
              <w:autoSpaceDN w:val="0"/>
              <w:adjustRightInd w:val="0"/>
              <w:spacing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履约保证金的金额：合同总价款的5%，最终以签订的合同约定为准。</w:t>
            </w:r>
          </w:p>
          <w:p w14:paraId="4CD47FB2">
            <w:pPr>
              <w:shd w:val="clear" w:color="auto" w:fill="auto"/>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成交人应当向采购人提交履约保证金，履约保证金不得超过成交合同金额的5%-10%。</w:t>
            </w:r>
          </w:p>
        </w:tc>
      </w:tr>
      <w:tr w14:paraId="3446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0" w:hRule="atLeast"/>
          <w:jc w:val="center"/>
        </w:trPr>
        <w:tc>
          <w:tcPr>
            <w:tcW w:w="891" w:type="dxa"/>
            <w:noWrap w:val="0"/>
            <w:vAlign w:val="center"/>
          </w:tcPr>
          <w:p w14:paraId="45E53DCC">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w:t>
            </w:r>
          </w:p>
        </w:tc>
        <w:tc>
          <w:tcPr>
            <w:tcW w:w="2352" w:type="dxa"/>
            <w:noWrap w:val="0"/>
            <w:vAlign w:val="center"/>
          </w:tcPr>
          <w:p w14:paraId="52CAD97D">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576" w:type="dxa"/>
            <w:noWrap w:val="0"/>
            <w:vAlign w:val="center"/>
          </w:tcPr>
          <w:p w14:paraId="2CF4D6C5">
            <w:pPr>
              <w:shd w:val="clear" w:color="auto" w:fill="auto"/>
              <w:autoSpaceDE w:val="0"/>
              <w:autoSpaceDN w:val="0"/>
              <w:adjustRightInd w:val="0"/>
              <w:spacing w:before="93" w:beforeLines="30" w:line="360" w:lineRule="auto"/>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本项目的招标代理服务费，由中标单位在领取中标通知书前向招标代理机构一次性支付。（按照云南省建设工程招标投标行业协会云建招协【2023】51号《云南省建设工程招标代理服务收费指导意见（试行）》的通知文收取）</w:t>
            </w:r>
            <w:r>
              <w:rPr>
                <w:rFonts w:hint="eastAsia" w:ascii="宋体" w:hAnsi="宋体" w:eastAsia="宋体" w:cs="宋体"/>
                <w:color w:val="auto"/>
                <w:sz w:val="24"/>
                <w:szCs w:val="24"/>
                <w:highlight w:val="none"/>
              </w:rPr>
              <w:t>。</w:t>
            </w:r>
          </w:p>
        </w:tc>
      </w:tr>
      <w:tr w14:paraId="49C1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3870E80E">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352" w:type="dxa"/>
            <w:noWrap w:val="0"/>
            <w:vAlign w:val="center"/>
          </w:tcPr>
          <w:p w14:paraId="083FEBF1">
            <w:pPr>
              <w:pStyle w:val="8"/>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其它内容</w:t>
            </w:r>
          </w:p>
        </w:tc>
        <w:tc>
          <w:tcPr>
            <w:tcW w:w="6576" w:type="dxa"/>
            <w:noWrap w:val="0"/>
            <w:vAlign w:val="center"/>
          </w:tcPr>
          <w:p w14:paraId="1669DC10">
            <w:pPr>
              <w:shd w:val="clear" w:color="auto" w:fill="auto"/>
              <w:autoSpaceDE w:val="0"/>
              <w:autoSpaceDN w:val="0"/>
              <w:adjustRightInd w:val="0"/>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关于在政府采购活动中查询及使用信用记录有关问题的通知》（财库〔2016〕125号）相关要求，采购人或者采购代理机构对信用记录进行核实，对列入失信被执行人、严重失信主体名单、经营异常名录信息、重大税收违法失信主体、政府采购严重违法失信行为记录名单、严重违法失信企业名单（黑名单）信息及其他不符合《中华人民共和国政府采购法》第二十二条规定条件的供应商，拒绝其参与政府采购活动。</w:t>
            </w:r>
          </w:p>
          <w:p w14:paraId="67578B41">
            <w:pPr>
              <w:shd w:val="clear" w:color="auto" w:fill="auto"/>
              <w:autoSpaceDE w:val="0"/>
              <w:autoSpaceDN w:val="0"/>
              <w:adjustRightInd w:val="0"/>
              <w:spacing w:before="93" w:beforeLines="3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2.开设农民工工资专户相关要求：</w:t>
            </w:r>
          </w:p>
          <w:p w14:paraId="455FD97D">
            <w:pPr>
              <w:shd w:val="clear" w:color="auto" w:fill="auto"/>
              <w:autoSpaceDE w:val="0"/>
              <w:autoSpaceDN w:val="0"/>
              <w:adjustRightInd w:val="0"/>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要求施工企业开设农民工工资专户，账户名称需带“农民工工资专户”字样，在申请资金支付时分开申请农民工工资和其他工程款，农民工工资进农民工工资专户，实行共管，并在支付摘要填写时注明“农民工工资”字样，其他工程款进企业指定的其他账户，否则财政部门不予审核，不列入资金调度计划。供应商</w:t>
            </w:r>
            <w:r>
              <w:rPr>
                <w:rFonts w:hint="eastAsia" w:ascii="宋体" w:hAnsi="宋体" w:eastAsia="宋体" w:cs="宋体"/>
                <w:b/>
                <w:bCs/>
                <w:color w:val="auto"/>
                <w:sz w:val="24"/>
                <w:szCs w:val="24"/>
                <w:highlight w:val="none"/>
                <w:lang w:val="en-US" w:eastAsia="zh-CN"/>
              </w:rPr>
              <w:t>需在响应文件中提供</w:t>
            </w:r>
            <w:r>
              <w:rPr>
                <w:rFonts w:hint="eastAsia" w:ascii="宋体" w:hAnsi="宋体" w:eastAsia="宋体" w:cs="宋体"/>
                <w:b/>
                <w:bCs/>
                <w:color w:val="auto"/>
                <w:sz w:val="24"/>
                <w:szCs w:val="24"/>
                <w:highlight w:val="none"/>
              </w:rPr>
              <w:t>针对此条款</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rPr>
              <w:t>承诺函。</w:t>
            </w:r>
          </w:p>
        </w:tc>
      </w:tr>
      <w:tr w14:paraId="2E0B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0053D5F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2352" w:type="dxa"/>
            <w:noWrap w:val="0"/>
            <w:vAlign w:val="center"/>
          </w:tcPr>
          <w:p w14:paraId="482DA24D">
            <w:pPr>
              <w:pStyle w:val="8"/>
              <w:shd w:val="clear" w:color="auto" w:fill="auto"/>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特别提示</w:t>
            </w:r>
          </w:p>
        </w:tc>
        <w:tc>
          <w:tcPr>
            <w:tcW w:w="6576" w:type="dxa"/>
            <w:noWrap w:val="0"/>
            <w:vAlign w:val="center"/>
          </w:tcPr>
          <w:p w14:paraId="2215F50D">
            <w:pPr>
              <w:shd w:val="clear" w:color="auto" w:fill="auto"/>
              <w:spacing w:before="93" w:beforeLines="30"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1、本项目响应文件为网上递交。网上递交响应文件后，在开标时，供应商对响应文件进行解密。</w:t>
            </w:r>
          </w:p>
          <w:p w14:paraId="382C6297">
            <w:pPr>
              <w:shd w:val="clear" w:color="auto" w:fill="auto"/>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2、按《竞争性磋商文件》的规定，在磋商阶段磋商小组将与通过初步评审的供应商进行磋商并进行二次报价，二次报价为供应商的</w:t>
            </w:r>
            <w:r>
              <w:rPr>
                <w:rFonts w:hint="eastAsia" w:ascii="宋体" w:hAnsi="宋体" w:eastAsia="宋体" w:cs="宋体"/>
                <w:b w:val="0"/>
                <w:bCs w:val="0"/>
                <w:color w:val="auto"/>
                <w:sz w:val="24"/>
                <w:szCs w:val="24"/>
                <w:highlight w:val="none"/>
                <w:lang w:val="en-US" w:eastAsia="zh-CN"/>
              </w:rPr>
              <w:t>最终</w:t>
            </w:r>
            <w:r>
              <w:rPr>
                <w:rFonts w:hint="eastAsia" w:ascii="宋体" w:hAnsi="宋体" w:eastAsia="宋体" w:cs="宋体"/>
                <w:b w:val="0"/>
                <w:bCs w:val="0"/>
                <w:color w:val="auto"/>
                <w:sz w:val="24"/>
                <w:szCs w:val="24"/>
                <w:highlight w:val="none"/>
              </w:rPr>
              <w:t>报价。供应商应在规定的时间内在政府采购云平台系统中进行二次报价，过程中应保持通讯工具畅通。</w:t>
            </w:r>
          </w:p>
        </w:tc>
      </w:tr>
      <w:tr w14:paraId="396E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1" w:type="dxa"/>
            <w:noWrap w:val="0"/>
            <w:vAlign w:val="center"/>
          </w:tcPr>
          <w:p w14:paraId="514C683F">
            <w:pPr>
              <w:shd w:val="clear" w:color="auto" w:fill="auto"/>
              <w:spacing w:line="360" w:lineRule="auto"/>
              <w:jc w:val="center"/>
              <w:rPr>
                <w:rFonts w:hint="eastAsia" w:ascii="宋体" w:hAnsi="宋体" w:eastAsia="宋体" w:cs="宋体"/>
                <w:color w:val="auto"/>
                <w:sz w:val="24"/>
                <w:szCs w:val="24"/>
                <w:highlight w:val="none"/>
                <w:lang w:val="en-US" w:eastAsia="zh-CN"/>
              </w:rPr>
            </w:pPr>
            <w:bookmarkStart w:id="35" w:name="_Toc20260"/>
            <w:r>
              <w:rPr>
                <w:rFonts w:hint="eastAsia" w:ascii="宋体" w:hAnsi="宋体" w:eastAsia="宋体" w:cs="宋体"/>
                <w:color w:val="auto"/>
                <w:sz w:val="24"/>
                <w:szCs w:val="24"/>
                <w:highlight w:val="none"/>
                <w:lang w:val="en-US" w:eastAsia="zh-CN"/>
              </w:rPr>
              <w:t>33</w:t>
            </w:r>
          </w:p>
        </w:tc>
        <w:tc>
          <w:tcPr>
            <w:tcW w:w="8928" w:type="dxa"/>
            <w:gridSpan w:val="2"/>
            <w:noWrap w:val="0"/>
            <w:vAlign w:val="center"/>
          </w:tcPr>
          <w:p w14:paraId="466BD8A6">
            <w:pPr>
              <w:shd w:val="clear" w:color="auto" w:fill="auto"/>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竞争性磋商文件中与供应商须知前附表内容不一致时，以供应商须知前附表为准。</w:t>
            </w:r>
          </w:p>
        </w:tc>
      </w:tr>
    </w:tbl>
    <w:p w14:paraId="1626DD88">
      <w:pPr>
        <w:pStyle w:val="3"/>
        <w:shd w:val="clear" w:color="auto" w:fill="auto"/>
        <w:bidi w:val="0"/>
        <w:jc w:val="center"/>
        <w:rPr>
          <w:rFonts w:hint="eastAsia" w:ascii="宋体" w:hAnsi="宋体" w:eastAsia="宋体" w:cs="宋体"/>
          <w:b/>
          <w:color w:val="auto"/>
          <w:kern w:val="0"/>
          <w:sz w:val="24"/>
          <w:szCs w:val="24"/>
          <w:highlight w:val="none"/>
        </w:rPr>
      </w:pPr>
      <w:bookmarkStart w:id="36" w:name="_Toc4350"/>
      <w:r>
        <w:rPr>
          <w:rFonts w:hint="eastAsia" w:ascii="宋体" w:hAnsi="宋体" w:eastAsia="宋体" w:cs="宋体"/>
          <w:b/>
          <w:color w:val="auto"/>
          <w:kern w:val="0"/>
          <w:szCs w:val="32"/>
          <w:highlight w:val="none"/>
        </w:rPr>
        <w:br w:type="page"/>
      </w:r>
      <w:r>
        <w:rPr>
          <w:rFonts w:hint="eastAsia" w:ascii="宋体" w:hAnsi="宋体" w:eastAsia="宋体" w:cs="宋体"/>
          <w:b/>
          <w:color w:val="auto"/>
          <w:kern w:val="0"/>
          <w:sz w:val="24"/>
          <w:szCs w:val="24"/>
          <w:highlight w:val="none"/>
        </w:rPr>
        <w:t>一、总则</w:t>
      </w:r>
      <w:bookmarkEnd w:id="35"/>
      <w:bookmarkEnd w:id="36"/>
    </w:p>
    <w:p w14:paraId="493F861D">
      <w:pPr>
        <w:pStyle w:val="19"/>
        <w:widowControl/>
        <w:shd w:val="clear" w:color="auto" w:fill="auto"/>
        <w:spacing w:line="360" w:lineRule="auto"/>
        <w:rPr>
          <w:rFonts w:hint="eastAsia" w:ascii="宋体" w:hAnsi="宋体" w:eastAsia="宋体" w:cs="宋体"/>
          <w:b/>
          <w:bCs/>
          <w:color w:val="auto"/>
          <w:sz w:val="24"/>
          <w:szCs w:val="24"/>
          <w:highlight w:val="none"/>
        </w:rPr>
      </w:pPr>
      <w:bookmarkStart w:id="37" w:name="_Toc46924537"/>
      <w:bookmarkStart w:id="38" w:name="_Toc74169238"/>
      <w:bookmarkStart w:id="39" w:name="_Toc75418528"/>
      <w:bookmarkStart w:id="40" w:name="_Toc72489527"/>
      <w:r>
        <w:rPr>
          <w:rFonts w:hint="eastAsia" w:ascii="宋体" w:hAnsi="宋体" w:eastAsia="宋体" w:cs="宋体"/>
          <w:b/>
          <w:bCs/>
          <w:color w:val="auto"/>
          <w:sz w:val="24"/>
          <w:szCs w:val="24"/>
          <w:highlight w:val="none"/>
        </w:rPr>
        <w:t>1、项目概况</w:t>
      </w:r>
      <w:bookmarkEnd w:id="37"/>
      <w:bookmarkEnd w:id="38"/>
      <w:bookmarkEnd w:id="39"/>
      <w:bookmarkEnd w:id="40"/>
    </w:p>
    <w:p w14:paraId="33CC1B71">
      <w:pPr>
        <w:keepNext/>
        <w:keepLines/>
        <w:widowControl/>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根据《中华人民共和国政府采购法》、《中华人民共和国政府采购法实施条例》、《政府采购竞争性磋商采购方式管理暂行办法》等有关法律、法规和规章的规定,经相关主管部门批准，采购代理机构受采购人委托，采用竞争性磋商方式选定供应商承担本项目。</w:t>
      </w:r>
    </w:p>
    <w:p w14:paraId="64BC2C37">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1.2本项目采购人：详见《供应商须知前附表》。</w:t>
      </w:r>
    </w:p>
    <w:p w14:paraId="41D6C16C">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1.3本项目采购代理机构：详见《供应商须知前附表》。</w:t>
      </w:r>
    </w:p>
    <w:p w14:paraId="760A696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1.4项目名称及项目编号：详见《供应商须知前附表》。</w:t>
      </w:r>
    </w:p>
    <w:p w14:paraId="1905C857">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41" w:name="_Toc72489528"/>
      <w:bookmarkStart w:id="42" w:name="_Toc74169239"/>
      <w:bookmarkStart w:id="43" w:name="_Toc46924538"/>
      <w:bookmarkStart w:id="44" w:name="_Toc75418529"/>
      <w:r>
        <w:rPr>
          <w:rFonts w:hint="eastAsia" w:ascii="宋体" w:hAnsi="宋体" w:eastAsia="宋体" w:cs="宋体"/>
          <w:b/>
          <w:bCs/>
          <w:color w:val="auto"/>
          <w:sz w:val="24"/>
          <w:szCs w:val="24"/>
          <w:highlight w:val="none"/>
        </w:rPr>
        <w:t>2、资金来源及预算金额</w:t>
      </w:r>
      <w:bookmarkEnd w:id="41"/>
      <w:bookmarkEnd w:id="42"/>
      <w:bookmarkEnd w:id="43"/>
      <w:bookmarkEnd w:id="44"/>
    </w:p>
    <w:p w14:paraId="34EDE16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2.1资金来源及预算金额：详见《供应商须知前附表》。</w:t>
      </w:r>
    </w:p>
    <w:p w14:paraId="55DB6062">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45" w:name="_Toc72489529"/>
      <w:bookmarkStart w:id="46" w:name="_Toc75418530"/>
      <w:bookmarkStart w:id="47" w:name="_Toc74169240"/>
      <w:bookmarkStart w:id="48" w:name="_Toc46924539"/>
      <w:r>
        <w:rPr>
          <w:rFonts w:hint="eastAsia" w:ascii="宋体" w:hAnsi="宋体" w:eastAsia="宋体" w:cs="宋体"/>
          <w:b/>
          <w:bCs/>
          <w:color w:val="auto"/>
          <w:sz w:val="24"/>
          <w:szCs w:val="24"/>
          <w:highlight w:val="none"/>
        </w:rPr>
        <w:t>3、采购需求、项目实施地点、质量标准及合同履行期限</w:t>
      </w:r>
      <w:bookmarkEnd w:id="45"/>
      <w:bookmarkEnd w:id="46"/>
      <w:bookmarkEnd w:id="47"/>
      <w:bookmarkEnd w:id="48"/>
    </w:p>
    <w:p w14:paraId="135B7480">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3.1采购需求：详见《供应商须知前附表》。</w:t>
      </w:r>
    </w:p>
    <w:p w14:paraId="7954D24C">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3.2项目实施地点：详见《供应商须知前附表》。</w:t>
      </w:r>
    </w:p>
    <w:p w14:paraId="6ED0563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3.3质量标准：详见《供应商须知前附表》。</w:t>
      </w:r>
    </w:p>
    <w:p w14:paraId="468D961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3.4合同履行期限：详见《供应商须知前附表》。</w:t>
      </w:r>
    </w:p>
    <w:p w14:paraId="73A97A48">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49" w:name="_Toc46924540"/>
      <w:bookmarkStart w:id="50" w:name="_Toc72489530"/>
      <w:bookmarkStart w:id="51" w:name="_Toc74169241"/>
      <w:bookmarkStart w:id="52" w:name="_Toc75418531"/>
      <w:r>
        <w:rPr>
          <w:rFonts w:hint="eastAsia" w:ascii="宋体" w:hAnsi="宋体" w:eastAsia="宋体" w:cs="宋体"/>
          <w:b/>
          <w:bCs/>
          <w:color w:val="auto"/>
          <w:sz w:val="24"/>
          <w:szCs w:val="24"/>
          <w:highlight w:val="none"/>
        </w:rPr>
        <w:t>★4、供应商资格要求</w:t>
      </w:r>
      <w:bookmarkEnd w:id="49"/>
      <w:bookmarkEnd w:id="50"/>
      <w:bookmarkEnd w:id="51"/>
      <w:bookmarkEnd w:id="52"/>
    </w:p>
    <w:p w14:paraId="300BC24D">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4.1供应商资格要求：详见《供应商须知前附表》。</w:t>
      </w:r>
    </w:p>
    <w:p w14:paraId="789A775D">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4.2是否接受联合体参加：</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w:t>
      </w:r>
    </w:p>
    <w:p w14:paraId="190797B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4.3如供应商为满足供应商资格要求提供虚假材料，一经查实，视为未实质性响应竞争性磋商文件，供应商响应文件将按无效响应处理。</w:t>
      </w:r>
    </w:p>
    <w:p w14:paraId="7BF4E17B">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864896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4.5供应商不得与采购人、采购代理机构或其附属机构有任何关联。</w:t>
      </w:r>
    </w:p>
    <w:p w14:paraId="0D3FDF79">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4.6符合上述条件的供应商应承担履约中应承担的全部责任与义务。</w:t>
      </w:r>
    </w:p>
    <w:p w14:paraId="44E51F80">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53" w:name="_Toc75418532"/>
      <w:bookmarkStart w:id="54" w:name="_Toc72489531"/>
      <w:bookmarkStart w:id="55" w:name="_Toc46924541"/>
      <w:bookmarkStart w:id="56" w:name="_Toc74169242"/>
      <w:r>
        <w:rPr>
          <w:rFonts w:hint="eastAsia" w:ascii="宋体" w:hAnsi="宋体" w:eastAsia="宋体" w:cs="宋体"/>
          <w:b/>
          <w:bCs/>
          <w:color w:val="auto"/>
          <w:sz w:val="24"/>
          <w:szCs w:val="24"/>
          <w:highlight w:val="none"/>
        </w:rPr>
        <w:t>5、费用承担</w:t>
      </w:r>
      <w:bookmarkEnd w:id="53"/>
      <w:bookmarkEnd w:id="54"/>
      <w:bookmarkEnd w:id="55"/>
      <w:bookmarkEnd w:id="56"/>
    </w:p>
    <w:p w14:paraId="5AD956ED">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5.1无论是否成交，供应商自行承担所有与参加本次竞争性磋商采购活动所产生的全部费用。</w:t>
      </w:r>
    </w:p>
    <w:p w14:paraId="4DE81DA1">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57" w:name="_Toc75418533"/>
      <w:bookmarkStart w:id="58" w:name="_Toc46924542"/>
      <w:bookmarkStart w:id="59" w:name="_Toc74169243"/>
      <w:bookmarkStart w:id="60" w:name="_Toc72489532"/>
      <w:r>
        <w:rPr>
          <w:rFonts w:hint="eastAsia" w:ascii="宋体" w:hAnsi="宋体" w:eastAsia="宋体" w:cs="宋体"/>
          <w:b/>
          <w:bCs/>
          <w:color w:val="auto"/>
          <w:sz w:val="24"/>
          <w:szCs w:val="24"/>
          <w:highlight w:val="none"/>
        </w:rPr>
        <w:t>6、现场考察</w:t>
      </w:r>
      <w:bookmarkEnd w:id="57"/>
      <w:bookmarkEnd w:id="58"/>
      <w:bookmarkEnd w:id="59"/>
      <w:bookmarkEnd w:id="60"/>
    </w:p>
    <w:p w14:paraId="5F14FE2B">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6.1供应商须知前附表规定组织现场考察的，采购人按《供应商须知前附表》规定的时间、集中地点组织进行现场考察。</w:t>
      </w:r>
    </w:p>
    <w:p w14:paraId="427CAFC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6.2现场考察所发生的费用由供应商自理。</w:t>
      </w:r>
    </w:p>
    <w:p w14:paraId="2DFB554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6.3除采购人的原因外，供应商自行负责在现场考察中所发生的人员伤亡和财产损失。</w:t>
      </w:r>
    </w:p>
    <w:p w14:paraId="229882D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6.4采购人在现场考察中介绍的项目场地和相关的周边环境情况，仅供供应商在编制响应文件时参考，采购人不对供应商据此作出的判断和决策负责。</w:t>
      </w:r>
    </w:p>
    <w:p w14:paraId="482F61DF">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61" w:name="_Toc46924543"/>
      <w:bookmarkStart w:id="62" w:name="_Toc75418534"/>
      <w:bookmarkStart w:id="63" w:name="_Toc74169244"/>
      <w:bookmarkStart w:id="64" w:name="_Toc72489533"/>
      <w:r>
        <w:rPr>
          <w:rFonts w:hint="eastAsia" w:ascii="宋体" w:hAnsi="宋体" w:eastAsia="宋体" w:cs="宋体"/>
          <w:b/>
          <w:bCs/>
          <w:color w:val="auto"/>
          <w:sz w:val="24"/>
          <w:szCs w:val="24"/>
          <w:highlight w:val="none"/>
        </w:rPr>
        <w:t>7、磋商前答疑会</w:t>
      </w:r>
      <w:bookmarkEnd w:id="61"/>
      <w:bookmarkEnd w:id="62"/>
      <w:bookmarkEnd w:id="63"/>
      <w:bookmarkEnd w:id="64"/>
    </w:p>
    <w:p w14:paraId="0EE16FD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7.1供应商须知前附表规定召开采购前答疑会的，采购人按《供应商须知前附表》规定的时间和地点召开采购前答疑会，书面澄清供应商提出的问题。</w:t>
      </w:r>
    </w:p>
    <w:p w14:paraId="7F4584B0">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65" w:name="_Toc75418535"/>
      <w:bookmarkStart w:id="66" w:name="_Toc46924544"/>
      <w:bookmarkStart w:id="67" w:name="_Toc72489534"/>
      <w:bookmarkStart w:id="68" w:name="_Toc74169245"/>
      <w:r>
        <w:rPr>
          <w:rFonts w:hint="eastAsia" w:ascii="宋体" w:hAnsi="宋体" w:eastAsia="宋体" w:cs="宋体"/>
          <w:b/>
          <w:bCs/>
          <w:color w:val="auto"/>
          <w:sz w:val="24"/>
          <w:szCs w:val="24"/>
          <w:highlight w:val="none"/>
        </w:rPr>
        <w:t>8、质疑</w:t>
      </w:r>
      <w:bookmarkEnd w:id="65"/>
      <w:bookmarkEnd w:id="66"/>
      <w:bookmarkEnd w:id="67"/>
      <w:bookmarkEnd w:id="68"/>
    </w:p>
    <w:p w14:paraId="60DC304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认为竞争性磋商文件、磋商过程和成交结果使自己的权益受到损害的，可以在知道或者应知其权益受到损害之日起7个工作日内，以书面形式向采购人或采购代理机构提出质疑。质疑内容不得含有虚假、恶意成分，当事人对自己提出的主张，有责任提供证据，提出质疑时应同时提交相关证据材料和注明事实的确切来源。</w:t>
      </w:r>
    </w:p>
    <w:p w14:paraId="2A5C8EDB">
      <w:pPr>
        <w:shd w:val="clear" w:color="auto" w:fill="auto"/>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8.2供应商提供的质疑函应符合中华人民共和国财政部令第94号《政府采购质疑和投诉办法》的规定。</w:t>
      </w:r>
      <w:r>
        <w:rPr>
          <w:rFonts w:hint="eastAsia" w:ascii="宋体" w:hAnsi="宋体" w:eastAsia="宋体" w:cs="宋体"/>
          <w:b/>
          <w:bCs/>
          <w:color w:val="auto"/>
          <w:sz w:val="24"/>
          <w:szCs w:val="24"/>
          <w:highlight w:val="none"/>
        </w:rPr>
        <w:t>质疑书实行实名制，并提交由法定代表人或其授权代理人签字并加盖单位章的原件。</w:t>
      </w:r>
    </w:p>
    <w:p w14:paraId="4E1C62B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供应商在法定质疑期内一次性提出针对同一采购程序环节的质疑。供应商提出质疑应当提交质疑函和必要的证明材料，供应商提供的质疑函（如材料中有外文资料应同时附上中文译本）应当包括以下主要内容：</w:t>
      </w:r>
    </w:p>
    <w:p w14:paraId="364EA41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1C0432AC">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481EB9AB">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2F9D8F2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5F4D26B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3458E555">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5DC215CD">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供应商为自然人的，应当由本人签字；供应商为法人或者其他组织的，应当由法定代表人、主要负责人，或者其授权代表签字或者盖章，并加盖公章。质疑函须提供签字、加盖公章的原件。</w:t>
      </w:r>
    </w:p>
    <w:p w14:paraId="2D789AAD">
      <w:pPr>
        <w:shd w:val="clear" w:color="auto" w:fill="auto"/>
        <w:autoSpaceDE w:val="0"/>
        <w:autoSpaceDN w:val="0"/>
        <w:adjustRightIn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质疑</w:t>
      </w:r>
      <w:r>
        <w:rPr>
          <w:rFonts w:hint="eastAsia" w:ascii="宋体" w:hAnsi="宋体" w:eastAsia="宋体" w:cs="宋体"/>
          <w:b/>
          <w:bCs/>
          <w:color w:val="auto"/>
          <w:sz w:val="24"/>
          <w:szCs w:val="24"/>
          <w:highlight w:val="none"/>
          <w:lang w:eastAsia="zh-CN"/>
        </w:rPr>
        <w:t>联系人：</w:t>
      </w:r>
      <w:r>
        <w:rPr>
          <w:rFonts w:hint="eastAsia" w:hAnsi="宋体" w:cs="宋体"/>
          <w:b/>
          <w:bCs/>
          <w:color w:val="auto"/>
          <w:sz w:val="24"/>
          <w:szCs w:val="24"/>
          <w:highlight w:val="none"/>
          <w:lang w:val="en-US" w:eastAsia="zh-CN"/>
        </w:rPr>
        <w:t>张卓曦、杨元美</w:t>
      </w:r>
    </w:p>
    <w:p w14:paraId="65F414AC">
      <w:pPr>
        <w:shd w:val="clear" w:color="auto" w:fill="auto"/>
        <w:autoSpaceDE w:val="0"/>
        <w:autoSpaceDN w:val="0"/>
        <w:adjustRightIn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电话：</w:t>
      </w:r>
      <w:r>
        <w:rPr>
          <w:rFonts w:hint="eastAsia" w:hAnsi="宋体" w:cs="宋体"/>
          <w:b/>
          <w:bCs/>
          <w:color w:val="auto"/>
          <w:sz w:val="24"/>
          <w:szCs w:val="24"/>
          <w:highlight w:val="none"/>
          <w:lang w:val="en-US" w:eastAsia="zh-CN"/>
        </w:rPr>
        <w:t>13988800740、15240987539</w:t>
      </w:r>
    </w:p>
    <w:p w14:paraId="624384B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8.3采购人、采购代理机构将在收到供应商的书面质疑函后七个工作日内作出答复，但答复的内容不涉及商业秘密。</w:t>
      </w:r>
    </w:p>
    <w:p w14:paraId="4480CC84">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参与政府采购活动的供应商对评审（磋商）过程或者成交结果提出质疑的，采购人、采购代理机构可以组织原磋商小组协助答复质疑事项，并依据磋商小组出具的意见进行答复。质疑答复导致成交结果改变的，采购人或采购代理机构应当将相关情况报财政部门备案。</w:t>
      </w:r>
    </w:p>
    <w:p w14:paraId="341ECC31">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69" w:name="_Toc75418536"/>
      <w:bookmarkStart w:id="70" w:name="_Toc46924545"/>
      <w:bookmarkStart w:id="71" w:name="_Toc72489535"/>
      <w:bookmarkStart w:id="72" w:name="_Toc74169246"/>
      <w:r>
        <w:rPr>
          <w:rFonts w:hint="eastAsia" w:ascii="宋体" w:hAnsi="宋体" w:eastAsia="宋体" w:cs="宋体"/>
          <w:b/>
          <w:bCs/>
          <w:color w:val="auto"/>
          <w:sz w:val="24"/>
          <w:szCs w:val="24"/>
          <w:highlight w:val="none"/>
        </w:rPr>
        <w:t>9、投诉</w:t>
      </w:r>
      <w:bookmarkEnd w:id="69"/>
      <w:bookmarkEnd w:id="70"/>
      <w:bookmarkEnd w:id="71"/>
      <w:bookmarkEnd w:id="72"/>
    </w:p>
    <w:p w14:paraId="5BA0D9B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诉必须首先经过质疑程序。质疑供应商对采购人、采购代理机构的答复不满意，或者采购人、采购代理机构未在规定的时间内做出答复的，可以在答复期满后十五个工作日内书面向同级财政部门提出投诉。供应商提供的投诉书和必要的证明材料应符合中华人民共和国财政部令第94号《政府采购质疑和投诉办法》的规定。</w:t>
      </w:r>
    </w:p>
    <w:p w14:paraId="41D79F9E">
      <w:pPr>
        <w:pStyle w:val="3"/>
        <w:keepLines w:val="0"/>
        <w:shd w:val="clear" w:color="auto" w:fill="auto"/>
        <w:spacing w:before="240" w:after="240" w:line="360" w:lineRule="auto"/>
        <w:jc w:val="center"/>
        <w:rPr>
          <w:rFonts w:hint="eastAsia" w:ascii="宋体" w:hAnsi="宋体" w:eastAsia="宋体" w:cs="宋体"/>
          <w:b/>
          <w:color w:val="auto"/>
          <w:kern w:val="0"/>
          <w:sz w:val="24"/>
          <w:szCs w:val="24"/>
          <w:highlight w:val="none"/>
        </w:rPr>
      </w:pPr>
      <w:bookmarkStart w:id="73" w:name="_Toc22579"/>
      <w:bookmarkStart w:id="74" w:name="_Toc18788"/>
      <w:bookmarkStart w:id="75" w:name="_Toc432194832"/>
      <w:bookmarkStart w:id="76" w:name="_Toc432106481"/>
      <w:bookmarkStart w:id="77" w:name="_Toc383175282"/>
      <w:bookmarkStart w:id="78" w:name="_Toc383175480"/>
      <w:bookmarkStart w:id="79" w:name="_Toc383175058"/>
      <w:bookmarkStart w:id="80" w:name="_Toc329810192"/>
      <w:bookmarkStart w:id="81" w:name="_Toc482343732"/>
      <w:bookmarkStart w:id="82" w:name="_Toc470507046"/>
      <w:r>
        <w:rPr>
          <w:rFonts w:hint="eastAsia" w:ascii="宋体" w:hAnsi="宋体" w:eastAsia="宋体" w:cs="宋体"/>
          <w:b/>
          <w:color w:val="auto"/>
          <w:kern w:val="0"/>
          <w:sz w:val="24"/>
          <w:szCs w:val="24"/>
          <w:highlight w:val="none"/>
        </w:rPr>
        <w:t>二、磋商文件</w:t>
      </w:r>
      <w:bookmarkEnd w:id="73"/>
      <w:bookmarkEnd w:id="74"/>
    </w:p>
    <w:p w14:paraId="7C644E52">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83" w:name="_Toc72489537"/>
      <w:bookmarkStart w:id="84" w:name="_Toc75418538"/>
      <w:bookmarkStart w:id="85" w:name="_Toc46924547"/>
      <w:bookmarkStart w:id="86" w:name="_Toc74169248"/>
      <w:r>
        <w:rPr>
          <w:rFonts w:hint="eastAsia" w:ascii="宋体" w:hAnsi="宋体" w:eastAsia="宋体" w:cs="宋体"/>
          <w:b/>
          <w:bCs/>
          <w:color w:val="auto"/>
          <w:sz w:val="24"/>
          <w:szCs w:val="24"/>
          <w:highlight w:val="none"/>
        </w:rPr>
        <w:t>10、磋商文件的组成</w:t>
      </w:r>
      <w:bookmarkEnd w:id="75"/>
      <w:bookmarkEnd w:id="76"/>
      <w:bookmarkEnd w:id="77"/>
      <w:bookmarkEnd w:id="78"/>
      <w:bookmarkEnd w:id="79"/>
      <w:bookmarkEnd w:id="80"/>
      <w:bookmarkEnd w:id="81"/>
      <w:bookmarkEnd w:id="82"/>
      <w:bookmarkEnd w:id="83"/>
      <w:bookmarkEnd w:id="84"/>
      <w:bookmarkEnd w:id="85"/>
      <w:bookmarkEnd w:id="86"/>
    </w:p>
    <w:p w14:paraId="1279CEC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采购人要求提供的货物、工程或者服务、采购过程及合同条款在竞争性磋商文件中均有说明，竞争性磋商文件共六章，各章的内容如下：</w:t>
      </w:r>
    </w:p>
    <w:p w14:paraId="789BD7C5">
      <w:pPr>
        <w:shd w:val="clear" w:color="auto" w:fill="auto"/>
        <w:spacing w:line="360" w:lineRule="auto"/>
        <w:ind w:firstLine="648" w:firstLineChars="2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竞争性磋商公告</w:t>
      </w:r>
    </w:p>
    <w:p w14:paraId="1559F940">
      <w:pPr>
        <w:shd w:val="clear" w:color="auto" w:fill="auto"/>
        <w:spacing w:line="360" w:lineRule="auto"/>
        <w:ind w:firstLine="648" w:firstLineChars="2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0E147743">
      <w:pPr>
        <w:shd w:val="clear" w:color="auto" w:fill="auto"/>
        <w:spacing w:line="360" w:lineRule="auto"/>
        <w:ind w:firstLine="648" w:firstLineChars="2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合同书样式及主要条款</w:t>
      </w:r>
    </w:p>
    <w:p w14:paraId="1EB3E65B">
      <w:pPr>
        <w:shd w:val="clear" w:color="auto" w:fill="auto"/>
        <w:spacing w:line="360" w:lineRule="auto"/>
        <w:ind w:firstLine="648" w:firstLineChars="2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响应文件格式</w:t>
      </w:r>
    </w:p>
    <w:p w14:paraId="2C0B499C">
      <w:pPr>
        <w:shd w:val="clear" w:color="auto" w:fill="auto"/>
        <w:spacing w:line="360" w:lineRule="auto"/>
        <w:ind w:firstLine="648" w:firstLineChars="2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采购需求</w:t>
      </w:r>
    </w:p>
    <w:p w14:paraId="2A0AC989">
      <w:pPr>
        <w:shd w:val="clear" w:color="auto" w:fill="auto"/>
        <w:spacing w:line="360" w:lineRule="auto"/>
        <w:ind w:firstLine="648" w:firstLineChars="2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评审方法</w:t>
      </w:r>
    </w:p>
    <w:p w14:paraId="79B7E19C">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87" w:name="_Toc75418539"/>
      <w:bookmarkStart w:id="88" w:name="_Toc72489538"/>
      <w:bookmarkStart w:id="89" w:name="_Toc46924548"/>
      <w:bookmarkStart w:id="90" w:name="_Toc74169249"/>
      <w:r>
        <w:rPr>
          <w:rFonts w:hint="eastAsia" w:ascii="宋体" w:hAnsi="宋体" w:eastAsia="宋体" w:cs="宋体"/>
          <w:b/>
          <w:bCs/>
          <w:color w:val="auto"/>
          <w:sz w:val="24"/>
          <w:szCs w:val="24"/>
          <w:highlight w:val="none"/>
        </w:rPr>
        <w:t>11、竞争性磋商文件的询问、澄清、修改</w:t>
      </w:r>
      <w:bookmarkEnd w:id="87"/>
      <w:bookmarkEnd w:id="88"/>
      <w:bookmarkEnd w:id="89"/>
      <w:bookmarkEnd w:id="90"/>
      <w:r>
        <w:rPr>
          <w:rFonts w:hint="eastAsia" w:ascii="宋体" w:hAnsi="宋体" w:eastAsia="宋体" w:cs="宋体"/>
          <w:b/>
          <w:bCs/>
          <w:color w:val="auto"/>
          <w:sz w:val="24"/>
          <w:szCs w:val="24"/>
          <w:highlight w:val="none"/>
        </w:rPr>
        <w:tab/>
      </w:r>
    </w:p>
    <w:p w14:paraId="4D8038C9">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供应商应认真阅读竞争性磋商文件，如有疑问的，供应商可以向采购人或采购代理机构提出询问。所有获取了竞争性磋商文件的潜在供应商凭企业账号【或企业数字证书（CA）】登录政府采购云平台，通过网络在线方式向采购人或采购代理进行不署名提问，采购人或者采购代理机构在接到询问后的3个工作日内对供应商依法提出的询问作出答复，但答复的内容不涉及商业秘密。</w:t>
      </w:r>
    </w:p>
    <w:p w14:paraId="595D29D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11.2竞争性磋商文件询问联系方式：详见《供应商须知前附表》。</w:t>
      </w:r>
    </w:p>
    <w:p w14:paraId="089EE6E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11.3提交首次响应文件截止之日前，采购人、采购代理机构或者磋商小组可以对已发出的磋商文件进行必要的澄清或者修改，澄清或者修改的内容作为磋商文件的组成部分。</w:t>
      </w:r>
    </w:p>
    <w:p w14:paraId="6CD4727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竞争性磋商文件澄清、修改时间：澄清或者修改的内容可能影响响应文件编制的，采购人、采购代理机构将在提交首次响应文件截止时间至少5日前，在竞争性磋商公告发布的同一媒介通过网络向潜在供应商发布，且供应商不须回函确认，所有获取了竞争性磋商文件的潜在供应商凭企业账号【或企业数字证书（CA）】登录政府采购云平台查看澄清或者修改内容，澄清或者修改的内容作为竞争性磋商文件的组成部分。不足5日的，采购人、采购代理机构将顺延提交首次响应文件截止时间。供应商应在提交响应文件截止时间前及时登录政府采购云平台（网址：</w:t>
      </w:r>
      <w:r>
        <w:rPr>
          <w:rFonts w:hint="eastAsia" w:hAnsi="宋体" w:cs="宋体"/>
          <w:color w:val="auto"/>
          <w:sz w:val="24"/>
          <w:szCs w:val="24"/>
          <w:highlight w:val="none"/>
          <w:lang w:eastAsia="zh-CN"/>
        </w:rPr>
        <w:t>https://www.zcygov.cn/</w:t>
      </w:r>
      <w:r>
        <w:rPr>
          <w:rFonts w:hint="eastAsia" w:ascii="宋体" w:hAnsi="宋体" w:eastAsia="宋体" w:cs="宋体"/>
          <w:color w:val="auto"/>
          <w:sz w:val="24"/>
          <w:szCs w:val="24"/>
          <w:highlight w:val="none"/>
        </w:rPr>
        <w:t>）中查看有关该项目竞争性磋商文件的答疑、补遗内容。否则，后果自负。竞争性磋商文件澄清、竞争性磋商文件修改文件内容均以网上电子文件为准，当竞争性磋商文件、竞争性磋商文件澄清、竞争性磋商文件修改文件内容后前相互矛盾时，以最新发布的竞争性磋商文件为准。</w:t>
      </w:r>
    </w:p>
    <w:p w14:paraId="336CA62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11.5供应商确认收到竞争性磋商文件澄清、修改时间：供应商不须回函确认收到竞争性磋商文件澄清、修改，供应商应在磋商截止时间前及时登录政府采购云平台（网址：</w:t>
      </w:r>
      <w:r>
        <w:rPr>
          <w:rFonts w:hint="eastAsia" w:hAnsi="宋体" w:cs="宋体"/>
          <w:color w:val="auto"/>
          <w:sz w:val="24"/>
          <w:szCs w:val="24"/>
          <w:highlight w:val="none"/>
          <w:lang w:eastAsia="zh-CN"/>
        </w:rPr>
        <w:t>https://www.zcygov.cn/</w:t>
      </w:r>
      <w:r>
        <w:rPr>
          <w:rFonts w:hint="eastAsia" w:ascii="宋体" w:hAnsi="宋体" w:eastAsia="宋体" w:cs="宋体"/>
          <w:color w:val="auto"/>
          <w:sz w:val="24"/>
          <w:szCs w:val="24"/>
          <w:highlight w:val="none"/>
        </w:rPr>
        <w:t>）中查看有关该项目竞争性磋商文件的答疑、补遗内容。否则，后果自负。</w:t>
      </w:r>
    </w:p>
    <w:p w14:paraId="0DBA096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在磋商过程中，磋商小组可以根据磋商文件和磋商情况实质性变动采购需求中的技术、质量标准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14:paraId="6096229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11.7实质性变动采购需求中的技术、质量标准以及合同草案条款不得对涉及对竞争性磋商文件公平、公正性内容进行修改、变动。</w:t>
      </w:r>
      <w:bookmarkStart w:id="91" w:name="_Toc30467"/>
      <w:bookmarkStart w:id="92" w:name="_Toc2963"/>
    </w:p>
    <w:p w14:paraId="3E370EB4">
      <w:pPr>
        <w:pStyle w:val="3"/>
        <w:keepLines w:val="0"/>
        <w:shd w:val="clear" w:color="auto" w:fill="auto"/>
        <w:spacing w:before="240" w:after="240"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三、响应文件</w:t>
      </w:r>
      <w:bookmarkEnd w:id="91"/>
      <w:bookmarkEnd w:id="92"/>
    </w:p>
    <w:p w14:paraId="72C1C150">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93" w:name="_Toc72489540"/>
      <w:bookmarkStart w:id="94" w:name="_Toc74169251"/>
      <w:bookmarkStart w:id="95" w:name="_Toc75418541"/>
      <w:bookmarkStart w:id="96" w:name="_Toc46924550"/>
      <w:r>
        <w:rPr>
          <w:rFonts w:hint="eastAsia" w:ascii="宋体" w:hAnsi="宋体" w:eastAsia="宋体" w:cs="宋体"/>
          <w:b/>
          <w:bCs/>
          <w:color w:val="auto"/>
          <w:sz w:val="24"/>
          <w:szCs w:val="24"/>
          <w:highlight w:val="none"/>
        </w:rPr>
        <w:t>12、</w:t>
      </w:r>
      <w:bookmarkStart w:id="97" w:name="_Toc383175285"/>
      <w:bookmarkStart w:id="98" w:name="_Toc329810195"/>
      <w:bookmarkStart w:id="99" w:name="_Toc383175061"/>
      <w:bookmarkStart w:id="100" w:name="_Toc470507049"/>
      <w:bookmarkStart w:id="101" w:name="_Toc432106484"/>
      <w:bookmarkStart w:id="102" w:name="_Toc482343735"/>
      <w:bookmarkStart w:id="103" w:name="_Toc383175483"/>
      <w:bookmarkStart w:id="104" w:name="_Toc86124052"/>
      <w:bookmarkStart w:id="105" w:name="_Toc432194835"/>
      <w:r>
        <w:rPr>
          <w:rFonts w:hint="eastAsia" w:ascii="宋体" w:hAnsi="宋体" w:eastAsia="宋体" w:cs="宋体"/>
          <w:b/>
          <w:bCs/>
          <w:color w:val="auto"/>
          <w:sz w:val="24"/>
          <w:szCs w:val="24"/>
          <w:highlight w:val="none"/>
        </w:rPr>
        <w:t>响应文件编写注意事项</w:t>
      </w:r>
      <w:bookmarkEnd w:id="93"/>
      <w:bookmarkEnd w:id="94"/>
      <w:bookmarkEnd w:id="95"/>
      <w:bookmarkEnd w:id="96"/>
      <w:bookmarkEnd w:id="97"/>
      <w:bookmarkEnd w:id="98"/>
      <w:bookmarkEnd w:id="99"/>
      <w:bookmarkEnd w:id="100"/>
      <w:bookmarkEnd w:id="101"/>
      <w:bookmarkEnd w:id="102"/>
      <w:bookmarkEnd w:id="103"/>
      <w:bookmarkEnd w:id="104"/>
      <w:bookmarkEnd w:id="105"/>
    </w:p>
    <w:p w14:paraId="495DDD6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12.1供应商应仔细阅读竞争性磋商文件，在完全了解采购的内容、技术性能要求（见第五章《采购需求》）和商务条件后，根据竞争性磋商文件要求编写响应文件。</w:t>
      </w:r>
    </w:p>
    <w:p w14:paraId="35817A0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12.2对磋商文件提出的实质性要求和条件作出响应是指供应商的响应文件必须对竞争性磋商文件中规定的实质性要求和条件作出满足或者优于原要求和条件的承诺，并提供相应的证明材料，否则按无效响应处理。</w:t>
      </w:r>
    </w:p>
    <w:p w14:paraId="74EA44CB">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106" w:name="_Toc72489541"/>
      <w:bookmarkStart w:id="107" w:name="_Toc74169252"/>
      <w:bookmarkStart w:id="108" w:name="_Toc46924551"/>
      <w:bookmarkStart w:id="109" w:name="_Toc75418542"/>
      <w:r>
        <w:rPr>
          <w:rFonts w:hint="eastAsia" w:ascii="宋体" w:hAnsi="宋体" w:eastAsia="宋体" w:cs="宋体"/>
          <w:b/>
          <w:bCs/>
          <w:color w:val="auto"/>
          <w:sz w:val="24"/>
          <w:szCs w:val="24"/>
          <w:highlight w:val="none"/>
        </w:rPr>
        <w:t>13、语言文字</w:t>
      </w:r>
      <w:bookmarkEnd w:id="106"/>
      <w:bookmarkEnd w:id="107"/>
      <w:bookmarkEnd w:id="108"/>
      <w:bookmarkEnd w:id="109"/>
    </w:p>
    <w:p w14:paraId="64B5D3A5">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13.1供应商的响应文件以及供应商与采购人、采购代理机构、磋商小组就有关磋商的所有来往函电统一使用中文（特别规定除外）。</w:t>
      </w:r>
    </w:p>
    <w:p w14:paraId="66078086">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110" w:name="_Toc72489542"/>
      <w:bookmarkStart w:id="111" w:name="_Toc74169253"/>
      <w:bookmarkStart w:id="112" w:name="_Toc46924552"/>
      <w:bookmarkStart w:id="113" w:name="_Toc75418543"/>
      <w:r>
        <w:rPr>
          <w:rFonts w:hint="eastAsia" w:ascii="宋体" w:hAnsi="宋体" w:eastAsia="宋体" w:cs="宋体"/>
          <w:b/>
          <w:bCs/>
          <w:color w:val="auto"/>
          <w:sz w:val="24"/>
          <w:szCs w:val="24"/>
          <w:highlight w:val="none"/>
        </w:rPr>
        <w:t>14、计量单位</w:t>
      </w:r>
      <w:bookmarkEnd w:id="110"/>
      <w:bookmarkEnd w:id="111"/>
      <w:bookmarkEnd w:id="112"/>
      <w:bookmarkEnd w:id="113"/>
    </w:p>
    <w:p w14:paraId="0F5ABFE9">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14.1响应文件中使用的计量单位除磋商文件中有特殊规定外，一律使用中华人民共和国法定计量单位。</w:t>
      </w:r>
    </w:p>
    <w:p w14:paraId="0BA22CFC">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114" w:name="_Toc75418544"/>
      <w:bookmarkStart w:id="115" w:name="_Toc46924553"/>
      <w:bookmarkStart w:id="116" w:name="_Toc74169254"/>
      <w:bookmarkStart w:id="117" w:name="_Toc72489543"/>
      <w:r>
        <w:rPr>
          <w:rFonts w:hint="eastAsia" w:ascii="宋体" w:hAnsi="宋体" w:eastAsia="宋体" w:cs="宋体"/>
          <w:b/>
          <w:bCs/>
          <w:color w:val="auto"/>
          <w:sz w:val="24"/>
          <w:szCs w:val="24"/>
          <w:highlight w:val="none"/>
        </w:rPr>
        <w:t>15、响应文件的组成</w:t>
      </w:r>
      <w:bookmarkEnd w:id="114"/>
      <w:bookmarkEnd w:id="115"/>
      <w:bookmarkEnd w:id="116"/>
      <w:bookmarkEnd w:id="117"/>
    </w:p>
    <w:p w14:paraId="59AF2A64">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r>
        <w:rPr>
          <w:rFonts w:hint="eastAsia" w:ascii="宋体" w:hAnsi="宋体" w:eastAsia="宋体" w:cs="宋体"/>
          <w:color w:val="auto"/>
          <w:kern w:val="0"/>
          <w:sz w:val="24"/>
          <w:szCs w:val="24"/>
          <w:highlight w:val="none"/>
        </w:rPr>
        <w:t>供应商编写的响应文件应按第四章《响应文件格式》要求填写</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在编写响应文件时，图片建议使用JPG格式（须确保每张图片须清晰可辨，否则造成的后果由供应商自行承担），最终的每份标书文件所占用的磁盘空间应尽量不大于</w:t>
      </w:r>
      <w:r>
        <w:rPr>
          <w:rFonts w:hint="eastAsia" w:hAnsi="宋体" w:cs="宋体"/>
          <w:color w:val="auto"/>
          <w:kern w:val="0"/>
          <w:sz w:val="24"/>
          <w:szCs w:val="24"/>
          <w:highlight w:val="none"/>
          <w:lang w:eastAsia="zh-CN"/>
        </w:rPr>
        <w:t>80</w:t>
      </w:r>
      <w:r>
        <w:rPr>
          <w:rFonts w:hint="eastAsia" w:ascii="宋体" w:hAnsi="宋体" w:eastAsia="宋体" w:cs="宋体"/>
          <w:color w:val="auto"/>
          <w:kern w:val="0"/>
          <w:sz w:val="24"/>
          <w:szCs w:val="24"/>
          <w:highlight w:val="none"/>
        </w:rPr>
        <w:t>M，否则可能无法生成响应文件。</w:t>
      </w:r>
    </w:p>
    <w:p w14:paraId="19F911D4">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15.2本项目若分包（标段）时，供应商同时参与多个包（标段）采购的，响应文件应按包（标段）分别编制，单独上传。</w:t>
      </w:r>
    </w:p>
    <w:p w14:paraId="648729D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15.3构成响应文件的其他资料：详见《供应商须知前附表》。</w:t>
      </w:r>
    </w:p>
    <w:p w14:paraId="2C488E38">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118" w:name="_Toc46924554"/>
      <w:bookmarkStart w:id="119" w:name="_Toc75418545"/>
      <w:bookmarkStart w:id="120" w:name="_Toc72489544"/>
      <w:bookmarkStart w:id="121" w:name="_Toc74169255"/>
      <w:r>
        <w:rPr>
          <w:rFonts w:hint="eastAsia" w:ascii="宋体" w:hAnsi="宋体" w:eastAsia="宋体" w:cs="宋体"/>
          <w:b/>
          <w:bCs/>
          <w:color w:val="auto"/>
          <w:sz w:val="24"/>
          <w:szCs w:val="24"/>
          <w:highlight w:val="none"/>
        </w:rPr>
        <w:t>16、响应文件的格式要求</w:t>
      </w:r>
      <w:bookmarkEnd w:id="118"/>
      <w:bookmarkEnd w:id="119"/>
      <w:bookmarkEnd w:id="120"/>
      <w:bookmarkEnd w:id="121"/>
    </w:p>
    <w:p w14:paraId="7AA07684">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16.1供应商应按第四章《响应文件格式》提供的格式完整地填写，未按竞争性磋商文件规定格式填写的响应文件按无效响应处理。</w:t>
      </w:r>
    </w:p>
    <w:p w14:paraId="729F5973">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122" w:name="_Toc75418546"/>
      <w:bookmarkStart w:id="123" w:name="_Toc74169256"/>
      <w:bookmarkStart w:id="124" w:name="_Toc46924555"/>
      <w:bookmarkStart w:id="125" w:name="_Toc72489545"/>
      <w:r>
        <w:rPr>
          <w:rFonts w:hint="eastAsia" w:ascii="宋体" w:hAnsi="宋体" w:eastAsia="宋体" w:cs="宋体"/>
          <w:b/>
          <w:bCs/>
          <w:color w:val="auto"/>
          <w:sz w:val="24"/>
          <w:szCs w:val="24"/>
          <w:highlight w:val="none"/>
        </w:rPr>
        <w:t>★17、响应文件有效期</w:t>
      </w:r>
      <w:bookmarkEnd w:id="122"/>
      <w:bookmarkEnd w:id="123"/>
      <w:bookmarkEnd w:id="124"/>
      <w:bookmarkEnd w:id="125"/>
    </w:p>
    <w:p w14:paraId="19ADE17D">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17.1在《供应商须知前附表》规定的有效期内，供应商不得要求撤销或修改其响应文件。</w:t>
      </w:r>
    </w:p>
    <w:p w14:paraId="2BBE0A25">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因特殊情况需要延长响应文件有效期的，采购人或采购代理机构以书面形式通知供应商延长有效期。供应商同意延长的，应相应延长其响应文件中所有内容及采购保证金的有效期，但不得要求或被允许修改或撤销其响应文件；供应商拒绝延长的，其响应文件失效，但供应商有权收回其采购保证金。</w:t>
      </w:r>
    </w:p>
    <w:p w14:paraId="540BD1A0">
      <w:pPr>
        <w:pStyle w:val="19"/>
        <w:keepLines w:val="0"/>
        <w:widowControl/>
        <w:shd w:val="clear" w:color="auto" w:fill="auto"/>
        <w:spacing w:line="360" w:lineRule="auto"/>
        <w:rPr>
          <w:rFonts w:hint="eastAsia" w:ascii="宋体" w:hAnsi="宋体" w:eastAsia="宋体" w:cs="宋体"/>
          <w:b/>
          <w:bCs/>
          <w:color w:val="auto"/>
          <w:sz w:val="24"/>
          <w:szCs w:val="24"/>
          <w:highlight w:val="none"/>
          <w:lang w:eastAsia="zh-CN"/>
        </w:rPr>
      </w:pPr>
      <w:bookmarkStart w:id="126" w:name="_Toc72489546"/>
      <w:bookmarkStart w:id="127" w:name="_Toc46924556"/>
      <w:bookmarkStart w:id="128" w:name="_Toc75418547"/>
      <w:bookmarkStart w:id="129" w:name="_Toc74169257"/>
      <w:r>
        <w:rPr>
          <w:rFonts w:hint="eastAsia" w:ascii="宋体" w:hAnsi="宋体" w:eastAsia="宋体" w:cs="宋体"/>
          <w:b/>
          <w:bCs/>
          <w:color w:val="auto"/>
          <w:sz w:val="24"/>
          <w:szCs w:val="24"/>
          <w:highlight w:val="none"/>
        </w:rPr>
        <w:t>18、磋商保证金交纳及退还</w:t>
      </w:r>
      <w:bookmarkEnd w:id="126"/>
      <w:bookmarkEnd w:id="127"/>
      <w:bookmarkEnd w:id="128"/>
      <w:bookmarkEnd w:id="129"/>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如有</w:t>
      </w:r>
      <w:r>
        <w:rPr>
          <w:rFonts w:hint="eastAsia" w:ascii="宋体" w:hAnsi="宋体" w:eastAsia="宋体" w:cs="宋体"/>
          <w:b/>
          <w:bCs/>
          <w:color w:val="auto"/>
          <w:sz w:val="24"/>
          <w:szCs w:val="24"/>
          <w:highlight w:val="none"/>
          <w:lang w:eastAsia="zh-CN"/>
        </w:rPr>
        <w:t>）</w:t>
      </w:r>
    </w:p>
    <w:p w14:paraId="5C45661C">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供应商应按《供应商须知前附表》规定的金额、形式向采购代理机构交纳磋商保证金，磋商保证金须在响应文件提交截止时间前以供应商自身的名义交纳到指定的帐户，并且必须以供应商自身名义开具的账户转出，不得以分支机构其他名义提交（按照规定，供应商可以为自然人的项目除外），供应商未按照磋商文件要求提交磋商保证金的，响应无效。</w:t>
      </w:r>
    </w:p>
    <w:p w14:paraId="4E512CF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采购代理机构在成交通知书发出后5个工作日内退还未成交供应商的磋商保证金，成交供应商的磋商保证金在采购合同签订后5个工作日内退还，但因供应商自身原因导致无法及时退还的除外。出现下列情形之一的，磋商保证金不予退还：</w:t>
      </w:r>
    </w:p>
    <w:p w14:paraId="330A2E1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14:paraId="779B6C8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14:paraId="0160671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（3）除因不可抗力或磋商文件认可的情形以外，成交供应商不与采购人签订合同的；</w:t>
      </w:r>
    </w:p>
    <w:p w14:paraId="32BC837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（4）供应商与采购人、其他供应商或者采购代理机构恶意串通的；</w:t>
      </w:r>
    </w:p>
    <w:p w14:paraId="60FCF327">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（5）竞争性磋商文件规定的其他情形。</w:t>
      </w:r>
    </w:p>
    <w:p w14:paraId="17FEC96D">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130" w:name="_Toc46924557"/>
      <w:bookmarkStart w:id="131" w:name="_Toc75418548"/>
      <w:bookmarkStart w:id="132" w:name="_Toc72489547"/>
      <w:bookmarkStart w:id="133" w:name="_Toc74169258"/>
      <w:r>
        <w:rPr>
          <w:rFonts w:hint="eastAsia" w:ascii="宋体" w:hAnsi="宋体" w:eastAsia="宋体" w:cs="宋体"/>
          <w:b/>
          <w:bCs/>
          <w:color w:val="auto"/>
          <w:sz w:val="24"/>
          <w:szCs w:val="24"/>
          <w:highlight w:val="none"/>
        </w:rPr>
        <w:t>19、响应文件的编制</w:t>
      </w:r>
      <w:bookmarkEnd w:id="130"/>
      <w:bookmarkEnd w:id="131"/>
      <w:bookmarkEnd w:id="132"/>
      <w:bookmarkEnd w:id="133"/>
    </w:p>
    <w:p w14:paraId="0EB829AC">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r>
        <w:rPr>
          <w:rFonts w:hint="eastAsia" w:ascii="宋体" w:hAnsi="宋体" w:eastAsia="宋体" w:cs="宋体"/>
          <w:color w:val="auto"/>
          <w:kern w:val="0"/>
          <w:sz w:val="24"/>
          <w:szCs w:val="24"/>
          <w:highlight w:val="none"/>
        </w:rPr>
        <w:t>响应文件编制及格式：响应文件全部采用电子文档，</w:t>
      </w:r>
      <w:r>
        <w:rPr>
          <w:rFonts w:hint="eastAsia" w:ascii="宋体" w:hAnsi="宋体" w:eastAsia="宋体" w:cs="宋体"/>
          <w:color w:val="auto"/>
          <w:sz w:val="24"/>
          <w:szCs w:val="24"/>
          <w:highlight w:val="none"/>
        </w:rPr>
        <w:t>响应文件应包含第四章《响应文件格式》要求的所有内容。电子响应文件应使用政府采购云平台（网址：</w:t>
      </w:r>
      <w:r>
        <w:rPr>
          <w:rFonts w:hint="eastAsia" w:hAnsi="宋体" w:cs="宋体"/>
          <w:color w:val="auto"/>
          <w:sz w:val="24"/>
          <w:szCs w:val="24"/>
          <w:highlight w:val="none"/>
          <w:lang w:eastAsia="zh-CN"/>
        </w:rPr>
        <w:t>https://www.zcygov.cn/</w:t>
      </w:r>
      <w:r>
        <w:rPr>
          <w:rFonts w:hint="eastAsia" w:ascii="宋体" w:hAnsi="宋体" w:eastAsia="宋体" w:cs="宋体"/>
          <w:color w:val="auto"/>
          <w:sz w:val="24"/>
          <w:szCs w:val="24"/>
          <w:highlight w:val="none"/>
        </w:rPr>
        <w:t>）中下载的政采云电子投标客户端制作，并进行电子签章及加密后上传至政府采购云平台。编制要求见《电子投标文件编制要求》。</w:t>
      </w:r>
    </w:p>
    <w:p w14:paraId="0E4826D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如供应商提交的电子标书不符合上述要求或开标时无法读取导入或解密，其响应文件将不予受理。</w:t>
      </w:r>
    </w:p>
    <w:p w14:paraId="0BB9F85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特别注意：</w:t>
      </w:r>
    </w:p>
    <w:p w14:paraId="09907E9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（1）供应商不得对竞争性磋商文件格式中的内容进行删减或修改，否则作为无效处理。</w:t>
      </w:r>
    </w:p>
    <w:p w14:paraId="51FB3744">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可以在格式内容之外另行说明和增加相关内容，作为响应文件的组成部分。另行说明或自行增加的内容、以及按响应文件格式在空格（下划线）由供应商填写的内容，不得与竞争性磋商文件的强制性审查标准和禁止性规定相抵触。</w:t>
      </w:r>
    </w:p>
    <w:p w14:paraId="528E7630">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（3）按响应文件格式在空格（下划线）由供应商填写的内容，确实没有需要填写的，可以在空格中用“/”标示，也可以不填（空白）。但竞争性磋商文件中另有规定的从其规定。 </w:t>
      </w:r>
    </w:p>
    <w:p w14:paraId="29EFABDE">
      <w:pPr>
        <w:widowControl/>
        <w:shd w:val="clear" w:color="auto" w:fill="auto"/>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（4）响应文件应对竞争性磋商文件提出的所有实质性要求和条件作出实质性响应，并且实质性响应的内容不得互相矛盾。</w:t>
      </w:r>
    </w:p>
    <w:p w14:paraId="0B5CDF9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响应文件的签署：按照响应文件格式，采用单位和个人数字证书电子签章；响应文件（包含供应商电子文档响应文件的全部）需要企业、法定代表人电子签章。注：在需要电子签章的地方进行电子签章，无需逐页电子签章。</w:t>
      </w:r>
    </w:p>
    <w:p w14:paraId="0B93BC4D">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19.3响应文件和来往函件均应采用中文书写，计量单位使用中国或国际标准单位。</w:t>
      </w:r>
    </w:p>
    <w:p w14:paraId="1C807D1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响应文件的组成应包括下列内容（但不限于）：详见：本章15、响应文件的组成及《响应文件格式》部分。</w:t>
      </w:r>
    </w:p>
    <w:p w14:paraId="3A40C72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中提供的资料（包括扫描件）、关键内容、相关证件及证明材料必须清晰可辨，若出现字迹潦草、表达不清、资料内容不全或关键字迹模糊、无法辨认、未按要求填写而导致非唯一理解，视为未实质性响应竞争性磋商文件，响应文件按无效响应处理。</w:t>
      </w:r>
      <w:bookmarkStart w:id="134" w:name="_Toc86124056"/>
      <w:bookmarkStart w:id="135" w:name="_Toc383175287"/>
      <w:bookmarkStart w:id="136" w:name="_Toc482343737"/>
      <w:bookmarkStart w:id="137" w:name="_Toc383175485"/>
      <w:bookmarkStart w:id="138" w:name="_Toc470507051"/>
      <w:bookmarkStart w:id="139" w:name="_Toc383175063"/>
      <w:bookmarkStart w:id="140" w:name="_Toc432194837"/>
      <w:bookmarkStart w:id="141" w:name="_Toc432106486"/>
      <w:bookmarkStart w:id="142" w:name="_Toc329810197"/>
    </w:p>
    <w:p w14:paraId="6A2EE7AD">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143" w:name="_Toc46924558"/>
      <w:bookmarkStart w:id="144" w:name="_Toc72489548"/>
      <w:bookmarkStart w:id="145" w:name="_Toc75418549"/>
      <w:bookmarkStart w:id="146" w:name="_Toc74169259"/>
      <w:r>
        <w:rPr>
          <w:rFonts w:hint="eastAsia" w:ascii="宋体" w:hAnsi="宋体" w:eastAsia="宋体" w:cs="宋体"/>
          <w:b/>
          <w:bCs/>
          <w:color w:val="auto"/>
          <w:sz w:val="24"/>
          <w:szCs w:val="24"/>
          <w:highlight w:val="none"/>
        </w:rPr>
        <w:t>20、报价</w:t>
      </w:r>
      <w:bookmarkEnd w:id="134"/>
      <w:r>
        <w:rPr>
          <w:rFonts w:hint="eastAsia" w:ascii="宋体" w:hAnsi="宋体" w:eastAsia="宋体" w:cs="宋体"/>
          <w:b/>
          <w:bCs/>
          <w:color w:val="auto"/>
          <w:sz w:val="24"/>
          <w:szCs w:val="24"/>
          <w:highlight w:val="none"/>
        </w:rPr>
        <w:t>和报价货币</w:t>
      </w:r>
      <w:bookmarkEnd w:id="135"/>
      <w:bookmarkEnd w:id="136"/>
      <w:bookmarkEnd w:id="137"/>
      <w:bookmarkEnd w:id="138"/>
      <w:bookmarkEnd w:id="139"/>
      <w:bookmarkEnd w:id="140"/>
      <w:bookmarkEnd w:id="141"/>
      <w:bookmarkEnd w:id="142"/>
      <w:bookmarkEnd w:id="143"/>
      <w:bookmarkEnd w:id="144"/>
      <w:bookmarkEnd w:id="145"/>
      <w:bookmarkEnd w:id="146"/>
    </w:p>
    <w:p w14:paraId="6C2D8E73">
      <w:pPr>
        <w:shd w:val="clear" w:color="auto" w:fill="auto"/>
        <w:spacing w:line="360" w:lineRule="auto"/>
        <w:ind w:firstLine="480" w:firstLineChars="200"/>
        <w:rPr>
          <w:rFonts w:hint="eastAsia" w:ascii="宋体" w:hAnsi="宋体" w:eastAsia="宋体" w:cs="宋体"/>
          <w:color w:val="auto"/>
          <w:sz w:val="24"/>
          <w:szCs w:val="24"/>
          <w:highlight w:val="none"/>
        </w:rPr>
      </w:pPr>
      <w:bookmarkStart w:id="147" w:name="_Toc22521"/>
      <w:r>
        <w:rPr>
          <w:rFonts w:hint="eastAsia" w:ascii="宋体" w:hAnsi="宋体" w:eastAsia="宋体" w:cs="宋体"/>
          <w:color w:val="auto"/>
          <w:sz w:val="24"/>
          <w:szCs w:val="24"/>
          <w:highlight w:val="none"/>
        </w:rPr>
        <w:t>20.1磋商结束后，磋商小组将要求所有实质性响应的供应商在规定时间内提交最后报价。最后报价超过采购预算金额的供应商将被视为未实质性响应竞争性磋商文件要求，按无效响应处理。</w:t>
      </w:r>
    </w:p>
    <w:p w14:paraId="75F45A0B">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报价要求：详见供应商须知前附表供应商应依据磋商文件的要求及有关资料，执行国家或行业现行技术经济标准、定额及规范，自行测算出满足采购要求的货物、工程或者服务的竞争性报价，该报价应符合市场行情并能保证供应商完成履行合同所需的一切工作。合同一旦签订，此价格在合同实施期间将不因市场价格等的变化而调整。</w:t>
      </w:r>
    </w:p>
    <w:p w14:paraId="0B542AF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20.3最后报价是供应商响应文件的有效组成部分，供应商必须对所参加项目内所有内容进行完整唯一报价，不得缺项、漏项，否则按无效响应处理。</w:t>
      </w:r>
    </w:p>
    <w:p w14:paraId="4325C544">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无论分项价格是否填报完全，供应商的最后报价将被视为已经包含了所有分项价格以及与项目相关的所有货物、工程或者服务费用。由于供应商分项报价填报不完整、不清楚或存在其它任何失误所导致的任何不利后果均由供应商自行承担。</w:t>
      </w:r>
    </w:p>
    <w:p w14:paraId="542E1E7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20.5供应商按照“政采云”平台的顺序进行磋商、承诺及最后报价。（注：通过实质性评审的供应商应在“政采云”平台进行“磋商”后，进行最后报价并上传最后报价一览表）</w:t>
      </w:r>
    </w:p>
    <w:p w14:paraId="1D475E05">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磋商小组认为供应商的报价明显低于其他通过实质性评审供应商的报价，有可能影响产品质量或者不能诚信履约的，将要求其在评标现场合理的时间内提供书面说明，必要时提交相关证明材料；供应商不能证明其报价合理性的，磋商小组将认定供应商响应文件无效。</w:t>
      </w:r>
    </w:p>
    <w:p w14:paraId="6CD1D32C">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20.7供应商应保证其提供的货物、工程或者服务在采购人使用期间不受第三方可能提出的侵犯其所有权、知识产权、商标权、专利权、著作权等相关权利的起诉。</w:t>
      </w:r>
    </w:p>
    <w:p w14:paraId="4E3C67A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20.8报价货币为人民币。</w:t>
      </w:r>
    </w:p>
    <w:p w14:paraId="0A1E4EFD">
      <w:pPr>
        <w:pStyle w:val="3"/>
        <w:keepLines w:val="0"/>
        <w:shd w:val="clear" w:color="auto" w:fill="auto"/>
        <w:spacing w:before="240" w:after="240" w:line="360" w:lineRule="auto"/>
        <w:jc w:val="center"/>
        <w:rPr>
          <w:rFonts w:hint="eastAsia" w:ascii="宋体" w:hAnsi="宋体" w:eastAsia="宋体" w:cs="宋体"/>
          <w:b/>
          <w:color w:val="auto"/>
          <w:kern w:val="0"/>
          <w:sz w:val="24"/>
          <w:szCs w:val="24"/>
          <w:highlight w:val="none"/>
        </w:rPr>
      </w:pPr>
      <w:bookmarkStart w:id="148" w:name="_Toc12007"/>
      <w:r>
        <w:rPr>
          <w:rFonts w:hint="eastAsia" w:ascii="宋体" w:hAnsi="宋体" w:eastAsia="宋体" w:cs="宋体"/>
          <w:b/>
          <w:color w:val="auto"/>
          <w:kern w:val="0"/>
          <w:sz w:val="24"/>
          <w:szCs w:val="24"/>
          <w:highlight w:val="none"/>
        </w:rPr>
        <w:t>四、响应文件递交</w:t>
      </w:r>
      <w:bookmarkEnd w:id="147"/>
      <w:bookmarkEnd w:id="148"/>
    </w:p>
    <w:p w14:paraId="78CA9CE1">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149" w:name="_Toc72489550"/>
      <w:bookmarkStart w:id="150" w:name="_Toc75418551"/>
      <w:bookmarkStart w:id="151" w:name="_Toc74169261"/>
      <w:bookmarkStart w:id="152" w:name="_Toc46924560"/>
      <w:r>
        <w:rPr>
          <w:rFonts w:hint="eastAsia" w:ascii="宋体" w:hAnsi="宋体" w:eastAsia="宋体" w:cs="宋体"/>
          <w:b/>
          <w:bCs/>
          <w:color w:val="auto"/>
          <w:sz w:val="24"/>
          <w:szCs w:val="24"/>
          <w:highlight w:val="none"/>
        </w:rPr>
        <w:t>21、响应文件的</w:t>
      </w:r>
      <w:bookmarkEnd w:id="149"/>
      <w:bookmarkEnd w:id="150"/>
      <w:bookmarkEnd w:id="151"/>
      <w:bookmarkEnd w:id="152"/>
      <w:r>
        <w:rPr>
          <w:rFonts w:hint="eastAsia" w:ascii="宋体" w:hAnsi="宋体" w:eastAsia="宋体" w:cs="宋体"/>
          <w:b/>
          <w:bCs/>
          <w:color w:val="auto"/>
          <w:sz w:val="24"/>
          <w:szCs w:val="24"/>
          <w:highlight w:val="none"/>
        </w:rPr>
        <w:t>递交</w:t>
      </w:r>
    </w:p>
    <w:p w14:paraId="36FD0747">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供应商应在本章第21.3项规定的磋商截止时间前将电子响应文件上传到政府采购云平台，未按规定在提交响应文件截止时间前上传响应文件的，视为撤回其响应文件。网上递交的响应文件应使用数字证书进行加密。供应商使用某个数字证书（CA）对响应文件进行了数字证书（CA）加密，需要在现场或远程解密时使用同一把数字证书（CA）对该响应文件进行解密才能读取或导入响应文件，因供应商自身原因致使响应文件未成功解密的或供应商提交的电子标书不符合本项目电子投标文件编制要求或开标时无法读取导入或解密，其响应文件将不予受理。未办理数字证书（CA）的供应商其编制的响应文件将无法按竞争性磋商文件的要求进行电子签章及加密，由此造成的后果由供应商自行承担。具体详见供应商须知前附表“响应文件的递交及解密须知”。</w:t>
      </w:r>
    </w:p>
    <w:p w14:paraId="2EA0EFEC">
      <w:pPr>
        <w:shd w:val="clear" w:color="auto" w:fill="auto"/>
        <w:wordWrap w:val="0"/>
        <w:spacing w:line="360" w:lineRule="auto"/>
        <w:ind w:firstLine="540" w:firstLineChars="225"/>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21.2</w:t>
      </w:r>
      <w:bookmarkStart w:id="153" w:name="_Toc46924561"/>
      <w:bookmarkStart w:id="154" w:name="_Toc74169262"/>
      <w:bookmarkStart w:id="155" w:name="_Toc72489551"/>
      <w:bookmarkStart w:id="156" w:name="_Toc75418552"/>
      <w:r>
        <w:rPr>
          <w:rFonts w:hint="eastAsia" w:ascii="宋体" w:hAnsi="宋体" w:eastAsia="宋体" w:cs="宋体"/>
          <w:color w:val="auto"/>
          <w:sz w:val="24"/>
          <w:szCs w:val="24"/>
          <w:highlight w:val="none"/>
        </w:rPr>
        <w:t>网上递交的响应文件应使用数字证书进行加密。</w:t>
      </w:r>
      <w:r>
        <w:rPr>
          <w:rFonts w:hint="eastAsia" w:ascii="宋体" w:hAnsi="宋体" w:eastAsia="宋体" w:cs="宋体"/>
          <w:color w:val="auto"/>
          <w:kern w:val="0"/>
          <w:sz w:val="24"/>
          <w:szCs w:val="24"/>
          <w:highlight w:val="none"/>
        </w:rPr>
        <w:t>网上递交网址为：</w:t>
      </w:r>
      <w:r>
        <w:rPr>
          <w:rFonts w:hint="eastAsia" w:hAnsi="宋体" w:cs="宋体"/>
          <w:color w:val="auto"/>
          <w:sz w:val="24"/>
          <w:szCs w:val="24"/>
          <w:highlight w:val="none"/>
          <w:lang w:eastAsia="zh-CN"/>
        </w:rPr>
        <w:t>https://www.zcygov.cn/</w:t>
      </w:r>
      <w:r>
        <w:rPr>
          <w:rFonts w:hint="eastAsia" w:ascii="宋体" w:hAnsi="宋体" w:eastAsia="宋体" w:cs="宋体"/>
          <w:color w:val="auto"/>
          <w:kern w:val="0"/>
          <w:sz w:val="24"/>
          <w:szCs w:val="24"/>
          <w:highlight w:val="none"/>
        </w:rPr>
        <w:t>。供应商须在响应文件递交截止时间前完成所有响应文件的上传。供应商根据拟要参与的项目，须在响应文件递交截止时间前按照网上投标系统要求上传全部响应文件，响应文件上传后须自行检查响应文件的完整性并进行确认签名后，方完成全部响应文件网上上传操作。供应商可自行打印“上传投标文件回执”。供应商使用某个数字证书（CA）对响应文件进行了数字证书（CA）加密，需使用同一把数字证书（CA）对该响应文件进行解密才能读取或导入响应文件，因供应商原因造成响应文件未解密的，视为撤回其响应文件。因供应商自身原因致使响应文件未成功解密的或供应商提交的电子标书不符合本项目电子投标文件编制要求或开标时无法读取导入或解密，其响应文件将不予受理。</w:t>
      </w:r>
    </w:p>
    <w:bookmarkEnd w:id="153"/>
    <w:bookmarkEnd w:id="154"/>
    <w:bookmarkEnd w:id="155"/>
    <w:bookmarkEnd w:id="156"/>
    <w:p w14:paraId="471FB659">
      <w:pPr>
        <w:shd w:val="clear" w:color="auto" w:fill="auto"/>
        <w:spacing w:line="360" w:lineRule="auto"/>
        <w:ind w:firstLine="480" w:firstLineChars="200"/>
        <w:rPr>
          <w:rFonts w:hint="eastAsia" w:ascii="宋体" w:hAnsi="宋体" w:eastAsia="宋体" w:cs="宋体"/>
          <w:color w:val="auto"/>
          <w:sz w:val="24"/>
          <w:szCs w:val="24"/>
          <w:highlight w:val="none"/>
        </w:rPr>
      </w:pPr>
      <w:bookmarkStart w:id="157" w:name="_Toc296602445"/>
      <w:r>
        <w:rPr>
          <w:rFonts w:hint="eastAsia" w:ascii="宋体" w:hAnsi="宋体" w:eastAsia="宋体" w:cs="宋体"/>
          <w:color w:val="auto"/>
          <w:sz w:val="24"/>
          <w:szCs w:val="24"/>
          <w:highlight w:val="none"/>
        </w:rPr>
        <w:t>21.</w:t>
      </w:r>
      <w:bookmarkEnd w:id="157"/>
      <w:r>
        <w:rPr>
          <w:rFonts w:hint="eastAsia" w:ascii="宋体" w:hAnsi="宋体" w:eastAsia="宋体" w:cs="宋体"/>
          <w:color w:val="auto"/>
          <w:sz w:val="24"/>
          <w:szCs w:val="24"/>
          <w:highlight w:val="none"/>
        </w:rPr>
        <w:t>3递交响应文件的截止时间及地点：详见《供应商须知前附表》</w:t>
      </w:r>
    </w:p>
    <w:p w14:paraId="59D97C6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21.4除《供应商须知前附表》另有规定外，供应商所递交的响应文件不予退还。</w:t>
      </w:r>
    </w:p>
    <w:p w14:paraId="3E0D2339">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158" w:name="_Toc72489552"/>
      <w:bookmarkStart w:id="159" w:name="_Toc75418553"/>
      <w:bookmarkStart w:id="160" w:name="_Toc46924562"/>
      <w:bookmarkStart w:id="161" w:name="_Toc74169263"/>
      <w:r>
        <w:rPr>
          <w:rFonts w:hint="eastAsia" w:ascii="宋体" w:hAnsi="宋体" w:eastAsia="宋体" w:cs="宋体"/>
          <w:b/>
          <w:bCs/>
          <w:color w:val="auto"/>
          <w:sz w:val="24"/>
          <w:szCs w:val="24"/>
          <w:highlight w:val="none"/>
        </w:rPr>
        <w:t>22、响应文件的补充、修改或者撤回</w:t>
      </w:r>
      <w:bookmarkEnd w:id="158"/>
      <w:bookmarkEnd w:id="159"/>
      <w:bookmarkEnd w:id="160"/>
      <w:bookmarkEnd w:id="161"/>
    </w:p>
    <w:p w14:paraId="76E34AF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Fonts w:hint="eastAsia" w:ascii="宋体" w:hAnsi="宋体" w:eastAsia="宋体" w:cs="宋体"/>
          <w:color w:val="auto"/>
          <w:kern w:val="0"/>
          <w:sz w:val="24"/>
          <w:szCs w:val="24"/>
          <w:highlight w:val="none"/>
        </w:rPr>
        <w:t>在本章第21.3项规定的磋商截止时间前，供应商可以修改或撤回已递交的响应文件，无须书面形式通知采购人。</w:t>
      </w:r>
    </w:p>
    <w:p w14:paraId="42C0A97B">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22.2供应商在提交截止时间前撤回响应文件的，</w:t>
      </w:r>
      <w:r>
        <w:rPr>
          <w:rFonts w:hint="eastAsia" w:ascii="宋体" w:hAnsi="宋体" w:eastAsia="宋体" w:cs="宋体"/>
          <w:color w:val="auto"/>
          <w:kern w:val="0"/>
          <w:sz w:val="24"/>
          <w:szCs w:val="24"/>
          <w:highlight w:val="none"/>
        </w:rPr>
        <w:t>可在规定时间内申请退还已缴纳的磋商保证金。</w:t>
      </w:r>
      <w:r>
        <w:rPr>
          <w:rFonts w:hint="eastAsia" w:ascii="宋体" w:hAnsi="宋体" w:eastAsia="宋体" w:cs="宋体"/>
          <w:color w:val="auto"/>
          <w:sz w:val="24"/>
          <w:szCs w:val="24"/>
          <w:highlight w:val="none"/>
        </w:rPr>
        <w:t>但因供应商自身原因导致无法及时退还的除外。</w:t>
      </w:r>
    </w:p>
    <w:p w14:paraId="7F0725E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22.3修改的内容为响应文件的组成部分。修改的响应文件应按照本章第19条和第21条规定进行编制和上传。</w:t>
      </w:r>
    </w:p>
    <w:p w14:paraId="1E3DCA09">
      <w:pPr>
        <w:pStyle w:val="3"/>
        <w:keepLines w:val="0"/>
        <w:shd w:val="clear" w:color="auto" w:fill="auto"/>
        <w:spacing w:before="240" w:after="240" w:line="360" w:lineRule="auto"/>
        <w:jc w:val="center"/>
        <w:rPr>
          <w:rFonts w:hint="eastAsia" w:ascii="宋体" w:hAnsi="宋体" w:eastAsia="宋体" w:cs="宋体"/>
          <w:b/>
          <w:color w:val="auto"/>
          <w:kern w:val="0"/>
          <w:sz w:val="24"/>
          <w:szCs w:val="24"/>
          <w:highlight w:val="none"/>
        </w:rPr>
      </w:pPr>
      <w:bookmarkStart w:id="162" w:name="_Toc13671"/>
      <w:bookmarkStart w:id="163" w:name="_Toc2220"/>
      <w:r>
        <w:rPr>
          <w:rFonts w:hint="eastAsia" w:ascii="宋体" w:hAnsi="宋体" w:eastAsia="宋体" w:cs="宋体"/>
          <w:b/>
          <w:color w:val="auto"/>
          <w:kern w:val="0"/>
          <w:sz w:val="24"/>
          <w:szCs w:val="24"/>
          <w:highlight w:val="none"/>
        </w:rPr>
        <w:t>五、磋商</w:t>
      </w:r>
      <w:bookmarkEnd w:id="162"/>
      <w:bookmarkEnd w:id="163"/>
    </w:p>
    <w:p w14:paraId="7AF26A12">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164" w:name="_Toc72489554"/>
      <w:bookmarkStart w:id="165" w:name="_Toc75418555"/>
      <w:bookmarkStart w:id="166" w:name="_Toc74169265"/>
      <w:bookmarkStart w:id="167" w:name="_Toc46924564"/>
      <w:r>
        <w:rPr>
          <w:rFonts w:hint="eastAsia" w:ascii="宋体" w:hAnsi="宋体" w:eastAsia="宋体" w:cs="宋体"/>
          <w:b/>
          <w:bCs/>
          <w:color w:val="auto"/>
          <w:sz w:val="24"/>
          <w:szCs w:val="24"/>
          <w:highlight w:val="none"/>
        </w:rPr>
        <w:t>23、磋商小组</w:t>
      </w:r>
      <w:bookmarkEnd w:id="164"/>
      <w:bookmarkEnd w:id="165"/>
      <w:bookmarkEnd w:id="166"/>
      <w:bookmarkEnd w:id="167"/>
    </w:p>
    <w:p w14:paraId="6AA91C3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23.1磋商小组将在规定的时间和地点进行磋商，供应商的法定代表人或其授权代理人准时参加。</w:t>
      </w:r>
    </w:p>
    <w:p w14:paraId="662D6FB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磋商小组由采购人依法组建，磋商由磋商小组负责。磋商小组由采购人代表和评审专家共3人以上单数组成，其中评审专家人数不得少于磋商小组成员总数的2/3。磋商小组应当推选组长，但采购人代表不得担任组长。</w:t>
      </w:r>
    </w:p>
    <w:p w14:paraId="103F9E0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23.3磋商小组成员人数及名单在磋商结束之前保密。</w:t>
      </w:r>
    </w:p>
    <w:p w14:paraId="5AE0BBC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23.4采购人委派代表参加磋商会议的，要向采购代理机构出具授权函。除授权代表外，采购人可以委派纪检监察等相关人员进入磋商现场，对磋商工作实施监督，但不得超过2人。</w:t>
      </w:r>
    </w:p>
    <w:p w14:paraId="4247694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23.5评审方法：综合评分法，是指响应文件满足磋商文件全部实质性要求且按评审因素的量化指标评审得分最高的供应商为成交候选供应商的评审方法。</w:t>
      </w:r>
    </w:p>
    <w:p w14:paraId="71D118C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41DF1C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C289C3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23.8在磋商中，磋商的任何一方不得透露与磋商有关的其他供应商的技术资料、价格和其他信息。评审结束后，至确定成交供应商与采购人签订合同后止，凡与审查、澄清、评价、比较、推荐成交候选供应商意见有关的内容，任何人均不得向供应商及与磋商无关的其他人透露。</w:t>
      </w:r>
    </w:p>
    <w:p w14:paraId="7D398DD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23.9从响应文件递交截止日起到确定成交供应商之日止，供应商不得与参加磋商的有关人员私下接触。在磋商过程中，如果供应商试图在响应文件审查、澄清、比较及推荐方面向参与磋商的有关人员施加任何影响，其响应文件按无效响应处理。</w:t>
      </w:r>
    </w:p>
    <w:p w14:paraId="74271B2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23.10磋商小组根据竞争性磋商文件规定的磋商程序和方法对各供应商的响应文件进行综合评分，按照评审得分由高到低顺序推荐3名以上成交候选供应商；评审得分相同的，按照最终报价（符合中小企业划分标准或残疾人福利性单位用扣除后的价格参与评审）由低到高的顺序推荐。评审得分且最终报价相同的，按照技术指标优劣顺序推荐。</w:t>
      </w:r>
    </w:p>
    <w:p w14:paraId="2C9066D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bookmarkStart w:id="168" w:name="_Toc470507061"/>
      <w:bookmarkStart w:id="169" w:name="_Toc383175297"/>
      <w:bookmarkStart w:id="170" w:name="_Toc378499713"/>
      <w:bookmarkStart w:id="171" w:name="_Toc329810208"/>
      <w:bookmarkStart w:id="172" w:name="_Toc383175495"/>
      <w:bookmarkStart w:id="173" w:name="_Toc432106496"/>
      <w:bookmarkStart w:id="174" w:name="_Toc383175073"/>
      <w:bookmarkStart w:id="175" w:name="_Toc432194847"/>
      <w:bookmarkStart w:id="176" w:name="_Toc86124068"/>
      <w:bookmarkStart w:id="177" w:name="_Toc482343747"/>
      <w:r>
        <w:rPr>
          <w:rFonts w:hint="eastAsia" w:ascii="宋体" w:hAnsi="宋体" w:eastAsia="宋体" w:cs="宋体"/>
          <w:color w:val="auto"/>
          <w:sz w:val="24"/>
          <w:szCs w:val="24"/>
          <w:highlight w:val="none"/>
        </w:rPr>
        <w:t>11磋商小组发现磋商文件存在歧义、重大缺陷导致评审工作无法进行，或者磋商文件内容违反国家有关规定的，要停止评审工作并向采购人或采购代理机构书面说明情况，采购人或采购代理机构应当修改磋商文件后重新组织采购活动；发现供应商提供虚假材料、串通等违法违规行为的，要及时向采购人或采购代理机构报告。</w:t>
      </w:r>
      <w:bookmarkEnd w:id="168"/>
      <w:bookmarkEnd w:id="169"/>
      <w:bookmarkEnd w:id="170"/>
      <w:bookmarkEnd w:id="171"/>
      <w:bookmarkEnd w:id="172"/>
      <w:bookmarkEnd w:id="173"/>
      <w:bookmarkEnd w:id="174"/>
      <w:bookmarkEnd w:id="175"/>
      <w:bookmarkEnd w:id="176"/>
      <w:bookmarkEnd w:id="177"/>
    </w:p>
    <w:p w14:paraId="548086F0">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23.12出现下列情形之一的，将终止竞争性磋商采购活动，并发布项目终止公告并说明原因，重新开展采购活动：</w:t>
      </w:r>
    </w:p>
    <w:p w14:paraId="754C2F64">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2FB54719">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0E7FEC8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（3）在采购过程中符合要求的供应商或者</w:t>
      </w:r>
      <w:r>
        <w:rPr>
          <w:rFonts w:hint="eastAsia" w:hAnsi="宋体" w:cs="宋体"/>
          <w:b/>
          <w:bCs/>
          <w:color w:val="auto"/>
          <w:sz w:val="24"/>
          <w:szCs w:val="24"/>
          <w:highlight w:val="none"/>
          <w:lang w:val="en-US" w:eastAsia="zh-CN"/>
        </w:rPr>
        <w:t>最终</w:t>
      </w:r>
      <w:r>
        <w:rPr>
          <w:rFonts w:hint="eastAsia" w:ascii="宋体" w:hAnsi="宋体" w:eastAsia="宋体" w:cs="宋体"/>
          <w:b/>
          <w:bCs/>
          <w:color w:val="auto"/>
          <w:sz w:val="24"/>
          <w:szCs w:val="24"/>
          <w:highlight w:val="none"/>
        </w:rPr>
        <w:t>报价未超过采购预算的供应商不足3家的</w:t>
      </w:r>
      <w:r>
        <w:rPr>
          <w:rFonts w:hint="eastAsia" w:ascii="宋体" w:hAnsi="宋体" w:eastAsia="宋体" w:cs="宋体"/>
          <w:color w:val="auto"/>
          <w:sz w:val="24"/>
          <w:szCs w:val="24"/>
          <w:highlight w:val="none"/>
        </w:rPr>
        <w:t>。</w:t>
      </w:r>
    </w:p>
    <w:p w14:paraId="0B285F55">
      <w:pPr>
        <w:pStyle w:val="3"/>
        <w:keepLines w:val="0"/>
        <w:shd w:val="clear" w:color="auto" w:fill="auto"/>
        <w:spacing w:before="240" w:after="240" w:line="360" w:lineRule="auto"/>
        <w:jc w:val="center"/>
        <w:rPr>
          <w:rFonts w:hint="eastAsia" w:ascii="宋体" w:hAnsi="宋体" w:eastAsia="宋体" w:cs="宋体"/>
          <w:b/>
          <w:color w:val="auto"/>
          <w:kern w:val="0"/>
          <w:sz w:val="24"/>
          <w:szCs w:val="24"/>
          <w:highlight w:val="none"/>
        </w:rPr>
      </w:pPr>
      <w:bookmarkStart w:id="178" w:name="_Toc1554"/>
      <w:bookmarkStart w:id="179" w:name="_Toc6291"/>
      <w:r>
        <w:rPr>
          <w:rFonts w:hint="eastAsia" w:ascii="宋体" w:hAnsi="宋体" w:eastAsia="宋体" w:cs="宋体"/>
          <w:b/>
          <w:color w:val="auto"/>
          <w:kern w:val="0"/>
          <w:sz w:val="24"/>
          <w:szCs w:val="24"/>
          <w:highlight w:val="none"/>
        </w:rPr>
        <w:t>六、成交结果</w:t>
      </w:r>
      <w:bookmarkEnd w:id="178"/>
      <w:bookmarkEnd w:id="179"/>
    </w:p>
    <w:p w14:paraId="57DEB0C1">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180" w:name="_Toc75418557"/>
      <w:bookmarkStart w:id="181" w:name="_Toc74169267"/>
      <w:bookmarkStart w:id="182" w:name="_Toc46924566"/>
      <w:bookmarkStart w:id="183" w:name="_Toc72489556"/>
      <w:r>
        <w:rPr>
          <w:rFonts w:hint="eastAsia" w:ascii="宋体" w:hAnsi="宋体" w:eastAsia="宋体" w:cs="宋体"/>
          <w:b/>
          <w:bCs/>
          <w:color w:val="auto"/>
          <w:sz w:val="24"/>
          <w:szCs w:val="24"/>
          <w:highlight w:val="none"/>
        </w:rPr>
        <w:t>24、成交供应商的确定</w:t>
      </w:r>
      <w:bookmarkEnd w:id="180"/>
      <w:bookmarkEnd w:id="181"/>
      <w:bookmarkEnd w:id="182"/>
      <w:bookmarkEnd w:id="183"/>
    </w:p>
    <w:p w14:paraId="033C14C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24.1采购代理机构在评审结束后2个工作日内将评审报告送采购人确认。</w:t>
      </w:r>
    </w:p>
    <w:p w14:paraId="187C24E9">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24.2采购人应当在收到评审报告后5个工作日内，从评审报告提出的成交候选供应商中，按照排序由高到低的原则确定成交供应商。本次竞争性磋商不保证授予最低报价的供应商为成交供应商。</w:t>
      </w:r>
    </w:p>
    <w:p w14:paraId="2689348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24.3采购代理机构无义务向未成交供应商解释未成交原因和退回响应文件。</w:t>
      </w:r>
    </w:p>
    <w:p w14:paraId="3BFC97AD">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184" w:name="_Toc497127308"/>
      <w:bookmarkStart w:id="185" w:name="_Toc112595555"/>
      <w:bookmarkStart w:id="186" w:name="_Toc320890573"/>
      <w:bookmarkStart w:id="187" w:name="_Toc72489557"/>
      <w:bookmarkStart w:id="188" w:name="_Toc74169268"/>
      <w:bookmarkStart w:id="189" w:name="_Toc75418558"/>
      <w:bookmarkStart w:id="190" w:name="_Toc46924567"/>
      <w:r>
        <w:rPr>
          <w:rFonts w:hint="eastAsia" w:ascii="宋体" w:hAnsi="宋体" w:eastAsia="宋体" w:cs="宋体"/>
          <w:b/>
          <w:bCs/>
          <w:color w:val="auto"/>
          <w:sz w:val="24"/>
          <w:szCs w:val="24"/>
          <w:highlight w:val="none"/>
        </w:rPr>
        <w:t>25、</w:t>
      </w:r>
      <w:bookmarkEnd w:id="184"/>
      <w:bookmarkEnd w:id="185"/>
      <w:bookmarkEnd w:id="186"/>
      <w:r>
        <w:rPr>
          <w:rFonts w:hint="eastAsia" w:ascii="宋体" w:hAnsi="宋体" w:eastAsia="宋体" w:cs="宋体"/>
          <w:b/>
          <w:bCs/>
          <w:color w:val="auto"/>
          <w:sz w:val="24"/>
          <w:szCs w:val="24"/>
          <w:highlight w:val="none"/>
        </w:rPr>
        <w:t>成交通知书</w:t>
      </w:r>
      <w:bookmarkEnd w:id="187"/>
      <w:bookmarkEnd w:id="188"/>
      <w:bookmarkEnd w:id="189"/>
      <w:bookmarkEnd w:id="190"/>
    </w:p>
    <w:p w14:paraId="21CE084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25.1成交供应商确定后2个工作日内，采购代理机构将在竞争性磋商公告发布的同一媒介公告成交结果，同时向成交供应商发出成交通知书。成交公告期限为1个工作日。</w:t>
      </w:r>
    </w:p>
    <w:p w14:paraId="24ABFA2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25.2成交通知书是合同的一个组成部分。</w:t>
      </w:r>
    </w:p>
    <w:p w14:paraId="090568DF">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191" w:name="_Toc74169269"/>
      <w:bookmarkStart w:id="192" w:name="_Toc75418559"/>
      <w:bookmarkStart w:id="193" w:name="_Toc72489558"/>
      <w:bookmarkStart w:id="194" w:name="_Toc46924568"/>
      <w:r>
        <w:rPr>
          <w:rFonts w:hint="eastAsia" w:ascii="宋体" w:hAnsi="宋体" w:eastAsia="宋体" w:cs="宋体"/>
          <w:b/>
          <w:bCs/>
          <w:color w:val="auto"/>
          <w:sz w:val="24"/>
          <w:szCs w:val="24"/>
          <w:highlight w:val="none"/>
        </w:rPr>
        <w:t>26、签订合同</w:t>
      </w:r>
      <w:bookmarkEnd w:id="191"/>
      <w:bookmarkEnd w:id="192"/>
      <w:bookmarkEnd w:id="193"/>
      <w:bookmarkEnd w:id="194"/>
    </w:p>
    <w:p w14:paraId="5D9D8AE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26.1采购人与成交供应商应当在成交通知书发出之日起30日内，按照磋商文件确定的合同文本以及采购标的、规格型号、采购金额、采购数量、技术和质量标准等事项签订政府采购合同。</w:t>
      </w:r>
    </w:p>
    <w:p w14:paraId="7D1A054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采购人不得向成交供应商提出超出磋商文件以外的任何要求作为签订合同的条件，不得与成交供应商订立背离磋商文件确定的合同文本以及采购标的、规格型号、采购金额、采购数量、技术和质量标准等实质性内容的协议。</w:t>
      </w:r>
    </w:p>
    <w:p w14:paraId="3DC9E2B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除采购人与成交供应商在合同中另行商定将中标项目的非主体、非关键性工作分包的，成交供应商在中标后将中标项目分包的，采购人取消其中标资格，其磋商保证金不予退还；给采购人造成的损失超过磋商保证金数额的，成交供应商还应当对超过部分予以赔偿。</w:t>
      </w:r>
    </w:p>
    <w:p w14:paraId="4DB1860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政府采购合同履行中，采购人需追加与合同标的相同的货物、工程或者服务的，在不改变合同其他条款的前提下，可以与成交供应商协商签订补充合同，但所有补充合同的采购金额不得超过原合同采购金额的10%。</w:t>
      </w:r>
    </w:p>
    <w:p w14:paraId="5C12096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26.5除不可抗力等因素外，成交通知书发出后，采购人改变成交结果，或者成交供应商拒绝签订政府采购合同的，应当承担相应的法律责任。</w:t>
      </w:r>
    </w:p>
    <w:p w14:paraId="47E28BE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26.6成交供应商拒绝签订政府采购合同的，采购人可以按照《政府采购竞争性磋商采购方式管理暂行办法》规定的原则确定其他供应商作为成交供应商并签订政府采购合同，也可以重新开展采购活动。拒绝签订政府采购合同的成交供应商不得参加对该项目重新开展的采购活动。</w:t>
      </w:r>
    </w:p>
    <w:p w14:paraId="1975B9F8">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195" w:name="_Toc296602459"/>
      <w:bookmarkStart w:id="196" w:name="_Toc246996213"/>
      <w:bookmarkStart w:id="197" w:name="_Toc179632587"/>
      <w:bookmarkStart w:id="198" w:name="_Toc488184244"/>
      <w:bookmarkStart w:id="199" w:name="_Toc152042345"/>
      <w:bookmarkStart w:id="200" w:name="_Toc144974537"/>
      <w:bookmarkStart w:id="201" w:name="_Toc246996956"/>
      <w:bookmarkStart w:id="202" w:name="_Toc461115644"/>
      <w:bookmarkStart w:id="203" w:name="_Toc152045569"/>
      <w:bookmarkStart w:id="204" w:name="_Toc247085727"/>
      <w:bookmarkStart w:id="205" w:name="_Toc46924569"/>
      <w:bookmarkStart w:id="206" w:name="_Toc75418560"/>
      <w:bookmarkStart w:id="207" w:name="_Toc74169270"/>
      <w:bookmarkStart w:id="208" w:name="_Toc72489559"/>
      <w:r>
        <w:rPr>
          <w:rFonts w:hint="eastAsia" w:ascii="宋体" w:hAnsi="宋体" w:eastAsia="宋体" w:cs="宋体"/>
          <w:b/>
          <w:bCs/>
          <w:color w:val="auto"/>
          <w:sz w:val="24"/>
          <w:szCs w:val="24"/>
          <w:highlight w:val="none"/>
        </w:rPr>
        <w:t>27、</w:t>
      </w:r>
      <w:bookmarkEnd w:id="195"/>
      <w:bookmarkEnd w:id="196"/>
      <w:bookmarkEnd w:id="197"/>
      <w:bookmarkEnd w:id="198"/>
      <w:bookmarkEnd w:id="199"/>
      <w:bookmarkEnd w:id="200"/>
      <w:bookmarkEnd w:id="201"/>
      <w:bookmarkEnd w:id="202"/>
      <w:bookmarkEnd w:id="203"/>
      <w:bookmarkEnd w:id="204"/>
      <w:bookmarkStart w:id="209" w:name="_Toc482343752"/>
      <w:r>
        <w:rPr>
          <w:rFonts w:hint="eastAsia" w:ascii="宋体" w:hAnsi="宋体" w:eastAsia="宋体" w:cs="宋体"/>
          <w:b/>
          <w:bCs/>
          <w:color w:val="auto"/>
          <w:sz w:val="24"/>
          <w:szCs w:val="24"/>
          <w:highlight w:val="none"/>
        </w:rPr>
        <w:t>履约保证金</w:t>
      </w:r>
      <w:bookmarkEnd w:id="205"/>
      <w:bookmarkEnd w:id="206"/>
      <w:bookmarkEnd w:id="207"/>
      <w:bookmarkEnd w:id="208"/>
      <w:bookmarkEnd w:id="209"/>
    </w:p>
    <w:p w14:paraId="11EE52F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27.1履约保证金递交的金额及形式详见《供应商须知前附表》。</w:t>
      </w:r>
    </w:p>
    <w:p w14:paraId="56E08EFD">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27.2签订合同后，除因不可抗力或磋商文件认可的情形以外，成交供应商不与采购人签订合同的，视为自动放弃，采购人将没收其全部履约保证金，履约保证金不足以赔偿损失的，按实际损失赔偿。</w:t>
      </w:r>
    </w:p>
    <w:p w14:paraId="216197D2">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210" w:name="_Toc46924570"/>
      <w:bookmarkStart w:id="211" w:name="_Toc74169271"/>
      <w:bookmarkStart w:id="212" w:name="_Toc75418561"/>
      <w:bookmarkStart w:id="213" w:name="_Toc72489560"/>
      <w:r>
        <w:rPr>
          <w:rFonts w:hint="eastAsia" w:ascii="宋体" w:hAnsi="宋体" w:eastAsia="宋体" w:cs="宋体"/>
          <w:b/>
          <w:bCs/>
          <w:color w:val="auto"/>
          <w:sz w:val="24"/>
          <w:szCs w:val="24"/>
          <w:highlight w:val="none"/>
        </w:rPr>
        <w:t>28、采购代理服务费</w:t>
      </w:r>
      <w:bookmarkEnd w:id="210"/>
      <w:bookmarkEnd w:id="211"/>
      <w:bookmarkEnd w:id="212"/>
      <w:bookmarkEnd w:id="213"/>
    </w:p>
    <w:p w14:paraId="557A574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w:t>
      </w:r>
      <w:r>
        <w:rPr>
          <w:rFonts w:hint="eastAsia" w:hAnsi="宋体" w:cs="宋体"/>
          <w:color w:val="auto"/>
          <w:sz w:val="24"/>
          <w:szCs w:val="24"/>
          <w:highlight w:val="none"/>
          <w:lang w:eastAsia="zh-CN"/>
        </w:rPr>
        <w:t>本项目的招标代理服务费，由中标单位在领取中标通知书前向招标代理机构一次性支付。（按照云南省建设工程招标投标行业协会云建招协【2023】51号《云南省建设工程招标代理服务收费指导意见（试行）》的通知文收取）</w:t>
      </w:r>
      <w:r>
        <w:rPr>
          <w:rFonts w:hint="eastAsia" w:ascii="宋体" w:hAnsi="宋体" w:eastAsia="宋体" w:cs="宋体"/>
          <w:color w:val="auto"/>
          <w:sz w:val="24"/>
          <w:szCs w:val="24"/>
          <w:highlight w:val="none"/>
        </w:rPr>
        <w:t>。</w:t>
      </w:r>
    </w:p>
    <w:p w14:paraId="4D2FA568">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214" w:name="_Toc72489561"/>
      <w:bookmarkStart w:id="215" w:name="_Toc75418562"/>
      <w:bookmarkStart w:id="216" w:name="_Toc46924571"/>
      <w:bookmarkStart w:id="217" w:name="_Toc74169272"/>
      <w:r>
        <w:rPr>
          <w:rFonts w:hint="eastAsia" w:ascii="宋体" w:hAnsi="宋体" w:eastAsia="宋体" w:cs="宋体"/>
          <w:b/>
          <w:bCs/>
          <w:color w:val="auto"/>
          <w:sz w:val="24"/>
          <w:szCs w:val="24"/>
          <w:highlight w:val="none"/>
        </w:rPr>
        <w:t>29、磋商文件编制依据</w:t>
      </w:r>
      <w:bookmarkEnd w:id="214"/>
      <w:bookmarkEnd w:id="215"/>
      <w:bookmarkEnd w:id="216"/>
      <w:bookmarkEnd w:id="217"/>
    </w:p>
    <w:p w14:paraId="19D799E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本竞争性磋商文件根据《中华人民共和国政府采购法》、《中华人民共和国政府采购法实施条例》、《政府采购竞争性磋商采购方式管理暂行办法》等有关法律、法规和规章进行编制，解释权属于采购人、采购代理机构。</w:t>
      </w:r>
    </w:p>
    <w:p w14:paraId="2CD37EBB">
      <w:pPr>
        <w:pStyle w:val="19"/>
        <w:keepLines w:val="0"/>
        <w:widowControl/>
        <w:shd w:val="clear" w:color="auto" w:fill="auto"/>
        <w:spacing w:line="360" w:lineRule="auto"/>
        <w:rPr>
          <w:rFonts w:hint="eastAsia" w:ascii="宋体" w:hAnsi="宋体" w:eastAsia="宋体" w:cs="宋体"/>
          <w:b/>
          <w:bCs/>
          <w:color w:val="auto"/>
          <w:sz w:val="24"/>
          <w:szCs w:val="24"/>
          <w:highlight w:val="none"/>
        </w:rPr>
      </w:pPr>
      <w:bookmarkStart w:id="218" w:name="_Toc75418563"/>
      <w:bookmarkStart w:id="219" w:name="_Toc74169273"/>
      <w:bookmarkStart w:id="220" w:name="_Toc46924572"/>
      <w:bookmarkStart w:id="221" w:name="_Toc72489562"/>
      <w:r>
        <w:rPr>
          <w:rFonts w:hint="eastAsia" w:ascii="宋体" w:hAnsi="宋体" w:eastAsia="宋体" w:cs="宋体"/>
          <w:b/>
          <w:bCs/>
          <w:color w:val="auto"/>
          <w:sz w:val="24"/>
          <w:szCs w:val="24"/>
          <w:highlight w:val="none"/>
        </w:rPr>
        <w:t>30、需要补充的其他内容</w:t>
      </w:r>
      <w:bookmarkEnd w:id="218"/>
      <w:bookmarkEnd w:id="219"/>
      <w:bookmarkEnd w:id="220"/>
      <w:bookmarkEnd w:id="221"/>
    </w:p>
    <w:p w14:paraId="1F22792C">
      <w:pPr>
        <w:shd w:val="clear" w:color="auto" w:fill="auto"/>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30.1关于中小企业：</w:t>
      </w:r>
    </w:p>
    <w:p w14:paraId="7BC9A914">
      <w:pPr>
        <w:shd w:val="clear" w:color="auto" w:fill="auto"/>
        <w:spacing w:line="360" w:lineRule="auto"/>
        <w:ind w:firstLine="480" w:firstLineChars="200"/>
        <w:rPr>
          <w:rFonts w:hint="eastAsia" w:ascii="宋体" w:hAnsi="宋体" w:eastAsia="宋体" w:cs="宋体"/>
          <w:color w:val="auto"/>
          <w:sz w:val="24"/>
          <w:szCs w:val="24"/>
          <w:highlight w:val="none"/>
        </w:rPr>
      </w:pPr>
      <w:bookmarkStart w:id="222" w:name="_Hlk110844332"/>
      <w:r>
        <w:rPr>
          <w:rFonts w:hint="eastAsia" w:ascii="宋体" w:hAnsi="宋体" w:eastAsia="宋体" w:cs="宋体"/>
          <w:color w:val="auto"/>
          <w:sz w:val="24"/>
          <w:szCs w:val="24"/>
          <w:highlight w:val="none"/>
        </w:rPr>
        <w:t>30.1.1根据财政部、工业和信息化部印发的《政府采购促进中小企业发展管理办法》（财库【2020】46号文）</w:t>
      </w:r>
      <w:bookmarkStart w:id="223" w:name="_Hlk110759534"/>
      <w:r>
        <w:rPr>
          <w:rFonts w:hint="eastAsia" w:ascii="宋体" w:hAnsi="宋体" w:eastAsia="宋体" w:cs="宋体"/>
          <w:color w:val="auto"/>
          <w:sz w:val="24"/>
          <w:szCs w:val="24"/>
          <w:highlight w:val="none"/>
        </w:rPr>
        <w:t>、《关于进一步加大政府采购支持中小企业力度的通知》（财库【2022】19号）</w:t>
      </w:r>
      <w:bookmarkEnd w:id="223"/>
      <w:r>
        <w:rPr>
          <w:rFonts w:hint="eastAsia" w:ascii="宋体" w:hAnsi="宋体" w:eastAsia="宋体" w:cs="宋体"/>
          <w:color w:val="auto"/>
          <w:sz w:val="24"/>
          <w:szCs w:val="24"/>
          <w:highlight w:val="none"/>
        </w:rPr>
        <w:t>的规定，在政府采购活动中，供应商提供的货物、工程或者服务符合下列情形的，享受中小企业扶持政策：</w:t>
      </w:r>
    </w:p>
    <w:p w14:paraId="6EB912E0">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（一）在货物采购项目中，货物由中小企业制造，即货物由中小企业生产且使用该中小企业商号或者注册商标；</w:t>
      </w:r>
    </w:p>
    <w:p w14:paraId="64FFB83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（二）在工程采购项目中，工程由中小企业承建，即工程施工单位为中小企业；</w:t>
      </w:r>
    </w:p>
    <w:p w14:paraId="3634D6B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（三）在服务采购项目中，服务由中小企业承接，即提供服务的人员为中小企业依照《中华人民共和国劳动合同法》订立劳动合同的从业人员。</w:t>
      </w:r>
    </w:p>
    <w:p w14:paraId="462410CC">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32906E4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7FF06C89">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30.1.2本办法所称中小企业，是指在中华人民共和国境内依法设立，依据国务院批准的中小企业划分标准【详见《关于印发中小企业划型标准规定的通知》（工信部联企业〔2011〕300号）】确定的中型企业、小型企业和微型企业，但与大企业的负责人为同一人，或者与大企业存在直接控股、管理关系的除外。</w:t>
      </w:r>
    </w:p>
    <w:p w14:paraId="279847FC">
      <w:pPr>
        <w:shd w:val="clear" w:color="auto" w:fill="auto"/>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30.1.3对于经主管预算单位统筹后未预留份额专门面向中小企业采购的采购项目，以及预留份额项目中的非预留部分采购包，</w:t>
      </w:r>
      <w:r>
        <w:rPr>
          <w:rFonts w:hint="eastAsia" w:ascii="宋体" w:hAnsi="宋体" w:eastAsia="宋体" w:cs="宋体"/>
          <w:b w:val="0"/>
          <w:bCs w:val="0"/>
          <w:color w:val="auto"/>
          <w:sz w:val="24"/>
          <w:szCs w:val="24"/>
          <w:highlight w:val="none"/>
        </w:rPr>
        <w:t>对符合规定的小微企业报价给予10%（工程项目为3%）的扣除，用扣除后的价格参加评审。</w:t>
      </w:r>
    </w:p>
    <w:p w14:paraId="536B99CC">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%（工程项目为1%）的扣除，用扣除后的价格参加评审。组成联合体或者接受分包的小微企业与联合体内其他企业、分包企业之间存在直接控股、管理关系的，不享受价格扣除优惠政策。</w:t>
      </w:r>
    </w:p>
    <w:p w14:paraId="566C84B5">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30.1.4中小企业参加政府采购活动，应当出具《中小企业声明函》，否则不得享受相关中小企业扶持政策。</w:t>
      </w:r>
    </w:p>
    <w:p w14:paraId="6B5684A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30.1.5按规定享受扶持政策获得政府采购合同的，小微企业不得将合同分包给大中型企业，中型企业不得将合同分包给大型企业。</w:t>
      </w:r>
      <w:bookmarkEnd w:id="222"/>
    </w:p>
    <w:p w14:paraId="79A74F3A">
      <w:pPr>
        <w:shd w:val="clear" w:color="auto" w:fill="auto"/>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30.2关于节能产品及环境标志产品：</w:t>
      </w:r>
    </w:p>
    <w:p w14:paraId="730B4F09">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30.2.1供应商根据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及“市场监管总局关于发布参与实施政府采购节能产品、环境标志产品认证机构名录的公告（2019年第16号）”，节能产品是指列入财政部和国家发改委公布的《节能产品政府采购品目清单》中的产品，政府强制采购节能产品是指“品目清单”中以“★”标注类别的产品。</w:t>
      </w:r>
    </w:p>
    <w:p w14:paraId="7DC5B9FB">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30.2.2投标产品属于财政部和国家发改委公布的当期《节能产品政府采购品目清单》中以“★”标注类别的节能产品，供应商需在响应文件中提供节能产品认证证书。</w:t>
      </w:r>
    </w:p>
    <w:p w14:paraId="4EEDE63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30.2.3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及“市场监管总局关于发布参与实施政府采购节能产品、环境标志产品认证机构名录的公告（2019年第16号）”可通过中国政府采购网（http://www.ccgp.gov.cn/）查阅、下载。</w:t>
      </w:r>
    </w:p>
    <w:p w14:paraId="0ED5CF7F">
      <w:pPr>
        <w:shd w:val="clear" w:color="auto" w:fill="auto"/>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30.3关于监狱企业：</w:t>
      </w:r>
    </w:p>
    <w:p w14:paraId="2BAE4C8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A5DFAB">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30.3.2监狱企业参加政府采购活动时，应当提供由省级以上监狱管理局、戒毒管理局（含新疆生产建设兵团）出具的属于监狱企业的证明文件。</w:t>
      </w:r>
    </w:p>
    <w:p w14:paraId="20253F3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30.3.3在政府采购活动中，监狱企业视同小型、微型企业，享受预留份额、评审中价格扣除等政府采购促进中小企业发展的政府采购政策。</w:t>
      </w:r>
    </w:p>
    <w:p w14:paraId="400A757A">
      <w:pPr>
        <w:shd w:val="clear" w:color="auto" w:fill="auto"/>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30.4关于残疾人福利性单位：</w:t>
      </w:r>
    </w:p>
    <w:p w14:paraId="4B00B17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.4.1根据《关于促进残疾人就业政府采购政策的通知》（财库〔2017〕141号）的规定，享受政府采购支持政策的残疾人福利性单位应当同时满足以下条件：</w:t>
      </w:r>
    </w:p>
    <w:p w14:paraId="1747F28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（一）安置的残疾人占本单位在职职工人数的比例不低于25%（含25%），并且安置的残疾人人数不少于10人（含10人）；</w:t>
      </w:r>
    </w:p>
    <w:p w14:paraId="665D0D4B">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（二）依法与安置的每位残疾人签订了一年以上（含一年）的劳动合同或服务协议；</w:t>
      </w:r>
    </w:p>
    <w:p w14:paraId="58BDDB2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（三）为安置的每位残疾人按月足额缴纳了基本养老保险、基本医疗保险、失业保险、工伤保险和生育保险等社会保险费；</w:t>
      </w:r>
    </w:p>
    <w:p w14:paraId="0AB075B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（四）通过银行等金融机构向安置的每位残疾人，按月支付了不低于单位所在区县适用的经省级人民政府批准的月最低工资标准的工资；</w:t>
      </w:r>
    </w:p>
    <w:p w14:paraId="3010E019">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（五）提供本单位制造的货物、承担的工程或者服务（以下简称产品），或者提供其他残疾人福利性单位制造的货物（不包括使用非残疾人福利性单位注册商标的货物）。</w:t>
      </w:r>
    </w:p>
    <w:p w14:paraId="088A083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BFB3B2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30.4.2符合条件的残疾人福利性单位在参加政府采购活动时，应当按《关于促进残疾人就业政府采购政策的通知》（财库〔2017〕141号）提供规定的《残疾人福利性单位声明函》，并对声明的真实性负责。</w:t>
      </w:r>
    </w:p>
    <w:p w14:paraId="689C371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30.4.4 根据《中华人民共和国政府采购法》、《中华人民共和国政府采购法实施条例》、《政府采购货物和服务招标投标管理办法》(财政部令第87号)的规定，采购人应当在货物服务招标投标活动中落实节约能源、保护环境、扶持不发达地区和少数民族地区、促进中小企业发展等政府采购政策。</w:t>
      </w:r>
      <w:bookmarkStart w:id="224" w:name="_Toc75418564"/>
      <w:bookmarkStart w:id="225" w:name="_Toc74169274"/>
      <w:bookmarkStart w:id="226" w:name="_Toc46924573"/>
      <w:bookmarkStart w:id="227" w:name="_Toc72489563"/>
    </w:p>
    <w:p w14:paraId="35DAE6AD">
      <w:pPr>
        <w:pStyle w:val="19"/>
        <w:keepLines w:val="0"/>
        <w:widowControl/>
        <w:shd w:val="clear" w:color="auto" w:fill="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★31、其它内容</w:t>
      </w:r>
      <w:bookmarkEnd w:id="224"/>
      <w:bookmarkEnd w:id="225"/>
      <w:bookmarkEnd w:id="226"/>
      <w:bookmarkEnd w:id="227"/>
    </w:p>
    <w:p w14:paraId="63A1D95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在政府采购活动中查询及使用信用记录有关问题的通知》（财库〔2016〕125号）相关要求，采购人或者采购代理机构对信用记录进行核实，对列入失信被执行人、严重失信主体名单、经营异常名录信息、重大税收违法失信主体、政府采购严重违法失信行为记录名单、严重违法失信企业名单（黑名单）信息及其他不符合《中华人民共和国政府采购法》第二十二条规定条件的供应商，拒绝其参与政府采购活动。</w:t>
      </w:r>
      <w:bookmarkStart w:id="228" w:name="_Toc23419"/>
      <w:bookmarkStart w:id="229" w:name="_Toc6092"/>
    </w:p>
    <w:p w14:paraId="6AB9443A">
      <w:pPr>
        <w:pStyle w:val="2"/>
        <w:widowControl/>
        <w:shd w:val="clear" w:color="auto" w:fill="auto"/>
        <w:spacing w:before="240" w:after="240" w:line="312" w:lineRule="auto"/>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br w:type="page"/>
      </w:r>
      <w:r>
        <w:rPr>
          <w:rFonts w:hint="eastAsia" w:ascii="宋体" w:hAnsi="宋体" w:eastAsia="宋体" w:cs="宋体"/>
          <w:color w:val="auto"/>
          <w:sz w:val="36"/>
          <w:szCs w:val="36"/>
          <w:highlight w:val="none"/>
          <w:lang w:val="zh-CN"/>
        </w:rPr>
        <w:t>第三章  合同书样式及主要条款</w:t>
      </w:r>
      <w:bookmarkEnd w:id="228"/>
      <w:bookmarkEnd w:id="229"/>
    </w:p>
    <w:p w14:paraId="43AADB32">
      <w:pPr>
        <w:pStyle w:val="3"/>
        <w:shd w:val="clear" w:color="auto" w:fill="auto"/>
        <w:spacing w:before="0" w:after="120" w:line="360" w:lineRule="auto"/>
        <w:jc w:val="center"/>
        <w:rPr>
          <w:rFonts w:hint="eastAsia" w:ascii="宋体" w:hAnsi="宋体" w:eastAsia="宋体" w:cs="宋体"/>
          <w:b/>
          <w:color w:val="auto"/>
          <w:sz w:val="28"/>
          <w:szCs w:val="28"/>
          <w:highlight w:val="none"/>
          <w:lang w:val="en-US"/>
        </w:rPr>
      </w:pPr>
      <w:bookmarkStart w:id="230" w:name="_Toc125054716"/>
      <w:bookmarkStart w:id="231" w:name="_Toc26926"/>
      <w:bookmarkStart w:id="232" w:name="_Toc114587100"/>
      <w:bookmarkStart w:id="233" w:name="_Toc3716"/>
      <w:bookmarkStart w:id="234" w:name="_Toc164624909"/>
      <w:bookmarkStart w:id="235" w:name="_Hlk122611506"/>
      <w:r>
        <w:rPr>
          <w:rFonts w:hint="eastAsia" w:ascii="宋体" w:hAnsi="宋体" w:eastAsia="宋体" w:cs="宋体"/>
          <w:b/>
          <w:color w:val="auto"/>
          <w:sz w:val="28"/>
          <w:szCs w:val="28"/>
          <w:highlight w:val="none"/>
          <w:lang w:val="en-US"/>
        </w:rPr>
        <w:t>合同条款前附表</w:t>
      </w:r>
      <w:bookmarkEnd w:id="230"/>
      <w:bookmarkEnd w:id="231"/>
      <w:bookmarkEnd w:id="232"/>
      <w:bookmarkEnd w:id="233"/>
      <w:bookmarkEnd w:id="23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970"/>
        <w:gridCol w:w="5849"/>
      </w:tblGrid>
      <w:tr w14:paraId="1B52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2" w:type="dxa"/>
            <w:tcBorders>
              <w:bottom w:val="single" w:color="auto" w:sz="4" w:space="0"/>
            </w:tcBorders>
            <w:noWrap w:val="0"/>
            <w:vAlign w:val="center"/>
          </w:tcPr>
          <w:p w14:paraId="15778F83">
            <w:pPr>
              <w:shd w:val="clear" w:color="auto" w:fill="auto"/>
              <w:adjustRightInd/>
              <w:snapToGrid/>
              <w:spacing w:line="360" w:lineRule="auto"/>
              <w:ind w:firstLine="0" w:firstLineChars="0"/>
              <w:jc w:val="center"/>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序号</w:t>
            </w:r>
          </w:p>
        </w:tc>
        <w:tc>
          <w:tcPr>
            <w:tcW w:w="1970" w:type="dxa"/>
            <w:tcBorders>
              <w:bottom w:val="single" w:color="auto" w:sz="4" w:space="0"/>
            </w:tcBorders>
            <w:noWrap w:val="0"/>
            <w:vAlign w:val="center"/>
          </w:tcPr>
          <w:p w14:paraId="53080BAD">
            <w:pPr>
              <w:shd w:val="clear" w:color="auto" w:fill="auto"/>
              <w:adjustRightInd/>
              <w:snapToGrid/>
              <w:spacing w:line="360" w:lineRule="auto"/>
              <w:ind w:firstLine="0" w:firstLineChars="0"/>
              <w:jc w:val="center"/>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内   容</w:t>
            </w:r>
          </w:p>
        </w:tc>
        <w:tc>
          <w:tcPr>
            <w:tcW w:w="5849" w:type="dxa"/>
            <w:tcBorders>
              <w:bottom w:val="single" w:color="auto" w:sz="4" w:space="0"/>
            </w:tcBorders>
            <w:noWrap w:val="0"/>
            <w:vAlign w:val="center"/>
          </w:tcPr>
          <w:p w14:paraId="0B3671E3">
            <w:pPr>
              <w:shd w:val="clear" w:color="auto" w:fill="auto"/>
              <w:adjustRightInd/>
              <w:snapToGrid/>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   求</w:t>
            </w:r>
          </w:p>
        </w:tc>
      </w:tr>
      <w:tr w14:paraId="1F50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2" w:type="dxa"/>
            <w:tcBorders>
              <w:top w:val="single" w:color="auto" w:sz="4" w:space="0"/>
              <w:left w:val="single" w:color="auto" w:sz="4" w:space="0"/>
              <w:bottom w:val="single" w:color="auto" w:sz="4" w:space="0"/>
              <w:right w:val="single" w:color="auto" w:sz="4" w:space="0"/>
            </w:tcBorders>
            <w:noWrap w:val="0"/>
            <w:vAlign w:val="center"/>
          </w:tcPr>
          <w:p w14:paraId="22BA657D">
            <w:pPr>
              <w:shd w:val="clear" w:color="auto" w:fill="auto"/>
              <w:adjustRightInd/>
              <w:snapToGrid/>
              <w:spacing w:line="360" w:lineRule="auto"/>
              <w:ind w:firstLine="0" w:firstLineChars="0"/>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w:t>
            </w:r>
          </w:p>
        </w:tc>
        <w:tc>
          <w:tcPr>
            <w:tcW w:w="1970" w:type="dxa"/>
            <w:tcBorders>
              <w:top w:val="single" w:color="auto" w:sz="4" w:space="0"/>
              <w:left w:val="single" w:color="auto" w:sz="4" w:space="0"/>
              <w:bottom w:val="single" w:color="auto" w:sz="4" w:space="0"/>
            </w:tcBorders>
            <w:noWrap w:val="0"/>
            <w:vAlign w:val="center"/>
          </w:tcPr>
          <w:p w14:paraId="7503C1EE">
            <w:pPr>
              <w:shd w:val="clear" w:color="auto" w:fill="auto"/>
              <w:adjustRightInd/>
              <w:snapToGrid/>
              <w:spacing w:line="360" w:lineRule="auto"/>
              <w:ind w:firstLine="0" w:firstLineChars="0"/>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项目实施地点</w:t>
            </w:r>
          </w:p>
        </w:tc>
        <w:tc>
          <w:tcPr>
            <w:tcW w:w="5849" w:type="dxa"/>
            <w:tcBorders>
              <w:top w:val="single" w:color="auto" w:sz="4" w:space="0"/>
              <w:left w:val="single" w:color="auto" w:sz="4" w:space="0"/>
              <w:bottom w:val="single" w:color="auto" w:sz="4" w:space="0"/>
            </w:tcBorders>
            <w:noWrap w:val="0"/>
            <w:vAlign w:val="center"/>
          </w:tcPr>
          <w:p w14:paraId="5645381E">
            <w:pPr>
              <w:shd w:val="clear" w:color="auto" w:fill="auto"/>
              <w:adjustRightInd w:val="0"/>
              <w:snapToGrid w:val="0"/>
              <w:spacing w:before="93" w:beforeLines="30" w:line="360" w:lineRule="auto"/>
              <w:jc w:val="both"/>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丽江市古城区开南街道贵峰社区</w:t>
            </w:r>
          </w:p>
        </w:tc>
      </w:tr>
      <w:tr w14:paraId="5677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2" w:type="dxa"/>
            <w:tcBorders>
              <w:top w:val="single" w:color="auto" w:sz="4" w:space="0"/>
            </w:tcBorders>
            <w:noWrap w:val="0"/>
            <w:vAlign w:val="center"/>
          </w:tcPr>
          <w:p w14:paraId="07CDC35D">
            <w:pPr>
              <w:shd w:val="clear" w:color="auto" w:fill="auto"/>
              <w:adjustRightInd/>
              <w:snapToGrid/>
              <w:spacing w:line="360" w:lineRule="auto"/>
              <w:ind w:firstLine="0" w:firstLineChars="0"/>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w:t>
            </w:r>
          </w:p>
        </w:tc>
        <w:tc>
          <w:tcPr>
            <w:tcW w:w="1970" w:type="dxa"/>
            <w:tcBorders>
              <w:top w:val="single" w:color="auto" w:sz="4" w:space="0"/>
            </w:tcBorders>
            <w:noWrap w:val="0"/>
            <w:vAlign w:val="center"/>
          </w:tcPr>
          <w:p w14:paraId="2C132F27">
            <w:pPr>
              <w:shd w:val="clear" w:color="auto" w:fill="auto"/>
              <w:adjustRightInd/>
              <w:snapToGrid/>
              <w:spacing w:line="360" w:lineRule="auto"/>
              <w:ind w:firstLine="0" w:firstLineChars="0"/>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合同履行期限</w:t>
            </w:r>
          </w:p>
        </w:tc>
        <w:tc>
          <w:tcPr>
            <w:tcW w:w="5849" w:type="dxa"/>
            <w:tcBorders>
              <w:top w:val="single" w:color="auto" w:sz="4" w:space="0"/>
            </w:tcBorders>
            <w:noWrap w:val="0"/>
            <w:vAlign w:val="center"/>
          </w:tcPr>
          <w:p w14:paraId="2949CB11">
            <w:pPr>
              <w:shd w:val="clear" w:color="auto" w:fill="auto"/>
              <w:adjustRightInd w:val="0"/>
              <w:snapToGrid w:val="0"/>
              <w:spacing w:before="93" w:beforeLines="30" w:line="360" w:lineRule="auto"/>
              <w:jc w:val="both"/>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自合同签订生效之日起60日历天完成。</w:t>
            </w:r>
          </w:p>
        </w:tc>
      </w:tr>
      <w:tr w14:paraId="2E10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2" w:type="dxa"/>
            <w:tcBorders>
              <w:top w:val="single" w:color="auto" w:sz="4" w:space="0"/>
            </w:tcBorders>
            <w:noWrap w:val="0"/>
            <w:vAlign w:val="center"/>
          </w:tcPr>
          <w:p w14:paraId="3A9561C6">
            <w:pPr>
              <w:shd w:val="clear" w:color="auto" w:fill="auto"/>
              <w:adjustRightInd/>
              <w:snapToGrid/>
              <w:spacing w:line="360" w:lineRule="auto"/>
              <w:ind w:firstLine="0" w:firstLineChars="0"/>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p>
        </w:tc>
        <w:tc>
          <w:tcPr>
            <w:tcW w:w="1970" w:type="dxa"/>
            <w:tcBorders>
              <w:top w:val="single" w:color="auto" w:sz="4" w:space="0"/>
            </w:tcBorders>
            <w:noWrap w:val="0"/>
            <w:vAlign w:val="center"/>
          </w:tcPr>
          <w:p w14:paraId="138A5B58">
            <w:pPr>
              <w:shd w:val="clear" w:color="auto" w:fill="auto"/>
              <w:adjustRightInd/>
              <w:snapToGrid/>
              <w:spacing w:line="360" w:lineRule="auto"/>
              <w:ind w:firstLine="0" w:firstLineChars="0"/>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质量标准</w:t>
            </w:r>
          </w:p>
        </w:tc>
        <w:tc>
          <w:tcPr>
            <w:tcW w:w="5849" w:type="dxa"/>
            <w:tcBorders>
              <w:top w:val="single" w:color="auto" w:sz="4" w:space="0"/>
            </w:tcBorders>
            <w:noWrap w:val="0"/>
            <w:vAlign w:val="center"/>
          </w:tcPr>
          <w:p w14:paraId="15A4EE9C">
            <w:pPr>
              <w:pStyle w:val="18"/>
              <w:pageBreakBefore w:val="0"/>
              <w:shd w:val="clear" w:color="auto" w:fill="auto"/>
              <w:kinsoku/>
              <w:wordWrap/>
              <w:overflowPunct/>
              <w:topLinePunct w:val="0"/>
              <w:autoSpaceDE/>
              <w:autoSpaceDN/>
              <w:bidi w:val="0"/>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符合《建筑工程施工质量验收统一标准》（GB 50300-2013）、《建筑与市政工程施工质量控制通用规范》（GB 55032-2022）及国家、地方、行业现行的相关质量验收标准及规范的要求，且一次性验收合格。</w:t>
            </w:r>
          </w:p>
          <w:p w14:paraId="66052860">
            <w:pPr>
              <w:pStyle w:val="18"/>
              <w:pageBreakBefore w:val="0"/>
              <w:shd w:val="clear" w:color="auto" w:fill="auto"/>
              <w:kinsoku/>
              <w:wordWrap/>
              <w:overflowPunct/>
              <w:topLinePunct w:val="0"/>
              <w:autoSpaceDE/>
              <w:autoSpaceDN/>
              <w:bidi w:val="0"/>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注：在项目实施过程中如有相关规范及标准调整，按最新的规范及标准执行。</w:t>
            </w:r>
          </w:p>
        </w:tc>
      </w:tr>
      <w:tr w14:paraId="40A6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2" w:type="dxa"/>
            <w:tcBorders>
              <w:top w:val="single" w:color="auto" w:sz="4" w:space="0"/>
            </w:tcBorders>
            <w:noWrap w:val="0"/>
            <w:vAlign w:val="center"/>
          </w:tcPr>
          <w:p w14:paraId="591CC099">
            <w:pPr>
              <w:shd w:val="clear" w:color="auto" w:fill="auto"/>
              <w:adjustRightInd/>
              <w:snapToGrid/>
              <w:spacing w:line="360" w:lineRule="auto"/>
              <w:ind w:firstLine="0" w:firstLineChars="0"/>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w:t>
            </w:r>
          </w:p>
        </w:tc>
        <w:tc>
          <w:tcPr>
            <w:tcW w:w="1970" w:type="dxa"/>
            <w:tcBorders>
              <w:top w:val="single" w:color="auto" w:sz="4" w:space="0"/>
            </w:tcBorders>
            <w:noWrap w:val="0"/>
            <w:vAlign w:val="center"/>
          </w:tcPr>
          <w:p w14:paraId="5061C166">
            <w:pPr>
              <w:shd w:val="clear" w:color="auto" w:fill="auto"/>
              <w:adjustRightInd/>
              <w:snapToGrid/>
              <w:spacing w:line="360" w:lineRule="auto"/>
              <w:ind w:firstLine="0" w:firstLineChars="0"/>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履约保证金</w:t>
            </w:r>
          </w:p>
        </w:tc>
        <w:tc>
          <w:tcPr>
            <w:tcW w:w="5849" w:type="dxa"/>
            <w:tcBorders>
              <w:top w:val="single" w:color="auto" w:sz="4" w:space="0"/>
            </w:tcBorders>
            <w:noWrap w:val="0"/>
            <w:vAlign w:val="center"/>
          </w:tcPr>
          <w:p w14:paraId="6690DA26">
            <w:pPr>
              <w:shd w:val="clear" w:color="auto" w:fill="auto"/>
              <w:adjustRightInd w:val="0"/>
              <w:snapToGrid w:val="0"/>
              <w:spacing w:before="93" w:beforeLines="30" w:line="360" w:lineRule="auto"/>
              <w:jc w:val="both"/>
              <w:rPr>
                <w:rFonts w:hint="eastAsia" w:hAnsi="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履约保证金的形式：银行转账、支票转账或银行保函或保证保险</w:t>
            </w:r>
          </w:p>
          <w:p w14:paraId="12ECE9C0">
            <w:pPr>
              <w:shd w:val="clear" w:color="auto" w:fill="auto"/>
              <w:adjustRightInd w:val="0"/>
              <w:snapToGrid w:val="0"/>
              <w:spacing w:before="93" w:beforeLines="30" w:line="360" w:lineRule="auto"/>
              <w:jc w:val="both"/>
              <w:rPr>
                <w:rFonts w:hint="eastAsia" w:hAnsi="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履约保证金的金额：合同总价款的5%，最终以签订的合同约定为准。</w:t>
            </w:r>
          </w:p>
          <w:p w14:paraId="51D7A450">
            <w:pPr>
              <w:shd w:val="clear" w:color="auto" w:fill="auto"/>
              <w:adjustRightInd w:val="0"/>
              <w:snapToGrid w:val="0"/>
              <w:spacing w:before="93" w:beforeLines="30" w:line="360" w:lineRule="auto"/>
              <w:jc w:val="both"/>
              <w:rPr>
                <w:rFonts w:hint="eastAsia" w:ascii="宋体" w:hAnsi="宋体" w:eastAsia="宋体" w:cs="宋体"/>
                <w:color w:val="auto"/>
                <w:sz w:val="24"/>
                <w:szCs w:val="24"/>
                <w:highlight w:val="none"/>
              </w:rPr>
            </w:pPr>
            <w:r>
              <w:rPr>
                <w:rFonts w:hint="eastAsia" w:hAnsi="宋体" w:cs="宋体"/>
                <w:color w:val="auto"/>
                <w:sz w:val="24"/>
                <w:szCs w:val="24"/>
                <w:highlight w:val="none"/>
                <w:u w:val="none"/>
                <w:lang w:val="en-US" w:eastAsia="zh-CN"/>
              </w:rPr>
              <w:t>成交人应当向采购人提交履约保证金，履约保证金不得超过成交合同金额的5%-10%。</w:t>
            </w:r>
          </w:p>
        </w:tc>
      </w:tr>
      <w:tr w14:paraId="0464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2" w:type="dxa"/>
            <w:noWrap w:val="0"/>
            <w:vAlign w:val="center"/>
          </w:tcPr>
          <w:p w14:paraId="0A757C56">
            <w:pPr>
              <w:shd w:val="clear" w:color="auto" w:fill="auto"/>
              <w:adjustRightInd/>
              <w:snapToGrid/>
              <w:spacing w:line="360" w:lineRule="auto"/>
              <w:ind w:firstLine="0" w:firstLineChars="0"/>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w:t>
            </w:r>
          </w:p>
        </w:tc>
        <w:tc>
          <w:tcPr>
            <w:tcW w:w="1970" w:type="dxa"/>
            <w:noWrap w:val="0"/>
            <w:vAlign w:val="center"/>
          </w:tcPr>
          <w:p w14:paraId="7E1B0CF8">
            <w:pPr>
              <w:shd w:val="clear" w:color="auto" w:fill="auto"/>
              <w:adjustRightInd/>
              <w:snapToGrid/>
              <w:spacing w:line="360" w:lineRule="auto"/>
              <w:ind w:firstLine="0" w:firstLineChars="0"/>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付款方式</w:t>
            </w:r>
          </w:p>
        </w:tc>
        <w:tc>
          <w:tcPr>
            <w:tcW w:w="5849" w:type="dxa"/>
            <w:noWrap w:val="0"/>
            <w:vAlign w:val="center"/>
          </w:tcPr>
          <w:p w14:paraId="28AF92F3">
            <w:pPr>
              <w:shd w:val="clear" w:color="auto" w:fill="auto"/>
              <w:adjustRightInd/>
              <w:snapToGrid/>
              <w:spacing w:line="360" w:lineRule="auto"/>
              <w:ind w:firstLine="0" w:firstLineChars="0"/>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合同签订后支付</w:t>
            </w:r>
            <w:r>
              <w:rPr>
                <w:rFonts w:hint="eastAsia" w:ascii="宋体" w:hAnsi="宋体" w:eastAsia="宋体" w:cs="宋体"/>
                <w:color w:val="auto"/>
                <w:kern w:val="0"/>
                <w:sz w:val="24"/>
                <w:szCs w:val="24"/>
                <w:highlight w:val="none"/>
              </w:rPr>
              <w:t>签约</w:t>
            </w:r>
            <w:r>
              <w:rPr>
                <w:rFonts w:hint="eastAsia" w:ascii="宋体" w:hAnsi="宋体" w:eastAsia="宋体" w:cs="宋体"/>
                <w:color w:val="auto"/>
                <w:kern w:val="0"/>
                <w:sz w:val="24"/>
                <w:szCs w:val="24"/>
                <w:highlight w:val="none"/>
                <w:lang w:val="en-US" w:eastAsia="zh-CN"/>
              </w:rPr>
              <w:t>合同款的30%，作为预付款；工程进度达到50%，支付</w:t>
            </w:r>
            <w:r>
              <w:rPr>
                <w:rFonts w:hint="eastAsia" w:ascii="宋体" w:hAnsi="宋体" w:eastAsia="宋体" w:cs="宋体"/>
                <w:color w:val="auto"/>
                <w:kern w:val="0"/>
                <w:sz w:val="24"/>
                <w:szCs w:val="24"/>
                <w:highlight w:val="none"/>
              </w:rPr>
              <w:t>签约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暂估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合同款的</w:t>
            </w:r>
            <w:r>
              <w:rPr>
                <w:rFonts w:hint="eastAsia" w:hAnsi="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lang w:val="en-US" w:eastAsia="zh-CN"/>
              </w:rPr>
              <w:t>%；工程</w:t>
            </w:r>
            <w:r>
              <w:rPr>
                <w:rFonts w:hint="eastAsia" w:hAnsi="宋体" w:cs="宋体"/>
                <w:color w:val="auto"/>
                <w:kern w:val="0"/>
                <w:sz w:val="24"/>
                <w:szCs w:val="24"/>
                <w:highlight w:val="none"/>
                <w:lang w:val="en-US" w:eastAsia="zh-CN"/>
              </w:rPr>
              <w:t>竣工验收合格、结算完成后，付清剩余30%的尾款。</w:t>
            </w:r>
          </w:p>
        </w:tc>
      </w:tr>
      <w:tr w14:paraId="5341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2" w:type="dxa"/>
            <w:noWrap w:val="0"/>
            <w:vAlign w:val="center"/>
          </w:tcPr>
          <w:p w14:paraId="377D9223">
            <w:pPr>
              <w:shd w:val="clear" w:color="auto" w:fill="auto"/>
              <w:adjustRightInd/>
              <w:snapToGrid/>
              <w:spacing w:line="360" w:lineRule="auto"/>
              <w:ind w:firstLine="0" w:firstLineChars="0"/>
              <w:jc w:val="center"/>
              <w:rPr>
                <w:rFonts w:hint="default"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6</w:t>
            </w:r>
          </w:p>
        </w:tc>
        <w:tc>
          <w:tcPr>
            <w:tcW w:w="1970" w:type="dxa"/>
            <w:noWrap w:val="0"/>
            <w:vAlign w:val="center"/>
          </w:tcPr>
          <w:p w14:paraId="26E7DF02">
            <w:pPr>
              <w:shd w:val="clear" w:color="auto" w:fill="auto"/>
              <w:adjustRightInd/>
              <w:snapToGrid/>
              <w:spacing w:line="360" w:lineRule="auto"/>
              <w:ind w:firstLine="0" w:firstLineChars="0"/>
              <w:jc w:val="center"/>
              <w:rPr>
                <w:rFonts w:hint="default"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其他</w:t>
            </w:r>
          </w:p>
        </w:tc>
        <w:tc>
          <w:tcPr>
            <w:tcW w:w="5849" w:type="dxa"/>
            <w:noWrap w:val="0"/>
            <w:vAlign w:val="center"/>
          </w:tcPr>
          <w:p w14:paraId="75421B67">
            <w:pPr>
              <w:shd w:val="clear" w:color="auto" w:fill="auto"/>
              <w:adjustRightInd/>
              <w:snapToGrid/>
              <w:spacing w:line="360" w:lineRule="auto"/>
              <w:ind w:firstLine="0" w:firstLineChars="0"/>
              <w:jc w:val="both"/>
              <w:rPr>
                <w:rFonts w:hint="eastAsia" w:hAnsi="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未尽事宜以合同谈判时双方商定为准。</w:t>
            </w:r>
          </w:p>
        </w:tc>
      </w:tr>
    </w:tbl>
    <w:p w14:paraId="393D61A0">
      <w:pPr>
        <w:shd w:val="clear" w:color="auto" w:fill="auto"/>
        <w:spacing w:line="360" w:lineRule="auto"/>
        <w:jc w:val="center"/>
        <w:rPr>
          <w:rFonts w:hint="eastAsia" w:ascii="宋体" w:hAnsi="宋体" w:eastAsia="宋体" w:cs="宋体"/>
          <w:b/>
          <w:color w:val="auto"/>
          <w:szCs w:val="21"/>
          <w:highlight w:val="none"/>
        </w:rPr>
      </w:pPr>
    </w:p>
    <w:p w14:paraId="155FEAF9">
      <w:pPr>
        <w:shd w:val="clear" w:color="auto" w:fill="auto"/>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bookmarkEnd w:id="235"/>
    <w:tbl>
      <w:tblPr>
        <w:tblStyle w:val="14"/>
        <w:tblW w:w="9750" w:type="dxa"/>
        <w:jc w:val="center"/>
        <w:tblLayout w:type="fixed"/>
        <w:tblCellMar>
          <w:top w:w="0" w:type="dxa"/>
          <w:left w:w="0" w:type="dxa"/>
          <w:bottom w:w="0" w:type="dxa"/>
          <w:right w:w="0" w:type="dxa"/>
        </w:tblCellMar>
      </w:tblPr>
      <w:tblGrid>
        <w:gridCol w:w="9750"/>
      </w:tblGrid>
      <w:tr w14:paraId="6938DFF5">
        <w:tblPrEx>
          <w:tblCellMar>
            <w:top w:w="0" w:type="dxa"/>
            <w:left w:w="0" w:type="dxa"/>
            <w:bottom w:w="0" w:type="dxa"/>
            <w:right w:w="0" w:type="dxa"/>
          </w:tblCellMar>
        </w:tblPrEx>
        <w:trPr>
          <w:jc w:val="center"/>
        </w:trPr>
        <w:tc>
          <w:tcPr>
            <w:tcW w:w="9750" w:type="dxa"/>
            <w:noWrap w:val="0"/>
            <w:vAlign w:val="center"/>
          </w:tcPr>
          <w:p w14:paraId="31163D82">
            <w:pPr>
              <w:pStyle w:val="8"/>
              <w:shd w:val="clear" w:color="auto" w:fill="auto"/>
              <w:autoSpaceDE w:val="0"/>
              <w:autoSpaceDN w:val="0"/>
              <w:adjustRightInd w:val="0"/>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合同编号：                         合同自编号：</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w:t>
            </w:r>
          </w:p>
        </w:tc>
      </w:tr>
    </w:tbl>
    <w:p w14:paraId="1BF89DE8">
      <w:pPr>
        <w:shd w:val="clear" w:color="auto" w:fill="auto"/>
        <w:spacing w:after="240"/>
        <w:jc w:val="center"/>
        <w:rPr>
          <w:rFonts w:hint="eastAsia" w:ascii="宋体" w:hAnsi="宋体" w:eastAsia="宋体" w:cs="宋体"/>
          <w:color w:val="auto"/>
          <w:highlight w:val="none"/>
        </w:rPr>
      </w:pPr>
    </w:p>
    <w:p w14:paraId="447C6815">
      <w:pPr>
        <w:shd w:val="clear" w:color="auto" w:fill="auto"/>
        <w:spacing w:after="240"/>
        <w:rPr>
          <w:rFonts w:hint="eastAsia" w:ascii="宋体" w:hAnsi="宋体" w:eastAsia="宋体" w:cs="宋体"/>
          <w:color w:val="auto"/>
          <w:sz w:val="18"/>
          <w:szCs w:val="18"/>
          <w:highlight w:val="none"/>
          <w:lang w:eastAsia="zh-CN"/>
        </w:rPr>
      </w:pPr>
      <w:r>
        <w:rPr>
          <w:rFonts w:hint="eastAsia" w:ascii="宋体" w:hAnsi="宋体" w:eastAsia="宋体" w:cs="宋体"/>
          <w:color w:val="auto"/>
          <w:highlight w:val="none"/>
        </w:rPr>
        <w:t>●本合同须加盖甲乙双方骑缝章有效</w:t>
      </w:r>
    </w:p>
    <w:p w14:paraId="084FB8CB">
      <w:pPr>
        <w:shd w:val="clear" w:color="auto" w:fill="auto"/>
        <w:spacing w:line="360" w:lineRule="auto"/>
        <w:ind w:firstLine="426" w:firstLineChars="177"/>
        <w:jc w:val="center"/>
        <w:rPr>
          <w:rFonts w:hint="eastAsia" w:ascii="宋体" w:hAnsi="宋体" w:eastAsia="宋体" w:cs="宋体"/>
          <w:color w:val="auto"/>
          <w:sz w:val="18"/>
          <w:szCs w:val="18"/>
          <w:highlight w:val="none"/>
          <w:lang w:eastAsia="zh-CN"/>
        </w:rPr>
      </w:pPr>
      <w:r>
        <w:rPr>
          <w:rFonts w:hint="eastAsia" w:ascii="宋体" w:hAnsi="宋体" w:eastAsia="宋体" w:cs="宋体"/>
          <w:b/>
          <w:bCs/>
          <w:color w:val="auto"/>
          <w:kern w:val="0"/>
          <w:sz w:val="24"/>
          <w:szCs w:val="24"/>
          <w:highlight w:val="none"/>
        </w:rPr>
        <w:t>（最终以实际签订的合同为准，但不得改变</w:t>
      </w:r>
      <w:r>
        <w:rPr>
          <w:rFonts w:hint="eastAsia" w:hAnsi="宋体" w:cs="宋体"/>
          <w:b/>
          <w:bCs/>
          <w:color w:val="auto"/>
          <w:kern w:val="0"/>
          <w:sz w:val="24"/>
          <w:szCs w:val="24"/>
          <w:highlight w:val="none"/>
          <w:lang w:val="en-US" w:eastAsia="zh-CN"/>
        </w:rPr>
        <w:t>竞争性磋商</w:t>
      </w:r>
      <w:r>
        <w:rPr>
          <w:rFonts w:hint="eastAsia" w:ascii="宋体" w:hAnsi="宋体" w:eastAsia="宋体" w:cs="宋体"/>
          <w:b/>
          <w:bCs/>
          <w:color w:val="auto"/>
          <w:kern w:val="0"/>
          <w:sz w:val="24"/>
          <w:szCs w:val="24"/>
          <w:highlight w:val="none"/>
        </w:rPr>
        <w:t>文件及中标</w:t>
      </w:r>
      <w:r>
        <w:rPr>
          <w:rFonts w:hint="eastAsia" w:hAnsi="宋体" w:cs="宋体"/>
          <w:b/>
          <w:bCs/>
          <w:color w:val="auto"/>
          <w:kern w:val="0"/>
          <w:sz w:val="24"/>
          <w:szCs w:val="24"/>
          <w:highlight w:val="none"/>
          <w:lang w:eastAsia="zh-CN"/>
        </w:rPr>
        <w:t>（</w:t>
      </w:r>
      <w:r>
        <w:rPr>
          <w:rFonts w:hint="eastAsia"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人</w:t>
      </w:r>
      <w:r>
        <w:rPr>
          <w:rFonts w:hint="eastAsia" w:hAnsi="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文件的实质性条款。）</w:t>
      </w:r>
    </w:p>
    <w:p w14:paraId="682C4D0E">
      <w:pPr>
        <w:shd w:val="clear" w:color="auto" w:fill="auto"/>
        <w:spacing w:after="240"/>
        <w:jc w:val="center"/>
        <w:rPr>
          <w:rFonts w:hint="eastAsia"/>
          <w:color w:val="auto"/>
          <w:highlight w:val="none"/>
          <w:lang w:eastAsia="zh-CN"/>
        </w:rPr>
      </w:pPr>
    </w:p>
    <w:p w14:paraId="0AC2D99D">
      <w:pPr>
        <w:shd w:val="clear" w:color="auto" w:fill="auto"/>
        <w:spacing w:after="240"/>
        <w:jc w:val="center"/>
        <w:rPr>
          <w:rFonts w:hint="eastAsia" w:ascii="宋体" w:hAnsi="宋体" w:eastAsia="宋体" w:cs="宋体"/>
          <w:color w:val="auto"/>
          <w:sz w:val="18"/>
          <w:szCs w:val="18"/>
          <w:highlight w:val="none"/>
          <w:lang w:eastAsia="zh-CN"/>
        </w:rPr>
      </w:pPr>
    </w:p>
    <w:p w14:paraId="23444EF5">
      <w:pPr>
        <w:shd w:val="clear" w:color="auto" w:fill="auto"/>
        <w:spacing w:after="240"/>
        <w:jc w:val="center"/>
        <w:rPr>
          <w:rFonts w:hint="eastAsia"/>
          <w:color w:val="auto"/>
          <w:highlight w:val="none"/>
          <w:lang w:eastAsia="zh-CN"/>
        </w:rPr>
      </w:pPr>
    </w:p>
    <w:p w14:paraId="3D1659D4">
      <w:pPr>
        <w:shd w:val="clear" w:color="auto" w:fill="auto"/>
        <w:spacing w:after="240"/>
        <w:jc w:val="center"/>
        <w:rPr>
          <w:rFonts w:hint="eastAsia"/>
          <w:color w:val="auto"/>
          <w:highlight w:val="none"/>
          <w:lang w:eastAsia="zh-CN"/>
        </w:rPr>
      </w:pPr>
    </w:p>
    <w:p w14:paraId="1EEF32C0">
      <w:pPr>
        <w:shd w:val="clear" w:color="auto" w:fill="auto"/>
        <w:spacing w:after="240"/>
        <w:jc w:val="center"/>
        <w:rPr>
          <w:rFonts w:hint="eastAsia" w:ascii="宋体" w:hAnsi="宋体" w:eastAsia="宋体" w:cs="宋体"/>
          <w:color w:val="auto"/>
          <w:sz w:val="18"/>
          <w:szCs w:val="18"/>
          <w:highlight w:val="none"/>
        </w:rPr>
      </w:pPr>
      <w:r>
        <w:rPr>
          <w:rFonts w:hint="eastAsia" w:ascii="宋体" w:hAnsi="宋体" w:eastAsia="宋体" w:cs="宋体"/>
          <w:color w:val="auto"/>
          <w:sz w:val="63"/>
          <w:szCs w:val="63"/>
          <w:highlight w:val="none"/>
        </w:rPr>
        <w:t>合</w:t>
      </w:r>
      <w:r>
        <w:rPr>
          <w:rFonts w:hint="eastAsia" w:ascii="宋体" w:hAnsi="宋体" w:eastAsia="宋体" w:cs="宋体"/>
          <w:color w:val="auto"/>
          <w:sz w:val="18"/>
          <w:szCs w:val="18"/>
          <w:highlight w:val="none"/>
        </w:rPr>
        <w:t xml:space="preserve"> </w:t>
      </w:r>
    </w:p>
    <w:p w14:paraId="46120685">
      <w:pPr>
        <w:shd w:val="clear" w:color="auto" w:fill="auto"/>
        <w:spacing w:after="240"/>
        <w:jc w:val="center"/>
        <w:rPr>
          <w:rFonts w:hint="eastAsia" w:ascii="宋体" w:hAnsi="宋体" w:eastAsia="宋体" w:cs="宋体"/>
          <w:color w:val="auto"/>
          <w:sz w:val="18"/>
          <w:szCs w:val="18"/>
          <w:highlight w:val="none"/>
        </w:rPr>
      </w:pPr>
      <w:r>
        <w:rPr>
          <w:rFonts w:hint="eastAsia" w:ascii="宋体" w:hAnsi="宋体" w:eastAsia="宋体" w:cs="宋体"/>
          <w:color w:val="auto"/>
          <w:sz w:val="63"/>
          <w:szCs w:val="63"/>
          <w:highlight w:val="none"/>
        </w:rPr>
        <w:t>同</w:t>
      </w:r>
    </w:p>
    <w:p w14:paraId="34D326A4">
      <w:pPr>
        <w:shd w:val="clear" w:color="auto" w:fill="auto"/>
        <w:spacing w:after="24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63"/>
          <w:szCs w:val="63"/>
          <w:highlight w:val="none"/>
        </w:rPr>
        <w:t>书</w:t>
      </w:r>
      <w:r>
        <w:rPr>
          <w:rFonts w:hint="eastAsia" w:ascii="宋体" w:hAnsi="宋体" w:eastAsia="宋体" w:cs="宋体"/>
          <w:color w:val="auto"/>
          <w:sz w:val="18"/>
          <w:szCs w:val="18"/>
          <w:highlight w:val="none"/>
        </w:rPr>
        <w:t xml:space="preserve"> </w:t>
      </w:r>
    </w:p>
    <w:p w14:paraId="31FE7A6B">
      <w:pPr>
        <w:shd w:val="clear" w:color="auto" w:fill="auto"/>
        <w:spacing w:after="240"/>
        <w:jc w:val="center"/>
        <w:rPr>
          <w:rFonts w:hint="eastAsia" w:ascii="宋体" w:hAnsi="宋体" w:eastAsia="宋体" w:cs="宋体"/>
          <w:color w:val="auto"/>
          <w:sz w:val="18"/>
          <w:szCs w:val="18"/>
          <w:highlight w:val="none"/>
        </w:rPr>
      </w:pPr>
    </w:p>
    <w:p w14:paraId="5CF66409">
      <w:pPr>
        <w:pStyle w:val="5"/>
        <w:shd w:val="clear" w:color="auto" w:fill="auto"/>
        <w:rPr>
          <w:rFonts w:hint="eastAsia" w:ascii="宋体" w:hAnsi="宋体" w:eastAsia="宋体" w:cs="宋体"/>
          <w:color w:val="auto"/>
          <w:highlight w:val="none"/>
        </w:rPr>
      </w:pPr>
    </w:p>
    <w:p w14:paraId="1DB30B95">
      <w:pPr>
        <w:pStyle w:val="5"/>
        <w:shd w:val="clear" w:color="auto" w:fill="auto"/>
        <w:rPr>
          <w:rFonts w:hint="eastAsia" w:ascii="宋体" w:hAnsi="宋体" w:eastAsia="宋体" w:cs="宋体"/>
          <w:color w:val="auto"/>
          <w:highlight w:val="none"/>
        </w:rPr>
      </w:pPr>
    </w:p>
    <w:p w14:paraId="5C11713F">
      <w:pPr>
        <w:pStyle w:val="5"/>
        <w:shd w:val="clear" w:color="auto" w:fill="auto"/>
        <w:rPr>
          <w:rFonts w:hint="eastAsia" w:ascii="宋体" w:hAnsi="宋体" w:eastAsia="宋体" w:cs="宋体"/>
          <w:color w:val="auto"/>
          <w:highlight w:val="none"/>
        </w:rPr>
      </w:pPr>
    </w:p>
    <w:p w14:paraId="5ED6EF2F">
      <w:pPr>
        <w:pStyle w:val="5"/>
        <w:shd w:val="clear" w:color="auto" w:fill="auto"/>
        <w:rPr>
          <w:rFonts w:hint="eastAsia" w:ascii="宋体" w:hAnsi="宋体" w:eastAsia="宋体" w:cs="宋体"/>
          <w:color w:val="auto"/>
          <w:highlight w:val="none"/>
        </w:rPr>
      </w:pPr>
    </w:p>
    <w:p w14:paraId="0BA18727">
      <w:pPr>
        <w:pStyle w:val="5"/>
        <w:shd w:val="clear" w:color="auto" w:fill="auto"/>
        <w:rPr>
          <w:rFonts w:hint="eastAsia" w:ascii="宋体" w:hAnsi="宋体" w:eastAsia="宋体" w:cs="宋体"/>
          <w:color w:val="auto"/>
          <w:highlight w:val="none"/>
        </w:rPr>
      </w:pPr>
    </w:p>
    <w:p w14:paraId="203D283F">
      <w:pPr>
        <w:pStyle w:val="5"/>
        <w:shd w:val="clear" w:color="auto" w:fill="auto"/>
        <w:rPr>
          <w:rFonts w:hint="eastAsia" w:ascii="宋体" w:hAnsi="宋体" w:eastAsia="宋体" w:cs="宋体"/>
          <w:color w:val="auto"/>
          <w:highlight w:val="none"/>
        </w:rPr>
      </w:pPr>
    </w:p>
    <w:p w14:paraId="7B628E4D">
      <w:pPr>
        <w:pStyle w:val="5"/>
        <w:shd w:val="clear" w:color="auto" w:fill="auto"/>
        <w:rPr>
          <w:rFonts w:hint="eastAsia" w:ascii="宋体" w:hAnsi="宋体" w:eastAsia="宋体" w:cs="宋体"/>
          <w:color w:val="auto"/>
          <w:highlight w:val="none"/>
        </w:rPr>
      </w:pPr>
    </w:p>
    <w:p w14:paraId="2660467C">
      <w:pPr>
        <w:shd w:val="clear" w:color="auto" w:fill="auto"/>
        <w:spacing w:after="240"/>
        <w:ind w:firstLine="241" w:firstLineChars="100"/>
        <w:jc w:val="center"/>
        <w:rPr>
          <w:rFonts w:hint="eastAsia" w:ascii="宋体" w:hAnsi="宋体" w:eastAsia="宋体" w:cs="宋体"/>
          <w:color w:val="auto"/>
          <w:sz w:val="16"/>
          <w:szCs w:val="18"/>
          <w:highlight w:val="none"/>
          <w:lang w:eastAsia="zh-CN"/>
        </w:rPr>
      </w:pPr>
      <w:r>
        <w:rPr>
          <w:rFonts w:hint="eastAsia" w:ascii="宋体" w:hAnsi="宋体" w:eastAsia="宋体" w:cs="宋体"/>
          <w:b/>
          <w:bCs/>
          <w:color w:val="auto"/>
          <w:sz w:val="24"/>
          <w:szCs w:val="27"/>
          <w:highlight w:val="none"/>
        </w:rPr>
        <w:t>签订地点：</w:t>
      </w:r>
    </w:p>
    <w:p w14:paraId="489CF59F">
      <w:pPr>
        <w:shd w:val="clear" w:color="auto" w:fill="auto"/>
        <w:tabs>
          <w:tab w:val="left" w:pos="7440"/>
        </w:tabs>
        <w:spacing w:after="240"/>
        <w:jc w:val="both"/>
        <w:rPr>
          <w:rFonts w:hint="eastAsia"/>
          <w:color w:val="auto"/>
          <w:highlight w:val="none"/>
          <w:lang w:eastAsia="zh-CN"/>
        </w:rPr>
      </w:pPr>
      <w:r>
        <w:rPr>
          <w:rFonts w:hint="eastAsia"/>
          <w:color w:val="auto"/>
          <w:highlight w:val="none"/>
          <w:lang w:eastAsia="zh-CN"/>
        </w:rPr>
        <w:tab/>
      </w:r>
    </w:p>
    <w:p w14:paraId="5484E2A9">
      <w:pPr>
        <w:shd w:val="clear" w:color="auto" w:fill="auto"/>
        <w:spacing w:after="240"/>
        <w:jc w:val="center"/>
        <w:rPr>
          <w:rFonts w:hint="eastAsia" w:ascii="宋体" w:hAnsi="宋体" w:eastAsia="宋体" w:cs="宋体"/>
          <w:color w:val="auto"/>
          <w:sz w:val="18"/>
          <w:szCs w:val="18"/>
          <w:highlight w:val="none"/>
          <w:lang w:eastAsia="zh-CN"/>
        </w:rPr>
      </w:pPr>
      <w:r>
        <w:rPr>
          <w:rFonts w:hint="eastAsia" w:ascii="宋体" w:hAnsi="宋体" w:eastAsia="宋体" w:cs="宋体"/>
          <w:b/>
          <w:bCs/>
          <w:color w:val="auto"/>
          <w:sz w:val="24"/>
          <w:szCs w:val="27"/>
          <w:highlight w:val="none"/>
        </w:rPr>
        <w:t xml:space="preserve">签订日期： 年 </w:t>
      </w:r>
      <w:r>
        <w:rPr>
          <w:rFonts w:hint="eastAsia" w:hAnsi="宋体" w:cs="宋体"/>
          <w:b/>
          <w:bCs/>
          <w:color w:val="auto"/>
          <w:sz w:val="24"/>
          <w:szCs w:val="27"/>
          <w:highlight w:val="none"/>
          <w:lang w:val="en-US" w:eastAsia="zh-CN"/>
        </w:rPr>
        <w:t xml:space="preserve"> </w:t>
      </w:r>
      <w:r>
        <w:rPr>
          <w:rFonts w:hint="eastAsia" w:ascii="宋体" w:hAnsi="宋体" w:eastAsia="宋体" w:cs="宋体"/>
          <w:b/>
          <w:bCs/>
          <w:color w:val="auto"/>
          <w:sz w:val="24"/>
          <w:szCs w:val="27"/>
          <w:highlight w:val="none"/>
        </w:rPr>
        <w:t>月</w:t>
      </w:r>
      <w:r>
        <w:rPr>
          <w:rFonts w:hint="eastAsia" w:hAnsi="宋体" w:cs="宋体"/>
          <w:b/>
          <w:bCs/>
          <w:color w:val="auto"/>
          <w:sz w:val="24"/>
          <w:szCs w:val="27"/>
          <w:highlight w:val="none"/>
          <w:lang w:val="en-US" w:eastAsia="zh-CN"/>
        </w:rPr>
        <w:t xml:space="preserve"> </w:t>
      </w:r>
      <w:r>
        <w:rPr>
          <w:rFonts w:hint="eastAsia" w:ascii="宋体" w:hAnsi="宋体" w:eastAsia="宋体" w:cs="宋体"/>
          <w:b/>
          <w:bCs/>
          <w:color w:val="auto"/>
          <w:sz w:val="24"/>
          <w:szCs w:val="27"/>
          <w:highlight w:val="none"/>
        </w:rPr>
        <w:t xml:space="preserve"> 日</w:t>
      </w:r>
      <w:r>
        <w:rPr>
          <w:rFonts w:hint="eastAsia" w:ascii="宋体" w:hAnsi="宋体" w:eastAsia="宋体" w:cs="宋体"/>
          <w:b/>
          <w:bCs/>
          <w:color w:val="auto"/>
          <w:sz w:val="27"/>
          <w:szCs w:val="27"/>
          <w:highlight w:val="none"/>
        </w:rPr>
        <w:t xml:space="preserve"> </w:t>
      </w:r>
    </w:p>
    <w:p w14:paraId="1D881024">
      <w:pPr>
        <w:shd w:val="clear" w:color="auto" w:fill="auto"/>
        <w:rPr>
          <w:rFonts w:hint="eastAsia"/>
          <w:color w:val="auto"/>
          <w:highlight w:val="none"/>
          <w:lang w:eastAsia="zh-CN"/>
        </w:rPr>
      </w:pPr>
      <w:r>
        <w:rPr>
          <w:rFonts w:hint="eastAsia"/>
          <w:color w:val="auto"/>
          <w:highlight w:val="none"/>
          <w:lang w:eastAsia="zh-CN"/>
        </w:rPr>
        <w:br w:type="page"/>
      </w:r>
    </w:p>
    <w:tbl>
      <w:tblPr>
        <w:tblStyle w:val="14"/>
        <w:tblW w:w="9072" w:type="dxa"/>
        <w:jc w:val="center"/>
        <w:tblCellSpacing w:w="0" w:type="dxa"/>
        <w:tblLayout w:type="autofit"/>
        <w:tblCellMar>
          <w:top w:w="0" w:type="dxa"/>
          <w:left w:w="0" w:type="dxa"/>
          <w:bottom w:w="0" w:type="dxa"/>
          <w:right w:w="0" w:type="dxa"/>
        </w:tblCellMar>
      </w:tblPr>
      <w:tblGrid>
        <w:gridCol w:w="9072"/>
      </w:tblGrid>
      <w:tr w14:paraId="339DE11E">
        <w:tblPrEx>
          <w:tblCellMar>
            <w:top w:w="0" w:type="dxa"/>
            <w:left w:w="0" w:type="dxa"/>
            <w:bottom w:w="0" w:type="dxa"/>
            <w:right w:w="0" w:type="dxa"/>
          </w:tblCellMar>
        </w:tblPrEx>
        <w:trPr>
          <w:tblCellSpacing w:w="0" w:type="dxa"/>
          <w:jc w:val="center"/>
        </w:trPr>
        <w:tc>
          <w:tcPr>
            <w:tcW w:w="9072" w:type="dxa"/>
            <w:noWrap w:val="0"/>
            <w:vAlign w:val="center"/>
          </w:tcPr>
          <w:tbl>
            <w:tblPr>
              <w:tblStyle w:val="14"/>
              <w:tblW w:w="5000" w:type="pct"/>
              <w:jc w:val="center"/>
              <w:tblCellSpacing w:w="0" w:type="dxa"/>
              <w:tblLayout w:type="autofit"/>
              <w:tblCellMar>
                <w:top w:w="0" w:type="dxa"/>
                <w:left w:w="0" w:type="dxa"/>
                <w:bottom w:w="0" w:type="dxa"/>
                <w:right w:w="0" w:type="dxa"/>
              </w:tblCellMar>
            </w:tblPr>
            <w:tblGrid>
              <w:gridCol w:w="1542"/>
              <w:gridCol w:w="7530"/>
            </w:tblGrid>
            <w:tr w14:paraId="19F0DB69">
              <w:tblPrEx>
                <w:tblCellMar>
                  <w:top w:w="0" w:type="dxa"/>
                  <w:left w:w="0" w:type="dxa"/>
                  <w:bottom w:w="0" w:type="dxa"/>
                  <w:right w:w="0" w:type="dxa"/>
                </w:tblCellMar>
              </w:tblPrEx>
              <w:trPr>
                <w:tblCellSpacing w:w="0" w:type="dxa"/>
                <w:jc w:val="center"/>
              </w:trPr>
              <w:tc>
                <w:tcPr>
                  <w:tcW w:w="0" w:type="auto"/>
                  <w:gridSpan w:val="2"/>
                  <w:noWrap w:val="0"/>
                  <w:vAlign w:val="center"/>
                </w:tcPr>
                <w:p w14:paraId="6AC0FD83">
                  <w:pPr>
                    <w:shd w:val="clear" w:color="auto" w:fill="auto"/>
                    <w:spacing w:after="240"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甲方（采购人公章）名 称：</w:t>
                  </w:r>
                </w:p>
              </w:tc>
            </w:tr>
            <w:tr w14:paraId="48E689DE">
              <w:tblPrEx>
                <w:tblCellMar>
                  <w:top w:w="0" w:type="dxa"/>
                  <w:left w:w="0" w:type="dxa"/>
                  <w:bottom w:w="0" w:type="dxa"/>
                  <w:right w:w="0" w:type="dxa"/>
                </w:tblCellMar>
              </w:tblPrEx>
              <w:trPr>
                <w:tblCellSpacing w:w="0" w:type="dxa"/>
                <w:jc w:val="center"/>
              </w:trPr>
              <w:tc>
                <w:tcPr>
                  <w:tcW w:w="850" w:type="pct"/>
                  <w:noWrap w:val="0"/>
                  <w:vAlign w:val="center"/>
                </w:tcPr>
                <w:p w14:paraId="65A540E3">
                  <w:pPr>
                    <w:shd w:val="clear" w:color="auto" w:fill="auto"/>
                    <w:spacing w:after="240" w:line="276" w:lineRule="auto"/>
                    <w:ind w:firstLine="480"/>
                    <w:rPr>
                      <w:rFonts w:hint="eastAsia" w:ascii="宋体" w:hAnsi="宋体" w:eastAsia="宋体" w:cs="宋体"/>
                      <w:color w:val="auto"/>
                      <w:sz w:val="21"/>
                      <w:szCs w:val="21"/>
                      <w:highlight w:val="none"/>
                    </w:rPr>
                  </w:pPr>
                </w:p>
              </w:tc>
              <w:tc>
                <w:tcPr>
                  <w:tcW w:w="4150" w:type="pct"/>
                  <w:noWrap w:val="0"/>
                  <w:vAlign w:val="center"/>
                </w:tcPr>
                <w:p w14:paraId="3E64AF5C">
                  <w:pPr>
                    <w:shd w:val="clear" w:color="auto" w:fill="auto"/>
                    <w:spacing w:after="240"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tc>
            </w:tr>
            <w:tr w14:paraId="18FA43F2">
              <w:tblPrEx>
                <w:tblCellMar>
                  <w:top w:w="0" w:type="dxa"/>
                  <w:left w:w="0" w:type="dxa"/>
                  <w:bottom w:w="0" w:type="dxa"/>
                  <w:right w:w="0" w:type="dxa"/>
                </w:tblCellMar>
              </w:tblPrEx>
              <w:trPr>
                <w:tblCellSpacing w:w="0" w:type="dxa"/>
                <w:jc w:val="center"/>
              </w:trPr>
              <w:tc>
                <w:tcPr>
                  <w:tcW w:w="0" w:type="auto"/>
                  <w:noWrap w:val="0"/>
                  <w:vAlign w:val="center"/>
                </w:tcPr>
                <w:p w14:paraId="1930560C">
                  <w:pPr>
                    <w:shd w:val="clear" w:color="auto" w:fill="auto"/>
                    <w:spacing w:after="240" w:line="276" w:lineRule="auto"/>
                    <w:ind w:firstLine="480"/>
                    <w:rPr>
                      <w:rFonts w:hint="eastAsia" w:ascii="宋体" w:hAnsi="宋体" w:eastAsia="宋体" w:cs="宋体"/>
                      <w:color w:val="auto"/>
                      <w:sz w:val="21"/>
                      <w:szCs w:val="21"/>
                      <w:highlight w:val="none"/>
                    </w:rPr>
                  </w:pPr>
                </w:p>
              </w:tc>
              <w:tc>
                <w:tcPr>
                  <w:tcW w:w="0" w:type="auto"/>
                  <w:noWrap w:val="0"/>
                  <w:vAlign w:val="center"/>
                </w:tcPr>
                <w:p w14:paraId="6B46CEC6">
                  <w:pPr>
                    <w:shd w:val="clear" w:color="auto" w:fill="auto"/>
                    <w:spacing w:after="240"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编：</w:t>
                  </w:r>
                </w:p>
              </w:tc>
            </w:tr>
            <w:tr w14:paraId="6A078B87">
              <w:tblPrEx>
                <w:tblCellMar>
                  <w:top w:w="0" w:type="dxa"/>
                  <w:left w:w="0" w:type="dxa"/>
                  <w:bottom w:w="0" w:type="dxa"/>
                  <w:right w:w="0" w:type="dxa"/>
                </w:tblCellMar>
              </w:tblPrEx>
              <w:trPr>
                <w:tblCellSpacing w:w="0" w:type="dxa"/>
                <w:jc w:val="center"/>
              </w:trPr>
              <w:tc>
                <w:tcPr>
                  <w:tcW w:w="0" w:type="auto"/>
                  <w:noWrap w:val="0"/>
                  <w:vAlign w:val="center"/>
                </w:tcPr>
                <w:p w14:paraId="4C03E833">
                  <w:pPr>
                    <w:shd w:val="clear" w:color="auto" w:fill="auto"/>
                    <w:spacing w:after="240" w:line="276" w:lineRule="auto"/>
                    <w:ind w:firstLine="480"/>
                    <w:rPr>
                      <w:rFonts w:hint="eastAsia" w:ascii="宋体" w:hAnsi="宋体" w:eastAsia="宋体" w:cs="宋体"/>
                      <w:color w:val="auto"/>
                      <w:sz w:val="21"/>
                      <w:szCs w:val="21"/>
                      <w:highlight w:val="none"/>
                    </w:rPr>
                  </w:pPr>
                </w:p>
              </w:tc>
              <w:tc>
                <w:tcPr>
                  <w:tcW w:w="0" w:type="auto"/>
                  <w:noWrap w:val="0"/>
                  <w:vAlign w:val="center"/>
                </w:tcPr>
                <w:p w14:paraId="36E4D600">
                  <w:pPr>
                    <w:shd w:val="clear" w:color="auto" w:fill="auto"/>
                    <w:spacing w:after="240"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tc>
            </w:tr>
            <w:tr w14:paraId="290A78B8">
              <w:tblPrEx>
                <w:tblCellMar>
                  <w:top w:w="0" w:type="dxa"/>
                  <w:left w:w="0" w:type="dxa"/>
                  <w:bottom w:w="0" w:type="dxa"/>
                  <w:right w:w="0" w:type="dxa"/>
                </w:tblCellMar>
              </w:tblPrEx>
              <w:trPr>
                <w:tblCellSpacing w:w="0" w:type="dxa"/>
                <w:jc w:val="center"/>
              </w:trPr>
              <w:tc>
                <w:tcPr>
                  <w:tcW w:w="0" w:type="auto"/>
                  <w:noWrap w:val="0"/>
                  <w:vAlign w:val="center"/>
                </w:tcPr>
                <w:p w14:paraId="79D0EC76">
                  <w:pPr>
                    <w:shd w:val="clear" w:color="auto" w:fill="auto"/>
                    <w:spacing w:after="240" w:line="276" w:lineRule="auto"/>
                    <w:ind w:firstLine="480"/>
                    <w:rPr>
                      <w:rFonts w:hint="eastAsia" w:ascii="宋体" w:hAnsi="宋体" w:eastAsia="宋体" w:cs="宋体"/>
                      <w:color w:val="auto"/>
                      <w:sz w:val="21"/>
                      <w:szCs w:val="21"/>
                      <w:highlight w:val="none"/>
                    </w:rPr>
                  </w:pPr>
                </w:p>
              </w:tc>
              <w:tc>
                <w:tcPr>
                  <w:tcW w:w="0" w:type="auto"/>
                  <w:noWrap w:val="0"/>
                  <w:vAlign w:val="center"/>
                </w:tcPr>
                <w:p w14:paraId="7569B952">
                  <w:pPr>
                    <w:shd w:val="clear" w:color="auto" w:fill="auto"/>
                    <w:spacing w:after="240"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项目（技术）负责人：</w:t>
                  </w:r>
                </w:p>
              </w:tc>
            </w:tr>
            <w:tr w14:paraId="3A47803C">
              <w:tblPrEx>
                <w:tblCellMar>
                  <w:top w:w="0" w:type="dxa"/>
                  <w:left w:w="0" w:type="dxa"/>
                  <w:bottom w:w="0" w:type="dxa"/>
                  <w:right w:w="0" w:type="dxa"/>
                </w:tblCellMar>
              </w:tblPrEx>
              <w:trPr>
                <w:tblCellSpacing w:w="0" w:type="dxa"/>
                <w:jc w:val="center"/>
              </w:trPr>
              <w:tc>
                <w:tcPr>
                  <w:tcW w:w="0" w:type="auto"/>
                  <w:noWrap w:val="0"/>
                  <w:vAlign w:val="center"/>
                </w:tcPr>
                <w:p w14:paraId="2BFA7063">
                  <w:pPr>
                    <w:shd w:val="clear" w:color="auto" w:fill="auto"/>
                    <w:spacing w:after="240" w:line="276" w:lineRule="auto"/>
                    <w:ind w:firstLine="480"/>
                    <w:rPr>
                      <w:rFonts w:hint="eastAsia" w:ascii="宋体" w:hAnsi="宋体" w:eastAsia="宋体" w:cs="宋体"/>
                      <w:color w:val="auto"/>
                      <w:sz w:val="21"/>
                      <w:szCs w:val="21"/>
                      <w:highlight w:val="none"/>
                    </w:rPr>
                  </w:pPr>
                </w:p>
              </w:tc>
              <w:tc>
                <w:tcPr>
                  <w:tcW w:w="0" w:type="auto"/>
                  <w:noWrap w:val="0"/>
                  <w:vAlign w:val="center"/>
                </w:tcPr>
                <w:p w14:paraId="245F3D26">
                  <w:pPr>
                    <w:shd w:val="clear" w:color="auto" w:fill="auto"/>
                    <w:spacing w:after="240"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r>
            <w:tr w14:paraId="13B618D6">
              <w:tblPrEx>
                <w:tblCellMar>
                  <w:top w:w="0" w:type="dxa"/>
                  <w:left w:w="0" w:type="dxa"/>
                  <w:bottom w:w="0" w:type="dxa"/>
                  <w:right w:w="0" w:type="dxa"/>
                </w:tblCellMar>
              </w:tblPrEx>
              <w:trPr>
                <w:tblCellSpacing w:w="0" w:type="dxa"/>
                <w:jc w:val="center"/>
              </w:trPr>
              <w:tc>
                <w:tcPr>
                  <w:tcW w:w="0" w:type="auto"/>
                  <w:noWrap w:val="0"/>
                  <w:vAlign w:val="center"/>
                </w:tcPr>
                <w:p w14:paraId="32BB9F54">
                  <w:pPr>
                    <w:shd w:val="clear" w:color="auto" w:fill="auto"/>
                    <w:spacing w:after="240" w:line="276" w:lineRule="auto"/>
                    <w:ind w:firstLine="480"/>
                    <w:rPr>
                      <w:rFonts w:hint="eastAsia" w:ascii="宋体" w:hAnsi="宋体" w:eastAsia="宋体" w:cs="宋体"/>
                      <w:color w:val="auto"/>
                      <w:sz w:val="21"/>
                      <w:szCs w:val="21"/>
                      <w:highlight w:val="none"/>
                    </w:rPr>
                  </w:pPr>
                </w:p>
              </w:tc>
              <w:tc>
                <w:tcPr>
                  <w:tcW w:w="0" w:type="auto"/>
                  <w:noWrap w:val="0"/>
                  <w:vAlign w:val="center"/>
                </w:tcPr>
                <w:p w14:paraId="22C24920">
                  <w:pPr>
                    <w:shd w:val="clear" w:color="auto" w:fill="auto"/>
                    <w:spacing w:after="240"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tc>
            </w:tr>
            <w:tr w14:paraId="5E8B93C1">
              <w:tblPrEx>
                <w:tblCellMar>
                  <w:top w:w="0" w:type="dxa"/>
                  <w:left w:w="0" w:type="dxa"/>
                  <w:bottom w:w="0" w:type="dxa"/>
                  <w:right w:w="0" w:type="dxa"/>
                </w:tblCellMar>
              </w:tblPrEx>
              <w:trPr>
                <w:tblCellSpacing w:w="0" w:type="dxa"/>
                <w:jc w:val="center"/>
              </w:trPr>
              <w:tc>
                <w:tcPr>
                  <w:tcW w:w="0" w:type="auto"/>
                  <w:gridSpan w:val="2"/>
                  <w:noWrap w:val="0"/>
                  <w:vAlign w:val="center"/>
                </w:tcPr>
                <w:p w14:paraId="7618FEB0">
                  <w:pPr>
                    <w:shd w:val="clear" w:color="auto" w:fill="auto"/>
                    <w:spacing w:after="240"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乙方（供应商公章）名 称：</w:t>
                  </w:r>
                </w:p>
              </w:tc>
            </w:tr>
            <w:tr w14:paraId="0A3BE2C6">
              <w:tblPrEx>
                <w:tblCellMar>
                  <w:top w:w="0" w:type="dxa"/>
                  <w:left w:w="0" w:type="dxa"/>
                  <w:bottom w:w="0" w:type="dxa"/>
                  <w:right w:w="0" w:type="dxa"/>
                </w:tblCellMar>
              </w:tblPrEx>
              <w:trPr>
                <w:tblCellSpacing w:w="0" w:type="dxa"/>
                <w:jc w:val="center"/>
              </w:trPr>
              <w:tc>
                <w:tcPr>
                  <w:tcW w:w="0" w:type="auto"/>
                  <w:noWrap w:val="0"/>
                  <w:vAlign w:val="center"/>
                </w:tcPr>
                <w:p w14:paraId="40D918D9">
                  <w:pPr>
                    <w:shd w:val="clear" w:color="auto" w:fill="auto"/>
                    <w:spacing w:after="240" w:line="276" w:lineRule="auto"/>
                    <w:ind w:firstLine="480"/>
                    <w:rPr>
                      <w:rFonts w:hint="eastAsia" w:ascii="宋体" w:hAnsi="宋体" w:eastAsia="宋体" w:cs="宋体"/>
                      <w:color w:val="auto"/>
                      <w:sz w:val="21"/>
                      <w:szCs w:val="21"/>
                      <w:highlight w:val="none"/>
                    </w:rPr>
                  </w:pPr>
                </w:p>
              </w:tc>
              <w:tc>
                <w:tcPr>
                  <w:tcW w:w="0" w:type="auto"/>
                  <w:noWrap w:val="0"/>
                  <w:vAlign w:val="center"/>
                </w:tcPr>
                <w:p w14:paraId="19647B7F">
                  <w:pPr>
                    <w:shd w:val="clear" w:color="auto" w:fill="auto"/>
                    <w:spacing w:after="240"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tc>
            </w:tr>
            <w:tr w14:paraId="7D1D9C5B">
              <w:tblPrEx>
                <w:tblCellMar>
                  <w:top w:w="0" w:type="dxa"/>
                  <w:left w:w="0" w:type="dxa"/>
                  <w:bottom w:w="0" w:type="dxa"/>
                  <w:right w:w="0" w:type="dxa"/>
                </w:tblCellMar>
              </w:tblPrEx>
              <w:trPr>
                <w:tblCellSpacing w:w="0" w:type="dxa"/>
                <w:jc w:val="center"/>
              </w:trPr>
              <w:tc>
                <w:tcPr>
                  <w:tcW w:w="0" w:type="auto"/>
                  <w:noWrap w:val="0"/>
                  <w:vAlign w:val="center"/>
                </w:tcPr>
                <w:p w14:paraId="6635F590">
                  <w:pPr>
                    <w:shd w:val="clear" w:color="auto" w:fill="auto"/>
                    <w:spacing w:after="240" w:line="276" w:lineRule="auto"/>
                    <w:ind w:firstLine="480"/>
                    <w:rPr>
                      <w:rFonts w:hint="eastAsia" w:ascii="宋体" w:hAnsi="宋体" w:eastAsia="宋体" w:cs="宋体"/>
                      <w:color w:val="auto"/>
                      <w:sz w:val="21"/>
                      <w:szCs w:val="21"/>
                      <w:highlight w:val="none"/>
                    </w:rPr>
                  </w:pPr>
                </w:p>
              </w:tc>
              <w:tc>
                <w:tcPr>
                  <w:tcW w:w="0" w:type="auto"/>
                  <w:noWrap w:val="0"/>
                  <w:vAlign w:val="center"/>
                </w:tcPr>
                <w:p w14:paraId="356960B3">
                  <w:pPr>
                    <w:shd w:val="clear" w:color="auto" w:fill="auto"/>
                    <w:spacing w:after="240"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编：</w:t>
                  </w:r>
                </w:p>
              </w:tc>
            </w:tr>
            <w:tr w14:paraId="0F954468">
              <w:tblPrEx>
                <w:tblCellMar>
                  <w:top w:w="0" w:type="dxa"/>
                  <w:left w:w="0" w:type="dxa"/>
                  <w:bottom w:w="0" w:type="dxa"/>
                  <w:right w:w="0" w:type="dxa"/>
                </w:tblCellMar>
              </w:tblPrEx>
              <w:trPr>
                <w:tblCellSpacing w:w="0" w:type="dxa"/>
                <w:jc w:val="center"/>
              </w:trPr>
              <w:tc>
                <w:tcPr>
                  <w:tcW w:w="0" w:type="auto"/>
                  <w:noWrap w:val="0"/>
                  <w:vAlign w:val="center"/>
                </w:tcPr>
                <w:p w14:paraId="4E01A2CF">
                  <w:pPr>
                    <w:shd w:val="clear" w:color="auto" w:fill="auto"/>
                    <w:spacing w:after="240" w:line="276" w:lineRule="auto"/>
                    <w:ind w:firstLine="480"/>
                    <w:rPr>
                      <w:rFonts w:hint="eastAsia" w:ascii="宋体" w:hAnsi="宋体" w:eastAsia="宋体" w:cs="宋体"/>
                      <w:color w:val="auto"/>
                      <w:sz w:val="21"/>
                      <w:szCs w:val="21"/>
                      <w:highlight w:val="none"/>
                    </w:rPr>
                  </w:pPr>
                </w:p>
              </w:tc>
              <w:tc>
                <w:tcPr>
                  <w:tcW w:w="0" w:type="auto"/>
                  <w:noWrap w:val="0"/>
                  <w:vAlign w:val="center"/>
                </w:tcPr>
                <w:p w14:paraId="463B6D8D">
                  <w:pPr>
                    <w:shd w:val="clear" w:color="auto" w:fill="auto"/>
                    <w:spacing w:after="240"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tc>
            </w:tr>
            <w:tr w14:paraId="6BF72BDD">
              <w:tblPrEx>
                <w:tblCellMar>
                  <w:top w:w="0" w:type="dxa"/>
                  <w:left w:w="0" w:type="dxa"/>
                  <w:bottom w:w="0" w:type="dxa"/>
                  <w:right w:w="0" w:type="dxa"/>
                </w:tblCellMar>
              </w:tblPrEx>
              <w:trPr>
                <w:tblCellSpacing w:w="0" w:type="dxa"/>
                <w:jc w:val="center"/>
              </w:trPr>
              <w:tc>
                <w:tcPr>
                  <w:tcW w:w="0" w:type="auto"/>
                  <w:noWrap w:val="0"/>
                  <w:vAlign w:val="center"/>
                </w:tcPr>
                <w:p w14:paraId="47892CA9">
                  <w:pPr>
                    <w:shd w:val="clear" w:color="auto" w:fill="auto"/>
                    <w:spacing w:after="240" w:line="276" w:lineRule="auto"/>
                    <w:ind w:firstLine="480"/>
                    <w:rPr>
                      <w:rFonts w:hint="eastAsia" w:ascii="宋体" w:hAnsi="宋体" w:eastAsia="宋体" w:cs="宋体"/>
                      <w:color w:val="auto"/>
                      <w:sz w:val="21"/>
                      <w:szCs w:val="21"/>
                      <w:highlight w:val="none"/>
                    </w:rPr>
                  </w:pPr>
                </w:p>
              </w:tc>
              <w:tc>
                <w:tcPr>
                  <w:tcW w:w="0" w:type="auto"/>
                  <w:noWrap w:val="0"/>
                  <w:vAlign w:val="center"/>
                </w:tcPr>
                <w:p w14:paraId="0A4AAB93">
                  <w:pPr>
                    <w:shd w:val="clear" w:color="auto" w:fill="auto"/>
                    <w:spacing w:after="240"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tc>
            </w:tr>
            <w:tr w14:paraId="56A462D5">
              <w:tblPrEx>
                <w:tblCellMar>
                  <w:top w:w="0" w:type="dxa"/>
                  <w:left w:w="0" w:type="dxa"/>
                  <w:bottom w:w="0" w:type="dxa"/>
                  <w:right w:w="0" w:type="dxa"/>
                </w:tblCellMar>
              </w:tblPrEx>
              <w:trPr>
                <w:tblCellSpacing w:w="0" w:type="dxa"/>
                <w:jc w:val="center"/>
              </w:trPr>
              <w:tc>
                <w:tcPr>
                  <w:tcW w:w="0" w:type="auto"/>
                  <w:noWrap w:val="0"/>
                  <w:vAlign w:val="center"/>
                </w:tcPr>
                <w:p w14:paraId="489A16E6">
                  <w:pPr>
                    <w:shd w:val="clear" w:color="auto" w:fill="auto"/>
                    <w:spacing w:after="240" w:line="276" w:lineRule="auto"/>
                    <w:ind w:firstLine="480"/>
                    <w:rPr>
                      <w:rFonts w:hint="eastAsia" w:ascii="宋体" w:hAnsi="宋体" w:eastAsia="宋体" w:cs="宋体"/>
                      <w:color w:val="auto"/>
                      <w:sz w:val="21"/>
                      <w:szCs w:val="21"/>
                      <w:highlight w:val="none"/>
                    </w:rPr>
                  </w:pPr>
                </w:p>
              </w:tc>
              <w:tc>
                <w:tcPr>
                  <w:tcW w:w="0" w:type="auto"/>
                  <w:noWrap w:val="0"/>
                  <w:vAlign w:val="center"/>
                </w:tcPr>
                <w:p w14:paraId="7386D293">
                  <w:pPr>
                    <w:shd w:val="clear" w:color="auto" w:fill="auto"/>
                    <w:spacing w:after="240"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r>
            <w:tr w14:paraId="29DE4FE6">
              <w:tblPrEx>
                <w:tblCellMar>
                  <w:top w:w="0" w:type="dxa"/>
                  <w:left w:w="0" w:type="dxa"/>
                  <w:bottom w:w="0" w:type="dxa"/>
                  <w:right w:w="0" w:type="dxa"/>
                </w:tblCellMar>
              </w:tblPrEx>
              <w:trPr>
                <w:tblCellSpacing w:w="0" w:type="dxa"/>
                <w:jc w:val="center"/>
              </w:trPr>
              <w:tc>
                <w:tcPr>
                  <w:tcW w:w="0" w:type="auto"/>
                  <w:noWrap w:val="0"/>
                  <w:vAlign w:val="center"/>
                </w:tcPr>
                <w:p w14:paraId="4215E915">
                  <w:pPr>
                    <w:shd w:val="clear" w:color="auto" w:fill="auto"/>
                    <w:spacing w:after="240" w:line="276" w:lineRule="auto"/>
                    <w:ind w:firstLine="480"/>
                    <w:rPr>
                      <w:rFonts w:hint="eastAsia" w:ascii="宋体" w:hAnsi="宋体" w:eastAsia="宋体" w:cs="宋体"/>
                      <w:color w:val="auto"/>
                      <w:sz w:val="21"/>
                      <w:szCs w:val="21"/>
                      <w:highlight w:val="none"/>
                    </w:rPr>
                  </w:pPr>
                </w:p>
              </w:tc>
              <w:tc>
                <w:tcPr>
                  <w:tcW w:w="0" w:type="auto"/>
                  <w:noWrap w:val="0"/>
                  <w:vAlign w:val="center"/>
                </w:tcPr>
                <w:p w14:paraId="1B2DCCC4">
                  <w:pPr>
                    <w:shd w:val="clear" w:color="auto" w:fill="auto"/>
                    <w:spacing w:after="240"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tc>
            </w:tr>
          </w:tbl>
          <w:p w14:paraId="6D61615C">
            <w:pPr>
              <w:shd w:val="clear" w:color="auto" w:fill="auto"/>
              <w:spacing w:line="276" w:lineRule="auto"/>
              <w:ind w:firstLine="480"/>
              <w:rPr>
                <w:rFonts w:hint="eastAsia" w:ascii="宋体" w:hAnsi="宋体" w:eastAsia="宋体" w:cs="宋体"/>
                <w:vanish/>
                <w:color w:val="auto"/>
                <w:sz w:val="21"/>
                <w:szCs w:val="21"/>
                <w:highlight w:val="none"/>
              </w:rPr>
            </w:pPr>
          </w:p>
          <w:p w14:paraId="294E044D">
            <w:pPr>
              <w:shd w:val="clear" w:color="auto" w:fill="auto"/>
              <w:ind w:firstLine="480"/>
              <w:rPr>
                <w:rFonts w:hint="eastAsia" w:ascii="宋体" w:hAnsi="宋体" w:eastAsia="宋体" w:cs="宋体"/>
                <w:color w:val="auto"/>
                <w:sz w:val="21"/>
                <w:szCs w:val="21"/>
                <w:highlight w:val="none"/>
              </w:rPr>
            </w:pPr>
          </w:p>
        </w:tc>
      </w:tr>
    </w:tbl>
    <w:p w14:paraId="68A4C3BD">
      <w:pPr>
        <w:shd w:val="clear" w:color="auto" w:fill="auto"/>
        <w:spacing w:line="276" w:lineRule="auto"/>
        <w:ind w:right="1733" w:rightChars="825"/>
        <w:jc w:val="distribute"/>
        <w:rPr>
          <w:rFonts w:hint="eastAsia" w:ascii="宋体" w:hAnsi="宋体" w:eastAsia="宋体" w:cs="宋体"/>
          <w:b/>
          <w:bCs/>
          <w:color w:val="auto"/>
          <w:sz w:val="32"/>
          <w:szCs w:val="32"/>
          <w:highlight w:val="none"/>
        </w:rPr>
      </w:pPr>
      <w:bookmarkStart w:id="236" w:name="_Toc54862164"/>
    </w:p>
    <w:p w14:paraId="0F097492">
      <w:pPr>
        <w:shd w:val="clear" w:color="auto" w:fill="auto"/>
        <w:spacing w:line="360" w:lineRule="auto"/>
        <w:jc w:val="center"/>
        <w:outlineLvl w:val="1"/>
        <w:rPr>
          <w:rFonts w:hint="eastAsia" w:ascii="宋体" w:hAnsi="宋体" w:eastAsia="宋体" w:cs="宋体"/>
          <w:b/>
          <w:bCs/>
          <w:color w:val="auto"/>
          <w:sz w:val="40"/>
          <w:szCs w:val="40"/>
          <w:highlight w:val="none"/>
        </w:rPr>
      </w:pPr>
      <w:bookmarkStart w:id="237" w:name="_Toc164624910"/>
      <w:bookmarkStart w:id="238" w:name="_Toc2465"/>
      <w:bookmarkStart w:id="239" w:name="_Toc100619045"/>
      <w:bookmarkStart w:id="240" w:name="_Toc10683"/>
      <w:bookmarkStart w:id="241" w:name="_Toc129334994"/>
      <w:r>
        <w:rPr>
          <w:rFonts w:hint="eastAsia" w:ascii="宋体" w:hAnsi="宋体" w:eastAsia="宋体" w:cs="宋体"/>
          <w:b/>
          <w:bCs/>
          <w:color w:val="auto"/>
          <w:sz w:val="32"/>
          <w:szCs w:val="32"/>
          <w:highlight w:val="none"/>
          <w:lang w:val="zh-CN" w:eastAsia="zh-CN"/>
        </w:rPr>
        <w:br w:type="page"/>
      </w:r>
      <w:bookmarkEnd w:id="236"/>
      <w:bookmarkEnd w:id="237"/>
      <w:bookmarkEnd w:id="238"/>
      <w:bookmarkEnd w:id="239"/>
      <w:bookmarkEnd w:id="240"/>
      <w:bookmarkEnd w:id="241"/>
      <w:bookmarkStart w:id="242" w:name="_Toc20483"/>
      <w:r>
        <w:rPr>
          <w:rFonts w:hint="eastAsia" w:ascii="宋体" w:hAnsi="宋体" w:eastAsia="宋体" w:cs="宋体"/>
          <w:b/>
          <w:bCs/>
          <w:color w:val="auto"/>
          <w:sz w:val="28"/>
          <w:szCs w:val="28"/>
          <w:highlight w:val="none"/>
        </w:rPr>
        <w:t>第一部分 合同协议书</w:t>
      </w:r>
    </w:p>
    <w:p w14:paraId="6DA966A3">
      <w:pPr>
        <w:shd w:val="clear" w:color="auto" w:fill="auto"/>
        <w:spacing w:line="360" w:lineRule="auto"/>
        <w:ind w:firstLine="482" w:firstLineChars="200"/>
        <w:jc w:val="left"/>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10C2EF87">
      <w:pPr>
        <w:shd w:val="clear" w:color="auto" w:fill="auto"/>
        <w:spacing w:line="360" w:lineRule="auto"/>
        <w:ind w:firstLine="482" w:firstLineChars="200"/>
        <w:jc w:val="left"/>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color w:val="auto"/>
          <w:sz w:val="24"/>
          <w:szCs w:val="24"/>
          <w:highlight w:val="none"/>
          <w:u w:val="single"/>
        </w:rPr>
        <w:t>              </w:t>
      </w:r>
    </w:p>
    <w:p w14:paraId="236C98DA">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依照《中华人民共和国民法典》、《中华人民共和国建筑法》及有关法律规定，根据</w:t>
      </w:r>
      <w:r>
        <w:rPr>
          <w:rFonts w:hint="eastAsia" w:hAnsi="宋体" w:cs="宋体"/>
          <w:color w:val="auto"/>
          <w:sz w:val="24"/>
          <w:szCs w:val="24"/>
          <w:highlight w:val="none"/>
          <w:u w:val="single"/>
          <w:lang w:val="en-US" w:eastAsia="zh-CN"/>
        </w:rPr>
        <w:t xml:space="preserve">          项目</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 xml:space="preserve">编号：   ）招标结果，双方遵循平等、自愿、公平和诚实信用的原则，就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施工及有关事项协商一致，共同达成如下协议：</w:t>
      </w:r>
    </w:p>
    <w:p w14:paraId="4518F4CB">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bookmarkStart w:id="243" w:name="_Toc351203481"/>
      <w:r>
        <w:rPr>
          <w:rFonts w:hint="eastAsia" w:ascii="宋体" w:hAnsi="宋体" w:eastAsia="宋体" w:cs="宋体"/>
          <w:color w:val="auto"/>
          <w:sz w:val="24"/>
          <w:szCs w:val="24"/>
          <w:highlight w:val="none"/>
          <w:u w:val="single"/>
        </w:rPr>
        <w:t>一、工程概况</w:t>
      </w:r>
      <w:bookmarkEnd w:id="243"/>
    </w:p>
    <w:p w14:paraId="779B14BC">
      <w:pPr>
        <w:shd w:val="clear" w:color="auto" w:fill="auto"/>
        <w:spacing w:line="36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1.工程名称：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5B8F8738">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2.工程地点：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7768BAED">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3.工程立项批准文号：</w:t>
      </w:r>
      <w:r>
        <w:rPr>
          <w:rFonts w:hint="eastAsia" w:ascii="宋体" w:hAnsi="宋体" w:eastAsia="宋体" w:cs="宋体"/>
          <w:color w:val="auto"/>
          <w:sz w:val="24"/>
          <w:szCs w:val="24"/>
          <w:highlight w:val="none"/>
          <w:u w:val="single"/>
        </w:rPr>
        <w:t>    。</w:t>
      </w:r>
    </w:p>
    <w:p w14:paraId="1D65D9C7">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4.资金来源：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29DA038">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5.工程内容：</w:t>
      </w:r>
      <w:r>
        <w:rPr>
          <w:rFonts w:hint="eastAsia" w:ascii="宋体" w:hAnsi="宋体" w:eastAsia="宋体" w:cs="宋体"/>
          <w:color w:val="auto"/>
          <w:sz w:val="24"/>
          <w:szCs w:val="24"/>
          <w:highlight w:val="none"/>
          <w:u w:val="single"/>
        </w:rPr>
        <w:t>    。</w:t>
      </w:r>
    </w:p>
    <w:p w14:paraId="374BE7A0">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群体工程应附《承包人承揽工程项目一览表》（附件1）。</w:t>
      </w:r>
    </w:p>
    <w:p w14:paraId="5A087C81">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6.工程承包范围：</w:t>
      </w:r>
    </w:p>
    <w:p w14:paraId="01F04FB6">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，具体内容详见竞争性磋商文件、图纸及工程量清单。</w:t>
      </w:r>
    </w:p>
    <w:p w14:paraId="5BCB410E">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bookmarkStart w:id="244" w:name="_Toc351203482"/>
      <w:r>
        <w:rPr>
          <w:rFonts w:hint="eastAsia" w:ascii="宋体" w:hAnsi="宋体" w:eastAsia="宋体" w:cs="宋体"/>
          <w:color w:val="auto"/>
          <w:sz w:val="24"/>
          <w:szCs w:val="24"/>
          <w:highlight w:val="none"/>
        </w:rPr>
        <w:t>二、合同工期</w:t>
      </w:r>
      <w:bookmarkEnd w:id="244"/>
    </w:p>
    <w:p w14:paraId="1047AA04">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计划开工日期：年月日。</w:t>
      </w:r>
    </w:p>
    <w:p w14:paraId="59EC99AF">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计划竣工日期：年月日。</w:t>
      </w:r>
    </w:p>
    <w:p w14:paraId="5E0191F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75E24F0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45" w:name="_Toc351203483"/>
      <w:r>
        <w:rPr>
          <w:rFonts w:hint="eastAsia" w:ascii="宋体" w:hAnsi="宋体" w:eastAsia="宋体" w:cs="宋体"/>
          <w:color w:val="auto"/>
          <w:sz w:val="24"/>
          <w:szCs w:val="24"/>
          <w:highlight w:val="none"/>
        </w:rPr>
        <w:t>三、质量标准</w:t>
      </w:r>
      <w:bookmarkEnd w:id="245"/>
    </w:p>
    <w:p w14:paraId="136754A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标准。</w:t>
      </w:r>
    </w:p>
    <w:p w14:paraId="0CACA19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46" w:name="_Toc351203484"/>
      <w:r>
        <w:rPr>
          <w:rFonts w:hint="eastAsia" w:ascii="宋体" w:hAnsi="宋体" w:eastAsia="宋体" w:cs="宋体"/>
          <w:color w:val="auto"/>
          <w:sz w:val="24"/>
          <w:szCs w:val="24"/>
          <w:highlight w:val="none"/>
        </w:rPr>
        <w:t>四、签约合同价与合同价格形式</w:t>
      </w:r>
      <w:bookmarkEnd w:id="246"/>
    </w:p>
    <w:p w14:paraId="0471826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33C22C34">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            元)；</w:t>
      </w:r>
    </w:p>
    <w:p w14:paraId="0D3B917B">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其中：</w:t>
      </w:r>
    </w:p>
    <w:p w14:paraId="73CAE9F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38313E84">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          元)；</w:t>
      </w:r>
    </w:p>
    <w:p w14:paraId="5021CBDF">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（2）材料和工程设备暂估价金额：</w:t>
      </w:r>
    </w:p>
    <w:p w14:paraId="29F6465A">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人民币（大写） </w:t>
      </w:r>
      <w:r>
        <w:rPr>
          <w:rFonts w:hint="eastAsia" w:ascii="宋体" w:hAnsi="宋体" w:eastAsia="宋体" w:cs="宋体"/>
          <w:color w:val="auto"/>
          <w:sz w:val="24"/>
          <w:szCs w:val="24"/>
          <w:highlight w:val="none"/>
          <w:u w:val="single"/>
        </w:rPr>
        <w:t xml:space="preserve">              (¥          元)；</w:t>
      </w:r>
    </w:p>
    <w:p w14:paraId="4ADF5BD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54118003">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          元)；</w:t>
      </w:r>
    </w:p>
    <w:p w14:paraId="7C8A4B67">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0E861325">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          元)。</w:t>
      </w:r>
    </w:p>
    <w:p w14:paraId="0805D367">
      <w:pPr>
        <w:widowControl w:val="0"/>
        <w:shd w:val="clear" w:color="auto" w:fill="auto"/>
        <w:ind w:firstLine="420"/>
        <w:jc w:val="both"/>
        <w:rPr>
          <w:rFonts w:hint="eastAsia" w:ascii="宋体" w:hAnsi="宋体" w:eastAsia="宋体" w:cs="宋体"/>
          <w:snapToGrid/>
          <w:color w:val="auto"/>
          <w:kern w:val="2"/>
          <w:sz w:val="24"/>
          <w:szCs w:val="22"/>
          <w:highlight w:val="none"/>
          <w:lang w:val="en-US" w:eastAsia="zh-CN" w:bidi="ar-SA"/>
        </w:rPr>
      </w:pPr>
      <w:r>
        <w:rPr>
          <w:rFonts w:hint="eastAsia" w:ascii="宋体" w:hAnsi="宋体" w:eastAsia="宋体" w:cs="宋体"/>
          <w:snapToGrid/>
          <w:color w:val="auto"/>
          <w:kern w:val="2"/>
          <w:sz w:val="24"/>
          <w:szCs w:val="22"/>
          <w:highlight w:val="none"/>
          <w:lang w:val="en-US" w:eastAsia="zh-CN" w:bidi="ar-SA"/>
        </w:rPr>
        <w:t>2.合同价格形式：</w:t>
      </w:r>
      <w:r>
        <w:rPr>
          <w:rFonts w:hint="eastAsia" w:ascii="宋体" w:hAnsi="宋体" w:eastAsia="宋体" w:cs="宋体"/>
          <w:snapToGrid/>
          <w:color w:val="auto"/>
          <w:kern w:val="2"/>
          <w:sz w:val="24"/>
          <w:szCs w:val="22"/>
          <w:highlight w:val="none"/>
          <w:u w:val="single"/>
          <w:lang w:val="en-US" w:eastAsia="zh-CN" w:bidi="ar-SA"/>
        </w:rPr>
        <w:t>                                。</w:t>
      </w:r>
    </w:p>
    <w:p w14:paraId="326D8F1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47" w:name="_Toc351203485"/>
      <w:r>
        <w:rPr>
          <w:rFonts w:hint="eastAsia" w:ascii="宋体" w:hAnsi="宋体" w:eastAsia="宋体" w:cs="宋体"/>
          <w:color w:val="auto"/>
          <w:sz w:val="24"/>
          <w:szCs w:val="24"/>
          <w:highlight w:val="none"/>
        </w:rPr>
        <w:t>五、</w:t>
      </w:r>
      <w:bookmarkEnd w:id="247"/>
      <w:r>
        <w:rPr>
          <w:rFonts w:hint="eastAsia" w:ascii="宋体" w:hAnsi="宋体" w:eastAsia="宋体" w:cs="宋体"/>
          <w:color w:val="auto"/>
          <w:sz w:val="24"/>
          <w:szCs w:val="24"/>
          <w:highlight w:val="none"/>
        </w:rPr>
        <w:t>项目负责人</w:t>
      </w:r>
    </w:p>
    <w:p w14:paraId="463BBA1D">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承包人项目负责人：</w:t>
      </w:r>
      <w:r>
        <w:rPr>
          <w:rFonts w:hint="eastAsia" w:ascii="宋体" w:hAnsi="宋体" w:eastAsia="宋体" w:cs="宋体"/>
          <w:color w:val="auto"/>
          <w:sz w:val="24"/>
          <w:szCs w:val="24"/>
          <w:highlight w:val="none"/>
          <w:u w:val="single"/>
        </w:rPr>
        <w:t>                     。</w:t>
      </w:r>
    </w:p>
    <w:p w14:paraId="2B7FE51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48" w:name="_Toc351203486"/>
      <w:r>
        <w:rPr>
          <w:rFonts w:hint="eastAsia" w:ascii="宋体" w:hAnsi="宋体" w:eastAsia="宋体" w:cs="宋体"/>
          <w:color w:val="auto"/>
          <w:sz w:val="24"/>
          <w:szCs w:val="24"/>
          <w:highlight w:val="none"/>
        </w:rPr>
        <w:t>六、合同文件构成</w:t>
      </w:r>
      <w:bookmarkEnd w:id="248"/>
    </w:p>
    <w:p w14:paraId="269950A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w:t>
      </w:r>
    </w:p>
    <w:p w14:paraId="13A8BA4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（如果有）；</w:t>
      </w:r>
    </w:p>
    <w:p w14:paraId="3048D2D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（2）投标函及其附录（如果有）； </w:t>
      </w:r>
    </w:p>
    <w:p w14:paraId="425C5BE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4EDC82F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4F34480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409E11D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p>
    <w:p w14:paraId="59D34CFC">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（7）其他合同文件。</w:t>
      </w:r>
    </w:p>
    <w:p w14:paraId="7B6FD9E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4CCFAF7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71975ED3">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249" w:name="_Toc351203487"/>
      <w:r>
        <w:rPr>
          <w:rFonts w:hint="eastAsia" w:ascii="宋体" w:hAnsi="宋体" w:eastAsia="宋体" w:cs="宋体"/>
          <w:color w:val="auto"/>
          <w:sz w:val="24"/>
          <w:szCs w:val="24"/>
          <w:highlight w:val="none"/>
        </w:rPr>
        <w:t>七、承诺</w:t>
      </w:r>
      <w:bookmarkEnd w:id="249"/>
    </w:p>
    <w:p w14:paraId="441C386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1.发包人承诺按照法律规定履行项目审批手续、筹集工程建设资金并按照合同约定的期限和方式支付合同价款。</w:t>
      </w:r>
    </w:p>
    <w:p w14:paraId="66AB932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5616942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3.发包人和承包人通过招投标形式签订合同的，双方理解并承诺不再就同一工程另行签订与合同实质性内容相悖离的协议。</w:t>
      </w:r>
    </w:p>
    <w:p w14:paraId="0B8B3CDE">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250" w:name="_Toc351203488"/>
      <w:r>
        <w:rPr>
          <w:rFonts w:hint="eastAsia" w:ascii="宋体" w:hAnsi="宋体" w:eastAsia="宋体" w:cs="宋体"/>
          <w:color w:val="auto"/>
          <w:sz w:val="24"/>
          <w:szCs w:val="24"/>
          <w:highlight w:val="none"/>
        </w:rPr>
        <w:t xml:space="preserve">    八、词语含义</w:t>
      </w:r>
      <w:bookmarkEnd w:id="250"/>
    </w:p>
    <w:p w14:paraId="471C8E7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本协议书中词语含义与第二部分通用合同条款中赋予的含义相同。</w:t>
      </w:r>
    </w:p>
    <w:p w14:paraId="58D6C82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51" w:name="_Toc351203489"/>
      <w:r>
        <w:rPr>
          <w:rFonts w:hint="eastAsia" w:ascii="宋体" w:hAnsi="宋体" w:eastAsia="宋体" w:cs="宋体"/>
          <w:color w:val="auto"/>
          <w:sz w:val="24"/>
          <w:szCs w:val="24"/>
          <w:highlight w:val="none"/>
        </w:rPr>
        <w:t>九、签订时间</w:t>
      </w:r>
      <w:bookmarkEnd w:id="251"/>
    </w:p>
    <w:p w14:paraId="13787D4D">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日签订。</w:t>
      </w:r>
    </w:p>
    <w:p w14:paraId="3861ADA0">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bookmarkStart w:id="252" w:name="_Toc351203490"/>
      <w:r>
        <w:rPr>
          <w:rFonts w:hint="eastAsia" w:ascii="宋体" w:hAnsi="宋体" w:eastAsia="宋体" w:cs="宋体"/>
          <w:color w:val="auto"/>
          <w:sz w:val="24"/>
          <w:szCs w:val="24"/>
          <w:highlight w:val="none"/>
        </w:rPr>
        <w:t>十、签订地点</w:t>
      </w:r>
      <w:bookmarkEnd w:id="252"/>
    </w:p>
    <w:p w14:paraId="5AAC0C14">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本合同在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签订。</w:t>
      </w:r>
    </w:p>
    <w:p w14:paraId="2BFA75F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53" w:name="_Toc351203491"/>
      <w:r>
        <w:rPr>
          <w:rFonts w:hint="eastAsia" w:ascii="宋体" w:hAnsi="宋体" w:eastAsia="宋体" w:cs="宋体"/>
          <w:color w:val="auto"/>
          <w:sz w:val="24"/>
          <w:szCs w:val="24"/>
          <w:highlight w:val="none"/>
        </w:rPr>
        <w:t>十一、补充协议</w:t>
      </w:r>
      <w:bookmarkEnd w:id="253"/>
    </w:p>
    <w:p w14:paraId="1EB76FD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合同未尽事宜，合同当事人另行签订补充协议，补充协议是合同的组成部分。</w:t>
      </w:r>
    </w:p>
    <w:p w14:paraId="77A4D56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54" w:name="_Toc351203492"/>
      <w:r>
        <w:rPr>
          <w:rFonts w:hint="eastAsia" w:ascii="宋体" w:hAnsi="宋体" w:eastAsia="宋体" w:cs="宋体"/>
          <w:color w:val="auto"/>
          <w:sz w:val="24"/>
          <w:szCs w:val="24"/>
          <w:highlight w:val="none"/>
        </w:rPr>
        <w:t>十二、合同生效</w:t>
      </w:r>
      <w:bookmarkEnd w:id="254"/>
    </w:p>
    <w:p w14:paraId="7B7D4C5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bCs/>
          <w:color w:val="auto"/>
          <w:sz w:val="24"/>
          <w:szCs w:val="24"/>
          <w:highlight w:val="none"/>
          <w:u w:val="single"/>
        </w:rPr>
        <w:t xml:space="preserve"> 双方法定代表人或者委托代理人签字并加盖公章之日起 </w:t>
      </w:r>
      <w:r>
        <w:rPr>
          <w:rFonts w:hint="eastAsia" w:ascii="宋体" w:hAnsi="宋体" w:eastAsia="宋体" w:cs="宋体"/>
          <w:color w:val="auto"/>
          <w:sz w:val="24"/>
          <w:szCs w:val="24"/>
          <w:highlight w:val="none"/>
        </w:rPr>
        <w:t>生效。</w:t>
      </w:r>
    </w:p>
    <w:p w14:paraId="46CDBA8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55" w:name="_Toc351203493"/>
      <w:r>
        <w:rPr>
          <w:rFonts w:hint="eastAsia" w:ascii="宋体" w:hAnsi="宋体" w:eastAsia="宋体" w:cs="宋体"/>
          <w:color w:val="auto"/>
          <w:sz w:val="24"/>
          <w:szCs w:val="24"/>
          <w:highlight w:val="none"/>
        </w:rPr>
        <w:t>十三、合同份数</w:t>
      </w:r>
      <w:bookmarkEnd w:id="255"/>
    </w:p>
    <w:p w14:paraId="032067D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    份，均具有同等法律效力，发包人执    份，承包人执    份。</w:t>
      </w:r>
    </w:p>
    <w:p w14:paraId="17736263">
      <w:pPr>
        <w:shd w:val="clear" w:color="auto" w:fill="auto"/>
        <w:spacing w:line="360" w:lineRule="auto"/>
        <w:jc w:val="left"/>
        <w:rPr>
          <w:rFonts w:hint="eastAsia" w:ascii="宋体" w:hAnsi="宋体" w:eastAsia="宋体" w:cs="宋体"/>
          <w:color w:val="auto"/>
          <w:sz w:val="24"/>
          <w:szCs w:val="24"/>
          <w:highlight w:val="none"/>
          <w:u w:val="single"/>
        </w:rPr>
      </w:pPr>
    </w:p>
    <w:p w14:paraId="6F931D3B">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发包人：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(公章)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承包人：  (公章)</w:t>
      </w:r>
    </w:p>
    <w:p w14:paraId="3C3710B5">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法定代表人或其委托代理人（签字）：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法定代表人或其委托代理人（签字）：</w:t>
      </w:r>
    </w:p>
    <w:p w14:paraId="271973C0">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组织机构代码：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组织机构代码：           </w:t>
      </w:r>
    </w:p>
    <w:p w14:paraId="3210B733">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地  址：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地  址：        </w:t>
      </w:r>
    </w:p>
    <w:p w14:paraId="45241E1F">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邮政编码： 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邮政编码：   </w:t>
      </w:r>
    </w:p>
    <w:p w14:paraId="59F0638B">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法定代表人：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法定代表人：             </w:t>
      </w:r>
    </w:p>
    <w:p w14:paraId="3D48FF15">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委托代理人：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委托代理人：             </w:t>
      </w:r>
    </w:p>
    <w:p w14:paraId="12ADB875">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电  话：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电  话：     </w:t>
      </w:r>
    </w:p>
    <w:p w14:paraId="671938D9">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传  真：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传  真：     </w:t>
      </w:r>
    </w:p>
    <w:p w14:paraId="53DA6E3B">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电子信箱：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电子信箱：   </w:t>
      </w:r>
    </w:p>
    <w:p w14:paraId="2DC1A2BD">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开户银行：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开户银行：   </w:t>
      </w:r>
    </w:p>
    <w:p w14:paraId="65A306E8">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账  号：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账  号：     </w:t>
      </w:r>
    </w:p>
    <w:p w14:paraId="7EFA843C">
      <w:pPr>
        <w:shd w:val="clear" w:color="auto" w:fill="auto"/>
        <w:spacing w:line="360" w:lineRule="auto"/>
        <w:ind w:firstLine="480" w:firstLineChars="200"/>
        <w:jc w:val="center"/>
        <w:outlineLvl w:val="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bookmarkStart w:id="256" w:name="_Toc351203494"/>
      <w:r>
        <w:rPr>
          <w:rFonts w:hint="eastAsia" w:ascii="宋体" w:hAnsi="宋体" w:eastAsia="宋体" w:cs="宋体"/>
          <w:b/>
          <w:bCs/>
          <w:color w:val="auto"/>
          <w:sz w:val="28"/>
          <w:szCs w:val="28"/>
          <w:highlight w:val="none"/>
        </w:rPr>
        <w:t>第二部分 通用合同条款</w:t>
      </w:r>
      <w:bookmarkEnd w:id="256"/>
    </w:p>
    <w:p w14:paraId="70E6B3EE">
      <w:pPr>
        <w:bidi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通用合同条款直接引用《建设工程施工合同（示范文本）》</w:t>
      </w:r>
      <w:r>
        <w:rPr>
          <w:rFonts w:hint="eastAsia" w:ascii="宋体" w:hAnsi="宋体" w:eastAsia="宋体" w:cs="宋体"/>
          <w:bCs/>
          <w:color w:val="auto"/>
          <w:kern w:val="0"/>
          <w:sz w:val="22"/>
          <w:szCs w:val="24"/>
          <w:highlight w:val="none"/>
        </w:rPr>
        <w:t>（GF—2017—0201）</w:t>
      </w:r>
      <w:r>
        <w:rPr>
          <w:rFonts w:hint="eastAsia" w:ascii="宋体" w:hAnsi="宋体" w:eastAsia="宋体" w:cs="宋体"/>
          <w:color w:val="auto"/>
          <w:kern w:val="0"/>
          <w:sz w:val="24"/>
          <w:szCs w:val="24"/>
          <w:highlight w:val="none"/>
        </w:rPr>
        <w:t>的“通用合同条款”。</w:t>
      </w:r>
    </w:p>
    <w:p w14:paraId="08D386DD">
      <w:pPr>
        <w:shd w:val="clear" w:color="auto" w:fill="auto"/>
        <w:spacing w:line="360" w:lineRule="auto"/>
        <w:ind w:firstLine="562" w:firstLineChars="200"/>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第三部分 专用合同条款</w:t>
      </w:r>
    </w:p>
    <w:p w14:paraId="3647E803">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257" w:name="_Toc16991"/>
      <w:bookmarkStart w:id="258" w:name="_Toc14521"/>
      <w:r>
        <w:rPr>
          <w:rFonts w:hint="eastAsia" w:ascii="宋体" w:hAnsi="宋体" w:eastAsia="宋体" w:cs="宋体"/>
          <w:color w:val="auto"/>
          <w:sz w:val="24"/>
          <w:szCs w:val="24"/>
          <w:highlight w:val="none"/>
        </w:rPr>
        <w:t>1</w:t>
      </w:r>
      <w:bookmarkStart w:id="259" w:name="_Toc296346657"/>
      <w:bookmarkStart w:id="260" w:name="_Toc296944495"/>
      <w:bookmarkStart w:id="261" w:name="_Toc297120456"/>
      <w:bookmarkStart w:id="262" w:name="_Toc296890984"/>
      <w:bookmarkStart w:id="263" w:name="_Toc296503156"/>
      <w:bookmarkStart w:id="264" w:name="_Toc292559361"/>
      <w:bookmarkStart w:id="265" w:name="_Toc292559866"/>
      <w:bookmarkStart w:id="266" w:name="_Toc296347155"/>
      <w:bookmarkStart w:id="267" w:name="_Toc296891196"/>
      <w:bookmarkStart w:id="268" w:name="_Toc297048342"/>
      <w:r>
        <w:rPr>
          <w:rFonts w:hint="eastAsia" w:ascii="宋体" w:hAnsi="宋体" w:eastAsia="宋体" w:cs="宋体"/>
          <w:color w:val="auto"/>
          <w:sz w:val="24"/>
          <w:szCs w:val="24"/>
          <w:highlight w:val="none"/>
        </w:rPr>
        <w:t>. 一般约定</w:t>
      </w:r>
      <w:bookmarkEnd w:id="257"/>
      <w:bookmarkEnd w:id="258"/>
    </w:p>
    <w:bookmarkEnd w:id="259"/>
    <w:bookmarkEnd w:id="260"/>
    <w:bookmarkEnd w:id="261"/>
    <w:bookmarkEnd w:id="262"/>
    <w:bookmarkEnd w:id="263"/>
    <w:bookmarkEnd w:id="264"/>
    <w:bookmarkEnd w:id="265"/>
    <w:bookmarkEnd w:id="266"/>
    <w:bookmarkEnd w:id="267"/>
    <w:bookmarkEnd w:id="268"/>
    <w:p w14:paraId="12414A8A">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269" w:name="_Toc4341"/>
      <w:r>
        <w:rPr>
          <w:rFonts w:hint="eastAsia" w:ascii="宋体" w:hAnsi="宋体" w:eastAsia="宋体" w:cs="宋体"/>
          <w:color w:val="auto"/>
          <w:sz w:val="24"/>
          <w:szCs w:val="24"/>
          <w:highlight w:val="none"/>
        </w:rPr>
        <w:t>1.1 词语定义</w:t>
      </w:r>
      <w:bookmarkEnd w:id="269"/>
    </w:p>
    <w:p w14:paraId="37917A3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1.1.1合同</w:t>
      </w:r>
    </w:p>
    <w:p w14:paraId="5271EE8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1.1.1.10其他合同文件包括：</w:t>
      </w:r>
      <w:r>
        <w:rPr>
          <w:rFonts w:hint="eastAsia" w:ascii="宋体" w:hAnsi="宋体" w:eastAsia="宋体" w:cs="宋体"/>
          <w:color w:val="auto"/>
          <w:sz w:val="24"/>
          <w:szCs w:val="24"/>
          <w:highlight w:val="none"/>
          <w:u w:val="single"/>
        </w:rPr>
        <w:t>竞争性磋商文件、磋商答疑、响应文件、双方有关工程的洽商、变更、工作联系函、现场签证、索赔等书面记录和文件、发包人（或）工程师有关通知及工程会议纪要、经发包人及监理人审批同意的施工组织设计、专项施工方案等、经全过程跟踪审计单位审核签认的造价书（含进度款及其他项目审核等）；工程进行过程中双方认可的有关信件、数据电文（电报、电传、传真、电子数据交换和电子邮件）。</w:t>
      </w:r>
    </w:p>
    <w:p w14:paraId="1419587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228073D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4EA0DCB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F74E07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3D071F9">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F5BDCC">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3889E2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B9E985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208C4A2B">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157A31D">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39363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DE26D0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BEC45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C4DE4A7">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2D7C5DB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1FB91F7">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1.1.3.9 永久占地包括：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C320F2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1.1.3.10 临时占地包括：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373BDE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72C0DE3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《中华人民共和国建筑法》、《中华人民共和国民法典》和现行国家和地方法律、法规和规章。</w:t>
      </w:r>
    </w:p>
    <w:p w14:paraId="00D12DC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344DDF8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按国家颁布的现行施工验收规范和响应文件《施工组织设计》中所列规范、标准、条例等相关法律。</w:t>
      </w:r>
    </w:p>
    <w:p w14:paraId="3B17288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发包人提供国外标准、规范的名称：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46CE08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发包人提供国外标准、规范的份数：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6C1879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6D1B1A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严格按照国家现行建筑行业相关质量标准执行。</w:t>
      </w:r>
    </w:p>
    <w:p w14:paraId="2DD88734">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270" w:name="_Toc11825"/>
      <w:r>
        <w:rPr>
          <w:rFonts w:hint="eastAsia" w:ascii="宋体" w:hAnsi="宋体" w:eastAsia="宋体" w:cs="宋体"/>
          <w:color w:val="auto"/>
          <w:sz w:val="24"/>
          <w:szCs w:val="24"/>
          <w:highlight w:val="none"/>
        </w:rPr>
        <w:t>1.5 合同文件的优先顺序</w:t>
      </w:r>
      <w:bookmarkEnd w:id="270"/>
    </w:p>
    <w:p w14:paraId="49D01F7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p>
    <w:p w14:paraId="409F29FF">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（1）合同协议书；</w:t>
      </w:r>
    </w:p>
    <w:p w14:paraId="064EC89C">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（2）成交通知书；</w:t>
      </w:r>
    </w:p>
    <w:p w14:paraId="302904D9">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（3）投标函及其附录（磋商申请函及附录）；</w:t>
      </w:r>
    </w:p>
    <w:p w14:paraId="2AA75837">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（4）专用合同条款及其附件；</w:t>
      </w:r>
    </w:p>
    <w:p w14:paraId="025D57E6">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（5）竞争性磋商文件及答疑（含工程量清单）；</w:t>
      </w:r>
    </w:p>
    <w:p w14:paraId="12EC812A">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（6）通用合同条款；</w:t>
      </w:r>
    </w:p>
    <w:p w14:paraId="21626EE2">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（7）技术标准、要求及有关技术文件；</w:t>
      </w:r>
    </w:p>
    <w:p w14:paraId="6F8FE458">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（8）响应文件；</w:t>
      </w:r>
    </w:p>
    <w:p w14:paraId="7F82575E">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）双方有关工程的洽商、变更、工作联系函、现场签证、索赔等书面记录和文件；</w:t>
      </w:r>
    </w:p>
    <w:p w14:paraId="5CE6AA27">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）发包人和（或）工程师有关通知及工程会议纪要；</w:t>
      </w:r>
    </w:p>
    <w:p w14:paraId="781D1DCA">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）经发包人、监理人审批同意的施工组织设计、专项施工方案等；</w:t>
      </w:r>
    </w:p>
    <w:p w14:paraId="0AE96E5A">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）工程进行过程中的有关信件、数据电文（电报、电传、传真、电子数据交换和电子邮件）。</w:t>
      </w:r>
    </w:p>
    <w:p w14:paraId="4A0120D2">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271" w:name="_Toc31922"/>
      <w:r>
        <w:rPr>
          <w:rFonts w:hint="eastAsia" w:ascii="宋体" w:hAnsi="宋体" w:eastAsia="宋体" w:cs="宋体"/>
          <w:color w:val="auto"/>
          <w:sz w:val="24"/>
          <w:szCs w:val="24"/>
          <w:highlight w:val="none"/>
        </w:rPr>
        <w:t>1.6 图纸和承包人文件</w:t>
      </w:r>
      <w:bookmarkEnd w:id="271"/>
      <w:r>
        <w:rPr>
          <w:rFonts w:hint="eastAsia" w:ascii="宋体" w:hAnsi="宋体" w:eastAsia="宋体" w:cs="宋体"/>
          <w:color w:val="auto"/>
          <w:sz w:val="24"/>
          <w:szCs w:val="24"/>
          <w:highlight w:val="none"/>
        </w:rPr>
        <w:tab/>
      </w:r>
    </w:p>
    <w:p w14:paraId="66E9167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5532EBA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448EB4C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3F1A65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0C84F0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06D90FB8">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（1）施工组织设计；（2）按工程所在地建设行政主管部门要求编制专项施工方案；（3）国家、云南省相关建设行政主管部门规定需由承包人提供的文件；</w:t>
      </w:r>
    </w:p>
    <w:p w14:paraId="71DB67D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承包人取得图纸后  天内</w:t>
      </w:r>
      <w:r>
        <w:rPr>
          <w:rFonts w:hint="eastAsia" w:ascii="宋体" w:hAnsi="宋体" w:eastAsia="宋体" w:cs="宋体"/>
          <w:color w:val="auto"/>
          <w:sz w:val="24"/>
          <w:szCs w:val="24"/>
          <w:highlight w:val="none"/>
        </w:rPr>
        <w:t>；</w:t>
      </w:r>
    </w:p>
    <w:p w14:paraId="49262F1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 xml:space="preserve">    份</w:t>
      </w:r>
      <w:r>
        <w:rPr>
          <w:rFonts w:hint="eastAsia" w:ascii="宋体" w:hAnsi="宋体" w:eastAsia="宋体" w:cs="宋体"/>
          <w:color w:val="auto"/>
          <w:sz w:val="24"/>
          <w:szCs w:val="24"/>
          <w:highlight w:val="none"/>
        </w:rPr>
        <w:t>；</w:t>
      </w:r>
    </w:p>
    <w:p w14:paraId="5588253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承包人提供的文件的形式为：书面形式和电子版形式；</w:t>
      </w:r>
    </w:p>
    <w:p w14:paraId="45896A8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发包人审批承包人文件的期限：发包人在收到监理人审核同意的承包人文件后   天内审查完毕。</w:t>
      </w:r>
    </w:p>
    <w:p w14:paraId="4E8BD25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5F5D409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关于现场图纸准备的约定：按《通用条款》执行。</w:t>
      </w:r>
    </w:p>
    <w:p w14:paraId="101FF2ED">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272" w:name="_Toc6915"/>
      <w:r>
        <w:rPr>
          <w:rFonts w:hint="eastAsia" w:ascii="宋体" w:hAnsi="宋体" w:eastAsia="宋体" w:cs="宋体"/>
          <w:color w:val="auto"/>
          <w:sz w:val="24"/>
          <w:szCs w:val="24"/>
          <w:highlight w:val="none"/>
        </w:rPr>
        <w:t>1.7 联络</w:t>
      </w:r>
      <w:bookmarkEnd w:id="272"/>
    </w:p>
    <w:p w14:paraId="16E6569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1.7.1发包人和承包人应当在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天内将与合同有关的通知、批准、证明、证书、指示、指令、要求、请求、同意、意见、确定和决定等书面函件送达对方当事人。</w:t>
      </w:r>
    </w:p>
    <w:p w14:paraId="1DF30F1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发包人接收文件的地点：</w:t>
      </w:r>
      <w:r>
        <w:rPr>
          <w:rFonts w:hint="eastAsia" w:ascii="宋体" w:hAnsi="宋体" w:eastAsia="宋体" w:cs="宋体"/>
          <w:color w:val="auto"/>
          <w:sz w:val="24"/>
          <w:szCs w:val="24"/>
          <w:highlight w:val="none"/>
          <w:u w:val="single"/>
        </w:rPr>
        <w:t>工程施工现场或发包人办公地点</w:t>
      </w:r>
      <w:r>
        <w:rPr>
          <w:rFonts w:hint="eastAsia" w:ascii="宋体" w:hAnsi="宋体" w:eastAsia="宋体" w:cs="宋体"/>
          <w:color w:val="auto"/>
          <w:sz w:val="24"/>
          <w:szCs w:val="24"/>
          <w:highlight w:val="none"/>
        </w:rPr>
        <w:t>；</w:t>
      </w:r>
    </w:p>
    <w:p w14:paraId="21FC3D2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发包人指定的接收人为：</w:t>
      </w: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4199DAB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r>
        <w:rPr>
          <w:rFonts w:hint="eastAsia" w:ascii="宋体" w:hAnsi="宋体" w:eastAsia="宋体" w:cs="宋体"/>
          <w:color w:val="auto"/>
          <w:sz w:val="24"/>
          <w:szCs w:val="24"/>
          <w:highlight w:val="none"/>
          <w:u w:val="single"/>
        </w:rPr>
        <w:t>工程施工现场</w:t>
      </w:r>
      <w:r>
        <w:rPr>
          <w:rFonts w:hint="eastAsia" w:ascii="宋体" w:hAnsi="宋体" w:eastAsia="宋体" w:cs="宋体"/>
          <w:color w:val="auto"/>
          <w:sz w:val="24"/>
          <w:szCs w:val="24"/>
          <w:highlight w:val="none"/>
        </w:rPr>
        <w:t>；</w:t>
      </w:r>
    </w:p>
    <w:p w14:paraId="767A0A1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承包人指定的接收人为：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9576767">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监理人接收文件的地点：</w:t>
      </w:r>
      <w:r>
        <w:rPr>
          <w:rFonts w:hint="eastAsia" w:ascii="宋体" w:hAnsi="宋体" w:eastAsia="宋体" w:cs="宋体"/>
          <w:color w:val="auto"/>
          <w:sz w:val="24"/>
          <w:szCs w:val="24"/>
          <w:highlight w:val="none"/>
          <w:u w:val="single"/>
        </w:rPr>
        <w:t>工程施工现场</w:t>
      </w:r>
      <w:r>
        <w:rPr>
          <w:rFonts w:hint="eastAsia" w:ascii="宋体" w:hAnsi="宋体" w:eastAsia="宋体" w:cs="宋体"/>
          <w:color w:val="auto"/>
          <w:sz w:val="24"/>
          <w:szCs w:val="24"/>
          <w:highlight w:val="none"/>
        </w:rPr>
        <w:t>；</w:t>
      </w:r>
    </w:p>
    <w:p w14:paraId="7C15C6C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70FD2DD0">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273" w:name="_Toc27975"/>
      <w:r>
        <w:rPr>
          <w:rFonts w:hint="eastAsia" w:ascii="宋体" w:hAnsi="宋体" w:eastAsia="宋体" w:cs="宋体"/>
          <w:color w:val="auto"/>
          <w:sz w:val="24"/>
          <w:szCs w:val="24"/>
          <w:highlight w:val="none"/>
        </w:rPr>
        <w:t>1.10 交通运输</w:t>
      </w:r>
      <w:bookmarkEnd w:id="273"/>
    </w:p>
    <w:p w14:paraId="68EE6000">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274" w:name="_Toc20165"/>
      <w:r>
        <w:rPr>
          <w:rFonts w:hint="eastAsia" w:ascii="宋体" w:hAnsi="宋体" w:eastAsia="宋体" w:cs="宋体"/>
          <w:color w:val="auto"/>
          <w:sz w:val="24"/>
          <w:szCs w:val="24"/>
          <w:highlight w:val="none"/>
        </w:rPr>
        <w:t>1</w:t>
      </w:r>
      <w:bookmarkStart w:id="275" w:name="_Toc303539100"/>
      <w:bookmarkStart w:id="276" w:name="_Toc312677986"/>
      <w:bookmarkStart w:id="277" w:name="_Toc300934943"/>
      <w:bookmarkStart w:id="278" w:name="_Toc304295521"/>
      <w:bookmarkStart w:id="279" w:name="_Toc318581155"/>
      <w:r>
        <w:rPr>
          <w:rFonts w:hint="eastAsia" w:ascii="宋体" w:hAnsi="宋体" w:eastAsia="宋体" w:cs="宋体"/>
          <w:color w:val="auto"/>
          <w:sz w:val="24"/>
          <w:szCs w:val="24"/>
          <w:highlight w:val="none"/>
        </w:rPr>
        <w:t>.10.1 出入现场的权利</w:t>
      </w:r>
      <w:bookmarkEnd w:id="274"/>
    </w:p>
    <w:p w14:paraId="4F2170A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遵守施工现场实际情况协商约定</w:t>
      </w:r>
      <w:r>
        <w:rPr>
          <w:rFonts w:hint="eastAsia" w:ascii="宋体" w:hAnsi="宋体" w:eastAsia="宋体" w:cs="宋体"/>
          <w:color w:val="auto"/>
          <w:sz w:val="24"/>
          <w:szCs w:val="24"/>
          <w:highlight w:val="none"/>
        </w:rPr>
        <w:t>。</w:t>
      </w:r>
    </w:p>
    <w:bookmarkEnd w:id="275"/>
    <w:bookmarkEnd w:id="276"/>
    <w:bookmarkEnd w:id="277"/>
    <w:bookmarkEnd w:id="278"/>
    <w:bookmarkEnd w:id="279"/>
    <w:p w14:paraId="51CF12E3">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280" w:name="_Toc16796"/>
      <w:r>
        <w:rPr>
          <w:rFonts w:hint="eastAsia" w:ascii="宋体" w:hAnsi="宋体" w:eastAsia="宋体" w:cs="宋体"/>
          <w:color w:val="auto"/>
          <w:sz w:val="24"/>
          <w:szCs w:val="24"/>
          <w:highlight w:val="none"/>
        </w:rPr>
        <w:t>1</w:t>
      </w:r>
      <w:bookmarkStart w:id="281" w:name="_Toc318581156"/>
      <w:bookmarkStart w:id="282" w:name="_Toc300934944"/>
      <w:bookmarkStart w:id="283" w:name="_Toc303539101"/>
      <w:bookmarkStart w:id="284" w:name="_Toc312677987"/>
      <w:bookmarkStart w:id="285" w:name="_Toc304295522"/>
      <w:r>
        <w:rPr>
          <w:rFonts w:hint="eastAsia" w:ascii="宋体" w:hAnsi="宋体" w:eastAsia="宋体" w:cs="宋体"/>
          <w:color w:val="auto"/>
          <w:sz w:val="24"/>
          <w:szCs w:val="24"/>
          <w:highlight w:val="none"/>
        </w:rPr>
        <w:t>.10.3 场内交通</w:t>
      </w:r>
      <w:bookmarkEnd w:id="280"/>
    </w:p>
    <w:p w14:paraId="2ABFAC8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关于场外交通和场内交通的边界的约定：</w:t>
      </w:r>
      <w:r>
        <w:rPr>
          <w:rFonts w:hint="eastAsia" w:ascii="宋体" w:hAnsi="宋体" w:eastAsia="宋体" w:cs="宋体"/>
          <w:color w:val="auto"/>
          <w:sz w:val="24"/>
          <w:szCs w:val="24"/>
          <w:highlight w:val="none"/>
          <w:u w:val="single"/>
        </w:rPr>
        <w:t>遵守施工现场实际情况协商约定。</w:t>
      </w:r>
    </w:p>
    <w:p w14:paraId="41B44014">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按施工现场实际情况协商约定。</w:t>
      </w:r>
      <w:bookmarkEnd w:id="281"/>
      <w:bookmarkEnd w:id="282"/>
      <w:bookmarkEnd w:id="283"/>
      <w:bookmarkEnd w:id="284"/>
      <w:bookmarkEnd w:id="285"/>
      <w:bookmarkStart w:id="286" w:name="_Toc318581157"/>
    </w:p>
    <w:p w14:paraId="67BF76D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23D05EB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双方协商确定</w:t>
      </w:r>
      <w:r>
        <w:rPr>
          <w:rFonts w:hint="eastAsia" w:ascii="宋体" w:hAnsi="宋体" w:eastAsia="宋体" w:cs="宋体"/>
          <w:color w:val="auto"/>
          <w:sz w:val="24"/>
          <w:szCs w:val="24"/>
          <w:highlight w:val="none"/>
        </w:rPr>
        <w:t>承担。</w:t>
      </w:r>
    </w:p>
    <w:bookmarkEnd w:id="286"/>
    <w:p w14:paraId="32F90DDF">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287" w:name="_Toc660"/>
      <w:r>
        <w:rPr>
          <w:rFonts w:hint="eastAsia" w:ascii="宋体" w:hAnsi="宋体" w:eastAsia="宋体" w:cs="宋体"/>
          <w:color w:val="auto"/>
          <w:sz w:val="24"/>
          <w:szCs w:val="24"/>
          <w:highlight w:val="none"/>
        </w:rPr>
        <w:t>1.11 知识产权</w:t>
      </w:r>
      <w:bookmarkEnd w:id="287"/>
    </w:p>
    <w:p w14:paraId="64A75A0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归发包人所有</w:t>
      </w:r>
      <w:r>
        <w:rPr>
          <w:rFonts w:hint="eastAsia" w:ascii="宋体" w:hAnsi="宋体" w:eastAsia="宋体" w:cs="宋体"/>
          <w:color w:val="auto"/>
          <w:sz w:val="24"/>
          <w:szCs w:val="24"/>
          <w:highlight w:val="none"/>
        </w:rPr>
        <w:t>。</w:t>
      </w:r>
    </w:p>
    <w:p w14:paraId="4737ACF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双方协商确定</w:t>
      </w:r>
      <w:r>
        <w:rPr>
          <w:rFonts w:hint="eastAsia" w:ascii="宋体" w:hAnsi="宋体" w:eastAsia="宋体" w:cs="宋体"/>
          <w:color w:val="auto"/>
          <w:sz w:val="24"/>
          <w:szCs w:val="24"/>
          <w:highlight w:val="none"/>
        </w:rPr>
        <w:t>。</w:t>
      </w:r>
    </w:p>
    <w:p w14:paraId="426FA22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归发包人所有</w:t>
      </w:r>
      <w:r>
        <w:rPr>
          <w:rFonts w:hint="eastAsia" w:ascii="宋体" w:hAnsi="宋体" w:eastAsia="宋体" w:cs="宋体"/>
          <w:color w:val="auto"/>
          <w:sz w:val="24"/>
          <w:szCs w:val="24"/>
          <w:highlight w:val="none"/>
        </w:rPr>
        <w:t>。</w:t>
      </w:r>
    </w:p>
    <w:p w14:paraId="48B4B59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          。</w:t>
      </w:r>
    </w:p>
    <w:p w14:paraId="4213F333">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bookmarkStart w:id="288" w:name="_Toc5351"/>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双方协商确定。</w:t>
      </w:r>
      <w:bookmarkEnd w:id="288"/>
    </w:p>
    <w:p w14:paraId="081BEC6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506B519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不调整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CA71136">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不允许 。</w:t>
      </w:r>
    </w:p>
    <w:p w14:paraId="7D0AA580">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289" w:name="_Toc22620"/>
      <w:bookmarkStart w:id="290" w:name="_Toc14640"/>
      <w:r>
        <w:rPr>
          <w:rFonts w:hint="eastAsia" w:ascii="宋体" w:hAnsi="宋体" w:eastAsia="宋体" w:cs="宋体"/>
          <w:color w:val="auto"/>
          <w:sz w:val="24"/>
          <w:szCs w:val="24"/>
          <w:highlight w:val="none"/>
        </w:rPr>
        <w:t>2</w:t>
      </w:r>
      <w:bookmarkStart w:id="291" w:name="_Toc296891197"/>
      <w:bookmarkStart w:id="292" w:name="_Toc292559362"/>
      <w:bookmarkStart w:id="293" w:name="_Toc297120457"/>
      <w:bookmarkStart w:id="294" w:name="_Toc296503157"/>
      <w:bookmarkStart w:id="295" w:name="_Toc296346658"/>
      <w:bookmarkStart w:id="296" w:name="_Toc296347156"/>
      <w:bookmarkStart w:id="297" w:name="_Toc292559867"/>
      <w:bookmarkStart w:id="298" w:name="_Toc296944496"/>
      <w:bookmarkStart w:id="299" w:name="_Toc296890985"/>
      <w:bookmarkStart w:id="300" w:name="_Toc297048343"/>
      <w:r>
        <w:rPr>
          <w:rFonts w:hint="eastAsia" w:ascii="宋体" w:hAnsi="宋体" w:eastAsia="宋体" w:cs="宋体"/>
          <w:color w:val="auto"/>
          <w:sz w:val="24"/>
          <w:szCs w:val="24"/>
          <w:highlight w:val="none"/>
        </w:rPr>
        <w:t>. 发包人</w:t>
      </w:r>
      <w:bookmarkEnd w:id="289"/>
      <w:bookmarkEnd w:id="290"/>
    </w:p>
    <w:bookmarkEnd w:id="291"/>
    <w:bookmarkEnd w:id="292"/>
    <w:bookmarkEnd w:id="293"/>
    <w:bookmarkEnd w:id="294"/>
    <w:bookmarkEnd w:id="295"/>
    <w:bookmarkEnd w:id="296"/>
    <w:bookmarkEnd w:id="297"/>
    <w:bookmarkEnd w:id="298"/>
    <w:bookmarkEnd w:id="299"/>
    <w:bookmarkEnd w:id="300"/>
    <w:p w14:paraId="4DEFB44E">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301" w:name="_Toc27070"/>
      <w:r>
        <w:rPr>
          <w:rFonts w:hint="eastAsia" w:ascii="宋体" w:hAnsi="宋体" w:eastAsia="宋体" w:cs="宋体"/>
          <w:color w:val="auto"/>
          <w:sz w:val="24"/>
          <w:szCs w:val="24"/>
          <w:highlight w:val="none"/>
        </w:rPr>
        <w:t>2.2 发包人代表</w:t>
      </w:r>
      <w:bookmarkEnd w:id="301"/>
    </w:p>
    <w:p w14:paraId="7394175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4794F7E7">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D78F4F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E438F17">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145677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B1F3FA7">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C103DA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704886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1）巡视和监管现场，对承包人及监理人的管理行为进行考核，对其违约行为进行处罚；（2）纠正承包人的错误施工方法；（3）组织监理对承包人提交的施工组织设计及专项施工方案进行审查并书面认可，审批超过一定规模的危险性较大的分部分项工程专项施工方案，签署审批意见，但不承担承包人的施工组织责任；（4）审批承包人提交的工程开工/复工报审表，签署审批意见；（5）审核承包人提交的工程款支付申请，签署审核意见；（6）审核承包人提交的费用索赔申请，签署审核意见；（7）审核承包人提交的工程延期申请，签署审核意见；（8）接受项目负责人委托代表项目负责人组织设计优化、设计变更审核；（9）指令承包人完成与承包人合同义务相关的各项零星工作；（10）接受项目负责人委托代表项目负责人参加工程预验收；（11）为保证合同正常履行而必然隐含的其他权力。</w:t>
      </w:r>
    </w:p>
    <w:p w14:paraId="216B4626">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302" w:name="_Toc12870"/>
      <w:r>
        <w:rPr>
          <w:rFonts w:hint="eastAsia" w:ascii="宋体" w:hAnsi="宋体" w:eastAsia="宋体" w:cs="宋体"/>
          <w:color w:val="auto"/>
          <w:sz w:val="24"/>
          <w:szCs w:val="24"/>
          <w:highlight w:val="none"/>
        </w:rPr>
        <w:t>2.4 施工现场、施工条件和基础资料的提供</w:t>
      </w:r>
      <w:bookmarkEnd w:id="302"/>
    </w:p>
    <w:p w14:paraId="33221557">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52E63AB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在开工前   天</w:t>
      </w:r>
      <w:r>
        <w:rPr>
          <w:rFonts w:hint="eastAsia" w:ascii="宋体" w:hAnsi="宋体" w:eastAsia="宋体" w:cs="宋体"/>
          <w:color w:val="auto"/>
          <w:sz w:val="24"/>
          <w:szCs w:val="24"/>
          <w:highlight w:val="none"/>
        </w:rPr>
        <w:t>。</w:t>
      </w:r>
    </w:p>
    <w:p w14:paraId="0C72245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67F320D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双方协商确定  </w:t>
      </w:r>
      <w:r>
        <w:rPr>
          <w:rFonts w:hint="eastAsia" w:ascii="宋体" w:hAnsi="宋体" w:eastAsia="宋体" w:cs="宋体"/>
          <w:color w:val="auto"/>
          <w:sz w:val="24"/>
          <w:szCs w:val="24"/>
          <w:highlight w:val="none"/>
        </w:rPr>
        <w:t>。</w:t>
      </w:r>
    </w:p>
    <w:p w14:paraId="45898F72">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303" w:name="_Toc29383"/>
      <w:r>
        <w:rPr>
          <w:rFonts w:hint="eastAsia" w:ascii="宋体" w:hAnsi="宋体" w:eastAsia="宋体" w:cs="宋体"/>
          <w:color w:val="auto"/>
          <w:sz w:val="24"/>
          <w:szCs w:val="24"/>
          <w:highlight w:val="none"/>
        </w:rPr>
        <w:t>2.5 资金来源证明及支付担保</w:t>
      </w:r>
      <w:bookmarkEnd w:id="303"/>
    </w:p>
    <w:p w14:paraId="15CC9D0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6FED710">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304" w:name="_Toc2398"/>
      <w:bookmarkStart w:id="305" w:name="_Toc10473"/>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9897E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F4386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306" w:name="_Toc296944497"/>
      <w:bookmarkStart w:id="307" w:name="_Toc297120458"/>
      <w:bookmarkStart w:id="308" w:name="_Toc292559363"/>
      <w:bookmarkStart w:id="309" w:name="_Toc292559868"/>
      <w:bookmarkStart w:id="310" w:name="_Toc296890986"/>
      <w:bookmarkStart w:id="311" w:name="_Toc296347157"/>
      <w:bookmarkStart w:id="312" w:name="_Toc296503158"/>
      <w:bookmarkStart w:id="313" w:name="_Toc296891198"/>
      <w:bookmarkStart w:id="314" w:name="_Toc296346659"/>
      <w:bookmarkStart w:id="315" w:name="_Toc297048344"/>
      <w:r>
        <w:rPr>
          <w:rFonts w:hint="eastAsia" w:ascii="宋体" w:hAnsi="宋体" w:eastAsia="宋体" w:cs="宋体"/>
          <w:color w:val="auto"/>
          <w:sz w:val="24"/>
          <w:szCs w:val="24"/>
          <w:highlight w:val="none"/>
        </w:rPr>
        <w:t>. 承包人</w:t>
      </w:r>
      <w:bookmarkEnd w:id="304"/>
      <w:bookmarkEnd w:id="305"/>
    </w:p>
    <w:bookmarkEnd w:id="306"/>
    <w:bookmarkEnd w:id="307"/>
    <w:bookmarkEnd w:id="308"/>
    <w:bookmarkEnd w:id="309"/>
    <w:bookmarkEnd w:id="310"/>
    <w:bookmarkEnd w:id="311"/>
    <w:bookmarkEnd w:id="312"/>
    <w:bookmarkEnd w:id="313"/>
    <w:bookmarkEnd w:id="314"/>
    <w:bookmarkEnd w:id="315"/>
    <w:p w14:paraId="77BD1CC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6D833E98">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（9）承包人提交的竣工资料的内容：</w:t>
      </w:r>
      <w:r>
        <w:rPr>
          <w:rFonts w:hint="eastAsia" w:ascii="宋体" w:hAnsi="宋体" w:eastAsia="宋体" w:cs="宋体"/>
          <w:color w:val="auto"/>
          <w:sz w:val="24"/>
          <w:szCs w:val="24"/>
          <w:highlight w:val="none"/>
          <w:u w:val="single"/>
        </w:rPr>
        <w:t>本工程项目完整的，符合归档要求的全部竣工资料。</w:t>
      </w:r>
    </w:p>
    <w:p w14:paraId="18E89E9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套</w:t>
      </w:r>
      <w:r>
        <w:rPr>
          <w:rFonts w:hint="eastAsia" w:ascii="宋体" w:hAnsi="宋体" w:eastAsia="宋体" w:cs="宋体"/>
          <w:color w:val="auto"/>
          <w:sz w:val="24"/>
          <w:szCs w:val="24"/>
          <w:highlight w:val="none"/>
        </w:rPr>
        <w:t>。</w:t>
      </w:r>
    </w:p>
    <w:p w14:paraId="2720D69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由承包人承担</w:t>
      </w:r>
      <w:r>
        <w:rPr>
          <w:rFonts w:hint="eastAsia" w:ascii="宋体" w:hAnsi="宋体" w:eastAsia="宋体" w:cs="宋体"/>
          <w:color w:val="auto"/>
          <w:sz w:val="24"/>
          <w:szCs w:val="24"/>
          <w:highlight w:val="none"/>
        </w:rPr>
        <w:t>。</w:t>
      </w:r>
    </w:p>
    <w:p w14:paraId="4D3723A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竣工验收合格后   个日历天内</w:t>
      </w:r>
      <w:r>
        <w:rPr>
          <w:rFonts w:hint="eastAsia" w:ascii="宋体" w:hAnsi="宋体" w:eastAsia="宋体" w:cs="宋体"/>
          <w:color w:val="auto"/>
          <w:sz w:val="24"/>
          <w:szCs w:val="24"/>
          <w:highlight w:val="none"/>
        </w:rPr>
        <w:t>。</w:t>
      </w:r>
    </w:p>
    <w:p w14:paraId="488E08F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按项目所在地城建档案馆的相关要求执行</w:t>
      </w:r>
      <w:r>
        <w:rPr>
          <w:rFonts w:hint="eastAsia" w:ascii="宋体" w:hAnsi="宋体" w:eastAsia="宋体" w:cs="宋体"/>
          <w:color w:val="auto"/>
          <w:sz w:val="24"/>
          <w:szCs w:val="24"/>
          <w:highlight w:val="none"/>
        </w:rPr>
        <w:t>。</w:t>
      </w:r>
    </w:p>
    <w:p w14:paraId="23CEF61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（10）承包人应履行的其他义务：</w:t>
      </w:r>
      <w:r>
        <w:rPr>
          <w:rFonts w:hint="eastAsia" w:ascii="宋体" w:hAnsi="宋体" w:eastAsia="宋体" w:cs="宋体"/>
          <w:color w:val="auto"/>
          <w:sz w:val="24"/>
          <w:szCs w:val="24"/>
          <w:highlight w:val="none"/>
          <w:u w:val="single"/>
        </w:rPr>
        <w:t>在工程开工前和施工过程中由发承包双方协商确定</w:t>
      </w:r>
      <w:r>
        <w:rPr>
          <w:rFonts w:hint="eastAsia" w:ascii="宋体" w:hAnsi="宋体" w:eastAsia="宋体" w:cs="宋体"/>
          <w:color w:val="auto"/>
          <w:sz w:val="24"/>
          <w:szCs w:val="24"/>
          <w:highlight w:val="none"/>
        </w:rPr>
        <w:t>。</w:t>
      </w:r>
    </w:p>
    <w:p w14:paraId="0C909AE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项目经理</w:t>
      </w:r>
    </w:p>
    <w:p w14:paraId="64CE5BE7">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项目经理：</w:t>
      </w:r>
    </w:p>
    <w:p w14:paraId="0D407944">
      <w:pPr>
        <w:shd w:val="clear" w:color="auto" w:fill="auto"/>
        <w:spacing w:line="360" w:lineRule="auto"/>
        <w:ind w:firstLine="480" w:firstLineChars="200"/>
        <w:rPr>
          <w:rFonts w:hint="eastAsia" w:ascii="宋体" w:hAnsi="宋体" w:eastAsia="宋体" w:cs="宋体"/>
          <w:color w:val="auto"/>
          <w:sz w:val="24"/>
          <w:szCs w:val="24"/>
          <w:highlight w:val="none"/>
        </w:rPr>
      </w:pPr>
      <w:bookmarkStart w:id="316" w:name="_Toc3521"/>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364244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F43822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44DCADD">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66E355B">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4786A25">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D0CF05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7F3B72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9155D4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            ；</w:t>
      </w:r>
    </w:p>
    <w:p w14:paraId="360BCA36">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sz w:val="24"/>
          <w:szCs w:val="24"/>
          <w:highlight w:val="none"/>
          <w:u w:val="single"/>
        </w:rPr>
        <w:t>由承包人在合同签订前以书面形式提交发包人，双方协商确定后，在本条款中明确。</w:t>
      </w:r>
    </w:p>
    <w:p w14:paraId="12B6ADA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关于项目经理每月在施工现场的时间要求：</w:t>
      </w:r>
      <w:r>
        <w:rPr>
          <w:rFonts w:hint="eastAsia" w:ascii="宋体" w:hAnsi="宋体" w:eastAsia="宋体" w:cs="宋体"/>
          <w:color w:val="auto"/>
          <w:sz w:val="24"/>
          <w:szCs w:val="24"/>
          <w:highlight w:val="none"/>
          <w:u w:val="single"/>
        </w:rPr>
        <w:t>承包人项目经理应保证每个自然周不少于   天在施工现场。（以发包人确认的考勤记录为准）。</w:t>
      </w:r>
    </w:p>
    <w:p w14:paraId="316D4C6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承包人未提交劳动合同，以及没有为项目经理缴纳社会保险证明的违约责任：</w:t>
      </w:r>
      <w:r>
        <w:rPr>
          <w:rFonts w:hint="eastAsia" w:ascii="宋体" w:hAnsi="宋体" w:eastAsia="宋体" w:cs="宋体"/>
          <w:color w:val="auto"/>
          <w:sz w:val="24"/>
          <w:szCs w:val="24"/>
          <w:highlight w:val="none"/>
          <w:u w:val="single"/>
        </w:rPr>
        <w:t xml:space="preserve">      。</w:t>
      </w:r>
    </w:p>
    <w:p w14:paraId="687098C8">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项目经理未经批准，擅自离开施工现场的违约责任：</w:t>
      </w:r>
      <w:r>
        <w:rPr>
          <w:rFonts w:hint="eastAsia" w:ascii="宋体" w:hAnsi="宋体" w:eastAsia="宋体" w:cs="宋体"/>
          <w:color w:val="auto"/>
          <w:sz w:val="24"/>
          <w:szCs w:val="24"/>
          <w:highlight w:val="none"/>
          <w:u w:val="single"/>
        </w:rPr>
        <w:t>如果没有得到发包人和监理工程师的事先同意，承包人项目经理擅自离开施工现场的每次支付1万元的违约金；未保证在施工现场时间要求的，每少一天支付0.5万元的违约金。</w:t>
      </w:r>
    </w:p>
    <w:p w14:paraId="51B7737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承包人擅自更换项目经理的违约责任：</w:t>
      </w:r>
      <w:r>
        <w:rPr>
          <w:rFonts w:hint="eastAsia" w:ascii="宋体" w:hAnsi="宋体" w:eastAsia="宋体" w:cs="宋体"/>
          <w:color w:val="auto"/>
          <w:sz w:val="24"/>
          <w:szCs w:val="24"/>
          <w:highlight w:val="none"/>
          <w:u w:val="single"/>
        </w:rPr>
        <w:t>发包人有权解除合同，并要求承包方承担签约合同金额5%的违约金，违约金不足以弥补损失的，承包方应补足差额部分。本款技术负责人亦同。</w:t>
      </w:r>
    </w:p>
    <w:p w14:paraId="2EC7E41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承包人无正当理由拒绝更换项目经理的违约责任：</w:t>
      </w:r>
      <w:r>
        <w:rPr>
          <w:rFonts w:hint="eastAsia" w:ascii="宋体" w:hAnsi="宋体" w:eastAsia="宋体" w:cs="宋体"/>
          <w:color w:val="auto"/>
          <w:sz w:val="24"/>
          <w:szCs w:val="24"/>
          <w:highlight w:val="none"/>
          <w:u w:val="single"/>
        </w:rPr>
        <w:t>发包人认为项目经理不能胜任本项目工作，发包人以书面形式通知承包人在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日内更换符合条件的项目经理，若无正当理由拒绝更换项目经理的，发包人有权解除合同，并要求承包方承担签约合同金额5%的违约金，违约金不足以弥补损失的，承包方应补足差额部分。本款技术负责人亦同。</w:t>
      </w:r>
      <w:bookmarkEnd w:id="316"/>
    </w:p>
    <w:p w14:paraId="76EA11C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16118D56">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接到开工通知后</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天内。</w:t>
      </w:r>
    </w:p>
    <w:p w14:paraId="5CBBE21A">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发包人认为主要施工管理人员不能胜任本项目工作，发包人以书面形式通知承包人在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日内更换符合条件的主要施工管理人员，若无正当理未按时更换主要施工管理人员的，由承包人向发包人每人次支付1万元的违约金，拒不更换的，发包人有权解除合同，并要求承包方承担签约合同金额5%的违约金，违约金不足以弥补损失的，承包方应补足差额部分。</w:t>
      </w:r>
    </w:p>
    <w:p w14:paraId="6C5ECE06">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3.3.4 承包人主要施工管理人员离开施工现场的批准要求：</w:t>
      </w:r>
      <w:r>
        <w:rPr>
          <w:rFonts w:hint="eastAsia" w:ascii="宋体" w:hAnsi="宋体" w:eastAsia="宋体" w:cs="宋体"/>
          <w:color w:val="auto"/>
          <w:sz w:val="24"/>
          <w:szCs w:val="24"/>
          <w:highlight w:val="none"/>
          <w:u w:val="single"/>
        </w:rPr>
        <w:t>必须得到发包人和监理工程师的事先书面同意。</w:t>
      </w:r>
    </w:p>
    <w:p w14:paraId="7A561AA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发包人有权解除合同，并要求承包方承担签约合同金额5%的违约金，违约金不足以弥补损失的，承包方应补足差额部分。</w:t>
      </w:r>
    </w:p>
    <w:p w14:paraId="6461BE61">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由承包人向发包人每天每人次支付0.5万元违约金。</w:t>
      </w:r>
    </w:p>
    <w:p w14:paraId="7FA6110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317" w:name="_Toc296346660"/>
      <w:bookmarkStart w:id="318" w:name="_Toc296503159"/>
      <w:bookmarkStart w:id="319" w:name="_Toc297048345"/>
      <w:bookmarkStart w:id="320" w:name="_Toc297123492"/>
      <w:bookmarkStart w:id="321" w:name="_Toc296891199"/>
      <w:bookmarkStart w:id="322" w:name="_Toc304295523"/>
      <w:bookmarkStart w:id="323" w:name="_Toc296890987"/>
      <w:bookmarkStart w:id="324" w:name="_Toc296944498"/>
      <w:bookmarkStart w:id="325" w:name="_Toc292559364"/>
      <w:bookmarkStart w:id="326" w:name="_Toc297120459"/>
      <w:bookmarkStart w:id="327" w:name="_Toc300934945"/>
      <w:bookmarkStart w:id="328" w:name="_Toc292559869"/>
      <w:bookmarkStart w:id="329" w:name="_Toc297216151"/>
      <w:bookmarkStart w:id="330" w:name="_Toc296347158"/>
      <w:bookmarkStart w:id="331" w:name="_Toc303539102"/>
      <w:bookmarkStart w:id="332" w:name="_Toc312677988"/>
      <w:r>
        <w:rPr>
          <w:rFonts w:hint="eastAsia" w:ascii="宋体" w:hAnsi="宋体" w:eastAsia="宋体" w:cs="宋体"/>
          <w:color w:val="auto"/>
          <w:sz w:val="24"/>
          <w:szCs w:val="24"/>
          <w:highlight w:val="none"/>
        </w:rPr>
        <w:t>.5 分包</w:t>
      </w: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14:paraId="7C6C9CD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333" w:name="_Toc300934946"/>
      <w:bookmarkStart w:id="334" w:name="_Toc292559870"/>
      <w:bookmarkStart w:id="335" w:name="_Toc304295524"/>
      <w:bookmarkStart w:id="336" w:name="_Toc296503160"/>
      <w:bookmarkStart w:id="337" w:name="_Toc297216152"/>
      <w:bookmarkStart w:id="338" w:name="_Toc296890988"/>
      <w:bookmarkStart w:id="339" w:name="_Toc296347159"/>
      <w:bookmarkStart w:id="340" w:name="_Toc292559365"/>
      <w:bookmarkStart w:id="341" w:name="_Toc297048346"/>
      <w:bookmarkStart w:id="342" w:name="_Toc297120460"/>
      <w:bookmarkStart w:id="343" w:name="_Toc297123493"/>
      <w:bookmarkStart w:id="344" w:name="_Toc296346661"/>
      <w:bookmarkStart w:id="345" w:name="_Toc296944499"/>
      <w:bookmarkStart w:id="346" w:name="_Toc303539103"/>
      <w:bookmarkStart w:id="347" w:name="_Toc296891200"/>
      <w:bookmarkStart w:id="348" w:name="_Toc318581158"/>
      <w:bookmarkStart w:id="349" w:name="_Toc312677989"/>
      <w:r>
        <w:rPr>
          <w:rFonts w:hint="eastAsia" w:ascii="宋体" w:hAnsi="宋体" w:eastAsia="宋体" w:cs="宋体"/>
          <w:color w:val="auto"/>
          <w:sz w:val="24"/>
          <w:szCs w:val="24"/>
          <w:highlight w:val="none"/>
        </w:rPr>
        <w:t>.5.1 分包的一般约定</w:t>
      </w:r>
    </w:p>
    <w:p w14:paraId="356AF4E4">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主体工程、结构工程以及对质量及安全影响较大的关键性工作及主要专业性强的专业项目。</w:t>
      </w:r>
    </w:p>
    <w:p w14:paraId="2F79653D">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350" w:name="_Hlk498876507"/>
      <w:r>
        <w:rPr>
          <w:rFonts w:hint="eastAsia" w:ascii="宋体" w:hAnsi="宋体" w:eastAsia="宋体" w:cs="宋体"/>
          <w:color w:val="auto"/>
          <w:sz w:val="24"/>
          <w:szCs w:val="24"/>
          <w:highlight w:val="none"/>
        </w:rPr>
        <w:t>主体结构、关键性工作的范围</w:t>
      </w:r>
      <w:bookmarkEnd w:id="350"/>
      <w:r>
        <w:rPr>
          <w:rFonts w:hint="eastAsia" w:ascii="宋体" w:hAnsi="宋体" w:eastAsia="宋体" w:cs="宋体"/>
          <w:color w:val="auto"/>
          <w:sz w:val="24"/>
          <w:szCs w:val="24"/>
          <w:highlight w:val="none"/>
        </w:rPr>
        <w:t>：</w:t>
      </w:r>
      <w:bookmarkStart w:id="351" w:name="_Hlk498876790"/>
      <w:r>
        <w:rPr>
          <w:rFonts w:hint="eastAsia" w:ascii="宋体" w:hAnsi="宋体" w:eastAsia="宋体" w:cs="宋体"/>
          <w:color w:val="auto"/>
          <w:sz w:val="24"/>
          <w:szCs w:val="24"/>
          <w:highlight w:val="none"/>
          <w:u w:val="single"/>
          <w:lang w:val="en-US" w:eastAsia="zh-CN"/>
        </w:rPr>
        <w:t>图纸及工程量清单包含的所有工程</w:t>
      </w:r>
      <w:r>
        <w:rPr>
          <w:rFonts w:hint="eastAsia" w:ascii="宋体" w:hAnsi="宋体" w:eastAsia="宋体" w:cs="宋体"/>
          <w:color w:val="auto"/>
          <w:sz w:val="24"/>
          <w:szCs w:val="24"/>
          <w:highlight w:val="none"/>
          <w:u w:val="single"/>
        </w:rPr>
        <w:t>。</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51"/>
      <w:bookmarkStart w:id="352" w:name="_Toc296891201"/>
      <w:bookmarkStart w:id="353" w:name="_Toc304295525"/>
      <w:bookmarkStart w:id="354" w:name="_Toc297120461"/>
      <w:bookmarkStart w:id="355" w:name="_Toc297123494"/>
      <w:bookmarkStart w:id="356" w:name="_Toc296944500"/>
      <w:bookmarkStart w:id="357" w:name="_Toc300934947"/>
      <w:bookmarkStart w:id="358" w:name="_Toc303539104"/>
      <w:bookmarkStart w:id="359" w:name="_Toc297048347"/>
      <w:bookmarkStart w:id="360" w:name="_Toc296347160"/>
      <w:bookmarkStart w:id="361" w:name="_Toc297216153"/>
      <w:bookmarkStart w:id="362" w:name="_Toc296503161"/>
      <w:bookmarkStart w:id="363" w:name="_Toc296346662"/>
      <w:bookmarkStart w:id="364" w:name="_Toc296890989"/>
    </w:p>
    <w:bookmarkEnd w:id="348"/>
    <w:bookmarkEnd w:id="349"/>
    <w:bookmarkEnd w:id="352"/>
    <w:bookmarkEnd w:id="353"/>
    <w:bookmarkEnd w:id="354"/>
    <w:bookmarkEnd w:id="355"/>
    <w:bookmarkEnd w:id="356"/>
    <w:bookmarkEnd w:id="357"/>
    <w:bookmarkEnd w:id="358"/>
    <w:bookmarkEnd w:id="359"/>
    <w:bookmarkEnd w:id="360"/>
    <w:bookmarkEnd w:id="361"/>
    <w:bookmarkEnd w:id="362"/>
    <w:bookmarkEnd w:id="363"/>
    <w:bookmarkEnd w:id="364"/>
    <w:p w14:paraId="7C40995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w:t>
      </w:r>
      <w:bookmarkStart w:id="365" w:name="_Toc312677990"/>
      <w:bookmarkStart w:id="366" w:name="_Toc318581159"/>
      <w:r>
        <w:rPr>
          <w:rFonts w:hint="eastAsia" w:ascii="宋体" w:hAnsi="宋体" w:eastAsia="宋体" w:cs="宋体"/>
          <w:color w:val="auto"/>
          <w:sz w:val="24"/>
          <w:szCs w:val="24"/>
          <w:highlight w:val="none"/>
        </w:rPr>
        <w:t>.5.2分包的确定</w:t>
      </w:r>
    </w:p>
    <w:p w14:paraId="0BD00C2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不允许   。</w:t>
      </w:r>
    </w:p>
    <w:p w14:paraId="78DD13F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47F6D21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 分包管理</w:t>
      </w:r>
    </w:p>
    <w:p w14:paraId="439D4FB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承包人应向监理人提交分包人的主要施工管理人员表，并对分包人的施工人员进行实名制管理，包括但不限于进出场管理、登记造册以及各种证照的办理。</w:t>
      </w:r>
    </w:p>
    <w:p w14:paraId="604A789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360EBBC0">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367" w:name="_Hlk498881264"/>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365"/>
    <w:bookmarkEnd w:id="366"/>
    <w:bookmarkEnd w:id="367"/>
    <w:p w14:paraId="1C107C3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7141D9C2">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承包人负责照管工程及工程相关的材料、工程设备的起始时间：</w:t>
      </w:r>
      <w:r>
        <w:rPr>
          <w:rFonts w:hint="eastAsia" w:ascii="宋体" w:hAnsi="宋体" w:eastAsia="宋体" w:cs="宋体"/>
          <w:color w:val="auto"/>
          <w:sz w:val="24"/>
          <w:szCs w:val="24"/>
          <w:highlight w:val="none"/>
          <w:u w:val="single"/>
        </w:rPr>
        <w:t>从移交施工现场之日起至项目竣工验收合格止。</w:t>
      </w:r>
    </w:p>
    <w:p w14:paraId="12D3E4B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09A9F49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   。</w:t>
      </w:r>
    </w:p>
    <w:p w14:paraId="131122E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     。</w:t>
      </w:r>
    </w:p>
    <w:p w14:paraId="483F2DF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发包人要求承包人提供履约担保的，发包人应当向承包人提供支付担保。支付担保可以采用银行保函或现金的形式，具体由合同当事人在专用合同条款中约定。</w:t>
      </w:r>
    </w:p>
    <w:p w14:paraId="766DF17F">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368" w:name="_Toc16109"/>
      <w:bookmarkStart w:id="369" w:name="_Toc17610"/>
      <w:r>
        <w:rPr>
          <w:rFonts w:hint="eastAsia" w:ascii="宋体" w:hAnsi="宋体" w:eastAsia="宋体" w:cs="宋体"/>
          <w:color w:val="auto"/>
          <w:sz w:val="24"/>
          <w:szCs w:val="24"/>
          <w:highlight w:val="none"/>
        </w:rPr>
        <w:t>4</w:t>
      </w:r>
      <w:bookmarkStart w:id="370" w:name="_Toc297120462"/>
      <w:bookmarkStart w:id="371" w:name="_Toc297048348"/>
      <w:bookmarkStart w:id="372" w:name="_Toc296503162"/>
      <w:bookmarkStart w:id="373" w:name="_Toc267251413"/>
      <w:bookmarkStart w:id="374" w:name="_Toc292559871"/>
      <w:bookmarkStart w:id="375" w:name="_Toc292559366"/>
      <w:bookmarkStart w:id="376" w:name="_Toc296890990"/>
      <w:bookmarkStart w:id="377" w:name="_Toc296944501"/>
      <w:bookmarkStart w:id="378" w:name="_Toc296346663"/>
      <w:bookmarkStart w:id="379" w:name="_Toc296347161"/>
      <w:bookmarkStart w:id="380" w:name="_Toc296891202"/>
      <w:r>
        <w:rPr>
          <w:rFonts w:hint="eastAsia" w:ascii="宋体" w:hAnsi="宋体" w:eastAsia="宋体" w:cs="宋体"/>
          <w:color w:val="auto"/>
          <w:sz w:val="24"/>
          <w:szCs w:val="24"/>
          <w:highlight w:val="none"/>
        </w:rPr>
        <w:t>. 监</w:t>
      </w:r>
      <w:bookmarkEnd w:id="370"/>
      <w:bookmarkEnd w:id="371"/>
      <w:bookmarkEnd w:id="372"/>
      <w:bookmarkEnd w:id="373"/>
      <w:bookmarkEnd w:id="374"/>
      <w:bookmarkEnd w:id="375"/>
      <w:bookmarkEnd w:id="376"/>
      <w:bookmarkEnd w:id="377"/>
      <w:bookmarkEnd w:id="378"/>
      <w:bookmarkEnd w:id="379"/>
      <w:bookmarkEnd w:id="380"/>
      <w:r>
        <w:rPr>
          <w:rFonts w:hint="eastAsia" w:ascii="宋体" w:hAnsi="宋体" w:eastAsia="宋体" w:cs="宋体"/>
          <w:color w:val="auto"/>
          <w:sz w:val="24"/>
          <w:szCs w:val="24"/>
          <w:highlight w:val="none"/>
        </w:rPr>
        <w:t>理人</w:t>
      </w:r>
      <w:bookmarkEnd w:id="368"/>
      <w:bookmarkEnd w:id="369"/>
    </w:p>
    <w:p w14:paraId="03D7D83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6D4EF0A8">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本工程招标</w:t>
      </w:r>
      <w:r>
        <w:rPr>
          <w:rFonts w:hint="eastAsia" w:ascii="宋体" w:hAnsi="宋体" w:eastAsia="宋体" w:cs="宋体"/>
          <w:color w:val="auto"/>
          <w:sz w:val="24"/>
          <w:szCs w:val="24"/>
          <w:highlight w:val="none"/>
          <w:u w:val="single"/>
          <w:lang w:val="en-US" w:eastAsia="zh-CN"/>
        </w:rPr>
        <w:t>图纸及</w:t>
      </w:r>
      <w:r>
        <w:rPr>
          <w:rFonts w:hint="eastAsia" w:ascii="宋体" w:hAnsi="宋体" w:eastAsia="宋体" w:cs="宋体"/>
          <w:color w:val="auto"/>
          <w:sz w:val="24"/>
          <w:szCs w:val="24"/>
          <w:highlight w:val="none"/>
          <w:u w:val="single"/>
        </w:rPr>
        <w:t>工程量清单范围内所有工程内容以及发包人与监理人所签订的监理服务合同内包括的相关内容。</w:t>
      </w:r>
    </w:p>
    <w:p w14:paraId="723FA41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以《建设工程监理规范》（GB/T50319-2013）、发包人与监理人所签订的监理服务合同以及国家、云南省相关法律、法规、规章、规范、标准等的规定为准。</w:t>
      </w:r>
      <w:r>
        <w:rPr>
          <w:rFonts w:hint="eastAsia" w:ascii="宋体" w:hAnsi="宋体" w:eastAsia="宋体" w:cs="宋体"/>
          <w:color w:val="auto"/>
          <w:sz w:val="24"/>
          <w:szCs w:val="24"/>
          <w:highlight w:val="none"/>
        </w:rPr>
        <w:t xml:space="preserve"> </w:t>
      </w:r>
    </w:p>
    <w:p w14:paraId="374827FF">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承包人承担监理人在施工现场的办公场所，生活场所及其费用由监理人自行考虑。</w:t>
      </w:r>
    </w:p>
    <w:p w14:paraId="75B2B49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5702B5F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4F4DDBA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3880669">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FA833E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527345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A47D015">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9425A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C360E8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560CE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63966603">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381" w:name="_Toc267251418"/>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078A672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191CB7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9EA44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BA1E4FC">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382" w:name="_Toc27645"/>
      <w:bookmarkStart w:id="383" w:name="_Toc27807"/>
      <w:r>
        <w:rPr>
          <w:rFonts w:hint="eastAsia" w:ascii="宋体" w:hAnsi="宋体" w:eastAsia="宋体" w:cs="宋体"/>
          <w:color w:val="auto"/>
          <w:sz w:val="24"/>
          <w:szCs w:val="24"/>
          <w:highlight w:val="none"/>
        </w:rPr>
        <w:t>5</w:t>
      </w:r>
      <w:bookmarkEnd w:id="381"/>
      <w:bookmarkStart w:id="384" w:name="_Toc297048349"/>
      <w:bookmarkStart w:id="385" w:name="_Toc292559367"/>
      <w:bookmarkStart w:id="386" w:name="_Toc296890991"/>
      <w:bookmarkStart w:id="387" w:name="_Toc296503163"/>
      <w:bookmarkStart w:id="388" w:name="_Toc296944502"/>
      <w:bookmarkStart w:id="389" w:name="_Toc292559872"/>
      <w:bookmarkStart w:id="390" w:name="_Toc296347162"/>
      <w:bookmarkStart w:id="391" w:name="_Toc296346664"/>
      <w:bookmarkStart w:id="392" w:name="_Toc296891203"/>
      <w:bookmarkStart w:id="393" w:name="_Toc297120463"/>
      <w:r>
        <w:rPr>
          <w:rFonts w:hint="eastAsia" w:ascii="宋体" w:hAnsi="宋体" w:eastAsia="宋体" w:cs="宋体"/>
          <w:color w:val="auto"/>
          <w:sz w:val="24"/>
          <w:szCs w:val="24"/>
          <w:highlight w:val="none"/>
        </w:rPr>
        <w:t>. 工程质量</w:t>
      </w:r>
      <w:bookmarkEnd w:id="382"/>
      <w:bookmarkEnd w:id="383"/>
    </w:p>
    <w:p w14:paraId="5EBE7740">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394" w:name="_Toc17410"/>
      <w:r>
        <w:rPr>
          <w:rFonts w:hint="eastAsia" w:ascii="宋体" w:hAnsi="宋体" w:eastAsia="宋体" w:cs="宋体"/>
          <w:color w:val="auto"/>
          <w:sz w:val="24"/>
          <w:szCs w:val="24"/>
          <w:highlight w:val="none"/>
        </w:rPr>
        <w:t>5.1 质量要求</w:t>
      </w:r>
      <w:bookmarkEnd w:id="394"/>
    </w:p>
    <w:p w14:paraId="0F7FF82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bookmarkStart w:id="395" w:name="_Toc297123496"/>
      <w:bookmarkStart w:id="396" w:name="_Toc297216155"/>
      <w:bookmarkStart w:id="397" w:name="_Toc300934949"/>
      <w:bookmarkStart w:id="398" w:name="_Toc304295527"/>
      <w:bookmarkStart w:id="399" w:name="_Toc312677997"/>
      <w:bookmarkStart w:id="400" w:name="_Toc303539106"/>
      <w:bookmarkStart w:id="401" w:name="_Toc318581164"/>
      <w:r>
        <w:rPr>
          <w:rFonts w:hint="eastAsia" w:ascii="宋体" w:hAnsi="宋体" w:eastAsia="宋体" w:cs="宋体"/>
          <w:color w:val="auto"/>
          <w:sz w:val="24"/>
          <w:szCs w:val="24"/>
          <w:highlight w:val="none"/>
        </w:rPr>
        <w:t>.1.1 特殊质量标准和要求：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0FBCC8E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67CA72F">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402" w:name="_Toc31620"/>
      <w:r>
        <w:rPr>
          <w:rFonts w:hint="eastAsia" w:ascii="宋体" w:hAnsi="宋体" w:eastAsia="宋体" w:cs="宋体"/>
          <w:color w:val="auto"/>
          <w:sz w:val="24"/>
          <w:szCs w:val="24"/>
          <w:highlight w:val="none"/>
        </w:rPr>
        <w:t>5.3 隐蔽工程检查</w:t>
      </w:r>
      <w:bookmarkEnd w:id="402"/>
    </w:p>
    <w:p w14:paraId="49BB629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409CB32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8 </w:t>
      </w:r>
      <w:r>
        <w:rPr>
          <w:rFonts w:hint="eastAsia" w:ascii="宋体" w:hAnsi="宋体" w:eastAsia="宋体" w:cs="宋体"/>
          <w:color w:val="auto"/>
          <w:sz w:val="24"/>
          <w:szCs w:val="24"/>
          <w:highlight w:val="none"/>
        </w:rPr>
        <w:t>小时提交书面延期要求。</w:t>
      </w:r>
    </w:p>
    <w:p w14:paraId="31A6C33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w:t>
      </w:r>
    </w:p>
    <w:p w14:paraId="201BD63F">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403" w:name="_Toc22149"/>
      <w:bookmarkStart w:id="404" w:name="_Toc16064"/>
      <w:r>
        <w:rPr>
          <w:rFonts w:hint="eastAsia" w:ascii="宋体" w:hAnsi="宋体" w:eastAsia="宋体" w:cs="宋体"/>
          <w:color w:val="auto"/>
          <w:sz w:val="24"/>
          <w:szCs w:val="24"/>
          <w:highlight w:val="none"/>
        </w:rPr>
        <w:t>6. 安全文明施工与环境保护</w:t>
      </w:r>
      <w:bookmarkEnd w:id="403"/>
      <w:bookmarkEnd w:id="404"/>
    </w:p>
    <w:p w14:paraId="23CC517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7BBE753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项目安全生产的达标目标及相应事项的约定：应符合云南省及项目所在地关于项目安全生产标准化达标目标。</w:t>
      </w:r>
    </w:p>
    <w:p w14:paraId="282B4B7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                        。</w:t>
      </w:r>
    </w:p>
    <w:p w14:paraId="0EFE0B05">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由承包人自行编制并报承包人技术负责人、总监理工程师及发包人代表审核确认。</w:t>
      </w:r>
    </w:p>
    <w:p w14:paraId="0168C0F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723F0C2D">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应符合云南省及项目所在地关于项目文明施工达标目标的要求。</w:t>
      </w:r>
    </w:p>
    <w:p w14:paraId="06CBEBC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395"/>
    <w:bookmarkEnd w:id="396"/>
    <w:bookmarkEnd w:id="397"/>
    <w:bookmarkEnd w:id="398"/>
    <w:bookmarkEnd w:id="399"/>
    <w:bookmarkEnd w:id="400"/>
    <w:bookmarkEnd w:id="401"/>
    <w:p w14:paraId="6184CCF7">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405" w:name="_Toc32373"/>
      <w:bookmarkStart w:id="406" w:name="_Toc25997"/>
      <w:r>
        <w:rPr>
          <w:rFonts w:hint="eastAsia" w:ascii="宋体" w:hAnsi="宋体" w:eastAsia="宋体" w:cs="宋体"/>
          <w:color w:val="auto"/>
          <w:sz w:val="24"/>
          <w:szCs w:val="24"/>
          <w:highlight w:val="none"/>
        </w:rPr>
        <w:t>7. 工期和进度</w:t>
      </w:r>
      <w:bookmarkEnd w:id="405"/>
      <w:bookmarkEnd w:id="406"/>
    </w:p>
    <w:p w14:paraId="3A8AED7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632AC43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合同当事人约定的施工组织设计应包括的其他内容：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147321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7.1.2施工组织设计的提交和修改</w:t>
      </w:r>
    </w:p>
    <w:p w14:paraId="30EBFE6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color w:val="auto"/>
          <w:sz w:val="24"/>
          <w:szCs w:val="24"/>
          <w:highlight w:val="none"/>
          <w:u w:val="single"/>
        </w:rPr>
        <w:t>合同签订后</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天内</w:t>
      </w:r>
      <w:r>
        <w:rPr>
          <w:rFonts w:hint="eastAsia" w:ascii="宋体" w:hAnsi="宋体" w:eastAsia="宋体" w:cs="宋体"/>
          <w:color w:val="auto"/>
          <w:sz w:val="24"/>
          <w:szCs w:val="24"/>
          <w:highlight w:val="none"/>
        </w:rPr>
        <w:t>。</w:t>
      </w:r>
    </w:p>
    <w:p w14:paraId="793D8566">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收到承包人的施工组织设计后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天内。</w:t>
      </w:r>
    </w:p>
    <w:p w14:paraId="09CB5A9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407" w:name="_Toc297123514"/>
      <w:bookmarkStart w:id="408" w:name="_Toc303539123"/>
      <w:bookmarkStart w:id="409" w:name="_Toc312678005"/>
      <w:bookmarkStart w:id="410" w:name="_Toc297216173"/>
      <w:bookmarkStart w:id="411" w:name="_Toc304295541"/>
      <w:bookmarkStart w:id="412" w:name="_Toc300934966"/>
      <w:bookmarkStart w:id="413" w:name="_Toc312677479"/>
      <w:r>
        <w:rPr>
          <w:rFonts w:hint="eastAsia" w:ascii="宋体" w:hAnsi="宋体" w:eastAsia="宋体" w:cs="宋体"/>
          <w:color w:val="auto"/>
          <w:sz w:val="24"/>
          <w:szCs w:val="24"/>
          <w:highlight w:val="none"/>
        </w:rPr>
        <w:t>.2 施工进度计划</w:t>
      </w:r>
    </w:p>
    <w:p w14:paraId="6E725FF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185B438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天内</w:t>
      </w:r>
      <w:r>
        <w:rPr>
          <w:rFonts w:hint="eastAsia" w:ascii="宋体" w:hAnsi="宋体" w:eastAsia="宋体" w:cs="宋体"/>
          <w:color w:val="auto"/>
          <w:sz w:val="24"/>
          <w:szCs w:val="24"/>
          <w:highlight w:val="none"/>
        </w:rPr>
        <w:t>。</w:t>
      </w:r>
    </w:p>
    <w:p w14:paraId="275DBA77">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563D771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213B634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关于承包人提交工程开工报审表的期限：</w:t>
      </w:r>
      <w:r>
        <w:rPr>
          <w:rFonts w:hint="eastAsia" w:ascii="宋体" w:hAnsi="宋体" w:eastAsia="宋体" w:cs="宋体"/>
          <w:color w:val="auto"/>
          <w:sz w:val="24"/>
          <w:szCs w:val="24"/>
          <w:highlight w:val="none"/>
          <w:u w:val="single"/>
        </w:rPr>
        <w:t>施工组织设计批准后   天内</w:t>
      </w:r>
      <w:r>
        <w:rPr>
          <w:rFonts w:hint="eastAsia" w:ascii="宋体" w:hAnsi="宋体" w:eastAsia="宋体" w:cs="宋体"/>
          <w:color w:val="auto"/>
          <w:sz w:val="24"/>
          <w:szCs w:val="24"/>
          <w:highlight w:val="none"/>
        </w:rPr>
        <w:t>。</w:t>
      </w:r>
    </w:p>
    <w:p w14:paraId="75AB0D6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5CF62A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接到开工通知后   天内</w:t>
      </w:r>
      <w:r>
        <w:rPr>
          <w:rFonts w:hint="eastAsia" w:ascii="宋体" w:hAnsi="宋体" w:eastAsia="宋体" w:cs="宋体"/>
          <w:color w:val="auto"/>
          <w:sz w:val="24"/>
          <w:szCs w:val="24"/>
          <w:highlight w:val="none"/>
        </w:rPr>
        <w:t>。</w:t>
      </w:r>
    </w:p>
    <w:p w14:paraId="7F7137E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52C34EA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因发包人原因造成监理人未能在计划开工日期之日起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天内发出开工通知的，承包人有权提出价格调整要求，或者解除合同。</w:t>
      </w:r>
    </w:p>
    <w:bookmarkEnd w:id="407"/>
    <w:bookmarkEnd w:id="408"/>
    <w:bookmarkEnd w:id="409"/>
    <w:bookmarkEnd w:id="410"/>
    <w:bookmarkEnd w:id="411"/>
    <w:bookmarkEnd w:id="412"/>
    <w:bookmarkEnd w:id="413"/>
    <w:p w14:paraId="6137610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0C5B9E5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开工通知载明的开工日期前   天</w:t>
      </w:r>
      <w:r>
        <w:rPr>
          <w:rFonts w:hint="eastAsia" w:ascii="宋体" w:hAnsi="宋体" w:eastAsia="宋体" w:cs="宋体"/>
          <w:color w:val="auto"/>
          <w:sz w:val="24"/>
          <w:szCs w:val="24"/>
          <w:highlight w:val="none"/>
        </w:rPr>
        <w:t>。</w:t>
      </w:r>
    </w:p>
    <w:p w14:paraId="0E08BBC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414" w:name="_Toc297123516"/>
      <w:bookmarkStart w:id="415" w:name="_Toc312678010"/>
      <w:bookmarkStart w:id="416" w:name="_Toc312677484"/>
      <w:bookmarkStart w:id="417" w:name="_Toc304295546"/>
      <w:bookmarkStart w:id="418" w:name="_Toc303539125"/>
      <w:bookmarkStart w:id="419" w:name="_Toc300934968"/>
      <w:bookmarkStart w:id="420" w:name="_Toc297216175"/>
      <w:r>
        <w:rPr>
          <w:rFonts w:hint="eastAsia" w:ascii="宋体" w:hAnsi="宋体" w:eastAsia="宋体" w:cs="宋体"/>
          <w:color w:val="auto"/>
          <w:sz w:val="24"/>
          <w:szCs w:val="24"/>
          <w:highlight w:val="none"/>
        </w:rPr>
        <w:t>.5 工期延误</w:t>
      </w:r>
    </w:p>
    <w:bookmarkEnd w:id="414"/>
    <w:bookmarkEnd w:id="415"/>
    <w:bookmarkEnd w:id="416"/>
    <w:bookmarkEnd w:id="417"/>
    <w:bookmarkEnd w:id="418"/>
    <w:bookmarkEnd w:id="419"/>
    <w:bookmarkEnd w:id="420"/>
    <w:p w14:paraId="5C21B53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0296A31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723940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421" w:name="_Toc312678012"/>
      <w:bookmarkStart w:id="422" w:name="_Toc312677486"/>
      <w:bookmarkStart w:id="423" w:name="_Toc318581169"/>
      <w:bookmarkStart w:id="424" w:name="_Toc300934970"/>
      <w:bookmarkStart w:id="425" w:name="_Toc297216177"/>
      <w:bookmarkStart w:id="426" w:name="_Toc297123518"/>
      <w:bookmarkStart w:id="427" w:name="_Toc304295548"/>
      <w:bookmarkStart w:id="428" w:name="_Toc303539127"/>
      <w:r>
        <w:rPr>
          <w:rFonts w:hint="eastAsia" w:ascii="宋体" w:hAnsi="宋体" w:eastAsia="宋体" w:cs="宋体"/>
          <w:color w:val="auto"/>
          <w:sz w:val="24"/>
          <w:szCs w:val="24"/>
          <w:highlight w:val="none"/>
        </w:rPr>
        <w:t>.5.2 因承包人原因导致工期延误</w:t>
      </w:r>
    </w:p>
    <w:bookmarkEnd w:id="421"/>
    <w:bookmarkEnd w:id="422"/>
    <w:bookmarkEnd w:id="423"/>
    <w:p w14:paraId="10F685A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429" w:name="_Toc312678013"/>
      <w:bookmarkStart w:id="430" w:name="_Toc312677487"/>
      <w:bookmarkStart w:id="431" w:name="_Toc318581170"/>
      <w:r>
        <w:rPr>
          <w:rFonts w:hint="eastAsia" w:ascii="宋体" w:hAnsi="宋体" w:eastAsia="宋体" w:cs="宋体"/>
          <w:color w:val="auto"/>
          <w:sz w:val="24"/>
          <w:szCs w:val="24"/>
          <w:highlight w:val="none"/>
        </w:rPr>
        <w:t>承包人原因造成工期延误，逾期竣工违约金的计算方法为：</w:t>
      </w:r>
      <w:r>
        <w:rPr>
          <w:rFonts w:hint="eastAsia" w:ascii="宋体" w:hAnsi="宋体" w:eastAsia="宋体" w:cs="宋体"/>
          <w:color w:val="auto"/>
          <w:sz w:val="24"/>
          <w:szCs w:val="24"/>
          <w:highlight w:val="none"/>
          <w:u w:val="single"/>
        </w:rPr>
        <w:t>逾期违约金按0.5万元/天计算</w:t>
      </w:r>
      <w:r>
        <w:rPr>
          <w:rFonts w:hint="eastAsia" w:ascii="宋体" w:hAnsi="宋体" w:eastAsia="宋体" w:cs="宋体"/>
          <w:color w:val="auto"/>
          <w:sz w:val="24"/>
          <w:szCs w:val="24"/>
          <w:highlight w:val="none"/>
        </w:rPr>
        <w:t>。</w:t>
      </w:r>
      <w:bookmarkEnd w:id="424"/>
      <w:bookmarkEnd w:id="425"/>
      <w:bookmarkEnd w:id="426"/>
      <w:bookmarkEnd w:id="427"/>
      <w:bookmarkEnd w:id="428"/>
      <w:bookmarkEnd w:id="429"/>
      <w:bookmarkEnd w:id="430"/>
    </w:p>
    <w:bookmarkEnd w:id="431"/>
    <w:p w14:paraId="598F6A8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432" w:name="_Toc312678014"/>
      <w:bookmarkStart w:id="433" w:name="_Toc318581171"/>
      <w:r>
        <w:rPr>
          <w:rFonts w:hint="eastAsia" w:ascii="宋体" w:hAnsi="宋体" w:eastAsia="宋体" w:cs="宋体"/>
          <w:color w:val="auto"/>
          <w:sz w:val="24"/>
          <w:szCs w:val="24"/>
          <w:highlight w:val="none"/>
        </w:rPr>
        <w:t>期竣工违约金的上限：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432"/>
    <w:bookmarkEnd w:id="433"/>
    <w:p w14:paraId="25BD78E7">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434" w:name="_Toc297123519"/>
      <w:bookmarkStart w:id="435" w:name="_Toc303539128"/>
      <w:bookmarkStart w:id="436" w:name="_Toc297216178"/>
      <w:bookmarkStart w:id="437" w:name="_Toc300934971"/>
      <w:bookmarkStart w:id="438" w:name="_Toc304295549"/>
      <w:bookmarkStart w:id="439" w:name="_Toc312678015"/>
      <w:r>
        <w:rPr>
          <w:rFonts w:hint="eastAsia" w:ascii="宋体" w:hAnsi="宋体" w:eastAsia="宋体" w:cs="宋体"/>
          <w:color w:val="auto"/>
          <w:sz w:val="24"/>
          <w:szCs w:val="24"/>
          <w:highlight w:val="none"/>
        </w:rPr>
        <w:t>.6 不</w:t>
      </w:r>
      <w:bookmarkEnd w:id="434"/>
      <w:bookmarkEnd w:id="435"/>
      <w:bookmarkEnd w:id="436"/>
      <w:bookmarkEnd w:id="437"/>
      <w:bookmarkEnd w:id="438"/>
      <w:bookmarkEnd w:id="439"/>
      <w:r>
        <w:rPr>
          <w:rFonts w:hint="eastAsia" w:ascii="宋体" w:hAnsi="宋体" w:eastAsia="宋体" w:cs="宋体"/>
          <w:color w:val="auto"/>
          <w:sz w:val="24"/>
          <w:szCs w:val="24"/>
          <w:highlight w:val="none"/>
        </w:rPr>
        <w:t>利物质条件</w:t>
      </w:r>
    </w:p>
    <w:p w14:paraId="3EB3F125">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440" w:name="_Toc300934972"/>
      <w:bookmarkStart w:id="441" w:name="_Toc297216179"/>
      <w:bookmarkStart w:id="442" w:name="_Toc318581172"/>
      <w:bookmarkStart w:id="443" w:name="_Toc297123520"/>
      <w:bookmarkStart w:id="444" w:name="_Toc303539129"/>
      <w:bookmarkStart w:id="445" w:name="_Toc304295550"/>
      <w:bookmarkStart w:id="446" w:name="_Toc312678016"/>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440"/>
    <w:bookmarkEnd w:id="441"/>
    <w:bookmarkEnd w:id="442"/>
    <w:bookmarkEnd w:id="443"/>
    <w:bookmarkEnd w:id="444"/>
    <w:bookmarkEnd w:id="445"/>
    <w:bookmarkEnd w:id="446"/>
    <w:p w14:paraId="2279644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447" w:name="_Toc303539130"/>
      <w:bookmarkStart w:id="448" w:name="_Toc300934973"/>
      <w:bookmarkStart w:id="449" w:name="_Toc312678017"/>
      <w:bookmarkStart w:id="450" w:name="_Toc297123521"/>
      <w:bookmarkStart w:id="451" w:name="_Toc297216180"/>
      <w:bookmarkStart w:id="452" w:name="_Toc304295551"/>
      <w:r>
        <w:rPr>
          <w:rFonts w:hint="eastAsia" w:ascii="宋体" w:hAnsi="宋体" w:eastAsia="宋体" w:cs="宋体"/>
          <w:color w:val="auto"/>
          <w:sz w:val="24"/>
          <w:szCs w:val="24"/>
          <w:highlight w:val="none"/>
        </w:rPr>
        <w:t>.7异常恶劣的气候条件</w:t>
      </w:r>
    </w:p>
    <w:bookmarkEnd w:id="447"/>
    <w:bookmarkEnd w:id="448"/>
    <w:bookmarkEnd w:id="449"/>
    <w:bookmarkEnd w:id="450"/>
    <w:bookmarkEnd w:id="451"/>
    <w:bookmarkEnd w:id="452"/>
    <w:p w14:paraId="6EF19B1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3667D88A">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（1）经监理及发包人认定的雨天、低温等影响施工的情形；</w:t>
      </w:r>
    </w:p>
    <w:p w14:paraId="47A41398">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（2）气象部门发布气象红色预警；</w:t>
      </w:r>
    </w:p>
    <w:p w14:paraId="2605F81F">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（3）其它由法律法规规定的异常恶劣气候灾害。</w:t>
      </w:r>
    </w:p>
    <w:p w14:paraId="69AD99D8">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453" w:name="_Toc3848"/>
      <w:r>
        <w:rPr>
          <w:rFonts w:hint="eastAsia" w:ascii="宋体" w:hAnsi="宋体" w:eastAsia="宋体" w:cs="宋体"/>
          <w:color w:val="auto"/>
          <w:sz w:val="24"/>
          <w:szCs w:val="24"/>
          <w:highlight w:val="none"/>
        </w:rPr>
        <w:t>7.9 提前竣工的奖励</w:t>
      </w:r>
      <w:bookmarkEnd w:id="453"/>
    </w:p>
    <w:p w14:paraId="1606215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1401D5F">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454" w:name="_Toc16249"/>
      <w:bookmarkStart w:id="455" w:name="_Toc27243"/>
      <w:r>
        <w:rPr>
          <w:rFonts w:hint="eastAsia" w:ascii="宋体" w:hAnsi="宋体" w:eastAsia="宋体" w:cs="宋体"/>
          <w:color w:val="auto"/>
          <w:sz w:val="24"/>
          <w:szCs w:val="24"/>
          <w:highlight w:val="none"/>
        </w:rPr>
        <w:t>8. 材料与设备</w:t>
      </w:r>
      <w:bookmarkEnd w:id="454"/>
      <w:bookmarkEnd w:id="455"/>
    </w:p>
    <w:p w14:paraId="5051833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8.1主要材料需按照承包人投标时所报主要材料品牌、产地、厂家及规格型号提供，未经发包人同意不得擅自更换。</w:t>
      </w:r>
    </w:p>
    <w:bookmarkEnd w:id="384"/>
    <w:bookmarkEnd w:id="385"/>
    <w:bookmarkEnd w:id="386"/>
    <w:bookmarkEnd w:id="387"/>
    <w:bookmarkEnd w:id="388"/>
    <w:bookmarkEnd w:id="389"/>
    <w:bookmarkEnd w:id="390"/>
    <w:bookmarkEnd w:id="391"/>
    <w:bookmarkEnd w:id="392"/>
    <w:bookmarkEnd w:id="393"/>
    <w:p w14:paraId="2637A1E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456" w:name="_Toc303539136"/>
      <w:bookmarkStart w:id="457" w:name="_Toc296347166"/>
      <w:bookmarkStart w:id="458" w:name="_Toc300934979"/>
      <w:bookmarkStart w:id="459" w:name="_Toc292559877"/>
      <w:bookmarkStart w:id="460" w:name="_Toc296891207"/>
      <w:bookmarkStart w:id="461" w:name="_Toc296890995"/>
      <w:bookmarkStart w:id="462" w:name="_Toc296503167"/>
      <w:bookmarkStart w:id="463" w:name="_Toc292559372"/>
      <w:bookmarkStart w:id="464" w:name="_Toc296346668"/>
      <w:bookmarkStart w:id="465" w:name="_Toc312677493"/>
      <w:bookmarkStart w:id="466" w:name="_Toc296944506"/>
      <w:bookmarkStart w:id="467" w:name="_Toc297120467"/>
      <w:bookmarkStart w:id="468" w:name="_Toc312678019"/>
      <w:bookmarkStart w:id="469" w:name="_Toc297123527"/>
      <w:bookmarkStart w:id="470" w:name="_Toc297048353"/>
      <w:bookmarkStart w:id="471" w:name="_Toc297216186"/>
      <w:bookmarkStart w:id="472" w:name="_Toc304295556"/>
      <w:bookmarkStart w:id="473" w:name="_Toc280868654"/>
      <w:bookmarkStart w:id="474" w:name="_Toc280868655"/>
      <w:bookmarkStart w:id="475" w:name="_Toc267251424"/>
      <w:bookmarkStart w:id="476" w:name="_Toc280868656"/>
      <w:r>
        <w:rPr>
          <w:rFonts w:hint="eastAsia" w:ascii="宋体" w:hAnsi="宋体" w:eastAsia="宋体" w:cs="宋体"/>
          <w:color w:val="auto"/>
          <w:sz w:val="24"/>
          <w:szCs w:val="24"/>
          <w:highlight w:val="none"/>
        </w:rPr>
        <w:t>.4材料与工程设备的保管与使用</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44A6093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477" w:name="_Toc292559878"/>
      <w:bookmarkStart w:id="478" w:name="_Toc292559373"/>
      <w:bookmarkStart w:id="479" w:name="_Toc297048354"/>
      <w:bookmarkStart w:id="480" w:name="_Toc296944507"/>
      <w:bookmarkStart w:id="481" w:name="_Toc303539137"/>
      <w:bookmarkStart w:id="482" w:name="_Toc297123528"/>
      <w:bookmarkStart w:id="483" w:name="_Toc297120468"/>
      <w:bookmarkStart w:id="484" w:name="_Toc297216187"/>
      <w:bookmarkStart w:id="485" w:name="_Toc318581173"/>
      <w:bookmarkStart w:id="486" w:name="_Toc296346669"/>
      <w:bookmarkStart w:id="487" w:name="_Toc300934980"/>
      <w:bookmarkStart w:id="488" w:name="_Toc312678020"/>
      <w:bookmarkStart w:id="489" w:name="_Toc304295557"/>
      <w:bookmarkStart w:id="490" w:name="_Toc312677494"/>
      <w:bookmarkStart w:id="491" w:name="_Toc296503168"/>
      <w:bookmarkStart w:id="492" w:name="_Toc296347167"/>
      <w:bookmarkStart w:id="493" w:name="_Toc296891208"/>
      <w:bookmarkStart w:id="494" w:name="_Toc296890996"/>
      <w:r>
        <w:rPr>
          <w:rFonts w:hint="eastAsia" w:ascii="宋体" w:hAnsi="宋体" w:eastAsia="宋体" w:cs="宋体"/>
          <w:color w:val="auto"/>
          <w:sz w:val="24"/>
          <w:szCs w:val="24"/>
          <w:highlight w:val="none"/>
        </w:rPr>
        <w:t>.4.1发包人供应的材料设备的保管费用的承担：</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bookmarkEnd w:id="477"/>
      <w:bookmarkEnd w:id="478"/>
    </w:p>
    <w:p w14:paraId="5B515E1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2276098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8.6.1 样品的报送与封存</w:t>
      </w:r>
    </w:p>
    <w:p w14:paraId="200E6C9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发包人在施工过程中与承包人协商需承包人提供样品情况。样品的规格、数量由发承包双方协商确定。</w:t>
      </w:r>
    </w:p>
    <w:p w14:paraId="5293D18C">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495" w:name="_Toc14307"/>
      <w:r>
        <w:rPr>
          <w:rFonts w:hint="eastAsia" w:ascii="宋体" w:hAnsi="宋体" w:eastAsia="宋体" w:cs="宋体"/>
          <w:color w:val="auto"/>
          <w:sz w:val="24"/>
          <w:szCs w:val="24"/>
          <w:highlight w:val="none"/>
        </w:rPr>
        <w:t>8.8 施工设备和临时设施</w:t>
      </w:r>
      <w:bookmarkEnd w:id="495"/>
    </w:p>
    <w:p w14:paraId="24A36CA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4634982E">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工程所需修建临时设施的费用均已包含在投标总价内，竣工结算时不予调整，施工现场临时设施的布置和搭设应满足工程实际需要，具体方案必须报总监理工程师批准，发包人认可，发包人提供的临时设施用地仅为发包人提供的《工程施工场地范围示意图》界线内，若承包人需在场地外修建或租用临时设施，须经发包人同意，费用由承包人自行承担。</w:t>
      </w:r>
    </w:p>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45DAD35D">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496" w:name="_Toc22571"/>
      <w:bookmarkStart w:id="497" w:name="_Toc5403"/>
      <w:r>
        <w:rPr>
          <w:rFonts w:hint="eastAsia" w:ascii="宋体" w:hAnsi="宋体" w:eastAsia="宋体" w:cs="宋体"/>
          <w:color w:val="auto"/>
          <w:sz w:val="24"/>
          <w:szCs w:val="24"/>
          <w:highlight w:val="none"/>
        </w:rPr>
        <w:t>9</w:t>
      </w:r>
      <w:bookmarkEnd w:id="474"/>
      <w:bookmarkEnd w:id="475"/>
      <w:bookmarkEnd w:id="476"/>
      <w:bookmarkStart w:id="498" w:name="_Toc312678021"/>
      <w:bookmarkStart w:id="499" w:name="_Toc303539139"/>
      <w:bookmarkStart w:id="500" w:name="_Toc297216192"/>
      <w:bookmarkStart w:id="501" w:name="_Toc297123533"/>
      <w:bookmarkStart w:id="502" w:name="_Toc304295559"/>
      <w:bookmarkStart w:id="503" w:name="_Toc300934982"/>
      <w:bookmarkStart w:id="504" w:name="_Toc312677495"/>
      <w:bookmarkStart w:id="505" w:name="_Toc267251427"/>
      <w:bookmarkStart w:id="506" w:name="_Toc296503173"/>
      <w:bookmarkStart w:id="507" w:name="_Toc296944512"/>
      <w:bookmarkStart w:id="508" w:name="_Toc297120473"/>
      <w:bookmarkStart w:id="509" w:name="_Toc296891213"/>
      <w:bookmarkStart w:id="510" w:name="_Toc292559378"/>
      <w:bookmarkStart w:id="511" w:name="_Toc296347172"/>
      <w:bookmarkStart w:id="512" w:name="_Toc297048359"/>
      <w:bookmarkStart w:id="513" w:name="_Toc292559883"/>
      <w:bookmarkStart w:id="514" w:name="_Toc267251428"/>
      <w:bookmarkStart w:id="515" w:name="_Toc296346674"/>
      <w:bookmarkStart w:id="516" w:name="_Toc296891001"/>
      <w:r>
        <w:rPr>
          <w:rFonts w:hint="eastAsia" w:ascii="宋体" w:hAnsi="宋体" w:eastAsia="宋体" w:cs="宋体"/>
          <w:color w:val="auto"/>
          <w:sz w:val="24"/>
          <w:szCs w:val="24"/>
          <w:highlight w:val="none"/>
        </w:rPr>
        <w:t>. 试验与检验</w:t>
      </w:r>
      <w:bookmarkEnd w:id="496"/>
      <w:bookmarkEnd w:id="497"/>
    </w:p>
    <w:bookmarkEnd w:id="498"/>
    <w:bookmarkEnd w:id="499"/>
    <w:bookmarkEnd w:id="500"/>
    <w:bookmarkEnd w:id="501"/>
    <w:bookmarkEnd w:id="502"/>
    <w:bookmarkEnd w:id="503"/>
    <w:bookmarkEnd w:id="504"/>
    <w:p w14:paraId="05E3916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517" w:name="_Toc300934983"/>
      <w:bookmarkStart w:id="518" w:name="_Toc304295560"/>
      <w:bookmarkStart w:id="519" w:name="_Toc312678022"/>
      <w:bookmarkStart w:id="520" w:name="_Toc297123534"/>
      <w:bookmarkStart w:id="521" w:name="_Toc303539140"/>
      <w:bookmarkStart w:id="522" w:name="_Toc297216193"/>
      <w:bookmarkStart w:id="523" w:name="_Toc312677496"/>
      <w:r>
        <w:rPr>
          <w:rFonts w:hint="eastAsia" w:ascii="宋体" w:hAnsi="宋体" w:eastAsia="宋体" w:cs="宋体"/>
          <w:color w:val="auto"/>
          <w:sz w:val="24"/>
          <w:szCs w:val="24"/>
          <w:highlight w:val="none"/>
        </w:rPr>
        <w:t>.1试验设备与试验人员</w:t>
      </w:r>
    </w:p>
    <w:bookmarkEnd w:id="517"/>
    <w:bookmarkEnd w:id="518"/>
    <w:bookmarkEnd w:id="519"/>
    <w:bookmarkEnd w:id="520"/>
    <w:bookmarkEnd w:id="521"/>
    <w:bookmarkEnd w:id="522"/>
    <w:bookmarkEnd w:id="523"/>
    <w:p w14:paraId="5069D79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524" w:name="_Toc297216194"/>
      <w:bookmarkStart w:id="525" w:name="_Toc300934984"/>
      <w:bookmarkStart w:id="526" w:name="_Toc297123535"/>
      <w:bookmarkStart w:id="527" w:name="_Toc312678023"/>
      <w:bookmarkStart w:id="528" w:name="_Toc304295561"/>
      <w:bookmarkStart w:id="529" w:name="_Toc303539141"/>
      <w:bookmarkStart w:id="530" w:name="_Toc312677497"/>
      <w:bookmarkStart w:id="531" w:name="_Toc318581174"/>
      <w:r>
        <w:rPr>
          <w:rFonts w:hint="eastAsia" w:ascii="宋体" w:hAnsi="宋体" w:eastAsia="宋体" w:cs="宋体"/>
          <w:color w:val="auto"/>
          <w:sz w:val="24"/>
          <w:szCs w:val="24"/>
          <w:highlight w:val="none"/>
        </w:rPr>
        <w:t>.1.2 试验设备</w:t>
      </w:r>
    </w:p>
    <w:p w14:paraId="1A4483E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524"/>
      <w:bookmarkEnd w:id="525"/>
      <w:bookmarkEnd w:id="526"/>
      <w:bookmarkEnd w:id="527"/>
      <w:bookmarkEnd w:id="528"/>
      <w:bookmarkEnd w:id="529"/>
      <w:bookmarkEnd w:id="530"/>
      <w:bookmarkStart w:id="532" w:name="_Toc297123536"/>
      <w:bookmarkStart w:id="533" w:name="_Toc297216195"/>
      <w:bookmarkStart w:id="534" w:name="_Toc303539142"/>
      <w:bookmarkStart w:id="535" w:name="_Toc312677498"/>
      <w:bookmarkStart w:id="536" w:name="_Toc300934985"/>
      <w:bookmarkStart w:id="537" w:name="_Toc304295562"/>
      <w:bookmarkStart w:id="538" w:name="_Toc312678024"/>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1F1B42E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A23204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8125C36">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539" w:name="_Toc18938"/>
      <w:r>
        <w:rPr>
          <w:rFonts w:hint="eastAsia" w:ascii="宋体" w:hAnsi="宋体" w:eastAsia="宋体" w:cs="宋体"/>
          <w:color w:val="auto"/>
          <w:sz w:val="24"/>
          <w:szCs w:val="24"/>
          <w:highlight w:val="none"/>
        </w:rPr>
        <w:t>9.4 现场工艺试验</w:t>
      </w:r>
      <w:bookmarkEnd w:id="539"/>
    </w:p>
    <w:p w14:paraId="7B4B886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531"/>
    <w:bookmarkEnd w:id="532"/>
    <w:bookmarkEnd w:id="533"/>
    <w:bookmarkEnd w:id="534"/>
    <w:bookmarkEnd w:id="535"/>
    <w:bookmarkEnd w:id="536"/>
    <w:bookmarkEnd w:id="537"/>
    <w:bookmarkEnd w:id="538"/>
    <w:p w14:paraId="602B128C">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540" w:name="_Toc16563"/>
      <w:bookmarkStart w:id="541" w:name="_Toc23310"/>
      <w:r>
        <w:rPr>
          <w:rFonts w:hint="eastAsia" w:ascii="宋体" w:hAnsi="宋体" w:eastAsia="宋体" w:cs="宋体"/>
          <w:color w:val="auto"/>
          <w:sz w:val="24"/>
          <w:szCs w:val="24"/>
          <w:highlight w:val="none"/>
        </w:rPr>
        <w:t>1</w:t>
      </w:r>
      <w:bookmarkEnd w:id="505"/>
      <w:bookmarkEnd w:id="506"/>
      <w:bookmarkEnd w:id="507"/>
      <w:bookmarkEnd w:id="508"/>
      <w:bookmarkEnd w:id="509"/>
      <w:bookmarkEnd w:id="510"/>
      <w:bookmarkEnd w:id="511"/>
      <w:bookmarkEnd w:id="512"/>
      <w:bookmarkEnd w:id="513"/>
      <w:bookmarkEnd w:id="514"/>
      <w:bookmarkEnd w:id="515"/>
      <w:bookmarkEnd w:id="516"/>
      <w:bookmarkStart w:id="542" w:name="_Toc292559398"/>
      <w:bookmarkStart w:id="543" w:name="_Toc296891021"/>
      <w:bookmarkStart w:id="544" w:name="_Toc296347192"/>
      <w:bookmarkStart w:id="545" w:name="_Toc300934989"/>
      <w:bookmarkStart w:id="546" w:name="_Toc297048379"/>
      <w:bookmarkStart w:id="547" w:name="_Toc292559903"/>
      <w:bookmarkStart w:id="548" w:name="_Toc296944532"/>
      <w:bookmarkStart w:id="549" w:name="_Toc297123540"/>
      <w:bookmarkStart w:id="550" w:name="_Toc296346694"/>
      <w:bookmarkStart w:id="551" w:name="_Toc297216199"/>
      <w:bookmarkStart w:id="552" w:name="_Toc303539146"/>
      <w:bookmarkStart w:id="553" w:name="_Toc297120493"/>
      <w:bookmarkStart w:id="554" w:name="_Toc296503193"/>
      <w:bookmarkStart w:id="555" w:name="_Toc304295566"/>
      <w:bookmarkStart w:id="556" w:name="_Toc296891233"/>
      <w:bookmarkStart w:id="557" w:name="_Toc312678025"/>
      <w:bookmarkStart w:id="558" w:name="_Toc312677499"/>
      <w:bookmarkStart w:id="559" w:name="_Toc267251433"/>
      <w:bookmarkStart w:id="560" w:name="_Toc267251435"/>
      <w:bookmarkStart w:id="561" w:name="_Toc267251440"/>
      <w:bookmarkStart w:id="562" w:name="_Toc267251441"/>
      <w:bookmarkStart w:id="563" w:name="_Toc267251437"/>
      <w:bookmarkStart w:id="564" w:name="_Toc267251439"/>
      <w:bookmarkStart w:id="565" w:name="_Toc267251442"/>
      <w:r>
        <w:rPr>
          <w:rFonts w:hint="eastAsia" w:ascii="宋体" w:hAnsi="宋体" w:eastAsia="宋体" w:cs="宋体"/>
          <w:color w:val="auto"/>
          <w:sz w:val="24"/>
          <w:szCs w:val="24"/>
          <w:highlight w:val="none"/>
        </w:rPr>
        <w:t>0. 变更</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bookmarkEnd w:id="557"/>
    <w:bookmarkEnd w:id="558"/>
    <w:p w14:paraId="51856FEA">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566" w:name="_Toc297048380"/>
      <w:bookmarkStart w:id="567" w:name="_Toc296503194"/>
      <w:bookmarkStart w:id="568" w:name="_Toc296944533"/>
      <w:bookmarkStart w:id="569" w:name="_Toc303539147"/>
      <w:bookmarkStart w:id="570" w:name="_Toc292559399"/>
      <w:bookmarkStart w:id="571" w:name="_Toc297123541"/>
      <w:bookmarkStart w:id="572" w:name="_Toc292559904"/>
      <w:bookmarkStart w:id="573" w:name="_Toc312678026"/>
      <w:bookmarkStart w:id="574" w:name="_Toc312677500"/>
      <w:bookmarkStart w:id="575" w:name="_Toc296891022"/>
      <w:bookmarkStart w:id="576" w:name="_Toc297216200"/>
      <w:bookmarkStart w:id="577" w:name="_Toc296346695"/>
      <w:bookmarkStart w:id="578" w:name="_Toc300934990"/>
      <w:bookmarkStart w:id="579" w:name="_Toc296347193"/>
      <w:bookmarkStart w:id="580" w:name="_Toc296891234"/>
      <w:bookmarkStart w:id="581" w:name="_Toc304295567"/>
      <w:bookmarkStart w:id="582" w:name="_Toc297120494"/>
      <w:r>
        <w:rPr>
          <w:rFonts w:hint="eastAsia" w:ascii="宋体" w:hAnsi="宋体" w:eastAsia="宋体" w:cs="宋体"/>
          <w:color w:val="auto"/>
          <w:sz w:val="24"/>
          <w:szCs w:val="24"/>
          <w:highlight w:val="none"/>
        </w:rPr>
        <w:t>10.1变更的范围</w:t>
      </w:r>
    </w:p>
    <w:p w14:paraId="53A095D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合同履行过程中发生以下情形的，应按照本条约定进行变更：</w:t>
      </w:r>
    </w:p>
    <w:p w14:paraId="7A17DD25">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（1）增加或减少合同中任何工作，或追加额外的工作；</w:t>
      </w:r>
    </w:p>
    <w:p w14:paraId="6EFC6A47">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（2）取消合同中任何工作，但转由他人实施的工作除外；</w:t>
      </w:r>
    </w:p>
    <w:p w14:paraId="67F9A446">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（3）改变合同中任何工作的质量标准或其他特性；</w:t>
      </w:r>
    </w:p>
    <w:p w14:paraId="7F123377">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（4）改变工程的基线、标高、位置和尺寸；</w:t>
      </w:r>
    </w:p>
    <w:p w14:paraId="75E6ACB2">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（5）改变工程的书面通知实施；签证须经工程项目监理单位、全过程跟踪审计单位和发包方派驻现场代表项目负责人签字认可。</w:t>
      </w:r>
    </w:p>
    <w:p w14:paraId="455ACA5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变更指示均通过监理人发出，监理人发出变更指示前应征得发包人同意。承包人收到经发包人签认的变更指示后，方可实施变更。未经许可，承包人不得擅自对工程的任何部分进行变更。</w:t>
      </w:r>
    </w:p>
    <w:p w14:paraId="7B9E793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涉及设计变更的，应由设计人提供变更后的图纸和说明。如变更超过原设计标准或批准的建设规模时，发包人应及时办理规划、设计变更等审批手续。</w:t>
      </w:r>
    </w:p>
    <w:p w14:paraId="59B5924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10.2变更权</w:t>
      </w:r>
    </w:p>
    <w:p w14:paraId="0E9FD450">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发包人可以提出变更。变更指示经发包方组织相关单位（部门）论证确认后，书面通知实施；签证须经工程项目监理单位、全过程跟踪审计单位和发包方派驻现场代表项目负责人签字认可。</w:t>
      </w:r>
    </w:p>
    <w:p w14:paraId="7ECBF2C9">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变更指示均通过监理人发出，监理人发出变更指示前应征得发包人同意。承包人收到经发包人签认的变更指示后，方可实施变更。未经许可，承包人不得擅自对工程的任何部分进行变更。</w:t>
      </w:r>
    </w:p>
    <w:p w14:paraId="11388E64">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涉及设计变更的，应由设计人提供变更后的图纸和说明。如变更超过原设计标准或批准的建设规模时，发包人应及时办理规划、设计变更等审批手续。</w:t>
      </w:r>
    </w:p>
    <w:p w14:paraId="2A72721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10.3变更程序</w:t>
      </w:r>
    </w:p>
    <w:p w14:paraId="2199B0F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 发包人提出变更</w:t>
      </w:r>
    </w:p>
    <w:p w14:paraId="63B3361F">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发包人提出变更的，应通过监理人向承包人发出变更指示，变更指示应说明计划变更的工程范围和变更的内容。</w:t>
      </w:r>
    </w:p>
    <w:p w14:paraId="5D10CD7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 变更执行</w:t>
      </w:r>
    </w:p>
    <w:p w14:paraId="12D9DAF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8F04BAF">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583" w:name="_Toc6396"/>
      <w:r>
        <w:rPr>
          <w:rFonts w:hint="eastAsia" w:ascii="宋体" w:hAnsi="宋体" w:eastAsia="宋体" w:cs="宋体"/>
          <w:color w:val="auto"/>
          <w:sz w:val="24"/>
          <w:szCs w:val="24"/>
          <w:highlight w:val="none"/>
        </w:rPr>
        <w:t>10.4 变更估价</w:t>
      </w:r>
      <w:bookmarkEnd w:id="583"/>
    </w:p>
    <w:p w14:paraId="3738705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100595E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51512477">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Start w:id="584" w:name="_Toc300934993"/>
      <w:bookmarkStart w:id="585" w:name="_Toc296891237"/>
      <w:bookmarkStart w:id="586" w:name="_Toc297120497"/>
      <w:bookmarkStart w:id="587" w:name="_Toc292559907"/>
      <w:bookmarkStart w:id="588" w:name="_Toc297216203"/>
      <w:bookmarkStart w:id="589" w:name="_Toc292559402"/>
      <w:bookmarkStart w:id="590" w:name="_Toc296346698"/>
      <w:bookmarkStart w:id="591" w:name="_Toc296891025"/>
      <w:bookmarkStart w:id="592" w:name="_Toc297048383"/>
      <w:bookmarkStart w:id="593" w:name="_Toc296347196"/>
      <w:bookmarkStart w:id="594" w:name="_Toc303539150"/>
      <w:bookmarkStart w:id="595" w:name="_Toc296944536"/>
      <w:bookmarkStart w:id="596" w:name="_Toc297123544"/>
      <w:bookmarkStart w:id="597" w:name="_Toc296503197"/>
      <w:bookmarkStart w:id="598" w:name="_Toc312678029"/>
      <w:bookmarkStart w:id="599" w:name="_Toc312677503"/>
      <w:bookmarkStart w:id="600" w:name="_Toc304295570"/>
      <w:r>
        <w:rPr>
          <w:rFonts w:hint="eastAsia" w:ascii="宋体" w:hAnsi="宋体" w:eastAsia="宋体" w:cs="宋体"/>
          <w:color w:val="auto"/>
          <w:sz w:val="24"/>
          <w:szCs w:val="24"/>
          <w:highlight w:val="none"/>
        </w:rPr>
        <w:t>0.5承</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Start w:id="601" w:name="_Toc296891243"/>
      <w:bookmarkStart w:id="602" w:name="_Toc297120503"/>
      <w:bookmarkStart w:id="603" w:name="_Toc296891031"/>
      <w:bookmarkStart w:id="604" w:name="_Toc292559408"/>
      <w:bookmarkStart w:id="605" w:name="_Toc292559913"/>
      <w:bookmarkStart w:id="606" w:name="_Toc297216204"/>
      <w:bookmarkStart w:id="607" w:name="_Toc296347202"/>
      <w:bookmarkStart w:id="608" w:name="_Toc296346704"/>
      <w:bookmarkStart w:id="609" w:name="_Toc296944542"/>
      <w:bookmarkStart w:id="610" w:name="_Toc303539151"/>
      <w:bookmarkStart w:id="611" w:name="_Toc297048389"/>
      <w:bookmarkStart w:id="612" w:name="_Toc296503203"/>
      <w:bookmarkStart w:id="613" w:name="_Toc297123545"/>
      <w:bookmarkStart w:id="614" w:name="_Toc300934994"/>
      <w:r>
        <w:rPr>
          <w:rFonts w:hint="eastAsia" w:ascii="宋体" w:hAnsi="宋体" w:eastAsia="宋体" w:cs="宋体"/>
          <w:color w:val="auto"/>
          <w:sz w:val="24"/>
          <w:szCs w:val="24"/>
          <w:highlight w:val="none"/>
        </w:rPr>
        <w:t>包人的合理化建议</w:t>
      </w:r>
    </w:p>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14:paraId="3050AAE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天</w:t>
      </w:r>
      <w:r>
        <w:rPr>
          <w:rFonts w:hint="eastAsia" w:ascii="宋体" w:hAnsi="宋体" w:eastAsia="宋体" w:cs="宋体"/>
          <w:color w:val="auto"/>
          <w:sz w:val="24"/>
          <w:szCs w:val="24"/>
          <w:highlight w:val="none"/>
        </w:rPr>
        <w:t>。</w:t>
      </w:r>
    </w:p>
    <w:p w14:paraId="69CDF6E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天</w:t>
      </w:r>
      <w:r>
        <w:rPr>
          <w:rFonts w:hint="eastAsia" w:ascii="宋体" w:hAnsi="宋体" w:eastAsia="宋体" w:cs="宋体"/>
          <w:color w:val="auto"/>
          <w:sz w:val="24"/>
          <w:szCs w:val="24"/>
          <w:highlight w:val="none"/>
        </w:rPr>
        <w:t>。</w:t>
      </w:r>
    </w:p>
    <w:p w14:paraId="2F783B41">
      <w:pPr>
        <w:shd w:val="clear" w:color="auto" w:fill="auto"/>
        <w:spacing w:line="360" w:lineRule="auto"/>
        <w:ind w:left="660" w:leftChars="200" w:hanging="240" w:hanging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w:t>
      </w:r>
      <w:bookmarkStart w:id="615" w:name="_Toc296891244"/>
      <w:bookmarkStart w:id="616" w:name="_Toc296503204"/>
      <w:bookmarkStart w:id="617" w:name="_Toc297048390"/>
      <w:bookmarkStart w:id="618" w:name="_Toc296347203"/>
      <w:bookmarkStart w:id="619" w:name="_Toc304295571"/>
      <w:bookmarkStart w:id="620" w:name="_Toc300934995"/>
      <w:bookmarkStart w:id="621" w:name="_Toc292559409"/>
      <w:bookmarkStart w:id="622" w:name="_Toc297123546"/>
      <w:bookmarkStart w:id="623" w:name="_Toc312677504"/>
      <w:bookmarkStart w:id="624" w:name="_Toc292559914"/>
      <w:bookmarkStart w:id="625" w:name="_Toc303539152"/>
      <w:bookmarkStart w:id="626" w:name="_Toc296346705"/>
      <w:bookmarkStart w:id="627" w:name="_Toc297120504"/>
      <w:bookmarkStart w:id="628" w:name="_Toc296891032"/>
      <w:bookmarkStart w:id="629" w:name="_Toc296944543"/>
      <w:bookmarkStart w:id="630" w:name="_Toc312678030"/>
      <w:bookmarkStart w:id="631" w:name="_Toc318581175"/>
      <w:bookmarkStart w:id="632" w:name="_Toc297216205"/>
      <w:r>
        <w:rPr>
          <w:rFonts w:hint="eastAsia" w:ascii="宋体" w:hAnsi="宋体" w:eastAsia="宋体" w:cs="宋体"/>
          <w:color w:val="auto"/>
          <w:sz w:val="24"/>
          <w:szCs w:val="24"/>
          <w:highlight w:val="none"/>
        </w:rPr>
        <w:t>包人提出的合理化建议降低了合同价格或者提高了工程经济效益的奖励的方法和金额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3AE928E">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633" w:name="_Toc23966"/>
      <w:r>
        <w:rPr>
          <w:rFonts w:hint="eastAsia" w:ascii="宋体" w:hAnsi="宋体" w:eastAsia="宋体" w:cs="宋体"/>
          <w:color w:val="auto"/>
          <w:sz w:val="24"/>
          <w:szCs w:val="24"/>
          <w:highlight w:val="none"/>
        </w:rPr>
        <w:t>1</w:t>
      </w:r>
      <w:bookmarkStart w:id="634" w:name="_Toc303539154"/>
      <w:bookmarkStart w:id="635" w:name="_Toc304295574"/>
      <w:bookmarkStart w:id="636" w:name="_Toc292559909"/>
      <w:bookmarkStart w:id="637" w:name="_Toc297048385"/>
      <w:bookmarkStart w:id="638" w:name="_Toc297120499"/>
      <w:bookmarkStart w:id="639" w:name="_Toc296503199"/>
      <w:bookmarkStart w:id="640" w:name="_Toc296347198"/>
      <w:bookmarkStart w:id="641" w:name="_Toc296346700"/>
      <w:bookmarkStart w:id="642" w:name="_Toc297216207"/>
      <w:bookmarkStart w:id="643" w:name="_Toc300934997"/>
      <w:bookmarkStart w:id="644" w:name="_Toc296891027"/>
      <w:bookmarkStart w:id="645" w:name="_Toc312678033"/>
      <w:bookmarkStart w:id="646" w:name="_Toc297123548"/>
      <w:bookmarkStart w:id="647" w:name="_Toc312677507"/>
      <w:bookmarkStart w:id="648" w:name="_Toc292559404"/>
      <w:bookmarkStart w:id="649" w:name="_Toc296944538"/>
      <w:bookmarkStart w:id="650" w:name="_Toc296891239"/>
      <w:r>
        <w:rPr>
          <w:rFonts w:hint="eastAsia" w:ascii="宋体" w:hAnsi="宋体" w:eastAsia="宋体" w:cs="宋体"/>
          <w:color w:val="auto"/>
          <w:sz w:val="24"/>
          <w:szCs w:val="24"/>
          <w:highlight w:val="none"/>
        </w:rPr>
        <w:t>0.7 暂估价</w:t>
      </w:r>
      <w:bookmarkEnd w:id="633"/>
    </w:p>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14:paraId="5EA6492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w:t>
      </w:r>
      <w:bookmarkStart w:id="651" w:name="_Toc318581176"/>
      <w:bookmarkStart w:id="652" w:name="_Toc312678034"/>
      <w:bookmarkStart w:id="653" w:name="_Toc312677508"/>
      <w:r>
        <w:rPr>
          <w:rFonts w:hint="eastAsia" w:ascii="宋体" w:hAnsi="宋体" w:eastAsia="宋体" w:cs="宋体"/>
          <w:color w:val="auto"/>
          <w:sz w:val="24"/>
          <w:szCs w:val="24"/>
          <w:highlight w:val="none"/>
        </w:rPr>
        <w:t>估价材料和工程设备的明细详见附件11：《暂估价一览表》。</w:t>
      </w:r>
    </w:p>
    <w:bookmarkEnd w:id="651"/>
    <w:bookmarkEnd w:id="652"/>
    <w:bookmarkEnd w:id="653"/>
    <w:p w14:paraId="5271F22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654" w:name="_Toc318581177"/>
      <w:bookmarkStart w:id="655" w:name="_Toc312677509"/>
      <w:bookmarkStart w:id="656" w:name="_Toc312678035"/>
      <w:r>
        <w:rPr>
          <w:rFonts w:hint="eastAsia" w:ascii="宋体" w:hAnsi="宋体" w:eastAsia="宋体" w:cs="宋体"/>
          <w:color w:val="auto"/>
          <w:sz w:val="24"/>
          <w:szCs w:val="24"/>
          <w:highlight w:val="none"/>
        </w:rPr>
        <w:t>0.7.1 依法必须招标的暂估价项目</w:t>
      </w:r>
    </w:p>
    <w:bookmarkEnd w:id="654"/>
    <w:bookmarkEnd w:id="655"/>
    <w:bookmarkEnd w:id="656"/>
    <w:p w14:paraId="0B6170B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种方式确定。</w:t>
      </w:r>
    </w:p>
    <w:p w14:paraId="101701D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1DBFD89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种方式确定。</w:t>
      </w:r>
    </w:p>
    <w:p w14:paraId="09DB8B8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第3种方式：承包人直接实施的暂估价项目</w:t>
      </w:r>
    </w:p>
    <w:p w14:paraId="48A1E8E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5F9958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14:paraId="13E91380">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合同当事人关于暂列金额使用的约定：</w:t>
      </w:r>
      <w:r>
        <w:rPr>
          <w:rFonts w:hint="eastAsia" w:ascii="宋体" w:hAnsi="宋体" w:eastAsia="宋体" w:cs="宋体"/>
          <w:color w:val="auto"/>
          <w:sz w:val="24"/>
          <w:szCs w:val="24"/>
          <w:highlight w:val="none"/>
          <w:u w:val="single"/>
        </w:rPr>
        <w:t>①暂列金额应按照发包人的要求使用；暂列金额不计入工程付款基数。②暂列金额的使用须经发包人同意，由发包人支配，未使用或剩余金额仍归发包人所有。</w:t>
      </w:r>
    </w:p>
    <w:p w14:paraId="5C3CE875">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657" w:name="_Toc29793"/>
      <w:bookmarkStart w:id="658" w:name="_Toc24226"/>
      <w:r>
        <w:rPr>
          <w:rFonts w:hint="eastAsia" w:ascii="宋体" w:hAnsi="宋体" w:eastAsia="宋体" w:cs="宋体"/>
          <w:color w:val="auto"/>
          <w:sz w:val="24"/>
          <w:szCs w:val="24"/>
          <w:highlight w:val="none"/>
        </w:rPr>
        <w:t>11. 价格调整</w:t>
      </w:r>
      <w:bookmarkEnd w:id="657"/>
      <w:bookmarkEnd w:id="658"/>
    </w:p>
    <w:p w14:paraId="4D599F64">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659" w:name="_Toc304295577"/>
      <w:bookmarkStart w:id="660" w:name="_Toc296346702"/>
      <w:bookmarkStart w:id="661" w:name="_Toc296347200"/>
      <w:bookmarkStart w:id="662" w:name="_Toc297120501"/>
      <w:bookmarkStart w:id="663" w:name="_Toc297123550"/>
      <w:bookmarkStart w:id="664" w:name="_Toc296891241"/>
      <w:bookmarkStart w:id="665" w:name="_Toc312678039"/>
      <w:bookmarkStart w:id="666" w:name="_Toc297048387"/>
      <w:bookmarkStart w:id="667" w:name="_Toc296503201"/>
      <w:bookmarkStart w:id="668" w:name="_Toc292559406"/>
      <w:bookmarkStart w:id="669" w:name="_Toc292559911"/>
      <w:bookmarkStart w:id="670" w:name="_Toc303539157"/>
      <w:bookmarkStart w:id="671" w:name="_Toc297216209"/>
      <w:bookmarkStart w:id="672" w:name="_Toc300935000"/>
      <w:bookmarkStart w:id="673" w:name="_Toc296891029"/>
      <w:bookmarkStart w:id="674" w:name="_Toc296944540"/>
      <w:r>
        <w:rPr>
          <w:rFonts w:hint="eastAsia" w:ascii="宋体" w:hAnsi="宋体" w:eastAsia="宋体" w:cs="宋体"/>
          <w:color w:val="auto"/>
          <w:sz w:val="24"/>
          <w:szCs w:val="24"/>
          <w:highlight w:val="none"/>
        </w:rPr>
        <w:t>11.1 市场价格波动引起的调整</w:t>
      </w:r>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14:paraId="0D7BE90A">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市场价格波动是否调整合同价格的约定：</w:t>
      </w:r>
      <w:r>
        <w:rPr>
          <w:rFonts w:hint="eastAsia" w:ascii="宋体" w:hAnsi="宋体" w:eastAsia="宋体" w:cs="宋体"/>
          <w:color w:val="auto"/>
          <w:sz w:val="24"/>
          <w:szCs w:val="24"/>
          <w:highlight w:val="none"/>
          <w:u w:val="single"/>
          <w:lang w:val="en-US" w:eastAsia="zh-CN"/>
        </w:rPr>
        <w:t>不调整</w:t>
      </w:r>
      <w:r>
        <w:rPr>
          <w:rFonts w:hint="eastAsia" w:ascii="宋体" w:hAnsi="宋体" w:eastAsia="宋体" w:cs="宋体"/>
          <w:color w:val="auto"/>
          <w:sz w:val="24"/>
          <w:szCs w:val="24"/>
          <w:highlight w:val="none"/>
          <w:u w:val="single"/>
        </w:rPr>
        <w:t>。</w:t>
      </w:r>
    </w:p>
    <w:p w14:paraId="5081655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种方式对合同价格进行调整：</w:t>
      </w:r>
    </w:p>
    <w:p w14:paraId="047FDF4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2F263C3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678159E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029D526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5BB834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%时，其超过部分据实调整。</w:t>
      </w:r>
    </w:p>
    <w:p w14:paraId="158ECC8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%时，其超过部分据实调整。</w:t>
      </w:r>
    </w:p>
    <w:p w14:paraId="4ADDC0C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%时，其超过部分据实调整。</w:t>
      </w:r>
    </w:p>
    <w:p w14:paraId="12A3D86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lang w:val="en-US" w:eastAsia="zh-CN"/>
        </w:rPr>
        <w:t>不调整</w:t>
      </w:r>
      <w:r>
        <w:rPr>
          <w:rFonts w:hint="eastAsia" w:ascii="宋体" w:hAnsi="宋体" w:eastAsia="宋体" w:cs="宋体"/>
          <w:color w:val="auto"/>
          <w:sz w:val="24"/>
          <w:szCs w:val="24"/>
          <w:highlight w:val="none"/>
          <w:u w:val="single"/>
        </w:rPr>
        <w:t>。</w:t>
      </w:r>
    </w:p>
    <w:bookmarkEnd w:id="559"/>
    <w:bookmarkEnd w:id="560"/>
    <w:bookmarkEnd w:id="561"/>
    <w:bookmarkEnd w:id="562"/>
    <w:bookmarkEnd w:id="563"/>
    <w:bookmarkEnd w:id="564"/>
    <w:p w14:paraId="28714670">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675" w:name="_Toc296944544"/>
      <w:bookmarkStart w:id="676" w:name="_Toc292559915"/>
      <w:bookmarkStart w:id="677" w:name="_Toc296891033"/>
      <w:bookmarkStart w:id="678" w:name="_Toc296347204"/>
      <w:bookmarkStart w:id="679" w:name="_Toc292559410"/>
      <w:bookmarkStart w:id="680" w:name="_Toc297120505"/>
      <w:bookmarkStart w:id="681" w:name="_Toc296503205"/>
      <w:bookmarkStart w:id="682" w:name="_Toc296346706"/>
      <w:bookmarkStart w:id="683" w:name="_Toc296891245"/>
      <w:bookmarkStart w:id="684" w:name="_Toc297048391"/>
      <w:bookmarkStart w:id="685" w:name="_Toc20555"/>
      <w:bookmarkStart w:id="686" w:name="_Toc16934"/>
      <w:bookmarkStart w:id="687" w:name="_Toc300935002"/>
      <w:bookmarkStart w:id="688" w:name="_Toc304295579"/>
      <w:bookmarkStart w:id="689" w:name="_Toc297216211"/>
      <w:bookmarkStart w:id="690" w:name="_Toc303539159"/>
      <w:bookmarkStart w:id="691" w:name="_Toc297123552"/>
      <w:bookmarkStart w:id="692" w:name="_Toc312678040"/>
      <w:r>
        <w:rPr>
          <w:rFonts w:hint="eastAsia" w:ascii="宋体" w:hAnsi="宋体" w:eastAsia="宋体" w:cs="宋体"/>
          <w:color w:val="auto"/>
          <w:sz w:val="24"/>
          <w:szCs w:val="24"/>
          <w:highlight w:val="none"/>
        </w:rPr>
        <w:t xml:space="preserve">12. </w:t>
      </w:r>
      <w:bookmarkEnd w:id="675"/>
      <w:bookmarkEnd w:id="676"/>
      <w:bookmarkEnd w:id="677"/>
      <w:bookmarkEnd w:id="678"/>
      <w:bookmarkEnd w:id="679"/>
      <w:bookmarkEnd w:id="680"/>
      <w:bookmarkEnd w:id="681"/>
      <w:bookmarkEnd w:id="682"/>
      <w:bookmarkEnd w:id="683"/>
      <w:bookmarkEnd w:id="684"/>
      <w:r>
        <w:rPr>
          <w:rFonts w:hint="eastAsia" w:ascii="宋体" w:hAnsi="宋体" w:eastAsia="宋体" w:cs="宋体"/>
          <w:color w:val="auto"/>
          <w:sz w:val="24"/>
          <w:szCs w:val="24"/>
          <w:highlight w:val="none"/>
        </w:rPr>
        <w:t>合同价格、计量与支付</w:t>
      </w:r>
      <w:bookmarkEnd w:id="685"/>
      <w:bookmarkEnd w:id="686"/>
    </w:p>
    <w:bookmarkEnd w:id="687"/>
    <w:bookmarkEnd w:id="688"/>
    <w:bookmarkEnd w:id="689"/>
    <w:bookmarkEnd w:id="690"/>
    <w:bookmarkEnd w:id="691"/>
    <w:bookmarkEnd w:id="692"/>
    <w:p w14:paraId="3287881B">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693" w:name="_Toc267251461"/>
      <w:bookmarkStart w:id="694" w:name="_Toc292559411"/>
      <w:bookmarkStart w:id="695" w:name="_Toc292559916"/>
      <w:bookmarkStart w:id="696" w:name="_Toc296891246"/>
      <w:bookmarkStart w:id="697" w:name="_Toc296347205"/>
      <w:bookmarkStart w:id="698" w:name="_Toc296944545"/>
      <w:bookmarkStart w:id="699" w:name="_Toc296503206"/>
      <w:bookmarkStart w:id="700" w:name="_Toc297120506"/>
      <w:bookmarkStart w:id="701" w:name="_Toc297048392"/>
      <w:bookmarkStart w:id="702" w:name="_Toc296346707"/>
      <w:bookmarkStart w:id="703" w:name="_Toc296891034"/>
      <w:bookmarkStart w:id="704" w:name="_Toc303539160"/>
      <w:bookmarkStart w:id="705" w:name="_Toc297123553"/>
      <w:bookmarkStart w:id="706" w:name="_Toc300935003"/>
      <w:bookmarkStart w:id="707" w:name="_Toc297216212"/>
      <w:bookmarkStart w:id="708" w:name="_Toc304295580"/>
      <w:bookmarkStart w:id="709" w:name="_Toc312678041"/>
      <w:r>
        <w:rPr>
          <w:rFonts w:hint="eastAsia" w:ascii="宋体" w:hAnsi="宋体" w:eastAsia="宋体" w:cs="宋体"/>
          <w:color w:val="auto"/>
          <w:sz w:val="24"/>
          <w:szCs w:val="24"/>
          <w:highlight w:val="none"/>
        </w:rPr>
        <w:t>12.1 合</w:t>
      </w:r>
      <w:bookmarkEnd w:id="693"/>
      <w:bookmarkEnd w:id="694"/>
      <w:bookmarkEnd w:id="695"/>
      <w:r>
        <w:rPr>
          <w:rFonts w:hint="eastAsia" w:ascii="宋体" w:hAnsi="宋体" w:eastAsia="宋体" w:cs="宋体"/>
          <w:color w:val="auto"/>
          <w:sz w:val="24"/>
          <w:szCs w:val="24"/>
          <w:highlight w:val="none"/>
        </w:rPr>
        <w:t>同价</w:t>
      </w:r>
      <w:bookmarkEnd w:id="696"/>
      <w:bookmarkEnd w:id="697"/>
      <w:bookmarkEnd w:id="698"/>
      <w:bookmarkEnd w:id="699"/>
      <w:bookmarkEnd w:id="700"/>
      <w:bookmarkEnd w:id="701"/>
      <w:bookmarkEnd w:id="702"/>
      <w:bookmarkEnd w:id="703"/>
      <w:r>
        <w:rPr>
          <w:rFonts w:hint="eastAsia" w:ascii="宋体" w:hAnsi="宋体" w:eastAsia="宋体" w:cs="宋体"/>
          <w:color w:val="auto"/>
          <w:sz w:val="24"/>
          <w:szCs w:val="24"/>
          <w:highlight w:val="none"/>
        </w:rPr>
        <w:t>格形式</w:t>
      </w:r>
    </w:p>
    <w:bookmarkEnd w:id="704"/>
    <w:bookmarkEnd w:id="705"/>
    <w:bookmarkEnd w:id="706"/>
    <w:bookmarkEnd w:id="707"/>
    <w:bookmarkEnd w:id="708"/>
    <w:bookmarkEnd w:id="709"/>
    <w:p w14:paraId="7C396DE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7F2A01A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w:t>
      </w:r>
    </w:p>
    <w:p w14:paraId="482A0C8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FCB1731">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w:t>
      </w:r>
    </w:p>
    <w:p w14:paraId="78DA5AC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25F3520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b/>
          <w:bCs/>
          <w:color w:val="auto"/>
          <w:sz w:val="24"/>
          <w:szCs w:val="24"/>
          <w:highlight w:val="none"/>
        </w:rPr>
        <w:t>成交的磋商报价为结算总造价限价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结算时按照实际完成的合格工程量乘以合同综合单价后按实计算，若计算值低于结算总造价限价的，按实际完成的工程量乘以合同综合单价按实进行结算</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若计算值高于结算总造价限价的，超过限价的部分将不予支付，供应商应综合考虑结算总造价限价、市场行情及自身情况后合理填报价格，并能保证供应商完成行合同所需的一切工作，并承担合同中明示和暗示的一切责任</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合同一旦签订，此合同价格在合同实施期间将不因工作量及市场设备材料价格的变化而调整。</w:t>
      </w:r>
      <w:r>
        <w:rPr>
          <w:rFonts w:hint="eastAsia" w:ascii="宋体" w:hAnsi="宋体" w:eastAsia="宋体" w:cs="宋体"/>
          <w:color w:val="auto"/>
          <w:sz w:val="24"/>
          <w:szCs w:val="32"/>
          <w:highlight w:val="none"/>
          <w:u w:val="single"/>
        </w:rPr>
        <w:t>本合同措施费总价为包干总价</w:t>
      </w:r>
      <w:r>
        <w:rPr>
          <w:rFonts w:hint="eastAsia" w:ascii="宋体" w:hAnsi="宋体" w:eastAsia="宋体" w:cs="宋体"/>
          <w:color w:val="auto"/>
          <w:sz w:val="24"/>
          <w:szCs w:val="24"/>
          <w:highlight w:val="none"/>
          <w:u w:val="single"/>
        </w:rPr>
        <w:t>。</w:t>
      </w:r>
    </w:p>
    <w:p w14:paraId="2F205F0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36363A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32"/>
          <w:highlight w:val="none"/>
          <w:lang w:val="en-US" w:eastAsia="zh-CN"/>
        </w:rPr>
        <w:t>不调整</w:t>
      </w:r>
      <w:r>
        <w:rPr>
          <w:rFonts w:hint="eastAsia" w:ascii="宋体" w:hAnsi="宋体" w:eastAsia="宋体" w:cs="宋体"/>
          <w:color w:val="auto"/>
          <w:sz w:val="24"/>
          <w:szCs w:val="24"/>
          <w:highlight w:val="none"/>
        </w:rPr>
        <w:t>。</w:t>
      </w:r>
    </w:p>
    <w:p w14:paraId="69A9B3D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240C1D7">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710" w:name="_Toc303539161"/>
      <w:bookmarkStart w:id="711" w:name="_Toc297216213"/>
      <w:bookmarkStart w:id="712" w:name="_Toc304295581"/>
      <w:bookmarkStart w:id="713" w:name="_Toc312678042"/>
      <w:bookmarkStart w:id="714" w:name="_Toc300935004"/>
      <w:bookmarkStart w:id="715" w:name="_Toc297123554"/>
      <w:bookmarkStart w:id="716" w:name="_Toc296503207"/>
      <w:bookmarkStart w:id="717" w:name="_Toc292559917"/>
      <w:bookmarkStart w:id="718" w:name="_Toc296944546"/>
      <w:bookmarkStart w:id="719" w:name="_Toc296891035"/>
      <w:bookmarkStart w:id="720" w:name="_Toc292559412"/>
      <w:bookmarkStart w:id="721" w:name="_Toc297048393"/>
      <w:bookmarkStart w:id="722" w:name="_Toc297120507"/>
      <w:bookmarkStart w:id="723" w:name="_Toc296346708"/>
      <w:bookmarkStart w:id="724" w:name="_Toc296347206"/>
      <w:bookmarkStart w:id="725" w:name="_Toc296891247"/>
      <w:r>
        <w:rPr>
          <w:rFonts w:hint="eastAsia" w:ascii="宋体" w:hAnsi="宋体" w:eastAsia="宋体" w:cs="宋体"/>
          <w:color w:val="auto"/>
          <w:sz w:val="24"/>
          <w:szCs w:val="24"/>
          <w:highlight w:val="none"/>
        </w:rPr>
        <w:t>12.2 预付款</w:t>
      </w:r>
    </w:p>
    <w:bookmarkEnd w:id="710"/>
    <w:bookmarkEnd w:id="711"/>
    <w:bookmarkEnd w:id="712"/>
    <w:bookmarkEnd w:id="713"/>
    <w:bookmarkEnd w:id="714"/>
    <w:bookmarkEnd w:id="715"/>
    <w:p w14:paraId="6545FDB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预付款的支付</w:t>
      </w:r>
    </w:p>
    <w:p w14:paraId="151EAD5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预付款支付比例或金额：</w:t>
      </w:r>
      <w:r>
        <w:rPr>
          <w:rFonts w:hint="eastAsia" w:ascii="宋体" w:hAnsi="宋体" w:eastAsia="宋体" w:cs="宋体"/>
          <w:color w:val="auto"/>
          <w:sz w:val="24"/>
          <w:szCs w:val="24"/>
          <w:highlight w:val="none"/>
          <w:u w:val="single"/>
          <w:lang w:val="en-US" w:eastAsia="zh-CN"/>
        </w:rPr>
        <w:t>无预付款</w:t>
      </w:r>
      <w:r>
        <w:rPr>
          <w:rFonts w:hint="eastAsia" w:ascii="宋体" w:hAnsi="宋体" w:eastAsia="宋体" w:cs="宋体"/>
          <w:color w:val="auto"/>
          <w:sz w:val="24"/>
          <w:szCs w:val="24"/>
          <w:highlight w:val="none"/>
        </w:rPr>
        <w:t>。</w:t>
      </w:r>
    </w:p>
    <w:p w14:paraId="3EA1452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预付款支付期限：</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365681C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预付款扣回的方式：</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5BF6515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 预付款担保</w:t>
      </w:r>
    </w:p>
    <w:p w14:paraId="66B05CD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DF9F8F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716"/>
    <w:bookmarkEnd w:id="717"/>
    <w:bookmarkEnd w:id="718"/>
    <w:bookmarkEnd w:id="719"/>
    <w:bookmarkEnd w:id="720"/>
    <w:bookmarkEnd w:id="721"/>
    <w:bookmarkEnd w:id="722"/>
    <w:bookmarkEnd w:id="723"/>
    <w:bookmarkEnd w:id="724"/>
    <w:bookmarkEnd w:id="725"/>
    <w:p w14:paraId="515E2A5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计量</w:t>
      </w:r>
    </w:p>
    <w:p w14:paraId="2507FDD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14:paraId="14656789">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w:t>
      </w:r>
    </w:p>
    <w:p w14:paraId="6B16B707">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14:paraId="0909CD5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0DED4D7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14:paraId="55BA607E">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10939AD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14:paraId="6217000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69C6C3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12.3.5总价合同采用支付分解表计量支付的，是否适用第12.3.4 项〔总价合同的计量〕约定进行计量：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81385D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249CCFD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C534CA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工程进度款支付</w:t>
      </w:r>
    </w:p>
    <w:p w14:paraId="0C9F786B">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726" w:name="_Toc296346712"/>
      <w:bookmarkStart w:id="727" w:name="_Toc297123556"/>
      <w:bookmarkStart w:id="728" w:name="_Toc297120511"/>
      <w:bookmarkStart w:id="729" w:name="_Toc297048397"/>
      <w:bookmarkStart w:id="730" w:name="_Toc297216215"/>
      <w:bookmarkStart w:id="731" w:name="_Toc296347210"/>
      <w:bookmarkStart w:id="732" w:name="_Toc303539163"/>
      <w:bookmarkStart w:id="733" w:name="_Toc292559921"/>
      <w:bookmarkStart w:id="734" w:name="_Toc296944550"/>
      <w:bookmarkStart w:id="735" w:name="_Toc296891251"/>
      <w:bookmarkStart w:id="736" w:name="_Toc300935006"/>
      <w:bookmarkStart w:id="737" w:name="_Toc292559416"/>
      <w:bookmarkStart w:id="738" w:name="_Toc296891039"/>
      <w:bookmarkStart w:id="739" w:name="_Toc296503211"/>
      <w:r>
        <w:rPr>
          <w:rFonts w:hint="eastAsia" w:ascii="宋体" w:hAnsi="宋体" w:eastAsia="宋体" w:cs="宋体"/>
          <w:color w:val="auto"/>
          <w:sz w:val="24"/>
          <w:szCs w:val="24"/>
          <w:highlight w:val="none"/>
        </w:rPr>
        <w:t>12.4.1 付款周期</w:t>
      </w:r>
    </w:p>
    <w:p w14:paraId="5F40F8E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关于付款周期的约定：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281664B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14:paraId="6BE8EA1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5DC0E05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Pr>
          <w:rFonts w:hint="eastAsia" w:ascii="宋体" w:hAnsi="宋体" w:eastAsia="宋体" w:cs="宋体"/>
          <w:color w:val="auto"/>
          <w:sz w:val="24"/>
          <w:szCs w:val="24"/>
          <w:highlight w:val="none"/>
        </w:rPr>
        <w:t>2.4.3 进度付款申请单的提交</w:t>
      </w:r>
    </w:p>
    <w:p w14:paraId="49EB20F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9561E8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63013C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2E2EEF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06177D3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464D285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4F289F8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7B04AF3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570CBCE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3A79A24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E68699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565"/>
    <w:p w14:paraId="211F82FC">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740" w:name="_Toc14807"/>
      <w:bookmarkStart w:id="741" w:name="_Toc14566"/>
      <w:bookmarkStart w:id="742" w:name="_Toc292559424"/>
      <w:bookmarkStart w:id="743" w:name="_Toc296346720"/>
      <w:bookmarkStart w:id="744" w:name="_Toc297048405"/>
      <w:bookmarkStart w:id="745" w:name="_Toc297123564"/>
      <w:bookmarkStart w:id="746" w:name="_Toc296347218"/>
      <w:bookmarkStart w:id="747" w:name="_Toc292559929"/>
      <w:bookmarkStart w:id="748" w:name="_Toc297120519"/>
      <w:bookmarkStart w:id="749" w:name="_Toc304295593"/>
      <w:bookmarkStart w:id="750" w:name="_Toc312678053"/>
      <w:bookmarkStart w:id="751" w:name="_Toc296944558"/>
      <w:bookmarkStart w:id="752" w:name="_Toc296503219"/>
      <w:bookmarkStart w:id="753" w:name="_Toc296891259"/>
      <w:bookmarkStart w:id="754" w:name="_Toc296891047"/>
      <w:bookmarkStart w:id="755" w:name="_Toc303539172"/>
      <w:bookmarkStart w:id="756" w:name="_Toc297216223"/>
      <w:bookmarkStart w:id="757" w:name="_Toc300935015"/>
      <w:r>
        <w:rPr>
          <w:rFonts w:hint="eastAsia" w:ascii="宋体" w:hAnsi="宋体" w:eastAsia="宋体" w:cs="宋体"/>
          <w:color w:val="auto"/>
          <w:sz w:val="24"/>
          <w:szCs w:val="24"/>
          <w:highlight w:val="none"/>
        </w:rPr>
        <w:t>13. 验收和工程试车</w:t>
      </w:r>
      <w:bookmarkEnd w:id="740"/>
      <w:bookmarkEnd w:id="741"/>
    </w:p>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14:paraId="1C2B8E0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123503A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04E490F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351DCC49">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758" w:name="_Toc312678056"/>
      <w:bookmarkStart w:id="759" w:name="_Toc296346724"/>
      <w:bookmarkStart w:id="760" w:name="_Toc297120523"/>
      <w:bookmarkStart w:id="761" w:name="_Toc292559933"/>
      <w:bookmarkStart w:id="762" w:name="_Toc303539173"/>
      <w:bookmarkStart w:id="763" w:name="_Toc304295596"/>
      <w:bookmarkStart w:id="764" w:name="_Toc292559428"/>
      <w:bookmarkStart w:id="765" w:name="_Toc296944562"/>
      <w:bookmarkStart w:id="766" w:name="_Toc300935016"/>
      <w:bookmarkStart w:id="767" w:name="_Toc296347222"/>
      <w:bookmarkStart w:id="768" w:name="_Toc296503223"/>
      <w:bookmarkStart w:id="769" w:name="_Toc296891051"/>
      <w:bookmarkStart w:id="770" w:name="_Toc297123565"/>
      <w:bookmarkStart w:id="771" w:name="_Toc297048409"/>
      <w:bookmarkStart w:id="772" w:name="_Toc296891263"/>
      <w:bookmarkStart w:id="773" w:name="_Toc297216224"/>
      <w:bookmarkStart w:id="774" w:name="_Toc267251473"/>
      <w:bookmarkStart w:id="775" w:name="_Toc267251476"/>
      <w:bookmarkStart w:id="776" w:name="_Toc267251472"/>
      <w:bookmarkStart w:id="777" w:name="_Toc267251471"/>
      <w:bookmarkStart w:id="778" w:name="_Toc267251470"/>
      <w:bookmarkStart w:id="779" w:name="_Toc267251474"/>
      <w:bookmarkStart w:id="780" w:name="_Toc267251475"/>
      <w:r>
        <w:rPr>
          <w:rFonts w:hint="eastAsia" w:ascii="宋体" w:hAnsi="宋体" w:eastAsia="宋体" w:cs="宋体"/>
          <w:color w:val="auto"/>
          <w:sz w:val="24"/>
          <w:szCs w:val="24"/>
          <w:highlight w:val="none"/>
        </w:rPr>
        <w:t>13.2 竣工验收</w:t>
      </w:r>
    </w:p>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14:paraId="17ABCBDB">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781" w:name="_Toc280868704"/>
      <w:bookmarkStart w:id="782" w:name="_Toc280868705"/>
      <w:bookmarkStart w:id="783" w:name="_Toc280868706"/>
      <w:bookmarkStart w:id="784" w:name="_Toc280868707"/>
      <w:bookmarkStart w:id="785" w:name="_Toc280868708"/>
      <w:bookmarkStart w:id="786" w:name="_Toc280868709"/>
      <w:r>
        <w:rPr>
          <w:rFonts w:hint="eastAsia" w:ascii="宋体" w:hAnsi="宋体" w:eastAsia="宋体" w:cs="宋体"/>
          <w:color w:val="auto"/>
          <w:sz w:val="24"/>
          <w:szCs w:val="24"/>
          <w:highlight w:val="none"/>
        </w:rPr>
        <w:t>13.2.2竣工验收程序</w:t>
      </w:r>
    </w:p>
    <w:bookmarkEnd w:id="781"/>
    <w:p w14:paraId="482EFF7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w:t>
      </w:r>
      <w:r>
        <w:rPr>
          <w:rFonts w:hint="eastAsia" w:ascii="宋体" w:hAnsi="宋体" w:eastAsia="宋体" w:cs="宋体"/>
          <w:color w:val="auto"/>
          <w:sz w:val="24"/>
          <w:szCs w:val="24"/>
          <w:highlight w:val="none"/>
          <w:u w:val="single"/>
        </w:rPr>
        <w:t>依据《通用条款》13.2.2由发承包双方另行协商确定</w:t>
      </w:r>
      <w:r>
        <w:rPr>
          <w:rFonts w:hint="eastAsia" w:ascii="宋体" w:hAnsi="宋体" w:eastAsia="宋体" w:cs="宋体"/>
          <w:color w:val="auto"/>
          <w:sz w:val="24"/>
          <w:szCs w:val="24"/>
          <w:highlight w:val="none"/>
        </w:rPr>
        <w:t>。</w:t>
      </w:r>
    </w:p>
    <w:p w14:paraId="34B7FB4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782"/>
    <w:p w14:paraId="6053D43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783"/>
    <w:p w14:paraId="213D1747">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承包人向发包人移交工程的期限：依据《通用条款》13.2.2由发承包双方另行协商确定。</w:t>
      </w:r>
    </w:p>
    <w:p w14:paraId="6A9834E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784"/>
    <w:p w14:paraId="087A0F8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09ABD9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bookmarkEnd w:id="785"/>
    <w:p w14:paraId="7BB5BCB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13.3.1 试车程序</w:t>
      </w:r>
    </w:p>
    <w:p w14:paraId="5FDEB76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工程试车内容：</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36C80A5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（1）单机无负荷试车费用由</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承担；</w:t>
      </w:r>
    </w:p>
    <w:p w14:paraId="0DC78E0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（2）无负荷联动试车费用由</w:t>
      </w:r>
      <w:r>
        <w:rPr>
          <w:rFonts w:hint="eastAsia" w:ascii="宋体" w:hAnsi="宋体" w:eastAsia="宋体" w:cs="宋体"/>
          <w:color w:val="auto"/>
          <w:sz w:val="24"/>
          <w:szCs w:val="24"/>
          <w:highlight w:val="none"/>
          <w:u w:val="single"/>
        </w:rPr>
        <w:t xml:space="preserve">       /     承</w:t>
      </w:r>
      <w:r>
        <w:rPr>
          <w:rFonts w:hint="eastAsia" w:ascii="宋体" w:hAnsi="宋体" w:eastAsia="宋体" w:cs="宋体"/>
          <w:color w:val="auto"/>
          <w:sz w:val="24"/>
          <w:szCs w:val="24"/>
          <w:highlight w:val="none"/>
        </w:rPr>
        <w:t>担。</w:t>
      </w:r>
    </w:p>
    <w:p w14:paraId="6C8ADD9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13.3.3 投料试车</w:t>
      </w:r>
    </w:p>
    <w:p w14:paraId="3CC1213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关于投料试车相关事项的约定：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4294512">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787" w:name="_Toc13121"/>
      <w:r>
        <w:rPr>
          <w:rFonts w:hint="eastAsia" w:ascii="宋体" w:hAnsi="宋体" w:eastAsia="宋体" w:cs="宋体"/>
          <w:color w:val="auto"/>
          <w:sz w:val="24"/>
          <w:szCs w:val="24"/>
          <w:highlight w:val="none"/>
        </w:rPr>
        <w:t>13.6 竣工退场</w:t>
      </w:r>
      <w:bookmarkEnd w:id="787"/>
    </w:p>
    <w:p w14:paraId="52202D7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 竣工退场</w:t>
      </w:r>
    </w:p>
    <w:p w14:paraId="22FF1B7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承包人完成竣工退场的期限：</w:t>
      </w:r>
      <w:r>
        <w:rPr>
          <w:rFonts w:hint="eastAsia" w:ascii="宋体" w:hAnsi="宋体" w:eastAsia="宋体" w:cs="宋体"/>
          <w:color w:val="auto"/>
          <w:sz w:val="24"/>
          <w:szCs w:val="24"/>
          <w:highlight w:val="none"/>
          <w:u w:val="single"/>
        </w:rPr>
        <w:t>由发承包双方另行协商确定</w:t>
      </w:r>
      <w:r>
        <w:rPr>
          <w:rFonts w:hint="eastAsia" w:ascii="宋体" w:hAnsi="宋体" w:eastAsia="宋体" w:cs="宋体"/>
          <w:color w:val="auto"/>
          <w:sz w:val="24"/>
          <w:szCs w:val="24"/>
          <w:highlight w:val="none"/>
        </w:rPr>
        <w:t>。</w:t>
      </w:r>
    </w:p>
    <w:p w14:paraId="3EA9B6A2">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788" w:name="_Toc7542"/>
      <w:bookmarkStart w:id="789" w:name="_Toc8410"/>
      <w:r>
        <w:rPr>
          <w:rFonts w:hint="eastAsia" w:ascii="宋体" w:hAnsi="宋体" w:eastAsia="宋体" w:cs="宋体"/>
          <w:color w:val="auto"/>
          <w:sz w:val="24"/>
          <w:szCs w:val="24"/>
          <w:highlight w:val="none"/>
        </w:rPr>
        <w:t>14. 竣工结算</w:t>
      </w:r>
      <w:bookmarkEnd w:id="788"/>
      <w:bookmarkEnd w:id="789"/>
    </w:p>
    <w:p w14:paraId="12D2DB2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竣工结算申请</w:t>
      </w:r>
    </w:p>
    <w:p w14:paraId="716835E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工程竣工验收后      个日历天内</w:t>
      </w:r>
      <w:r>
        <w:rPr>
          <w:rFonts w:hint="eastAsia" w:ascii="宋体" w:hAnsi="宋体" w:eastAsia="宋体" w:cs="宋体"/>
          <w:color w:val="auto"/>
          <w:sz w:val="24"/>
          <w:szCs w:val="24"/>
          <w:highlight w:val="none"/>
        </w:rPr>
        <w:t>。</w:t>
      </w:r>
    </w:p>
    <w:p w14:paraId="2D7B7EA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竣工结算申请单应包括的内容：</w:t>
      </w:r>
      <w:r>
        <w:rPr>
          <w:rFonts w:hint="eastAsia" w:ascii="宋体" w:hAnsi="宋体" w:eastAsia="宋体" w:cs="宋体"/>
          <w:color w:val="auto"/>
          <w:sz w:val="24"/>
          <w:szCs w:val="24"/>
          <w:highlight w:val="none"/>
          <w:u w:val="single"/>
        </w:rPr>
        <w:t>完整的竣工结算资料   套（原件）</w:t>
      </w:r>
      <w:r>
        <w:rPr>
          <w:rFonts w:hint="eastAsia" w:ascii="宋体" w:hAnsi="宋体" w:eastAsia="宋体" w:cs="宋体"/>
          <w:color w:val="auto"/>
          <w:sz w:val="24"/>
          <w:szCs w:val="24"/>
          <w:highlight w:val="none"/>
        </w:rPr>
        <w:t>。</w:t>
      </w:r>
    </w:p>
    <w:p w14:paraId="6A416326">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790" w:name="_Toc5760"/>
      <w:r>
        <w:rPr>
          <w:rFonts w:hint="eastAsia" w:ascii="宋体" w:hAnsi="宋体" w:eastAsia="宋体" w:cs="宋体"/>
          <w:color w:val="auto"/>
          <w:sz w:val="24"/>
          <w:szCs w:val="24"/>
          <w:highlight w:val="none"/>
        </w:rPr>
        <w:t>14.2 竣工结算审核</w:t>
      </w:r>
      <w:bookmarkEnd w:id="790"/>
    </w:p>
    <w:p w14:paraId="6A3E26D0">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工程竣工验收合格之日（含）起，    个日历天内承包人向发包人提交监理人审核确认合格、完整的竣工资料并同时报送根据审计单位要求编制的竣工结算。</w:t>
      </w:r>
    </w:p>
    <w:p w14:paraId="467F2BD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按照相关管理规定执行</w:t>
      </w:r>
      <w:r>
        <w:rPr>
          <w:rFonts w:hint="eastAsia" w:ascii="宋体" w:hAnsi="宋体" w:eastAsia="宋体" w:cs="宋体"/>
          <w:color w:val="auto"/>
          <w:sz w:val="24"/>
          <w:szCs w:val="24"/>
          <w:highlight w:val="none"/>
        </w:rPr>
        <w:t>。</w:t>
      </w:r>
    </w:p>
    <w:p w14:paraId="62A1F36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2AFE8A4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2148D03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14.4.1 最终结清申请单</w:t>
      </w:r>
    </w:p>
    <w:p w14:paraId="48BBAFB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按发包人要求  </w:t>
      </w:r>
      <w:r>
        <w:rPr>
          <w:rFonts w:hint="eastAsia" w:ascii="宋体" w:hAnsi="宋体" w:eastAsia="宋体" w:cs="宋体"/>
          <w:color w:val="auto"/>
          <w:sz w:val="24"/>
          <w:szCs w:val="24"/>
          <w:highlight w:val="none"/>
        </w:rPr>
        <w:t>。</w:t>
      </w:r>
    </w:p>
    <w:p w14:paraId="3744CD0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工程质量缺陷责任期满且完成竣工结算审计后30天内支付  </w:t>
      </w:r>
      <w:r>
        <w:rPr>
          <w:rFonts w:hint="eastAsia" w:ascii="宋体" w:hAnsi="宋体" w:eastAsia="宋体" w:cs="宋体"/>
          <w:color w:val="auto"/>
          <w:sz w:val="24"/>
          <w:szCs w:val="24"/>
          <w:highlight w:val="none"/>
        </w:rPr>
        <w:t>。</w:t>
      </w:r>
    </w:p>
    <w:p w14:paraId="115EDE5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422FB0B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9AC41C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774"/>
    <w:bookmarkEnd w:id="775"/>
    <w:bookmarkEnd w:id="776"/>
    <w:bookmarkEnd w:id="777"/>
    <w:bookmarkEnd w:id="778"/>
    <w:bookmarkEnd w:id="779"/>
    <w:bookmarkEnd w:id="780"/>
    <w:bookmarkEnd w:id="786"/>
    <w:p w14:paraId="7A180EE6">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791" w:name="_Toc15597"/>
      <w:bookmarkStart w:id="792" w:name="_Toc2422"/>
      <w:bookmarkStart w:id="793" w:name="_Toc267251483"/>
      <w:bookmarkStart w:id="794" w:name="_Toc267251482"/>
      <w:bookmarkStart w:id="795" w:name="_Toc267251484"/>
      <w:bookmarkStart w:id="796" w:name="_Toc267251485"/>
      <w:bookmarkStart w:id="797" w:name="_Toc267251489"/>
      <w:bookmarkStart w:id="798" w:name="_Toc267251490"/>
      <w:bookmarkStart w:id="799" w:name="_Toc267251486"/>
      <w:bookmarkStart w:id="800" w:name="_Toc267251488"/>
      <w:bookmarkStart w:id="801" w:name="_Toc267251498"/>
      <w:bookmarkStart w:id="802" w:name="_Toc267251501"/>
      <w:bookmarkStart w:id="803" w:name="_Toc267251503"/>
      <w:bookmarkStart w:id="804" w:name="_Toc267251495"/>
      <w:bookmarkStart w:id="805" w:name="_Toc267251491"/>
      <w:bookmarkStart w:id="806" w:name="_Toc267251497"/>
      <w:bookmarkStart w:id="807" w:name="_Toc267251496"/>
      <w:bookmarkStart w:id="808" w:name="_Toc267251499"/>
      <w:bookmarkStart w:id="809" w:name="_Toc267251494"/>
      <w:bookmarkStart w:id="810" w:name="_Toc267251492"/>
      <w:bookmarkStart w:id="811" w:name="_Toc267251493"/>
      <w:bookmarkStart w:id="812" w:name="_Toc267251502"/>
      <w:bookmarkStart w:id="813" w:name="_Toc267251506"/>
      <w:bookmarkStart w:id="814" w:name="_Toc267251504"/>
      <w:bookmarkStart w:id="815" w:name="_Toc267251507"/>
      <w:bookmarkStart w:id="816" w:name="_Toc267251508"/>
      <w:bookmarkStart w:id="817" w:name="_Toc267251510"/>
      <w:bookmarkStart w:id="818" w:name="_Toc267251509"/>
      <w:bookmarkStart w:id="819" w:name="_Toc267251515"/>
      <w:bookmarkStart w:id="820" w:name="_Toc267251511"/>
      <w:bookmarkStart w:id="821" w:name="_Toc267251514"/>
      <w:bookmarkStart w:id="822" w:name="_Toc267251513"/>
      <w:r>
        <w:rPr>
          <w:rFonts w:hint="eastAsia" w:ascii="宋体" w:hAnsi="宋体" w:eastAsia="宋体" w:cs="宋体"/>
          <w:color w:val="auto"/>
          <w:sz w:val="24"/>
          <w:szCs w:val="24"/>
          <w:highlight w:val="none"/>
        </w:rPr>
        <w:t>15. 缺陷责任期与保修</w:t>
      </w:r>
      <w:bookmarkEnd w:id="791"/>
      <w:bookmarkEnd w:id="792"/>
    </w:p>
    <w:p w14:paraId="0D0E54D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bookmarkEnd w:id="793"/>
    </w:p>
    <w:p w14:paraId="163F16CD">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24个月，自工程竣工验收合格之日起计算。单位工程先于全部工程进行验收，单位工程缺陷责任期自单位工程验收合格之日起算。</w:t>
      </w:r>
    </w:p>
    <w:p w14:paraId="0D7EAE17">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823" w:name="_Toc11134"/>
      <w:r>
        <w:rPr>
          <w:rFonts w:hint="eastAsia" w:ascii="宋体" w:hAnsi="宋体" w:eastAsia="宋体" w:cs="宋体"/>
          <w:color w:val="auto"/>
          <w:sz w:val="24"/>
          <w:szCs w:val="24"/>
          <w:highlight w:val="none"/>
        </w:rPr>
        <w:t>15.3 质量保证金</w:t>
      </w:r>
      <w:bookmarkEnd w:id="823"/>
    </w:p>
    <w:p w14:paraId="78D8838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是</w:t>
      </w:r>
      <w:r>
        <w:rPr>
          <w:rFonts w:hint="eastAsia" w:ascii="宋体" w:hAnsi="宋体" w:eastAsia="宋体" w:cs="宋体"/>
          <w:color w:val="auto"/>
          <w:sz w:val="24"/>
          <w:szCs w:val="24"/>
          <w:highlight w:val="none"/>
        </w:rPr>
        <w:t>。</w:t>
      </w:r>
    </w:p>
    <w:p w14:paraId="19B9C50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在工程项目竣工前，承包人按专用合同条款第3.7条提供履约担保的，发包人不得同时预留工程质量保证金。</w:t>
      </w:r>
    </w:p>
    <w:p w14:paraId="311230D2">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824" w:name="_Toc4722"/>
      <w:r>
        <w:rPr>
          <w:rFonts w:hint="eastAsia" w:ascii="宋体" w:hAnsi="宋体" w:eastAsia="宋体" w:cs="宋体"/>
          <w:color w:val="auto"/>
          <w:sz w:val="24"/>
          <w:szCs w:val="24"/>
          <w:highlight w:val="none"/>
        </w:rPr>
        <w:t>15.3.1 承包人提供质量保证金的方式</w:t>
      </w:r>
      <w:bookmarkEnd w:id="824"/>
    </w:p>
    <w:p w14:paraId="2FD7EA0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质量保证金采用以下第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w:t>
      </w:r>
    </w:p>
    <w:p w14:paraId="795CC13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（1）质量保证金保函，保证金额为：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3568258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3  %</w:t>
      </w:r>
      <w:r>
        <w:rPr>
          <w:rFonts w:hint="eastAsia" w:ascii="宋体" w:hAnsi="宋体" w:eastAsia="宋体" w:cs="宋体"/>
          <w:color w:val="auto"/>
          <w:sz w:val="24"/>
          <w:szCs w:val="24"/>
          <w:highlight w:val="none"/>
        </w:rPr>
        <w:t>的工程款；</w:t>
      </w:r>
    </w:p>
    <w:p w14:paraId="7973DFA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A5E8A61">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825" w:name="_Toc32016"/>
      <w:r>
        <w:rPr>
          <w:rFonts w:hint="eastAsia" w:ascii="宋体" w:hAnsi="宋体" w:eastAsia="宋体" w:cs="宋体"/>
          <w:color w:val="auto"/>
          <w:sz w:val="24"/>
          <w:szCs w:val="24"/>
          <w:highlight w:val="none"/>
        </w:rPr>
        <w:t>15.3.2 质量保证金的扣留</w:t>
      </w:r>
      <w:bookmarkEnd w:id="825"/>
    </w:p>
    <w:p w14:paraId="0A053D27">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种方式：</w:t>
      </w:r>
    </w:p>
    <w:p w14:paraId="40DC6A6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（1）在支付工程进度款时逐次扣留，在此情形下，质量保证金的计算基数不包括预付款的支付、扣回以及价格调整的金额；</w:t>
      </w:r>
    </w:p>
    <w:p w14:paraId="3F740D93">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826" w:name="_Toc30839"/>
      <w:r>
        <w:rPr>
          <w:rFonts w:hint="eastAsia" w:ascii="宋体" w:hAnsi="宋体" w:eastAsia="宋体" w:cs="宋体"/>
          <w:color w:val="auto"/>
          <w:sz w:val="24"/>
          <w:szCs w:val="24"/>
          <w:highlight w:val="none"/>
        </w:rPr>
        <w:t>（2）工程竣工结算时一次性扣留质量保证金；</w:t>
      </w:r>
      <w:bookmarkEnd w:id="826"/>
    </w:p>
    <w:p w14:paraId="2C51B57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（3）其他扣留方式: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732565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794"/>
    <w:bookmarkEnd w:id="795"/>
    <w:p w14:paraId="4900721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15.4保修</w:t>
      </w:r>
    </w:p>
    <w:bookmarkEnd w:id="796"/>
    <w:p w14:paraId="3277F61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3D04DC0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sz w:val="24"/>
          <w:szCs w:val="24"/>
          <w:highlight w:val="none"/>
          <w:u w:val="single"/>
        </w:rPr>
        <w:t>按《工程质量保证书》执行</w:t>
      </w:r>
      <w:r>
        <w:rPr>
          <w:rFonts w:hint="eastAsia" w:ascii="宋体" w:hAnsi="宋体" w:eastAsia="宋体" w:cs="宋体"/>
          <w:color w:val="auto"/>
          <w:sz w:val="24"/>
          <w:szCs w:val="24"/>
          <w:highlight w:val="none"/>
        </w:rPr>
        <w:t>。</w:t>
      </w:r>
    </w:p>
    <w:p w14:paraId="1E3F44A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6CD536D5">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24小时以内。</w:t>
      </w:r>
    </w:p>
    <w:bookmarkEnd w:id="797"/>
    <w:bookmarkEnd w:id="798"/>
    <w:bookmarkEnd w:id="799"/>
    <w:bookmarkEnd w:id="800"/>
    <w:p w14:paraId="33D65268">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827" w:name="_Toc23567"/>
      <w:bookmarkStart w:id="828" w:name="_Toc18288"/>
      <w:bookmarkStart w:id="829" w:name="_Toc280868717"/>
      <w:bookmarkStart w:id="830" w:name="_Toc280868718"/>
      <w:r>
        <w:rPr>
          <w:rFonts w:hint="eastAsia" w:ascii="宋体" w:hAnsi="宋体" w:eastAsia="宋体" w:cs="宋体"/>
          <w:color w:val="auto"/>
          <w:sz w:val="24"/>
          <w:szCs w:val="24"/>
          <w:highlight w:val="none"/>
        </w:rPr>
        <w:t>16. 违约</w:t>
      </w:r>
      <w:bookmarkEnd w:id="827"/>
      <w:bookmarkEnd w:id="828"/>
    </w:p>
    <w:p w14:paraId="6709411B">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831" w:name="_Toc32292"/>
      <w:r>
        <w:rPr>
          <w:rFonts w:hint="eastAsia" w:ascii="宋体" w:hAnsi="宋体" w:eastAsia="宋体" w:cs="宋体"/>
          <w:color w:val="auto"/>
          <w:sz w:val="24"/>
          <w:szCs w:val="24"/>
          <w:highlight w:val="none"/>
        </w:rPr>
        <w:t>16.1 发包人违约</w:t>
      </w:r>
      <w:bookmarkEnd w:id="831"/>
    </w:p>
    <w:p w14:paraId="52B8797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4B60F6B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A7E05B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16.1.2 发包人违约的责任</w:t>
      </w:r>
    </w:p>
    <w:p w14:paraId="1A2AD32C">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发包人违约责任的承担方式和计算方法：</w:t>
      </w:r>
    </w:p>
    <w:p w14:paraId="375C3937">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（1）因发包人原因未能在计划开工日期前7天内下达开工通知的违约责任：</w:t>
      </w:r>
      <w:r>
        <w:rPr>
          <w:rFonts w:hint="eastAsia" w:ascii="宋体" w:hAnsi="宋体" w:eastAsia="宋体" w:cs="宋体"/>
          <w:color w:val="auto"/>
          <w:sz w:val="24"/>
          <w:szCs w:val="24"/>
          <w:highlight w:val="none"/>
          <w:u w:val="single"/>
        </w:rPr>
        <w:t>由发承包双方另行协商确定违约责任。</w:t>
      </w:r>
    </w:p>
    <w:p w14:paraId="102074D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（2）因发包人原因未能按合同约定支付合同价款的违约责任：</w:t>
      </w:r>
      <w:r>
        <w:rPr>
          <w:rFonts w:hint="eastAsia" w:ascii="宋体" w:hAnsi="宋体" w:eastAsia="宋体" w:cs="宋体"/>
          <w:color w:val="auto"/>
          <w:sz w:val="24"/>
          <w:szCs w:val="24"/>
          <w:highlight w:val="none"/>
          <w:u w:val="single"/>
        </w:rPr>
        <w:t>因发包人原因未能按合同约定支付签约合同价超过60工作日的，由发承包双方另行协商确定违约责任。</w:t>
      </w:r>
    </w:p>
    <w:p w14:paraId="6D87A9D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（3）发包人违反第10.1款〔变更的范围〕第（2）项约定，自行实施被取消的工作或转由他人实施的违约责任：</w:t>
      </w:r>
      <w:r>
        <w:rPr>
          <w:rFonts w:hint="eastAsia" w:ascii="宋体" w:hAnsi="宋体" w:eastAsia="宋体" w:cs="宋体"/>
          <w:color w:val="auto"/>
          <w:sz w:val="24"/>
          <w:szCs w:val="24"/>
          <w:highlight w:val="none"/>
          <w:u w:val="single"/>
        </w:rPr>
        <w:t>由发承包双方另行协商确定违约责任。</w:t>
      </w:r>
    </w:p>
    <w:p w14:paraId="58E03D5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B19ECDE">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（5）因发包人违反合同约定造成暂停施工的违约责任：</w:t>
      </w:r>
      <w:r>
        <w:rPr>
          <w:rFonts w:hint="eastAsia" w:ascii="宋体" w:hAnsi="宋体" w:eastAsia="宋体" w:cs="宋体"/>
          <w:color w:val="auto"/>
          <w:sz w:val="24"/>
          <w:szCs w:val="24"/>
          <w:highlight w:val="none"/>
          <w:u w:val="single"/>
        </w:rPr>
        <w:t>由发承包双方另行协商确定违约责任。</w:t>
      </w:r>
    </w:p>
    <w:p w14:paraId="06AA25F0">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（6）发包人无正当理由没有在约定期限内发出复工指示，导致承包人无法复工的违约责任：</w:t>
      </w:r>
      <w:r>
        <w:rPr>
          <w:rFonts w:hint="eastAsia" w:ascii="宋体" w:hAnsi="宋体" w:eastAsia="宋体" w:cs="宋体"/>
          <w:color w:val="auto"/>
          <w:sz w:val="24"/>
          <w:szCs w:val="24"/>
          <w:highlight w:val="none"/>
          <w:u w:val="single"/>
        </w:rPr>
        <w:t>由发承包双方另行协商确定违约责任。</w:t>
      </w:r>
    </w:p>
    <w:p w14:paraId="1A4A46A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w:t>
      </w:r>
      <w:r>
        <w:rPr>
          <w:rFonts w:hint="eastAsia" w:ascii="宋体" w:hAnsi="宋体" w:eastAsia="宋体" w:cs="宋体"/>
          <w:color w:val="auto"/>
          <w:sz w:val="24"/>
          <w:szCs w:val="24"/>
          <w:highlight w:val="none"/>
          <w:u w:val="single"/>
        </w:rPr>
        <w:t xml:space="preserve">       /     。</w:t>
      </w:r>
    </w:p>
    <w:p w14:paraId="2E32F48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79F21D6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承包人按16.1.1项〔发包人违约的情形〕约定暂停施工满</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天后发包人仍不纠正其违约行为并致使合同目的不能实现的，承包人有权解除合同。</w:t>
      </w:r>
    </w:p>
    <w:p w14:paraId="25E013CD">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832" w:name="_Toc31129"/>
      <w:r>
        <w:rPr>
          <w:rFonts w:hint="eastAsia" w:ascii="宋体" w:hAnsi="宋体" w:eastAsia="宋体" w:cs="宋体"/>
          <w:color w:val="auto"/>
          <w:sz w:val="24"/>
          <w:szCs w:val="24"/>
          <w:highlight w:val="none"/>
        </w:rPr>
        <w:t>16.2 承包人违约</w:t>
      </w:r>
      <w:bookmarkEnd w:id="832"/>
    </w:p>
    <w:p w14:paraId="152B9B9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16.2.1 承包人违约的情形</w:t>
      </w:r>
    </w:p>
    <w:p w14:paraId="0679A12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90AC43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16.2.2承包人违约的责任</w:t>
      </w:r>
    </w:p>
    <w:p w14:paraId="135E4CB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承包人违约责任的承担方式和计算方法：</w:t>
      </w:r>
    </w:p>
    <w:p w14:paraId="42E7E921">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（1）承包人违反本合同专用条款第5.1条的，发包人有权解除合同，并要求承包方承担签约合同金额5%的违约金，违约金不足以弥补损失的，承包方应补足差额部分。</w:t>
      </w:r>
    </w:p>
    <w:p w14:paraId="2576214B">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（2）承包人违反本合同专用条款10.4约定的，承包人须向发包人支付签约合同价5%的违约金。</w:t>
      </w:r>
    </w:p>
    <w:p w14:paraId="5ED9E67D">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（3）承包人违反本合同专用条款第15.4.3条的，每次应向发包人支付违约金人民币3万元。</w:t>
      </w:r>
    </w:p>
    <w:p w14:paraId="6913E6B9">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由于承包人因本项目所引发的拖欠民工工资、拖欠材料款、工程施工过程中管理处置不当等行为给发包人造成工程停工、影响发包人正常生产经营秩序或其他社会不良影响的，如有发生，承包人应向发包人支付签订合同金额5%的违约金。在合同履行期内发生的，发包人有权在工程款中给予扣除；在合同履行完毕后发生的，发包人有权追诉。</w:t>
      </w:r>
    </w:p>
    <w:p w14:paraId="6505C3E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2E31441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关于承包人违约解除合同的特别约定：</w:t>
      </w:r>
    </w:p>
    <w:p w14:paraId="06DB3EB4">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1、因承包人原因造成工期延误的，逾期    天后，发包人有权解除合同，并要求承包方承担签约合同金额5%的违约金，违约金不足以弥补损失的，承包方应补足差额部分。。</w:t>
      </w:r>
    </w:p>
    <w:p w14:paraId="68E444B2">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2、其他由发承包双方另行协商确定。</w:t>
      </w:r>
    </w:p>
    <w:p w14:paraId="44A946F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highlight w:val="none"/>
          <w:u w:val="single"/>
        </w:rPr>
        <w:t>由发承包双方另行协商确定。</w:t>
      </w:r>
    </w:p>
    <w:p w14:paraId="29475205">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833" w:name="_Toc20200"/>
      <w:bookmarkStart w:id="834" w:name="_Toc18746"/>
      <w:r>
        <w:rPr>
          <w:rFonts w:hint="eastAsia" w:ascii="宋体" w:hAnsi="宋体" w:eastAsia="宋体" w:cs="宋体"/>
          <w:color w:val="auto"/>
          <w:sz w:val="24"/>
          <w:szCs w:val="24"/>
          <w:highlight w:val="none"/>
        </w:rPr>
        <w:t>17. 不可抗力</w:t>
      </w:r>
      <w:bookmarkEnd w:id="829"/>
      <w:bookmarkEnd w:id="833"/>
      <w:bookmarkEnd w:id="834"/>
    </w:p>
    <w:p w14:paraId="1A4C944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4A5329BB">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除通用合同条款约定的不可抗力事件之外，视为不可抗力的其他情形：</w:t>
      </w:r>
      <w:r>
        <w:rPr>
          <w:rFonts w:hint="eastAsia" w:ascii="宋体" w:hAnsi="宋体" w:eastAsia="宋体" w:cs="宋体"/>
          <w:color w:val="auto"/>
          <w:sz w:val="24"/>
          <w:szCs w:val="24"/>
          <w:highlight w:val="none"/>
          <w:u w:val="single"/>
        </w:rPr>
        <w:t>由发承包双方另行协商确定违约责任。</w:t>
      </w:r>
    </w:p>
    <w:p w14:paraId="53F6821A">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835" w:name="_Toc29259"/>
      <w:r>
        <w:rPr>
          <w:rFonts w:hint="eastAsia" w:ascii="宋体" w:hAnsi="宋体" w:eastAsia="宋体" w:cs="宋体"/>
          <w:color w:val="auto"/>
          <w:sz w:val="24"/>
          <w:szCs w:val="24"/>
          <w:highlight w:val="none"/>
        </w:rPr>
        <w:t>17.4 因不可抗力解除合同</w:t>
      </w:r>
      <w:bookmarkEnd w:id="835"/>
    </w:p>
    <w:p w14:paraId="0BAE695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天内完成款项的支付。</w:t>
      </w:r>
    </w:p>
    <w:p w14:paraId="3FF164B6">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836" w:name="_Toc21869"/>
      <w:bookmarkStart w:id="837" w:name="_Toc27422"/>
      <w:r>
        <w:rPr>
          <w:rFonts w:hint="eastAsia" w:ascii="宋体" w:hAnsi="宋体" w:eastAsia="宋体" w:cs="宋体"/>
          <w:color w:val="auto"/>
          <w:sz w:val="24"/>
          <w:szCs w:val="24"/>
          <w:highlight w:val="none"/>
        </w:rPr>
        <w:t>18. 保险</w:t>
      </w:r>
      <w:bookmarkEnd w:id="836"/>
      <w:bookmarkEnd w:id="837"/>
    </w:p>
    <w:bookmarkEnd w:id="830"/>
    <w:p w14:paraId="04E39B2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057F5F4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sz w:val="24"/>
          <w:szCs w:val="24"/>
          <w:highlight w:val="none"/>
          <w:u w:val="single"/>
        </w:rPr>
        <w:t>按国家相关法律法规及云南省相关文件规定执行</w:t>
      </w:r>
      <w:r>
        <w:rPr>
          <w:rFonts w:hint="eastAsia" w:ascii="宋体" w:hAnsi="宋体" w:eastAsia="宋体" w:cs="宋体"/>
          <w:color w:val="auto"/>
          <w:sz w:val="24"/>
          <w:szCs w:val="24"/>
          <w:highlight w:val="none"/>
        </w:rPr>
        <w:t>。</w:t>
      </w:r>
    </w:p>
    <w:p w14:paraId="25D1C7EF">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838" w:name="_Toc24186"/>
      <w:r>
        <w:rPr>
          <w:rFonts w:hint="eastAsia" w:ascii="宋体" w:hAnsi="宋体" w:eastAsia="宋体" w:cs="宋体"/>
          <w:color w:val="auto"/>
          <w:sz w:val="24"/>
          <w:szCs w:val="24"/>
          <w:highlight w:val="none"/>
        </w:rPr>
        <w:t>18.3 其他保险</w:t>
      </w:r>
      <w:bookmarkEnd w:id="838"/>
    </w:p>
    <w:p w14:paraId="63A9106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sz w:val="24"/>
          <w:szCs w:val="24"/>
          <w:highlight w:val="none"/>
          <w:u w:val="single"/>
        </w:rPr>
        <w:t>由发承包双方另行协商确定</w:t>
      </w:r>
      <w:r>
        <w:rPr>
          <w:rFonts w:hint="eastAsia" w:ascii="宋体" w:hAnsi="宋体" w:eastAsia="宋体" w:cs="宋体"/>
          <w:color w:val="auto"/>
          <w:sz w:val="24"/>
          <w:szCs w:val="24"/>
          <w:highlight w:val="none"/>
        </w:rPr>
        <w:t>。</w:t>
      </w:r>
    </w:p>
    <w:p w14:paraId="361BDCC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由承包人自行确定并承担相应风险</w:t>
      </w:r>
      <w:r>
        <w:rPr>
          <w:rFonts w:hint="eastAsia" w:ascii="宋体" w:hAnsi="宋体" w:eastAsia="宋体" w:cs="宋体"/>
          <w:color w:val="auto"/>
          <w:sz w:val="24"/>
          <w:szCs w:val="24"/>
          <w:highlight w:val="none"/>
        </w:rPr>
        <w:t>。</w:t>
      </w:r>
    </w:p>
    <w:p w14:paraId="483CA1D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7B2BF24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关于变更保险合同时的通知义务的约定：</w:t>
      </w:r>
      <w:r>
        <w:rPr>
          <w:rFonts w:hint="eastAsia" w:ascii="宋体" w:hAnsi="宋体" w:eastAsia="宋体" w:cs="宋体"/>
          <w:color w:val="auto"/>
          <w:sz w:val="24"/>
          <w:szCs w:val="24"/>
          <w:highlight w:val="none"/>
          <w:u w:val="single"/>
        </w:rPr>
        <w:t>由发承包双方另行协商确定</w:t>
      </w:r>
      <w:r>
        <w:rPr>
          <w:rFonts w:hint="eastAsia" w:ascii="宋体" w:hAnsi="宋体" w:eastAsia="宋体" w:cs="宋体"/>
          <w:color w:val="auto"/>
          <w:sz w:val="24"/>
          <w:szCs w:val="24"/>
          <w:highlight w:val="none"/>
        </w:rPr>
        <w:t>。</w:t>
      </w:r>
    </w:p>
    <w:bookmarkEnd w:id="801"/>
    <w:bookmarkEnd w:id="802"/>
    <w:bookmarkEnd w:id="803"/>
    <w:bookmarkEnd w:id="804"/>
    <w:bookmarkEnd w:id="805"/>
    <w:bookmarkEnd w:id="806"/>
    <w:bookmarkEnd w:id="807"/>
    <w:bookmarkEnd w:id="808"/>
    <w:bookmarkEnd w:id="809"/>
    <w:bookmarkEnd w:id="810"/>
    <w:bookmarkEnd w:id="811"/>
    <w:bookmarkEnd w:id="812"/>
    <w:p w14:paraId="304AD91C">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839" w:name="_Toc3064"/>
      <w:bookmarkStart w:id="840" w:name="_Toc23083"/>
      <w:r>
        <w:rPr>
          <w:rFonts w:hint="eastAsia" w:ascii="宋体" w:hAnsi="宋体" w:eastAsia="宋体" w:cs="宋体"/>
          <w:color w:val="auto"/>
          <w:sz w:val="24"/>
          <w:szCs w:val="24"/>
          <w:highlight w:val="none"/>
        </w:rPr>
        <w:t>20. 争议解决</w:t>
      </w:r>
      <w:bookmarkEnd w:id="839"/>
      <w:bookmarkEnd w:id="840"/>
    </w:p>
    <w:bookmarkEnd w:id="813"/>
    <w:bookmarkEnd w:id="814"/>
    <w:p w14:paraId="07530A20">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841" w:name="_Toc8347"/>
      <w:r>
        <w:rPr>
          <w:rFonts w:hint="eastAsia" w:ascii="宋体" w:hAnsi="宋体" w:eastAsia="宋体" w:cs="宋体"/>
          <w:color w:val="auto"/>
          <w:sz w:val="24"/>
          <w:szCs w:val="24"/>
          <w:highlight w:val="none"/>
        </w:rPr>
        <w:t>20.3 争</w:t>
      </w:r>
      <w:bookmarkEnd w:id="815"/>
      <w:r>
        <w:rPr>
          <w:rFonts w:hint="eastAsia" w:ascii="宋体" w:hAnsi="宋体" w:eastAsia="宋体" w:cs="宋体"/>
          <w:color w:val="auto"/>
          <w:sz w:val="24"/>
          <w:szCs w:val="24"/>
          <w:highlight w:val="none"/>
        </w:rPr>
        <w:t>议评审</w:t>
      </w:r>
      <w:bookmarkEnd w:id="841"/>
    </w:p>
    <w:p w14:paraId="2E4AA947">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否</w:t>
      </w:r>
      <w:r>
        <w:rPr>
          <w:rFonts w:hint="eastAsia" w:ascii="宋体" w:hAnsi="宋体" w:eastAsia="宋体" w:cs="宋体"/>
          <w:color w:val="auto"/>
          <w:sz w:val="24"/>
          <w:szCs w:val="24"/>
          <w:highlight w:val="none"/>
        </w:rPr>
        <w:t xml:space="preserve">。  </w:t>
      </w:r>
    </w:p>
    <w:p w14:paraId="1E980E1C">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842" w:name="_Toc23186"/>
      <w:r>
        <w:rPr>
          <w:rFonts w:hint="eastAsia" w:ascii="宋体" w:hAnsi="宋体" w:eastAsia="宋体" w:cs="宋体"/>
          <w:color w:val="auto"/>
          <w:sz w:val="24"/>
          <w:szCs w:val="24"/>
          <w:highlight w:val="none"/>
        </w:rPr>
        <w:t>20.3.1 争议评审小组的确定</w:t>
      </w:r>
      <w:bookmarkEnd w:id="842"/>
    </w:p>
    <w:p w14:paraId="03177AC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78A581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80EDCC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CBB3AA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08037B9">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843" w:name="_Toc955"/>
      <w:r>
        <w:rPr>
          <w:rFonts w:hint="eastAsia" w:ascii="宋体" w:hAnsi="宋体" w:eastAsia="宋体" w:cs="宋体"/>
          <w:color w:val="auto"/>
          <w:sz w:val="24"/>
          <w:szCs w:val="24"/>
          <w:highlight w:val="none"/>
        </w:rPr>
        <w:t>20.3.2 争议评审小组的决定</w:t>
      </w:r>
      <w:bookmarkEnd w:id="843"/>
    </w:p>
    <w:p w14:paraId="0A25883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CD24CC">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844" w:name="_Toc1791"/>
      <w:r>
        <w:rPr>
          <w:rFonts w:hint="eastAsia" w:ascii="宋体" w:hAnsi="宋体" w:eastAsia="宋体" w:cs="宋体"/>
          <w:color w:val="auto"/>
          <w:sz w:val="24"/>
          <w:szCs w:val="24"/>
          <w:highlight w:val="none"/>
        </w:rPr>
        <w:t>20.4仲裁或诉讼</w:t>
      </w:r>
      <w:bookmarkEnd w:id="816"/>
      <w:bookmarkEnd w:id="844"/>
    </w:p>
    <w:p w14:paraId="7BA9FCF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105B3870">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仲裁委员会申请仲裁；</w:t>
      </w:r>
    </w:p>
    <w:p w14:paraId="53E7AC0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项目所在地</w:t>
      </w:r>
      <w:r>
        <w:rPr>
          <w:rFonts w:hint="eastAsia" w:ascii="宋体" w:hAnsi="宋体" w:eastAsia="宋体" w:cs="宋体"/>
          <w:color w:val="auto"/>
          <w:sz w:val="24"/>
          <w:szCs w:val="24"/>
          <w:highlight w:val="none"/>
        </w:rPr>
        <w:t>人民法院起诉。</w:t>
      </w:r>
      <w:bookmarkEnd w:id="817"/>
      <w:bookmarkEnd w:id="818"/>
      <w:bookmarkEnd w:id="819"/>
      <w:bookmarkEnd w:id="820"/>
      <w:bookmarkEnd w:id="821"/>
      <w:bookmarkEnd w:id="822"/>
    </w:p>
    <w:p w14:paraId="72C61EB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21.补充条款</w:t>
      </w:r>
    </w:p>
    <w:p w14:paraId="3A44B948">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21.1承包方负责办理承包方自有人员和承包方所负责管理的相关人、材、物的保险并支付保险费。如发生人员伤害和财物损失由承包方自行承担。</w:t>
      </w:r>
    </w:p>
    <w:p w14:paraId="202EB053">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21.2工程签证实行严格的时间管理，严禁过后补办。承包方在提交签证时应包括以下内容：编号、工程名称、发生的时间、发生的部位或范围、变更签证的内容做法及原因说明、增加的工程量、减少的工程量、相关图纸说明、预算。涉及到隐蔽工程的应附加影像资料，资料应有参加各方签字盖章确认。</w:t>
      </w:r>
    </w:p>
    <w:p w14:paraId="686817AE">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21.3设计变更资料应按时间和编号进行整理，变更时间应与编号相对应，否则该份资料结算时将不作为结算依据。工程变更需由发包方和监理方共同书面签发后方能实施。</w:t>
      </w:r>
    </w:p>
    <w:p w14:paraId="4FAB22B7">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21.4承包方应在单项工程完成后30天内绘制竣工图，竣工图应完整、准确、清晰、规范、修改到位，真实反映项目实际施工情况。</w:t>
      </w:r>
    </w:p>
    <w:p w14:paraId="629C2878">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21.5承包方在投标报价中已充分考虑第二阶段开工时间不确定造成的多次进出场及市场因素的变化，施工和竣工验收期间可能发生的各种风险因素（风险费用包干），在结算过程中不予调整。</w:t>
      </w:r>
    </w:p>
    <w:p w14:paraId="6088F74C">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21.6人工费不因政策性因素及工期的变化而调整。</w:t>
      </w:r>
    </w:p>
    <w:p w14:paraId="780248A5">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21.7由于承包人因本发包项目所引发的拖欠民工工资、拖欠材料款、工程施工过程中管理处置不当等行为给发包人造成工程停工、影响发包人正常生产经营秩序或其他社会不良影响的，如有发生，承包人应向发包人支付签约合同金额5%的违约金。在合同履行期内发生的，发包人有权在工程款中予以扣除；在合同履行完毕后发生的，发包人有权追诉。</w:t>
      </w:r>
    </w:p>
    <w:p w14:paraId="4B6BC467">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21.8未尽事宜，经双方协商，以书面形式确认为准。</w:t>
      </w:r>
    </w:p>
    <w:p w14:paraId="1CD3A5F6">
      <w:pPr>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p>
    <w:p w14:paraId="5DBFFEA5">
      <w:pPr>
        <w:shd w:val="clear" w:color="auto" w:fill="auto"/>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附件</w:t>
      </w:r>
    </w:p>
    <w:p w14:paraId="6DD38362">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协议书附件：</w:t>
      </w:r>
    </w:p>
    <w:p w14:paraId="603FAB29">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附件1：承包人承揽工程项目一览表</w:t>
      </w:r>
    </w:p>
    <w:p w14:paraId="4C26AA19">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专用合同条款附件：</w:t>
      </w:r>
    </w:p>
    <w:p w14:paraId="60685CDA">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附件2：发包人供应材料设备一览表</w:t>
      </w:r>
    </w:p>
    <w:p w14:paraId="0CAD2340">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附件3：工程质量保修书</w:t>
      </w:r>
    </w:p>
    <w:p w14:paraId="4B8117CD">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附件4：主要建设工程文件目录</w:t>
      </w:r>
    </w:p>
    <w:p w14:paraId="79A17575">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附件5：承包人用于本工程施工的机械设备表</w:t>
      </w:r>
    </w:p>
    <w:p w14:paraId="7862956B">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附件6：承包人主要施工管理人员表</w:t>
      </w:r>
    </w:p>
    <w:p w14:paraId="6C86580F">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附件7：分包人主要施工管理人员表</w:t>
      </w:r>
    </w:p>
    <w:p w14:paraId="2314BE20">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附件8：履约担保格式</w:t>
      </w:r>
    </w:p>
    <w:p w14:paraId="30B3AC76">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附件9：预付款担保格式</w:t>
      </w:r>
    </w:p>
    <w:p w14:paraId="6717DA45">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附件10：支付担保格式</w:t>
      </w:r>
    </w:p>
    <w:p w14:paraId="2A1AF7AB">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附件11：暂估价一览表</w:t>
      </w:r>
    </w:p>
    <w:p w14:paraId="4A4D8909">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3240DB7">
      <w:pPr>
        <w:shd w:val="clear" w:color="auto" w:fill="auto"/>
        <w:spacing w:before="156" w:beforeLines="50" w:after="156" w:after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p>
    <w:p w14:paraId="367E2F18">
      <w:pPr>
        <w:shd w:val="clear" w:color="auto" w:fill="auto"/>
        <w:spacing w:before="156" w:beforeLines="50" w:after="156" w:after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承包人承揽工程项目一览表</w:t>
      </w:r>
    </w:p>
    <w:tbl>
      <w:tblPr>
        <w:tblStyle w:val="14"/>
        <w:tblW w:w="89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802"/>
        <w:gridCol w:w="900"/>
        <w:gridCol w:w="919"/>
        <w:gridCol w:w="618"/>
        <w:gridCol w:w="1032"/>
        <w:gridCol w:w="862"/>
        <w:gridCol w:w="956"/>
        <w:gridCol w:w="957"/>
        <w:gridCol w:w="993"/>
      </w:tblGrid>
      <w:tr w14:paraId="03D85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79" w:type="dxa"/>
            <w:tcBorders>
              <w:top w:val="single" w:color="auto" w:sz="12" w:space="0"/>
              <w:bottom w:val="double" w:color="auto" w:sz="6" w:space="0"/>
            </w:tcBorders>
            <w:noWrap w:val="0"/>
            <w:vAlign w:val="center"/>
          </w:tcPr>
          <w:p w14:paraId="004C5D3D">
            <w:pPr>
              <w:pStyle w:val="6"/>
              <w:keepNext/>
              <w:shd w:val="clear" w:color="auto" w:fill="auto"/>
              <w:spacing w:after="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单位工程名称</w:t>
            </w:r>
          </w:p>
        </w:tc>
        <w:tc>
          <w:tcPr>
            <w:tcW w:w="802" w:type="dxa"/>
            <w:tcBorders>
              <w:top w:val="single" w:color="auto" w:sz="12" w:space="0"/>
              <w:bottom w:val="double" w:color="auto" w:sz="6" w:space="0"/>
            </w:tcBorders>
            <w:noWrap w:val="0"/>
            <w:vAlign w:val="center"/>
          </w:tcPr>
          <w:p w14:paraId="48E66B5E">
            <w:pPr>
              <w:pStyle w:val="6"/>
              <w:keepNext/>
              <w:shd w:val="clear" w:color="auto" w:fill="auto"/>
              <w:spacing w:after="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建设规模</w:t>
            </w:r>
          </w:p>
        </w:tc>
        <w:tc>
          <w:tcPr>
            <w:tcW w:w="900" w:type="dxa"/>
            <w:tcBorders>
              <w:top w:val="single" w:color="auto" w:sz="12" w:space="0"/>
              <w:bottom w:val="double" w:color="auto" w:sz="6" w:space="0"/>
            </w:tcBorders>
            <w:noWrap w:val="0"/>
            <w:vAlign w:val="center"/>
          </w:tcPr>
          <w:p w14:paraId="102AA1CB">
            <w:pPr>
              <w:pStyle w:val="6"/>
              <w:keepNext/>
              <w:shd w:val="clear" w:color="auto" w:fill="auto"/>
              <w:spacing w:after="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建筑面积(平方米)</w:t>
            </w:r>
          </w:p>
        </w:tc>
        <w:tc>
          <w:tcPr>
            <w:tcW w:w="919" w:type="dxa"/>
            <w:tcBorders>
              <w:top w:val="single" w:color="auto" w:sz="12" w:space="0"/>
              <w:bottom w:val="double" w:color="auto" w:sz="6" w:space="0"/>
            </w:tcBorders>
            <w:noWrap w:val="0"/>
            <w:vAlign w:val="center"/>
          </w:tcPr>
          <w:p w14:paraId="530AC567">
            <w:pPr>
              <w:pStyle w:val="6"/>
              <w:keepNext/>
              <w:shd w:val="clear" w:color="auto" w:fill="auto"/>
              <w:spacing w:after="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结构形式</w:t>
            </w:r>
          </w:p>
        </w:tc>
        <w:tc>
          <w:tcPr>
            <w:tcW w:w="618" w:type="dxa"/>
            <w:tcBorders>
              <w:top w:val="single" w:color="auto" w:sz="12" w:space="0"/>
              <w:bottom w:val="double" w:color="auto" w:sz="6" w:space="0"/>
            </w:tcBorders>
            <w:noWrap w:val="0"/>
            <w:vAlign w:val="center"/>
          </w:tcPr>
          <w:p w14:paraId="4C3194AB">
            <w:pPr>
              <w:pStyle w:val="6"/>
              <w:keepNext/>
              <w:shd w:val="clear" w:color="auto" w:fill="auto"/>
              <w:spacing w:after="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层数</w:t>
            </w:r>
          </w:p>
        </w:tc>
        <w:tc>
          <w:tcPr>
            <w:tcW w:w="1032" w:type="dxa"/>
            <w:tcBorders>
              <w:top w:val="single" w:color="auto" w:sz="12" w:space="0"/>
              <w:bottom w:val="double" w:color="auto" w:sz="6" w:space="0"/>
            </w:tcBorders>
            <w:noWrap w:val="0"/>
            <w:vAlign w:val="center"/>
          </w:tcPr>
          <w:p w14:paraId="79519F05">
            <w:pPr>
              <w:pStyle w:val="6"/>
              <w:keepNext/>
              <w:shd w:val="clear" w:color="auto" w:fill="auto"/>
              <w:spacing w:after="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生产能力</w:t>
            </w:r>
          </w:p>
        </w:tc>
        <w:tc>
          <w:tcPr>
            <w:tcW w:w="862" w:type="dxa"/>
            <w:tcBorders>
              <w:top w:val="single" w:color="auto" w:sz="12" w:space="0"/>
              <w:bottom w:val="double" w:color="auto" w:sz="6" w:space="0"/>
            </w:tcBorders>
            <w:noWrap w:val="0"/>
            <w:vAlign w:val="center"/>
          </w:tcPr>
          <w:p w14:paraId="579F901E">
            <w:pPr>
              <w:pStyle w:val="6"/>
              <w:keepNext/>
              <w:shd w:val="clear" w:color="auto" w:fill="auto"/>
              <w:spacing w:after="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设备安装内容</w:t>
            </w:r>
          </w:p>
        </w:tc>
        <w:tc>
          <w:tcPr>
            <w:tcW w:w="956" w:type="dxa"/>
            <w:tcBorders>
              <w:top w:val="single" w:color="auto" w:sz="12" w:space="0"/>
              <w:bottom w:val="double" w:color="auto" w:sz="6" w:space="0"/>
            </w:tcBorders>
            <w:noWrap w:val="0"/>
            <w:vAlign w:val="center"/>
          </w:tcPr>
          <w:p w14:paraId="0BDE0473">
            <w:pPr>
              <w:pStyle w:val="6"/>
              <w:keepNext/>
              <w:shd w:val="clear" w:color="auto" w:fill="auto"/>
              <w:spacing w:after="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合同价格（元）</w:t>
            </w:r>
          </w:p>
        </w:tc>
        <w:tc>
          <w:tcPr>
            <w:tcW w:w="957" w:type="dxa"/>
            <w:tcBorders>
              <w:top w:val="single" w:color="auto" w:sz="12" w:space="0"/>
              <w:bottom w:val="double" w:color="auto" w:sz="6" w:space="0"/>
            </w:tcBorders>
            <w:noWrap w:val="0"/>
            <w:vAlign w:val="center"/>
          </w:tcPr>
          <w:p w14:paraId="7C6593AB">
            <w:pPr>
              <w:pStyle w:val="6"/>
              <w:keepNext/>
              <w:shd w:val="clear" w:color="auto" w:fill="auto"/>
              <w:spacing w:after="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开工日期</w:t>
            </w:r>
          </w:p>
        </w:tc>
        <w:tc>
          <w:tcPr>
            <w:tcW w:w="993" w:type="dxa"/>
            <w:tcBorders>
              <w:top w:val="single" w:color="auto" w:sz="12" w:space="0"/>
              <w:bottom w:val="double" w:color="auto" w:sz="6" w:space="0"/>
            </w:tcBorders>
            <w:noWrap w:val="0"/>
            <w:vAlign w:val="center"/>
          </w:tcPr>
          <w:p w14:paraId="2670E2C0">
            <w:pPr>
              <w:pStyle w:val="6"/>
              <w:keepNext/>
              <w:shd w:val="clear" w:color="auto" w:fill="auto"/>
              <w:spacing w:after="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竣工日期</w:t>
            </w:r>
          </w:p>
        </w:tc>
      </w:tr>
      <w:tr w14:paraId="7D8C6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79" w:type="dxa"/>
            <w:tcBorders>
              <w:top w:val="double" w:color="auto" w:sz="6" w:space="0"/>
              <w:bottom w:val="single" w:color="auto" w:sz="6" w:space="0"/>
            </w:tcBorders>
            <w:noWrap w:val="0"/>
            <w:vAlign w:val="center"/>
          </w:tcPr>
          <w:p w14:paraId="13FDECCC">
            <w:pPr>
              <w:pStyle w:val="6"/>
              <w:keepNext/>
              <w:shd w:val="clear" w:color="auto" w:fill="auto"/>
              <w:spacing w:after="0"/>
              <w:rPr>
                <w:rFonts w:hint="eastAsia" w:ascii="宋体" w:hAnsi="宋体" w:eastAsia="宋体" w:cs="宋体"/>
                <w:color w:val="auto"/>
                <w:kern w:val="2"/>
                <w:sz w:val="24"/>
                <w:szCs w:val="24"/>
                <w:highlight w:val="none"/>
              </w:rPr>
            </w:pPr>
          </w:p>
        </w:tc>
        <w:tc>
          <w:tcPr>
            <w:tcW w:w="802" w:type="dxa"/>
            <w:tcBorders>
              <w:top w:val="double" w:color="auto" w:sz="6" w:space="0"/>
              <w:bottom w:val="single" w:color="auto" w:sz="6" w:space="0"/>
            </w:tcBorders>
            <w:noWrap w:val="0"/>
            <w:vAlign w:val="center"/>
          </w:tcPr>
          <w:p w14:paraId="394778C4">
            <w:pPr>
              <w:pStyle w:val="6"/>
              <w:keepNext/>
              <w:shd w:val="clear" w:color="auto" w:fill="auto"/>
              <w:spacing w:after="0"/>
              <w:rPr>
                <w:rFonts w:hint="eastAsia" w:ascii="宋体" w:hAnsi="宋体" w:eastAsia="宋体" w:cs="宋体"/>
                <w:color w:val="auto"/>
                <w:kern w:val="2"/>
                <w:sz w:val="24"/>
                <w:szCs w:val="24"/>
                <w:highlight w:val="none"/>
              </w:rPr>
            </w:pPr>
          </w:p>
        </w:tc>
        <w:tc>
          <w:tcPr>
            <w:tcW w:w="900" w:type="dxa"/>
            <w:tcBorders>
              <w:top w:val="double" w:color="auto" w:sz="6" w:space="0"/>
              <w:bottom w:val="single" w:color="auto" w:sz="6" w:space="0"/>
            </w:tcBorders>
            <w:noWrap w:val="0"/>
            <w:vAlign w:val="center"/>
          </w:tcPr>
          <w:p w14:paraId="07C30861">
            <w:pPr>
              <w:pStyle w:val="6"/>
              <w:keepNext/>
              <w:shd w:val="clear" w:color="auto" w:fill="auto"/>
              <w:spacing w:after="0"/>
              <w:rPr>
                <w:rFonts w:hint="eastAsia" w:ascii="宋体" w:hAnsi="宋体" w:eastAsia="宋体" w:cs="宋体"/>
                <w:color w:val="auto"/>
                <w:kern w:val="2"/>
                <w:sz w:val="24"/>
                <w:szCs w:val="24"/>
                <w:highlight w:val="none"/>
              </w:rPr>
            </w:pPr>
          </w:p>
        </w:tc>
        <w:tc>
          <w:tcPr>
            <w:tcW w:w="919" w:type="dxa"/>
            <w:tcBorders>
              <w:top w:val="double" w:color="auto" w:sz="6" w:space="0"/>
              <w:bottom w:val="single" w:color="auto" w:sz="6" w:space="0"/>
            </w:tcBorders>
            <w:noWrap w:val="0"/>
            <w:vAlign w:val="center"/>
          </w:tcPr>
          <w:p w14:paraId="691E49D1">
            <w:pPr>
              <w:pStyle w:val="6"/>
              <w:keepNext/>
              <w:shd w:val="clear" w:color="auto" w:fill="auto"/>
              <w:spacing w:after="0"/>
              <w:rPr>
                <w:rFonts w:hint="eastAsia" w:ascii="宋体" w:hAnsi="宋体" w:eastAsia="宋体" w:cs="宋体"/>
                <w:color w:val="auto"/>
                <w:kern w:val="2"/>
                <w:sz w:val="24"/>
                <w:szCs w:val="24"/>
                <w:highlight w:val="none"/>
              </w:rPr>
            </w:pPr>
          </w:p>
        </w:tc>
        <w:tc>
          <w:tcPr>
            <w:tcW w:w="618" w:type="dxa"/>
            <w:tcBorders>
              <w:top w:val="double" w:color="auto" w:sz="6" w:space="0"/>
              <w:bottom w:val="single" w:color="auto" w:sz="6" w:space="0"/>
            </w:tcBorders>
            <w:noWrap w:val="0"/>
            <w:vAlign w:val="center"/>
          </w:tcPr>
          <w:p w14:paraId="4D8E6343">
            <w:pPr>
              <w:pStyle w:val="6"/>
              <w:keepNext/>
              <w:shd w:val="clear" w:color="auto" w:fill="auto"/>
              <w:spacing w:after="0"/>
              <w:rPr>
                <w:rFonts w:hint="eastAsia" w:ascii="宋体" w:hAnsi="宋体" w:eastAsia="宋体" w:cs="宋体"/>
                <w:color w:val="auto"/>
                <w:kern w:val="2"/>
                <w:sz w:val="24"/>
                <w:szCs w:val="24"/>
                <w:highlight w:val="none"/>
              </w:rPr>
            </w:pPr>
          </w:p>
        </w:tc>
        <w:tc>
          <w:tcPr>
            <w:tcW w:w="1032" w:type="dxa"/>
            <w:tcBorders>
              <w:top w:val="double" w:color="auto" w:sz="6" w:space="0"/>
              <w:bottom w:val="single" w:color="auto" w:sz="6" w:space="0"/>
            </w:tcBorders>
            <w:noWrap w:val="0"/>
            <w:vAlign w:val="center"/>
          </w:tcPr>
          <w:p w14:paraId="444495DC">
            <w:pPr>
              <w:pStyle w:val="6"/>
              <w:keepNext/>
              <w:shd w:val="clear" w:color="auto" w:fill="auto"/>
              <w:spacing w:after="0"/>
              <w:rPr>
                <w:rFonts w:hint="eastAsia" w:ascii="宋体" w:hAnsi="宋体" w:eastAsia="宋体" w:cs="宋体"/>
                <w:color w:val="auto"/>
                <w:kern w:val="2"/>
                <w:sz w:val="24"/>
                <w:szCs w:val="24"/>
                <w:highlight w:val="none"/>
              </w:rPr>
            </w:pPr>
          </w:p>
        </w:tc>
        <w:tc>
          <w:tcPr>
            <w:tcW w:w="862" w:type="dxa"/>
            <w:tcBorders>
              <w:top w:val="double" w:color="auto" w:sz="6" w:space="0"/>
              <w:bottom w:val="single" w:color="auto" w:sz="6" w:space="0"/>
            </w:tcBorders>
            <w:noWrap w:val="0"/>
            <w:vAlign w:val="center"/>
          </w:tcPr>
          <w:p w14:paraId="72C7329E">
            <w:pPr>
              <w:pStyle w:val="6"/>
              <w:keepNext/>
              <w:shd w:val="clear" w:color="auto" w:fill="auto"/>
              <w:spacing w:after="0"/>
              <w:rPr>
                <w:rFonts w:hint="eastAsia" w:ascii="宋体" w:hAnsi="宋体" w:eastAsia="宋体" w:cs="宋体"/>
                <w:color w:val="auto"/>
                <w:kern w:val="2"/>
                <w:sz w:val="24"/>
                <w:szCs w:val="24"/>
                <w:highlight w:val="none"/>
              </w:rPr>
            </w:pPr>
          </w:p>
        </w:tc>
        <w:tc>
          <w:tcPr>
            <w:tcW w:w="956" w:type="dxa"/>
            <w:tcBorders>
              <w:top w:val="double" w:color="auto" w:sz="6" w:space="0"/>
              <w:bottom w:val="single" w:color="auto" w:sz="6" w:space="0"/>
            </w:tcBorders>
            <w:noWrap w:val="0"/>
            <w:vAlign w:val="center"/>
          </w:tcPr>
          <w:p w14:paraId="41D8DA35">
            <w:pPr>
              <w:pStyle w:val="6"/>
              <w:keepNext/>
              <w:shd w:val="clear" w:color="auto" w:fill="auto"/>
              <w:spacing w:after="0"/>
              <w:rPr>
                <w:rFonts w:hint="eastAsia" w:ascii="宋体" w:hAnsi="宋体" w:eastAsia="宋体" w:cs="宋体"/>
                <w:color w:val="auto"/>
                <w:kern w:val="2"/>
                <w:sz w:val="24"/>
                <w:szCs w:val="24"/>
                <w:highlight w:val="none"/>
              </w:rPr>
            </w:pPr>
          </w:p>
        </w:tc>
        <w:tc>
          <w:tcPr>
            <w:tcW w:w="957" w:type="dxa"/>
            <w:tcBorders>
              <w:top w:val="double" w:color="auto" w:sz="6" w:space="0"/>
              <w:bottom w:val="single" w:color="auto" w:sz="6" w:space="0"/>
            </w:tcBorders>
            <w:noWrap w:val="0"/>
            <w:vAlign w:val="center"/>
          </w:tcPr>
          <w:p w14:paraId="69095A22">
            <w:pPr>
              <w:pStyle w:val="6"/>
              <w:keepNext/>
              <w:shd w:val="clear" w:color="auto" w:fill="auto"/>
              <w:spacing w:after="0"/>
              <w:rPr>
                <w:rFonts w:hint="eastAsia" w:ascii="宋体" w:hAnsi="宋体" w:eastAsia="宋体" w:cs="宋体"/>
                <w:color w:val="auto"/>
                <w:kern w:val="2"/>
                <w:sz w:val="24"/>
                <w:szCs w:val="24"/>
                <w:highlight w:val="none"/>
              </w:rPr>
            </w:pPr>
          </w:p>
        </w:tc>
        <w:tc>
          <w:tcPr>
            <w:tcW w:w="993" w:type="dxa"/>
            <w:tcBorders>
              <w:top w:val="double" w:color="auto" w:sz="6" w:space="0"/>
              <w:bottom w:val="single" w:color="auto" w:sz="6" w:space="0"/>
            </w:tcBorders>
            <w:noWrap w:val="0"/>
            <w:vAlign w:val="center"/>
          </w:tcPr>
          <w:p w14:paraId="4521673F">
            <w:pPr>
              <w:pStyle w:val="6"/>
              <w:keepNext/>
              <w:shd w:val="clear" w:color="auto" w:fill="auto"/>
              <w:spacing w:after="0"/>
              <w:rPr>
                <w:rFonts w:hint="eastAsia" w:ascii="宋体" w:hAnsi="宋体" w:eastAsia="宋体" w:cs="宋体"/>
                <w:color w:val="auto"/>
                <w:kern w:val="2"/>
                <w:sz w:val="24"/>
                <w:szCs w:val="24"/>
                <w:highlight w:val="none"/>
              </w:rPr>
            </w:pPr>
          </w:p>
        </w:tc>
      </w:tr>
      <w:tr w14:paraId="2E2FF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79" w:type="dxa"/>
            <w:tcBorders>
              <w:top w:val="nil"/>
            </w:tcBorders>
            <w:noWrap w:val="0"/>
            <w:vAlign w:val="center"/>
          </w:tcPr>
          <w:p w14:paraId="660BB379">
            <w:pPr>
              <w:pStyle w:val="6"/>
              <w:keepNext/>
              <w:shd w:val="clear" w:color="auto" w:fill="auto"/>
              <w:spacing w:after="0"/>
              <w:rPr>
                <w:rFonts w:hint="eastAsia" w:ascii="宋体" w:hAnsi="宋体" w:eastAsia="宋体" w:cs="宋体"/>
                <w:color w:val="auto"/>
                <w:kern w:val="2"/>
                <w:sz w:val="24"/>
                <w:szCs w:val="24"/>
                <w:highlight w:val="none"/>
              </w:rPr>
            </w:pPr>
          </w:p>
        </w:tc>
        <w:tc>
          <w:tcPr>
            <w:tcW w:w="802" w:type="dxa"/>
            <w:tcBorders>
              <w:top w:val="nil"/>
            </w:tcBorders>
            <w:noWrap w:val="0"/>
            <w:vAlign w:val="center"/>
          </w:tcPr>
          <w:p w14:paraId="1905FDCD">
            <w:pPr>
              <w:pStyle w:val="6"/>
              <w:keepNext/>
              <w:shd w:val="clear" w:color="auto" w:fill="auto"/>
              <w:spacing w:after="0"/>
              <w:rPr>
                <w:rFonts w:hint="eastAsia" w:ascii="宋体" w:hAnsi="宋体" w:eastAsia="宋体" w:cs="宋体"/>
                <w:color w:val="auto"/>
                <w:kern w:val="2"/>
                <w:sz w:val="24"/>
                <w:szCs w:val="24"/>
                <w:highlight w:val="none"/>
              </w:rPr>
            </w:pPr>
          </w:p>
        </w:tc>
        <w:tc>
          <w:tcPr>
            <w:tcW w:w="900" w:type="dxa"/>
            <w:tcBorders>
              <w:top w:val="nil"/>
            </w:tcBorders>
            <w:noWrap w:val="0"/>
            <w:vAlign w:val="center"/>
          </w:tcPr>
          <w:p w14:paraId="1AA673CE">
            <w:pPr>
              <w:pStyle w:val="6"/>
              <w:keepNext/>
              <w:shd w:val="clear" w:color="auto" w:fill="auto"/>
              <w:spacing w:after="0"/>
              <w:rPr>
                <w:rFonts w:hint="eastAsia" w:ascii="宋体" w:hAnsi="宋体" w:eastAsia="宋体" w:cs="宋体"/>
                <w:color w:val="auto"/>
                <w:kern w:val="2"/>
                <w:sz w:val="24"/>
                <w:szCs w:val="24"/>
                <w:highlight w:val="none"/>
              </w:rPr>
            </w:pPr>
          </w:p>
        </w:tc>
        <w:tc>
          <w:tcPr>
            <w:tcW w:w="919" w:type="dxa"/>
            <w:tcBorders>
              <w:top w:val="nil"/>
            </w:tcBorders>
            <w:noWrap w:val="0"/>
            <w:vAlign w:val="center"/>
          </w:tcPr>
          <w:p w14:paraId="14D3B614">
            <w:pPr>
              <w:pStyle w:val="6"/>
              <w:keepNext/>
              <w:shd w:val="clear" w:color="auto" w:fill="auto"/>
              <w:spacing w:after="0"/>
              <w:rPr>
                <w:rFonts w:hint="eastAsia" w:ascii="宋体" w:hAnsi="宋体" w:eastAsia="宋体" w:cs="宋体"/>
                <w:color w:val="auto"/>
                <w:kern w:val="2"/>
                <w:sz w:val="24"/>
                <w:szCs w:val="24"/>
                <w:highlight w:val="none"/>
              </w:rPr>
            </w:pPr>
          </w:p>
        </w:tc>
        <w:tc>
          <w:tcPr>
            <w:tcW w:w="618" w:type="dxa"/>
            <w:tcBorders>
              <w:top w:val="nil"/>
            </w:tcBorders>
            <w:noWrap w:val="0"/>
            <w:vAlign w:val="center"/>
          </w:tcPr>
          <w:p w14:paraId="70186302">
            <w:pPr>
              <w:pStyle w:val="6"/>
              <w:keepNext/>
              <w:shd w:val="clear" w:color="auto" w:fill="auto"/>
              <w:spacing w:after="0"/>
              <w:rPr>
                <w:rFonts w:hint="eastAsia" w:ascii="宋体" w:hAnsi="宋体" w:eastAsia="宋体" w:cs="宋体"/>
                <w:color w:val="auto"/>
                <w:kern w:val="2"/>
                <w:sz w:val="24"/>
                <w:szCs w:val="24"/>
                <w:highlight w:val="none"/>
              </w:rPr>
            </w:pPr>
          </w:p>
        </w:tc>
        <w:tc>
          <w:tcPr>
            <w:tcW w:w="1032" w:type="dxa"/>
            <w:tcBorders>
              <w:top w:val="nil"/>
            </w:tcBorders>
            <w:noWrap w:val="0"/>
            <w:vAlign w:val="center"/>
          </w:tcPr>
          <w:p w14:paraId="1C36FD32">
            <w:pPr>
              <w:pStyle w:val="6"/>
              <w:keepNext/>
              <w:shd w:val="clear" w:color="auto" w:fill="auto"/>
              <w:spacing w:after="0"/>
              <w:rPr>
                <w:rFonts w:hint="eastAsia" w:ascii="宋体" w:hAnsi="宋体" w:eastAsia="宋体" w:cs="宋体"/>
                <w:color w:val="auto"/>
                <w:kern w:val="2"/>
                <w:sz w:val="24"/>
                <w:szCs w:val="24"/>
                <w:highlight w:val="none"/>
              </w:rPr>
            </w:pPr>
          </w:p>
        </w:tc>
        <w:tc>
          <w:tcPr>
            <w:tcW w:w="862" w:type="dxa"/>
            <w:tcBorders>
              <w:top w:val="nil"/>
            </w:tcBorders>
            <w:noWrap w:val="0"/>
            <w:vAlign w:val="center"/>
          </w:tcPr>
          <w:p w14:paraId="6657AF3F">
            <w:pPr>
              <w:pStyle w:val="6"/>
              <w:keepNext/>
              <w:shd w:val="clear" w:color="auto" w:fill="auto"/>
              <w:spacing w:after="0"/>
              <w:rPr>
                <w:rFonts w:hint="eastAsia" w:ascii="宋体" w:hAnsi="宋体" w:eastAsia="宋体" w:cs="宋体"/>
                <w:color w:val="auto"/>
                <w:kern w:val="2"/>
                <w:sz w:val="24"/>
                <w:szCs w:val="24"/>
                <w:highlight w:val="none"/>
              </w:rPr>
            </w:pPr>
          </w:p>
        </w:tc>
        <w:tc>
          <w:tcPr>
            <w:tcW w:w="956" w:type="dxa"/>
            <w:tcBorders>
              <w:top w:val="nil"/>
            </w:tcBorders>
            <w:noWrap w:val="0"/>
            <w:vAlign w:val="center"/>
          </w:tcPr>
          <w:p w14:paraId="1D2BE19D">
            <w:pPr>
              <w:pStyle w:val="6"/>
              <w:keepNext/>
              <w:shd w:val="clear" w:color="auto" w:fill="auto"/>
              <w:spacing w:after="0"/>
              <w:rPr>
                <w:rFonts w:hint="eastAsia" w:ascii="宋体" w:hAnsi="宋体" w:eastAsia="宋体" w:cs="宋体"/>
                <w:color w:val="auto"/>
                <w:kern w:val="2"/>
                <w:sz w:val="24"/>
                <w:szCs w:val="24"/>
                <w:highlight w:val="none"/>
              </w:rPr>
            </w:pPr>
          </w:p>
        </w:tc>
        <w:tc>
          <w:tcPr>
            <w:tcW w:w="957" w:type="dxa"/>
            <w:tcBorders>
              <w:top w:val="nil"/>
            </w:tcBorders>
            <w:noWrap w:val="0"/>
            <w:vAlign w:val="center"/>
          </w:tcPr>
          <w:p w14:paraId="7A9E98A0">
            <w:pPr>
              <w:pStyle w:val="6"/>
              <w:keepNext/>
              <w:shd w:val="clear" w:color="auto" w:fill="auto"/>
              <w:spacing w:after="0"/>
              <w:rPr>
                <w:rFonts w:hint="eastAsia" w:ascii="宋体" w:hAnsi="宋体" w:eastAsia="宋体" w:cs="宋体"/>
                <w:color w:val="auto"/>
                <w:kern w:val="2"/>
                <w:sz w:val="24"/>
                <w:szCs w:val="24"/>
                <w:highlight w:val="none"/>
              </w:rPr>
            </w:pPr>
          </w:p>
        </w:tc>
        <w:tc>
          <w:tcPr>
            <w:tcW w:w="993" w:type="dxa"/>
            <w:tcBorders>
              <w:top w:val="nil"/>
            </w:tcBorders>
            <w:noWrap w:val="0"/>
            <w:vAlign w:val="center"/>
          </w:tcPr>
          <w:p w14:paraId="562DCFED">
            <w:pPr>
              <w:pStyle w:val="6"/>
              <w:keepNext/>
              <w:shd w:val="clear" w:color="auto" w:fill="auto"/>
              <w:spacing w:after="0"/>
              <w:rPr>
                <w:rFonts w:hint="eastAsia" w:ascii="宋体" w:hAnsi="宋体" w:eastAsia="宋体" w:cs="宋体"/>
                <w:color w:val="auto"/>
                <w:kern w:val="2"/>
                <w:sz w:val="24"/>
                <w:szCs w:val="24"/>
                <w:highlight w:val="none"/>
              </w:rPr>
            </w:pPr>
          </w:p>
        </w:tc>
      </w:tr>
      <w:tr w14:paraId="23452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79" w:type="dxa"/>
            <w:tcBorders>
              <w:top w:val="nil"/>
            </w:tcBorders>
            <w:noWrap w:val="0"/>
            <w:vAlign w:val="center"/>
          </w:tcPr>
          <w:p w14:paraId="1EB8E1A4">
            <w:pPr>
              <w:pStyle w:val="6"/>
              <w:keepNext/>
              <w:shd w:val="clear" w:color="auto" w:fill="auto"/>
              <w:spacing w:after="0"/>
              <w:rPr>
                <w:rFonts w:hint="eastAsia" w:ascii="宋体" w:hAnsi="宋体" w:eastAsia="宋体" w:cs="宋体"/>
                <w:color w:val="auto"/>
                <w:kern w:val="2"/>
                <w:sz w:val="24"/>
                <w:szCs w:val="24"/>
                <w:highlight w:val="none"/>
              </w:rPr>
            </w:pPr>
          </w:p>
        </w:tc>
        <w:tc>
          <w:tcPr>
            <w:tcW w:w="802" w:type="dxa"/>
            <w:tcBorders>
              <w:top w:val="nil"/>
            </w:tcBorders>
            <w:noWrap w:val="0"/>
            <w:vAlign w:val="center"/>
          </w:tcPr>
          <w:p w14:paraId="71D5AD29">
            <w:pPr>
              <w:pStyle w:val="6"/>
              <w:keepNext/>
              <w:shd w:val="clear" w:color="auto" w:fill="auto"/>
              <w:spacing w:after="0"/>
              <w:rPr>
                <w:rFonts w:hint="eastAsia" w:ascii="宋体" w:hAnsi="宋体" w:eastAsia="宋体" w:cs="宋体"/>
                <w:color w:val="auto"/>
                <w:kern w:val="2"/>
                <w:sz w:val="24"/>
                <w:szCs w:val="24"/>
                <w:highlight w:val="none"/>
              </w:rPr>
            </w:pPr>
          </w:p>
        </w:tc>
        <w:tc>
          <w:tcPr>
            <w:tcW w:w="900" w:type="dxa"/>
            <w:tcBorders>
              <w:top w:val="nil"/>
            </w:tcBorders>
            <w:noWrap w:val="0"/>
            <w:vAlign w:val="center"/>
          </w:tcPr>
          <w:p w14:paraId="774DD4A8">
            <w:pPr>
              <w:pStyle w:val="6"/>
              <w:keepNext/>
              <w:shd w:val="clear" w:color="auto" w:fill="auto"/>
              <w:spacing w:after="0"/>
              <w:rPr>
                <w:rFonts w:hint="eastAsia" w:ascii="宋体" w:hAnsi="宋体" w:eastAsia="宋体" w:cs="宋体"/>
                <w:color w:val="auto"/>
                <w:kern w:val="2"/>
                <w:sz w:val="24"/>
                <w:szCs w:val="24"/>
                <w:highlight w:val="none"/>
              </w:rPr>
            </w:pPr>
          </w:p>
        </w:tc>
        <w:tc>
          <w:tcPr>
            <w:tcW w:w="919" w:type="dxa"/>
            <w:tcBorders>
              <w:top w:val="nil"/>
            </w:tcBorders>
            <w:noWrap w:val="0"/>
            <w:vAlign w:val="center"/>
          </w:tcPr>
          <w:p w14:paraId="6232205E">
            <w:pPr>
              <w:pStyle w:val="6"/>
              <w:keepNext/>
              <w:shd w:val="clear" w:color="auto" w:fill="auto"/>
              <w:spacing w:after="0"/>
              <w:rPr>
                <w:rFonts w:hint="eastAsia" w:ascii="宋体" w:hAnsi="宋体" w:eastAsia="宋体" w:cs="宋体"/>
                <w:color w:val="auto"/>
                <w:kern w:val="2"/>
                <w:sz w:val="24"/>
                <w:szCs w:val="24"/>
                <w:highlight w:val="none"/>
              </w:rPr>
            </w:pPr>
          </w:p>
        </w:tc>
        <w:tc>
          <w:tcPr>
            <w:tcW w:w="618" w:type="dxa"/>
            <w:tcBorders>
              <w:top w:val="nil"/>
            </w:tcBorders>
            <w:noWrap w:val="0"/>
            <w:vAlign w:val="center"/>
          </w:tcPr>
          <w:p w14:paraId="6F881B2F">
            <w:pPr>
              <w:pStyle w:val="6"/>
              <w:keepNext/>
              <w:shd w:val="clear" w:color="auto" w:fill="auto"/>
              <w:spacing w:after="0"/>
              <w:rPr>
                <w:rFonts w:hint="eastAsia" w:ascii="宋体" w:hAnsi="宋体" w:eastAsia="宋体" w:cs="宋体"/>
                <w:color w:val="auto"/>
                <w:kern w:val="2"/>
                <w:sz w:val="24"/>
                <w:szCs w:val="24"/>
                <w:highlight w:val="none"/>
              </w:rPr>
            </w:pPr>
          </w:p>
        </w:tc>
        <w:tc>
          <w:tcPr>
            <w:tcW w:w="1032" w:type="dxa"/>
            <w:tcBorders>
              <w:top w:val="nil"/>
            </w:tcBorders>
            <w:noWrap w:val="0"/>
            <w:vAlign w:val="center"/>
          </w:tcPr>
          <w:p w14:paraId="572750BE">
            <w:pPr>
              <w:pStyle w:val="6"/>
              <w:keepNext/>
              <w:shd w:val="clear" w:color="auto" w:fill="auto"/>
              <w:spacing w:after="0"/>
              <w:rPr>
                <w:rFonts w:hint="eastAsia" w:ascii="宋体" w:hAnsi="宋体" w:eastAsia="宋体" w:cs="宋体"/>
                <w:color w:val="auto"/>
                <w:kern w:val="2"/>
                <w:sz w:val="24"/>
                <w:szCs w:val="24"/>
                <w:highlight w:val="none"/>
              </w:rPr>
            </w:pPr>
          </w:p>
        </w:tc>
        <w:tc>
          <w:tcPr>
            <w:tcW w:w="862" w:type="dxa"/>
            <w:tcBorders>
              <w:top w:val="nil"/>
            </w:tcBorders>
            <w:noWrap w:val="0"/>
            <w:vAlign w:val="center"/>
          </w:tcPr>
          <w:p w14:paraId="41C21BE0">
            <w:pPr>
              <w:pStyle w:val="6"/>
              <w:keepNext/>
              <w:shd w:val="clear" w:color="auto" w:fill="auto"/>
              <w:spacing w:after="0"/>
              <w:rPr>
                <w:rFonts w:hint="eastAsia" w:ascii="宋体" w:hAnsi="宋体" w:eastAsia="宋体" w:cs="宋体"/>
                <w:color w:val="auto"/>
                <w:kern w:val="2"/>
                <w:sz w:val="24"/>
                <w:szCs w:val="24"/>
                <w:highlight w:val="none"/>
              </w:rPr>
            </w:pPr>
          </w:p>
        </w:tc>
        <w:tc>
          <w:tcPr>
            <w:tcW w:w="956" w:type="dxa"/>
            <w:tcBorders>
              <w:top w:val="nil"/>
            </w:tcBorders>
            <w:noWrap w:val="0"/>
            <w:vAlign w:val="center"/>
          </w:tcPr>
          <w:p w14:paraId="3068A320">
            <w:pPr>
              <w:pStyle w:val="6"/>
              <w:keepNext/>
              <w:shd w:val="clear" w:color="auto" w:fill="auto"/>
              <w:spacing w:after="0"/>
              <w:rPr>
                <w:rFonts w:hint="eastAsia" w:ascii="宋体" w:hAnsi="宋体" w:eastAsia="宋体" w:cs="宋体"/>
                <w:color w:val="auto"/>
                <w:kern w:val="2"/>
                <w:sz w:val="24"/>
                <w:szCs w:val="24"/>
                <w:highlight w:val="none"/>
              </w:rPr>
            </w:pPr>
          </w:p>
        </w:tc>
        <w:tc>
          <w:tcPr>
            <w:tcW w:w="957" w:type="dxa"/>
            <w:tcBorders>
              <w:top w:val="nil"/>
            </w:tcBorders>
            <w:noWrap w:val="0"/>
            <w:vAlign w:val="center"/>
          </w:tcPr>
          <w:p w14:paraId="2BCEC5B8">
            <w:pPr>
              <w:pStyle w:val="6"/>
              <w:keepNext/>
              <w:shd w:val="clear" w:color="auto" w:fill="auto"/>
              <w:spacing w:after="0"/>
              <w:rPr>
                <w:rFonts w:hint="eastAsia" w:ascii="宋体" w:hAnsi="宋体" w:eastAsia="宋体" w:cs="宋体"/>
                <w:color w:val="auto"/>
                <w:kern w:val="2"/>
                <w:sz w:val="24"/>
                <w:szCs w:val="24"/>
                <w:highlight w:val="none"/>
              </w:rPr>
            </w:pPr>
          </w:p>
        </w:tc>
        <w:tc>
          <w:tcPr>
            <w:tcW w:w="993" w:type="dxa"/>
            <w:tcBorders>
              <w:top w:val="nil"/>
            </w:tcBorders>
            <w:noWrap w:val="0"/>
            <w:vAlign w:val="center"/>
          </w:tcPr>
          <w:p w14:paraId="44F4DF6D">
            <w:pPr>
              <w:pStyle w:val="6"/>
              <w:keepNext/>
              <w:shd w:val="clear" w:color="auto" w:fill="auto"/>
              <w:spacing w:after="0"/>
              <w:rPr>
                <w:rFonts w:hint="eastAsia" w:ascii="宋体" w:hAnsi="宋体" w:eastAsia="宋体" w:cs="宋体"/>
                <w:color w:val="auto"/>
                <w:kern w:val="2"/>
                <w:sz w:val="24"/>
                <w:szCs w:val="24"/>
                <w:highlight w:val="none"/>
              </w:rPr>
            </w:pPr>
          </w:p>
        </w:tc>
      </w:tr>
      <w:tr w14:paraId="73B56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79" w:type="dxa"/>
            <w:noWrap w:val="0"/>
            <w:vAlign w:val="center"/>
          </w:tcPr>
          <w:p w14:paraId="3738844F">
            <w:pPr>
              <w:pStyle w:val="6"/>
              <w:keepNext/>
              <w:shd w:val="clear" w:color="auto" w:fill="auto"/>
              <w:spacing w:after="0"/>
              <w:rPr>
                <w:rFonts w:hint="eastAsia" w:ascii="宋体" w:hAnsi="宋体" w:eastAsia="宋体" w:cs="宋体"/>
                <w:color w:val="auto"/>
                <w:kern w:val="2"/>
                <w:sz w:val="24"/>
                <w:szCs w:val="24"/>
                <w:highlight w:val="none"/>
              </w:rPr>
            </w:pPr>
          </w:p>
        </w:tc>
        <w:tc>
          <w:tcPr>
            <w:tcW w:w="802" w:type="dxa"/>
            <w:noWrap w:val="0"/>
            <w:vAlign w:val="center"/>
          </w:tcPr>
          <w:p w14:paraId="543B817D">
            <w:pPr>
              <w:pStyle w:val="6"/>
              <w:keepNext/>
              <w:shd w:val="clear" w:color="auto" w:fill="auto"/>
              <w:spacing w:after="0"/>
              <w:rPr>
                <w:rFonts w:hint="eastAsia" w:ascii="宋体" w:hAnsi="宋体" w:eastAsia="宋体" w:cs="宋体"/>
                <w:color w:val="auto"/>
                <w:kern w:val="2"/>
                <w:sz w:val="24"/>
                <w:szCs w:val="24"/>
                <w:highlight w:val="none"/>
              </w:rPr>
            </w:pPr>
          </w:p>
        </w:tc>
        <w:tc>
          <w:tcPr>
            <w:tcW w:w="900" w:type="dxa"/>
            <w:noWrap w:val="0"/>
            <w:vAlign w:val="center"/>
          </w:tcPr>
          <w:p w14:paraId="2E9090A0">
            <w:pPr>
              <w:pStyle w:val="6"/>
              <w:keepNext/>
              <w:shd w:val="clear" w:color="auto" w:fill="auto"/>
              <w:spacing w:after="0"/>
              <w:rPr>
                <w:rFonts w:hint="eastAsia" w:ascii="宋体" w:hAnsi="宋体" w:eastAsia="宋体" w:cs="宋体"/>
                <w:color w:val="auto"/>
                <w:kern w:val="2"/>
                <w:sz w:val="24"/>
                <w:szCs w:val="24"/>
                <w:highlight w:val="none"/>
              </w:rPr>
            </w:pPr>
          </w:p>
        </w:tc>
        <w:tc>
          <w:tcPr>
            <w:tcW w:w="919" w:type="dxa"/>
            <w:noWrap w:val="0"/>
            <w:vAlign w:val="center"/>
          </w:tcPr>
          <w:p w14:paraId="00019B71">
            <w:pPr>
              <w:pStyle w:val="6"/>
              <w:keepNext/>
              <w:shd w:val="clear" w:color="auto" w:fill="auto"/>
              <w:spacing w:after="0"/>
              <w:rPr>
                <w:rFonts w:hint="eastAsia" w:ascii="宋体" w:hAnsi="宋体" w:eastAsia="宋体" w:cs="宋体"/>
                <w:color w:val="auto"/>
                <w:kern w:val="2"/>
                <w:sz w:val="24"/>
                <w:szCs w:val="24"/>
                <w:highlight w:val="none"/>
              </w:rPr>
            </w:pPr>
          </w:p>
        </w:tc>
        <w:tc>
          <w:tcPr>
            <w:tcW w:w="618" w:type="dxa"/>
            <w:noWrap w:val="0"/>
            <w:vAlign w:val="center"/>
          </w:tcPr>
          <w:p w14:paraId="67C6F791">
            <w:pPr>
              <w:pStyle w:val="6"/>
              <w:keepNext/>
              <w:shd w:val="clear" w:color="auto" w:fill="auto"/>
              <w:spacing w:after="0"/>
              <w:rPr>
                <w:rFonts w:hint="eastAsia" w:ascii="宋体" w:hAnsi="宋体" w:eastAsia="宋体" w:cs="宋体"/>
                <w:color w:val="auto"/>
                <w:kern w:val="2"/>
                <w:sz w:val="24"/>
                <w:szCs w:val="24"/>
                <w:highlight w:val="none"/>
              </w:rPr>
            </w:pPr>
          </w:p>
        </w:tc>
        <w:tc>
          <w:tcPr>
            <w:tcW w:w="1032" w:type="dxa"/>
            <w:noWrap w:val="0"/>
            <w:vAlign w:val="center"/>
          </w:tcPr>
          <w:p w14:paraId="13EEEFEA">
            <w:pPr>
              <w:pStyle w:val="6"/>
              <w:keepNext/>
              <w:shd w:val="clear" w:color="auto" w:fill="auto"/>
              <w:spacing w:after="0"/>
              <w:rPr>
                <w:rFonts w:hint="eastAsia" w:ascii="宋体" w:hAnsi="宋体" w:eastAsia="宋体" w:cs="宋体"/>
                <w:color w:val="auto"/>
                <w:kern w:val="2"/>
                <w:sz w:val="24"/>
                <w:szCs w:val="24"/>
                <w:highlight w:val="none"/>
              </w:rPr>
            </w:pPr>
          </w:p>
        </w:tc>
        <w:tc>
          <w:tcPr>
            <w:tcW w:w="862" w:type="dxa"/>
            <w:noWrap w:val="0"/>
            <w:vAlign w:val="center"/>
          </w:tcPr>
          <w:p w14:paraId="2911D0B2">
            <w:pPr>
              <w:pStyle w:val="6"/>
              <w:keepNext/>
              <w:shd w:val="clear" w:color="auto" w:fill="auto"/>
              <w:spacing w:after="0"/>
              <w:rPr>
                <w:rFonts w:hint="eastAsia" w:ascii="宋体" w:hAnsi="宋体" w:eastAsia="宋体" w:cs="宋体"/>
                <w:color w:val="auto"/>
                <w:kern w:val="2"/>
                <w:sz w:val="24"/>
                <w:szCs w:val="24"/>
                <w:highlight w:val="none"/>
              </w:rPr>
            </w:pPr>
          </w:p>
        </w:tc>
        <w:tc>
          <w:tcPr>
            <w:tcW w:w="956" w:type="dxa"/>
            <w:noWrap w:val="0"/>
            <w:vAlign w:val="center"/>
          </w:tcPr>
          <w:p w14:paraId="4CA6562F">
            <w:pPr>
              <w:pStyle w:val="6"/>
              <w:keepNext/>
              <w:shd w:val="clear" w:color="auto" w:fill="auto"/>
              <w:spacing w:after="0"/>
              <w:rPr>
                <w:rFonts w:hint="eastAsia" w:ascii="宋体" w:hAnsi="宋体" w:eastAsia="宋体" w:cs="宋体"/>
                <w:color w:val="auto"/>
                <w:kern w:val="2"/>
                <w:sz w:val="24"/>
                <w:szCs w:val="24"/>
                <w:highlight w:val="none"/>
              </w:rPr>
            </w:pPr>
          </w:p>
        </w:tc>
        <w:tc>
          <w:tcPr>
            <w:tcW w:w="957" w:type="dxa"/>
            <w:noWrap w:val="0"/>
            <w:vAlign w:val="center"/>
          </w:tcPr>
          <w:p w14:paraId="5B83F8DA">
            <w:pPr>
              <w:pStyle w:val="6"/>
              <w:keepNext/>
              <w:shd w:val="clear" w:color="auto" w:fill="auto"/>
              <w:spacing w:after="0"/>
              <w:rPr>
                <w:rFonts w:hint="eastAsia" w:ascii="宋体" w:hAnsi="宋体" w:eastAsia="宋体" w:cs="宋体"/>
                <w:color w:val="auto"/>
                <w:kern w:val="2"/>
                <w:sz w:val="24"/>
                <w:szCs w:val="24"/>
                <w:highlight w:val="none"/>
              </w:rPr>
            </w:pPr>
          </w:p>
        </w:tc>
        <w:tc>
          <w:tcPr>
            <w:tcW w:w="993" w:type="dxa"/>
            <w:noWrap w:val="0"/>
            <w:vAlign w:val="center"/>
          </w:tcPr>
          <w:p w14:paraId="4DA40567">
            <w:pPr>
              <w:pStyle w:val="6"/>
              <w:keepNext/>
              <w:shd w:val="clear" w:color="auto" w:fill="auto"/>
              <w:spacing w:after="0"/>
              <w:rPr>
                <w:rFonts w:hint="eastAsia" w:ascii="宋体" w:hAnsi="宋体" w:eastAsia="宋体" w:cs="宋体"/>
                <w:color w:val="auto"/>
                <w:kern w:val="2"/>
                <w:sz w:val="24"/>
                <w:szCs w:val="24"/>
                <w:highlight w:val="none"/>
              </w:rPr>
            </w:pPr>
          </w:p>
        </w:tc>
      </w:tr>
      <w:tr w14:paraId="47096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79" w:type="dxa"/>
            <w:tcBorders>
              <w:top w:val="nil"/>
            </w:tcBorders>
            <w:noWrap w:val="0"/>
            <w:vAlign w:val="center"/>
          </w:tcPr>
          <w:p w14:paraId="328E9F9B">
            <w:pPr>
              <w:pStyle w:val="6"/>
              <w:keepNext/>
              <w:shd w:val="clear" w:color="auto" w:fill="auto"/>
              <w:spacing w:after="0"/>
              <w:rPr>
                <w:rFonts w:hint="eastAsia" w:ascii="宋体" w:hAnsi="宋体" w:eastAsia="宋体" w:cs="宋体"/>
                <w:color w:val="auto"/>
                <w:kern w:val="2"/>
                <w:sz w:val="24"/>
                <w:szCs w:val="24"/>
                <w:highlight w:val="none"/>
              </w:rPr>
            </w:pPr>
          </w:p>
        </w:tc>
        <w:tc>
          <w:tcPr>
            <w:tcW w:w="802" w:type="dxa"/>
            <w:tcBorders>
              <w:top w:val="nil"/>
            </w:tcBorders>
            <w:noWrap w:val="0"/>
            <w:vAlign w:val="center"/>
          </w:tcPr>
          <w:p w14:paraId="4E7A6CDC">
            <w:pPr>
              <w:pStyle w:val="6"/>
              <w:keepNext/>
              <w:shd w:val="clear" w:color="auto" w:fill="auto"/>
              <w:spacing w:after="0"/>
              <w:rPr>
                <w:rFonts w:hint="eastAsia" w:ascii="宋体" w:hAnsi="宋体" w:eastAsia="宋体" w:cs="宋体"/>
                <w:color w:val="auto"/>
                <w:kern w:val="2"/>
                <w:sz w:val="24"/>
                <w:szCs w:val="24"/>
                <w:highlight w:val="none"/>
              </w:rPr>
            </w:pPr>
          </w:p>
        </w:tc>
        <w:tc>
          <w:tcPr>
            <w:tcW w:w="900" w:type="dxa"/>
            <w:tcBorders>
              <w:top w:val="nil"/>
            </w:tcBorders>
            <w:noWrap w:val="0"/>
            <w:vAlign w:val="center"/>
          </w:tcPr>
          <w:p w14:paraId="2A764775">
            <w:pPr>
              <w:pStyle w:val="6"/>
              <w:keepNext/>
              <w:shd w:val="clear" w:color="auto" w:fill="auto"/>
              <w:spacing w:after="0"/>
              <w:rPr>
                <w:rFonts w:hint="eastAsia" w:ascii="宋体" w:hAnsi="宋体" w:eastAsia="宋体" w:cs="宋体"/>
                <w:color w:val="auto"/>
                <w:kern w:val="2"/>
                <w:sz w:val="24"/>
                <w:szCs w:val="24"/>
                <w:highlight w:val="none"/>
              </w:rPr>
            </w:pPr>
          </w:p>
        </w:tc>
        <w:tc>
          <w:tcPr>
            <w:tcW w:w="919" w:type="dxa"/>
            <w:tcBorders>
              <w:top w:val="nil"/>
            </w:tcBorders>
            <w:noWrap w:val="0"/>
            <w:vAlign w:val="center"/>
          </w:tcPr>
          <w:p w14:paraId="63360DAB">
            <w:pPr>
              <w:pStyle w:val="6"/>
              <w:keepNext/>
              <w:shd w:val="clear" w:color="auto" w:fill="auto"/>
              <w:spacing w:after="0"/>
              <w:rPr>
                <w:rFonts w:hint="eastAsia" w:ascii="宋体" w:hAnsi="宋体" w:eastAsia="宋体" w:cs="宋体"/>
                <w:color w:val="auto"/>
                <w:kern w:val="2"/>
                <w:sz w:val="24"/>
                <w:szCs w:val="24"/>
                <w:highlight w:val="none"/>
              </w:rPr>
            </w:pPr>
          </w:p>
        </w:tc>
        <w:tc>
          <w:tcPr>
            <w:tcW w:w="618" w:type="dxa"/>
            <w:tcBorders>
              <w:top w:val="nil"/>
            </w:tcBorders>
            <w:noWrap w:val="0"/>
            <w:vAlign w:val="center"/>
          </w:tcPr>
          <w:p w14:paraId="3FB33AE8">
            <w:pPr>
              <w:pStyle w:val="6"/>
              <w:keepNext/>
              <w:shd w:val="clear" w:color="auto" w:fill="auto"/>
              <w:spacing w:after="0"/>
              <w:rPr>
                <w:rFonts w:hint="eastAsia" w:ascii="宋体" w:hAnsi="宋体" w:eastAsia="宋体" w:cs="宋体"/>
                <w:color w:val="auto"/>
                <w:kern w:val="2"/>
                <w:sz w:val="24"/>
                <w:szCs w:val="24"/>
                <w:highlight w:val="none"/>
              </w:rPr>
            </w:pPr>
          </w:p>
        </w:tc>
        <w:tc>
          <w:tcPr>
            <w:tcW w:w="1032" w:type="dxa"/>
            <w:tcBorders>
              <w:top w:val="nil"/>
            </w:tcBorders>
            <w:noWrap w:val="0"/>
            <w:vAlign w:val="center"/>
          </w:tcPr>
          <w:p w14:paraId="0A4B64BD">
            <w:pPr>
              <w:pStyle w:val="6"/>
              <w:keepNext/>
              <w:shd w:val="clear" w:color="auto" w:fill="auto"/>
              <w:spacing w:after="0"/>
              <w:rPr>
                <w:rFonts w:hint="eastAsia" w:ascii="宋体" w:hAnsi="宋体" w:eastAsia="宋体" w:cs="宋体"/>
                <w:color w:val="auto"/>
                <w:kern w:val="2"/>
                <w:sz w:val="24"/>
                <w:szCs w:val="24"/>
                <w:highlight w:val="none"/>
              </w:rPr>
            </w:pPr>
          </w:p>
        </w:tc>
        <w:tc>
          <w:tcPr>
            <w:tcW w:w="862" w:type="dxa"/>
            <w:tcBorders>
              <w:top w:val="nil"/>
            </w:tcBorders>
            <w:noWrap w:val="0"/>
            <w:vAlign w:val="center"/>
          </w:tcPr>
          <w:p w14:paraId="7B54F7AC">
            <w:pPr>
              <w:pStyle w:val="6"/>
              <w:keepNext/>
              <w:shd w:val="clear" w:color="auto" w:fill="auto"/>
              <w:spacing w:after="0"/>
              <w:rPr>
                <w:rFonts w:hint="eastAsia" w:ascii="宋体" w:hAnsi="宋体" w:eastAsia="宋体" w:cs="宋体"/>
                <w:color w:val="auto"/>
                <w:kern w:val="2"/>
                <w:sz w:val="24"/>
                <w:szCs w:val="24"/>
                <w:highlight w:val="none"/>
              </w:rPr>
            </w:pPr>
          </w:p>
        </w:tc>
        <w:tc>
          <w:tcPr>
            <w:tcW w:w="956" w:type="dxa"/>
            <w:tcBorders>
              <w:top w:val="nil"/>
            </w:tcBorders>
            <w:noWrap w:val="0"/>
            <w:vAlign w:val="center"/>
          </w:tcPr>
          <w:p w14:paraId="19500F62">
            <w:pPr>
              <w:pStyle w:val="6"/>
              <w:keepNext/>
              <w:shd w:val="clear" w:color="auto" w:fill="auto"/>
              <w:spacing w:after="0"/>
              <w:rPr>
                <w:rFonts w:hint="eastAsia" w:ascii="宋体" w:hAnsi="宋体" w:eastAsia="宋体" w:cs="宋体"/>
                <w:color w:val="auto"/>
                <w:kern w:val="2"/>
                <w:sz w:val="24"/>
                <w:szCs w:val="24"/>
                <w:highlight w:val="none"/>
              </w:rPr>
            </w:pPr>
          </w:p>
        </w:tc>
        <w:tc>
          <w:tcPr>
            <w:tcW w:w="957" w:type="dxa"/>
            <w:tcBorders>
              <w:top w:val="nil"/>
            </w:tcBorders>
            <w:noWrap w:val="0"/>
            <w:vAlign w:val="center"/>
          </w:tcPr>
          <w:p w14:paraId="2355EB8E">
            <w:pPr>
              <w:pStyle w:val="6"/>
              <w:keepNext/>
              <w:shd w:val="clear" w:color="auto" w:fill="auto"/>
              <w:spacing w:after="0"/>
              <w:rPr>
                <w:rFonts w:hint="eastAsia" w:ascii="宋体" w:hAnsi="宋体" w:eastAsia="宋体" w:cs="宋体"/>
                <w:color w:val="auto"/>
                <w:kern w:val="2"/>
                <w:sz w:val="24"/>
                <w:szCs w:val="24"/>
                <w:highlight w:val="none"/>
              </w:rPr>
            </w:pPr>
          </w:p>
        </w:tc>
        <w:tc>
          <w:tcPr>
            <w:tcW w:w="993" w:type="dxa"/>
            <w:tcBorders>
              <w:top w:val="nil"/>
            </w:tcBorders>
            <w:noWrap w:val="0"/>
            <w:vAlign w:val="center"/>
          </w:tcPr>
          <w:p w14:paraId="70ACEE2F">
            <w:pPr>
              <w:pStyle w:val="6"/>
              <w:keepNext/>
              <w:shd w:val="clear" w:color="auto" w:fill="auto"/>
              <w:spacing w:after="0"/>
              <w:rPr>
                <w:rFonts w:hint="eastAsia" w:ascii="宋体" w:hAnsi="宋体" w:eastAsia="宋体" w:cs="宋体"/>
                <w:color w:val="auto"/>
                <w:kern w:val="2"/>
                <w:sz w:val="24"/>
                <w:szCs w:val="24"/>
                <w:highlight w:val="none"/>
              </w:rPr>
            </w:pPr>
          </w:p>
        </w:tc>
      </w:tr>
      <w:tr w14:paraId="7F685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79" w:type="dxa"/>
            <w:noWrap w:val="0"/>
            <w:vAlign w:val="center"/>
          </w:tcPr>
          <w:p w14:paraId="110DA8AA">
            <w:pPr>
              <w:pStyle w:val="6"/>
              <w:keepNext/>
              <w:shd w:val="clear" w:color="auto" w:fill="auto"/>
              <w:spacing w:after="0"/>
              <w:rPr>
                <w:rFonts w:hint="eastAsia" w:ascii="宋体" w:hAnsi="宋体" w:eastAsia="宋体" w:cs="宋体"/>
                <w:color w:val="auto"/>
                <w:kern w:val="2"/>
                <w:sz w:val="24"/>
                <w:szCs w:val="24"/>
                <w:highlight w:val="none"/>
              </w:rPr>
            </w:pPr>
          </w:p>
        </w:tc>
        <w:tc>
          <w:tcPr>
            <w:tcW w:w="802" w:type="dxa"/>
            <w:noWrap w:val="0"/>
            <w:vAlign w:val="center"/>
          </w:tcPr>
          <w:p w14:paraId="3EB294BA">
            <w:pPr>
              <w:pStyle w:val="6"/>
              <w:keepNext/>
              <w:shd w:val="clear" w:color="auto" w:fill="auto"/>
              <w:spacing w:after="0"/>
              <w:rPr>
                <w:rFonts w:hint="eastAsia" w:ascii="宋体" w:hAnsi="宋体" w:eastAsia="宋体" w:cs="宋体"/>
                <w:color w:val="auto"/>
                <w:kern w:val="2"/>
                <w:sz w:val="24"/>
                <w:szCs w:val="24"/>
                <w:highlight w:val="none"/>
              </w:rPr>
            </w:pPr>
          </w:p>
        </w:tc>
        <w:tc>
          <w:tcPr>
            <w:tcW w:w="900" w:type="dxa"/>
            <w:noWrap w:val="0"/>
            <w:vAlign w:val="center"/>
          </w:tcPr>
          <w:p w14:paraId="20F321CA">
            <w:pPr>
              <w:pStyle w:val="6"/>
              <w:keepNext/>
              <w:shd w:val="clear" w:color="auto" w:fill="auto"/>
              <w:spacing w:after="0"/>
              <w:rPr>
                <w:rFonts w:hint="eastAsia" w:ascii="宋体" w:hAnsi="宋体" w:eastAsia="宋体" w:cs="宋体"/>
                <w:color w:val="auto"/>
                <w:kern w:val="2"/>
                <w:sz w:val="24"/>
                <w:szCs w:val="24"/>
                <w:highlight w:val="none"/>
              </w:rPr>
            </w:pPr>
          </w:p>
        </w:tc>
        <w:tc>
          <w:tcPr>
            <w:tcW w:w="919" w:type="dxa"/>
            <w:noWrap w:val="0"/>
            <w:vAlign w:val="center"/>
          </w:tcPr>
          <w:p w14:paraId="3FD8BA46">
            <w:pPr>
              <w:pStyle w:val="6"/>
              <w:keepNext/>
              <w:shd w:val="clear" w:color="auto" w:fill="auto"/>
              <w:spacing w:after="0"/>
              <w:rPr>
                <w:rFonts w:hint="eastAsia" w:ascii="宋体" w:hAnsi="宋体" w:eastAsia="宋体" w:cs="宋体"/>
                <w:color w:val="auto"/>
                <w:kern w:val="2"/>
                <w:sz w:val="24"/>
                <w:szCs w:val="24"/>
                <w:highlight w:val="none"/>
              </w:rPr>
            </w:pPr>
          </w:p>
        </w:tc>
        <w:tc>
          <w:tcPr>
            <w:tcW w:w="618" w:type="dxa"/>
            <w:noWrap w:val="0"/>
            <w:vAlign w:val="center"/>
          </w:tcPr>
          <w:p w14:paraId="3F11B28C">
            <w:pPr>
              <w:pStyle w:val="6"/>
              <w:keepNext/>
              <w:shd w:val="clear" w:color="auto" w:fill="auto"/>
              <w:spacing w:after="0"/>
              <w:rPr>
                <w:rFonts w:hint="eastAsia" w:ascii="宋体" w:hAnsi="宋体" w:eastAsia="宋体" w:cs="宋体"/>
                <w:color w:val="auto"/>
                <w:kern w:val="2"/>
                <w:sz w:val="24"/>
                <w:szCs w:val="24"/>
                <w:highlight w:val="none"/>
              </w:rPr>
            </w:pPr>
          </w:p>
        </w:tc>
        <w:tc>
          <w:tcPr>
            <w:tcW w:w="1032" w:type="dxa"/>
            <w:noWrap w:val="0"/>
            <w:vAlign w:val="center"/>
          </w:tcPr>
          <w:p w14:paraId="0AA2E37B">
            <w:pPr>
              <w:pStyle w:val="6"/>
              <w:keepNext/>
              <w:shd w:val="clear" w:color="auto" w:fill="auto"/>
              <w:spacing w:after="0"/>
              <w:rPr>
                <w:rFonts w:hint="eastAsia" w:ascii="宋体" w:hAnsi="宋体" w:eastAsia="宋体" w:cs="宋体"/>
                <w:color w:val="auto"/>
                <w:kern w:val="2"/>
                <w:sz w:val="24"/>
                <w:szCs w:val="24"/>
                <w:highlight w:val="none"/>
              </w:rPr>
            </w:pPr>
          </w:p>
        </w:tc>
        <w:tc>
          <w:tcPr>
            <w:tcW w:w="862" w:type="dxa"/>
            <w:noWrap w:val="0"/>
            <w:vAlign w:val="center"/>
          </w:tcPr>
          <w:p w14:paraId="23CED661">
            <w:pPr>
              <w:pStyle w:val="6"/>
              <w:keepNext/>
              <w:shd w:val="clear" w:color="auto" w:fill="auto"/>
              <w:spacing w:after="0"/>
              <w:rPr>
                <w:rFonts w:hint="eastAsia" w:ascii="宋体" w:hAnsi="宋体" w:eastAsia="宋体" w:cs="宋体"/>
                <w:color w:val="auto"/>
                <w:kern w:val="2"/>
                <w:sz w:val="24"/>
                <w:szCs w:val="24"/>
                <w:highlight w:val="none"/>
              </w:rPr>
            </w:pPr>
          </w:p>
        </w:tc>
        <w:tc>
          <w:tcPr>
            <w:tcW w:w="956" w:type="dxa"/>
            <w:noWrap w:val="0"/>
            <w:vAlign w:val="center"/>
          </w:tcPr>
          <w:p w14:paraId="6D74F223">
            <w:pPr>
              <w:pStyle w:val="6"/>
              <w:keepNext/>
              <w:shd w:val="clear" w:color="auto" w:fill="auto"/>
              <w:spacing w:after="0"/>
              <w:rPr>
                <w:rFonts w:hint="eastAsia" w:ascii="宋体" w:hAnsi="宋体" w:eastAsia="宋体" w:cs="宋体"/>
                <w:color w:val="auto"/>
                <w:kern w:val="2"/>
                <w:sz w:val="24"/>
                <w:szCs w:val="24"/>
                <w:highlight w:val="none"/>
              </w:rPr>
            </w:pPr>
          </w:p>
        </w:tc>
        <w:tc>
          <w:tcPr>
            <w:tcW w:w="957" w:type="dxa"/>
            <w:noWrap w:val="0"/>
            <w:vAlign w:val="center"/>
          </w:tcPr>
          <w:p w14:paraId="2BF8E743">
            <w:pPr>
              <w:pStyle w:val="6"/>
              <w:keepNext/>
              <w:shd w:val="clear" w:color="auto" w:fill="auto"/>
              <w:spacing w:after="0"/>
              <w:rPr>
                <w:rFonts w:hint="eastAsia" w:ascii="宋体" w:hAnsi="宋体" w:eastAsia="宋体" w:cs="宋体"/>
                <w:color w:val="auto"/>
                <w:kern w:val="2"/>
                <w:sz w:val="24"/>
                <w:szCs w:val="24"/>
                <w:highlight w:val="none"/>
              </w:rPr>
            </w:pPr>
          </w:p>
        </w:tc>
        <w:tc>
          <w:tcPr>
            <w:tcW w:w="993" w:type="dxa"/>
            <w:noWrap w:val="0"/>
            <w:vAlign w:val="center"/>
          </w:tcPr>
          <w:p w14:paraId="528779A8">
            <w:pPr>
              <w:pStyle w:val="6"/>
              <w:keepNext/>
              <w:shd w:val="clear" w:color="auto" w:fill="auto"/>
              <w:spacing w:after="0"/>
              <w:rPr>
                <w:rFonts w:hint="eastAsia" w:ascii="宋体" w:hAnsi="宋体" w:eastAsia="宋体" w:cs="宋体"/>
                <w:color w:val="auto"/>
                <w:kern w:val="2"/>
                <w:sz w:val="24"/>
                <w:szCs w:val="24"/>
                <w:highlight w:val="none"/>
              </w:rPr>
            </w:pPr>
          </w:p>
        </w:tc>
      </w:tr>
      <w:tr w14:paraId="5DF82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79" w:type="dxa"/>
            <w:tcBorders>
              <w:top w:val="nil"/>
            </w:tcBorders>
            <w:noWrap w:val="0"/>
            <w:vAlign w:val="center"/>
          </w:tcPr>
          <w:p w14:paraId="28512D4A">
            <w:pPr>
              <w:pStyle w:val="6"/>
              <w:keepNext/>
              <w:shd w:val="clear" w:color="auto" w:fill="auto"/>
              <w:spacing w:after="0"/>
              <w:rPr>
                <w:rFonts w:hint="eastAsia" w:ascii="宋体" w:hAnsi="宋体" w:eastAsia="宋体" w:cs="宋体"/>
                <w:color w:val="auto"/>
                <w:kern w:val="2"/>
                <w:sz w:val="24"/>
                <w:szCs w:val="24"/>
                <w:highlight w:val="none"/>
              </w:rPr>
            </w:pPr>
          </w:p>
        </w:tc>
        <w:tc>
          <w:tcPr>
            <w:tcW w:w="802" w:type="dxa"/>
            <w:tcBorders>
              <w:top w:val="nil"/>
            </w:tcBorders>
            <w:noWrap w:val="0"/>
            <w:vAlign w:val="center"/>
          </w:tcPr>
          <w:p w14:paraId="7D69CD78">
            <w:pPr>
              <w:pStyle w:val="6"/>
              <w:keepNext/>
              <w:shd w:val="clear" w:color="auto" w:fill="auto"/>
              <w:spacing w:after="0"/>
              <w:rPr>
                <w:rFonts w:hint="eastAsia" w:ascii="宋体" w:hAnsi="宋体" w:eastAsia="宋体" w:cs="宋体"/>
                <w:color w:val="auto"/>
                <w:kern w:val="2"/>
                <w:sz w:val="24"/>
                <w:szCs w:val="24"/>
                <w:highlight w:val="none"/>
              </w:rPr>
            </w:pPr>
          </w:p>
        </w:tc>
        <w:tc>
          <w:tcPr>
            <w:tcW w:w="900" w:type="dxa"/>
            <w:tcBorders>
              <w:top w:val="nil"/>
            </w:tcBorders>
            <w:noWrap w:val="0"/>
            <w:vAlign w:val="center"/>
          </w:tcPr>
          <w:p w14:paraId="00D25782">
            <w:pPr>
              <w:pStyle w:val="6"/>
              <w:keepNext/>
              <w:shd w:val="clear" w:color="auto" w:fill="auto"/>
              <w:spacing w:after="0"/>
              <w:rPr>
                <w:rFonts w:hint="eastAsia" w:ascii="宋体" w:hAnsi="宋体" w:eastAsia="宋体" w:cs="宋体"/>
                <w:color w:val="auto"/>
                <w:kern w:val="2"/>
                <w:sz w:val="24"/>
                <w:szCs w:val="24"/>
                <w:highlight w:val="none"/>
              </w:rPr>
            </w:pPr>
          </w:p>
        </w:tc>
        <w:tc>
          <w:tcPr>
            <w:tcW w:w="919" w:type="dxa"/>
            <w:tcBorders>
              <w:top w:val="nil"/>
            </w:tcBorders>
            <w:noWrap w:val="0"/>
            <w:vAlign w:val="center"/>
          </w:tcPr>
          <w:p w14:paraId="1E62DC1B">
            <w:pPr>
              <w:pStyle w:val="6"/>
              <w:keepNext/>
              <w:shd w:val="clear" w:color="auto" w:fill="auto"/>
              <w:spacing w:after="0"/>
              <w:rPr>
                <w:rFonts w:hint="eastAsia" w:ascii="宋体" w:hAnsi="宋体" w:eastAsia="宋体" w:cs="宋体"/>
                <w:color w:val="auto"/>
                <w:kern w:val="2"/>
                <w:sz w:val="24"/>
                <w:szCs w:val="24"/>
                <w:highlight w:val="none"/>
              </w:rPr>
            </w:pPr>
          </w:p>
        </w:tc>
        <w:tc>
          <w:tcPr>
            <w:tcW w:w="618" w:type="dxa"/>
            <w:tcBorders>
              <w:top w:val="nil"/>
            </w:tcBorders>
            <w:noWrap w:val="0"/>
            <w:vAlign w:val="center"/>
          </w:tcPr>
          <w:p w14:paraId="5348F235">
            <w:pPr>
              <w:pStyle w:val="6"/>
              <w:keepNext/>
              <w:shd w:val="clear" w:color="auto" w:fill="auto"/>
              <w:spacing w:after="0"/>
              <w:rPr>
                <w:rFonts w:hint="eastAsia" w:ascii="宋体" w:hAnsi="宋体" w:eastAsia="宋体" w:cs="宋体"/>
                <w:color w:val="auto"/>
                <w:kern w:val="2"/>
                <w:sz w:val="24"/>
                <w:szCs w:val="24"/>
                <w:highlight w:val="none"/>
              </w:rPr>
            </w:pPr>
          </w:p>
        </w:tc>
        <w:tc>
          <w:tcPr>
            <w:tcW w:w="1032" w:type="dxa"/>
            <w:tcBorders>
              <w:top w:val="nil"/>
            </w:tcBorders>
            <w:noWrap w:val="0"/>
            <w:vAlign w:val="center"/>
          </w:tcPr>
          <w:p w14:paraId="6DB7C89C">
            <w:pPr>
              <w:pStyle w:val="6"/>
              <w:keepNext/>
              <w:shd w:val="clear" w:color="auto" w:fill="auto"/>
              <w:spacing w:after="0"/>
              <w:rPr>
                <w:rFonts w:hint="eastAsia" w:ascii="宋体" w:hAnsi="宋体" w:eastAsia="宋体" w:cs="宋体"/>
                <w:color w:val="auto"/>
                <w:kern w:val="2"/>
                <w:sz w:val="24"/>
                <w:szCs w:val="24"/>
                <w:highlight w:val="none"/>
              </w:rPr>
            </w:pPr>
          </w:p>
        </w:tc>
        <w:tc>
          <w:tcPr>
            <w:tcW w:w="862" w:type="dxa"/>
            <w:tcBorders>
              <w:top w:val="nil"/>
            </w:tcBorders>
            <w:noWrap w:val="0"/>
            <w:vAlign w:val="center"/>
          </w:tcPr>
          <w:p w14:paraId="02065EBC">
            <w:pPr>
              <w:pStyle w:val="6"/>
              <w:keepNext/>
              <w:shd w:val="clear" w:color="auto" w:fill="auto"/>
              <w:spacing w:after="0"/>
              <w:rPr>
                <w:rFonts w:hint="eastAsia" w:ascii="宋体" w:hAnsi="宋体" w:eastAsia="宋体" w:cs="宋体"/>
                <w:color w:val="auto"/>
                <w:kern w:val="2"/>
                <w:sz w:val="24"/>
                <w:szCs w:val="24"/>
                <w:highlight w:val="none"/>
              </w:rPr>
            </w:pPr>
          </w:p>
        </w:tc>
        <w:tc>
          <w:tcPr>
            <w:tcW w:w="956" w:type="dxa"/>
            <w:tcBorders>
              <w:top w:val="nil"/>
            </w:tcBorders>
            <w:noWrap w:val="0"/>
            <w:vAlign w:val="center"/>
          </w:tcPr>
          <w:p w14:paraId="2EAE9662">
            <w:pPr>
              <w:pStyle w:val="6"/>
              <w:keepNext/>
              <w:shd w:val="clear" w:color="auto" w:fill="auto"/>
              <w:spacing w:after="0"/>
              <w:rPr>
                <w:rFonts w:hint="eastAsia" w:ascii="宋体" w:hAnsi="宋体" w:eastAsia="宋体" w:cs="宋体"/>
                <w:color w:val="auto"/>
                <w:kern w:val="2"/>
                <w:sz w:val="24"/>
                <w:szCs w:val="24"/>
                <w:highlight w:val="none"/>
              </w:rPr>
            </w:pPr>
          </w:p>
        </w:tc>
        <w:tc>
          <w:tcPr>
            <w:tcW w:w="957" w:type="dxa"/>
            <w:tcBorders>
              <w:top w:val="nil"/>
            </w:tcBorders>
            <w:noWrap w:val="0"/>
            <w:vAlign w:val="center"/>
          </w:tcPr>
          <w:p w14:paraId="0FB84839">
            <w:pPr>
              <w:pStyle w:val="6"/>
              <w:keepNext/>
              <w:shd w:val="clear" w:color="auto" w:fill="auto"/>
              <w:spacing w:after="0"/>
              <w:rPr>
                <w:rFonts w:hint="eastAsia" w:ascii="宋体" w:hAnsi="宋体" w:eastAsia="宋体" w:cs="宋体"/>
                <w:color w:val="auto"/>
                <w:kern w:val="2"/>
                <w:sz w:val="24"/>
                <w:szCs w:val="24"/>
                <w:highlight w:val="none"/>
              </w:rPr>
            </w:pPr>
          </w:p>
        </w:tc>
        <w:tc>
          <w:tcPr>
            <w:tcW w:w="993" w:type="dxa"/>
            <w:tcBorders>
              <w:top w:val="nil"/>
            </w:tcBorders>
            <w:noWrap w:val="0"/>
            <w:vAlign w:val="center"/>
          </w:tcPr>
          <w:p w14:paraId="42138BF4">
            <w:pPr>
              <w:pStyle w:val="6"/>
              <w:keepNext/>
              <w:shd w:val="clear" w:color="auto" w:fill="auto"/>
              <w:spacing w:after="0"/>
              <w:rPr>
                <w:rFonts w:hint="eastAsia" w:ascii="宋体" w:hAnsi="宋体" w:eastAsia="宋体" w:cs="宋体"/>
                <w:color w:val="auto"/>
                <w:kern w:val="2"/>
                <w:sz w:val="24"/>
                <w:szCs w:val="24"/>
                <w:highlight w:val="none"/>
              </w:rPr>
            </w:pPr>
          </w:p>
        </w:tc>
      </w:tr>
      <w:tr w14:paraId="6F1B3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79" w:type="dxa"/>
            <w:tcBorders>
              <w:top w:val="nil"/>
            </w:tcBorders>
            <w:noWrap w:val="0"/>
            <w:vAlign w:val="center"/>
          </w:tcPr>
          <w:p w14:paraId="407CFDA4">
            <w:pPr>
              <w:pStyle w:val="6"/>
              <w:keepNext/>
              <w:shd w:val="clear" w:color="auto" w:fill="auto"/>
              <w:spacing w:after="0"/>
              <w:rPr>
                <w:rFonts w:hint="eastAsia" w:ascii="宋体" w:hAnsi="宋体" w:eastAsia="宋体" w:cs="宋体"/>
                <w:color w:val="auto"/>
                <w:kern w:val="2"/>
                <w:sz w:val="24"/>
                <w:szCs w:val="24"/>
                <w:highlight w:val="none"/>
              </w:rPr>
            </w:pPr>
          </w:p>
        </w:tc>
        <w:tc>
          <w:tcPr>
            <w:tcW w:w="802" w:type="dxa"/>
            <w:tcBorders>
              <w:top w:val="nil"/>
            </w:tcBorders>
            <w:noWrap w:val="0"/>
            <w:vAlign w:val="center"/>
          </w:tcPr>
          <w:p w14:paraId="06382E89">
            <w:pPr>
              <w:pStyle w:val="6"/>
              <w:keepNext/>
              <w:shd w:val="clear" w:color="auto" w:fill="auto"/>
              <w:spacing w:after="0"/>
              <w:rPr>
                <w:rFonts w:hint="eastAsia" w:ascii="宋体" w:hAnsi="宋体" w:eastAsia="宋体" w:cs="宋体"/>
                <w:color w:val="auto"/>
                <w:kern w:val="2"/>
                <w:sz w:val="24"/>
                <w:szCs w:val="24"/>
                <w:highlight w:val="none"/>
              </w:rPr>
            </w:pPr>
          </w:p>
        </w:tc>
        <w:tc>
          <w:tcPr>
            <w:tcW w:w="900" w:type="dxa"/>
            <w:tcBorders>
              <w:top w:val="nil"/>
            </w:tcBorders>
            <w:noWrap w:val="0"/>
            <w:vAlign w:val="center"/>
          </w:tcPr>
          <w:p w14:paraId="5F0432BE">
            <w:pPr>
              <w:pStyle w:val="6"/>
              <w:keepNext/>
              <w:shd w:val="clear" w:color="auto" w:fill="auto"/>
              <w:spacing w:after="0"/>
              <w:rPr>
                <w:rFonts w:hint="eastAsia" w:ascii="宋体" w:hAnsi="宋体" w:eastAsia="宋体" w:cs="宋体"/>
                <w:color w:val="auto"/>
                <w:kern w:val="2"/>
                <w:sz w:val="24"/>
                <w:szCs w:val="24"/>
                <w:highlight w:val="none"/>
              </w:rPr>
            </w:pPr>
          </w:p>
        </w:tc>
        <w:tc>
          <w:tcPr>
            <w:tcW w:w="919" w:type="dxa"/>
            <w:tcBorders>
              <w:top w:val="nil"/>
            </w:tcBorders>
            <w:noWrap w:val="0"/>
            <w:vAlign w:val="center"/>
          </w:tcPr>
          <w:p w14:paraId="7820997C">
            <w:pPr>
              <w:pStyle w:val="6"/>
              <w:keepNext/>
              <w:shd w:val="clear" w:color="auto" w:fill="auto"/>
              <w:spacing w:after="0"/>
              <w:rPr>
                <w:rFonts w:hint="eastAsia" w:ascii="宋体" w:hAnsi="宋体" w:eastAsia="宋体" w:cs="宋体"/>
                <w:color w:val="auto"/>
                <w:kern w:val="2"/>
                <w:sz w:val="24"/>
                <w:szCs w:val="24"/>
                <w:highlight w:val="none"/>
              </w:rPr>
            </w:pPr>
          </w:p>
        </w:tc>
        <w:tc>
          <w:tcPr>
            <w:tcW w:w="618" w:type="dxa"/>
            <w:tcBorders>
              <w:top w:val="nil"/>
            </w:tcBorders>
            <w:noWrap w:val="0"/>
            <w:vAlign w:val="center"/>
          </w:tcPr>
          <w:p w14:paraId="2C5A7E7D">
            <w:pPr>
              <w:pStyle w:val="6"/>
              <w:keepNext/>
              <w:shd w:val="clear" w:color="auto" w:fill="auto"/>
              <w:spacing w:after="0"/>
              <w:rPr>
                <w:rFonts w:hint="eastAsia" w:ascii="宋体" w:hAnsi="宋体" w:eastAsia="宋体" w:cs="宋体"/>
                <w:color w:val="auto"/>
                <w:kern w:val="2"/>
                <w:sz w:val="24"/>
                <w:szCs w:val="24"/>
                <w:highlight w:val="none"/>
              </w:rPr>
            </w:pPr>
          </w:p>
        </w:tc>
        <w:tc>
          <w:tcPr>
            <w:tcW w:w="1032" w:type="dxa"/>
            <w:tcBorders>
              <w:top w:val="nil"/>
            </w:tcBorders>
            <w:noWrap w:val="0"/>
            <w:vAlign w:val="center"/>
          </w:tcPr>
          <w:p w14:paraId="5E6D682F">
            <w:pPr>
              <w:pStyle w:val="6"/>
              <w:keepNext/>
              <w:shd w:val="clear" w:color="auto" w:fill="auto"/>
              <w:spacing w:after="0"/>
              <w:rPr>
                <w:rFonts w:hint="eastAsia" w:ascii="宋体" w:hAnsi="宋体" w:eastAsia="宋体" w:cs="宋体"/>
                <w:color w:val="auto"/>
                <w:kern w:val="2"/>
                <w:sz w:val="24"/>
                <w:szCs w:val="24"/>
                <w:highlight w:val="none"/>
              </w:rPr>
            </w:pPr>
          </w:p>
        </w:tc>
        <w:tc>
          <w:tcPr>
            <w:tcW w:w="862" w:type="dxa"/>
            <w:tcBorders>
              <w:top w:val="nil"/>
            </w:tcBorders>
            <w:noWrap w:val="0"/>
            <w:vAlign w:val="center"/>
          </w:tcPr>
          <w:p w14:paraId="15C37C51">
            <w:pPr>
              <w:pStyle w:val="6"/>
              <w:keepNext/>
              <w:shd w:val="clear" w:color="auto" w:fill="auto"/>
              <w:spacing w:after="0"/>
              <w:rPr>
                <w:rFonts w:hint="eastAsia" w:ascii="宋体" w:hAnsi="宋体" w:eastAsia="宋体" w:cs="宋体"/>
                <w:color w:val="auto"/>
                <w:kern w:val="2"/>
                <w:sz w:val="24"/>
                <w:szCs w:val="24"/>
                <w:highlight w:val="none"/>
              </w:rPr>
            </w:pPr>
          </w:p>
        </w:tc>
        <w:tc>
          <w:tcPr>
            <w:tcW w:w="956" w:type="dxa"/>
            <w:tcBorders>
              <w:top w:val="nil"/>
            </w:tcBorders>
            <w:noWrap w:val="0"/>
            <w:vAlign w:val="center"/>
          </w:tcPr>
          <w:p w14:paraId="16167AD5">
            <w:pPr>
              <w:pStyle w:val="6"/>
              <w:keepNext/>
              <w:shd w:val="clear" w:color="auto" w:fill="auto"/>
              <w:spacing w:after="0"/>
              <w:rPr>
                <w:rFonts w:hint="eastAsia" w:ascii="宋体" w:hAnsi="宋体" w:eastAsia="宋体" w:cs="宋体"/>
                <w:color w:val="auto"/>
                <w:kern w:val="2"/>
                <w:sz w:val="24"/>
                <w:szCs w:val="24"/>
                <w:highlight w:val="none"/>
              </w:rPr>
            </w:pPr>
          </w:p>
        </w:tc>
        <w:tc>
          <w:tcPr>
            <w:tcW w:w="957" w:type="dxa"/>
            <w:tcBorders>
              <w:top w:val="nil"/>
            </w:tcBorders>
            <w:noWrap w:val="0"/>
            <w:vAlign w:val="center"/>
          </w:tcPr>
          <w:p w14:paraId="396D8B05">
            <w:pPr>
              <w:pStyle w:val="6"/>
              <w:keepNext/>
              <w:shd w:val="clear" w:color="auto" w:fill="auto"/>
              <w:spacing w:after="0"/>
              <w:rPr>
                <w:rFonts w:hint="eastAsia" w:ascii="宋体" w:hAnsi="宋体" w:eastAsia="宋体" w:cs="宋体"/>
                <w:color w:val="auto"/>
                <w:kern w:val="2"/>
                <w:sz w:val="24"/>
                <w:szCs w:val="24"/>
                <w:highlight w:val="none"/>
              </w:rPr>
            </w:pPr>
          </w:p>
        </w:tc>
        <w:tc>
          <w:tcPr>
            <w:tcW w:w="993" w:type="dxa"/>
            <w:tcBorders>
              <w:top w:val="nil"/>
            </w:tcBorders>
            <w:noWrap w:val="0"/>
            <w:vAlign w:val="center"/>
          </w:tcPr>
          <w:p w14:paraId="6CF63005">
            <w:pPr>
              <w:pStyle w:val="6"/>
              <w:keepNext/>
              <w:shd w:val="clear" w:color="auto" w:fill="auto"/>
              <w:spacing w:after="0"/>
              <w:rPr>
                <w:rFonts w:hint="eastAsia" w:ascii="宋体" w:hAnsi="宋体" w:eastAsia="宋体" w:cs="宋体"/>
                <w:color w:val="auto"/>
                <w:kern w:val="2"/>
                <w:sz w:val="24"/>
                <w:szCs w:val="24"/>
                <w:highlight w:val="none"/>
              </w:rPr>
            </w:pPr>
          </w:p>
        </w:tc>
      </w:tr>
      <w:tr w14:paraId="0FA19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79" w:type="dxa"/>
            <w:noWrap w:val="0"/>
            <w:vAlign w:val="center"/>
          </w:tcPr>
          <w:p w14:paraId="1F384BD6">
            <w:pPr>
              <w:pStyle w:val="6"/>
              <w:keepNext/>
              <w:shd w:val="clear" w:color="auto" w:fill="auto"/>
              <w:spacing w:after="0"/>
              <w:rPr>
                <w:rFonts w:hint="eastAsia" w:ascii="宋体" w:hAnsi="宋体" w:eastAsia="宋体" w:cs="宋体"/>
                <w:color w:val="auto"/>
                <w:kern w:val="2"/>
                <w:sz w:val="24"/>
                <w:szCs w:val="24"/>
                <w:highlight w:val="none"/>
              </w:rPr>
            </w:pPr>
          </w:p>
        </w:tc>
        <w:tc>
          <w:tcPr>
            <w:tcW w:w="802" w:type="dxa"/>
            <w:noWrap w:val="0"/>
            <w:vAlign w:val="center"/>
          </w:tcPr>
          <w:p w14:paraId="1794ED57">
            <w:pPr>
              <w:pStyle w:val="6"/>
              <w:keepNext/>
              <w:shd w:val="clear" w:color="auto" w:fill="auto"/>
              <w:spacing w:after="0"/>
              <w:rPr>
                <w:rFonts w:hint="eastAsia" w:ascii="宋体" w:hAnsi="宋体" w:eastAsia="宋体" w:cs="宋体"/>
                <w:color w:val="auto"/>
                <w:kern w:val="2"/>
                <w:sz w:val="24"/>
                <w:szCs w:val="24"/>
                <w:highlight w:val="none"/>
              </w:rPr>
            </w:pPr>
          </w:p>
        </w:tc>
        <w:tc>
          <w:tcPr>
            <w:tcW w:w="900" w:type="dxa"/>
            <w:noWrap w:val="0"/>
            <w:vAlign w:val="center"/>
          </w:tcPr>
          <w:p w14:paraId="2BC63147">
            <w:pPr>
              <w:pStyle w:val="6"/>
              <w:keepNext/>
              <w:shd w:val="clear" w:color="auto" w:fill="auto"/>
              <w:spacing w:after="0"/>
              <w:rPr>
                <w:rFonts w:hint="eastAsia" w:ascii="宋体" w:hAnsi="宋体" w:eastAsia="宋体" w:cs="宋体"/>
                <w:color w:val="auto"/>
                <w:kern w:val="2"/>
                <w:sz w:val="24"/>
                <w:szCs w:val="24"/>
                <w:highlight w:val="none"/>
              </w:rPr>
            </w:pPr>
          </w:p>
        </w:tc>
        <w:tc>
          <w:tcPr>
            <w:tcW w:w="919" w:type="dxa"/>
            <w:noWrap w:val="0"/>
            <w:vAlign w:val="center"/>
          </w:tcPr>
          <w:p w14:paraId="69F635CB">
            <w:pPr>
              <w:pStyle w:val="6"/>
              <w:keepNext/>
              <w:shd w:val="clear" w:color="auto" w:fill="auto"/>
              <w:spacing w:after="0"/>
              <w:rPr>
                <w:rFonts w:hint="eastAsia" w:ascii="宋体" w:hAnsi="宋体" w:eastAsia="宋体" w:cs="宋体"/>
                <w:color w:val="auto"/>
                <w:kern w:val="2"/>
                <w:sz w:val="24"/>
                <w:szCs w:val="24"/>
                <w:highlight w:val="none"/>
              </w:rPr>
            </w:pPr>
          </w:p>
        </w:tc>
        <w:tc>
          <w:tcPr>
            <w:tcW w:w="618" w:type="dxa"/>
            <w:noWrap w:val="0"/>
            <w:vAlign w:val="center"/>
          </w:tcPr>
          <w:p w14:paraId="110BDDA2">
            <w:pPr>
              <w:pStyle w:val="6"/>
              <w:keepNext/>
              <w:shd w:val="clear" w:color="auto" w:fill="auto"/>
              <w:spacing w:after="0"/>
              <w:rPr>
                <w:rFonts w:hint="eastAsia" w:ascii="宋体" w:hAnsi="宋体" w:eastAsia="宋体" w:cs="宋体"/>
                <w:color w:val="auto"/>
                <w:kern w:val="2"/>
                <w:sz w:val="24"/>
                <w:szCs w:val="24"/>
                <w:highlight w:val="none"/>
              </w:rPr>
            </w:pPr>
          </w:p>
        </w:tc>
        <w:tc>
          <w:tcPr>
            <w:tcW w:w="1032" w:type="dxa"/>
            <w:noWrap w:val="0"/>
            <w:vAlign w:val="center"/>
          </w:tcPr>
          <w:p w14:paraId="093E07D2">
            <w:pPr>
              <w:pStyle w:val="6"/>
              <w:keepNext/>
              <w:shd w:val="clear" w:color="auto" w:fill="auto"/>
              <w:spacing w:after="0"/>
              <w:rPr>
                <w:rFonts w:hint="eastAsia" w:ascii="宋体" w:hAnsi="宋体" w:eastAsia="宋体" w:cs="宋体"/>
                <w:color w:val="auto"/>
                <w:kern w:val="2"/>
                <w:sz w:val="24"/>
                <w:szCs w:val="24"/>
                <w:highlight w:val="none"/>
              </w:rPr>
            </w:pPr>
          </w:p>
        </w:tc>
        <w:tc>
          <w:tcPr>
            <w:tcW w:w="862" w:type="dxa"/>
            <w:noWrap w:val="0"/>
            <w:vAlign w:val="center"/>
          </w:tcPr>
          <w:p w14:paraId="38C50329">
            <w:pPr>
              <w:pStyle w:val="6"/>
              <w:keepNext/>
              <w:shd w:val="clear" w:color="auto" w:fill="auto"/>
              <w:spacing w:after="0"/>
              <w:rPr>
                <w:rFonts w:hint="eastAsia" w:ascii="宋体" w:hAnsi="宋体" w:eastAsia="宋体" w:cs="宋体"/>
                <w:color w:val="auto"/>
                <w:kern w:val="2"/>
                <w:sz w:val="24"/>
                <w:szCs w:val="24"/>
                <w:highlight w:val="none"/>
              </w:rPr>
            </w:pPr>
          </w:p>
        </w:tc>
        <w:tc>
          <w:tcPr>
            <w:tcW w:w="956" w:type="dxa"/>
            <w:noWrap w:val="0"/>
            <w:vAlign w:val="center"/>
          </w:tcPr>
          <w:p w14:paraId="41A5CC07">
            <w:pPr>
              <w:pStyle w:val="6"/>
              <w:keepNext/>
              <w:shd w:val="clear" w:color="auto" w:fill="auto"/>
              <w:spacing w:after="0"/>
              <w:rPr>
                <w:rFonts w:hint="eastAsia" w:ascii="宋体" w:hAnsi="宋体" w:eastAsia="宋体" w:cs="宋体"/>
                <w:color w:val="auto"/>
                <w:kern w:val="2"/>
                <w:sz w:val="24"/>
                <w:szCs w:val="24"/>
                <w:highlight w:val="none"/>
              </w:rPr>
            </w:pPr>
          </w:p>
        </w:tc>
        <w:tc>
          <w:tcPr>
            <w:tcW w:w="957" w:type="dxa"/>
            <w:noWrap w:val="0"/>
            <w:vAlign w:val="center"/>
          </w:tcPr>
          <w:p w14:paraId="00072101">
            <w:pPr>
              <w:pStyle w:val="6"/>
              <w:keepNext/>
              <w:shd w:val="clear" w:color="auto" w:fill="auto"/>
              <w:spacing w:after="0"/>
              <w:rPr>
                <w:rFonts w:hint="eastAsia" w:ascii="宋体" w:hAnsi="宋体" w:eastAsia="宋体" w:cs="宋体"/>
                <w:color w:val="auto"/>
                <w:kern w:val="2"/>
                <w:sz w:val="24"/>
                <w:szCs w:val="24"/>
                <w:highlight w:val="none"/>
              </w:rPr>
            </w:pPr>
          </w:p>
        </w:tc>
        <w:tc>
          <w:tcPr>
            <w:tcW w:w="993" w:type="dxa"/>
            <w:noWrap w:val="0"/>
            <w:vAlign w:val="center"/>
          </w:tcPr>
          <w:p w14:paraId="16564DB6">
            <w:pPr>
              <w:pStyle w:val="6"/>
              <w:keepNext/>
              <w:shd w:val="clear" w:color="auto" w:fill="auto"/>
              <w:spacing w:after="0"/>
              <w:rPr>
                <w:rFonts w:hint="eastAsia" w:ascii="宋体" w:hAnsi="宋体" w:eastAsia="宋体" w:cs="宋体"/>
                <w:color w:val="auto"/>
                <w:kern w:val="2"/>
                <w:sz w:val="24"/>
                <w:szCs w:val="24"/>
                <w:highlight w:val="none"/>
              </w:rPr>
            </w:pPr>
          </w:p>
        </w:tc>
      </w:tr>
      <w:tr w14:paraId="149A5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79" w:type="dxa"/>
            <w:tcBorders>
              <w:top w:val="nil"/>
            </w:tcBorders>
            <w:noWrap w:val="0"/>
            <w:vAlign w:val="center"/>
          </w:tcPr>
          <w:p w14:paraId="2261AECC">
            <w:pPr>
              <w:pStyle w:val="6"/>
              <w:keepNext/>
              <w:shd w:val="clear" w:color="auto" w:fill="auto"/>
              <w:spacing w:after="0"/>
              <w:rPr>
                <w:rFonts w:hint="eastAsia" w:ascii="宋体" w:hAnsi="宋体" w:eastAsia="宋体" w:cs="宋体"/>
                <w:color w:val="auto"/>
                <w:kern w:val="2"/>
                <w:sz w:val="24"/>
                <w:szCs w:val="24"/>
                <w:highlight w:val="none"/>
              </w:rPr>
            </w:pPr>
          </w:p>
        </w:tc>
        <w:tc>
          <w:tcPr>
            <w:tcW w:w="802" w:type="dxa"/>
            <w:tcBorders>
              <w:top w:val="nil"/>
            </w:tcBorders>
            <w:noWrap w:val="0"/>
            <w:vAlign w:val="center"/>
          </w:tcPr>
          <w:p w14:paraId="205FAE4D">
            <w:pPr>
              <w:pStyle w:val="6"/>
              <w:keepNext/>
              <w:shd w:val="clear" w:color="auto" w:fill="auto"/>
              <w:spacing w:after="0"/>
              <w:rPr>
                <w:rFonts w:hint="eastAsia" w:ascii="宋体" w:hAnsi="宋体" w:eastAsia="宋体" w:cs="宋体"/>
                <w:color w:val="auto"/>
                <w:kern w:val="2"/>
                <w:sz w:val="24"/>
                <w:szCs w:val="24"/>
                <w:highlight w:val="none"/>
              </w:rPr>
            </w:pPr>
          </w:p>
        </w:tc>
        <w:tc>
          <w:tcPr>
            <w:tcW w:w="900" w:type="dxa"/>
            <w:tcBorders>
              <w:top w:val="nil"/>
            </w:tcBorders>
            <w:noWrap w:val="0"/>
            <w:vAlign w:val="center"/>
          </w:tcPr>
          <w:p w14:paraId="78A185C8">
            <w:pPr>
              <w:pStyle w:val="6"/>
              <w:keepNext/>
              <w:shd w:val="clear" w:color="auto" w:fill="auto"/>
              <w:spacing w:after="0"/>
              <w:rPr>
                <w:rFonts w:hint="eastAsia" w:ascii="宋体" w:hAnsi="宋体" w:eastAsia="宋体" w:cs="宋体"/>
                <w:color w:val="auto"/>
                <w:kern w:val="2"/>
                <w:sz w:val="24"/>
                <w:szCs w:val="24"/>
                <w:highlight w:val="none"/>
              </w:rPr>
            </w:pPr>
          </w:p>
        </w:tc>
        <w:tc>
          <w:tcPr>
            <w:tcW w:w="919" w:type="dxa"/>
            <w:tcBorders>
              <w:top w:val="nil"/>
            </w:tcBorders>
            <w:noWrap w:val="0"/>
            <w:vAlign w:val="center"/>
          </w:tcPr>
          <w:p w14:paraId="5AD9A44A">
            <w:pPr>
              <w:pStyle w:val="6"/>
              <w:keepNext/>
              <w:shd w:val="clear" w:color="auto" w:fill="auto"/>
              <w:spacing w:after="0"/>
              <w:rPr>
                <w:rFonts w:hint="eastAsia" w:ascii="宋体" w:hAnsi="宋体" w:eastAsia="宋体" w:cs="宋体"/>
                <w:color w:val="auto"/>
                <w:kern w:val="2"/>
                <w:sz w:val="24"/>
                <w:szCs w:val="24"/>
                <w:highlight w:val="none"/>
              </w:rPr>
            </w:pPr>
          </w:p>
        </w:tc>
        <w:tc>
          <w:tcPr>
            <w:tcW w:w="618" w:type="dxa"/>
            <w:tcBorders>
              <w:top w:val="nil"/>
            </w:tcBorders>
            <w:noWrap w:val="0"/>
            <w:vAlign w:val="center"/>
          </w:tcPr>
          <w:p w14:paraId="3C3ABB21">
            <w:pPr>
              <w:pStyle w:val="6"/>
              <w:keepNext/>
              <w:shd w:val="clear" w:color="auto" w:fill="auto"/>
              <w:spacing w:after="0"/>
              <w:rPr>
                <w:rFonts w:hint="eastAsia" w:ascii="宋体" w:hAnsi="宋体" w:eastAsia="宋体" w:cs="宋体"/>
                <w:color w:val="auto"/>
                <w:kern w:val="2"/>
                <w:sz w:val="24"/>
                <w:szCs w:val="24"/>
                <w:highlight w:val="none"/>
              </w:rPr>
            </w:pPr>
          </w:p>
        </w:tc>
        <w:tc>
          <w:tcPr>
            <w:tcW w:w="1032" w:type="dxa"/>
            <w:tcBorders>
              <w:top w:val="nil"/>
            </w:tcBorders>
            <w:noWrap w:val="0"/>
            <w:vAlign w:val="center"/>
          </w:tcPr>
          <w:p w14:paraId="0CAF3D0E">
            <w:pPr>
              <w:pStyle w:val="6"/>
              <w:keepNext/>
              <w:shd w:val="clear" w:color="auto" w:fill="auto"/>
              <w:spacing w:after="0"/>
              <w:rPr>
                <w:rFonts w:hint="eastAsia" w:ascii="宋体" w:hAnsi="宋体" w:eastAsia="宋体" w:cs="宋体"/>
                <w:color w:val="auto"/>
                <w:kern w:val="2"/>
                <w:sz w:val="24"/>
                <w:szCs w:val="24"/>
                <w:highlight w:val="none"/>
              </w:rPr>
            </w:pPr>
          </w:p>
        </w:tc>
        <w:tc>
          <w:tcPr>
            <w:tcW w:w="862" w:type="dxa"/>
            <w:tcBorders>
              <w:top w:val="nil"/>
            </w:tcBorders>
            <w:noWrap w:val="0"/>
            <w:vAlign w:val="center"/>
          </w:tcPr>
          <w:p w14:paraId="5A46DEB5">
            <w:pPr>
              <w:pStyle w:val="6"/>
              <w:keepNext/>
              <w:shd w:val="clear" w:color="auto" w:fill="auto"/>
              <w:spacing w:after="0"/>
              <w:rPr>
                <w:rFonts w:hint="eastAsia" w:ascii="宋体" w:hAnsi="宋体" w:eastAsia="宋体" w:cs="宋体"/>
                <w:color w:val="auto"/>
                <w:kern w:val="2"/>
                <w:sz w:val="24"/>
                <w:szCs w:val="24"/>
                <w:highlight w:val="none"/>
              </w:rPr>
            </w:pPr>
          </w:p>
        </w:tc>
        <w:tc>
          <w:tcPr>
            <w:tcW w:w="956" w:type="dxa"/>
            <w:tcBorders>
              <w:top w:val="nil"/>
            </w:tcBorders>
            <w:noWrap w:val="0"/>
            <w:vAlign w:val="center"/>
          </w:tcPr>
          <w:p w14:paraId="204B6BDB">
            <w:pPr>
              <w:pStyle w:val="6"/>
              <w:keepNext/>
              <w:shd w:val="clear" w:color="auto" w:fill="auto"/>
              <w:spacing w:after="0"/>
              <w:rPr>
                <w:rFonts w:hint="eastAsia" w:ascii="宋体" w:hAnsi="宋体" w:eastAsia="宋体" w:cs="宋体"/>
                <w:color w:val="auto"/>
                <w:kern w:val="2"/>
                <w:sz w:val="24"/>
                <w:szCs w:val="24"/>
                <w:highlight w:val="none"/>
              </w:rPr>
            </w:pPr>
          </w:p>
        </w:tc>
        <w:tc>
          <w:tcPr>
            <w:tcW w:w="957" w:type="dxa"/>
            <w:tcBorders>
              <w:top w:val="nil"/>
            </w:tcBorders>
            <w:noWrap w:val="0"/>
            <w:vAlign w:val="center"/>
          </w:tcPr>
          <w:p w14:paraId="58695F90">
            <w:pPr>
              <w:pStyle w:val="6"/>
              <w:keepNext/>
              <w:shd w:val="clear" w:color="auto" w:fill="auto"/>
              <w:spacing w:after="0"/>
              <w:rPr>
                <w:rFonts w:hint="eastAsia" w:ascii="宋体" w:hAnsi="宋体" w:eastAsia="宋体" w:cs="宋体"/>
                <w:color w:val="auto"/>
                <w:kern w:val="2"/>
                <w:sz w:val="24"/>
                <w:szCs w:val="24"/>
                <w:highlight w:val="none"/>
              </w:rPr>
            </w:pPr>
          </w:p>
        </w:tc>
        <w:tc>
          <w:tcPr>
            <w:tcW w:w="993" w:type="dxa"/>
            <w:tcBorders>
              <w:top w:val="nil"/>
            </w:tcBorders>
            <w:noWrap w:val="0"/>
            <w:vAlign w:val="center"/>
          </w:tcPr>
          <w:p w14:paraId="64A94A5F">
            <w:pPr>
              <w:pStyle w:val="6"/>
              <w:keepNext/>
              <w:shd w:val="clear" w:color="auto" w:fill="auto"/>
              <w:spacing w:after="0"/>
              <w:rPr>
                <w:rFonts w:hint="eastAsia" w:ascii="宋体" w:hAnsi="宋体" w:eastAsia="宋体" w:cs="宋体"/>
                <w:color w:val="auto"/>
                <w:kern w:val="2"/>
                <w:sz w:val="24"/>
                <w:szCs w:val="24"/>
                <w:highlight w:val="none"/>
              </w:rPr>
            </w:pPr>
          </w:p>
        </w:tc>
      </w:tr>
      <w:tr w14:paraId="3947F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79" w:type="dxa"/>
            <w:noWrap w:val="0"/>
            <w:vAlign w:val="center"/>
          </w:tcPr>
          <w:p w14:paraId="7C9CAF23">
            <w:pPr>
              <w:pStyle w:val="6"/>
              <w:keepNext/>
              <w:shd w:val="clear" w:color="auto" w:fill="auto"/>
              <w:spacing w:after="0"/>
              <w:rPr>
                <w:rFonts w:hint="eastAsia" w:ascii="宋体" w:hAnsi="宋体" w:eastAsia="宋体" w:cs="宋体"/>
                <w:color w:val="auto"/>
                <w:kern w:val="2"/>
                <w:sz w:val="24"/>
                <w:szCs w:val="24"/>
                <w:highlight w:val="none"/>
              </w:rPr>
            </w:pPr>
          </w:p>
        </w:tc>
        <w:tc>
          <w:tcPr>
            <w:tcW w:w="802" w:type="dxa"/>
            <w:noWrap w:val="0"/>
            <w:vAlign w:val="center"/>
          </w:tcPr>
          <w:p w14:paraId="7761EEDB">
            <w:pPr>
              <w:pStyle w:val="6"/>
              <w:keepNext/>
              <w:shd w:val="clear" w:color="auto" w:fill="auto"/>
              <w:spacing w:after="0"/>
              <w:rPr>
                <w:rFonts w:hint="eastAsia" w:ascii="宋体" w:hAnsi="宋体" w:eastAsia="宋体" w:cs="宋体"/>
                <w:color w:val="auto"/>
                <w:kern w:val="2"/>
                <w:sz w:val="24"/>
                <w:szCs w:val="24"/>
                <w:highlight w:val="none"/>
              </w:rPr>
            </w:pPr>
          </w:p>
        </w:tc>
        <w:tc>
          <w:tcPr>
            <w:tcW w:w="900" w:type="dxa"/>
            <w:noWrap w:val="0"/>
            <w:vAlign w:val="center"/>
          </w:tcPr>
          <w:p w14:paraId="5F32A7AB">
            <w:pPr>
              <w:pStyle w:val="6"/>
              <w:keepNext/>
              <w:shd w:val="clear" w:color="auto" w:fill="auto"/>
              <w:spacing w:after="0"/>
              <w:rPr>
                <w:rFonts w:hint="eastAsia" w:ascii="宋体" w:hAnsi="宋体" w:eastAsia="宋体" w:cs="宋体"/>
                <w:color w:val="auto"/>
                <w:kern w:val="2"/>
                <w:sz w:val="24"/>
                <w:szCs w:val="24"/>
                <w:highlight w:val="none"/>
              </w:rPr>
            </w:pPr>
          </w:p>
        </w:tc>
        <w:tc>
          <w:tcPr>
            <w:tcW w:w="919" w:type="dxa"/>
            <w:noWrap w:val="0"/>
            <w:vAlign w:val="center"/>
          </w:tcPr>
          <w:p w14:paraId="42ACD3FD">
            <w:pPr>
              <w:pStyle w:val="6"/>
              <w:keepNext/>
              <w:shd w:val="clear" w:color="auto" w:fill="auto"/>
              <w:spacing w:after="0"/>
              <w:rPr>
                <w:rFonts w:hint="eastAsia" w:ascii="宋体" w:hAnsi="宋体" w:eastAsia="宋体" w:cs="宋体"/>
                <w:color w:val="auto"/>
                <w:kern w:val="2"/>
                <w:sz w:val="24"/>
                <w:szCs w:val="24"/>
                <w:highlight w:val="none"/>
              </w:rPr>
            </w:pPr>
          </w:p>
        </w:tc>
        <w:tc>
          <w:tcPr>
            <w:tcW w:w="618" w:type="dxa"/>
            <w:noWrap w:val="0"/>
            <w:vAlign w:val="center"/>
          </w:tcPr>
          <w:p w14:paraId="2D1FA03D">
            <w:pPr>
              <w:pStyle w:val="6"/>
              <w:keepNext/>
              <w:shd w:val="clear" w:color="auto" w:fill="auto"/>
              <w:spacing w:after="0"/>
              <w:rPr>
                <w:rFonts w:hint="eastAsia" w:ascii="宋体" w:hAnsi="宋体" w:eastAsia="宋体" w:cs="宋体"/>
                <w:color w:val="auto"/>
                <w:kern w:val="2"/>
                <w:sz w:val="24"/>
                <w:szCs w:val="24"/>
                <w:highlight w:val="none"/>
              </w:rPr>
            </w:pPr>
          </w:p>
        </w:tc>
        <w:tc>
          <w:tcPr>
            <w:tcW w:w="1032" w:type="dxa"/>
            <w:noWrap w:val="0"/>
            <w:vAlign w:val="center"/>
          </w:tcPr>
          <w:p w14:paraId="29D5875C">
            <w:pPr>
              <w:pStyle w:val="6"/>
              <w:keepNext/>
              <w:shd w:val="clear" w:color="auto" w:fill="auto"/>
              <w:spacing w:after="0"/>
              <w:rPr>
                <w:rFonts w:hint="eastAsia" w:ascii="宋体" w:hAnsi="宋体" w:eastAsia="宋体" w:cs="宋体"/>
                <w:color w:val="auto"/>
                <w:kern w:val="2"/>
                <w:sz w:val="24"/>
                <w:szCs w:val="24"/>
                <w:highlight w:val="none"/>
              </w:rPr>
            </w:pPr>
          </w:p>
        </w:tc>
        <w:tc>
          <w:tcPr>
            <w:tcW w:w="862" w:type="dxa"/>
            <w:noWrap w:val="0"/>
            <w:vAlign w:val="center"/>
          </w:tcPr>
          <w:p w14:paraId="53C39F00">
            <w:pPr>
              <w:pStyle w:val="6"/>
              <w:keepNext/>
              <w:shd w:val="clear" w:color="auto" w:fill="auto"/>
              <w:spacing w:after="0"/>
              <w:rPr>
                <w:rFonts w:hint="eastAsia" w:ascii="宋体" w:hAnsi="宋体" w:eastAsia="宋体" w:cs="宋体"/>
                <w:color w:val="auto"/>
                <w:kern w:val="2"/>
                <w:sz w:val="24"/>
                <w:szCs w:val="24"/>
                <w:highlight w:val="none"/>
              </w:rPr>
            </w:pPr>
          </w:p>
        </w:tc>
        <w:tc>
          <w:tcPr>
            <w:tcW w:w="956" w:type="dxa"/>
            <w:noWrap w:val="0"/>
            <w:vAlign w:val="center"/>
          </w:tcPr>
          <w:p w14:paraId="091BEF57">
            <w:pPr>
              <w:pStyle w:val="6"/>
              <w:keepNext/>
              <w:shd w:val="clear" w:color="auto" w:fill="auto"/>
              <w:spacing w:after="0"/>
              <w:rPr>
                <w:rFonts w:hint="eastAsia" w:ascii="宋体" w:hAnsi="宋体" w:eastAsia="宋体" w:cs="宋体"/>
                <w:color w:val="auto"/>
                <w:kern w:val="2"/>
                <w:sz w:val="24"/>
                <w:szCs w:val="24"/>
                <w:highlight w:val="none"/>
              </w:rPr>
            </w:pPr>
          </w:p>
        </w:tc>
        <w:tc>
          <w:tcPr>
            <w:tcW w:w="957" w:type="dxa"/>
            <w:noWrap w:val="0"/>
            <w:vAlign w:val="center"/>
          </w:tcPr>
          <w:p w14:paraId="483D40F0">
            <w:pPr>
              <w:pStyle w:val="6"/>
              <w:keepNext/>
              <w:shd w:val="clear" w:color="auto" w:fill="auto"/>
              <w:spacing w:after="0"/>
              <w:rPr>
                <w:rFonts w:hint="eastAsia" w:ascii="宋体" w:hAnsi="宋体" w:eastAsia="宋体" w:cs="宋体"/>
                <w:color w:val="auto"/>
                <w:kern w:val="2"/>
                <w:sz w:val="24"/>
                <w:szCs w:val="24"/>
                <w:highlight w:val="none"/>
              </w:rPr>
            </w:pPr>
          </w:p>
        </w:tc>
        <w:tc>
          <w:tcPr>
            <w:tcW w:w="993" w:type="dxa"/>
            <w:noWrap w:val="0"/>
            <w:vAlign w:val="center"/>
          </w:tcPr>
          <w:p w14:paraId="6A436891">
            <w:pPr>
              <w:pStyle w:val="6"/>
              <w:keepNext/>
              <w:shd w:val="clear" w:color="auto" w:fill="auto"/>
              <w:spacing w:after="0"/>
              <w:rPr>
                <w:rFonts w:hint="eastAsia" w:ascii="宋体" w:hAnsi="宋体" w:eastAsia="宋体" w:cs="宋体"/>
                <w:color w:val="auto"/>
                <w:kern w:val="2"/>
                <w:sz w:val="24"/>
                <w:szCs w:val="24"/>
                <w:highlight w:val="none"/>
              </w:rPr>
            </w:pPr>
          </w:p>
        </w:tc>
      </w:tr>
    </w:tbl>
    <w:p w14:paraId="171F2BCE">
      <w:pPr>
        <w:shd w:val="clear" w:color="auto" w:fil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F65016A">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bookmarkStart w:id="845" w:name="_Toc296503225"/>
      <w:bookmarkStart w:id="846" w:name="_Toc296891053"/>
      <w:bookmarkStart w:id="847" w:name="_Toc296944564"/>
      <w:bookmarkStart w:id="848" w:name="_Toc296891265"/>
      <w:bookmarkStart w:id="849" w:name="_Toc267261692"/>
      <w:bookmarkStart w:id="850" w:name="_Toc296346726"/>
      <w:bookmarkStart w:id="851" w:name="_Toc296347224"/>
      <w:r>
        <w:rPr>
          <w:rFonts w:hint="eastAsia" w:ascii="宋体" w:hAnsi="宋体" w:eastAsia="宋体" w:cs="宋体"/>
          <w:color w:val="auto"/>
          <w:sz w:val="24"/>
          <w:szCs w:val="24"/>
          <w:highlight w:val="none"/>
        </w:rPr>
        <w:t>件2：</w:t>
      </w:r>
    </w:p>
    <w:bookmarkEnd w:id="845"/>
    <w:bookmarkEnd w:id="846"/>
    <w:bookmarkEnd w:id="847"/>
    <w:bookmarkEnd w:id="848"/>
    <w:bookmarkEnd w:id="849"/>
    <w:bookmarkEnd w:id="850"/>
    <w:bookmarkEnd w:id="851"/>
    <w:p w14:paraId="038A31A1">
      <w:pPr>
        <w:shd w:val="clear" w:color="auto" w:fill="auto"/>
        <w:spacing w:before="156" w:beforeLines="50" w:after="156" w:after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发包人供应材料设备一览表</w:t>
      </w:r>
    </w:p>
    <w:tbl>
      <w:tblPr>
        <w:tblStyle w:val="14"/>
        <w:tblW w:w="909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36"/>
        <w:gridCol w:w="1219"/>
        <w:gridCol w:w="1237"/>
        <w:gridCol w:w="619"/>
        <w:gridCol w:w="683"/>
        <w:gridCol w:w="1044"/>
        <w:gridCol w:w="992"/>
        <w:gridCol w:w="851"/>
        <w:gridCol w:w="1096"/>
        <w:gridCol w:w="713"/>
      </w:tblGrid>
      <w:tr w14:paraId="044A4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36" w:type="dxa"/>
            <w:tcBorders>
              <w:top w:val="single" w:color="auto" w:sz="12" w:space="0"/>
              <w:bottom w:val="double" w:color="auto" w:sz="6" w:space="0"/>
            </w:tcBorders>
            <w:noWrap w:val="0"/>
            <w:vAlign w:val="center"/>
          </w:tcPr>
          <w:p w14:paraId="230C0E42">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219" w:type="dxa"/>
            <w:tcBorders>
              <w:top w:val="single" w:color="auto" w:sz="12" w:space="0"/>
              <w:bottom w:val="double" w:color="auto" w:sz="6" w:space="0"/>
            </w:tcBorders>
            <w:noWrap w:val="0"/>
            <w:vAlign w:val="center"/>
          </w:tcPr>
          <w:p w14:paraId="29AE13D3">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材料、设备品种</w:t>
            </w:r>
          </w:p>
        </w:tc>
        <w:tc>
          <w:tcPr>
            <w:tcW w:w="1237" w:type="dxa"/>
            <w:tcBorders>
              <w:top w:val="single" w:color="auto" w:sz="12" w:space="0"/>
              <w:bottom w:val="double" w:color="auto" w:sz="6" w:space="0"/>
            </w:tcBorders>
            <w:noWrap w:val="0"/>
            <w:vAlign w:val="center"/>
          </w:tcPr>
          <w:p w14:paraId="51AEAF3F">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规格型号</w:t>
            </w:r>
          </w:p>
        </w:tc>
        <w:tc>
          <w:tcPr>
            <w:tcW w:w="619" w:type="dxa"/>
            <w:tcBorders>
              <w:top w:val="single" w:color="auto" w:sz="12" w:space="0"/>
              <w:bottom w:val="double" w:color="auto" w:sz="6" w:space="0"/>
            </w:tcBorders>
            <w:noWrap w:val="0"/>
            <w:vAlign w:val="center"/>
          </w:tcPr>
          <w:p w14:paraId="62D41F0C">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w:t>
            </w:r>
          </w:p>
        </w:tc>
        <w:tc>
          <w:tcPr>
            <w:tcW w:w="683" w:type="dxa"/>
            <w:tcBorders>
              <w:top w:val="single" w:color="auto" w:sz="12" w:space="0"/>
              <w:bottom w:val="double" w:color="auto" w:sz="6" w:space="0"/>
            </w:tcBorders>
            <w:noWrap w:val="0"/>
            <w:vAlign w:val="center"/>
          </w:tcPr>
          <w:p w14:paraId="6294210B">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tc>
        <w:tc>
          <w:tcPr>
            <w:tcW w:w="1044" w:type="dxa"/>
            <w:tcBorders>
              <w:top w:val="single" w:color="auto" w:sz="12" w:space="0"/>
              <w:bottom w:val="double" w:color="auto" w:sz="6" w:space="0"/>
            </w:tcBorders>
            <w:noWrap w:val="0"/>
            <w:vAlign w:val="center"/>
          </w:tcPr>
          <w:p w14:paraId="61BD1464">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单价（元）</w:t>
            </w:r>
          </w:p>
        </w:tc>
        <w:tc>
          <w:tcPr>
            <w:tcW w:w="992" w:type="dxa"/>
            <w:tcBorders>
              <w:top w:val="single" w:color="auto" w:sz="12" w:space="0"/>
              <w:bottom w:val="double" w:color="auto" w:sz="6" w:space="0"/>
            </w:tcBorders>
            <w:noWrap w:val="0"/>
            <w:vAlign w:val="center"/>
          </w:tcPr>
          <w:p w14:paraId="666BFEC5">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质量等级</w:t>
            </w:r>
          </w:p>
        </w:tc>
        <w:tc>
          <w:tcPr>
            <w:tcW w:w="851" w:type="dxa"/>
            <w:tcBorders>
              <w:top w:val="single" w:color="auto" w:sz="12" w:space="0"/>
              <w:bottom w:val="double" w:color="auto" w:sz="6" w:space="0"/>
            </w:tcBorders>
            <w:noWrap w:val="0"/>
            <w:vAlign w:val="center"/>
          </w:tcPr>
          <w:p w14:paraId="40FD8545">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供应时间</w:t>
            </w:r>
          </w:p>
        </w:tc>
        <w:tc>
          <w:tcPr>
            <w:tcW w:w="1096" w:type="dxa"/>
            <w:tcBorders>
              <w:top w:val="single" w:color="auto" w:sz="12" w:space="0"/>
              <w:bottom w:val="double" w:color="auto" w:sz="6" w:space="0"/>
            </w:tcBorders>
            <w:noWrap w:val="0"/>
            <w:vAlign w:val="center"/>
          </w:tcPr>
          <w:p w14:paraId="17B5211A">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送达地点</w:t>
            </w:r>
          </w:p>
        </w:tc>
        <w:tc>
          <w:tcPr>
            <w:tcW w:w="713" w:type="dxa"/>
            <w:tcBorders>
              <w:top w:val="single" w:color="auto" w:sz="12" w:space="0"/>
              <w:bottom w:val="double" w:color="auto" w:sz="6" w:space="0"/>
            </w:tcBorders>
            <w:noWrap w:val="0"/>
            <w:vAlign w:val="center"/>
          </w:tcPr>
          <w:p w14:paraId="20F8822C">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r w14:paraId="70914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tcBorders>
              <w:top w:val="double" w:color="auto" w:sz="6" w:space="0"/>
              <w:bottom w:val="single" w:color="auto" w:sz="6" w:space="0"/>
            </w:tcBorders>
            <w:noWrap w:val="0"/>
            <w:vAlign w:val="center"/>
          </w:tcPr>
          <w:p w14:paraId="6879B0D8">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19" w:type="dxa"/>
            <w:tcBorders>
              <w:top w:val="double" w:color="auto" w:sz="6" w:space="0"/>
              <w:bottom w:val="single" w:color="auto" w:sz="6" w:space="0"/>
            </w:tcBorders>
            <w:noWrap w:val="0"/>
            <w:vAlign w:val="center"/>
          </w:tcPr>
          <w:p w14:paraId="4243C621">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37" w:type="dxa"/>
            <w:tcBorders>
              <w:top w:val="double" w:color="auto" w:sz="6" w:space="0"/>
              <w:bottom w:val="single" w:color="auto" w:sz="6" w:space="0"/>
            </w:tcBorders>
            <w:noWrap w:val="0"/>
            <w:vAlign w:val="center"/>
          </w:tcPr>
          <w:p w14:paraId="52CCCC78">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19" w:type="dxa"/>
            <w:tcBorders>
              <w:top w:val="double" w:color="auto" w:sz="6" w:space="0"/>
              <w:bottom w:val="single" w:color="auto" w:sz="6" w:space="0"/>
            </w:tcBorders>
            <w:noWrap w:val="0"/>
            <w:vAlign w:val="center"/>
          </w:tcPr>
          <w:p w14:paraId="2F3A153B">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83" w:type="dxa"/>
            <w:tcBorders>
              <w:top w:val="double" w:color="auto" w:sz="6" w:space="0"/>
              <w:bottom w:val="single" w:color="auto" w:sz="6" w:space="0"/>
            </w:tcBorders>
            <w:noWrap w:val="0"/>
            <w:vAlign w:val="center"/>
          </w:tcPr>
          <w:p w14:paraId="3475AC56">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44" w:type="dxa"/>
            <w:tcBorders>
              <w:top w:val="double" w:color="auto" w:sz="6" w:space="0"/>
              <w:bottom w:val="single" w:color="auto" w:sz="6" w:space="0"/>
            </w:tcBorders>
            <w:noWrap w:val="0"/>
            <w:vAlign w:val="center"/>
          </w:tcPr>
          <w:p w14:paraId="70891D5D">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992" w:type="dxa"/>
            <w:tcBorders>
              <w:top w:val="double" w:color="auto" w:sz="6" w:space="0"/>
              <w:bottom w:val="single" w:color="auto" w:sz="6" w:space="0"/>
            </w:tcBorders>
            <w:noWrap w:val="0"/>
            <w:vAlign w:val="center"/>
          </w:tcPr>
          <w:p w14:paraId="50B7E2E0">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851" w:type="dxa"/>
            <w:tcBorders>
              <w:top w:val="double" w:color="auto" w:sz="6" w:space="0"/>
              <w:bottom w:val="single" w:color="auto" w:sz="6" w:space="0"/>
            </w:tcBorders>
            <w:noWrap w:val="0"/>
            <w:vAlign w:val="center"/>
          </w:tcPr>
          <w:p w14:paraId="2E619297">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96" w:type="dxa"/>
            <w:tcBorders>
              <w:top w:val="double" w:color="auto" w:sz="6" w:space="0"/>
              <w:bottom w:val="single" w:color="auto" w:sz="6" w:space="0"/>
            </w:tcBorders>
            <w:noWrap w:val="0"/>
            <w:vAlign w:val="center"/>
          </w:tcPr>
          <w:p w14:paraId="27406C1A">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713" w:type="dxa"/>
            <w:tcBorders>
              <w:top w:val="double" w:color="auto" w:sz="6" w:space="0"/>
              <w:bottom w:val="single" w:color="auto" w:sz="6" w:space="0"/>
            </w:tcBorders>
            <w:noWrap w:val="0"/>
            <w:vAlign w:val="center"/>
          </w:tcPr>
          <w:p w14:paraId="3FE55FEA">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r>
      <w:tr w14:paraId="10078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tcBorders>
              <w:top w:val="nil"/>
            </w:tcBorders>
            <w:noWrap w:val="0"/>
            <w:vAlign w:val="center"/>
          </w:tcPr>
          <w:p w14:paraId="67544683">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19" w:type="dxa"/>
            <w:tcBorders>
              <w:top w:val="nil"/>
            </w:tcBorders>
            <w:noWrap w:val="0"/>
            <w:vAlign w:val="center"/>
          </w:tcPr>
          <w:p w14:paraId="3561959D">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37" w:type="dxa"/>
            <w:tcBorders>
              <w:top w:val="nil"/>
            </w:tcBorders>
            <w:noWrap w:val="0"/>
            <w:vAlign w:val="center"/>
          </w:tcPr>
          <w:p w14:paraId="2DF34F7D">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19" w:type="dxa"/>
            <w:tcBorders>
              <w:top w:val="nil"/>
            </w:tcBorders>
            <w:noWrap w:val="0"/>
            <w:vAlign w:val="center"/>
          </w:tcPr>
          <w:p w14:paraId="748179CF">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83" w:type="dxa"/>
            <w:tcBorders>
              <w:top w:val="nil"/>
            </w:tcBorders>
            <w:noWrap w:val="0"/>
            <w:vAlign w:val="center"/>
          </w:tcPr>
          <w:p w14:paraId="30B7F97B">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44" w:type="dxa"/>
            <w:tcBorders>
              <w:top w:val="nil"/>
            </w:tcBorders>
            <w:noWrap w:val="0"/>
            <w:vAlign w:val="center"/>
          </w:tcPr>
          <w:p w14:paraId="0E2A5D7A">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992" w:type="dxa"/>
            <w:tcBorders>
              <w:top w:val="nil"/>
            </w:tcBorders>
            <w:noWrap w:val="0"/>
            <w:vAlign w:val="center"/>
          </w:tcPr>
          <w:p w14:paraId="6A485906">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851" w:type="dxa"/>
            <w:tcBorders>
              <w:top w:val="nil"/>
            </w:tcBorders>
            <w:noWrap w:val="0"/>
            <w:vAlign w:val="center"/>
          </w:tcPr>
          <w:p w14:paraId="15BF22EC">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96" w:type="dxa"/>
            <w:tcBorders>
              <w:top w:val="nil"/>
            </w:tcBorders>
            <w:noWrap w:val="0"/>
            <w:vAlign w:val="center"/>
          </w:tcPr>
          <w:p w14:paraId="0E12380C">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713" w:type="dxa"/>
            <w:tcBorders>
              <w:top w:val="nil"/>
            </w:tcBorders>
            <w:noWrap w:val="0"/>
            <w:vAlign w:val="center"/>
          </w:tcPr>
          <w:p w14:paraId="48ACF14B">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r>
      <w:tr w14:paraId="62F11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noWrap w:val="0"/>
            <w:vAlign w:val="center"/>
          </w:tcPr>
          <w:p w14:paraId="43FED6C9">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19" w:type="dxa"/>
            <w:noWrap w:val="0"/>
            <w:vAlign w:val="center"/>
          </w:tcPr>
          <w:p w14:paraId="2E26AC3E">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37" w:type="dxa"/>
            <w:noWrap w:val="0"/>
            <w:vAlign w:val="center"/>
          </w:tcPr>
          <w:p w14:paraId="77E716A5">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19" w:type="dxa"/>
            <w:noWrap w:val="0"/>
            <w:vAlign w:val="center"/>
          </w:tcPr>
          <w:p w14:paraId="43348DEE">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83" w:type="dxa"/>
            <w:noWrap w:val="0"/>
            <w:vAlign w:val="center"/>
          </w:tcPr>
          <w:p w14:paraId="5C07AACE">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44" w:type="dxa"/>
            <w:noWrap w:val="0"/>
            <w:vAlign w:val="center"/>
          </w:tcPr>
          <w:p w14:paraId="38FD0D99">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992" w:type="dxa"/>
            <w:noWrap w:val="0"/>
            <w:vAlign w:val="center"/>
          </w:tcPr>
          <w:p w14:paraId="7A1799D2">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851" w:type="dxa"/>
            <w:noWrap w:val="0"/>
            <w:vAlign w:val="center"/>
          </w:tcPr>
          <w:p w14:paraId="42D250DE">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96" w:type="dxa"/>
            <w:noWrap w:val="0"/>
            <w:vAlign w:val="center"/>
          </w:tcPr>
          <w:p w14:paraId="3BC22195">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713" w:type="dxa"/>
            <w:noWrap w:val="0"/>
            <w:vAlign w:val="center"/>
          </w:tcPr>
          <w:p w14:paraId="0EEB1657">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r>
      <w:tr w14:paraId="14E89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noWrap w:val="0"/>
            <w:vAlign w:val="center"/>
          </w:tcPr>
          <w:p w14:paraId="0874FD6D">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19" w:type="dxa"/>
            <w:noWrap w:val="0"/>
            <w:vAlign w:val="center"/>
          </w:tcPr>
          <w:p w14:paraId="2D918D80">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37" w:type="dxa"/>
            <w:noWrap w:val="0"/>
            <w:vAlign w:val="center"/>
          </w:tcPr>
          <w:p w14:paraId="7DB8AE87">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19" w:type="dxa"/>
            <w:noWrap w:val="0"/>
            <w:vAlign w:val="center"/>
          </w:tcPr>
          <w:p w14:paraId="2EB21C9D">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83" w:type="dxa"/>
            <w:noWrap w:val="0"/>
            <w:vAlign w:val="center"/>
          </w:tcPr>
          <w:p w14:paraId="0CF1ADD2">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44" w:type="dxa"/>
            <w:noWrap w:val="0"/>
            <w:vAlign w:val="center"/>
          </w:tcPr>
          <w:p w14:paraId="6976500F">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992" w:type="dxa"/>
            <w:noWrap w:val="0"/>
            <w:vAlign w:val="center"/>
          </w:tcPr>
          <w:p w14:paraId="64971C6B">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851" w:type="dxa"/>
            <w:noWrap w:val="0"/>
            <w:vAlign w:val="center"/>
          </w:tcPr>
          <w:p w14:paraId="3AE202DC">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96" w:type="dxa"/>
            <w:noWrap w:val="0"/>
            <w:vAlign w:val="center"/>
          </w:tcPr>
          <w:p w14:paraId="5948C458">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713" w:type="dxa"/>
            <w:noWrap w:val="0"/>
            <w:vAlign w:val="center"/>
          </w:tcPr>
          <w:p w14:paraId="7C236162">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r>
      <w:tr w14:paraId="0AEA9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noWrap w:val="0"/>
            <w:vAlign w:val="center"/>
          </w:tcPr>
          <w:p w14:paraId="097557A4">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19" w:type="dxa"/>
            <w:noWrap w:val="0"/>
            <w:vAlign w:val="center"/>
          </w:tcPr>
          <w:p w14:paraId="46A2F7E5">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37" w:type="dxa"/>
            <w:noWrap w:val="0"/>
            <w:vAlign w:val="center"/>
          </w:tcPr>
          <w:p w14:paraId="040706C4">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19" w:type="dxa"/>
            <w:noWrap w:val="0"/>
            <w:vAlign w:val="center"/>
          </w:tcPr>
          <w:p w14:paraId="293CE726">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83" w:type="dxa"/>
            <w:noWrap w:val="0"/>
            <w:vAlign w:val="center"/>
          </w:tcPr>
          <w:p w14:paraId="68AC0868">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44" w:type="dxa"/>
            <w:noWrap w:val="0"/>
            <w:vAlign w:val="center"/>
          </w:tcPr>
          <w:p w14:paraId="672321B0">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992" w:type="dxa"/>
            <w:noWrap w:val="0"/>
            <w:vAlign w:val="center"/>
          </w:tcPr>
          <w:p w14:paraId="79074A08">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851" w:type="dxa"/>
            <w:noWrap w:val="0"/>
            <w:vAlign w:val="center"/>
          </w:tcPr>
          <w:p w14:paraId="4C09EFAE">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96" w:type="dxa"/>
            <w:noWrap w:val="0"/>
            <w:vAlign w:val="center"/>
          </w:tcPr>
          <w:p w14:paraId="63C0166F">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713" w:type="dxa"/>
            <w:noWrap w:val="0"/>
            <w:vAlign w:val="center"/>
          </w:tcPr>
          <w:p w14:paraId="6A9787CD">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r>
      <w:tr w14:paraId="2370C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noWrap w:val="0"/>
            <w:vAlign w:val="center"/>
          </w:tcPr>
          <w:p w14:paraId="4255BF55">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19" w:type="dxa"/>
            <w:noWrap w:val="0"/>
            <w:vAlign w:val="center"/>
          </w:tcPr>
          <w:p w14:paraId="68CB5481">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37" w:type="dxa"/>
            <w:noWrap w:val="0"/>
            <w:vAlign w:val="center"/>
          </w:tcPr>
          <w:p w14:paraId="5D96D94A">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19" w:type="dxa"/>
            <w:noWrap w:val="0"/>
            <w:vAlign w:val="center"/>
          </w:tcPr>
          <w:p w14:paraId="76960CD4">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83" w:type="dxa"/>
            <w:noWrap w:val="0"/>
            <w:vAlign w:val="center"/>
          </w:tcPr>
          <w:p w14:paraId="2216D9E3">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44" w:type="dxa"/>
            <w:noWrap w:val="0"/>
            <w:vAlign w:val="center"/>
          </w:tcPr>
          <w:p w14:paraId="6B561AEE">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992" w:type="dxa"/>
            <w:noWrap w:val="0"/>
            <w:vAlign w:val="center"/>
          </w:tcPr>
          <w:p w14:paraId="317C08C1">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851" w:type="dxa"/>
            <w:noWrap w:val="0"/>
            <w:vAlign w:val="center"/>
          </w:tcPr>
          <w:p w14:paraId="7492141D">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96" w:type="dxa"/>
            <w:noWrap w:val="0"/>
            <w:vAlign w:val="center"/>
          </w:tcPr>
          <w:p w14:paraId="64EEE145">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713" w:type="dxa"/>
            <w:noWrap w:val="0"/>
            <w:vAlign w:val="center"/>
          </w:tcPr>
          <w:p w14:paraId="5DA24FE7">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r>
      <w:tr w14:paraId="3116C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noWrap w:val="0"/>
            <w:vAlign w:val="center"/>
          </w:tcPr>
          <w:p w14:paraId="36ED6C8C">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19" w:type="dxa"/>
            <w:noWrap w:val="0"/>
            <w:vAlign w:val="center"/>
          </w:tcPr>
          <w:p w14:paraId="6E42F0EE">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37" w:type="dxa"/>
            <w:noWrap w:val="0"/>
            <w:vAlign w:val="center"/>
          </w:tcPr>
          <w:p w14:paraId="4599FB5E">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19" w:type="dxa"/>
            <w:noWrap w:val="0"/>
            <w:vAlign w:val="center"/>
          </w:tcPr>
          <w:p w14:paraId="168901CE">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83" w:type="dxa"/>
            <w:noWrap w:val="0"/>
            <w:vAlign w:val="center"/>
          </w:tcPr>
          <w:p w14:paraId="1DD0679B">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44" w:type="dxa"/>
            <w:noWrap w:val="0"/>
            <w:vAlign w:val="center"/>
          </w:tcPr>
          <w:p w14:paraId="537FC50B">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992" w:type="dxa"/>
            <w:noWrap w:val="0"/>
            <w:vAlign w:val="center"/>
          </w:tcPr>
          <w:p w14:paraId="2FC54030">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851" w:type="dxa"/>
            <w:noWrap w:val="0"/>
            <w:vAlign w:val="center"/>
          </w:tcPr>
          <w:p w14:paraId="209B3999">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96" w:type="dxa"/>
            <w:noWrap w:val="0"/>
            <w:vAlign w:val="center"/>
          </w:tcPr>
          <w:p w14:paraId="289B01E4">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713" w:type="dxa"/>
            <w:noWrap w:val="0"/>
            <w:vAlign w:val="center"/>
          </w:tcPr>
          <w:p w14:paraId="504DFA07">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r>
      <w:tr w14:paraId="26FC5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noWrap w:val="0"/>
            <w:vAlign w:val="center"/>
          </w:tcPr>
          <w:p w14:paraId="56CD539E">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19" w:type="dxa"/>
            <w:noWrap w:val="0"/>
            <w:vAlign w:val="center"/>
          </w:tcPr>
          <w:p w14:paraId="4EA08CA9">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37" w:type="dxa"/>
            <w:noWrap w:val="0"/>
            <w:vAlign w:val="center"/>
          </w:tcPr>
          <w:p w14:paraId="4816EB62">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19" w:type="dxa"/>
            <w:noWrap w:val="0"/>
            <w:vAlign w:val="center"/>
          </w:tcPr>
          <w:p w14:paraId="02196CE5">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83" w:type="dxa"/>
            <w:noWrap w:val="0"/>
            <w:vAlign w:val="center"/>
          </w:tcPr>
          <w:p w14:paraId="4D4E8FCB">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44" w:type="dxa"/>
            <w:noWrap w:val="0"/>
            <w:vAlign w:val="center"/>
          </w:tcPr>
          <w:p w14:paraId="13DD81C7">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992" w:type="dxa"/>
            <w:noWrap w:val="0"/>
            <w:vAlign w:val="center"/>
          </w:tcPr>
          <w:p w14:paraId="507D7FF9">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851" w:type="dxa"/>
            <w:noWrap w:val="0"/>
            <w:vAlign w:val="center"/>
          </w:tcPr>
          <w:p w14:paraId="61C86035">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96" w:type="dxa"/>
            <w:noWrap w:val="0"/>
            <w:vAlign w:val="center"/>
          </w:tcPr>
          <w:p w14:paraId="560C2F97">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713" w:type="dxa"/>
            <w:noWrap w:val="0"/>
            <w:vAlign w:val="center"/>
          </w:tcPr>
          <w:p w14:paraId="11180C1F">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r>
      <w:tr w14:paraId="02C4B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noWrap w:val="0"/>
            <w:vAlign w:val="center"/>
          </w:tcPr>
          <w:p w14:paraId="252B35FA">
            <w:pPr>
              <w:shd w:val="clear" w:color="auto" w:fill="auto"/>
              <w:spacing w:line="360" w:lineRule="auto"/>
              <w:jc w:val="center"/>
              <w:rPr>
                <w:rFonts w:hint="eastAsia" w:ascii="宋体" w:hAnsi="宋体" w:eastAsia="宋体" w:cs="宋体"/>
                <w:color w:val="auto"/>
                <w:sz w:val="24"/>
                <w:szCs w:val="24"/>
                <w:highlight w:val="none"/>
              </w:rPr>
            </w:pPr>
          </w:p>
        </w:tc>
        <w:tc>
          <w:tcPr>
            <w:tcW w:w="1219" w:type="dxa"/>
            <w:noWrap w:val="0"/>
            <w:vAlign w:val="center"/>
          </w:tcPr>
          <w:p w14:paraId="4B8BD29C">
            <w:pPr>
              <w:shd w:val="clear" w:color="auto" w:fill="auto"/>
              <w:spacing w:line="360" w:lineRule="auto"/>
              <w:jc w:val="center"/>
              <w:rPr>
                <w:rFonts w:hint="eastAsia" w:ascii="宋体" w:hAnsi="宋体" w:eastAsia="宋体" w:cs="宋体"/>
                <w:color w:val="auto"/>
                <w:sz w:val="24"/>
                <w:szCs w:val="24"/>
                <w:highlight w:val="none"/>
              </w:rPr>
            </w:pPr>
          </w:p>
        </w:tc>
        <w:tc>
          <w:tcPr>
            <w:tcW w:w="1237" w:type="dxa"/>
            <w:noWrap w:val="0"/>
            <w:vAlign w:val="center"/>
          </w:tcPr>
          <w:p w14:paraId="37617FD9">
            <w:pPr>
              <w:shd w:val="clear" w:color="auto" w:fill="auto"/>
              <w:spacing w:line="360" w:lineRule="auto"/>
              <w:jc w:val="center"/>
              <w:rPr>
                <w:rFonts w:hint="eastAsia" w:ascii="宋体" w:hAnsi="宋体" w:eastAsia="宋体" w:cs="宋体"/>
                <w:color w:val="auto"/>
                <w:sz w:val="24"/>
                <w:szCs w:val="24"/>
                <w:highlight w:val="none"/>
              </w:rPr>
            </w:pPr>
          </w:p>
        </w:tc>
        <w:tc>
          <w:tcPr>
            <w:tcW w:w="619" w:type="dxa"/>
            <w:noWrap w:val="0"/>
            <w:vAlign w:val="center"/>
          </w:tcPr>
          <w:p w14:paraId="2BC44FEA">
            <w:pPr>
              <w:shd w:val="clear" w:color="auto" w:fill="auto"/>
              <w:spacing w:line="360" w:lineRule="auto"/>
              <w:jc w:val="center"/>
              <w:rPr>
                <w:rFonts w:hint="eastAsia" w:ascii="宋体" w:hAnsi="宋体" w:eastAsia="宋体" w:cs="宋体"/>
                <w:color w:val="auto"/>
                <w:sz w:val="24"/>
                <w:szCs w:val="24"/>
                <w:highlight w:val="none"/>
              </w:rPr>
            </w:pPr>
          </w:p>
        </w:tc>
        <w:tc>
          <w:tcPr>
            <w:tcW w:w="683" w:type="dxa"/>
            <w:noWrap w:val="0"/>
            <w:vAlign w:val="center"/>
          </w:tcPr>
          <w:p w14:paraId="0601EDC5">
            <w:pPr>
              <w:shd w:val="clear" w:color="auto" w:fill="auto"/>
              <w:spacing w:line="360" w:lineRule="auto"/>
              <w:jc w:val="center"/>
              <w:rPr>
                <w:rFonts w:hint="eastAsia" w:ascii="宋体" w:hAnsi="宋体" w:eastAsia="宋体" w:cs="宋体"/>
                <w:color w:val="auto"/>
                <w:sz w:val="24"/>
                <w:szCs w:val="24"/>
                <w:highlight w:val="none"/>
              </w:rPr>
            </w:pPr>
          </w:p>
        </w:tc>
        <w:tc>
          <w:tcPr>
            <w:tcW w:w="1044" w:type="dxa"/>
            <w:noWrap w:val="0"/>
            <w:vAlign w:val="center"/>
          </w:tcPr>
          <w:p w14:paraId="314BC1A7">
            <w:pPr>
              <w:shd w:val="clear" w:color="auto" w:fill="auto"/>
              <w:spacing w:line="360" w:lineRule="auto"/>
              <w:jc w:val="center"/>
              <w:rPr>
                <w:rFonts w:hint="eastAsia" w:ascii="宋体" w:hAnsi="宋体" w:eastAsia="宋体" w:cs="宋体"/>
                <w:color w:val="auto"/>
                <w:sz w:val="24"/>
                <w:szCs w:val="24"/>
                <w:highlight w:val="none"/>
              </w:rPr>
            </w:pPr>
          </w:p>
        </w:tc>
        <w:tc>
          <w:tcPr>
            <w:tcW w:w="992" w:type="dxa"/>
            <w:noWrap w:val="0"/>
            <w:vAlign w:val="center"/>
          </w:tcPr>
          <w:p w14:paraId="78CCC143">
            <w:pPr>
              <w:shd w:val="clear" w:color="auto" w:fill="auto"/>
              <w:spacing w:line="360" w:lineRule="auto"/>
              <w:jc w:val="center"/>
              <w:rPr>
                <w:rFonts w:hint="eastAsia" w:ascii="宋体" w:hAnsi="宋体" w:eastAsia="宋体" w:cs="宋体"/>
                <w:color w:val="auto"/>
                <w:sz w:val="24"/>
                <w:szCs w:val="24"/>
                <w:highlight w:val="none"/>
              </w:rPr>
            </w:pPr>
          </w:p>
        </w:tc>
        <w:tc>
          <w:tcPr>
            <w:tcW w:w="851" w:type="dxa"/>
            <w:noWrap w:val="0"/>
            <w:vAlign w:val="center"/>
          </w:tcPr>
          <w:p w14:paraId="1E1A679B">
            <w:pPr>
              <w:shd w:val="clear" w:color="auto" w:fill="auto"/>
              <w:spacing w:line="360" w:lineRule="auto"/>
              <w:jc w:val="center"/>
              <w:rPr>
                <w:rFonts w:hint="eastAsia" w:ascii="宋体" w:hAnsi="宋体" w:eastAsia="宋体" w:cs="宋体"/>
                <w:color w:val="auto"/>
                <w:sz w:val="24"/>
                <w:szCs w:val="24"/>
                <w:highlight w:val="none"/>
              </w:rPr>
            </w:pPr>
          </w:p>
        </w:tc>
        <w:tc>
          <w:tcPr>
            <w:tcW w:w="1096" w:type="dxa"/>
            <w:noWrap w:val="0"/>
            <w:vAlign w:val="center"/>
          </w:tcPr>
          <w:p w14:paraId="2F042643">
            <w:pPr>
              <w:shd w:val="clear" w:color="auto" w:fill="auto"/>
              <w:spacing w:line="360" w:lineRule="auto"/>
              <w:jc w:val="center"/>
              <w:rPr>
                <w:rFonts w:hint="eastAsia" w:ascii="宋体" w:hAnsi="宋体" w:eastAsia="宋体" w:cs="宋体"/>
                <w:color w:val="auto"/>
                <w:sz w:val="24"/>
                <w:szCs w:val="24"/>
                <w:highlight w:val="none"/>
              </w:rPr>
            </w:pPr>
          </w:p>
        </w:tc>
        <w:tc>
          <w:tcPr>
            <w:tcW w:w="713" w:type="dxa"/>
            <w:noWrap w:val="0"/>
            <w:vAlign w:val="center"/>
          </w:tcPr>
          <w:p w14:paraId="352B319C">
            <w:pPr>
              <w:shd w:val="clear" w:color="auto" w:fill="auto"/>
              <w:spacing w:line="360" w:lineRule="auto"/>
              <w:jc w:val="center"/>
              <w:rPr>
                <w:rFonts w:hint="eastAsia" w:ascii="宋体" w:hAnsi="宋体" w:eastAsia="宋体" w:cs="宋体"/>
                <w:color w:val="auto"/>
                <w:sz w:val="24"/>
                <w:szCs w:val="24"/>
                <w:highlight w:val="none"/>
              </w:rPr>
            </w:pPr>
          </w:p>
        </w:tc>
      </w:tr>
      <w:tr w14:paraId="2E056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noWrap w:val="0"/>
            <w:vAlign w:val="center"/>
          </w:tcPr>
          <w:p w14:paraId="1D231D9B">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19" w:type="dxa"/>
            <w:noWrap w:val="0"/>
            <w:vAlign w:val="center"/>
          </w:tcPr>
          <w:p w14:paraId="03981EDC">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237" w:type="dxa"/>
            <w:noWrap w:val="0"/>
            <w:vAlign w:val="center"/>
          </w:tcPr>
          <w:p w14:paraId="39BF113A">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19" w:type="dxa"/>
            <w:noWrap w:val="0"/>
            <w:vAlign w:val="center"/>
          </w:tcPr>
          <w:p w14:paraId="233735B9">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683" w:type="dxa"/>
            <w:noWrap w:val="0"/>
            <w:vAlign w:val="center"/>
          </w:tcPr>
          <w:p w14:paraId="25D24CB0">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44" w:type="dxa"/>
            <w:noWrap w:val="0"/>
            <w:vAlign w:val="center"/>
          </w:tcPr>
          <w:p w14:paraId="6350BB2E">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992" w:type="dxa"/>
            <w:noWrap w:val="0"/>
            <w:vAlign w:val="center"/>
          </w:tcPr>
          <w:p w14:paraId="43F68C14">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851" w:type="dxa"/>
            <w:noWrap w:val="0"/>
            <w:vAlign w:val="center"/>
          </w:tcPr>
          <w:p w14:paraId="197F4EF7">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1096" w:type="dxa"/>
            <w:noWrap w:val="0"/>
            <w:vAlign w:val="center"/>
          </w:tcPr>
          <w:p w14:paraId="2EC187FF">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c>
          <w:tcPr>
            <w:tcW w:w="713" w:type="dxa"/>
            <w:noWrap w:val="0"/>
            <w:vAlign w:val="center"/>
          </w:tcPr>
          <w:p w14:paraId="50BF21DB">
            <w:pPr>
              <w:pStyle w:val="6"/>
              <w:keepNext/>
              <w:shd w:val="clear" w:color="auto" w:fill="auto"/>
              <w:spacing w:after="0" w:line="360" w:lineRule="auto"/>
              <w:ind w:left="63" w:right="63"/>
              <w:rPr>
                <w:rFonts w:hint="eastAsia" w:ascii="宋体" w:hAnsi="宋体" w:eastAsia="宋体" w:cs="宋体"/>
                <w:color w:val="auto"/>
                <w:kern w:val="2"/>
                <w:sz w:val="24"/>
                <w:szCs w:val="24"/>
                <w:highlight w:val="none"/>
              </w:rPr>
            </w:pPr>
          </w:p>
        </w:tc>
      </w:tr>
      <w:tr w14:paraId="6D030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noWrap w:val="0"/>
            <w:vAlign w:val="center"/>
          </w:tcPr>
          <w:p w14:paraId="2E7F45E9">
            <w:pPr>
              <w:shd w:val="clear" w:color="auto" w:fill="auto"/>
              <w:spacing w:line="360" w:lineRule="auto"/>
              <w:jc w:val="center"/>
              <w:rPr>
                <w:rFonts w:hint="eastAsia" w:ascii="宋体" w:hAnsi="宋体" w:eastAsia="宋体" w:cs="宋体"/>
                <w:color w:val="auto"/>
                <w:sz w:val="24"/>
                <w:szCs w:val="24"/>
                <w:highlight w:val="none"/>
              </w:rPr>
            </w:pPr>
          </w:p>
        </w:tc>
        <w:tc>
          <w:tcPr>
            <w:tcW w:w="1219" w:type="dxa"/>
            <w:noWrap w:val="0"/>
            <w:vAlign w:val="center"/>
          </w:tcPr>
          <w:p w14:paraId="7F1366B6">
            <w:pPr>
              <w:shd w:val="clear" w:color="auto" w:fill="auto"/>
              <w:spacing w:line="360" w:lineRule="auto"/>
              <w:jc w:val="center"/>
              <w:rPr>
                <w:rFonts w:hint="eastAsia" w:ascii="宋体" w:hAnsi="宋体" w:eastAsia="宋体" w:cs="宋体"/>
                <w:color w:val="auto"/>
                <w:sz w:val="24"/>
                <w:szCs w:val="24"/>
                <w:highlight w:val="none"/>
              </w:rPr>
            </w:pPr>
          </w:p>
        </w:tc>
        <w:tc>
          <w:tcPr>
            <w:tcW w:w="1237" w:type="dxa"/>
            <w:noWrap w:val="0"/>
            <w:vAlign w:val="center"/>
          </w:tcPr>
          <w:p w14:paraId="7C9FF96B">
            <w:pPr>
              <w:shd w:val="clear" w:color="auto" w:fill="auto"/>
              <w:spacing w:line="360" w:lineRule="auto"/>
              <w:jc w:val="center"/>
              <w:rPr>
                <w:rFonts w:hint="eastAsia" w:ascii="宋体" w:hAnsi="宋体" w:eastAsia="宋体" w:cs="宋体"/>
                <w:color w:val="auto"/>
                <w:sz w:val="24"/>
                <w:szCs w:val="24"/>
                <w:highlight w:val="none"/>
              </w:rPr>
            </w:pPr>
          </w:p>
        </w:tc>
        <w:tc>
          <w:tcPr>
            <w:tcW w:w="619" w:type="dxa"/>
            <w:noWrap w:val="0"/>
            <w:vAlign w:val="center"/>
          </w:tcPr>
          <w:p w14:paraId="57AF5562">
            <w:pPr>
              <w:shd w:val="clear" w:color="auto" w:fill="auto"/>
              <w:spacing w:line="360" w:lineRule="auto"/>
              <w:jc w:val="center"/>
              <w:rPr>
                <w:rFonts w:hint="eastAsia" w:ascii="宋体" w:hAnsi="宋体" w:eastAsia="宋体" w:cs="宋体"/>
                <w:color w:val="auto"/>
                <w:sz w:val="24"/>
                <w:szCs w:val="24"/>
                <w:highlight w:val="none"/>
              </w:rPr>
            </w:pPr>
          </w:p>
        </w:tc>
        <w:tc>
          <w:tcPr>
            <w:tcW w:w="683" w:type="dxa"/>
            <w:noWrap w:val="0"/>
            <w:vAlign w:val="center"/>
          </w:tcPr>
          <w:p w14:paraId="36BBF444">
            <w:pPr>
              <w:shd w:val="clear" w:color="auto" w:fill="auto"/>
              <w:spacing w:line="360" w:lineRule="auto"/>
              <w:jc w:val="center"/>
              <w:rPr>
                <w:rFonts w:hint="eastAsia" w:ascii="宋体" w:hAnsi="宋体" w:eastAsia="宋体" w:cs="宋体"/>
                <w:color w:val="auto"/>
                <w:sz w:val="24"/>
                <w:szCs w:val="24"/>
                <w:highlight w:val="none"/>
              </w:rPr>
            </w:pPr>
          </w:p>
        </w:tc>
        <w:tc>
          <w:tcPr>
            <w:tcW w:w="1044" w:type="dxa"/>
            <w:noWrap w:val="0"/>
            <w:vAlign w:val="center"/>
          </w:tcPr>
          <w:p w14:paraId="1B5D9B4B">
            <w:pPr>
              <w:shd w:val="clear" w:color="auto" w:fill="auto"/>
              <w:spacing w:line="360" w:lineRule="auto"/>
              <w:jc w:val="center"/>
              <w:rPr>
                <w:rFonts w:hint="eastAsia" w:ascii="宋体" w:hAnsi="宋体" w:eastAsia="宋体" w:cs="宋体"/>
                <w:color w:val="auto"/>
                <w:sz w:val="24"/>
                <w:szCs w:val="24"/>
                <w:highlight w:val="none"/>
              </w:rPr>
            </w:pPr>
          </w:p>
        </w:tc>
        <w:tc>
          <w:tcPr>
            <w:tcW w:w="992" w:type="dxa"/>
            <w:noWrap w:val="0"/>
            <w:vAlign w:val="center"/>
          </w:tcPr>
          <w:p w14:paraId="7718588C">
            <w:pPr>
              <w:shd w:val="clear" w:color="auto" w:fill="auto"/>
              <w:spacing w:line="360" w:lineRule="auto"/>
              <w:jc w:val="center"/>
              <w:rPr>
                <w:rFonts w:hint="eastAsia" w:ascii="宋体" w:hAnsi="宋体" w:eastAsia="宋体" w:cs="宋体"/>
                <w:color w:val="auto"/>
                <w:sz w:val="24"/>
                <w:szCs w:val="24"/>
                <w:highlight w:val="none"/>
              </w:rPr>
            </w:pPr>
          </w:p>
        </w:tc>
        <w:tc>
          <w:tcPr>
            <w:tcW w:w="851" w:type="dxa"/>
            <w:noWrap w:val="0"/>
            <w:vAlign w:val="center"/>
          </w:tcPr>
          <w:p w14:paraId="62435D98">
            <w:pPr>
              <w:shd w:val="clear" w:color="auto" w:fill="auto"/>
              <w:spacing w:line="360" w:lineRule="auto"/>
              <w:jc w:val="center"/>
              <w:rPr>
                <w:rFonts w:hint="eastAsia" w:ascii="宋体" w:hAnsi="宋体" w:eastAsia="宋体" w:cs="宋体"/>
                <w:color w:val="auto"/>
                <w:sz w:val="24"/>
                <w:szCs w:val="24"/>
                <w:highlight w:val="none"/>
              </w:rPr>
            </w:pPr>
          </w:p>
        </w:tc>
        <w:tc>
          <w:tcPr>
            <w:tcW w:w="1096" w:type="dxa"/>
            <w:noWrap w:val="0"/>
            <w:vAlign w:val="center"/>
          </w:tcPr>
          <w:p w14:paraId="346D3A66">
            <w:pPr>
              <w:shd w:val="clear" w:color="auto" w:fill="auto"/>
              <w:spacing w:line="360" w:lineRule="auto"/>
              <w:jc w:val="center"/>
              <w:rPr>
                <w:rFonts w:hint="eastAsia" w:ascii="宋体" w:hAnsi="宋体" w:eastAsia="宋体" w:cs="宋体"/>
                <w:color w:val="auto"/>
                <w:sz w:val="24"/>
                <w:szCs w:val="24"/>
                <w:highlight w:val="none"/>
              </w:rPr>
            </w:pPr>
          </w:p>
        </w:tc>
        <w:tc>
          <w:tcPr>
            <w:tcW w:w="713" w:type="dxa"/>
            <w:noWrap w:val="0"/>
            <w:vAlign w:val="center"/>
          </w:tcPr>
          <w:p w14:paraId="134E779C">
            <w:pPr>
              <w:shd w:val="clear" w:color="auto" w:fill="auto"/>
              <w:spacing w:line="360" w:lineRule="auto"/>
              <w:jc w:val="center"/>
              <w:rPr>
                <w:rFonts w:hint="eastAsia" w:ascii="宋体" w:hAnsi="宋体" w:eastAsia="宋体" w:cs="宋体"/>
                <w:color w:val="auto"/>
                <w:sz w:val="24"/>
                <w:szCs w:val="24"/>
                <w:highlight w:val="none"/>
              </w:rPr>
            </w:pPr>
          </w:p>
        </w:tc>
      </w:tr>
      <w:tr w14:paraId="3B6E4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noWrap w:val="0"/>
            <w:vAlign w:val="center"/>
          </w:tcPr>
          <w:p w14:paraId="68F7495C">
            <w:pPr>
              <w:shd w:val="clear" w:color="auto" w:fill="auto"/>
              <w:spacing w:line="360" w:lineRule="auto"/>
              <w:jc w:val="center"/>
              <w:rPr>
                <w:rFonts w:hint="eastAsia" w:ascii="宋体" w:hAnsi="宋体" w:eastAsia="宋体" w:cs="宋体"/>
                <w:color w:val="auto"/>
                <w:sz w:val="24"/>
                <w:szCs w:val="24"/>
                <w:highlight w:val="none"/>
              </w:rPr>
            </w:pPr>
          </w:p>
        </w:tc>
        <w:tc>
          <w:tcPr>
            <w:tcW w:w="1219" w:type="dxa"/>
            <w:noWrap w:val="0"/>
            <w:vAlign w:val="center"/>
          </w:tcPr>
          <w:p w14:paraId="1EEA713F">
            <w:pPr>
              <w:shd w:val="clear" w:color="auto" w:fill="auto"/>
              <w:spacing w:line="360" w:lineRule="auto"/>
              <w:jc w:val="center"/>
              <w:rPr>
                <w:rFonts w:hint="eastAsia" w:ascii="宋体" w:hAnsi="宋体" w:eastAsia="宋体" w:cs="宋体"/>
                <w:color w:val="auto"/>
                <w:sz w:val="24"/>
                <w:szCs w:val="24"/>
                <w:highlight w:val="none"/>
              </w:rPr>
            </w:pPr>
          </w:p>
        </w:tc>
        <w:tc>
          <w:tcPr>
            <w:tcW w:w="1237" w:type="dxa"/>
            <w:noWrap w:val="0"/>
            <w:vAlign w:val="center"/>
          </w:tcPr>
          <w:p w14:paraId="1D75D9F7">
            <w:pPr>
              <w:shd w:val="clear" w:color="auto" w:fill="auto"/>
              <w:spacing w:line="360" w:lineRule="auto"/>
              <w:jc w:val="center"/>
              <w:rPr>
                <w:rFonts w:hint="eastAsia" w:ascii="宋体" w:hAnsi="宋体" w:eastAsia="宋体" w:cs="宋体"/>
                <w:color w:val="auto"/>
                <w:sz w:val="24"/>
                <w:szCs w:val="24"/>
                <w:highlight w:val="none"/>
              </w:rPr>
            </w:pPr>
          </w:p>
        </w:tc>
        <w:tc>
          <w:tcPr>
            <w:tcW w:w="619" w:type="dxa"/>
            <w:noWrap w:val="0"/>
            <w:vAlign w:val="center"/>
          </w:tcPr>
          <w:p w14:paraId="03A6FAF3">
            <w:pPr>
              <w:shd w:val="clear" w:color="auto" w:fill="auto"/>
              <w:spacing w:line="360" w:lineRule="auto"/>
              <w:jc w:val="center"/>
              <w:rPr>
                <w:rFonts w:hint="eastAsia" w:ascii="宋体" w:hAnsi="宋体" w:eastAsia="宋体" w:cs="宋体"/>
                <w:color w:val="auto"/>
                <w:sz w:val="24"/>
                <w:szCs w:val="24"/>
                <w:highlight w:val="none"/>
              </w:rPr>
            </w:pPr>
          </w:p>
        </w:tc>
        <w:tc>
          <w:tcPr>
            <w:tcW w:w="683" w:type="dxa"/>
            <w:noWrap w:val="0"/>
            <w:vAlign w:val="center"/>
          </w:tcPr>
          <w:p w14:paraId="112972E6">
            <w:pPr>
              <w:shd w:val="clear" w:color="auto" w:fill="auto"/>
              <w:spacing w:line="360" w:lineRule="auto"/>
              <w:jc w:val="center"/>
              <w:rPr>
                <w:rFonts w:hint="eastAsia" w:ascii="宋体" w:hAnsi="宋体" w:eastAsia="宋体" w:cs="宋体"/>
                <w:color w:val="auto"/>
                <w:sz w:val="24"/>
                <w:szCs w:val="24"/>
                <w:highlight w:val="none"/>
              </w:rPr>
            </w:pPr>
          </w:p>
        </w:tc>
        <w:tc>
          <w:tcPr>
            <w:tcW w:w="1044" w:type="dxa"/>
            <w:noWrap w:val="0"/>
            <w:vAlign w:val="center"/>
          </w:tcPr>
          <w:p w14:paraId="09557FE1">
            <w:pPr>
              <w:shd w:val="clear" w:color="auto" w:fill="auto"/>
              <w:spacing w:line="360" w:lineRule="auto"/>
              <w:jc w:val="center"/>
              <w:rPr>
                <w:rFonts w:hint="eastAsia" w:ascii="宋体" w:hAnsi="宋体" w:eastAsia="宋体" w:cs="宋体"/>
                <w:color w:val="auto"/>
                <w:sz w:val="24"/>
                <w:szCs w:val="24"/>
                <w:highlight w:val="none"/>
              </w:rPr>
            </w:pPr>
          </w:p>
        </w:tc>
        <w:tc>
          <w:tcPr>
            <w:tcW w:w="992" w:type="dxa"/>
            <w:noWrap w:val="0"/>
            <w:vAlign w:val="center"/>
          </w:tcPr>
          <w:p w14:paraId="4C327F56">
            <w:pPr>
              <w:shd w:val="clear" w:color="auto" w:fill="auto"/>
              <w:spacing w:line="360" w:lineRule="auto"/>
              <w:jc w:val="center"/>
              <w:rPr>
                <w:rFonts w:hint="eastAsia" w:ascii="宋体" w:hAnsi="宋体" w:eastAsia="宋体" w:cs="宋体"/>
                <w:color w:val="auto"/>
                <w:sz w:val="24"/>
                <w:szCs w:val="24"/>
                <w:highlight w:val="none"/>
              </w:rPr>
            </w:pPr>
          </w:p>
        </w:tc>
        <w:tc>
          <w:tcPr>
            <w:tcW w:w="851" w:type="dxa"/>
            <w:noWrap w:val="0"/>
            <w:vAlign w:val="center"/>
          </w:tcPr>
          <w:p w14:paraId="70BBA772">
            <w:pPr>
              <w:shd w:val="clear" w:color="auto" w:fill="auto"/>
              <w:spacing w:line="360" w:lineRule="auto"/>
              <w:jc w:val="center"/>
              <w:rPr>
                <w:rFonts w:hint="eastAsia" w:ascii="宋体" w:hAnsi="宋体" w:eastAsia="宋体" w:cs="宋体"/>
                <w:color w:val="auto"/>
                <w:sz w:val="24"/>
                <w:szCs w:val="24"/>
                <w:highlight w:val="none"/>
              </w:rPr>
            </w:pPr>
          </w:p>
        </w:tc>
        <w:tc>
          <w:tcPr>
            <w:tcW w:w="1096" w:type="dxa"/>
            <w:noWrap w:val="0"/>
            <w:vAlign w:val="center"/>
          </w:tcPr>
          <w:p w14:paraId="172EF23E">
            <w:pPr>
              <w:shd w:val="clear" w:color="auto" w:fill="auto"/>
              <w:spacing w:line="360" w:lineRule="auto"/>
              <w:jc w:val="center"/>
              <w:rPr>
                <w:rFonts w:hint="eastAsia" w:ascii="宋体" w:hAnsi="宋体" w:eastAsia="宋体" w:cs="宋体"/>
                <w:color w:val="auto"/>
                <w:sz w:val="24"/>
                <w:szCs w:val="24"/>
                <w:highlight w:val="none"/>
              </w:rPr>
            </w:pPr>
          </w:p>
        </w:tc>
        <w:tc>
          <w:tcPr>
            <w:tcW w:w="713" w:type="dxa"/>
            <w:noWrap w:val="0"/>
            <w:vAlign w:val="center"/>
          </w:tcPr>
          <w:p w14:paraId="53A3A8EC">
            <w:pPr>
              <w:shd w:val="clear" w:color="auto" w:fill="auto"/>
              <w:spacing w:line="360" w:lineRule="auto"/>
              <w:jc w:val="center"/>
              <w:rPr>
                <w:rFonts w:hint="eastAsia" w:ascii="宋体" w:hAnsi="宋体" w:eastAsia="宋体" w:cs="宋体"/>
                <w:color w:val="auto"/>
                <w:sz w:val="24"/>
                <w:szCs w:val="24"/>
                <w:highlight w:val="none"/>
              </w:rPr>
            </w:pPr>
          </w:p>
        </w:tc>
      </w:tr>
      <w:tr w14:paraId="78B7A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noWrap w:val="0"/>
            <w:vAlign w:val="center"/>
          </w:tcPr>
          <w:p w14:paraId="2727F637">
            <w:pPr>
              <w:shd w:val="clear" w:color="auto" w:fill="auto"/>
              <w:spacing w:line="360" w:lineRule="auto"/>
              <w:jc w:val="center"/>
              <w:rPr>
                <w:rFonts w:hint="eastAsia" w:ascii="宋体" w:hAnsi="宋体" w:eastAsia="宋体" w:cs="宋体"/>
                <w:color w:val="auto"/>
                <w:sz w:val="24"/>
                <w:szCs w:val="24"/>
                <w:highlight w:val="none"/>
              </w:rPr>
            </w:pPr>
          </w:p>
        </w:tc>
        <w:tc>
          <w:tcPr>
            <w:tcW w:w="1219" w:type="dxa"/>
            <w:noWrap w:val="0"/>
            <w:vAlign w:val="center"/>
          </w:tcPr>
          <w:p w14:paraId="05F8F67D">
            <w:pPr>
              <w:shd w:val="clear" w:color="auto" w:fill="auto"/>
              <w:spacing w:line="360" w:lineRule="auto"/>
              <w:jc w:val="center"/>
              <w:rPr>
                <w:rFonts w:hint="eastAsia" w:ascii="宋体" w:hAnsi="宋体" w:eastAsia="宋体" w:cs="宋体"/>
                <w:color w:val="auto"/>
                <w:sz w:val="24"/>
                <w:szCs w:val="24"/>
                <w:highlight w:val="none"/>
              </w:rPr>
            </w:pPr>
          </w:p>
        </w:tc>
        <w:tc>
          <w:tcPr>
            <w:tcW w:w="1237" w:type="dxa"/>
            <w:noWrap w:val="0"/>
            <w:vAlign w:val="center"/>
          </w:tcPr>
          <w:p w14:paraId="1347763C">
            <w:pPr>
              <w:shd w:val="clear" w:color="auto" w:fill="auto"/>
              <w:spacing w:line="360" w:lineRule="auto"/>
              <w:jc w:val="center"/>
              <w:rPr>
                <w:rFonts w:hint="eastAsia" w:ascii="宋体" w:hAnsi="宋体" w:eastAsia="宋体" w:cs="宋体"/>
                <w:color w:val="auto"/>
                <w:sz w:val="24"/>
                <w:szCs w:val="24"/>
                <w:highlight w:val="none"/>
              </w:rPr>
            </w:pPr>
          </w:p>
        </w:tc>
        <w:tc>
          <w:tcPr>
            <w:tcW w:w="619" w:type="dxa"/>
            <w:noWrap w:val="0"/>
            <w:vAlign w:val="center"/>
          </w:tcPr>
          <w:p w14:paraId="5C5EEB6A">
            <w:pPr>
              <w:shd w:val="clear" w:color="auto" w:fill="auto"/>
              <w:spacing w:line="360" w:lineRule="auto"/>
              <w:jc w:val="center"/>
              <w:rPr>
                <w:rFonts w:hint="eastAsia" w:ascii="宋体" w:hAnsi="宋体" w:eastAsia="宋体" w:cs="宋体"/>
                <w:color w:val="auto"/>
                <w:sz w:val="24"/>
                <w:szCs w:val="24"/>
                <w:highlight w:val="none"/>
              </w:rPr>
            </w:pPr>
          </w:p>
        </w:tc>
        <w:tc>
          <w:tcPr>
            <w:tcW w:w="683" w:type="dxa"/>
            <w:noWrap w:val="0"/>
            <w:vAlign w:val="center"/>
          </w:tcPr>
          <w:p w14:paraId="17F50BF4">
            <w:pPr>
              <w:shd w:val="clear" w:color="auto" w:fill="auto"/>
              <w:spacing w:line="360" w:lineRule="auto"/>
              <w:jc w:val="center"/>
              <w:rPr>
                <w:rFonts w:hint="eastAsia" w:ascii="宋体" w:hAnsi="宋体" w:eastAsia="宋体" w:cs="宋体"/>
                <w:color w:val="auto"/>
                <w:sz w:val="24"/>
                <w:szCs w:val="24"/>
                <w:highlight w:val="none"/>
              </w:rPr>
            </w:pPr>
          </w:p>
        </w:tc>
        <w:tc>
          <w:tcPr>
            <w:tcW w:w="1044" w:type="dxa"/>
            <w:noWrap w:val="0"/>
            <w:vAlign w:val="center"/>
          </w:tcPr>
          <w:p w14:paraId="01A2E8DD">
            <w:pPr>
              <w:shd w:val="clear" w:color="auto" w:fill="auto"/>
              <w:spacing w:line="360" w:lineRule="auto"/>
              <w:jc w:val="center"/>
              <w:rPr>
                <w:rFonts w:hint="eastAsia" w:ascii="宋体" w:hAnsi="宋体" w:eastAsia="宋体" w:cs="宋体"/>
                <w:color w:val="auto"/>
                <w:sz w:val="24"/>
                <w:szCs w:val="24"/>
                <w:highlight w:val="none"/>
              </w:rPr>
            </w:pPr>
          </w:p>
        </w:tc>
        <w:tc>
          <w:tcPr>
            <w:tcW w:w="992" w:type="dxa"/>
            <w:noWrap w:val="0"/>
            <w:vAlign w:val="center"/>
          </w:tcPr>
          <w:p w14:paraId="4668140F">
            <w:pPr>
              <w:shd w:val="clear" w:color="auto" w:fill="auto"/>
              <w:spacing w:line="360" w:lineRule="auto"/>
              <w:jc w:val="center"/>
              <w:rPr>
                <w:rFonts w:hint="eastAsia" w:ascii="宋体" w:hAnsi="宋体" w:eastAsia="宋体" w:cs="宋体"/>
                <w:color w:val="auto"/>
                <w:sz w:val="24"/>
                <w:szCs w:val="24"/>
                <w:highlight w:val="none"/>
              </w:rPr>
            </w:pPr>
          </w:p>
        </w:tc>
        <w:tc>
          <w:tcPr>
            <w:tcW w:w="851" w:type="dxa"/>
            <w:noWrap w:val="0"/>
            <w:vAlign w:val="center"/>
          </w:tcPr>
          <w:p w14:paraId="38726712">
            <w:pPr>
              <w:shd w:val="clear" w:color="auto" w:fill="auto"/>
              <w:spacing w:line="360" w:lineRule="auto"/>
              <w:jc w:val="center"/>
              <w:rPr>
                <w:rFonts w:hint="eastAsia" w:ascii="宋体" w:hAnsi="宋体" w:eastAsia="宋体" w:cs="宋体"/>
                <w:color w:val="auto"/>
                <w:sz w:val="24"/>
                <w:szCs w:val="24"/>
                <w:highlight w:val="none"/>
              </w:rPr>
            </w:pPr>
          </w:p>
        </w:tc>
        <w:tc>
          <w:tcPr>
            <w:tcW w:w="1096" w:type="dxa"/>
            <w:noWrap w:val="0"/>
            <w:vAlign w:val="center"/>
          </w:tcPr>
          <w:p w14:paraId="42D016E9">
            <w:pPr>
              <w:shd w:val="clear" w:color="auto" w:fill="auto"/>
              <w:spacing w:line="360" w:lineRule="auto"/>
              <w:jc w:val="center"/>
              <w:rPr>
                <w:rFonts w:hint="eastAsia" w:ascii="宋体" w:hAnsi="宋体" w:eastAsia="宋体" w:cs="宋体"/>
                <w:color w:val="auto"/>
                <w:sz w:val="24"/>
                <w:szCs w:val="24"/>
                <w:highlight w:val="none"/>
              </w:rPr>
            </w:pPr>
          </w:p>
        </w:tc>
        <w:tc>
          <w:tcPr>
            <w:tcW w:w="713" w:type="dxa"/>
            <w:noWrap w:val="0"/>
            <w:vAlign w:val="center"/>
          </w:tcPr>
          <w:p w14:paraId="244A0107">
            <w:pPr>
              <w:shd w:val="clear" w:color="auto" w:fill="auto"/>
              <w:spacing w:line="360" w:lineRule="auto"/>
              <w:jc w:val="center"/>
              <w:rPr>
                <w:rFonts w:hint="eastAsia" w:ascii="宋体" w:hAnsi="宋体" w:eastAsia="宋体" w:cs="宋体"/>
                <w:color w:val="auto"/>
                <w:sz w:val="24"/>
                <w:szCs w:val="24"/>
                <w:highlight w:val="none"/>
              </w:rPr>
            </w:pPr>
          </w:p>
        </w:tc>
      </w:tr>
      <w:tr w14:paraId="0225B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noWrap w:val="0"/>
            <w:vAlign w:val="center"/>
          </w:tcPr>
          <w:p w14:paraId="06E356BD">
            <w:pPr>
              <w:shd w:val="clear" w:color="auto" w:fill="auto"/>
              <w:spacing w:line="360" w:lineRule="auto"/>
              <w:jc w:val="center"/>
              <w:rPr>
                <w:rFonts w:hint="eastAsia" w:ascii="宋体" w:hAnsi="宋体" w:eastAsia="宋体" w:cs="宋体"/>
                <w:color w:val="auto"/>
                <w:sz w:val="24"/>
                <w:szCs w:val="24"/>
                <w:highlight w:val="none"/>
              </w:rPr>
            </w:pPr>
          </w:p>
        </w:tc>
        <w:tc>
          <w:tcPr>
            <w:tcW w:w="1219" w:type="dxa"/>
            <w:noWrap w:val="0"/>
            <w:vAlign w:val="center"/>
          </w:tcPr>
          <w:p w14:paraId="643997C9">
            <w:pPr>
              <w:shd w:val="clear" w:color="auto" w:fill="auto"/>
              <w:spacing w:line="360" w:lineRule="auto"/>
              <w:jc w:val="center"/>
              <w:rPr>
                <w:rFonts w:hint="eastAsia" w:ascii="宋体" w:hAnsi="宋体" w:eastAsia="宋体" w:cs="宋体"/>
                <w:color w:val="auto"/>
                <w:sz w:val="24"/>
                <w:szCs w:val="24"/>
                <w:highlight w:val="none"/>
              </w:rPr>
            </w:pPr>
          </w:p>
        </w:tc>
        <w:tc>
          <w:tcPr>
            <w:tcW w:w="1237" w:type="dxa"/>
            <w:noWrap w:val="0"/>
            <w:vAlign w:val="center"/>
          </w:tcPr>
          <w:p w14:paraId="2848DBCD">
            <w:pPr>
              <w:shd w:val="clear" w:color="auto" w:fill="auto"/>
              <w:spacing w:line="360" w:lineRule="auto"/>
              <w:jc w:val="center"/>
              <w:rPr>
                <w:rFonts w:hint="eastAsia" w:ascii="宋体" w:hAnsi="宋体" w:eastAsia="宋体" w:cs="宋体"/>
                <w:color w:val="auto"/>
                <w:sz w:val="24"/>
                <w:szCs w:val="24"/>
                <w:highlight w:val="none"/>
              </w:rPr>
            </w:pPr>
          </w:p>
        </w:tc>
        <w:tc>
          <w:tcPr>
            <w:tcW w:w="619" w:type="dxa"/>
            <w:noWrap w:val="0"/>
            <w:vAlign w:val="center"/>
          </w:tcPr>
          <w:p w14:paraId="652AD871">
            <w:pPr>
              <w:shd w:val="clear" w:color="auto" w:fill="auto"/>
              <w:spacing w:line="360" w:lineRule="auto"/>
              <w:jc w:val="center"/>
              <w:rPr>
                <w:rFonts w:hint="eastAsia" w:ascii="宋体" w:hAnsi="宋体" w:eastAsia="宋体" w:cs="宋体"/>
                <w:color w:val="auto"/>
                <w:sz w:val="24"/>
                <w:szCs w:val="24"/>
                <w:highlight w:val="none"/>
              </w:rPr>
            </w:pPr>
          </w:p>
        </w:tc>
        <w:tc>
          <w:tcPr>
            <w:tcW w:w="683" w:type="dxa"/>
            <w:noWrap w:val="0"/>
            <w:vAlign w:val="center"/>
          </w:tcPr>
          <w:p w14:paraId="7D53C5C7">
            <w:pPr>
              <w:shd w:val="clear" w:color="auto" w:fill="auto"/>
              <w:spacing w:line="360" w:lineRule="auto"/>
              <w:jc w:val="center"/>
              <w:rPr>
                <w:rFonts w:hint="eastAsia" w:ascii="宋体" w:hAnsi="宋体" w:eastAsia="宋体" w:cs="宋体"/>
                <w:color w:val="auto"/>
                <w:sz w:val="24"/>
                <w:szCs w:val="24"/>
                <w:highlight w:val="none"/>
              </w:rPr>
            </w:pPr>
          </w:p>
        </w:tc>
        <w:tc>
          <w:tcPr>
            <w:tcW w:w="1044" w:type="dxa"/>
            <w:noWrap w:val="0"/>
            <w:vAlign w:val="center"/>
          </w:tcPr>
          <w:p w14:paraId="401A6629">
            <w:pPr>
              <w:shd w:val="clear" w:color="auto" w:fill="auto"/>
              <w:spacing w:line="360" w:lineRule="auto"/>
              <w:jc w:val="center"/>
              <w:rPr>
                <w:rFonts w:hint="eastAsia" w:ascii="宋体" w:hAnsi="宋体" w:eastAsia="宋体" w:cs="宋体"/>
                <w:color w:val="auto"/>
                <w:sz w:val="24"/>
                <w:szCs w:val="24"/>
                <w:highlight w:val="none"/>
              </w:rPr>
            </w:pPr>
          </w:p>
        </w:tc>
        <w:tc>
          <w:tcPr>
            <w:tcW w:w="992" w:type="dxa"/>
            <w:noWrap w:val="0"/>
            <w:vAlign w:val="center"/>
          </w:tcPr>
          <w:p w14:paraId="364B3C79">
            <w:pPr>
              <w:shd w:val="clear" w:color="auto" w:fill="auto"/>
              <w:spacing w:line="360" w:lineRule="auto"/>
              <w:jc w:val="center"/>
              <w:rPr>
                <w:rFonts w:hint="eastAsia" w:ascii="宋体" w:hAnsi="宋体" w:eastAsia="宋体" w:cs="宋体"/>
                <w:color w:val="auto"/>
                <w:sz w:val="24"/>
                <w:szCs w:val="24"/>
                <w:highlight w:val="none"/>
              </w:rPr>
            </w:pPr>
          </w:p>
        </w:tc>
        <w:tc>
          <w:tcPr>
            <w:tcW w:w="851" w:type="dxa"/>
            <w:noWrap w:val="0"/>
            <w:vAlign w:val="center"/>
          </w:tcPr>
          <w:p w14:paraId="251C4ED2">
            <w:pPr>
              <w:shd w:val="clear" w:color="auto" w:fill="auto"/>
              <w:spacing w:line="360" w:lineRule="auto"/>
              <w:jc w:val="center"/>
              <w:rPr>
                <w:rFonts w:hint="eastAsia" w:ascii="宋体" w:hAnsi="宋体" w:eastAsia="宋体" w:cs="宋体"/>
                <w:color w:val="auto"/>
                <w:sz w:val="24"/>
                <w:szCs w:val="24"/>
                <w:highlight w:val="none"/>
              </w:rPr>
            </w:pPr>
          </w:p>
        </w:tc>
        <w:tc>
          <w:tcPr>
            <w:tcW w:w="1096" w:type="dxa"/>
            <w:noWrap w:val="0"/>
            <w:vAlign w:val="center"/>
          </w:tcPr>
          <w:p w14:paraId="04418A6F">
            <w:pPr>
              <w:shd w:val="clear" w:color="auto" w:fill="auto"/>
              <w:spacing w:line="360" w:lineRule="auto"/>
              <w:jc w:val="center"/>
              <w:rPr>
                <w:rFonts w:hint="eastAsia" w:ascii="宋体" w:hAnsi="宋体" w:eastAsia="宋体" w:cs="宋体"/>
                <w:color w:val="auto"/>
                <w:sz w:val="24"/>
                <w:szCs w:val="24"/>
                <w:highlight w:val="none"/>
              </w:rPr>
            </w:pPr>
          </w:p>
        </w:tc>
        <w:tc>
          <w:tcPr>
            <w:tcW w:w="713" w:type="dxa"/>
            <w:noWrap w:val="0"/>
            <w:vAlign w:val="center"/>
          </w:tcPr>
          <w:p w14:paraId="7252821D">
            <w:pPr>
              <w:shd w:val="clear" w:color="auto" w:fill="auto"/>
              <w:spacing w:line="360" w:lineRule="auto"/>
              <w:jc w:val="center"/>
              <w:rPr>
                <w:rFonts w:hint="eastAsia" w:ascii="宋体" w:hAnsi="宋体" w:eastAsia="宋体" w:cs="宋体"/>
                <w:color w:val="auto"/>
                <w:sz w:val="24"/>
                <w:szCs w:val="24"/>
                <w:highlight w:val="none"/>
              </w:rPr>
            </w:pPr>
          </w:p>
        </w:tc>
      </w:tr>
      <w:tr w14:paraId="4792C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noWrap w:val="0"/>
            <w:vAlign w:val="center"/>
          </w:tcPr>
          <w:p w14:paraId="42AD1289">
            <w:pPr>
              <w:shd w:val="clear" w:color="auto" w:fill="auto"/>
              <w:spacing w:line="360" w:lineRule="auto"/>
              <w:jc w:val="center"/>
              <w:rPr>
                <w:rFonts w:hint="eastAsia" w:ascii="宋体" w:hAnsi="宋体" w:eastAsia="宋体" w:cs="宋体"/>
                <w:color w:val="auto"/>
                <w:sz w:val="24"/>
                <w:szCs w:val="24"/>
                <w:highlight w:val="none"/>
              </w:rPr>
            </w:pPr>
          </w:p>
        </w:tc>
        <w:tc>
          <w:tcPr>
            <w:tcW w:w="1219" w:type="dxa"/>
            <w:noWrap w:val="0"/>
            <w:vAlign w:val="center"/>
          </w:tcPr>
          <w:p w14:paraId="6FF024C5">
            <w:pPr>
              <w:shd w:val="clear" w:color="auto" w:fill="auto"/>
              <w:spacing w:line="360" w:lineRule="auto"/>
              <w:jc w:val="center"/>
              <w:rPr>
                <w:rFonts w:hint="eastAsia" w:ascii="宋体" w:hAnsi="宋体" w:eastAsia="宋体" w:cs="宋体"/>
                <w:color w:val="auto"/>
                <w:sz w:val="24"/>
                <w:szCs w:val="24"/>
                <w:highlight w:val="none"/>
              </w:rPr>
            </w:pPr>
          </w:p>
        </w:tc>
        <w:tc>
          <w:tcPr>
            <w:tcW w:w="1237" w:type="dxa"/>
            <w:noWrap w:val="0"/>
            <w:vAlign w:val="center"/>
          </w:tcPr>
          <w:p w14:paraId="426B60B6">
            <w:pPr>
              <w:shd w:val="clear" w:color="auto" w:fill="auto"/>
              <w:spacing w:line="360" w:lineRule="auto"/>
              <w:jc w:val="center"/>
              <w:rPr>
                <w:rFonts w:hint="eastAsia" w:ascii="宋体" w:hAnsi="宋体" w:eastAsia="宋体" w:cs="宋体"/>
                <w:color w:val="auto"/>
                <w:sz w:val="24"/>
                <w:szCs w:val="24"/>
                <w:highlight w:val="none"/>
              </w:rPr>
            </w:pPr>
          </w:p>
        </w:tc>
        <w:tc>
          <w:tcPr>
            <w:tcW w:w="619" w:type="dxa"/>
            <w:noWrap w:val="0"/>
            <w:vAlign w:val="center"/>
          </w:tcPr>
          <w:p w14:paraId="5A4BC3C4">
            <w:pPr>
              <w:shd w:val="clear" w:color="auto" w:fill="auto"/>
              <w:spacing w:line="360" w:lineRule="auto"/>
              <w:jc w:val="center"/>
              <w:rPr>
                <w:rFonts w:hint="eastAsia" w:ascii="宋体" w:hAnsi="宋体" w:eastAsia="宋体" w:cs="宋体"/>
                <w:color w:val="auto"/>
                <w:sz w:val="24"/>
                <w:szCs w:val="24"/>
                <w:highlight w:val="none"/>
              </w:rPr>
            </w:pPr>
          </w:p>
        </w:tc>
        <w:tc>
          <w:tcPr>
            <w:tcW w:w="683" w:type="dxa"/>
            <w:noWrap w:val="0"/>
            <w:vAlign w:val="center"/>
          </w:tcPr>
          <w:p w14:paraId="20E80B37">
            <w:pPr>
              <w:shd w:val="clear" w:color="auto" w:fill="auto"/>
              <w:spacing w:line="360" w:lineRule="auto"/>
              <w:jc w:val="center"/>
              <w:rPr>
                <w:rFonts w:hint="eastAsia" w:ascii="宋体" w:hAnsi="宋体" w:eastAsia="宋体" w:cs="宋体"/>
                <w:color w:val="auto"/>
                <w:sz w:val="24"/>
                <w:szCs w:val="24"/>
                <w:highlight w:val="none"/>
              </w:rPr>
            </w:pPr>
          </w:p>
        </w:tc>
        <w:tc>
          <w:tcPr>
            <w:tcW w:w="1044" w:type="dxa"/>
            <w:noWrap w:val="0"/>
            <w:vAlign w:val="center"/>
          </w:tcPr>
          <w:p w14:paraId="07DEF5E2">
            <w:pPr>
              <w:shd w:val="clear" w:color="auto" w:fill="auto"/>
              <w:spacing w:line="360" w:lineRule="auto"/>
              <w:jc w:val="center"/>
              <w:rPr>
                <w:rFonts w:hint="eastAsia" w:ascii="宋体" w:hAnsi="宋体" w:eastAsia="宋体" w:cs="宋体"/>
                <w:color w:val="auto"/>
                <w:sz w:val="24"/>
                <w:szCs w:val="24"/>
                <w:highlight w:val="none"/>
              </w:rPr>
            </w:pPr>
          </w:p>
        </w:tc>
        <w:tc>
          <w:tcPr>
            <w:tcW w:w="992" w:type="dxa"/>
            <w:noWrap w:val="0"/>
            <w:vAlign w:val="center"/>
          </w:tcPr>
          <w:p w14:paraId="22D3A86D">
            <w:pPr>
              <w:shd w:val="clear" w:color="auto" w:fill="auto"/>
              <w:spacing w:line="360" w:lineRule="auto"/>
              <w:jc w:val="center"/>
              <w:rPr>
                <w:rFonts w:hint="eastAsia" w:ascii="宋体" w:hAnsi="宋体" w:eastAsia="宋体" w:cs="宋体"/>
                <w:color w:val="auto"/>
                <w:sz w:val="24"/>
                <w:szCs w:val="24"/>
                <w:highlight w:val="none"/>
              </w:rPr>
            </w:pPr>
          </w:p>
        </w:tc>
        <w:tc>
          <w:tcPr>
            <w:tcW w:w="851" w:type="dxa"/>
            <w:noWrap w:val="0"/>
            <w:vAlign w:val="center"/>
          </w:tcPr>
          <w:p w14:paraId="53964789">
            <w:pPr>
              <w:shd w:val="clear" w:color="auto" w:fill="auto"/>
              <w:spacing w:line="360" w:lineRule="auto"/>
              <w:jc w:val="center"/>
              <w:rPr>
                <w:rFonts w:hint="eastAsia" w:ascii="宋体" w:hAnsi="宋体" w:eastAsia="宋体" w:cs="宋体"/>
                <w:color w:val="auto"/>
                <w:sz w:val="24"/>
                <w:szCs w:val="24"/>
                <w:highlight w:val="none"/>
              </w:rPr>
            </w:pPr>
          </w:p>
        </w:tc>
        <w:tc>
          <w:tcPr>
            <w:tcW w:w="1096" w:type="dxa"/>
            <w:noWrap w:val="0"/>
            <w:vAlign w:val="center"/>
          </w:tcPr>
          <w:p w14:paraId="6D48EE4F">
            <w:pPr>
              <w:shd w:val="clear" w:color="auto" w:fill="auto"/>
              <w:spacing w:line="360" w:lineRule="auto"/>
              <w:jc w:val="center"/>
              <w:rPr>
                <w:rFonts w:hint="eastAsia" w:ascii="宋体" w:hAnsi="宋体" w:eastAsia="宋体" w:cs="宋体"/>
                <w:color w:val="auto"/>
                <w:sz w:val="24"/>
                <w:szCs w:val="24"/>
                <w:highlight w:val="none"/>
              </w:rPr>
            </w:pPr>
          </w:p>
        </w:tc>
        <w:tc>
          <w:tcPr>
            <w:tcW w:w="713" w:type="dxa"/>
            <w:noWrap w:val="0"/>
            <w:vAlign w:val="center"/>
          </w:tcPr>
          <w:p w14:paraId="75223345">
            <w:pPr>
              <w:shd w:val="clear" w:color="auto" w:fill="auto"/>
              <w:spacing w:line="360" w:lineRule="auto"/>
              <w:jc w:val="center"/>
              <w:rPr>
                <w:rFonts w:hint="eastAsia" w:ascii="宋体" w:hAnsi="宋体" w:eastAsia="宋体" w:cs="宋体"/>
                <w:color w:val="auto"/>
                <w:sz w:val="24"/>
                <w:szCs w:val="24"/>
                <w:highlight w:val="none"/>
              </w:rPr>
            </w:pPr>
          </w:p>
        </w:tc>
      </w:tr>
      <w:tr w14:paraId="763F5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noWrap w:val="0"/>
            <w:vAlign w:val="center"/>
          </w:tcPr>
          <w:p w14:paraId="3401D946">
            <w:pPr>
              <w:shd w:val="clear" w:color="auto" w:fill="auto"/>
              <w:spacing w:line="360" w:lineRule="auto"/>
              <w:jc w:val="center"/>
              <w:rPr>
                <w:rFonts w:hint="eastAsia" w:ascii="宋体" w:hAnsi="宋体" w:eastAsia="宋体" w:cs="宋体"/>
                <w:color w:val="auto"/>
                <w:sz w:val="24"/>
                <w:szCs w:val="24"/>
                <w:highlight w:val="none"/>
              </w:rPr>
            </w:pPr>
          </w:p>
        </w:tc>
        <w:tc>
          <w:tcPr>
            <w:tcW w:w="1219" w:type="dxa"/>
            <w:noWrap w:val="0"/>
            <w:vAlign w:val="center"/>
          </w:tcPr>
          <w:p w14:paraId="704EC8E1">
            <w:pPr>
              <w:shd w:val="clear" w:color="auto" w:fill="auto"/>
              <w:spacing w:line="360" w:lineRule="auto"/>
              <w:jc w:val="center"/>
              <w:rPr>
                <w:rFonts w:hint="eastAsia" w:ascii="宋体" w:hAnsi="宋体" w:eastAsia="宋体" w:cs="宋体"/>
                <w:color w:val="auto"/>
                <w:sz w:val="24"/>
                <w:szCs w:val="24"/>
                <w:highlight w:val="none"/>
              </w:rPr>
            </w:pPr>
          </w:p>
        </w:tc>
        <w:tc>
          <w:tcPr>
            <w:tcW w:w="1237" w:type="dxa"/>
            <w:noWrap w:val="0"/>
            <w:vAlign w:val="center"/>
          </w:tcPr>
          <w:p w14:paraId="3F8030E2">
            <w:pPr>
              <w:shd w:val="clear" w:color="auto" w:fill="auto"/>
              <w:spacing w:line="360" w:lineRule="auto"/>
              <w:jc w:val="center"/>
              <w:rPr>
                <w:rFonts w:hint="eastAsia" w:ascii="宋体" w:hAnsi="宋体" w:eastAsia="宋体" w:cs="宋体"/>
                <w:color w:val="auto"/>
                <w:sz w:val="24"/>
                <w:szCs w:val="24"/>
                <w:highlight w:val="none"/>
              </w:rPr>
            </w:pPr>
          </w:p>
        </w:tc>
        <w:tc>
          <w:tcPr>
            <w:tcW w:w="619" w:type="dxa"/>
            <w:noWrap w:val="0"/>
            <w:vAlign w:val="center"/>
          </w:tcPr>
          <w:p w14:paraId="08C441A2">
            <w:pPr>
              <w:shd w:val="clear" w:color="auto" w:fill="auto"/>
              <w:spacing w:line="360" w:lineRule="auto"/>
              <w:jc w:val="center"/>
              <w:rPr>
                <w:rFonts w:hint="eastAsia" w:ascii="宋体" w:hAnsi="宋体" w:eastAsia="宋体" w:cs="宋体"/>
                <w:color w:val="auto"/>
                <w:sz w:val="24"/>
                <w:szCs w:val="24"/>
                <w:highlight w:val="none"/>
              </w:rPr>
            </w:pPr>
          </w:p>
        </w:tc>
        <w:tc>
          <w:tcPr>
            <w:tcW w:w="683" w:type="dxa"/>
            <w:noWrap w:val="0"/>
            <w:vAlign w:val="center"/>
          </w:tcPr>
          <w:p w14:paraId="31CE1E74">
            <w:pPr>
              <w:shd w:val="clear" w:color="auto" w:fill="auto"/>
              <w:spacing w:line="360" w:lineRule="auto"/>
              <w:jc w:val="center"/>
              <w:rPr>
                <w:rFonts w:hint="eastAsia" w:ascii="宋体" w:hAnsi="宋体" w:eastAsia="宋体" w:cs="宋体"/>
                <w:color w:val="auto"/>
                <w:sz w:val="24"/>
                <w:szCs w:val="24"/>
                <w:highlight w:val="none"/>
              </w:rPr>
            </w:pPr>
          </w:p>
        </w:tc>
        <w:tc>
          <w:tcPr>
            <w:tcW w:w="1044" w:type="dxa"/>
            <w:noWrap w:val="0"/>
            <w:vAlign w:val="center"/>
          </w:tcPr>
          <w:p w14:paraId="0FC22F0E">
            <w:pPr>
              <w:shd w:val="clear" w:color="auto" w:fill="auto"/>
              <w:spacing w:line="360" w:lineRule="auto"/>
              <w:jc w:val="center"/>
              <w:rPr>
                <w:rFonts w:hint="eastAsia" w:ascii="宋体" w:hAnsi="宋体" w:eastAsia="宋体" w:cs="宋体"/>
                <w:color w:val="auto"/>
                <w:sz w:val="24"/>
                <w:szCs w:val="24"/>
                <w:highlight w:val="none"/>
              </w:rPr>
            </w:pPr>
          </w:p>
        </w:tc>
        <w:tc>
          <w:tcPr>
            <w:tcW w:w="992" w:type="dxa"/>
            <w:noWrap w:val="0"/>
            <w:vAlign w:val="center"/>
          </w:tcPr>
          <w:p w14:paraId="6EF80BAB">
            <w:pPr>
              <w:shd w:val="clear" w:color="auto" w:fill="auto"/>
              <w:spacing w:line="360" w:lineRule="auto"/>
              <w:jc w:val="center"/>
              <w:rPr>
                <w:rFonts w:hint="eastAsia" w:ascii="宋体" w:hAnsi="宋体" w:eastAsia="宋体" w:cs="宋体"/>
                <w:color w:val="auto"/>
                <w:sz w:val="24"/>
                <w:szCs w:val="24"/>
                <w:highlight w:val="none"/>
              </w:rPr>
            </w:pPr>
          </w:p>
        </w:tc>
        <w:tc>
          <w:tcPr>
            <w:tcW w:w="851" w:type="dxa"/>
            <w:noWrap w:val="0"/>
            <w:vAlign w:val="center"/>
          </w:tcPr>
          <w:p w14:paraId="00894C8B">
            <w:pPr>
              <w:shd w:val="clear" w:color="auto" w:fill="auto"/>
              <w:spacing w:line="360" w:lineRule="auto"/>
              <w:jc w:val="center"/>
              <w:rPr>
                <w:rFonts w:hint="eastAsia" w:ascii="宋体" w:hAnsi="宋体" w:eastAsia="宋体" w:cs="宋体"/>
                <w:color w:val="auto"/>
                <w:sz w:val="24"/>
                <w:szCs w:val="24"/>
                <w:highlight w:val="none"/>
              </w:rPr>
            </w:pPr>
          </w:p>
        </w:tc>
        <w:tc>
          <w:tcPr>
            <w:tcW w:w="1096" w:type="dxa"/>
            <w:noWrap w:val="0"/>
            <w:vAlign w:val="center"/>
          </w:tcPr>
          <w:p w14:paraId="79FC7437">
            <w:pPr>
              <w:shd w:val="clear" w:color="auto" w:fill="auto"/>
              <w:spacing w:line="360" w:lineRule="auto"/>
              <w:jc w:val="center"/>
              <w:rPr>
                <w:rFonts w:hint="eastAsia" w:ascii="宋体" w:hAnsi="宋体" w:eastAsia="宋体" w:cs="宋体"/>
                <w:color w:val="auto"/>
                <w:sz w:val="24"/>
                <w:szCs w:val="24"/>
                <w:highlight w:val="none"/>
              </w:rPr>
            </w:pPr>
          </w:p>
        </w:tc>
        <w:tc>
          <w:tcPr>
            <w:tcW w:w="713" w:type="dxa"/>
            <w:noWrap w:val="0"/>
            <w:vAlign w:val="center"/>
          </w:tcPr>
          <w:p w14:paraId="12932EBA">
            <w:pPr>
              <w:shd w:val="clear" w:color="auto" w:fill="auto"/>
              <w:spacing w:line="360" w:lineRule="auto"/>
              <w:jc w:val="center"/>
              <w:rPr>
                <w:rFonts w:hint="eastAsia" w:ascii="宋体" w:hAnsi="宋体" w:eastAsia="宋体" w:cs="宋体"/>
                <w:color w:val="auto"/>
                <w:sz w:val="24"/>
                <w:szCs w:val="24"/>
                <w:highlight w:val="none"/>
              </w:rPr>
            </w:pPr>
          </w:p>
        </w:tc>
      </w:tr>
      <w:tr w14:paraId="185F4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noWrap w:val="0"/>
            <w:vAlign w:val="center"/>
          </w:tcPr>
          <w:p w14:paraId="5DA9F2F7">
            <w:pPr>
              <w:shd w:val="clear" w:color="auto" w:fill="auto"/>
              <w:spacing w:line="360" w:lineRule="auto"/>
              <w:jc w:val="center"/>
              <w:rPr>
                <w:rFonts w:hint="eastAsia" w:ascii="宋体" w:hAnsi="宋体" w:eastAsia="宋体" w:cs="宋体"/>
                <w:color w:val="auto"/>
                <w:sz w:val="24"/>
                <w:szCs w:val="24"/>
                <w:highlight w:val="none"/>
              </w:rPr>
            </w:pPr>
          </w:p>
        </w:tc>
        <w:tc>
          <w:tcPr>
            <w:tcW w:w="1219" w:type="dxa"/>
            <w:noWrap w:val="0"/>
            <w:vAlign w:val="center"/>
          </w:tcPr>
          <w:p w14:paraId="7E89ED5A">
            <w:pPr>
              <w:shd w:val="clear" w:color="auto" w:fill="auto"/>
              <w:spacing w:line="360" w:lineRule="auto"/>
              <w:jc w:val="center"/>
              <w:rPr>
                <w:rFonts w:hint="eastAsia" w:ascii="宋体" w:hAnsi="宋体" w:eastAsia="宋体" w:cs="宋体"/>
                <w:color w:val="auto"/>
                <w:sz w:val="24"/>
                <w:szCs w:val="24"/>
                <w:highlight w:val="none"/>
              </w:rPr>
            </w:pPr>
          </w:p>
        </w:tc>
        <w:tc>
          <w:tcPr>
            <w:tcW w:w="1237" w:type="dxa"/>
            <w:noWrap w:val="0"/>
            <w:vAlign w:val="center"/>
          </w:tcPr>
          <w:p w14:paraId="247500A2">
            <w:pPr>
              <w:shd w:val="clear" w:color="auto" w:fill="auto"/>
              <w:spacing w:line="360" w:lineRule="auto"/>
              <w:jc w:val="center"/>
              <w:rPr>
                <w:rFonts w:hint="eastAsia" w:ascii="宋体" w:hAnsi="宋体" w:eastAsia="宋体" w:cs="宋体"/>
                <w:color w:val="auto"/>
                <w:sz w:val="24"/>
                <w:szCs w:val="24"/>
                <w:highlight w:val="none"/>
              </w:rPr>
            </w:pPr>
          </w:p>
        </w:tc>
        <w:tc>
          <w:tcPr>
            <w:tcW w:w="619" w:type="dxa"/>
            <w:noWrap w:val="0"/>
            <w:vAlign w:val="center"/>
          </w:tcPr>
          <w:p w14:paraId="2849B551">
            <w:pPr>
              <w:shd w:val="clear" w:color="auto" w:fill="auto"/>
              <w:spacing w:line="360" w:lineRule="auto"/>
              <w:jc w:val="center"/>
              <w:rPr>
                <w:rFonts w:hint="eastAsia" w:ascii="宋体" w:hAnsi="宋体" w:eastAsia="宋体" w:cs="宋体"/>
                <w:color w:val="auto"/>
                <w:sz w:val="24"/>
                <w:szCs w:val="24"/>
                <w:highlight w:val="none"/>
              </w:rPr>
            </w:pPr>
          </w:p>
        </w:tc>
        <w:tc>
          <w:tcPr>
            <w:tcW w:w="683" w:type="dxa"/>
            <w:noWrap w:val="0"/>
            <w:vAlign w:val="center"/>
          </w:tcPr>
          <w:p w14:paraId="6EE5EA6B">
            <w:pPr>
              <w:shd w:val="clear" w:color="auto" w:fill="auto"/>
              <w:spacing w:line="360" w:lineRule="auto"/>
              <w:jc w:val="center"/>
              <w:rPr>
                <w:rFonts w:hint="eastAsia" w:ascii="宋体" w:hAnsi="宋体" w:eastAsia="宋体" w:cs="宋体"/>
                <w:color w:val="auto"/>
                <w:sz w:val="24"/>
                <w:szCs w:val="24"/>
                <w:highlight w:val="none"/>
              </w:rPr>
            </w:pPr>
          </w:p>
        </w:tc>
        <w:tc>
          <w:tcPr>
            <w:tcW w:w="1044" w:type="dxa"/>
            <w:noWrap w:val="0"/>
            <w:vAlign w:val="center"/>
          </w:tcPr>
          <w:p w14:paraId="6DBF8F97">
            <w:pPr>
              <w:shd w:val="clear" w:color="auto" w:fill="auto"/>
              <w:spacing w:line="360" w:lineRule="auto"/>
              <w:jc w:val="center"/>
              <w:rPr>
                <w:rFonts w:hint="eastAsia" w:ascii="宋体" w:hAnsi="宋体" w:eastAsia="宋体" w:cs="宋体"/>
                <w:color w:val="auto"/>
                <w:sz w:val="24"/>
                <w:szCs w:val="24"/>
                <w:highlight w:val="none"/>
              </w:rPr>
            </w:pPr>
          </w:p>
        </w:tc>
        <w:tc>
          <w:tcPr>
            <w:tcW w:w="992" w:type="dxa"/>
            <w:noWrap w:val="0"/>
            <w:vAlign w:val="center"/>
          </w:tcPr>
          <w:p w14:paraId="7B92C829">
            <w:pPr>
              <w:shd w:val="clear" w:color="auto" w:fill="auto"/>
              <w:spacing w:line="360" w:lineRule="auto"/>
              <w:jc w:val="center"/>
              <w:rPr>
                <w:rFonts w:hint="eastAsia" w:ascii="宋体" w:hAnsi="宋体" w:eastAsia="宋体" w:cs="宋体"/>
                <w:color w:val="auto"/>
                <w:sz w:val="24"/>
                <w:szCs w:val="24"/>
                <w:highlight w:val="none"/>
              </w:rPr>
            </w:pPr>
          </w:p>
        </w:tc>
        <w:tc>
          <w:tcPr>
            <w:tcW w:w="851" w:type="dxa"/>
            <w:noWrap w:val="0"/>
            <w:vAlign w:val="center"/>
          </w:tcPr>
          <w:p w14:paraId="34A43171">
            <w:pPr>
              <w:shd w:val="clear" w:color="auto" w:fill="auto"/>
              <w:spacing w:line="360" w:lineRule="auto"/>
              <w:jc w:val="center"/>
              <w:rPr>
                <w:rFonts w:hint="eastAsia" w:ascii="宋体" w:hAnsi="宋体" w:eastAsia="宋体" w:cs="宋体"/>
                <w:color w:val="auto"/>
                <w:sz w:val="24"/>
                <w:szCs w:val="24"/>
                <w:highlight w:val="none"/>
              </w:rPr>
            </w:pPr>
          </w:p>
        </w:tc>
        <w:tc>
          <w:tcPr>
            <w:tcW w:w="1096" w:type="dxa"/>
            <w:noWrap w:val="0"/>
            <w:vAlign w:val="center"/>
          </w:tcPr>
          <w:p w14:paraId="2A170742">
            <w:pPr>
              <w:shd w:val="clear" w:color="auto" w:fill="auto"/>
              <w:spacing w:line="360" w:lineRule="auto"/>
              <w:jc w:val="center"/>
              <w:rPr>
                <w:rFonts w:hint="eastAsia" w:ascii="宋体" w:hAnsi="宋体" w:eastAsia="宋体" w:cs="宋体"/>
                <w:color w:val="auto"/>
                <w:sz w:val="24"/>
                <w:szCs w:val="24"/>
                <w:highlight w:val="none"/>
              </w:rPr>
            </w:pPr>
          </w:p>
        </w:tc>
        <w:tc>
          <w:tcPr>
            <w:tcW w:w="713" w:type="dxa"/>
            <w:noWrap w:val="0"/>
            <w:vAlign w:val="center"/>
          </w:tcPr>
          <w:p w14:paraId="6FFB298D">
            <w:pPr>
              <w:shd w:val="clear" w:color="auto" w:fill="auto"/>
              <w:spacing w:line="360" w:lineRule="auto"/>
              <w:jc w:val="center"/>
              <w:rPr>
                <w:rFonts w:hint="eastAsia" w:ascii="宋体" w:hAnsi="宋体" w:eastAsia="宋体" w:cs="宋体"/>
                <w:color w:val="auto"/>
                <w:sz w:val="24"/>
                <w:szCs w:val="24"/>
                <w:highlight w:val="none"/>
              </w:rPr>
            </w:pPr>
          </w:p>
        </w:tc>
      </w:tr>
      <w:tr w14:paraId="661C5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36" w:type="dxa"/>
            <w:noWrap w:val="0"/>
            <w:vAlign w:val="center"/>
          </w:tcPr>
          <w:p w14:paraId="6611F7DC">
            <w:pPr>
              <w:shd w:val="clear" w:color="auto" w:fill="auto"/>
              <w:spacing w:line="360" w:lineRule="auto"/>
              <w:jc w:val="center"/>
              <w:rPr>
                <w:rFonts w:hint="eastAsia" w:ascii="宋体" w:hAnsi="宋体" w:eastAsia="宋体" w:cs="宋体"/>
                <w:color w:val="auto"/>
                <w:sz w:val="24"/>
                <w:szCs w:val="24"/>
                <w:highlight w:val="none"/>
              </w:rPr>
            </w:pPr>
          </w:p>
        </w:tc>
        <w:tc>
          <w:tcPr>
            <w:tcW w:w="1219" w:type="dxa"/>
            <w:noWrap w:val="0"/>
            <w:vAlign w:val="center"/>
          </w:tcPr>
          <w:p w14:paraId="0ABA73A8">
            <w:pPr>
              <w:shd w:val="clear" w:color="auto" w:fill="auto"/>
              <w:spacing w:line="360" w:lineRule="auto"/>
              <w:jc w:val="center"/>
              <w:rPr>
                <w:rFonts w:hint="eastAsia" w:ascii="宋体" w:hAnsi="宋体" w:eastAsia="宋体" w:cs="宋体"/>
                <w:color w:val="auto"/>
                <w:sz w:val="24"/>
                <w:szCs w:val="24"/>
                <w:highlight w:val="none"/>
              </w:rPr>
            </w:pPr>
          </w:p>
        </w:tc>
        <w:tc>
          <w:tcPr>
            <w:tcW w:w="1237" w:type="dxa"/>
            <w:noWrap w:val="0"/>
            <w:vAlign w:val="center"/>
          </w:tcPr>
          <w:p w14:paraId="54AD4843">
            <w:pPr>
              <w:shd w:val="clear" w:color="auto" w:fill="auto"/>
              <w:spacing w:line="360" w:lineRule="auto"/>
              <w:jc w:val="center"/>
              <w:rPr>
                <w:rFonts w:hint="eastAsia" w:ascii="宋体" w:hAnsi="宋体" w:eastAsia="宋体" w:cs="宋体"/>
                <w:color w:val="auto"/>
                <w:sz w:val="24"/>
                <w:szCs w:val="24"/>
                <w:highlight w:val="none"/>
              </w:rPr>
            </w:pPr>
          </w:p>
        </w:tc>
        <w:tc>
          <w:tcPr>
            <w:tcW w:w="619" w:type="dxa"/>
            <w:noWrap w:val="0"/>
            <w:vAlign w:val="center"/>
          </w:tcPr>
          <w:p w14:paraId="1658C442">
            <w:pPr>
              <w:shd w:val="clear" w:color="auto" w:fill="auto"/>
              <w:spacing w:line="360" w:lineRule="auto"/>
              <w:jc w:val="center"/>
              <w:rPr>
                <w:rFonts w:hint="eastAsia" w:ascii="宋体" w:hAnsi="宋体" w:eastAsia="宋体" w:cs="宋体"/>
                <w:color w:val="auto"/>
                <w:sz w:val="24"/>
                <w:szCs w:val="24"/>
                <w:highlight w:val="none"/>
              </w:rPr>
            </w:pPr>
          </w:p>
        </w:tc>
        <w:tc>
          <w:tcPr>
            <w:tcW w:w="683" w:type="dxa"/>
            <w:noWrap w:val="0"/>
            <w:vAlign w:val="center"/>
          </w:tcPr>
          <w:p w14:paraId="4D7D17F3">
            <w:pPr>
              <w:shd w:val="clear" w:color="auto" w:fill="auto"/>
              <w:spacing w:line="360" w:lineRule="auto"/>
              <w:jc w:val="center"/>
              <w:rPr>
                <w:rFonts w:hint="eastAsia" w:ascii="宋体" w:hAnsi="宋体" w:eastAsia="宋体" w:cs="宋体"/>
                <w:color w:val="auto"/>
                <w:sz w:val="24"/>
                <w:szCs w:val="24"/>
                <w:highlight w:val="none"/>
              </w:rPr>
            </w:pPr>
          </w:p>
        </w:tc>
        <w:tc>
          <w:tcPr>
            <w:tcW w:w="1044" w:type="dxa"/>
            <w:noWrap w:val="0"/>
            <w:vAlign w:val="center"/>
          </w:tcPr>
          <w:p w14:paraId="0420AA0D">
            <w:pPr>
              <w:shd w:val="clear" w:color="auto" w:fill="auto"/>
              <w:spacing w:line="360" w:lineRule="auto"/>
              <w:jc w:val="center"/>
              <w:rPr>
                <w:rFonts w:hint="eastAsia" w:ascii="宋体" w:hAnsi="宋体" w:eastAsia="宋体" w:cs="宋体"/>
                <w:color w:val="auto"/>
                <w:sz w:val="24"/>
                <w:szCs w:val="24"/>
                <w:highlight w:val="none"/>
              </w:rPr>
            </w:pPr>
          </w:p>
        </w:tc>
        <w:tc>
          <w:tcPr>
            <w:tcW w:w="992" w:type="dxa"/>
            <w:noWrap w:val="0"/>
            <w:vAlign w:val="center"/>
          </w:tcPr>
          <w:p w14:paraId="7F740F7F">
            <w:pPr>
              <w:shd w:val="clear" w:color="auto" w:fill="auto"/>
              <w:spacing w:line="360" w:lineRule="auto"/>
              <w:jc w:val="center"/>
              <w:rPr>
                <w:rFonts w:hint="eastAsia" w:ascii="宋体" w:hAnsi="宋体" w:eastAsia="宋体" w:cs="宋体"/>
                <w:color w:val="auto"/>
                <w:sz w:val="24"/>
                <w:szCs w:val="24"/>
                <w:highlight w:val="none"/>
              </w:rPr>
            </w:pPr>
          </w:p>
        </w:tc>
        <w:tc>
          <w:tcPr>
            <w:tcW w:w="851" w:type="dxa"/>
            <w:noWrap w:val="0"/>
            <w:vAlign w:val="center"/>
          </w:tcPr>
          <w:p w14:paraId="6ED3BF45">
            <w:pPr>
              <w:shd w:val="clear" w:color="auto" w:fill="auto"/>
              <w:spacing w:line="360" w:lineRule="auto"/>
              <w:jc w:val="center"/>
              <w:rPr>
                <w:rFonts w:hint="eastAsia" w:ascii="宋体" w:hAnsi="宋体" w:eastAsia="宋体" w:cs="宋体"/>
                <w:color w:val="auto"/>
                <w:sz w:val="24"/>
                <w:szCs w:val="24"/>
                <w:highlight w:val="none"/>
              </w:rPr>
            </w:pPr>
          </w:p>
        </w:tc>
        <w:tc>
          <w:tcPr>
            <w:tcW w:w="1096" w:type="dxa"/>
            <w:noWrap w:val="0"/>
            <w:vAlign w:val="center"/>
          </w:tcPr>
          <w:p w14:paraId="63AE83A8">
            <w:pPr>
              <w:shd w:val="clear" w:color="auto" w:fill="auto"/>
              <w:spacing w:line="360" w:lineRule="auto"/>
              <w:jc w:val="center"/>
              <w:rPr>
                <w:rFonts w:hint="eastAsia" w:ascii="宋体" w:hAnsi="宋体" w:eastAsia="宋体" w:cs="宋体"/>
                <w:color w:val="auto"/>
                <w:sz w:val="24"/>
                <w:szCs w:val="24"/>
                <w:highlight w:val="none"/>
              </w:rPr>
            </w:pPr>
          </w:p>
        </w:tc>
        <w:tc>
          <w:tcPr>
            <w:tcW w:w="713" w:type="dxa"/>
            <w:noWrap w:val="0"/>
            <w:vAlign w:val="center"/>
          </w:tcPr>
          <w:p w14:paraId="7C7A614B">
            <w:pPr>
              <w:shd w:val="clear" w:color="auto" w:fill="auto"/>
              <w:spacing w:line="360" w:lineRule="auto"/>
              <w:jc w:val="center"/>
              <w:rPr>
                <w:rFonts w:hint="eastAsia" w:ascii="宋体" w:hAnsi="宋体" w:eastAsia="宋体" w:cs="宋体"/>
                <w:color w:val="auto"/>
                <w:sz w:val="24"/>
                <w:szCs w:val="24"/>
                <w:highlight w:val="none"/>
              </w:rPr>
            </w:pPr>
          </w:p>
        </w:tc>
      </w:tr>
    </w:tbl>
    <w:p w14:paraId="09AD8400">
      <w:pPr>
        <w:shd w:val="clear" w:color="auto" w:fill="auto"/>
        <w:spacing w:line="360" w:lineRule="auto"/>
        <w:rPr>
          <w:rFonts w:hint="eastAsia" w:ascii="宋体" w:hAnsi="宋体" w:eastAsia="宋体" w:cs="宋体"/>
          <w:color w:val="auto"/>
          <w:sz w:val="24"/>
          <w:szCs w:val="24"/>
          <w:highlight w:val="none"/>
        </w:rPr>
      </w:pPr>
    </w:p>
    <w:p w14:paraId="7956E6A8">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w:t>
      </w:r>
      <w:bookmarkStart w:id="852" w:name="_Toc296891054"/>
      <w:bookmarkStart w:id="853" w:name="_Toc296346727"/>
      <w:bookmarkStart w:id="854" w:name="_Toc296891266"/>
      <w:bookmarkStart w:id="855" w:name="_Toc296347225"/>
      <w:bookmarkStart w:id="856" w:name="_Toc296503226"/>
      <w:bookmarkStart w:id="857" w:name="_Toc296944565"/>
      <w:bookmarkStart w:id="858" w:name="_Toc267261693"/>
      <w:r>
        <w:rPr>
          <w:rFonts w:hint="eastAsia" w:ascii="宋体" w:hAnsi="宋体" w:eastAsia="宋体" w:cs="宋体"/>
          <w:color w:val="auto"/>
          <w:sz w:val="24"/>
          <w:szCs w:val="24"/>
          <w:highlight w:val="none"/>
        </w:rPr>
        <w:t>件3：</w:t>
      </w:r>
      <w:bookmarkEnd w:id="852"/>
      <w:bookmarkEnd w:id="853"/>
      <w:bookmarkEnd w:id="854"/>
      <w:bookmarkEnd w:id="855"/>
      <w:bookmarkEnd w:id="856"/>
      <w:bookmarkEnd w:id="857"/>
      <w:bookmarkEnd w:id="858"/>
      <w:r>
        <w:rPr>
          <w:rFonts w:hint="eastAsia" w:ascii="宋体" w:hAnsi="宋体" w:eastAsia="宋体" w:cs="宋体"/>
          <w:color w:val="auto"/>
          <w:sz w:val="24"/>
          <w:szCs w:val="24"/>
          <w:highlight w:val="none"/>
        </w:rPr>
        <w:t xml:space="preserve">    </w:t>
      </w:r>
    </w:p>
    <w:p w14:paraId="2E77EF70">
      <w:pPr>
        <w:shd w:val="clear" w:color="auto" w:fill="auto"/>
        <w:spacing w:before="156" w:beforeLines="50" w:after="156" w:after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工程质量保修书</w:t>
      </w:r>
    </w:p>
    <w:p w14:paraId="68A0950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3BD6052">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承包人（全称）：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D0C8EF4">
      <w:pPr>
        <w:shd w:val="clear" w:color="auto" w:fill="auto"/>
        <w:spacing w:line="360" w:lineRule="auto"/>
        <w:rPr>
          <w:rFonts w:hint="eastAsia" w:ascii="宋体" w:hAnsi="宋体" w:eastAsia="宋体" w:cs="宋体"/>
          <w:color w:val="auto"/>
          <w:sz w:val="24"/>
          <w:szCs w:val="24"/>
          <w:highlight w:val="none"/>
        </w:rPr>
      </w:pPr>
    </w:p>
    <w:p w14:paraId="166D59F7">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发包人和承包人根据《中华人民共和国建筑法》和《建设工程质量管理条例》，经协商一致就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（工程全称）签订工程质量保修书。</w:t>
      </w:r>
    </w:p>
    <w:p w14:paraId="7DA9ABB4">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bookmarkStart w:id="859" w:name="_Toc32626"/>
      <w:r>
        <w:rPr>
          <w:rFonts w:hint="eastAsia" w:ascii="宋体" w:hAnsi="宋体" w:eastAsia="宋体" w:cs="宋体"/>
          <w:color w:val="auto"/>
          <w:sz w:val="24"/>
          <w:szCs w:val="24"/>
          <w:highlight w:val="none"/>
        </w:rPr>
        <w:t>一、工程质量保修范围和内容</w:t>
      </w:r>
      <w:bookmarkEnd w:id="859"/>
    </w:p>
    <w:p w14:paraId="2E8727FF">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承包人在质量保修期内，按照有关法律规定和合同约定，承担工程质量保修责任。</w:t>
      </w:r>
    </w:p>
    <w:p w14:paraId="0709854E">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的全部内容 </w:t>
      </w:r>
      <w:r>
        <w:rPr>
          <w:rFonts w:hint="eastAsia" w:ascii="宋体" w:hAnsi="宋体" w:eastAsia="宋体" w:cs="宋体"/>
          <w:color w:val="auto"/>
          <w:sz w:val="24"/>
          <w:szCs w:val="24"/>
          <w:highlight w:val="none"/>
        </w:rPr>
        <w:t>。</w:t>
      </w:r>
    </w:p>
    <w:p w14:paraId="5FFB0224">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w:t>
      </w:r>
      <w:bookmarkStart w:id="860" w:name="_Toc20022"/>
      <w:r>
        <w:rPr>
          <w:rFonts w:hint="eastAsia" w:ascii="宋体" w:hAnsi="宋体" w:eastAsia="宋体" w:cs="宋体"/>
          <w:color w:val="auto"/>
          <w:sz w:val="24"/>
          <w:szCs w:val="24"/>
          <w:highlight w:val="none"/>
        </w:rPr>
        <w:t>二、质量保修期</w:t>
      </w:r>
      <w:bookmarkEnd w:id="860"/>
    </w:p>
    <w:p w14:paraId="1EA2944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根据《建设工程质量管理条例》及有关规定，工程的质量保修期如下：</w:t>
      </w:r>
    </w:p>
    <w:p w14:paraId="3E01555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1．地基基础工程和主体结构工程为设计文件规定的工程合理使用年限；</w:t>
      </w:r>
    </w:p>
    <w:p w14:paraId="091B032C">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2．屋面防水工程、有防水要求的卫生间、房间和外墙面的防渗为</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年；</w:t>
      </w:r>
    </w:p>
    <w:p w14:paraId="18C2632B">
      <w:pPr>
        <w:shd w:val="clear" w:color="auto" w:fill="auto"/>
        <w:spacing w:line="360" w:lineRule="auto"/>
        <w:ind w:left="420" w:leftChars="2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3．装修工程为</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年；</w:t>
      </w:r>
    </w:p>
    <w:p w14:paraId="39BE67AD">
      <w:pPr>
        <w:shd w:val="clear" w:color="auto" w:fill="auto"/>
        <w:spacing w:line="360" w:lineRule="auto"/>
        <w:ind w:left="420" w:leftChars="2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4．电气管线、给排水管道、设备安装工程为</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年；</w:t>
      </w:r>
    </w:p>
    <w:p w14:paraId="4F3CC092">
      <w:pPr>
        <w:shd w:val="clear" w:color="auto" w:fill="auto"/>
        <w:spacing w:line="360" w:lineRule="auto"/>
        <w:ind w:left="420" w:leftChars="2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5．供热与供冷系统为</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个采暖期、供冷期；</w:t>
      </w:r>
    </w:p>
    <w:p w14:paraId="3CF77B17">
      <w:pPr>
        <w:shd w:val="clear" w:color="auto" w:fill="auto"/>
        <w:spacing w:line="360" w:lineRule="auto"/>
        <w:ind w:left="420" w:leftChars="2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6．住宅小区内的给排水设施、道路等配套工程为</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年；</w:t>
      </w:r>
    </w:p>
    <w:p w14:paraId="7BC3872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7．其他项目保修期限约定如下：</w:t>
      </w:r>
      <w:r>
        <w:rPr>
          <w:rFonts w:hint="eastAsia" w:ascii="宋体" w:hAnsi="宋体" w:eastAsia="宋体" w:cs="宋体"/>
          <w:color w:val="auto"/>
          <w:sz w:val="24"/>
          <w:szCs w:val="24"/>
          <w:highlight w:val="none"/>
          <w:u w:val="single"/>
        </w:rPr>
        <w:t>质量保修期自工程竣工验收合格之日起计算</w:t>
      </w:r>
      <w:r>
        <w:rPr>
          <w:rFonts w:hint="eastAsia" w:ascii="宋体" w:hAnsi="宋体" w:eastAsia="宋体" w:cs="宋体"/>
          <w:color w:val="auto"/>
          <w:sz w:val="24"/>
          <w:szCs w:val="24"/>
          <w:highlight w:val="none"/>
        </w:rPr>
        <w:t>。</w:t>
      </w:r>
    </w:p>
    <w:p w14:paraId="79EE1712">
      <w:pPr>
        <w:shd w:val="clear" w:color="auto" w:fill="auto"/>
        <w:spacing w:line="360" w:lineRule="auto"/>
        <w:ind w:firstLine="480" w:firstLineChars="200"/>
        <w:rPr>
          <w:rFonts w:hint="eastAsia" w:ascii="宋体" w:hAnsi="宋体" w:eastAsia="宋体" w:cs="宋体"/>
          <w:color w:val="auto"/>
          <w:sz w:val="24"/>
          <w:szCs w:val="24"/>
          <w:highlight w:val="none"/>
        </w:rPr>
      </w:pPr>
      <w:bookmarkStart w:id="861" w:name="_Toc7615"/>
      <w:r>
        <w:rPr>
          <w:rFonts w:hint="eastAsia" w:ascii="宋体" w:hAnsi="宋体" w:eastAsia="宋体" w:cs="宋体"/>
          <w:color w:val="auto"/>
          <w:sz w:val="24"/>
          <w:szCs w:val="24"/>
          <w:highlight w:val="none"/>
        </w:rPr>
        <w:t>三、缺陷责任期</w:t>
      </w:r>
      <w:bookmarkEnd w:id="861"/>
    </w:p>
    <w:p w14:paraId="3874A2B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工程缺陷责任期为 24 个月，缺陷责任期自工程通过竣工验收之日起计算。单位工程先于全部工程进行验收，单位工程缺陷责任期自单位工程验收合格之日起算。</w:t>
      </w:r>
    </w:p>
    <w:p w14:paraId="6C676553">
      <w:pPr>
        <w:shd w:val="clear" w:color="auto" w:fill="auto"/>
        <w:spacing w:line="360" w:lineRule="auto"/>
        <w:ind w:firstLine="480" w:firstLineChars="200"/>
        <w:rPr>
          <w:rFonts w:hint="eastAsia" w:ascii="宋体" w:hAnsi="宋体" w:eastAsia="宋体" w:cs="宋体"/>
          <w:color w:val="auto"/>
          <w:sz w:val="24"/>
          <w:szCs w:val="24"/>
          <w:highlight w:val="none"/>
        </w:rPr>
      </w:pPr>
      <w:bookmarkStart w:id="862" w:name="_Toc10709"/>
      <w:r>
        <w:rPr>
          <w:rFonts w:hint="eastAsia" w:ascii="宋体" w:hAnsi="宋体" w:eastAsia="宋体" w:cs="宋体"/>
          <w:color w:val="auto"/>
          <w:sz w:val="24"/>
          <w:szCs w:val="24"/>
          <w:highlight w:val="none"/>
        </w:rPr>
        <w:t>四、质量保修责任</w:t>
      </w:r>
      <w:bookmarkEnd w:id="862"/>
    </w:p>
    <w:p w14:paraId="26B8EDD9">
      <w:pPr>
        <w:shd w:val="clear" w:color="auto" w:fill="auto"/>
        <w:spacing w:line="360" w:lineRule="auto"/>
        <w:ind w:left="105" w:leftChars="50"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1．属于保修范围、内容的项目，承包人应当在接到保修通知之日起7天内派人保修。承包人不在约定期限内派人保修的，发包人可以委托他人修理。</w:t>
      </w:r>
    </w:p>
    <w:p w14:paraId="5684F9B9">
      <w:pPr>
        <w:shd w:val="clear" w:color="auto" w:fill="auto"/>
        <w:spacing w:line="360" w:lineRule="auto"/>
        <w:ind w:left="105" w:leftChars="50"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2．发生紧急事故需抢修的，承包人在接到事故通知后，应当立即到达事故现场抢修。</w:t>
      </w:r>
    </w:p>
    <w:p w14:paraId="45364039">
      <w:pPr>
        <w:shd w:val="clear" w:color="auto" w:fill="auto"/>
        <w:spacing w:line="360" w:lineRule="auto"/>
        <w:ind w:left="105" w:leftChars="50"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5796777">
      <w:pPr>
        <w:shd w:val="clear" w:color="auto" w:fill="auto"/>
        <w:spacing w:line="360" w:lineRule="auto"/>
        <w:ind w:left="420" w:leftChars="2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4．质量保修完成后，由发包人组织验收。</w:t>
      </w:r>
    </w:p>
    <w:p w14:paraId="22C1ED6B">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bookmarkStart w:id="863" w:name="_Toc19191"/>
      <w:r>
        <w:rPr>
          <w:rFonts w:hint="eastAsia" w:ascii="宋体" w:hAnsi="宋体" w:eastAsia="宋体" w:cs="宋体"/>
          <w:color w:val="auto"/>
          <w:sz w:val="24"/>
          <w:szCs w:val="24"/>
          <w:highlight w:val="none"/>
        </w:rPr>
        <w:t>五、保修费用</w:t>
      </w:r>
      <w:bookmarkEnd w:id="863"/>
    </w:p>
    <w:p w14:paraId="6BF73904">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保修费用由造成质量缺陷的责任方承担。在保修期内如因质量问题造成的损坏由 承包人负责免费修理。</w:t>
      </w:r>
    </w:p>
    <w:p w14:paraId="14AA3EB1">
      <w:pPr>
        <w:shd w:val="clear" w:color="auto" w:fill="auto"/>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w:t>
      </w:r>
      <w:r>
        <w:rPr>
          <w:rFonts w:hint="eastAsia" w:ascii="宋体" w:hAnsi="宋体" w:eastAsia="宋体" w:cs="宋体"/>
          <w:color w:val="auto"/>
          <w:sz w:val="24"/>
          <w:szCs w:val="24"/>
          <w:highlight w:val="none"/>
        </w:rPr>
        <w:t>、双方约定的其他工程质量保修事项：</w:t>
      </w:r>
      <w:r>
        <w:rPr>
          <w:rFonts w:hint="eastAsia" w:ascii="宋体" w:hAnsi="宋体" w:eastAsia="宋体" w:cs="宋体"/>
          <w:color w:val="auto"/>
          <w:sz w:val="24"/>
          <w:szCs w:val="24"/>
          <w:highlight w:val="none"/>
          <w:u w:val="single"/>
        </w:rPr>
        <w:t xml:space="preserve"> 承包人质量违约责任承诺 </w:t>
      </w:r>
      <w:r>
        <w:rPr>
          <w:rFonts w:hint="eastAsia" w:ascii="宋体" w:hAnsi="宋体" w:eastAsia="宋体" w:cs="宋体"/>
          <w:color w:val="auto"/>
          <w:sz w:val="24"/>
          <w:szCs w:val="24"/>
          <w:highlight w:val="none"/>
        </w:rPr>
        <w:t>。（下列违约责任承诺与合同专用条款约定的承包人违约责任冲突的，则以合同专用条款约定的为准）</w:t>
      </w:r>
    </w:p>
    <w:p w14:paraId="6B8C8492">
      <w:pPr>
        <w:shd w:val="clear" w:color="auto" w:fill="auto"/>
        <w:spacing w:line="360" w:lineRule="auto"/>
        <w:ind w:firstLine="456" w:firstLineChars="1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若因我公司原因造成工程质量达不到合同约定要求、国家规范及设计要求验 收标准的，发包人或监理人有权要求我公司返工直至符合上述要求为止，由此造成的费用增加和工期延误损失由我公司承担。</w:t>
      </w:r>
    </w:p>
    <w:p w14:paraId="0A9189FC">
      <w:pPr>
        <w:shd w:val="clear" w:color="auto" w:fill="auto"/>
        <w:spacing w:line="360" w:lineRule="auto"/>
        <w:ind w:firstLine="456" w:firstLineChars="1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若因我单位原因达不到一次性验收合格，除返工达到合格外，还愿向发包人支付合同价款的 5%作为质量违约金。若其中分部分项工程达不到一次性验收合格，我单位愿向发包人支付 5000元/次的违约金。</w:t>
      </w:r>
    </w:p>
    <w:p w14:paraId="78170A41">
      <w:pPr>
        <w:shd w:val="clear" w:color="auto" w:fill="auto"/>
        <w:spacing w:line="360" w:lineRule="auto"/>
        <w:ind w:firstLine="456" w:firstLineChars="1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工程质量不符合合同规定的，应负责无偿修理或返工。由于修理或返工造成逾期交付或工程交付时间不符合规定的，要偿付误期违约金。在工程保修期内负责对工程保修，不负责保修的，相应比例保修金将不予退还，另外还愿意承担5000元 /次的违约金处罚。</w:t>
      </w:r>
    </w:p>
    <w:p w14:paraId="4F15E346">
      <w:pPr>
        <w:shd w:val="clear" w:color="auto" w:fill="auto"/>
        <w:spacing w:line="360" w:lineRule="auto"/>
        <w:ind w:firstLine="456" w:firstLineChars="1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因我公司原因，施工中使用不合格材料、工程设备，或采用不适当的施工工艺，或施工不当，造成工程不合格的，监理人可以随时发出指示，要求我单位立即采取措施进行替换、补救或拆除重建，直至达到合同要求的质量标准，由此增加的 费用和（或）工期延误由我单位承担。如果我单位未在规定时间内执行监理人的指 示，发包人有权雇用他人执行，由此增加的费用和（或） 工期延误由我单位承担， 另外还愿意承担 5000 元/项的违约金处罚。</w:t>
      </w:r>
    </w:p>
    <w:p w14:paraId="37A2C34E">
      <w:pPr>
        <w:shd w:val="clear" w:color="auto" w:fill="auto"/>
        <w:spacing w:line="360" w:lineRule="auto"/>
        <w:ind w:firstLine="456" w:firstLineChars="1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工程质量保修书由发包人、承包人在工程竣工验收前共同签署，作为施工合同附件，其有效期限至保修期满。</w:t>
      </w:r>
    </w:p>
    <w:p w14:paraId="4A6E6B14">
      <w:pPr>
        <w:shd w:val="clear" w:color="auto" w:fill="auto"/>
        <w:spacing w:line="360" w:lineRule="auto"/>
        <w:ind w:firstLine="420"/>
        <w:rPr>
          <w:rFonts w:hint="eastAsia" w:ascii="宋体" w:hAnsi="宋体" w:eastAsia="宋体" w:cs="宋体"/>
          <w:color w:val="auto"/>
          <w:sz w:val="24"/>
          <w:szCs w:val="24"/>
          <w:highlight w:val="none"/>
        </w:rPr>
      </w:pPr>
    </w:p>
    <w:p w14:paraId="681183AA">
      <w:pPr>
        <w:shd w:val="clear" w:color="auto" w:fill="auto"/>
        <w:spacing w:line="360" w:lineRule="auto"/>
        <w:ind w:left="5040" w:hanging="5760" w:hangingChars="2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承包人(公章)：</w:t>
      </w:r>
      <w:r>
        <w:rPr>
          <w:rFonts w:hint="eastAsia" w:ascii="宋体" w:hAnsi="宋体" w:eastAsia="宋体" w:cs="宋体"/>
          <w:color w:val="auto"/>
          <w:sz w:val="24"/>
          <w:szCs w:val="24"/>
          <w:highlight w:val="none"/>
          <w:u w:val="single"/>
        </w:rPr>
        <w:t xml:space="preserve">                 </w:t>
      </w:r>
    </w:p>
    <w:p w14:paraId="3D4FD1AD">
      <w:pPr>
        <w:shd w:val="clear" w:color="auto" w:fill="auto"/>
        <w:spacing w:line="360" w:lineRule="auto"/>
        <w:ind w:left="4200" w:hanging="4800" w:hanging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rPr>
        <w:t xml:space="preserve">                 </w:t>
      </w:r>
    </w:p>
    <w:p w14:paraId="78A4361C">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法定代表人(签字或盖章)：</w:t>
      </w:r>
      <w:r>
        <w:rPr>
          <w:rFonts w:hint="eastAsia" w:ascii="宋体" w:hAnsi="宋体" w:eastAsia="宋体" w:cs="宋体"/>
          <w:color w:val="auto"/>
          <w:sz w:val="24"/>
          <w:szCs w:val="24"/>
          <w:highlight w:val="none"/>
          <w:u w:val="single"/>
        </w:rPr>
        <w:t xml:space="preserve">            </w:t>
      </w:r>
    </w:p>
    <w:p w14:paraId="77C10C86">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委托代理人(签字或盖章)：</w:t>
      </w:r>
      <w:r>
        <w:rPr>
          <w:rFonts w:hint="eastAsia" w:ascii="宋体" w:hAnsi="宋体" w:eastAsia="宋体" w:cs="宋体"/>
          <w:color w:val="auto"/>
          <w:sz w:val="24"/>
          <w:szCs w:val="24"/>
          <w:highlight w:val="none"/>
          <w:u w:val="single"/>
        </w:rPr>
        <w:t xml:space="preserve">            </w:t>
      </w:r>
    </w:p>
    <w:p w14:paraId="3D932FE1">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2ED08EE5">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p>
    <w:p w14:paraId="54D66F1C">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p>
    <w:p w14:paraId="3A0BFF7B">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5AB2B00F">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xml:space="preserve">         </w:t>
      </w:r>
    </w:p>
    <w:p w14:paraId="1E62D976">
      <w:pPr>
        <w:shd w:val="clear" w:color="auto" w:fill="auto"/>
        <w:spacing w:line="360" w:lineRule="auto"/>
        <w:rPr>
          <w:rFonts w:hint="eastAsia" w:ascii="宋体" w:hAnsi="宋体" w:eastAsia="宋体" w:cs="宋体"/>
          <w:color w:val="auto"/>
          <w:sz w:val="24"/>
          <w:szCs w:val="24"/>
          <w:highlight w:val="none"/>
        </w:rPr>
      </w:pPr>
    </w:p>
    <w:p w14:paraId="12F34297">
      <w:pPr>
        <w:shd w:val="clear" w:color="auto" w:fill="auto"/>
        <w:spacing w:line="440" w:lineRule="exact"/>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color w:val="auto"/>
          <w:sz w:val="24"/>
          <w:szCs w:val="24"/>
          <w:highlight w:val="none"/>
        </w:rPr>
        <w:t>附件4：</w:t>
      </w:r>
    </w:p>
    <w:p w14:paraId="47A76C85">
      <w:pPr>
        <w:shd w:val="clear" w:color="auto" w:fill="auto"/>
        <w:spacing w:before="156" w:beforeLines="50" w:after="156"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主要建设工程文件目录</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27D3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4B55066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文件名称</w:t>
            </w:r>
          </w:p>
        </w:tc>
        <w:tc>
          <w:tcPr>
            <w:tcW w:w="1276" w:type="dxa"/>
            <w:tcBorders>
              <w:top w:val="single" w:color="auto" w:sz="12" w:space="0"/>
              <w:bottom w:val="double" w:color="auto" w:sz="6" w:space="0"/>
            </w:tcBorders>
            <w:noWrap w:val="0"/>
            <w:vAlign w:val="center"/>
          </w:tcPr>
          <w:p w14:paraId="172AD28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套数</w:t>
            </w:r>
          </w:p>
        </w:tc>
        <w:tc>
          <w:tcPr>
            <w:tcW w:w="1450" w:type="dxa"/>
            <w:tcBorders>
              <w:top w:val="single" w:color="auto" w:sz="12" w:space="0"/>
              <w:bottom w:val="double" w:color="auto" w:sz="6" w:space="0"/>
            </w:tcBorders>
            <w:noWrap w:val="0"/>
            <w:vAlign w:val="center"/>
          </w:tcPr>
          <w:p w14:paraId="7B81D6E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费用（元）</w:t>
            </w:r>
          </w:p>
        </w:tc>
        <w:tc>
          <w:tcPr>
            <w:tcW w:w="1243" w:type="dxa"/>
            <w:tcBorders>
              <w:top w:val="single" w:color="auto" w:sz="12" w:space="0"/>
              <w:bottom w:val="double" w:color="auto" w:sz="6" w:space="0"/>
            </w:tcBorders>
            <w:noWrap w:val="0"/>
            <w:vAlign w:val="center"/>
          </w:tcPr>
          <w:p w14:paraId="2F171BF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质量</w:t>
            </w:r>
          </w:p>
        </w:tc>
        <w:tc>
          <w:tcPr>
            <w:tcW w:w="1450" w:type="dxa"/>
            <w:tcBorders>
              <w:top w:val="single" w:color="auto" w:sz="12" w:space="0"/>
              <w:bottom w:val="double" w:color="auto" w:sz="6" w:space="0"/>
            </w:tcBorders>
            <w:noWrap w:val="0"/>
            <w:vAlign w:val="top"/>
          </w:tcPr>
          <w:p w14:paraId="1E947970">
            <w:pPr>
              <w:shd w:val="clear" w:color="auto" w:fill="auto"/>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移交时间</w:t>
            </w:r>
          </w:p>
        </w:tc>
        <w:tc>
          <w:tcPr>
            <w:tcW w:w="1667" w:type="dxa"/>
            <w:tcBorders>
              <w:top w:val="single" w:color="auto" w:sz="12" w:space="0"/>
              <w:bottom w:val="double" w:color="auto" w:sz="6" w:space="0"/>
            </w:tcBorders>
            <w:noWrap w:val="0"/>
            <w:vAlign w:val="top"/>
          </w:tcPr>
          <w:p w14:paraId="6E34703C">
            <w:pPr>
              <w:shd w:val="clear" w:color="auto" w:fill="auto"/>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责任人</w:t>
            </w:r>
          </w:p>
        </w:tc>
      </w:tr>
      <w:tr w14:paraId="5E5FE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E3C87A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76" w:type="dxa"/>
            <w:tcBorders>
              <w:top w:val="double" w:color="auto" w:sz="6" w:space="0"/>
              <w:bottom w:val="single" w:color="auto" w:sz="6" w:space="0"/>
            </w:tcBorders>
            <w:noWrap w:val="0"/>
            <w:vAlign w:val="center"/>
          </w:tcPr>
          <w:p w14:paraId="0F6DD21D">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tcBorders>
              <w:top w:val="double" w:color="auto" w:sz="6" w:space="0"/>
              <w:bottom w:val="single" w:color="auto" w:sz="6" w:space="0"/>
            </w:tcBorders>
            <w:noWrap w:val="0"/>
            <w:vAlign w:val="center"/>
          </w:tcPr>
          <w:p w14:paraId="5FDC9D1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43" w:type="dxa"/>
            <w:tcBorders>
              <w:top w:val="double" w:color="auto" w:sz="6" w:space="0"/>
              <w:bottom w:val="single" w:color="auto" w:sz="6" w:space="0"/>
            </w:tcBorders>
            <w:noWrap w:val="0"/>
            <w:vAlign w:val="center"/>
          </w:tcPr>
          <w:p w14:paraId="7A31744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tcBorders>
              <w:top w:val="double" w:color="auto" w:sz="6" w:space="0"/>
              <w:bottom w:val="single" w:color="auto" w:sz="6" w:space="0"/>
            </w:tcBorders>
            <w:noWrap w:val="0"/>
            <w:vAlign w:val="center"/>
          </w:tcPr>
          <w:p w14:paraId="36C08C0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667" w:type="dxa"/>
            <w:tcBorders>
              <w:top w:val="double" w:color="auto" w:sz="6" w:space="0"/>
              <w:bottom w:val="single" w:color="auto" w:sz="6" w:space="0"/>
            </w:tcBorders>
            <w:noWrap w:val="0"/>
            <w:vAlign w:val="center"/>
          </w:tcPr>
          <w:p w14:paraId="2997659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6AC3F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1CC94FA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76" w:type="dxa"/>
            <w:tcBorders>
              <w:top w:val="nil"/>
            </w:tcBorders>
            <w:noWrap w:val="0"/>
            <w:vAlign w:val="center"/>
          </w:tcPr>
          <w:p w14:paraId="433685E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tcBorders>
              <w:top w:val="nil"/>
            </w:tcBorders>
            <w:noWrap w:val="0"/>
            <w:vAlign w:val="center"/>
          </w:tcPr>
          <w:p w14:paraId="3EAD9AF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43" w:type="dxa"/>
            <w:tcBorders>
              <w:top w:val="nil"/>
            </w:tcBorders>
            <w:noWrap w:val="0"/>
            <w:vAlign w:val="center"/>
          </w:tcPr>
          <w:p w14:paraId="5B5BDC6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tcBorders>
              <w:top w:val="nil"/>
            </w:tcBorders>
            <w:noWrap w:val="0"/>
            <w:vAlign w:val="center"/>
          </w:tcPr>
          <w:p w14:paraId="131ED59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667" w:type="dxa"/>
            <w:tcBorders>
              <w:top w:val="nil"/>
            </w:tcBorders>
            <w:noWrap w:val="0"/>
            <w:vAlign w:val="center"/>
          </w:tcPr>
          <w:p w14:paraId="57E40B5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580E6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560216">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76" w:type="dxa"/>
            <w:noWrap w:val="0"/>
            <w:vAlign w:val="center"/>
          </w:tcPr>
          <w:p w14:paraId="673000E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noWrap w:val="0"/>
            <w:vAlign w:val="center"/>
          </w:tcPr>
          <w:p w14:paraId="2CAE97F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43" w:type="dxa"/>
            <w:noWrap w:val="0"/>
            <w:vAlign w:val="center"/>
          </w:tcPr>
          <w:p w14:paraId="0143E526">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noWrap w:val="0"/>
            <w:vAlign w:val="center"/>
          </w:tcPr>
          <w:p w14:paraId="54712F0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667" w:type="dxa"/>
            <w:noWrap w:val="0"/>
            <w:vAlign w:val="center"/>
          </w:tcPr>
          <w:p w14:paraId="1F93DC1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3152E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FFA1436">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76" w:type="dxa"/>
            <w:noWrap w:val="0"/>
            <w:vAlign w:val="center"/>
          </w:tcPr>
          <w:p w14:paraId="0130890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noWrap w:val="0"/>
            <w:vAlign w:val="center"/>
          </w:tcPr>
          <w:p w14:paraId="33B063F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43" w:type="dxa"/>
            <w:noWrap w:val="0"/>
            <w:vAlign w:val="center"/>
          </w:tcPr>
          <w:p w14:paraId="38AAE84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noWrap w:val="0"/>
            <w:vAlign w:val="center"/>
          </w:tcPr>
          <w:p w14:paraId="1DE2A85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667" w:type="dxa"/>
            <w:noWrap w:val="0"/>
            <w:vAlign w:val="center"/>
          </w:tcPr>
          <w:p w14:paraId="2D01332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2EEE8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432AC7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76" w:type="dxa"/>
            <w:noWrap w:val="0"/>
            <w:vAlign w:val="center"/>
          </w:tcPr>
          <w:p w14:paraId="7B6C0DD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noWrap w:val="0"/>
            <w:vAlign w:val="center"/>
          </w:tcPr>
          <w:p w14:paraId="4E2CF5B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43" w:type="dxa"/>
            <w:noWrap w:val="0"/>
            <w:vAlign w:val="center"/>
          </w:tcPr>
          <w:p w14:paraId="6C6F29B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noWrap w:val="0"/>
            <w:vAlign w:val="center"/>
          </w:tcPr>
          <w:p w14:paraId="0A4E014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667" w:type="dxa"/>
            <w:noWrap w:val="0"/>
            <w:vAlign w:val="center"/>
          </w:tcPr>
          <w:p w14:paraId="64F7577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41EAD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C2D6C6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76" w:type="dxa"/>
            <w:noWrap w:val="0"/>
            <w:vAlign w:val="center"/>
          </w:tcPr>
          <w:p w14:paraId="2D05BD3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noWrap w:val="0"/>
            <w:vAlign w:val="center"/>
          </w:tcPr>
          <w:p w14:paraId="384DE34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43" w:type="dxa"/>
            <w:noWrap w:val="0"/>
            <w:vAlign w:val="center"/>
          </w:tcPr>
          <w:p w14:paraId="5782BF1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noWrap w:val="0"/>
            <w:vAlign w:val="center"/>
          </w:tcPr>
          <w:p w14:paraId="2B9C81F6">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667" w:type="dxa"/>
            <w:noWrap w:val="0"/>
            <w:vAlign w:val="center"/>
          </w:tcPr>
          <w:p w14:paraId="663F6F8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5E6C8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87B039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76" w:type="dxa"/>
            <w:noWrap w:val="0"/>
            <w:vAlign w:val="center"/>
          </w:tcPr>
          <w:p w14:paraId="32EBDDD4">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noWrap w:val="0"/>
            <w:vAlign w:val="center"/>
          </w:tcPr>
          <w:p w14:paraId="6DCE600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43" w:type="dxa"/>
            <w:noWrap w:val="0"/>
            <w:vAlign w:val="center"/>
          </w:tcPr>
          <w:p w14:paraId="26E27DA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noWrap w:val="0"/>
            <w:vAlign w:val="center"/>
          </w:tcPr>
          <w:p w14:paraId="7142626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667" w:type="dxa"/>
            <w:noWrap w:val="0"/>
            <w:vAlign w:val="center"/>
          </w:tcPr>
          <w:p w14:paraId="4C05F78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09A84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A1B995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76" w:type="dxa"/>
            <w:noWrap w:val="0"/>
            <w:vAlign w:val="center"/>
          </w:tcPr>
          <w:p w14:paraId="18DF712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noWrap w:val="0"/>
            <w:vAlign w:val="center"/>
          </w:tcPr>
          <w:p w14:paraId="090864F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43" w:type="dxa"/>
            <w:noWrap w:val="0"/>
            <w:vAlign w:val="center"/>
          </w:tcPr>
          <w:p w14:paraId="6D0523B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noWrap w:val="0"/>
            <w:vAlign w:val="center"/>
          </w:tcPr>
          <w:p w14:paraId="3A97DE0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667" w:type="dxa"/>
            <w:noWrap w:val="0"/>
            <w:vAlign w:val="center"/>
          </w:tcPr>
          <w:p w14:paraId="45F6EB2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4C954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2C61307">
            <w:pPr>
              <w:shd w:val="clear" w:color="auto" w:fill="auto"/>
              <w:rPr>
                <w:rFonts w:hint="eastAsia" w:ascii="宋体" w:hAnsi="宋体" w:eastAsia="宋体" w:cs="宋体"/>
                <w:color w:val="auto"/>
                <w:sz w:val="24"/>
                <w:szCs w:val="24"/>
                <w:highlight w:val="none"/>
              </w:rPr>
            </w:pPr>
          </w:p>
        </w:tc>
        <w:tc>
          <w:tcPr>
            <w:tcW w:w="1276" w:type="dxa"/>
            <w:noWrap w:val="0"/>
            <w:vAlign w:val="top"/>
          </w:tcPr>
          <w:p w14:paraId="07C3090F">
            <w:pPr>
              <w:shd w:val="clear" w:color="auto" w:fill="auto"/>
              <w:rPr>
                <w:rFonts w:hint="eastAsia" w:ascii="宋体" w:hAnsi="宋体" w:eastAsia="宋体" w:cs="宋体"/>
                <w:color w:val="auto"/>
                <w:sz w:val="24"/>
                <w:szCs w:val="24"/>
                <w:highlight w:val="none"/>
              </w:rPr>
            </w:pPr>
          </w:p>
        </w:tc>
        <w:tc>
          <w:tcPr>
            <w:tcW w:w="1450" w:type="dxa"/>
            <w:noWrap w:val="0"/>
            <w:vAlign w:val="top"/>
          </w:tcPr>
          <w:p w14:paraId="1A6A72E8">
            <w:pPr>
              <w:shd w:val="clear" w:color="auto" w:fill="auto"/>
              <w:rPr>
                <w:rFonts w:hint="eastAsia" w:ascii="宋体" w:hAnsi="宋体" w:eastAsia="宋体" w:cs="宋体"/>
                <w:color w:val="auto"/>
                <w:sz w:val="24"/>
                <w:szCs w:val="24"/>
                <w:highlight w:val="none"/>
              </w:rPr>
            </w:pPr>
          </w:p>
        </w:tc>
        <w:tc>
          <w:tcPr>
            <w:tcW w:w="1243" w:type="dxa"/>
            <w:noWrap w:val="0"/>
            <w:vAlign w:val="top"/>
          </w:tcPr>
          <w:p w14:paraId="01A6F592">
            <w:pPr>
              <w:shd w:val="clear" w:color="auto" w:fill="auto"/>
              <w:rPr>
                <w:rFonts w:hint="eastAsia" w:ascii="宋体" w:hAnsi="宋体" w:eastAsia="宋体" w:cs="宋体"/>
                <w:color w:val="auto"/>
                <w:sz w:val="24"/>
                <w:szCs w:val="24"/>
                <w:highlight w:val="none"/>
              </w:rPr>
            </w:pPr>
          </w:p>
        </w:tc>
        <w:tc>
          <w:tcPr>
            <w:tcW w:w="1450" w:type="dxa"/>
            <w:noWrap w:val="0"/>
            <w:vAlign w:val="top"/>
          </w:tcPr>
          <w:p w14:paraId="23600D64">
            <w:pPr>
              <w:shd w:val="clear" w:color="auto" w:fill="auto"/>
              <w:rPr>
                <w:rFonts w:hint="eastAsia" w:ascii="宋体" w:hAnsi="宋体" w:eastAsia="宋体" w:cs="宋体"/>
                <w:color w:val="auto"/>
                <w:sz w:val="24"/>
                <w:szCs w:val="24"/>
                <w:highlight w:val="none"/>
              </w:rPr>
            </w:pPr>
          </w:p>
        </w:tc>
        <w:tc>
          <w:tcPr>
            <w:tcW w:w="1667" w:type="dxa"/>
            <w:noWrap w:val="0"/>
            <w:vAlign w:val="top"/>
          </w:tcPr>
          <w:p w14:paraId="2EBE8A88">
            <w:pPr>
              <w:shd w:val="clear" w:color="auto" w:fill="auto"/>
              <w:rPr>
                <w:rFonts w:hint="eastAsia" w:ascii="宋体" w:hAnsi="宋体" w:eastAsia="宋体" w:cs="宋体"/>
                <w:color w:val="auto"/>
                <w:sz w:val="24"/>
                <w:szCs w:val="24"/>
                <w:highlight w:val="none"/>
              </w:rPr>
            </w:pPr>
          </w:p>
        </w:tc>
      </w:tr>
      <w:tr w14:paraId="43804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F81F0A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76" w:type="dxa"/>
            <w:noWrap w:val="0"/>
            <w:vAlign w:val="center"/>
          </w:tcPr>
          <w:p w14:paraId="16BB9D9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noWrap w:val="0"/>
            <w:vAlign w:val="center"/>
          </w:tcPr>
          <w:p w14:paraId="0261337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243" w:type="dxa"/>
            <w:noWrap w:val="0"/>
            <w:vAlign w:val="center"/>
          </w:tcPr>
          <w:p w14:paraId="7A1AD1B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50" w:type="dxa"/>
            <w:noWrap w:val="0"/>
            <w:vAlign w:val="center"/>
          </w:tcPr>
          <w:p w14:paraId="1D6293B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667" w:type="dxa"/>
            <w:noWrap w:val="0"/>
            <w:vAlign w:val="center"/>
          </w:tcPr>
          <w:p w14:paraId="7054D8F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3A74E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C9FA244">
            <w:pPr>
              <w:shd w:val="clear" w:color="auto" w:fill="auto"/>
              <w:rPr>
                <w:rFonts w:hint="eastAsia" w:ascii="宋体" w:hAnsi="宋体" w:eastAsia="宋体" w:cs="宋体"/>
                <w:color w:val="auto"/>
                <w:sz w:val="24"/>
                <w:szCs w:val="24"/>
                <w:highlight w:val="none"/>
              </w:rPr>
            </w:pPr>
          </w:p>
        </w:tc>
        <w:tc>
          <w:tcPr>
            <w:tcW w:w="1276" w:type="dxa"/>
            <w:noWrap w:val="0"/>
            <w:vAlign w:val="top"/>
          </w:tcPr>
          <w:p w14:paraId="112AAC53">
            <w:pPr>
              <w:shd w:val="clear" w:color="auto" w:fill="auto"/>
              <w:rPr>
                <w:rFonts w:hint="eastAsia" w:ascii="宋体" w:hAnsi="宋体" w:eastAsia="宋体" w:cs="宋体"/>
                <w:color w:val="auto"/>
                <w:sz w:val="24"/>
                <w:szCs w:val="24"/>
                <w:highlight w:val="none"/>
              </w:rPr>
            </w:pPr>
          </w:p>
        </w:tc>
        <w:tc>
          <w:tcPr>
            <w:tcW w:w="1450" w:type="dxa"/>
            <w:noWrap w:val="0"/>
            <w:vAlign w:val="top"/>
          </w:tcPr>
          <w:p w14:paraId="535AF572">
            <w:pPr>
              <w:shd w:val="clear" w:color="auto" w:fill="auto"/>
              <w:rPr>
                <w:rFonts w:hint="eastAsia" w:ascii="宋体" w:hAnsi="宋体" w:eastAsia="宋体" w:cs="宋体"/>
                <w:color w:val="auto"/>
                <w:sz w:val="24"/>
                <w:szCs w:val="24"/>
                <w:highlight w:val="none"/>
              </w:rPr>
            </w:pPr>
          </w:p>
        </w:tc>
        <w:tc>
          <w:tcPr>
            <w:tcW w:w="1243" w:type="dxa"/>
            <w:noWrap w:val="0"/>
            <w:vAlign w:val="top"/>
          </w:tcPr>
          <w:p w14:paraId="3E1DAE8E">
            <w:pPr>
              <w:shd w:val="clear" w:color="auto" w:fill="auto"/>
              <w:rPr>
                <w:rFonts w:hint="eastAsia" w:ascii="宋体" w:hAnsi="宋体" w:eastAsia="宋体" w:cs="宋体"/>
                <w:color w:val="auto"/>
                <w:sz w:val="24"/>
                <w:szCs w:val="24"/>
                <w:highlight w:val="none"/>
              </w:rPr>
            </w:pPr>
          </w:p>
        </w:tc>
        <w:tc>
          <w:tcPr>
            <w:tcW w:w="1450" w:type="dxa"/>
            <w:noWrap w:val="0"/>
            <w:vAlign w:val="top"/>
          </w:tcPr>
          <w:p w14:paraId="7215A7EE">
            <w:pPr>
              <w:shd w:val="clear" w:color="auto" w:fill="auto"/>
              <w:rPr>
                <w:rFonts w:hint="eastAsia" w:ascii="宋体" w:hAnsi="宋体" w:eastAsia="宋体" w:cs="宋体"/>
                <w:color w:val="auto"/>
                <w:sz w:val="24"/>
                <w:szCs w:val="24"/>
                <w:highlight w:val="none"/>
              </w:rPr>
            </w:pPr>
          </w:p>
        </w:tc>
        <w:tc>
          <w:tcPr>
            <w:tcW w:w="1667" w:type="dxa"/>
            <w:noWrap w:val="0"/>
            <w:vAlign w:val="top"/>
          </w:tcPr>
          <w:p w14:paraId="02A8B21F">
            <w:pPr>
              <w:shd w:val="clear" w:color="auto" w:fill="auto"/>
              <w:rPr>
                <w:rFonts w:hint="eastAsia" w:ascii="宋体" w:hAnsi="宋体" w:eastAsia="宋体" w:cs="宋体"/>
                <w:color w:val="auto"/>
                <w:sz w:val="24"/>
                <w:szCs w:val="24"/>
                <w:highlight w:val="none"/>
              </w:rPr>
            </w:pPr>
          </w:p>
        </w:tc>
      </w:tr>
      <w:tr w14:paraId="0B10A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634076B">
            <w:pPr>
              <w:shd w:val="clear" w:color="auto" w:fill="auto"/>
              <w:rPr>
                <w:rFonts w:hint="eastAsia" w:ascii="宋体" w:hAnsi="宋体" w:eastAsia="宋体" w:cs="宋体"/>
                <w:color w:val="auto"/>
                <w:sz w:val="24"/>
                <w:szCs w:val="24"/>
                <w:highlight w:val="none"/>
              </w:rPr>
            </w:pPr>
          </w:p>
        </w:tc>
        <w:tc>
          <w:tcPr>
            <w:tcW w:w="1276" w:type="dxa"/>
            <w:noWrap w:val="0"/>
            <w:vAlign w:val="top"/>
          </w:tcPr>
          <w:p w14:paraId="50A0DA86">
            <w:pPr>
              <w:shd w:val="clear" w:color="auto" w:fill="auto"/>
              <w:rPr>
                <w:rFonts w:hint="eastAsia" w:ascii="宋体" w:hAnsi="宋体" w:eastAsia="宋体" w:cs="宋体"/>
                <w:color w:val="auto"/>
                <w:sz w:val="24"/>
                <w:szCs w:val="24"/>
                <w:highlight w:val="none"/>
              </w:rPr>
            </w:pPr>
          </w:p>
        </w:tc>
        <w:tc>
          <w:tcPr>
            <w:tcW w:w="1450" w:type="dxa"/>
            <w:noWrap w:val="0"/>
            <w:vAlign w:val="top"/>
          </w:tcPr>
          <w:p w14:paraId="70876EF4">
            <w:pPr>
              <w:shd w:val="clear" w:color="auto" w:fill="auto"/>
              <w:rPr>
                <w:rFonts w:hint="eastAsia" w:ascii="宋体" w:hAnsi="宋体" w:eastAsia="宋体" w:cs="宋体"/>
                <w:color w:val="auto"/>
                <w:sz w:val="24"/>
                <w:szCs w:val="24"/>
                <w:highlight w:val="none"/>
              </w:rPr>
            </w:pPr>
          </w:p>
        </w:tc>
        <w:tc>
          <w:tcPr>
            <w:tcW w:w="1243" w:type="dxa"/>
            <w:noWrap w:val="0"/>
            <w:vAlign w:val="top"/>
          </w:tcPr>
          <w:p w14:paraId="1B06A2C6">
            <w:pPr>
              <w:shd w:val="clear" w:color="auto" w:fill="auto"/>
              <w:rPr>
                <w:rFonts w:hint="eastAsia" w:ascii="宋体" w:hAnsi="宋体" w:eastAsia="宋体" w:cs="宋体"/>
                <w:color w:val="auto"/>
                <w:sz w:val="24"/>
                <w:szCs w:val="24"/>
                <w:highlight w:val="none"/>
              </w:rPr>
            </w:pPr>
          </w:p>
        </w:tc>
        <w:tc>
          <w:tcPr>
            <w:tcW w:w="1450" w:type="dxa"/>
            <w:noWrap w:val="0"/>
            <w:vAlign w:val="top"/>
          </w:tcPr>
          <w:p w14:paraId="3A599075">
            <w:pPr>
              <w:shd w:val="clear" w:color="auto" w:fill="auto"/>
              <w:rPr>
                <w:rFonts w:hint="eastAsia" w:ascii="宋体" w:hAnsi="宋体" w:eastAsia="宋体" w:cs="宋体"/>
                <w:color w:val="auto"/>
                <w:sz w:val="24"/>
                <w:szCs w:val="24"/>
                <w:highlight w:val="none"/>
              </w:rPr>
            </w:pPr>
          </w:p>
        </w:tc>
        <w:tc>
          <w:tcPr>
            <w:tcW w:w="1667" w:type="dxa"/>
            <w:noWrap w:val="0"/>
            <w:vAlign w:val="top"/>
          </w:tcPr>
          <w:p w14:paraId="13AB75CF">
            <w:pPr>
              <w:shd w:val="clear" w:color="auto" w:fill="auto"/>
              <w:rPr>
                <w:rFonts w:hint="eastAsia" w:ascii="宋体" w:hAnsi="宋体" w:eastAsia="宋体" w:cs="宋体"/>
                <w:color w:val="auto"/>
                <w:sz w:val="24"/>
                <w:szCs w:val="24"/>
                <w:highlight w:val="none"/>
              </w:rPr>
            </w:pPr>
          </w:p>
        </w:tc>
      </w:tr>
      <w:tr w14:paraId="5BC7F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6253EB6">
            <w:pPr>
              <w:shd w:val="clear" w:color="auto" w:fill="auto"/>
              <w:rPr>
                <w:rFonts w:hint="eastAsia" w:ascii="宋体" w:hAnsi="宋体" w:eastAsia="宋体" w:cs="宋体"/>
                <w:color w:val="auto"/>
                <w:sz w:val="24"/>
                <w:szCs w:val="24"/>
                <w:highlight w:val="none"/>
              </w:rPr>
            </w:pPr>
          </w:p>
        </w:tc>
        <w:tc>
          <w:tcPr>
            <w:tcW w:w="1276" w:type="dxa"/>
            <w:noWrap w:val="0"/>
            <w:vAlign w:val="top"/>
          </w:tcPr>
          <w:p w14:paraId="5F50232D">
            <w:pPr>
              <w:shd w:val="clear" w:color="auto" w:fill="auto"/>
              <w:rPr>
                <w:rFonts w:hint="eastAsia" w:ascii="宋体" w:hAnsi="宋体" w:eastAsia="宋体" w:cs="宋体"/>
                <w:color w:val="auto"/>
                <w:sz w:val="24"/>
                <w:szCs w:val="24"/>
                <w:highlight w:val="none"/>
              </w:rPr>
            </w:pPr>
          </w:p>
        </w:tc>
        <w:tc>
          <w:tcPr>
            <w:tcW w:w="1450" w:type="dxa"/>
            <w:noWrap w:val="0"/>
            <w:vAlign w:val="top"/>
          </w:tcPr>
          <w:p w14:paraId="199D8F50">
            <w:pPr>
              <w:shd w:val="clear" w:color="auto" w:fill="auto"/>
              <w:rPr>
                <w:rFonts w:hint="eastAsia" w:ascii="宋体" w:hAnsi="宋体" w:eastAsia="宋体" w:cs="宋体"/>
                <w:color w:val="auto"/>
                <w:sz w:val="24"/>
                <w:szCs w:val="24"/>
                <w:highlight w:val="none"/>
              </w:rPr>
            </w:pPr>
          </w:p>
        </w:tc>
        <w:tc>
          <w:tcPr>
            <w:tcW w:w="1243" w:type="dxa"/>
            <w:noWrap w:val="0"/>
            <w:vAlign w:val="top"/>
          </w:tcPr>
          <w:p w14:paraId="4F2651E4">
            <w:pPr>
              <w:shd w:val="clear" w:color="auto" w:fill="auto"/>
              <w:rPr>
                <w:rFonts w:hint="eastAsia" w:ascii="宋体" w:hAnsi="宋体" w:eastAsia="宋体" w:cs="宋体"/>
                <w:color w:val="auto"/>
                <w:sz w:val="24"/>
                <w:szCs w:val="24"/>
                <w:highlight w:val="none"/>
              </w:rPr>
            </w:pPr>
          </w:p>
        </w:tc>
        <w:tc>
          <w:tcPr>
            <w:tcW w:w="1450" w:type="dxa"/>
            <w:noWrap w:val="0"/>
            <w:vAlign w:val="top"/>
          </w:tcPr>
          <w:p w14:paraId="23D1E281">
            <w:pPr>
              <w:shd w:val="clear" w:color="auto" w:fill="auto"/>
              <w:rPr>
                <w:rFonts w:hint="eastAsia" w:ascii="宋体" w:hAnsi="宋体" w:eastAsia="宋体" w:cs="宋体"/>
                <w:color w:val="auto"/>
                <w:sz w:val="24"/>
                <w:szCs w:val="24"/>
                <w:highlight w:val="none"/>
              </w:rPr>
            </w:pPr>
          </w:p>
        </w:tc>
        <w:tc>
          <w:tcPr>
            <w:tcW w:w="1667" w:type="dxa"/>
            <w:noWrap w:val="0"/>
            <w:vAlign w:val="top"/>
          </w:tcPr>
          <w:p w14:paraId="39D76B88">
            <w:pPr>
              <w:shd w:val="clear" w:color="auto" w:fill="auto"/>
              <w:rPr>
                <w:rFonts w:hint="eastAsia" w:ascii="宋体" w:hAnsi="宋体" w:eastAsia="宋体" w:cs="宋体"/>
                <w:color w:val="auto"/>
                <w:sz w:val="24"/>
                <w:szCs w:val="24"/>
                <w:highlight w:val="none"/>
              </w:rPr>
            </w:pPr>
          </w:p>
        </w:tc>
      </w:tr>
      <w:tr w14:paraId="18182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38625AD">
            <w:pPr>
              <w:shd w:val="clear" w:color="auto" w:fill="auto"/>
              <w:rPr>
                <w:rFonts w:hint="eastAsia" w:ascii="宋体" w:hAnsi="宋体" w:eastAsia="宋体" w:cs="宋体"/>
                <w:color w:val="auto"/>
                <w:sz w:val="24"/>
                <w:szCs w:val="24"/>
                <w:highlight w:val="none"/>
              </w:rPr>
            </w:pPr>
          </w:p>
        </w:tc>
        <w:tc>
          <w:tcPr>
            <w:tcW w:w="1276" w:type="dxa"/>
            <w:noWrap w:val="0"/>
            <w:vAlign w:val="top"/>
          </w:tcPr>
          <w:p w14:paraId="58D73BBC">
            <w:pPr>
              <w:shd w:val="clear" w:color="auto" w:fill="auto"/>
              <w:rPr>
                <w:rFonts w:hint="eastAsia" w:ascii="宋体" w:hAnsi="宋体" w:eastAsia="宋体" w:cs="宋体"/>
                <w:color w:val="auto"/>
                <w:sz w:val="24"/>
                <w:szCs w:val="24"/>
                <w:highlight w:val="none"/>
              </w:rPr>
            </w:pPr>
          </w:p>
        </w:tc>
        <w:tc>
          <w:tcPr>
            <w:tcW w:w="1450" w:type="dxa"/>
            <w:noWrap w:val="0"/>
            <w:vAlign w:val="top"/>
          </w:tcPr>
          <w:p w14:paraId="35C11B3B">
            <w:pPr>
              <w:shd w:val="clear" w:color="auto" w:fill="auto"/>
              <w:rPr>
                <w:rFonts w:hint="eastAsia" w:ascii="宋体" w:hAnsi="宋体" w:eastAsia="宋体" w:cs="宋体"/>
                <w:color w:val="auto"/>
                <w:sz w:val="24"/>
                <w:szCs w:val="24"/>
                <w:highlight w:val="none"/>
              </w:rPr>
            </w:pPr>
          </w:p>
        </w:tc>
        <w:tc>
          <w:tcPr>
            <w:tcW w:w="1243" w:type="dxa"/>
            <w:noWrap w:val="0"/>
            <w:vAlign w:val="top"/>
          </w:tcPr>
          <w:p w14:paraId="4E7D8B66">
            <w:pPr>
              <w:shd w:val="clear" w:color="auto" w:fill="auto"/>
              <w:rPr>
                <w:rFonts w:hint="eastAsia" w:ascii="宋体" w:hAnsi="宋体" w:eastAsia="宋体" w:cs="宋体"/>
                <w:color w:val="auto"/>
                <w:sz w:val="24"/>
                <w:szCs w:val="24"/>
                <w:highlight w:val="none"/>
              </w:rPr>
            </w:pPr>
          </w:p>
        </w:tc>
        <w:tc>
          <w:tcPr>
            <w:tcW w:w="1450" w:type="dxa"/>
            <w:noWrap w:val="0"/>
            <w:vAlign w:val="top"/>
          </w:tcPr>
          <w:p w14:paraId="7C41F909">
            <w:pPr>
              <w:shd w:val="clear" w:color="auto" w:fill="auto"/>
              <w:rPr>
                <w:rFonts w:hint="eastAsia" w:ascii="宋体" w:hAnsi="宋体" w:eastAsia="宋体" w:cs="宋体"/>
                <w:color w:val="auto"/>
                <w:sz w:val="24"/>
                <w:szCs w:val="24"/>
                <w:highlight w:val="none"/>
              </w:rPr>
            </w:pPr>
          </w:p>
        </w:tc>
        <w:tc>
          <w:tcPr>
            <w:tcW w:w="1667" w:type="dxa"/>
            <w:noWrap w:val="0"/>
            <w:vAlign w:val="top"/>
          </w:tcPr>
          <w:p w14:paraId="4A1256A2">
            <w:pPr>
              <w:shd w:val="clear" w:color="auto" w:fill="auto"/>
              <w:rPr>
                <w:rFonts w:hint="eastAsia" w:ascii="宋体" w:hAnsi="宋体" w:eastAsia="宋体" w:cs="宋体"/>
                <w:color w:val="auto"/>
                <w:sz w:val="24"/>
                <w:szCs w:val="24"/>
                <w:highlight w:val="none"/>
              </w:rPr>
            </w:pPr>
          </w:p>
        </w:tc>
      </w:tr>
      <w:tr w14:paraId="5B0FA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BAE2AC6">
            <w:pPr>
              <w:shd w:val="clear" w:color="auto" w:fill="auto"/>
              <w:rPr>
                <w:rFonts w:hint="eastAsia" w:ascii="宋体" w:hAnsi="宋体" w:eastAsia="宋体" w:cs="宋体"/>
                <w:color w:val="auto"/>
                <w:sz w:val="24"/>
                <w:szCs w:val="24"/>
                <w:highlight w:val="none"/>
              </w:rPr>
            </w:pPr>
          </w:p>
        </w:tc>
        <w:tc>
          <w:tcPr>
            <w:tcW w:w="1276" w:type="dxa"/>
            <w:noWrap w:val="0"/>
            <w:vAlign w:val="top"/>
          </w:tcPr>
          <w:p w14:paraId="12D948D4">
            <w:pPr>
              <w:shd w:val="clear" w:color="auto" w:fill="auto"/>
              <w:rPr>
                <w:rFonts w:hint="eastAsia" w:ascii="宋体" w:hAnsi="宋体" w:eastAsia="宋体" w:cs="宋体"/>
                <w:color w:val="auto"/>
                <w:sz w:val="24"/>
                <w:szCs w:val="24"/>
                <w:highlight w:val="none"/>
              </w:rPr>
            </w:pPr>
          </w:p>
        </w:tc>
        <w:tc>
          <w:tcPr>
            <w:tcW w:w="1450" w:type="dxa"/>
            <w:noWrap w:val="0"/>
            <w:vAlign w:val="top"/>
          </w:tcPr>
          <w:p w14:paraId="033C4067">
            <w:pPr>
              <w:shd w:val="clear" w:color="auto" w:fill="auto"/>
              <w:rPr>
                <w:rFonts w:hint="eastAsia" w:ascii="宋体" w:hAnsi="宋体" w:eastAsia="宋体" w:cs="宋体"/>
                <w:color w:val="auto"/>
                <w:sz w:val="24"/>
                <w:szCs w:val="24"/>
                <w:highlight w:val="none"/>
              </w:rPr>
            </w:pPr>
          </w:p>
        </w:tc>
        <w:tc>
          <w:tcPr>
            <w:tcW w:w="1243" w:type="dxa"/>
            <w:noWrap w:val="0"/>
            <w:vAlign w:val="top"/>
          </w:tcPr>
          <w:p w14:paraId="46611EF0">
            <w:pPr>
              <w:shd w:val="clear" w:color="auto" w:fill="auto"/>
              <w:rPr>
                <w:rFonts w:hint="eastAsia" w:ascii="宋体" w:hAnsi="宋体" w:eastAsia="宋体" w:cs="宋体"/>
                <w:color w:val="auto"/>
                <w:sz w:val="24"/>
                <w:szCs w:val="24"/>
                <w:highlight w:val="none"/>
              </w:rPr>
            </w:pPr>
          </w:p>
        </w:tc>
        <w:tc>
          <w:tcPr>
            <w:tcW w:w="1450" w:type="dxa"/>
            <w:noWrap w:val="0"/>
            <w:vAlign w:val="top"/>
          </w:tcPr>
          <w:p w14:paraId="680BF7F6">
            <w:pPr>
              <w:shd w:val="clear" w:color="auto" w:fill="auto"/>
              <w:rPr>
                <w:rFonts w:hint="eastAsia" w:ascii="宋体" w:hAnsi="宋体" w:eastAsia="宋体" w:cs="宋体"/>
                <w:color w:val="auto"/>
                <w:sz w:val="24"/>
                <w:szCs w:val="24"/>
                <w:highlight w:val="none"/>
              </w:rPr>
            </w:pPr>
          </w:p>
        </w:tc>
        <w:tc>
          <w:tcPr>
            <w:tcW w:w="1667" w:type="dxa"/>
            <w:noWrap w:val="0"/>
            <w:vAlign w:val="top"/>
          </w:tcPr>
          <w:p w14:paraId="4E3F1BEF">
            <w:pPr>
              <w:shd w:val="clear" w:color="auto" w:fill="auto"/>
              <w:rPr>
                <w:rFonts w:hint="eastAsia" w:ascii="宋体" w:hAnsi="宋体" w:eastAsia="宋体" w:cs="宋体"/>
                <w:color w:val="auto"/>
                <w:sz w:val="24"/>
                <w:szCs w:val="24"/>
                <w:highlight w:val="none"/>
              </w:rPr>
            </w:pPr>
          </w:p>
        </w:tc>
      </w:tr>
      <w:tr w14:paraId="3E605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6DB0D50">
            <w:pPr>
              <w:shd w:val="clear" w:color="auto" w:fill="auto"/>
              <w:rPr>
                <w:rFonts w:hint="eastAsia" w:ascii="宋体" w:hAnsi="宋体" w:eastAsia="宋体" w:cs="宋体"/>
                <w:color w:val="auto"/>
                <w:sz w:val="24"/>
                <w:szCs w:val="24"/>
                <w:highlight w:val="none"/>
              </w:rPr>
            </w:pPr>
          </w:p>
        </w:tc>
        <w:tc>
          <w:tcPr>
            <w:tcW w:w="1276" w:type="dxa"/>
            <w:noWrap w:val="0"/>
            <w:vAlign w:val="top"/>
          </w:tcPr>
          <w:p w14:paraId="6F314B26">
            <w:pPr>
              <w:shd w:val="clear" w:color="auto" w:fill="auto"/>
              <w:rPr>
                <w:rFonts w:hint="eastAsia" w:ascii="宋体" w:hAnsi="宋体" w:eastAsia="宋体" w:cs="宋体"/>
                <w:color w:val="auto"/>
                <w:sz w:val="24"/>
                <w:szCs w:val="24"/>
                <w:highlight w:val="none"/>
              </w:rPr>
            </w:pPr>
          </w:p>
        </w:tc>
        <w:tc>
          <w:tcPr>
            <w:tcW w:w="1450" w:type="dxa"/>
            <w:noWrap w:val="0"/>
            <w:vAlign w:val="top"/>
          </w:tcPr>
          <w:p w14:paraId="6C8C375D">
            <w:pPr>
              <w:shd w:val="clear" w:color="auto" w:fill="auto"/>
              <w:rPr>
                <w:rFonts w:hint="eastAsia" w:ascii="宋体" w:hAnsi="宋体" w:eastAsia="宋体" w:cs="宋体"/>
                <w:color w:val="auto"/>
                <w:sz w:val="24"/>
                <w:szCs w:val="24"/>
                <w:highlight w:val="none"/>
              </w:rPr>
            </w:pPr>
          </w:p>
        </w:tc>
        <w:tc>
          <w:tcPr>
            <w:tcW w:w="1243" w:type="dxa"/>
            <w:noWrap w:val="0"/>
            <w:vAlign w:val="top"/>
          </w:tcPr>
          <w:p w14:paraId="57FC7842">
            <w:pPr>
              <w:shd w:val="clear" w:color="auto" w:fill="auto"/>
              <w:rPr>
                <w:rFonts w:hint="eastAsia" w:ascii="宋体" w:hAnsi="宋体" w:eastAsia="宋体" w:cs="宋体"/>
                <w:color w:val="auto"/>
                <w:sz w:val="24"/>
                <w:szCs w:val="24"/>
                <w:highlight w:val="none"/>
              </w:rPr>
            </w:pPr>
          </w:p>
        </w:tc>
        <w:tc>
          <w:tcPr>
            <w:tcW w:w="1450" w:type="dxa"/>
            <w:noWrap w:val="0"/>
            <w:vAlign w:val="top"/>
          </w:tcPr>
          <w:p w14:paraId="2D08FBCF">
            <w:pPr>
              <w:shd w:val="clear" w:color="auto" w:fill="auto"/>
              <w:rPr>
                <w:rFonts w:hint="eastAsia" w:ascii="宋体" w:hAnsi="宋体" w:eastAsia="宋体" w:cs="宋体"/>
                <w:color w:val="auto"/>
                <w:sz w:val="24"/>
                <w:szCs w:val="24"/>
                <w:highlight w:val="none"/>
              </w:rPr>
            </w:pPr>
          </w:p>
        </w:tc>
        <w:tc>
          <w:tcPr>
            <w:tcW w:w="1667" w:type="dxa"/>
            <w:noWrap w:val="0"/>
            <w:vAlign w:val="top"/>
          </w:tcPr>
          <w:p w14:paraId="5CBDA951">
            <w:pPr>
              <w:shd w:val="clear" w:color="auto" w:fill="auto"/>
              <w:rPr>
                <w:rFonts w:hint="eastAsia" w:ascii="宋体" w:hAnsi="宋体" w:eastAsia="宋体" w:cs="宋体"/>
                <w:color w:val="auto"/>
                <w:sz w:val="24"/>
                <w:szCs w:val="24"/>
                <w:highlight w:val="none"/>
              </w:rPr>
            </w:pPr>
          </w:p>
        </w:tc>
      </w:tr>
      <w:tr w14:paraId="2B8C1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682B003">
            <w:pPr>
              <w:shd w:val="clear" w:color="auto" w:fill="auto"/>
              <w:rPr>
                <w:rFonts w:hint="eastAsia" w:ascii="宋体" w:hAnsi="宋体" w:eastAsia="宋体" w:cs="宋体"/>
                <w:color w:val="auto"/>
                <w:sz w:val="24"/>
                <w:szCs w:val="24"/>
                <w:highlight w:val="none"/>
              </w:rPr>
            </w:pPr>
          </w:p>
        </w:tc>
        <w:tc>
          <w:tcPr>
            <w:tcW w:w="1276" w:type="dxa"/>
            <w:noWrap w:val="0"/>
            <w:vAlign w:val="top"/>
          </w:tcPr>
          <w:p w14:paraId="26C8C641">
            <w:pPr>
              <w:shd w:val="clear" w:color="auto" w:fill="auto"/>
              <w:rPr>
                <w:rFonts w:hint="eastAsia" w:ascii="宋体" w:hAnsi="宋体" w:eastAsia="宋体" w:cs="宋体"/>
                <w:color w:val="auto"/>
                <w:sz w:val="24"/>
                <w:szCs w:val="24"/>
                <w:highlight w:val="none"/>
              </w:rPr>
            </w:pPr>
          </w:p>
        </w:tc>
        <w:tc>
          <w:tcPr>
            <w:tcW w:w="1450" w:type="dxa"/>
            <w:noWrap w:val="0"/>
            <w:vAlign w:val="top"/>
          </w:tcPr>
          <w:p w14:paraId="7BC13855">
            <w:pPr>
              <w:shd w:val="clear" w:color="auto" w:fill="auto"/>
              <w:rPr>
                <w:rFonts w:hint="eastAsia" w:ascii="宋体" w:hAnsi="宋体" w:eastAsia="宋体" w:cs="宋体"/>
                <w:color w:val="auto"/>
                <w:sz w:val="24"/>
                <w:szCs w:val="24"/>
                <w:highlight w:val="none"/>
              </w:rPr>
            </w:pPr>
          </w:p>
        </w:tc>
        <w:tc>
          <w:tcPr>
            <w:tcW w:w="1243" w:type="dxa"/>
            <w:noWrap w:val="0"/>
            <w:vAlign w:val="top"/>
          </w:tcPr>
          <w:p w14:paraId="4E7BB0E2">
            <w:pPr>
              <w:shd w:val="clear" w:color="auto" w:fill="auto"/>
              <w:rPr>
                <w:rFonts w:hint="eastAsia" w:ascii="宋体" w:hAnsi="宋体" w:eastAsia="宋体" w:cs="宋体"/>
                <w:color w:val="auto"/>
                <w:sz w:val="24"/>
                <w:szCs w:val="24"/>
                <w:highlight w:val="none"/>
              </w:rPr>
            </w:pPr>
          </w:p>
        </w:tc>
        <w:tc>
          <w:tcPr>
            <w:tcW w:w="1450" w:type="dxa"/>
            <w:noWrap w:val="0"/>
            <w:vAlign w:val="top"/>
          </w:tcPr>
          <w:p w14:paraId="2D446099">
            <w:pPr>
              <w:shd w:val="clear" w:color="auto" w:fill="auto"/>
              <w:rPr>
                <w:rFonts w:hint="eastAsia" w:ascii="宋体" w:hAnsi="宋体" w:eastAsia="宋体" w:cs="宋体"/>
                <w:color w:val="auto"/>
                <w:sz w:val="24"/>
                <w:szCs w:val="24"/>
                <w:highlight w:val="none"/>
              </w:rPr>
            </w:pPr>
          </w:p>
        </w:tc>
        <w:tc>
          <w:tcPr>
            <w:tcW w:w="1667" w:type="dxa"/>
            <w:noWrap w:val="0"/>
            <w:vAlign w:val="top"/>
          </w:tcPr>
          <w:p w14:paraId="3CFB765C">
            <w:pPr>
              <w:shd w:val="clear" w:color="auto" w:fill="auto"/>
              <w:rPr>
                <w:rFonts w:hint="eastAsia" w:ascii="宋体" w:hAnsi="宋体" w:eastAsia="宋体" w:cs="宋体"/>
                <w:color w:val="auto"/>
                <w:sz w:val="24"/>
                <w:szCs w:val="24"/>
                <w:highlight w:val="none"/>
              </w:rPr>
            </w:pPr>
          </w:p>
        </w:tc>
      </w:tr>
      <w:tr w14:paraId="017F6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0AF741B">
            <w:pPr>
              <w:shd w:val="clear" w:color="auto" w:fill="auto"/>
              <w:rPr>
                <w:rFonts w:hint="eastAsia" w:ascii="宋体" w:hAnsi="宋体" w:eastAsia="宋体" w:cs="宋体"/>
                <w:color w:val="auto"/>
                <w:sz w:val="24"/>
                <w:szCs w:val="24"/>
                <w:highlight w:val="none"/>
              </w:rPr>
            </w:pPr>
          </w:p>
        </w:tc>
        <w:tc>
          <w:tcPr>
            <w:tcW w:w="1276" w:type="dxa"/>
            <w:noWrap w:val="0"/>
            <w:vAlign w:val="top"/>
          </w:tcPr>
          <w:p w14:paraId="368ACF82">
            <w:pPr>
              <w:shd w:val="clear" w:color="auto" w:fill="auto"/>
              <w:rPr>
                <w:rFonts w:hint="eastAsia" w:ascii="宋体" w:hAnsi="宋体" w:eastAsia="宋体" w:cs="宋体"/>
                <w:color w:val="auto"/>
                <w:sz w:val="24"/>
                <w:szCs w:val="24"/>
                <w:highlight w:val="none"/>
              </w:rPr>
            </w:pPr>
          </w:p>
        </w:tc>
        <w:tc>
          <w:tcPr>
            <w:tcW w:w="1450" w:type="dxa"/>
            <w:noWrap w:val="0"/>
            <w:vAlign w:val="top"/>
          </w:tcPr>
          <w:p w14:paraId="766CC8BA">
            <w:pPr>
              <w:shd w:val="clear" w:color="auto" w:fill="auto"/>
              <w:rPr>
                <w:rFonts w:hint="eastAsia" w:ascii="宋体" w:hAnsi="宋体" w:eastAsia="宋体" w:cs="宋体"/>
                <w:color w:val="auto"/>
                <w:sz w:val="24"/>
                <w:szCs w:val="24"/>
                <w:highlight w:val="none"/>
              </w:rPr>
            </w:pPr>
          </w:p>
        </w:tc>
        <w:tc>
          <w:tcPr>
            <w:tcW w:w="1243" w:type="dxa"/>
            <w:noWrap w:val="0"/>
            <w:vAlign w:val="top"/>
          </w:tcPr>
          <w:p w14:paraId="1A0990B7">
            <w:pPr>
              <w:shd w:val="clear" w:color="auto" w:fill="auto"/>
              <w:rPr>
                <w:rFonts w:hint="eastAsia" w:ascii="宋体" w:hAnsi="宋体" w:eastAsia="宋体" w:cs="宋体"/>
                <w:color w:val="auto"/>
                <w:sz w:val="24"/>
                <w:szCs w:val="24"/>
                <w:highlight w:val="none"/>
              </w:rPr>
            </w:pPr>
          </w:p>
        </w:tc>
        <w:tc>
          <w:tcPr>
            <w:tcW w:w="1450" w:type="dxa"/>
            <w:noWrap w:val="0"/>
            <w:vAlign w:val="top"/>
          </w:tcPr>
          <w:p w14:paraId="09A2D30E">
            <w:pPr>
              <w:shd w:val="clear" w:color="auto" w:fill="auto"/>
              <w:rPr>
                <w:rFonts w:hint="eastAsia" w:ascii="宋体" w:hAnsi="宋体" w:eastAsia="宋体" w:cs="宋体"/>
                <w:color w:val="auto"/>
                <w:sz w:val="24"/>
                <w:szCs w:val="24"/>
                <w:highlight w:val="none"/>
              </w:rPr>
            </w:pPr>
          </w:p>
        </w:tc>
        <w:tc>
          <w:tcPr>
            <w:tcW w:w="1667" w:type="dxa"/>
            <w:noWrap w:val="0"/>
            <w:vAlign w:val="top"/>
          </w:tcPr>
          <w:p w14:paraId="7C8A609F">
            <w:pPr>
              <w:shd w:val="clear" w:color="auto" w:fill="auto"/>
              <w:rPr>
                <w:rFonts w:hint="eastAsia" w:ascii="宋体" w:hAnsi="宋体" w:eastAsia="宋体" w:cs="宋体"/>
                <w:color w:val="auto"/>
                <w:sz w:val="24"/>
                <w:szCs w:val="24"/>
                <w:highlight w:val="none"/>
              </w:rPr>
            </w:pPr>
          </w:p>
        </w:tc>
      </w:tr>
      <w:tr w14:paraId="02006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14EC708">
            <w:pPr>
              <w:shd w:val="clear" w:color="auto" w:fill="auto"/>
              <w:rPr>
                <w:rFonts w:hint="eastAsia" w:ascii="宋体" w:hAnsi="宋体" w:eastAsia="宋体" w:cs="宋体"/>
                <w:color w:val="auto"/>
                <w:sz w:val="24"/>
                <w:szCs w:val="24"/>
                <w:highlight w:val="none"/>
              </w:rPr>
            </w:pPr>
          </w:p>
        </w:tc>
        <w:tc>
          <w:tcPr>
            <w:tcW w:w="1276" w:type="dxa"/>
            <w:noWrap w:val="0"/>
            <w:vAlign w:val="top"/>
          </w:tcPr>
          <w:p w14:paraId="4B15FFF6">
            <w:pPr>
              <w:shd w:val="clear" w:color="auto" w:fill="auto"/>
              <w:rPr>
                <w:rFonts w:hint="eastAsia" w:ascii="宋体" w:hAnsi="宋体" w:eastAsia="宋体" w:cs="宋体"/>
                <w:color w:val="auto"/>
                <w:sz w:val="24"/>
                <w:szCs w:val="24"/>
                <w:highlight w:val="none"/>
              </w:rPr>
            </w:pPr>
          </w:p>
        </w:tc>
        <w:tc>
          <w:tcPr>
            <w:tcW w:w="1450" w:type="dxa"/>
            <w:noWrap w:val="0"/>
            <w:vAlign w:val="top"/>
          </w:tcPr>
          <w:p w14:paraId="4D4A8320">
            <w:pPr>
              <w:shd w:val="clear" w:color="auto" w:fill="auto"/>
              <w:rPr>
                <w:rFonts w:hint="eastAsia" w:ascii="宋体" w:hAnsi="宋体" w:eastAsia="宋体" w:cs="宋体"/>
                <w:color w:val="auto"/>
                <w:sz w:val="24"/>
                <w:szCs w:val="24"/>
                <w:highlight w:val="none"/>
              </w:rPr>
            </w:pPr>
          </w:p>
        </w:tc>
        <w:tc>
          <w:tcPr>
            <w:tcW w:w="1243" w:type="dxa"/>
            <w:noWrap w:val="0"/>
            <w:vAlign w:val="top"/>
          </w:tcPr>
          <w:p w14:paraId="303FD098">
            <w:pPr>
              <w:shd w:val="clear" w:color="auto" w:fill="auto"/>
              <w:rPr>
                <w:rFonts w:hint="eastAsia" w:ascii="宋体" w:hAnsi="宋体" w:eastAsia="宋体" w:cs="宋体"/>
                <w:color w:val="auto"/>
                <w:sz w:val="24"/>
                <w:szCs w:val="24"/>
                <w:highlight w:val="none"/>
              </w:rPr>
            </w:pPr>
          </w:p>
        </w:tc>
        <w:tc>
          <w:tcPr>
            <w:tcW w:w="1450" w:type="dxa"/>
            <w:noWrap w:val="0"/>
            <w:vAlign w:val="top"/>
          </w:tcPr>
          <w:p w14:paraId="7C0A2514">
            <w:pPr>
              <w:shd w:val="clear" w:color="auto" w:fill="auto"/>
              <w:rPr>
                <w:rFonts w:hint="eastAsia" w:ascii="宋体" w:hAnsi="宋体" w:eastAsia="宋体" w:cs="宋体"/>
                <w:color w:val="auto"/>
                <w:sz w:val="24"/>
                <w:szCs w:val="24"/>
                <w:highlight w:val="none"/>
              </w:rPr>
            </w:pPr>
          </w:p>
        </w:tc>
        <w:tc>
          <w:tcPr>
            <w:tcW w:w="1667" w:type="dxa"/>
            <w:noWrap w:val="0"/>
            <w:vAlign w:val="top"/>
          </w:tcPr>
          <w:p w14:paraId="0C909A79">
            <w:pPr>
              <w:shd w:val="clear" w:color="auto" w:fill="auto"/>
              <w:rPr>
                <w:rFonts w:hint="eastAsia" w:ascii="宋体" w:hAnsi="宋体" w:eastAsia="宋体" w:cs="宋体"/>
                <w:color w:val="auto"/>
                <w:sz w:val="24"/>
                <w:szCs w:val="24"/>
                <w:highlight w:val="none"/>
              </w:rPr>
            </w:pPr>
          </w:p>
        </w:tc>
      </w:tr>
    </w:tbl>
    <w:p w14:paraId="6FC9747A">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w:t>
      </w:r>
      <w:bookmarkStart w:id="864" w:name="_Toc296346728"/>
      <w:bookmarkStart w:id="865" w:name="_Toc296944566"/>
      <w:bookmarkStart w:id="866" w:name="_Toc267261698"/>
      <w:bookmarkStart w:id="867" w:name="_Toc296347226"/>
      <w:bookmarkStart w:id="868" w:name="_Toc296503227"/>
      <w:bookmarkStart w:id="869" w:name="_Toc296891055"/>
      <w:bookmarkStart w:id="870" w:name="_Toc296891267"/>
      <w:r>
        <w:rPr>
          <w:rFonts w:hint="eastAsia" w:ascii="宋体" w:hAnsi="宋体" w:eastAsia="宋体" w:cs="宋体"/>
          <w:color w:val="auto"/>
          <w:sz w:val="24"/>
          <w:szCs w:val="24"/>
          <w:highlight w:val="none"/>
        </w:rPr>
        <w:t>件5：</w:t>
      </w:r>
    </w:p>
    <w:bookmarkEnd w:id="864"/>
    <w:bookmarkEnd w:id="865"/>
    <w:bookmarkEnd w:id="866"/>
    <w:bookmarkEnd w:id="867"/>
    <w:bookmarkEnd w:id="868"/>
    <w:bookmarkEnd w:id="869"/>
    <w:bookmarkEnd w:id="870"/>
    <w:p w14:paraId="66FA4F30">
      <w:pPr>
        <w:shd w:val="clear" w:color="auto" w:fill="auto"/>
        <w:spacing w:before="156" w:beforeLines="50" w:after="156"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承包人用于本工程施工的机械设备表</w:t>
      </w:r>
    </w:p>
    <w:tbl>
      <w:tblPr>
        <w:tblStyle w:val="1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ACDC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47A0CC1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418" w:type="dxa"/>
            <w:tcBorders>
              <w:top w:val="single" w:color="auto" w:sz="12" w:space="0"/>
              <w:bottom w:val="double" w:color="auto" w:sz="6" w:space="0"/>
            </w:tcBorders>
            <w:noWrap w:val="0"/>
            <w:vAlign w:val="center"/>
          </w:tcPr>
          <w:p w14:paraId="71A7CC9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14:paraId="3DC7C95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14:paraId="42D07F5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tc>
        <w:tc>
          <w:tcPr>
            <w:tcW w:w="880" w:type="dxa"/>
            <w:tcBorders>
              <w:top w:val="single" w:color="auto" w:sz="12" w:space="0"/>
              <w:bottom w:val="double" w:color="auto" w:sz="6" w:space="0"/>
            </w:tcBorders>
            <w:noWrap w:val="0"/>
            <w:vAlign w:val="center"/>
          </w:tcPr>
          <w:p w14:paraId="5DDA327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产地</w:t>
            </w:r>
          </w:p>
        </w:tc>
        <w:tc>
          <w:tcPr>
            <w:tcW w:w="1020" w:type="dxa"/>
            <w:tcBorders>
              <w:top w:val="single" w:color="auto" w:sz="12" w:space="0"/>
              <w:bottom w:val="double" w:color="auto" w:sz="6" w:space="0"/>
            </w:tcBorders>
            <w:noWrap w:val="0"/>
            <w:vAlign w:val="center"/>
          </w:tcPr>
          <w:p w14:paraId="6F4511D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14:paraId="5E198CD4">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14:paraId="177388C4">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14:paraId="30285AD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r w14:paraId="137E4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2D4BFFC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tcBorders>
              <w:top w:val="double" w:color="auto" w:sz="6" w:space="0"/>
              <w:bottom w:val="single" w:color="auto" w:sz="6" w:space="0"/>
            </w:tcBorders>
            <w:noWrap w:val="0"/>
            <w:vAlign w:val="center"/>
          </w:tcPr>
          <w:p w14:paraId="6EAB635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50" w:type="dxa"/>
            <w:tcBorders>
              <w:top w:val="double" w:color="auto" w:sz="6" w:space="0"/>
              <w:bottom w:val="single" w:color="auto" w:sz="6" w:space="0"/>
            </w:tcBorders>
            <w:noWrap w:val="0"/>
            <w:vAlign w:val="center"/>
          </w:tcPr>
          <w:p w14:paraId="05DDFA4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58" w:type="dxa"/>
            <w:tcBorders>
              <w:top w:val="double" w:color="auto" w:sz="6" w:space="0"/>
              <w:bottom w:val="single" w:color="auto" w:sz="6" w:space="0"/>
            </w:tcBorders>
            <w:noWrap w:val="0"/>
            <w:vAlign w:val="center"/>
          </w:tcPr>
          <w:p w14:paraId="5935B6ED">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80" w:type="dxa"/>
            <w:tcBorders>
              <w:top w:val="double" w:color="auto" w:sz="6" w:space="0"/>
              <w:bottom w:val="single" w:color="auto" w:sz="6" w:space="0"/>
            </w:tcBorders>
            <w:noWrap w:val="0"/>
            <w:vAlign w:val="center"/>
          </w:tcPr>
          <w:p w14:paraId="52FFD73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tcBorders>
              <w:top w:val="double" w:color="auto" w:sz="6" w:space="0"/>
              <w:bottom w:val="single" w:color="auto" w:sz="6" w:space="0"/>
            </w:tcBorders>
            <w:noWrap w:val="0"/>
            <w:vAlign w:val="center"/>
          </w:tcPr>
          <w:p w14:paraId="12DF7326">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80" w:type="dxa"/>
            <w:tcBorders>
              <w:top w:val="double" w:color="auto" w:sz="6" w:space="0"/>
              <w:bottom w:val="single" w:color="auto" w:sz="6" w:space="0"/>
            </w:tcBorders>
            <w:noWrap w:val="0"/>
            <w:vAlign w:val="center"/>
          </w:tcPr>
          <w:p w14:paraId="5544DEF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tcBorders>
              <w:top w:val="double" w:color="auto" w:sz="6" w:space="0"/>
              <w:bottom w:val="single" w:color="auto" w:sz="6" w:space="0"/>
            </w:tcBorders>
            <w:noWrap w:val="0"/>
            <w:vAlign w:val="center"/>
          </w:tcPr>
          <w:p w14:paraId="07AB889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921" w:type="dxa"/>
            <w:tcBorders>
              <w:top w:val="double" w:color="auto" w:sz="6" w:space="0"/>
              <w:bottom w:val="single" w:color="auto" w:sz="6" w:space="0"/>
            </w:tcBorders>
            <w:noWrap w:val="0"/>
            <w:vAlign w:val="center"/>
          </w:tcPr>
          <w:p w14:paraId="132ADB7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1F2B0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21DC04D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tcBorders>
              <w:top w:val="nil"/>
            </w:tcBorders>
            <w:noWrap w:val="0"/>
            <w:vAlign w:val="center"/>
          </w:tcPr>
          <w:p w14:paraId="27178FF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50" w:type="dxa"/>
            <w:tcBorders>
              <w:top w:val="nil"/>
            </w:tcBorders>
            <w:noWrap w:val="0"/>
            <w:vAlign w:val="center"/>
          </w:tcPr>
          <w:p w14:paraId="5EB97EA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58" w:type="dxa"/>
            <w:tcBorders>
              <w:top w:val="nil"/>
            </w:tcBorders>
            <w:noWrap w:val="0"/>
            <w:vAlign w:val="center"/>
          </w:tcPr>
          <w:p w14:paraId="380C575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80" w:type="dxa"/>
            <w:tcBorders>
              <w:top w:val="nil"/>
            </w:tcBorders>
            <w:noWrap w:val="0"/>
            <w:vAlign w:val="center"/>
          </w:tcPr>
          <w:p w14:paraId="0E53A03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tcBorders>
              <w:top w:val="nil"/>
            </w:tcBorders>
            <w:noWrap w:val="0"/>
            <w:vAlign w:val="center"/>
          </w:tcPr>
          <w:p w14:paraId="0FFA6FBD">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80" w:type="dxa"/>
            <w:tcBorders>
              <w:top w:val="nil"/>
            </w:tcBorders>
            <w:noWrap w:val="0"/>
            <w:vAlign w:val="center"/>
          </w:tcPr>
          <w:p w14:paraId="35EDADD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tcBorders>
              <w:top w:val="nil"/>
            </w:tcBorders>
            <w:noWrap w:val="0"/>
            <w:vAlign w:val="center"/>
          </w:tcPr>
          <w:p w14:paraId="0C62B61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921" w:type="dxa"/>
            <w:tcBorders>
              <w:top w:val="nil"/>
            </w:tcBorders>
            <w:noWrap w:val="0"/>
            <w:vAlign w:val="center"/>
          </w:tcPr>
          <w:p w14:paraId="6E13537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07697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6C9079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566917D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50" w:type="dxa"/>
            <w:noWrap w:val="0"/>
            <w:vAlign w:val="center"/>
          </w:tcPr>
          <w:p w14:paraId="656366D6">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58" w:type="dxa"/>
            <w:noWrap w:val="0"/>
            <w:vAlign w:val="center"/>
          </w:tcPr>
          <w:p w14:paraId="741D55C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80" w:type="dxa"/>
            <w:noWrap w:val="0"/>
            <w:vAlign w:val="center"/>
          </w:tcPr>
          <w:p w14:paraId="130C392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noWrap w:val="0"/>
            <w:vAlign w:val="center"/>
          </w:tcPr>
          <w:p w14:paraId="2D39E79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80" w:type="dxa"/>
            <w:noWrap w:val="0"/>
            <w:vAlign w:val="center"/>
          </w:tcPr>
          <w:p w14:paraId="47913D5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noWrap w:val="0"/>
            <w:vAlign w:val="center"/>
          </w:tcPr>
          <w:p w14:paraId="7DDBDD3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921" w:type="dxa"/>
            <w:noWrap w:val="0"/>
            <w:vAlign w:val="center"/>
          </w:tcPr>
          <w:p w14:paraId="60417F5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52D81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54447F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15CF4E0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50" w:type="dxa"/>
            <w:noWrap w:val="0"/>
            <w:vAlign w:val="center"/>
          </w:tcPr>
          <w:p w14:paraId="356A687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58" w:type="dxa"/>
            <w:noWrap w:val="0"/>
            <w:vAlign w:val="center"/>
          </w:tcPr>
          <w:p w14:paraId="443C523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80" w:type="dxa"/>
            <w:noWrap w:val="0"/>
            <w:vAlign w:val="center"/>
          </w:tcPr>
          <w:p w14:paraId="53DC033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noWrap w:val="0"/>
            <w:vAlign w:val="center"/>
          </w:tcPr>
          <w:p w14:paraId="451D4C9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80" w:type="dxa"/>
            <w:noWrap w:val="0"/>
            <w:vAlign w:val="center"/>
          </w:tcPr>
          <w:p w14:paraId="64F50E94">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noWrap w:val="0"/>
            <w:vAlign w:val="center"/>
          </w:tcPr>
          <w:p w14:paraId="38715C0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921" w:type="dxa"/>
            <w:noWrap w:val="0"/>
            <w:vAlign w:val="center"/>
          </w:tcPr>
          <w:p w14:paraId="58D2732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06D68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86BB35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0D72351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50" w:type="dxa"/>
            <w:noWrap w:val="0"/>
            <w:vAlign w:val="center"/>
          </w:tcPr>
          <w:p w14:paraId="718FD10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58" w:type="dxa"/>
            <w:noWrap w:val="0"/>
            <w:vAlign w:val="center"/>
          </w:tcPr>
          <w:p w14:paraId="24F70DB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80" w:type="dxa"/>
            <w:noWrap w:val="0"/>
            <w:vAlign w:val="center"/>
          </w:tcPr>
          <w:p w14:paraId="7A335B9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noWrap w:val="0"/>
            <w:vAlign w:val="center"/>
          </w:tcPr>
          <w:p w14:paraId="5733A836">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80" w:type="dxa"/>
            <w:noWrap w:val="0"/>
            <w:vAlign w:val="center"/>
          </w:tcPr>
          <w:p w14:paraId="0729D24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noWrap w:val="0"/>
            <w:vAlign w:val="center"/>
          </w:tcPr>
          <w:p w14:paraId="7404965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921" w:type="dxa"/>
            <w:noWrap w:val="0"/>
            <w:vAlign w:val="center"/>
          </w:tcPr>
          <w:p w14:paraId="52E185B4">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14DD2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42E06E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66CD226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50" w:type="dxa"/>
            <w:noWrap w:val="0"/>
            <w:vAlign w:val="center"/>
          </w:tcPr>
          <w:p w14:paraId="5C320CB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58" w:type="dxa"/>
            <w:noWrap w:val="0"/>
            <w:vAlign w:val="center"/>
          </w:tcPr>
          <w:p w14:paraId="60919CB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80" w:type="dxa"/>
            <w:noWrap w:val="0"/>
            <w:vAlign w:val="center"/>
          </w:tcPr>
          <w:p w14:paraId="623AFC6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noWrap w:val="0"/>
            <w:vAlign w:val="center"/>
          </w:tcPr>
          <w:p w14:paraId="548EDEC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80" w:type="dxa"/>
            <w:noWrap w:val="0"/>
            <w:vAlign w:val="center"/>
          </w:tcPr>
          <w:p w14:paraId="6B234E86">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noWrap w:val="0"/>
            <w:vAlign w:val="center"/>
          </w:tcPr>
          <w:p w14:paraId="5E0831B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921" w:type="dxa"/>
            <w:noWrap w:val="0"/>
            <w:vAlign w:val="center"/>
          </w:tcPr>
          <w:p w14:paraId="0855353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2BD77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F8D53D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4F330EE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50" w:type="dxa"/>
            <w:noWrap w:val="0"/>
            <w:vAlign w:val="center"/>
          </w:tcPr>
          <w:p w14:paraId="323D95A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58" w:type="dxa"/>
            <w:noWrap w:val="0"/>
            <w:vAlign w:val="center"/>
          </w:tcPr>
          <w:p w14:paraId="14AD78B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80" w:type="dxa"/>
            <w:noWrap w:val="0"/>
            <w:vAlign w:val="center"/>
          </w:tcPr>
          <w:p w14:paraId="21C6FD4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noWrap w:val="0"/>
            <w:vAlign w:val="center"/>
          </w:tcPr>
          <w:p w14:paraId="2131715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80" w:type="dxa"/>
            <w:noWrap w:val="0"/>
            <w:vAlign w:val="center"/>
          </w:tcPr>
          <w:p w14:paraId="3AEB9F0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noWrap w:val="0"/>
            <w:vAlign w:val="center"/>
          </w:tcPr>
          <w:p w14:paraId="4C55BC9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921" w:type="dxa"/>
            <w:noWrap w:val="0"/>
            <w:vAlign w:val="center"/>
          </w:tcPr>
          <w:p w14:paraId="27F0E6A6">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3C5D1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C03683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4133488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50" w:type="dxa"/>
            <w:noWrap w:val="0"/>
            <w:vAlign w:val="center"/>
          </w:tcPr>
          <w:p w14:paraId="349D1D1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58" w:type="dxa"/>
            <w:noWrap w:val="0"/>
            <w:vAlign w:val="center"/>
          </w:tcPr>
          <w:p w14:paraId="762234B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80" w:type="dxa"/>
            <w:noWrap w:val="0"/>
            <w:vAlign w:val="center"/>
          </w:tcPr>
          <w:p w14:paraId="0DBBAD1D">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noWrap w:val="0"/>
            <w:vAlign w:val="center"/>
          </w:tcPr>
          <w:p w14:paraId="4389AA1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80" w:type="dxa"/>
            <w:noWrap w:val="0"/>
            <w:vAlign w:val="center"/>
          </w:tcPr>
          <w:p w14:paraId="5381296D">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noWrap w:val="0"/>
            <w:vAlign w:val="center"/>
          </w:tcPr>
          <w:p w14:paraId="2B8A3C9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921" w:type="dxa"/>
            <w:noWrap w:val="0"/>
            <w:vAlign w:val="center"/>
          </w:tcPr>
          <w:p w14:paraId="4DDFD5E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07760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21C7CBB">
            <w:pPr>
              <w:shd w:val="clear" w:color="auto" w:fill="auto"/>
              <w:rPr>
                <w:rFonts w:hint="eastAsia" w:ascii="宋体" w:hAnsi="宋体" w:eastAsia="宋体" w:cs="宋体"/>
                <w:color w:val="auto"/>
                <w:sz w:val="24"/>
                <w:szCs w:val="24"/>
                <w:highlight w:val="none"/>
              </w:rPr>
            </w:pPr>
          </w:p>
        </w:tc>
        <w:tc>
          <w:tcPr>
            <w:tcW w:w="1418" w:type="dxa"/>
            <w:noWrap w:val="0"/>
            <w:vAlign w:val="top"/>
          </w:tcPr>
          <w:p w14:paraId="32FA48A1">
            <w:pPr>
              <w:shd w:val="clear" w:color="auto" w:fill="auto"/>
              <w:rPr>
                <w:rFonts w:hint="eastAsia" w:ascii="宋体" w:hAnsi="宋体" w:eastAsia="宋体" w:cs="宋体"/>
                <w:color w:val="auto"/>
                <w:sz w:val="24"/>
                <w:szCs w:val="24"/>
                <w:highlight w:val="none"/>
              </w:rPr>
            </w:pPr>
          </w:p>
        </w:tc>
        <w:tc>
          <w:tcPr>
            <w:tcW w:w="850" w:type="dxa"/>
            <w:noWrap w:val="0"/>
            <w:vAlign w:val="top"/>
          </w:tcPr>
          <w:p w14:paraId="29D6FAB4">
            <w:pPr>
              <w:shd w:val="clear" w:color="auto" w:fill="auto"/>
              <w:rPr>
                <w:rFonts w:hint="eastAsia" w:ascii="宋体" w:hAnsi="宋体" w:eastAsia="宋体" w:cs="宋体"/>
                <w:color w:val="auto"/>
                <w:sz w:val="24"/>
                <w:szCs w:val="24"/>
                <w:highlight w:val="none"/>
              </w:rPr>
            </w:pPr>
          </w:p>
        </w:tc>
        <w:tc>
          <w:tcPr>
            <w:tcW w:w="1058" w:type="dxa"/>
            <w:noWrap w:val="0"/>
            <w:vAlign w:val="top"/>
          </w:tcPr>
          <w:p w14:paraId="3B41BDFE">
            <w:pPr>
              <w:shd w:val="clear" w:color="auto" w:fill="auto"/>
              <w:rPr>
                <w:rFonts w:hint="eastAsia" w:ascii="宋体" w:hAnsi="宋体" w:eastAsia="宋体" w:cs="宋体"/>
                <w:color w:val="auto"/>
                <w:sz w:val="24"/>
                <w:szCs w:val="24"/>
                <w:highlight w:val="none"/>
              </w:rPr>
            </w:pPr>
          </w:p>
        </w:tc>
        <w:tc>
          <w:tcPr>
            <w:tcW w:w="880" w:type="dxa"/>
            <w:noWrap w:val="0"/>
            <w:vAlign w:val="top"/>
          </w:tcPr>
          <w:p w14:paraId="778A2079">
            <w:pPr>
              <w:shd w:val="clear" w:color="auto" w:fill="auto"/>
              <w:rPr>
                <w:rFonts w:hint="eastAsia" w:ascii="宋体" w:hAnsi="宋体" w:eastAsia="宋体" w:cs="宋体"/>
                <w:color w:val="auto"/>
                <w:sz w:val="24"/>
                <w:szCs w:val="24"/>
                <w:highlight w:val="none"/>
              </w:rPr>
            </w:pPr>
          </w:p>
        </w:tc>
        <w:tc>
          <w:tcPr>
            <w:tcW w:w="1020" w:type="dxa"/>
            <w:noWrap w:val="0"/>
            <w:vAlign w:val="top"/>
          </w:tcPr>
          <w:p w14:paraId="31B46CAC">
            <w:pPr>
              <w:shd w:val="clear" w:color="auto" w:fill="auto"/>
              <w:rPr>
                <w:rFonts w:hint="eastAsia" w:ascii="宋体" w:hAnsi="宋体" w:eastAsia="宋体" w:cs="宋体"/>
                <w:color w:val="auto"/>
                <w:sz w:val="24"/>
                <w:szCs w:val="24"/>
                <w:highlight w:val="none"/>
              </w:rPr>
            </w:pPr>
          </w:p>
        </w:tc>
        <w:tc>
          <w:tcPr>
            <w:tcW w:w="1480" w:type="dxa"/>
            <w:noWrap w:val="0"/>
            <w:vAlign w:val="top"/>
          </w:tcPr>
          <w:p w14:paraId="29F1657A">
            <w:pPr>
              <w:shd w:val="clear" w:color="auto" w:fill="auto"/>
              <w:rPr>
                <w:rFonts w:hint="eastAsia" w:ascii="宋体" w:hAnsi="宋体" w:eastAsia="宋体" w:cs="宋体"/>
                <w:color w:val="auto"/>
                <w:sz w:val="24"/>
                <w:szCs w:val="24"/>
                <w:highlight w:val="none"/>
              </w:rPr>
            </w:pPr>
          </w:p>
        </w:tc>
        <w:tc>
          <w:tcPr>
            <w:tcW w:w="1020" w:type="dxa"/>
            <w:noWrap w:val="0"/>
            <w:vAlign w:val="top"/>
          </w:tcPr>
          <w:p w14:paraId="73733ED5">
            <w:pPr>
              <w:shd w:val="clear" w:color="auto" w:fill="auto"/>
              <w:rPr>
                <w:rFonts w:hint="eastAsia" w:ascii="宋体" w:hAnsi="宋体" w:eastAsia="宋体" w:cs="宋体"/>
                <w:color w:val="auto"/>
                <w:sz w:val="24"/>
                <w:szCs w:val="24"/>
                <w:highlight w:val="none"/>
              </w:rPr>
            </w:pPr>
          </w:p>
        </w:tc>
        <w:tc>
          <w:tcPr>
            <w:tcW w:w="921" w:type="dxa"/>
            <w:noWrap w:val="0"/>
            <w:vAlign w:val="top"/>
          </w:tcPr>
          <w:p w14:paraId="1E0CEF54">
            <w:pPr>
              <w:shd w:val="clear" w:color="auto" w:fill="auto"/>
              <w:rPr>
                <w:rFonts w:hint="eastAsia" w:ascii="宋体" w:hAnsi="宋体" w:eastAsia="宋体" w:cs="宋体"/>
                <w:color w:val="auto"/>
                <w:sz w:val="24"/>
                <w:szCs w:val="24"/>
                <w:highlight w:val="none"/>
              </w:rPr>
            </w:pPr>
          </w:p>
        </w:tc>
      </w:tr>
      <w:tr w14:paraId="23DB2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F9BF57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644D9FC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50" w:type="dxa"/>
            <w:noWrap w:val="0"/>
            <w:vAlign w:val="center"/>
          </w:tcPr>
          <w:p w14:paraId="111C3984">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58" w:type="dxa"/>
            <w:noWrap w:val="0"/>
            <w:vAlign w:val="center"/>
          </w:tcPr>
          <w:p w14:paraId="4D24368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880" w:type="dxa"/>
            <w:noWrap w:val="0"/>
            <w:vAlign w:val="center"/>
          </w:tcPr>
          <w:p w14:paraId="39081BA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noWrap w:val="0"/>
            <w:vAlign w:val="center"/>
          </w:tcPr>
          <w:p w14:paraId="664251C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80" w:type="dxa"/>
            <w:noWrap w:val="0"/>
            <w:vAlign w:val="center"/>
          </w:tcPr>
          <w:p w14:paraId="6946D68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020" w:type="dxa"/>
            <w:noWrap w:val="0"/>
            <w:vAlign w:val="center"/>
          </w:tcPr>
          <w:p w14:paraId="7D0EC65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921" w:type="dxa"/>
            <w:noWrap w:val="0"/>
            <w:vAlign w:val="center"/>
          </w:tcPr>
          <w:p w14:paraId="153AA28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7C05C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B309B85">
            <w:pPr>
              <w:shd w:val="clear" w:color="auto" w:fill="auto"/>
              <w:rPr>
                <w:rFonts w:hint="eastAsia" w:ascii="宋体" w:hAnsi="宋体" w:eastAsia="宋体" w:cs="宋体"/>
                <w:color w:val="auto"/>
                <w:sz w:val="24"/>
                <w:szCs w:val="24"/>
                <w:highlight w:val="none"/>
              </w:rPr>
            </w:pPr>
          </w:p>
        </w:tc>
        <w:tc>
          <w:tcPr>
            <w:tcW w:w="1418" w:type="dxa"/>
            <w:noWrap w:val="0"/>
            <w:vAlign w:val="top"/>
          </w:tcPr>
          <w:p w14:paraId="33B3459C">
            <w:pPr>
              <w:shd w:val="clear" w:color="auto" w:fill="auto"/>
              <w:rPr>
                <w:rFonts w:hint="eastAsia" w:ascii="宋体" w:hAnsi="宋体" w:eastAsia="宋体" w:cs="宋体"/>
                <w:color w:val="auto"/>
                <w:sz w:val="24"/>
                <w:szCs w:val="24"/>
                <w:highlight w:val="none"/>
              </w:rPr>
            </w:pPr>
          </w:p>
        </w:tc>
        <w:tc>
          <w:tcPr>
            <w:tcW w:w="850" w:type="dxa"/>
            <w:noWrap w:val="0"/>
            <w:vAlign w:val="top"/>
          </w:tcPr>
          <w:p w14:paraId="18C7F7B1">
            <w:pPr>
              <w:shd w:val="clear" w:color="auto" w:fill="auto"/>
              <w:rPr>
                <w:rFonts w:hint="eastAsia" w:ascii="宋体" w:hAnsi="宋体" w:eastAsia="宋体" w:cs="宋体"/>
                <w:color w:val="auto"/>
                <w:sz w:val="24"/>
                <w:szCs w:val="24"/>
                <w:highlight w:val="none"/>
              </w:rPr>
            </w:pPr>
          </w:p>
        </w:tc>
        <w:tc>
          <w:tcPr>
            <w:tcW w:w="1058" w:type="dxa"/>
            <w:noWrap w:val="0"/>
            <w:vAlign w:val="top"/>
          </w:tcPr>
          <w:p w14:paraId="06C8F66D">
            <w:pPr>
              <w:shd w:val="clear" w:color="auto" w:fill="auto"/>
              <w:rPr>
                <w:rFonts w:hint="eastAsia" w:ascii="宋体" w:hAnsi="宋体" w:eastAsia="宋体" w:cs="宋体"/>
                <w:color w:val="auto"/>
                <w:sz w:val="24"/>
                <w:szCs w:val="24"/>
                <w:highlight w:val="none"/>
              </w:rPr>
            </w:pPr>
          </w:p>
        </w:tc>
        <w:tc>
          <w:tcPr>
            <w:tcW w:w="880" w:type="dxa"/>
            <w:noWrap w:val="0"/>
            <w:vAlign w:val="top"/>
          </w:tcPr>
          <w:p w14:paraId="59FBB74C">
            <w:pPr>
              <w:shd w:val="clear" w:color="auto" w:fill="auto"/>
              <w:rPr>
                <w:rFonts w:hint="eastAsia" w:ascii="宋体" w:hAnsi="宋体" w:eastAsia="宋体" w:cs="宋体"/>
                <w:color w:val="auto"/>
                <w:sz w:val="24"/>
                <w:szCs w:val="24"/>
                <w:highlight w:val="none"/>
              </w:rPr>
            </w:pPr>
          </w:p>
        </w:tc>
        <w:tc>
          <w:tcPr>
            <w:tcW w:w="1020" w:type="dxa"/>
            <w:noWrap w:val="0"/>
            <w:vAlign w:val="top"/>
          </w:tcPr>
          <w:p w14:paraId="75545D73">
            <w:pPr>
              <w:shd w:val="clear" w:color="auto" w:fill="auto"/>
              <w:rPr>
                <w:rFonts w:hint="eastAsia" w:ascii="宋体" w:hAnsi="宋体" w:eastAsia="宋体" w:cs="宋体"/>
                <w:color w:val="auto"/>
                <w:sz w:val="24"/>
                <w:szCs w:val="24"/>
                <w:highlight w:val="none"/>
              </w:rPr>
            </w:pPr>
          </w:p>
        </w:tc>
        <w:tc>
          <w:tcPr>
            <w:tcW w:w="1480" w:type="dxa"/>
            <w:noWrap w:val="0"/>
            <w:vAlign w:val="top"/>
          </w:tcPr>
          <w:p w14:paraId="0D8AB115">
            <w:pPr>
              <w:shd w:val="clear" w:color="auto" w:fill="auto"/>
              <w:rPr>
                <w:rFonts w:hint="eastAsia" w:ascii="宋体" w:hAnsi="宋体" w:eastAsia="宋体" w:cs="宋体"/>
                <w:color w:val="auto"/>
                <w:sz w:val="24"/>
                <w:szCs w:val="24"/>
                <w:highlight w:val="none"/>
              </w:rPr>
            </w:pPr>
          </w:p>
        </w:tc>
        <w:tc>
          <w:tcPr>
            <w:tcW w:w="1020" w:type="dxa"/>
            <w:noWrap w:val="0"/>
            <w:vAlign w:val="top"/>
          </w:tcPr>
          <w:p w14:paraId="2B1BAE74">
            <w:pPr>
              <w:shd w:val="clear" w:color="auto" w:fill="auto"/>
              <w:rPr>
                <w:rFonts w:hint="eastAsia" w:ascii="宋体" w:hAnsi="宋体" w:eastAsia="宋体" w:cs="宋体"/>
                <w:color w:val="auto"/>
                <w:sz w:val="24"/>
                <w:szCs w:val="24"/>
                <w:highlight w:val="none"/>
              </w:rPr>
            </w:pPr>
          </w:p>
        </w:tc>
        <w:tc>
          <w:tcPr>
            <w:tcW w:w="921" w:type="dxa"/>
            <w:noWrap w:val="0"/>
            <w:vAlign w:val="top"/>
          </w:tcPr>
          <w:p w14:paraId="6195F65A">
            <w:pPr>
              <w:shd w:val="clear" w:color="auto" w:fill="auto"/>
              <w:rPr>
                <w:rFonts w:hint="eastAsia" w:ascii="宋体" w:hAnsi="宋体" w:eastAsia="宋体" w:cs="宋体"/>
                <w:color w:val="auto"/>
                <w:sz w:val="24"/>
                <w:szCs w:val="24"/>
                <w:highlight w:val="none"/>
              </w:rPr>
            </w:pPr>
          </w:p>
        </w:tc>
      </w:tr>
      <w:tr w14:paraId="43B60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76A8E70">
            <w:pPr>
              <w:shd w:val="clear" w:color="auto" w:fill="auto"/>
              <w:rPr>
                <w:rFonts w:hint="eastAsia" w:ascii="宋体" w:hAnsi="宋体" w:eastAsia="宋体" w:cs="宋体"/>
                <w:color w:val="auto"/>
                <w:sz w:val="24"/>
                <w:szCs w:val="24"/>
                <w:highlight w:val="none"/>
              </w:rPr>
            </w:pPr>
          </w:p>
        </w:tc>
        <w:tc>
          <w:tcPr>
            <w:tcW w:w="1418" w:type="dxa"/>
            <w:noWrap w:val="0"/>
            <w:vAlign w:val="top"/>
          </w:tcPr>
          <w:p w14:paraId="33618FFA">
            <w:pPr>
              <w:shd w:val="clear" w:color="auto" w:fill="auto"/>
              <w:rPr>
                <w:rFonts w:hint="eastAsia" w:ascii="宋体" w:hAnsi="宋体" w:eastAsia="宋体" w:cs="宋体"/>
                <w:color w:val="auto"/>
                <w:sz w:val="24"/>
                <w:szCs w:val="24"/>
                <w:highlight w:val="none"/>
              </w:rPr>
            </w:pPr>
          </w:p>
        </w:tc>
        <w:tc>
          <w:tcPr>
            <w:tcW w:w="850" w:type="dxa"/>
            <w:noWrap w:val="0"/>
            <w:vAlign w:val="top"/>
          </w:tcPr>
          <w:p w14:paraId="13C0B7FB">
            <w:pPr>
              <w:shd w:val="clear" w:color="auto" w:fill="auto"/>
              <w:rPr>
                <w:rFonts w:hint="eastAsia" w:ascii="宋体" w:hAnsi="宋体" w:eastAsia="宋体" w:cs="宋体"/>
                <w:color w:val="auto"/>
                <w:sz w:val="24"/>
                <w:szCs w:val="24"/>
                <w:highlight w:val="none"/>
              </w:rPr>
            </w:pPr>
          </w:p>
        </w:tc>
        <w:tc>
          <w:tcPr>
            <w:tcW w:w="1058" w:type="dxa"/>
            <w:noWrap w:val="0"/>
            <w:vAlign w:val="top"/>
          </w:tcPr>
          <w:p w14:paraId="4E681058">
            <w:pPr>
              <w:shd w:val="clear" w:color="auto" w:fill="auto"/>
              <w:rPr>
                <w:rFonts w:hint="eastAsia" w:ascii="宋体" w:hAnsi="宋体" w:eastAsia="宋体" w:cs="宋体"/>
                <w:color w:val="auto"/>
                <w:sz w:val="24"/>
                <w:szCs w:val="24"/>
                <w:highlight w:val="none"/>
              </w:rPr>
            </w:pPr>
          </w:p>
        </w:tc>
        <w:tc>
          <w:tcPr>
            <w:tcW w:w="880" w:type="dxa"/>
            <w:noWrap w:val="0"/>
            <w:vAlign w:val="top"/>
          </w:tcPr>
          <w:p w14:paraId="6A140FF6">
            <w:pPr>
              <w:shd w:val="clear" w:color="auto" w:fill="auto"/>
              <w:rPr>
                <w:rFonts w:hint="eastAsia" w:ascii="宋体" w:hAnsi="宋体" w:eastAsia="宋体" w:cs="宋体"/>
                <w:color w:val="auto"/>
                <w:sz w:val="24"/>
                <w:szCs w:val="24"/>
                <w:highlight w:val="none"/>
              </w:rPr>
            </w:pPr>
          </w:p>
        </w:tc>
        <w:tc>
          <w:tcPr>
            <w:tcW w:w="1020" w:type="dxa"/>
            <w:noWrap w:val="0"/>
            <w:vAlign w:val="top"/>
          </w:tcPr>
          <w:p w14:paraId="151D1F23">
            <w:pPr>
              <w:shd w:val="clear" w:color="auto" w:fill="auto"/>
              <w:rPr>
                <w:rFonts w:hint="eastAsia" w:ascii="宋体" w:hAnsi="宋体" w:eastAsia="宋体" w:cs="宋体"/>
                <w:color w:val="auto"/>
                <w:sz w:val="24"/>
                <w:szCs w:val="24"/>
                <w:highlight w:val="none"/>
              </w:rPr>
            </w:pPr>
          </w:p>
        </w:tc>
        <w:tc>
          <w:tcPr>
            <w:tcW w:w="1480" w:type="dxa"/>
            <w:noWrap w:val="0"/>
            <w:vAlign w:val="top"/>
          </w:tcPr>
          <w:p w14:paraId="3AB3C9DC">
            <w:pPr>
              <w:shd w:val="clear" w:color="auto" w:fill="auto"/>
              <w:rPr>
                <w:rFonts w:hint="eastAsia" w:ascii="宋体" w:hAnsi="宋体" w:eastAsia="宋体" w:cs="宋体"/>
                <w:color w:val="auto"/>
                <w:sz w:val="24"/>
                <w:szCs w:val="24"/>
                <w:highlight w:val="none"/>
              </w:rPr>
            </w:pPr>
          </w:p>
        </w:tc>
        <w:tc>
          <w:tcPr>
            <w:tcW w:w="1020" w:type="dxa"/>
            <w:noWrap w:val="0"/>
            <w:vAlign w:val="top"/>
          </w:tcPr>
          <w:p w14:paraId="137F2C69">
            <w:pPr>
              <w:shd w:val="clear" w:color="auto" w:fill="auto"/>
              <w:rPr>
                <w:rFonts w:hint="eastAsia" w:ascii="宋体" w:hAnsi="宋体" w:eastAsia="宋体" w:cs="宋体"/>
                <w:color w:val="auto"/>
                <w:sz w:val="24"/>
                <w:szCs w:val="24"/>
                <w:highlight w:val="none"/>
              </w:rPr>
            </w:pPr>
          </w:p>
        </w:tc>
        <w:tc>
          <w:tcPr>
            <w:tcW w:w="921" w:type="dxa"/>
            <w:noWrap w:val="0"/>
            <w:vAlign w:val="top"/>
          </w:tcPr>
          <w:p w14:paraId="1A9AF253">
            <w:pPr>
              <w:shd w:val="clear" w:color="auto" w:fill="auto"/>
              <w:rPr>
                <w:rFonts w:hint="eastAsia" w:ascii="宋体" w:hAnsi="宋体" w:eastAsia="宋体" w:cs="宋体"/>
                <w:color w:val="auto"/>
                <w:sz w:val="24"/>
                <w:szCs w:val="24"/>
                <w:highlight w:val="none"/>
              </w:rPr>
            </w:pPr>
          </w:p>
        </w:tc>
      </w:tr>
      <w:tr w14:paraId="6BF86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0B53A2C">
            <w:pPr>
              <w:shd w:val="clear" w:color="auto" w:fill="auto"/>
              <w:rPr>
                <w:rFonts w:hint="eastAsia" w:ascii="宋体" w:hAnsi="宋体" w:eastAsia="宋体" w:cs="宋体"/>
                <w:color w:val="auto"/>
                <w:sz w:val="24"/>
                <w:szCs w:val="24"/>
                <w:highlight w:val="none"/>
              </w:rPr>
            </w:pPr>
          </w:p>
        </w:tc>
        <w:tc>
          <w:tcPr>
            <w:tcW w:w="1418" w:type="dxa"/>
            <w:noWrap w:val="0"/>
            <w:vAlign w:val="top"/>
          </w:tcPr>
          <w:p w14:paraId="1688429A">
            <w:pPr>
              <w:shd w:val="clear" w:color="auto" w:fill="auto"/>
              <w:rPr>
                <w:rFonts w:hint="eastAsia" w:ascii="宋体" w:hAnsi="宋体" w:eastAsia="宋体" w:cs="宋体"/>
                <w:color w:val="auto"/>
                <w:sz w:val="24"/>
                <w:szCs w:val="24"/>
                <w:highlight w:val="none"/>
              </w:rPr>
            </w:pPr>
          </w:p>
        </w:tc>
        <w:tc>
          <w:tcPr>
            <w:tcW w:w="850" w:type="dxa"/>
            <w:noWrap w:val="0"/>
            <w:vAlign w:val="top"/>
          </w:tcPr>
          <w:p w14:paraId="70CF6812">
            <w:pPr>
              <w:shd w:val="clear" w:color="auto" w:fill="auto"/>
              <w:rPr>
                <w:rFonts w:hint="eastAsia" w:ascii="宋体" w:hAnsi="宋体" w:eastAsia="宋体" w:cs="宋体"/>
                <w:color w:val="auto"/>
                <w:sz w:val="24"/>
                <w:szCs w:val="24"/>
                <w:highlight w:val="none"/>
              </w:rPr>
            </w:pPr>
          </w:p>
        </w:tc>
        <w:tc>
          <w:tcPr>
            <w:tcW w:w="1058" w:type="dxa"/>
            <w:noWrap w:val="0"/>
            <w:vAlign w:val="top"/>
          </w:tcPr>
          <w:p w14:paraId="07C94B88">
            <w:pPr>
              <w:shd w:val="clear" w:color="auto" w:fill="auto"/>
              <w:rPr>
                <w:rFonts w:hint="eastAsia" w:ascii="宋体" w:hAnsi="宋体" w:eastAsia="宋体" w:cs="宋体"/>
                <w:color w:val="auto"/>
                <w:sz w:val="24"/>
                <w:szCs w:val="24"/>
                <w:highlight w:val="none"/>
              </w:rPr>
            </w:pPr>
          </w:p>
        </w:tc>
        <w:tc>
          <w:tcPr>
            <w:tcW w:w="880" w:type="dxa"/>
            <w:noWrap w:val="0"/>
            <w:vAlign w:val="top"/>
          </w:tcPr>
          <w:p w14:paraId="19EC1B68">
            <w:pPr>
              <w:shd w:val="clear" w:color="auto" w:fill="auto"/>
              <w:rPr>
                <w:rFonts w:hint="eastAsia" w:ascii="宋体" w:hAnsi="宋体" w:eastAsia="宋体" w:cs="宋体"/>
                <w:color w:val="auto"/>
                <w:sz w:val="24"/>
                <w:szCs w:val="24"/>
                <w:highlight w:val="none"/>
              </w:rPr>
            </w:pPr>
          </w:p>
        </w:tc>
        <w:tc>
          <w:tcPr>
            <w:tcW w:w="1020" w:type="dxa"/>
            <w:noWrap w:val="0"/>
            <w:vAlign w:val="top"/>
          </w:tcPr>
          <w:p w14:paraId="2BC846DB">
            <w:pPr>
              <w:shd w:val="clear" w:color="auto" w:fill="auto"/>
              <w:rPr>
                <w:rFonts w:hint="eastAsia" w:ascii="宋体" w:hAnsi="宋体" w:eastAsia="宋体" w:cs="宋体"/>
                <w:color w:val="auto"/>
                <w:sz w:val="24"/>
                <w:szCs w:val="24"/>
                <w:highlight w:val="none"/>
              </w:rPr>
            </w:pPr>
          </w:p>
        </w:tc>
        <w:tc>
          <w:tcPr>
            <w:tcW w:w="1480" w:type="dxa"/>
            <w:noWrap w:val="0"/>
            <w:vAlign w:val="top"/>
          </w:tcPr>
          <w:p w14:paraId="06A5EF1C">
            <w:pPr>
              <w:shd w:val="clear" w:color="auto" w:fill="auto"/>
              <w:rPr>
                <w:rFonts w:hint="eastAsia" w:ascii="宋体" w:hAnsi="宋体" w:eastAsia="宋体" w:cs="宋体"/>
                <w:color w:val="auto"/>
                <w:sz w:val="24"/>
                <w:szCs w:val="24"/>
                <w:highlight w:val="none"/>
              </w:rPr>
            </w:pPr>
          </w:p>
        </w:tc>
        <w:tc>
          <w:tcPr>
            <w:tcW w:w="1020" w:type="dxa"/>
            <w:noWrap w:val="0"/>
            <w:vAlign w:val="top"/>
          </w:tcPr>
          <w:p w14:paraId="53F89FA1">
            <w:pPr>
              <w:shd w:val="clear" w:color="auto" w:fill="auto"/>
              <w:rPr>
                <w:rFonts w:hint="eastAsia" w:ascii="宋体" w:hAnsi="宋体" w:eastAsia="宋体" w:cs="宋体"/>
                <w:color w:val="auto"/>
                <w:sz w:val="24"/>
                <w:szCs w:val="24"/>
                <w:highlight w:val="none"/>
              </w:rPr>
            </w:pPr>
          </w:p>
        </w:tc>
        <w:tc>
          <w:tcPr>
            <w:tcW w:w="921" w:type="dxa"/>
            <w:noWrap w:val="0"/>
            <w:vAlign w:val="top"/>
          </w:tcPr>
          <w:p w14:paraId="0CC703FD">
            <w:pPr>
              <w:shd w:val="clear" w:color="auto" w:fill="auto"/>
              <w:rPr>
                <w:rFonts w:hint="eastAsia" w:ascii="宋体" w:hAnsi="宋体" w:eastAsia="宋体" w:cs="宋体"/>
                <w:color w:val="auto"/>
                <w:sz w:val="24"/>
                <w:szCs w:val="24"/>
                <w:highlight w:val="none"/>
              </w:rPr>
            </w:pPr>
          </w:p>
        </w:tc>
      </w:tr>
      <w:tr w14:paraId="20E6E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A0FADCD">
            <w:pPr>
              <w:shd w:val="clear" w:color="auto" w:fill="auto"/>
              <w:rPr>
                <w:rFonts w:hint="eastAsia" w:ascii="宋体" w:hAnsi="宋体" w:eastAsia="宋体" w:cs="宋体"/>
                <w:color w:val="auto"/>
                <w:sz w:val="24"/>
                <w:szCs w:val="24"/>
                <w:highlight w:val="none"/>
              </w:rPr>
            </w:pPr>
          </w:p>
        </w:tc>
        <w:tc>
          <w:tcPr>
            <w:tcW w:w="1418" w:type="dxa"/>
            <w:noWrap w:val="0"/>
            <w:vAlign w:val="top"/>
          </w:tcPr>
          <w:p w14:paraId="390ACCEB">
            <w:pPr>
              <w:shd w:val="clear" w:color="auto" w:fill="auto"/>
              <w:rPr>
                <w:rFonts w:hint="eastAsia" w:ascii="宋体" w:hAnsi="宋体" w:eastAsia="宋体" w:cs="宋体"/>
                <w:color w:val="auto"/>
                <w:sz w:val="24"/>
                <w:szCs w:val="24"/>
                <w:highlight w:val="none"/>
              </w:rPr>
            </w:pPr>
          </w:p>
        </w:tc>
        <w:tc>
          <w:tcPr>
            <w:tcW w:w="850" w:type="dxa"/>
            <w:noWrap w:val="0"/>
            <w:vAlign w:val="top"/>
          </w:tcPr>
          <w:p w14:paraId="581C6E69">
            <w:pPr>
              <w:shd w:val="clear" w:color="auto" w:fill="auto"/>
              <w:rPr>
                <w:rFonts w:hint="eastAsia" w:ascii="宋体" w:hAnsi="宋体" w:eastAsia="宋体" w:cs="宋体"/>
                <w:color w:val="auto"/>
                <w:sz w:val="24"/>
                <w:szCs w:val="24"/>
                <w:highlight w:val="none"/>
              </w:rPr>
            </w:pPr>
          </w:p>
        </w:tc>
        <w:tc>
          <w:tcPr>
            <w:tcW w:w="1058" w:type="dxa"/>
            <w:noWrap w:val="0"/>
            <w:vAlign w:val="top"/>
          </w:tcPr>
          <w:p w14:paraId="277D1E67">
            <w:pPr>
              <w:shd w:val="clear" w:color="auto" w:fill="auto"/>
              <w:rPr>
                <w:rFonts w:hint="eastAsia" w:ascii="宋体" w:hAnsi="宋体" w:eastAsia="宋体" w:cs="宋体"/>
                <w:color w:val="auto"/>
                <w:sz w:val="24"/>
                <w:szCs w:val="24"/>
                <w:highlight w:val="none"/>
              </w:rPr>
            </w:pPr>
          </w:p>
        </w:tc>
        <w:tc>
          <w:tcPr>
            <w:tcW w:w="880" w:type="dxa"/>
            <w:noWrap w:val="0"/>
            <w:vAlign w:val="top"/>
          </w:tcPr>
          <w:p w14:paraId="3FCDA6A1">
            <w:pPr>
              <w:shd w:val="clear" w:color="auto" w:fill="auto"/>
              <w:rPr>
                <w:rFonts w:hint="eastAsia" w:ascii="宋体" w:hAnsi="宋体" w:eastAsia="宋体" w:cs="宋体"/>
                <w:color w:val="auto"/>
                <w:sz w:val="24"/>
                <w:szCs w:val="24"/>
                <w:highlight w:val="none"/>
              </w:rPr>
            </w:pPr>
          </w:p>
        </w:tc>
        <w:tc>
          <w:tcPr>
            <w:tcW w:w="1020" w:type="dxa"/>
            <w:noWrap w:val="0"/>
            <w:vAlign w:val="top"/>
          </w:tcPr>
          <w:p w14:paraId="397F99B6">
            <w:pPr>
              <w:shd w:val="clear" w:color="auto" w:fill="auto"/>
              <w:rPr>
                <w:rFonts w:hint="eastAsia" w:ascii="宋体" w:hAnsi="宋体" w:eastAsia="宋体" w:cs="宋体"/>
                <w:color w:val="auto"/>
                <w:sz w:val="24"/>
                <w:szCs w:val="24"/>
                <w:highlight w:val="none"/>
              </w:rPr>
            </w:pPr>
          </w:p>
        </w:tc>
        <w:tc>
          <w:tcPr>
            <w:tcW w:w="1480" w:type="dxa"/>
            <w:noWrap w:val="0"/>
            <w:vAlign w:val="top"/>
          </w:tcPr>
          <w:p w14:paraId="63616D8C">
            <w:pPr>
              <w:shd w:val="clear" w:color="auto" w:fill="auto"/>
              <w:rPr>
                <w:rFonts w:hint="eastAsia" w:ascii="宋体" w:hAnsi="宋体" w:eastAsia="宋体" w:cs="宋体"/>
                <w:color w:val="auto"/>
                <w:sz w:val="24"/>
                <w:szCs w:val="24"/>
                <w:highlight w:val="none"/>
              </w:rPr>
            </w:pPr>
          </w:p>
        </w:tc>
        <w:tc>
          <w:tcPr>
            <w:tcW w:w="1020" w:type="dxa"/>
            <w:noWrap w:val="0"/>
            <w:vAlign w:val="top"/>
          </w:tcPr>
          <w:p w14:paraId="1E81DB8F">
            <w:pPr>
              <w:shd w:val="clear" w:color="auto" w:fill="auto"/>
              <w:rPr>
                <w:rFonts w:hint="eastAsia" w:ascii="宋体" w:hAnsi="宋体" w:eastAsia="宋体" w:cs="宋体"/>
                <w:color w:val="auto"/>
                <w:sz w:val="24"/>
                <w:szCs w:val="24"/>
                <w:highlight w:val="none"/>
              </w:rPr>
            </w:pPr>
          </w:p>
        </w:tc>
        <w:tc>
          <w:tcPr>
            <w:tcW w:w="921" w:type="dxa"/>
            <w:noWrap w:val="0"/>
            <w:vAlign w:val="top"/>
          </w:tcPr>
          <w:p w14:paraId="124B188D">
            <w:pPr>
              <w:shd w:val="clear" w:color="auto" w:fill="auto"/>
              <w:rPr>
                <w:rFonts w:hint="eastAsia" w:ascii="宋体" w:hAnsi="宋体" w:eastAsia="宋体" w:cs="宋体"/>
                <w:color w:val="auto"/>
                <w:sz w:val="24"/>
                <w:szCs w:val="24"/>
                <w:highlight w:val="none"/>
              </w:rPr>
            </w:pPr>
          </w:p>
        </w:tc>
      </w:tr>
      <w:tr w14:paraId="25269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A8C96A6">
            <w:pPr>
              <w:shd w:val="clear" w:color="auto" w:fill="auto"/>
              <w:rPr>
                <w:rFonts w:hint="eastAsia" w:ascii="宋体" w:hAnsi="宋体" w:eastAsia="宋体" w:cs="宋体"/>
                <w:color w:val="auto"/>
                <w:sz w:val="24"/>
                <w:szCs w:val="24"/>
                <w:highlight w:val="none"/>
              </w:rPr>
            </w:pPr>
          </w:p>
        </w:tc>
        <w:tc>
          <w:tcPr>
            <w:tcW w:w="1418" w:type="dxa"/>
            <w:noWrap w:val="0"/>
            <w:vAlign w:val="top"/>
          </w:tcPr>
          <w:p w14:paraId="2EFEAF14">
            <w:pPr>
              <w:shd w:val="clear" w:color="auto" w:fill="auto"/>
              <w:rPr>
                <w:rFonts w:hint="eastAsia" w:ascii="宋体" w:hAnsi="宋体" w:eastAsia="宋体" w:cs="宋体"/>
                <w:color w:val="auto"/>
                <w:sz w:val="24"/>
                <w:szCs w:val="24"/>
                <w:highlight w:val="none"/>
              </w:rPr>
            </w:pPr>
          </w:p>
        </w:tc>
        <w:tc>
          <w:tcPr>
            <w:tcW w:w="850" w:type="dxa"/>
            <w:noWrap w:val="0"/>
            <w:vAlign w:val="top"/>
          </w:tcPr>
          <w:p w14:paraId="6055845C">
            <w:pPr>
              <w:shd w:val="clear" w:color="auto" w:fill="auto"/>
              <w:rPr>
                <w:rFonts w:hint="eastAsia" w:ascii="宋体" w:hAnsi="宋体" w:eastAsia="宋体" w:cs="宋体"/>
                <w:color w:val="auto"/>
                <w:sz w:val="24"/>
                <w:szCs w:val="24"/>
                <w:highlight w:val="none"/>
              </w:rPr>
            </w:pPr>
          </w:p>
        </w:tc>
        <w:tc>
          <w:tcPr>
            <w:tcW w:w="1058" w:type="dxa"/>
            <w:noWrap w:val="0"/>
            <w:vAlign w:val="top"/>
          </w:tcPr>
          <w:p w14:paraId="5DCE0046">
            <w:pPr>
              <w:shd w:val="clear" w:color="auto" w:fill="auto"/>
              <w:rPr>
                <w:rFonts w:hint="eastAsia" w:ascii="宋体" w:hAnsi="宋体" w:eastAsia="宋体" w:cs="宋体"/>
                <w:color w:val="auto"/>
                <w:sz w:val="24"/>
                <w:szCs w:val="24"/>
                <w:highlight w:val="none"/>
              </w:rPr>
            </w:pPr>
          </w:p>
        </w:tc>
        <w:tc>
          <w:tcPr>
            <w:tcW w:w="880" w:type="dxa"/>
            <w:noWrap w:val="0"/>
            <w:vAlign w:val="top"/>
          </w:tcPr>
          <w:p w14:paraId="0A7024DC">
            <w:pPr>
              <w:shd w:val="clear" w:color="auto" w:fill="auto"/>
              <w:rPr>
                <w:rFonts w:hint="eastAsia" w:ascii="宋体" w:hAnsi="宋体" w:eastAsia="宋体" w:cs="宋体"/>
                <w:color w:val="auto"/>
                <w:sz w:val="24"/>
                <w:szCs w:val="24"/>
                <w:highlight w:val="none"/>
              </w:rPr>
            </w:pPr>
          </w:p>
        </w:tc>
        <w:tc>
          <w:tcPr>
            <w:tcW w:w="1020" w:type="dxa"/>
            <w:noWrap w:val="0"/>
            <w:vAlign w:val="top"/>
          </w:tcPr>
          <w:p w14:paraId="6E2E5776">
            <w:pPr>
              <w:shd w:val="clear" w:color="auto" w:fill="auto"/>
              <w:rPr>
                <w:rFonts w:hint="eastAsia" w:ascii="宋体" w:hAnsi="宋体" w:eastAsia="宋体" w:cs="宋体"/>
                <w:color w:val="auto"/>
                <w:sz w:val="24"/>
                <w:szCs w:val="24"/>
                <w:highlight w:val="none"/>
              </w:rPr>
            </w:pPr>
          </w:p>
        </w:tc>
        <w:tc>
          <w:tcPr>
            <w:tcW w:w="1480" w:type="dxa"/>
            <w:noWrap w:val="0"/>
            <w:vAlign w:val="top"/>
          </w:tcPr>
          <w:p w14:paraId="272B1D33">
            <w:pPr>
              <w:shd w:val="clear" w:color="auto" w:fill="auto"/>
              <w:rPr>
                <w:rFonts w:hint="eastAsia" w:ascii="宋体" w:hAnsi="宋体" w:eastAsia="宋体" w:cs="宋体"/>
                <w:color w:val="auto"/>
                <w:sz w:val="24"/>
                <w:szCs w:val="24"/>
                <w:highlight w:val="none"/>
              </w:rPr>
            </w:pPr>
          </w:p>
        </w:tc>
        <w:tc>
          <w:tcPr>
            <w:tcW w:w="1020" w:type="dxa"/>
            <w:noWrap w:val="0"/>
            <w:vAlign w:val="top"/>
          </w:tcPr>
          <w:p w14:paraId="0BF6D6DC">
            <w:pPr>
              <w:shd w:val="clear" w:color="auto" w:fill="auto"/>
              <w:rPr>
                <w:rFonts w:hint="eastAsia" w:ascii="宋体" w:hAnsi="宋体" w:eastAsia="宋体" w:cs="宋体"/>
                <w:color w:val="auto"/>
                <w:sz w:val="24"/>
                <w:szCs w:val="24"/>
                <w:highlight w:val="none"/>
              </w:rPr>
            </w:pPr>
          </w:p>
        </w:tc>
        <w:tc>
          <w:tcPr>
            <w:tcW w:w="921" w:type="dxa"/>
            <w:noWrap w:val="0"/>
            <w:vAlign w:val="top"/>
          </w:tcPr>
          <w:p w14:paraId="0C698EBF">
            <w:pPr>
              <w:shd w:val="clear" w:color="auto" w:fill="auto"/>
              <w:rPr>
                <w:rFonts w:hint="eastAsia" w:ascii="宋体" w:hAnsi="宋体" w:eastAsia="宋体" w:cs="宋体"/>
                <w:color w:val="auto"/>
                <w:sz w:val="24"/>
                <w:szCs w:val="24"/>
                <w:highlight w:val="none"/>
              </w:rPr>
            </w:pPr>
          </w:p>
        </w:tc>
      </w:tr>
      <w:tr w14:paraId="1753F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258D227">
            <w:pPr>
              <w:shd w:val="clear" w:color="auto" w:fill="auto"/>
              <w:rPr>
                <w:rFonts w:hint="eastAsia" w:ascii="宋体" w:hAnsi="宋体" w:eastAsia="宋体" w:cs="宋体"/>
                <w:color w:val="auto"/>
                <w:sz w:val="24"/>
                <w:szCs w:val="24"/>
                <w:highlight w:val="none"/>
              </w:rPr>
            </w:pPr>
          </w:p>
        </w:tc>
        <w:tc>
          <w:tcPr>
            <w:tcW w:w="1418" w:type="dxa"/>
            <w:noWrap w:val="0"/>
            <w:vAlign w:val="top"/>
          </w:tcPr>
          <w:p w14:paraId="3536311C">
            <w:pPr>
              <w:shd w:val="clear" w:color="auto" w:fill="auto"/>
              <w:rPr>
                <w:rFonts w:hint="eastAsia" w:ascii="宋体" w:hAnsi="宋体" w:eastAsia="宋体" w:cs="宋体"/>
                <w:color w:val="auto"/>
                <w:sz w:val="24"/>
                <w:szCs w:val="24"/>
                <w:highlight w:val="none"/>
              </w:rPr>
            </w:pPr>
          </w:p>
        </w:tc>
        <w:tc>
          <w:tcPr>
            <w:tcW w:w="850" w:type="dxa"/>
            <w:noWrap w:val="0"/>
            <w:vAlign w:val="top"/>
          </w:tcPr>
          <w:p w14:paraId="66EE2408">
            <w:pPr>
              <w:shd w:val="clear" w:color="auto" w:fill="auto"/>
              <w:rPr>
                <w:rFonts w:hint="eastAsia" w:ascii="宋体" w:hAnsi="宋体" w:eastAsia="宋体" w:cs="宋体"/>
                <w:color w:val="auto"/>
                <w:sz w:val="24"/>
                <w:szCs w:val="24"/>
                <w:highlight w:val="none"/>
              </w:rPr>
            </w:pPr>
          </w:p>
        </w:tc>
        <w:tc>
          <w:tcPr>
            <w:tcW w:w="1058" w:type="dxa"/>
            <w:noWrap w:val="0"/>
            <w:vAlign w:val="top"/>
          </w:tcPr>
          <w:p w14:paraId="21536EB0">
            <w:pPr>
              <w:shd w:val="clear" w:color="auto" w:fill="auto"/>
              <w:rPr>
                <w:rFonts w:hint="eastAsia" w:ascii="宋体" w:hAnsi="宋体" w:eastAsia="宋体" w:cs="宋体"/>
                <w:color w:val="auto"/>
                <w:sz w:val="24"/>
                <w:szCs w:val="24"/>
                <w:highlight w:val="none"/>
              </w:rPr>
            </w:pPr>
          </w:p>
        </w:tc>
        <w:tc>
          <w:tcPr>
            <w:tcW w:w="880" w:type="dxa"/>
            <w:noWrap w:val="0"/>
            <w:vAlign w:val="top"/>
          </w:tcPr>
          <w:p w14:paraId="356498B8">
            <w:pPr>
              <w:shd w:val="clear" w:color="auto" w:fill="auto"/>
              <w:rPr>
                <w:rFonts w:hint="eastAsia" w:ascii="宋体" w:hAnsi="宋体" w:eastAsia="宋体" w:cs="宋体"/>
                <w:color w:val="auto"/>
                <w:sz w:val="24"/>
                <w:szCs w:val="24"/>
                <w:highlight w:val="none"/>
              </w:rPr>
            </w:pPr>
          </w:p>
        </w:tc>
        <w:tc>
          <w:tcPr>
            <w:tcW w:w="1020" w:type="dxa"/>
            <w:noWrap w:val="0"/>
            <w:vAlign w:val="top"/>
          </w:tcPr>
          <w:p w14:paraId="699DCF4A">
            <w:pPr>
              <w:shd w:val="clear" w:color="auto" w:fill="auto"/>
              <w:rPr>
                <w:rFonts w:hint="eastAsia" w:ascii="宋体" w:hAnsi="宋体" w:eastAsia="宋体" w:cs="宋体"/>
                <w:color w:val="auto"/>
                <w:sz w:val="24"/>
                <w:szCs w:val="24"/>
                <w:highlight w:val="none"/>
              </w:rPr>
            </w:pPr>
          </w:p>
        </w:tc>
        <w:tc>
          <w:tcPr>
            <w:tcW w:w="1480" w:type="dxa"/>
            <w:noWrap w:val="0"/>
            <w:vAlign w:val="top"/>
          </w:tcPr>
          <w:p w14:paraId="46FD4B2D">
            <w:pPr>
              <w:shd w:val="clear" w:color="auto" w:fill="auto"/>
              <w:rPr>
                <w:rFonts w:hint="eastAsia" w:ascii="宋体" w:hAnsi="宋体" w:eastAsia="宋体" w:cs="宋体"/>
                <w:color w:val="auto"/>
                <w:sz w:val="24"/>
                <w:szCs w:val="24"/>
                <w:highlight w:val="none"/>
              </w:rPr>
            </w:pPr>
          </w:p>
        </w:tc>
        <w:tc>
          <w:tcPr>
            <w:tcW w:w="1020" w:type="dxa"/>
            <w:noWrap w:val="0"/>
            <w:vAlign w:val="top"/>
          </w:tcPr>
          <w:p w14:paraId="7A9C0A54">
            <w:pPr>
              <w:shd w:val="clear" w:color="auto" w:fill="auto"/>
              <w:rPr>
                <w:rFonts w:hint="eastAsia" w:ascii="宋体" w:hAnsi="宋体" w:eastAsia="宋体" w:cs="宋体"/>
                <w:color w:val="auto"/>
                <w:sz w:val="24"/>
                <w:szCs w:val="24"/>
                <w:highlight w:val="none"/>
              </w:rPr>
            </w:pPr>
          </w:p>
        </w:tc>
        <w:tc>
          <w:tcPr>
            <w:tcW w:w="921" w:type="dxa"/>
            <w:noWrap w:val="0"/>
            <w:vAlign w:val="top"/>
          </w:tcPr>
          <w:p w14:paraId="6418A598">
            <w:pPr>
              <w:shd w:val="clear" w:color="auto" w:fill="auto"/>
              <w:rPr>
                <w:rFonts w:hint="eastAsia" w:ascii="宋体" w:hAnsi="宋体" w:eastAsia="宋体" w:cs="宋体"/>
                <w:color w:val="auto"/>
                <w:sz w:val="24"/>
                <w:szCs w:val="24"/>
                <w:highlight w:val="none"/>
              </w:rPr>
            </w:pPr>
          </w:p>
        </w:tc>
      </w:tr>
      <w:tr w14:paraId="694C0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1485705">
            <w:pPr>
              <w:shd w:val="clear" w:color="auto" w:fill="auto"/>
              <w:rPr>
                <w:rFonts w:hint="eastAsia" w:ascii="宋体" w:hAnsi="宋体" w:eastAsia="宋体" w:cs="宋体"/>
                <w:color w:val="auto"/>
                <w:sz w:val="24"/>
                <w:szCs w:val="24"/>
                <w:highlight w:val="none"/>
              </w:rPr>
            </w:pPr>
          </w:p>
        </w:tc>
        <w:tc>
          <w:tcPr>
            <w:tcW w:w="1418" w:type="dxa"/>
            <w:noWrap w:val="0"/>
            <w:vAlign w:val="top"/>
          </w:tcPr>
          <w:p w14:paraId="491D953F">
            <w:pPr>
              <w:shd w:val="clear" w:color="auto" w:fill="auto"/>
              <w:rPr>
                <w:rFonts w:hint="eastAsia" w:ascii="宋体" w:hAnsi="宋体" w:eastAsia="宋体" w:cs="宋体"/>
                <w:color w:val="auto"/>
                <w:sz w:val="24"/>
                <w:szCs w:val="24"/>
                <w:highlight w:val="none"/>
              </w:rPr>
            </w:pPr>
          </w:p>
        </w:tc>
        <w:tc>
          <w:tcPr>
            <w:tcW w:w="850" w:type="dxa"/>
            <w:noWrap w:val="0"/>
            <w:vAlign w:val="top"/>
          </w:tcPr>
          <w:p w14:paraId="0E2901C2">
            <w:pPr>
              <w:shd w:val="clear" w:color="auto" w:fill="auto"/>
              <w:rPr>
                <w:rFonts w:hint="eastAsia" w:ascii="宋体" w:hAnsi="宋体" w:eastAsia="宋体" w:cs="宋体"/>
                <w:color w:val="auto"/>
                <w:sz w:val="24"/>
                <w:szCs w:val="24"/>
                <w:highlight w:val="none"/>
              </w:rPr>
            </w:pPr>
          </w:p>
        </w:tc>
        <w:tc>
          <w:tcPr>
            <w:tcW w:w="1058" w:type="dxa"/>
            <w:noWrap w:val="0"/>
            <w:vAlign w:val="top"/>
          </w:tcPr>
          <w:p w14:paraId="3C3A5494">
            <w:pPr>
              <w:shd w:val="clear" w:color="auto" w:fill="auto"/>
              <w:rPr>
                <w:rFonts w:hint="eastAsia" w:ascii="宋体" w:hAnsi="宋体" w:eastAsia="宋体" w:cs="宋体"/>
                <w:color w:val="auto"/>
                <w:sz w:val="24"/>
                <w:szCs w:val="24"/>
                <w:highlight w:val="none"/>
              </w:rPr>
            </w:pPr>
          </w:p>
        </w:tc>
        <w:tc>
          <w:tcPr>
            <w:tcW w:w="880" w:type="dxa"/>
            <w:noWrap w:val="0"/>
            <w:vAlign w:val="top"/>
          </w:tcPr>
          <w:p w14:paraId="3EDEC769">
            <w:pPr>
              <w:shd w:val="clear" w:color="auto" w:fill="auto"/>
              <w:rPr>
                <w:rFonts w:hint="eastAsia" w:ascii="宋体" w:hAnsi="宋体" w:eastAsia="宋体" w:cs="宋体"/>
                <w:color w:val="auto"/>
                <w:sz w:val="24"/>
                <w:szCs w:val="24"/>
                <w:highlight w:val="none"/>
              </w:rPr>
            </w:pPr>
          </w:p>
        </w:tc>
        <w:tc>
          <w:tcPr>
            <w:tcW w:w="1020" w:type="dxa"/>
            <w:noWrap w:val="0"/>
            <w:vAlign w:val="top"/>
          </w:tcPr>
          <w:p w14:paraId="15C9815D">
            <w:pPr>
              <w:shd w:val="clear" w:color="auto" w:fill="auto"/>
              <w:rPr>
                <w:rFonts w:hint="eastAsia" w:ascii="宋体" w:hAnsi="宋体" w:eastAsia="宋体" w:cs="宋体"/>
                <w:color w:val="auto"/>
                <w:sz w:val="24"/>
                <w:szCs w:val="24"/>
                <w:highlight w:val="none"/>
              </w:rPr>
            </w:pPr>
          </w:p>
        </w:tc>
        <w:tc>
          <w:tcPr>
            <w:tcW w:w="1480" w:type="dxa"/>
            <w:noWrap w:val="0"/>
            <w:vAlign w:val="top"/>
          </w:tcPr>
          <w:p w14:paraId="344CA7BE">
            <w:pPr>
              <w:shd w:val="clear" w:color="auto" w:fill="auto"/>
              <w:rPr>
                <w:rFonts w:hint="eastAsia" w:ascii="宋体" w:hAnsi="宋体" w:eastAsia="宋体" w:cs="宋体"/>
                <w:color w:val="auto"/>
                <w:sz w:val="24"/>
                <w:szCs w:val="24"/>
                <w:highlight w:val="none"/>
              </w:rPr>
            </w:pPr>
          </w:p>
        </w:tc>
        <w:tc>
          <w:tcPr>
            <w:tcW w:w="1020" w:type="dxa"/>
            <w:noWrap w:val="0"/>
            <w:vAlign w:val="top"/>
          </w:tcPr>
          <w:p w14:paraId="0C59A0F9">
            <w:pPr>
              <w:shd w:val="clear" w:color="auto" w:fill="auto"/>
              <w:rPr>
                <w:rFonts w:hint="eastAsia" w:ascii="宋体" w:hAnsi="宋体" w:eastAsia="宋体" w:cs="宋体"/>
                <w:color w:val="auto"/>
                <w:sz w:val="24"/>
                <w:szCs w:val="24"/>
                <w:highlight w:val="none"/>
              </w:rPr>
            </w:pPr>
          </w:p>
        </w:tc>
        <w:tc>
          <w:tcPr>
            <w:tcW w:w="921" w:type="dxa"/>
            <w:noWrap w:val="0"/>
            <w:vAlign w:val="top"/>
          </w:tcPr>
          <w:p w14:paraId="29BBB470">
            <w:pPr>
              <w:shd w:val="clear" w:color="auto" w:fill="auto"/>
              <w:rPr>
                <w:rFonts w:hint="eastAsia" w:ascii="宋体" w:hAnsi="宋体" w:eastAsia="宋体" w:cs="宋体"/>
                <w:color w:val="auto"/>
                <w:sz w:val="24"/>
                <w:szCs w:val="24"/>
                <w:highlight w:val="none"/>
              </w:rPr>
            </w:pPr>
          </w:p>
        </w:tc>
      </w:tr>
    </w:tbl>
    <w:p w14:paraId="63108E69">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w:t>
      </w:r>
      <w:bookmarkStart w:id="871" w:name="_Toc296891268"/>
      <w:bookmarkStart w:id="872" w:name="_Toc296347227"/>
      <w:bookmarkStart w:id="873" w:name="_Toc296503228"/>
      <w:bookmarkStart w:id="874" w:name="_Toc267261699"/>
      <w:bookmarkStart w:id="875" w:name="_Toc296891056"/>
      <w:bookmarkStart w:id="876" w:name="_Toc296944567"/>
      <w:bookmarkStart w:id="877" w:name="_Toc296346729"/>
      <w:r>
        <w:rPr>
          <w:rFonts w:hint="eastAsia" w:ascii="宋体" w:hAnsi="宋体" w:eastAsia="宋体" w:cs="宋体"/>
          <w:color w:val="auto"/>
          <w:sz w:val="24"/>
          <w:szCs w:val="24"/>
          <w:highlight w:val="none"/>
        </w:rPr>
        <w:t>件6：</w:t>
      </w:r>
    </w:p>
    <w:bookmarkEnd w:id="871"/>
    <w:bookmarkEnd w:id="872"/>
    <w:bookmarkEnd w:id="873"/>
    <w:bookmarkEnd w:id="874"/>
    <w:bookmarkEnd w:id="875"/>
    <w:bookmarkEnd w:id="876"/>
    <w:bookmarkEnd w:id="877"/>
    <w:p w14:paraId="24666427">
      <w:pPr>
        <w:shd w:val="clear" w:color="auto" w:fill="auto"/>
        <w:spacing w:before="156" w:beforeLines="50" w:after="156"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BD9B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8F1F1B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1F738C2D">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715F200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77F9C87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4577D6D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主要资历、经验及承担过的项目</w:t>
            </w:r>
          </w:p>
        </w:tc>
      </w:tr>
      <w:tr w14:paraId="2D200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104D382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一、总部人员</w:t>
            </w:r>
          </w:p>
        </w:tc>
      </w:tr>
      <w:tr w14:paraId="2805D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2B723C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项目主管</w:t>
            </w:r>
          </w:p>
        </w:tc>
        <w:tc>
          <w:tcPr>
            <w:tcW w:w="1418" w:type="dxa"/>
            <w:tcBorders>
              <w:top w:val="nil"/>
            </w:tcBorders>
            <w:noWrap w:val="0"/>
            <w:vAlign w:val="center"/>
          </w:tcPr>
          <w:p w14:paraId="283CE2E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tcBorders>
              <w:top w:val="nil"/>
            </w:tcBorders>
            <w:noWrap w:val="0"/>
            <w:vAlign w:val="center"/>
          </w:tcPr>
          <w:p w14:paraId="23F7211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tcBorders>
              <w:top w:val="nil"/>
            </w:tcBorders>
            <w:noWrap w:val="0"/>
            <w:vAlign w:val="center"/>
          </w:tcPr>
          <w:p w14:paraId="69CDB7E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tcBorders>
              <w:top w:val="nil"/>
            </w:tcBorders>
            <w:noWrap w:val="0"/>
            <w:vAlign w:val="center"/>
          </w:tcPr>
          <w:p w14:paraId="1B71CAB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1C7EF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8981B8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09EB17C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62FB2E7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7FC84A1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701C4264">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1BB82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E837E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其他人员</w:t>
            </w:r>
          </w:p>
        </w:tc>
        <w:tc>
          <w:tcPr>
            <w:tcW w:w="1418" w:type="dxa"/>
            <w:noWrap w:val="0"/>
            <w:vAlign w:val="center"/>
          </w:tcPr>
          <w:p w14:paraId="28FBD994">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7C3DB21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043A806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64E11BD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1ED03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EDA2DD4">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5CFE540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48993AC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7FC0AD3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703C455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314CA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42811B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二、现场人员</w:t>
            </w:r>
          </w:p>
        </w:tc>
      </w:tr>
      <w:tr w14:paraId="28462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D8E711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w:t>
            </w:r>
          </w:p>
        </w:tc>
        <w:tc>
          <w:tcPr>
            <w:tcW w:w="1418" w:type="dxa"/>
            <w:noWrap w:val="0"/>
            <w:vAlign w:val="center"/>
          </w:tcPr>
          <w:p w14:paraId="1D65369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26AEBDF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1C1613E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01FB8C1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615FD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B93E7D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项目副经理</w:t>
            </w:r>
          </w:p>
        </w:tc>
        <w:tc>
          <w:tcPr>
            <w:tcW w:w="1418" w:type="dxa"/>
            <w:noWrap w:val="0"/>
            <w:vAlign w:val="center"/>
          </w:tcPr>
          <w:p w14:paraId="138AEF06">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5478CEE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1513A57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287ACDA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632FF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CBF7B1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技术负责人</w:t>
            </w:r>
          </w:p>
        </w:tc>
        <w:tc>
          <w:tcPr>
            <w:tcW w:w="1418" w:type="dxa"/>
            <w:noWrap w:val="0"/>
            <w:vAlign w:val="center"/>
          </w:tcPr>
          <w:p w14:paraId="1F2F62D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02DB717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4E54448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0A76FF3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5DC72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2678FD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造价管理</w:t>
            </w:r>
          </w:p>
        </w:tc>
        <w:tc>
          <w:tcPr>
            <w:tcW w:w="1418" w:type="dxa"/>
            <w:noWrap w:val="0"/>
            <w:vAlign w:val="center"/>
          </w:tcPr>
          <w:p w14:paraId="5D462D8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180896A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3A73411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4BCCCF3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0947D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C8D024D">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质量管理</w:t>
            </w:r>
          </w:p>
        </w:tc>
        <w:tc>
          <w:tcPr>
            <w:tcW w:w="1418" w:type="dxa"/>
            <w:noWrap w:val="0"/>
            <w:vAlign w:val="center"/>
          </w:tcPr>
          <w:p w14:paraId="2897958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1DBF9E1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3FDB95D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3A3FA7C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287FB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DB16E3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材料管理</w:t>
            </w:r>
          </w:p>
        </w:tc>
        <w:tc>
          <w:tcPr>
            <w:tcW w:w="1418" w:type="dxa"/>
            <w:noWrap w:val="0"/>
            <w:vAlign w:val="center"/>
          </w:tcPr>
          <w:p w14:paraId="0C7393B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66ECDEF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73034CE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506576B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6B23A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CC8482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计划管理</w:t>
            </w:r>
          </w:p>
        </w:tc>
        <w:tc>
          <w:tcPr>
            <w:tcW w:w="1418" w:type="dxa"/>
            <w:noWrap w:val="0"/>
            <w:vAlign w:val="center"/>
          </w:tcPr>
          <w:p w14:paraId="7896324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6A9A8C1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5632ADC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7C2A1F7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69D4C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A23CAC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安全管理</w:t>
            </w:r>
          </w:p>
        </w:tc>
        <w:tc>
          <w:tcPr>
            <w:tcW w:w="1418" w:type="dxa"/>
            <w:noWrap w:val="0"/>
            <w:vAlign w:val="center"/>
          </w:tcPr>
          <w:p w14:paraId="53AC548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3975AC9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6463976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3B7C513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3E1C4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2910F7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其他人员</w:t>
            </w:r>
          </w:p>
        </w:tc>
        <w:tc>
          <w:tcPr>
            <w:tcW w:w="1418" w:type="dxa"/>
            <w:noWrap w:val="0"/>
            <w:vAlign w:val="center"/>
          </w:tcPr>
          <w:p w14:paraId="0C93F1E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4CC7354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01079574">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7EAF3564">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3A893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8DB5AB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tcBorders>
              <w:bottom w:val="nil"/>
            </w:tcBorders>
            <w:noWrap w:val="0"/>
            <w:vAlign w:val="center"/>
          </w:tcPr>
          <w:p w14:paraId="1794CBA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tcBorders>
              <w:bottom w:val="nil"/>
            </w:tcBorders>
            <w:noWrap w:val="0"/>
            <w:vAlign w:val="center"/>
          </w:tcPr>
          <w:p w14:paraId="09AED11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tcBorders>
              <w:bottom w:val="nil"/>
            </w:tcBorders>
            <w:noWrap w:val="0"/>
            <w:vAlign w:val="center"/>
          </w:tcPr>
          <w:p w14:paraId="6C95A47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tcBorders>
              <w:bottom w:val="nil"/>
            </w:tcBorders>
            <w:noWrap w:val="0"/>
            <w:vAlign w:val="center"/>
          </w:tcPr>
          <w:p w14:paraId="4CF2F86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6AB25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AFB54F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0864E09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200FDA46">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1021296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416B198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1751E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748593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1E390D3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3A4DDFB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1E74251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05FC2D8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2A437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13985D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485AE6B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3BA9C8B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36EA5C8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2B7F715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0FCEF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FB1F57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tcBorders>
              <w:bottom w:val="single" w:color="auto" w:sz="12" w:space="0"/>
            </w:tcBorders>
            <w:noWrap w:val="0"/>
            <w:vAlign w:val="center"/>
          </w:tcPr>
          <w:p w14:paraId="1A9CF00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tcBorders>
              <w:bottom w:val="single" w:color="auto" w:sz="12" w:space="0"/>
            </w:tcBorders>
            <w:noWrap w:val="0"/>
            <w:vAlign w:val="center"/>
          </w:tcPr>
          <w:p w14:paraId="3356670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tcBorders>
              <w:bottom w:val="single" w:color="auto" w:sz="12" w:space="0"/>
            </w:tcBorders>
            <w:noWrap w:val="0"/>
            <w:vAlign w:val="center"/>
          </w:tcPr>
          <w:p w14:paraId="56B43A6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tcBorders>
              <w:bottom w:val="single" w:color="auto" w:sz="12" w:space="0"/>
            </w:tcBorders>
            <w:noWrap w:val="0"/>
            <w:vAlign w:val="center"/>
          </w:tcPr>
          <w:p w14:paraId="1E47C0D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bl>
    <w:p w14:paraId="73C0FF1E">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w:t>
      </w:r>
      <w:bookmarkStart w:id="878" w:name="_Toc296503229"/>
      <w:bookmarkStart w:id="879" w:name="_Toc296891269"/>
      <w:bookmarkStart w:id="880" w:name="_Toc296944568"/>
      <w:bookmarkStart w:id="881" w:name="_Toc296346730"/>
      <w:bookmarkStart w:id="882" w:name="_Toc296891057"/>
      <w:bookmarkStart w:id="883" w:name="_Toc296347228"/>
      <w:r>
        <w:rPr>
          <w:rFonts w:hint="eastAsia" w:ascii="宋体" w:hAnsi="宋体" w:eastAsia="宋体" w:cs="宋体"/>
          <w:color w:val="auto"/>
          <w:sz w:val="24"/>
          <w:szCs w:val="24"/>
          <w:highlight w:val="none"/>
        </w:rPr>
        <w:t>件7：</w:t>
      </w:r>
    </w:p>
    <w:bookmarkEnd w:id="878"/>
    <w:bookmarkEnd w:id="879"/>
    <w:bookmarkEnd w:id="880"/>
    <w:bookmarkEnd w:id="881"/>
    <w:bookmarkEnd w:id="882"/>
    <w:bookmarkEnd w:id="883"/>
    <w:p w14:paraId="01C3AC56">
      <w:pPr>
        <w:shd w:val="clear" w:color="auto" w:fill="auto"/>
        <w:spacing w:before="156" w:beforeLines="50" w:after="156"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分包人主要施工管理人员表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1AAF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C44C20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3F8A336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09DC8726">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0CC8712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1983214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主要资历、经验及承担过的项目</w:t>
            </w:r>
          </w:p>
        </w:tc>
      </w:tr>
      <w:tr w14:paraId="564A7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56095F9D">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一、总部人员</w:t>
            </w:r>
          </w:p>
        </w:tc>
      </w:tr>
      <w:tr w14:paraId="1E4C3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861779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项目主管</w:t>
            </w:r>
          </w:p>
        </w:tc>
        <w:tc>
          <w:tcPr>
            <w:tcW w:w="1418" w:type="dxa"/>
            <w:tcBorders>
              <w:top w:val="nil"/>
            </w:tcBorders>
            <w:noWrap w:val="0"/>
            <w:vAlign w:val="center"/>
          </w:tcPr>
          <w:p w14:paraId="23DD5D7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tcBorders>
              <w:top w:val="nil"/>
            </w:tcBorders>
            <w:noWrap w:val="0"/>
            <w:vAlign w:val="center"/>
          </w:tcPr>
          <w:p w14:paraId="3EC4228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tcBorders>
              <w:top w:val="nil"/>
            </w:tcBorders>
            <w:noWrap w:val="0"/>
            <w:vAlign w:val="center"/>
          </w:tcPr>
          <w:p w14:paraId="6D37B19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tcBorders>
              <w:top w:val="nil"/>
            </w:tcBorders>
            <w:noWrap w:val="0"/>
            <w:vAlign w:val="center"/>
          </w:tcPr>
          <w:p w14:paraId="0B46623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7E3C1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3733576">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2977E96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15F72844">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1D9FA8A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311D5C4D">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05098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874864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其他人员</w:t>
            </w:r>
          </w:p>
        </w:tc>
        <w:tc>
          <w:tcPr>
            <w:tcW w:w="1418" w:type="dxa"/>
            <w:noWrap w:val="0"/>
            <w:vAlign w:val="center"/>
          </w:tcPr>
          <w:p w14:paraId="45B0262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797614A4">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0539DBA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63278714">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34831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D58FDA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76B63C24">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050AC2C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2252B5E6">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207FF1D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0F396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90567F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二、现场人员</w:t>
            </w:r>
          </w:p>
        </w:tc>
      </w:tr>
      <w:tr w14:paraId="125AB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D51B58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w:t>
            </w:r>
          </w:p>
        </w:tc>
        <w:tc>
          <w:tcPr>
            <w:tcW w:w="1418" w:type="dxa"/>
            <w:noWrap w:val="0"/>
            <w:vAlign w:val="center"/>
          </w:tcPr>
          <w:p w14:paraId="6B351A9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741195E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6A4EBA16">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27339FE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2E78A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ADAEB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项目副经理</w:t>
            </w:r>
          </w:p>
        </w:tc>
        <w:tc>
          <w:tcPr>
            <w:tcW w:w="1418" w:type="dxa"/>
            <w:noWrap w:val="0"/>
            <w:vAlign w:val="center"/>
          </w:tcPr>
          <w:p w14:paraId="536BF1A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3357D70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196627C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27333E1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6624D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64C374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技术负责人</w:t>
            </w:r>
          </w:p>
        </w:tc>
        <w:tc>
          <w:tcPr>
            <w:tcW w:w="1418" w:type="dxa"/>
            <w:noWrap w:val="0"/>
            <w:vAlign w:val="center"/>
          </w:tcPr>
          <w:p w14:paraId="0875005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5A253DE7">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1E5F47A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113F459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3A263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B09ACF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造价管理</w:t>
            </w:r>
          </w:p>
        </w:tc>
        <w:tc>
          <w:tcPr>
            <w:tcW w:w="1418" w:type="dxa"/>
            <w:noWrap w:val="0"/>
            <w:vAlign w:val="center"/>
          </w:tcPr>
          <w:p w14:paraId="35095C3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634F8B8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5BF2B89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713E7405">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243F2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F092B5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质量管理</w:t>
            </w:r>
          </w:p>
        </w:tc>
        <w:tc>
          <w:tcPr>
            <w:tcW w:w="1418" w:type="dxa"/>
            <w:noWrap w:val="0"/>
            <w:vAlign w:val="center"/>
          </w:tcPr>
          <w:p w14:paraId="0C251EE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31195E6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45E21504">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1F23A42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0AAF3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006A8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材料管理</w:t>
            </w:r>
          </w:p>
        </w:tc>
        <w:tc>
          <w:tcPr>
            <w:tcW w:w="1418" w:type="dxa"/>
            <w:noWrap w:val="0"/>
            <w:vAlign w:val="center"/>
          </w:tcPr>
          <w:p w14:paraId="7110226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6132394D">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4F41D83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0B633A8D">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2D84E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9A0F93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计划管理</w:t>
            </w:r>
          </w:p>
        </w:tc>
        <w:tc>
          <w:tcPr>
            <w:tcW w:w="1418" w:type="dxa"/>
            <w:noWrap w:val="0"/>
            <w:vAlign w:val="center"/>
          </w:tcPr>
          <w:p w14:paraId="57461D9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758FA06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6B434D8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3163F9C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2CC13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D26C4C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安全管理</w:t>
            </w:r>
          </w:p>
        </w:tc>
        <w:tc>
          <w:tcPr>
            <w:tcW w:w="1418" w:type="dxa"/>
            <w:noWrap w:val="0"/>
            <w:vAlign w:val="center"/>
          </w:tcPr>
          <w:p w14:paraId="730C935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5D51ED8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4926262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300EA79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00B7E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730FAA2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其他人员</w:t>
            </w:r>
          </w:p>
        </w:tc>
        <w:tc>
          <w:tcPr>
            <w:tcW w:w="1418" w:type="dxa"/>
            <w:noWrap w:val="0"/>
            <w:vAlign w:val="center"/>
          </w:tcPr>
          <w:p w14:paraId="1EED6AE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4AF96A5D">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407ACA4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43F274E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4F642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199FCC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tcBorders>
              <w:bottom w:val="nil"/>
            </w:tcBorders>
            <w:noWrap w:val="0"/>
            <w:vAlign w:val="center"/>
          </w:tcPr>
          <w:p w14:paraId="20ADDD0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tcBorders>
              <w:bottom w:val="nil"/>
            </w:tcBorders>
            <w:noWrap w:val="0"/>
            <w:vAlign w:val="center"/>
          </w:tcPr>
          <w:p w14:paraId="6FA1A91B">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tcBorders>
              <w:bottom w:val="nil"/>
            </w:tcBorders>
            <w:noWrap w:val="0"/>
            <w:vAlign w:val="center"/>
          </w:tcPr>
          <w:p w14:paraId="78E2BD7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tcBorders>
              <w:bottom w:val="nil"/>
            </w:tcBorders>
            <w:noWrap w:val="0"/>
            <w:vAlign w:val="center"/>
          </w:tcPr>
          <w:p w14:paraId="4633592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12329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BE36BED">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0D2513B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413CF24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15BD458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126A28E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2D8E9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6E2A2FC">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72693C0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39C9919E">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42D775C6">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04DADEE3">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3077C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405DBC1">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noWrap w:val="0"/>
            <w:vAlign w:val="center"/>
          </w:tcPr>
          <w:p w14:paraId="7BC9BC1A">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260D7D9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noWrap w:val="0"/>
            <w:vAlign w:val="center"/>
          </w:tcPr>
          <w:p w14:paraId="317F21B9">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noWrap w:val="0"/>
            <w:vAlign w:val="center"/>
          </w:tcPr>
          <w:p w14:paraId="67E879B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r w14:paraId="4769D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23020A2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418" w:type="dxa"/>
            <w:tcBorders>
              <w:bottom w:val="single" w:color="auto" w:sz="12" w:space="0"/>
            </w:tcBorders>
            <w:noWrap w:val="0"/>
            <w:vAlign w:val="center"/>
          </w:tcPr>
          <w:p w14:paraId="119D8280">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tcBorders>
              <w:bottom w:val="single" w:color="auto" w:sz="12" w:space="0"/>
            </w:tcBorders>
            <w:noWrap w:val="0"/>
            <w:vAlign w:val="center"/>
          </w:tcPr>
          <w:p w14:paraId="24894162">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1134" w:type="dxa"/>
            <w:tcBorders>
              <w:bottom w:val="single" w:color="auto" w:sz="12" w:space="0"/>
            </w:tcBorders>
            <w:noWrap w:val="0"/>
            <w:vAlign w:val="center"/>
          </w:tcPr>
          <w:p w14:paraId="79E348C8">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c>
          <w:tcPr>
            <w:tcW w:w="4252" w:type="dxa"/>
            <w:tcBorders>
              <w:bottom w:val="single" w:color="auto" w:sz="12" w:space="0"/>
            </w:tcBorders>
            <w:noWrap w:val="0"/>
            <w:vAlign w:val="center"/>
          </w:tcPr>
          <w:p w14:paraId="1869AD6F">
            <w:pPr>
              <w:pStyle w:val="6"/>
              <w:keepNext/>
              <w:shd w:val="clear" w:color="auto" w:fill="auto"/>
              <w:spacing w:after="0" w:line="440" w:lineRule="exact"/>
              <w:ind w:left="63" w:right="63"/>
              <w:rPr>
                <w:rFonts w:hint="eastAsia" w:ascii="宋体" w:hAnsi="宋体" w:eastAsia="宋体" w:cs="宋体"/>
                <w:color w:val="auto"/>
                <w:kern w:val="2"/>
                <w:sz w:val="24"/>
                <w:szCs w:val="24"/>
                <w:highlight w:val="none"/>
              </w:rPr>
            </w:pPr>
          </w:p>
        </w:tc>
      </w:tr>
    </w:tbl>
    <w:p w14:paraId="4E2DEAD4">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884" w:name="_Toc267261701"/>
      <w:r>
        <w:rPr>
          <w:rFonts w:hint="eastAsia" w:ascii="宋体" w:hAnsi="宋体" w:eastAsia="宋体" w:cs="宋体"/>
          <w:color w:val="auto"/>
          <w:sz w:val="24"/>
          <w:szCs w:val="24"/>
          <w:highlight w:val="none"/>
        </w:rPr>
        <w:t>附</w:t>
      </w:r>
      <w:bookmarkStart w:id="885" w:name="_Toc296347230"/>
      <w:bookmarkStart w:id="886" w:name="_Toc296891059"/>
      <w:bookmarkStart w:id="887" w:name="_Toc296944570"/>
      <w:bookmarkStart w:id="888" w:name="_Toc296891271"/>
      <w:bookmarkStart w:id="889" w:name="_Toc296503231"/>
      <w:bookmarkStart w:id="890" w:name="_Toc296346732"/>
      <w:r>
        <w:rPr>
          <w:rFonts w:hint="eastAsia" w:ascii="宋体" w:hAnsi="宋体" w:eastAsia="宋体" w:cs="宋体"/>
          <w:color w:val="auto"/>
          <w:sz w:val="24"/>
          <w:szCs w:val="24"/>
          <w:highlight w:val="none"/>
        </w:rPr>
        <w:t>件8：</w:t>
      </w:r>
    </w:p>
    <w:bookmarkEnd w:id="884"/>
    <w:bookmarkEnd w:id="885"/>
    <w:bookmarkEnd w:id="886"/>
    <w:bookmarkEnd w:id="887"/>
    <w:bookmarkEnd w:id="888"/>
    <w:bookmarkEnd w:id="889"/>
    <w:bookmarkEnd w:id="890"/>
    <w:p w14:paraId="184FEC97">
      <w:pPr>
        <w:shd w:val="clear" w:color="auto" w:fill="auto"/>
        <w:spacing w:before="156" w:beforeLines="50" w:after="156"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p w14:paraId="400D7596">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（发包人名称）：</w:t>
      </w:r>
    </w:p>
    <w:p w14:paraId="5AE96489">
      <w:pPr>
        <w:shd w:val="clear" w:color="auto" w:fill="auto"/>
        <w:spacing w:line="440" w:lineRule="exact"/>
        <w:rPr>
          <w:rFonts w:hint="eastAsia" w:ascii="宋体" w:hAnsi="宋体" w:eastAsia="宋体" w:cs="宋体"/>
          <w:color w:val="auto"/>
          <w:sz w:val="24"/>
          <w:szCs w:val="24"/>
          <w:highlight w:val="none"/>
        </w:rPr>
      </w:pPr>
    </w:p>
    <w:p w14:paraId="5B136CDE">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（发包人名称，以下简称“发包人”）与</w:t>
      </w:r>
    </w:p>
    <w:p w14:paraId="392287FD">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（承包人名称）（以下称“承包人”）于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日就</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6CF7F9C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担保金额人民币（大写）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8F75CB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担保有效期自你方与承包人签订的合同生效之日起至你方签发或应签发工程接收证书之日止。</w:t>
      </w:r>
    </w:p>
    <w:p w14:paraId="553AD587">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267DE729">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你方和承包人按合同约定变更合同时，我方承担本担保规定的义务不变。</w:t>
      </w:r>
    </w:p>
    <w:p w14:paraId="598D248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因本保函发生的纠纷，可由双方协商解决，协商不成的，任何一方均可提请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仲裁委员会仲裁。</w:t>
      </w:r>
    </w:p>
    <w:p w14:paraId="4DA6064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本保函自我方法定代表人（或其授权代理人）签字并加盖公章之日起生效。</w:t>
      </w:r>
    </w:p>
    <w:p w14:paraId="0B9BE3B8">
      <w:pPr>
        <w:shd w:val="clear" w:color="auto" w:fill="auto"/>
        <w:spacing w:line="360" w:lineRule="auto"/>
        <w:rPr>
          <w:rFonts w:hint="eastAsia" w:ascii="宋体" w:hAnsi="宋体" w:eastAsia="宋体" w:cs="宋体"/>
          <w:color w:val="auto"/>
          <w:sz w:val="24"/>
          <w:szCs w:val="24"/>
          <w:highlight w:val="none"/>
        </w:rPr>
      </w:pPr>
    </w:p>
    <w:p w14:paraId="0385813C">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 保 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（盖单位章）</w:t>
      </w:r>
    </w:p>
    <w:p w14:paraId="79E1027B">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（签字）</w:t>
      </w:r>
    </w:p>
    <w:p w14:paraId="7DA2245E">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p>
    <w:p w14:paraId="5C58CA9C">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w:t>
      </w:r>
    </w:p>
    <w:p w14:paraId="04F42498">
      <w:pPr>
        <w:shd w:val="clear" w:color="auto" w:fill="auto"/>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                 </w:t>
      </w:r>
    </w:p>
    <w:p w14:paraId="2410268B">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                </w:t>
      </w:r>
    </w:p>
    <w:p w14:paraId="1DA2EC10">
      <w:pPr>
        <w:shd w:val="clear" w:color="auto" w:fill="auto"/>
        <w:spacing w:line="360" w:lineRule="auto"/>
        <w:jc w:val="left"/>
        <w:rPr>
          <w:rFonts w:hint="eastAsia" w:ascii="宋体" w:hAnsi="宋体" w:eastAsia="宋体" w:cs="宋体"/>
          <w:color w:val="auto"/>
          <w:sz w:val="24"/>
          <w:szCs w:val="24"/>
          <w:highlight w:val="none"/>
          <w:u w:val="single"/>
        </w:rPr>
      </w:pPr>
    </w:p>
    <w:p w14:paraId="3EDCC9D4">
      <w:pPr>
        <w:shd w:val="clear" w:color="auto" w:fill="auto"/>
        <w:spacing w:line="360" w:lineRule="auto"/>
        <w:ind w:left="1329" w:hanging="1519" w:hangingChars="63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w:t>
      </w:r>
    </w:p>
    <w:p w14:paraId="1B6DD868">
      <w:pPr>
        <w:shd w:val="clear" w:color="auto" w:fill="auto"/>
        <w:spacing w:line="360" w:lineRule="auto"/>
        <w:ind w:left="1329" w:hanging="1519" w:hangingChars="633"/>
        <w:rPr>
          <w:rFonts w:hint="eastAsia" w:ascii="宋体" w:hAnsi="宋体" w:eastAsia="宋体" w:cs="宋体"/>
          <w:color w:val="auto"/>
          <w:sz w:val="24"/>
          <w:szCs w:val="24"/>
          <w:highlight w:val="none"/>
        </w:rPr>
      </w:pPr>
    </w:p>
    <w:p w14:paraId="51C94496">
      <w:pPr>
        <w:shd w:val="clear" w:color="auto" w:fill="auto"/>
        <w:spacing w:line="360" w:lineRule="auto"/>
        <w:ind w:left="1329" w:hanging="1519" w:hangingChars="633"/>
        <w:rPr>
          <w:rFonts w:hint="eastAsia" w:ascii="宋体" w:hAnsi="宋体" w:eastAsia="宋体" w:cs="宋体"/>
          <w:color w:val="auto"/>
          <w:sz w:val="24"/>
          <w:szCs w:val="24"/>
          <w:highlight w:val="none"/>
        </w:rPr>
      </w:pPr>
    </w:p>
    <w:p w14:paraId="6BEB6AB6">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bookmarkStart w:id="891" w:name="_Toc296346733"/>
      <w:bookmarkStart w:id="892" w:name="_Toc267261702"/>
      <w:bookmarkStart w:id="893" w:name="_Toc296347231"/>
      <w:bookmarkStart w:id="894" w:name="_Toc296891060"/>
      <w:bookmarkStart w:id="895" w:name="_Toc296503232"/>
      <w:bookmarkStart w:id="896" w:name="_Toc296891272"/>
      <w:bookmarkStart w:id="897" w:name="_Toc296944571"/>
      <w:r>
        <w:rPr>
          <w:rFonts w:hint="eastAsia" w:ascii="宋体" w:hAnsi="宋体" w:eastAsia="宋体" w:cs="宋体"/>
          <w:color w:val="auto"/>
          <w:sz w:val="24"/>
          <w:szCs w:val="24"/>
          <w:highlight w:val="none"/>
        </w:rPr>
        <w:t>件9 ：</w:t>
      </w:r>
    </w:p>
    <w:bookmarkEnd w:id="891"/>
    <w:bookmarkEnd w:id="892"/>
    <w:bookmarkEnd w:id="893"/>
    <w:bookmarkEnd w:id="894"/>
    <w:bookmarkEnd w:id="895"/>
    <w:bookmarkEnd w:id="896"/>
    <w:bookmarkEnd w:id="897"/>
    <w:p w14:paraId="1529CE9C">
      <w:pPr>
        <w:shd w:val="clear" w:color="auto" w:fill="auto"/>
        <w:spacing w:before="156" w:beforeLines="50" w:after="156"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w:t>
      </w:r>
    </w:p>
    <w:p w14:paraId="09AEEA06">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（发包人名称）：</w:t>
      </w:r>
    </w:p>
    <w:p w14:paraId="45797AE1">
      <w:pPr>
        <w:shd w:val="clear" w:color="auto" w:fill="auto"/>
        <w:spacing w:line="360" w:lineRule="auto"/>
        <w:rPr>
          <w:rFonts w:hint="eastAsia" w:ascii="宋体" w:hAnsi="宋体" w:eastAsia="宋体" w:cs="宋体"/>
          <w:color w:val="auto"/>
          <w:sz w:val="24"/>
          <w:szCs w:val="24"/>
          <w:highlight w:val="none"/>
        </w:rPr>
      </w:pPr>
    </w:p>
    <w:p w14:paraId="6B02242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（承包人名称）（以下称“承包人”）与</w:t>
      </w:r>
    </w:p>
    <w:p w14:paraId="2E2EE799">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bookmarkStart w:id="898" w:name="_Toc14099"/>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（发包人名称）（以下简称“发包人”）</w:t>
      </w:r>
      <w:bookmarkEnd w:id="898"/>
    </w:p>
    <w:p w14:paraId="627BEE1B">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日签订的</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2A138FF0">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担保金额人民币（大写）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8080CC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担保有效期自预付款支付给承包人起生效，至你方签发的进度款支付证书说明已完全扣清止。</w:t>
      </w:r>
    </w:p>
    <w:p w14:paraId="4285E16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BE8317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你方和承包人按合同约定变更合同时，我方承担本保函规定的义务不变。</w:t>
      </w:r>
    </w:p>
    <w:p w14:paraId="6894717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因本保函发生的纠纷，可由双方协商解决，协商不成的，任何一方均可提请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仲裁委员会仲裁。</w:t>
      </w:r>
    </w:p>
    <w:p w14:paraId="6893CAC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本保函自我方法定代表人（或其授权代理人）签字并加盖公章之日起生效。</w:t>
      </w:r>
    </w:p>
    <w:p w14:paraId="79639318">
      <w:pPr>
        <w:shd w:val="clear" w:color="auto" w:fill="auto"/>
        <w:spacing w:line="360" w:lineRule="auto"/>
        <w:rPr>
          <w:rFonts w:hint="eastAsia" w:ascii="宋体" w:hAnsi="宋体" w:eastAsia="宋体" w:cs="宋体"/>
          <w:color w:val="auto"/>
          <w:sz w:val="24"/>
          <w:szCs w:val="24"/>
          <w:highlight w:val="none"/>
        </w:rPr>
      </w:pPr>
    </w:p>
    <w:p w14:paraId="6ADEC8DD">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担保人：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（盖单位章）</w:t>
      </w:r>
    </w:p>
    <w:p w14:paraId="2F092001">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（签字）</w:t>
      </w:r>
    </w:p>
    <w:p w14:paraId="5AE49801">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569D7E3C">
      <w:pPr>
        <w:shd w:val="clear" w:color="auto" w:fill="auto"/>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3637F697">
      <w:pPr>
        <w:shd w:val="clear" w:color="auto" w:fill="auto"/>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485DA1FF">
      <w:pPr>
        <w:shd w:val="clear" w:color="auto" w:fill="auto"/>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133DA3CD">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B2488D3">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w:t>
      </w:r>
    </w:p>
    <w:p w14:paraId="09452F49">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color w:val="auto"/>
          <w:sz w:val="24"/>
          <w:szCs w:val="24"/>
          <w:highlight w:val="none"/>
        </w:rPr>
        <w:t>附</w:t>
      </w:r>
      <w:bookmarkStart w:id="899" w:name="_Toc296944572"/>
      <w:bookmarkStart w:id="900" w:name="_Toc296503233"/>
      <w:bookmarkStart w:id="901" w:name="_Toc296347232"/>
      <w:bookmarkStart w:id="902" w:name="_Toc296891273"/>
      <w:bookmarkStart w:id="903" w:name="_Toc296346734"/>
      <w:bookmarkStart w:id="904" w:name="_Toc296891061"/>
      <w:r>
        <w:rPr>
          <w:rFonts w:hint="eastAsia" w:ascii="宋体" w:hAnsi="宋体" w:eastAsia="宋体" w:cs="宋体"/>
          <w:color w:val="auto"/>
          <w:sz w:val="24"/>
          <w:szCs w:val="24"/>
          <w:highlight w:val="none"/>
        </w:rPr>
        <w:t xml:space="preserve">件10:  </w:t>
      </w:r>
    </w:p>
    <w:bookmarkEnd w:id="899"/>
    <w:bookmarkEnd w:id="900"/>
    <w:bookmarkEnd w:id="901"/>
    <w:bookmarkEnd w:id="902"/>
    <w:bookmarkEnd w:id="903"/>
    <w:bookmarkEnd w:id="904"/>
    <w:p w14:paraId="2876D2D8">
      <w:pPr>
        <w:shd w:val="clear" w:color="auto" w:fill="auto"/>
        <w:spacing w:before="156" w:beforeLines="50" w:after="156"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346CB329">
      <w:pPr>
        <w:shd w:val="clear" w:color="auto" w:fill="auto"/>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（承包人）：</w:t>
      </w:r>
    </w:p>
    <w:p w14:paraId="2F4555FD">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鉴于你方作为承包人已经与</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（发包人名称）（以下称“发包人”）于</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日签订了</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（工程名称）《建设工程施工合同》（以下称“主合同”），应发包人的申请，我方愿就发包人履行主合同约定的工程款支付义务以保证的方式向你方提供如下担保：</w:t>
      </w:r>
    </w:p>
    <w:p w14:paraId="60A4E8F5">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905" w:name="_Toc25894"/>
      <w:r>
        <w:rPr>
          <w:rFonts w:hint="eastAsia" w:ascii="宋体" w:hAnsi="宋体" w:eastAsia="宋体" w:cs="宋体"/>
          <w:color w:val="auto"/>
          <w:sz w:val="24"/>
          <w:szCs w:val="24"/>
          <w:highlight w:val="none"/>
        </w:rPr>
        <w:t>一、保证的范围及保证金额</w:t>
      </w:r>
      <w:bookmarkEnd w:id="905"/>
    </w:p>
    <w:p w14:paraId="5946987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我方的保证范围是主合同约定的工程款。</w:t>
      </w:r>
    </w:p>
    <w:p w14:paraId="2D2E7DC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本保函所称主合同约定的工程款是指主合同约定的除工程质量保证金以外的合同价款。</w:t>
      </w:r>
    </w:p>
    <w:p w14:paraId="7EC9473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我方保证的金额是主合同约定的工程款的</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%，数额最高不超过人民币元（大写：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572B27D">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906" w:name="_Toc8427"/>
      <w:r>
        <w:rPr>
          <w:rFonts w:hint="eastAsia" w:ascii="宋体" w:hAnsi="宋体" w:eastAsia="宋体" w:cs="宋体"/>
          <w:color w:val="auto"/>
          <w:sz w:val="24"/>
          <w:szCs w:val="24"/>
          <w:highlight w:val="none"/>
        </w:rPr>
        <w:t>二、保证的方式及保证期间</w:t>
      </w:r>
      <w:bookmarkEnd w:id="906"/>
    </w:p>
    <w:p w14:paraId="7AF39F3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我方保证的方式为：连带责任保证。</w:t>
      </w:r>
    </w:p>
    <w:p w14:paraId="4217626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我方保证的期间为：自本合同生效之日起至主合同约定的工程款支付完毕之日后</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日内。</w:t>
      </w:r>
    </w:p>
    <w:p w14:paraId="6480A56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你方与发包人协议变更工程款支付日期的，经我方书面同意后，保证期间按照变更后的支付日期做相应调整。</w:t>
      </w:r>
    </w:p>
    <w:p w14:paraId="61DB31B7">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907" w:name="_Toc1037"/>
      <w:r>
        <w:rPr>
          <w:rFonts w:hint="eastAsia" w:ascii="宋体" w:hAnsi="宋体" w:eastAsia="宋体" w:cs="宋体"/>
          <w:color w:val="auto"/>
          <w:sz w:val="24"/>
          <w:szCs w:val="24"/>
          <w:highlight w:val="none"/>
        </w:rPr>
        <w:t>三、承担保证责任的形式</w:t>
      </w:r>
      <w:bookmarkEnd w:id="907"/>
    </w:p>
    <w:p w14:paraId="4B112FF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我方承担保证责任的形式是代为支付。发包人未按主合同约定向你方支付工程款的，由我方在保证金额内代为支付。</w:t>
      </w:r>
    </w:p>
    <w:p w14:paraId="5D4306F3">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908" w:name="_Toc7681"/>
      <w:r>
        <w:rPr>
          <w:rFonts w:hint="eastAsia" w:ascii="宋体" w:hAnsi="宋体" w:eastAsia="宋体" w:cs="宋体"/>
          <w:color w:val="auto"/>
          <w:sz w:val="24"/>
          <w:szCs w:val="24"/>
          <w:highlight w:val="none"/>
        </w:rPr>
        <w:t>四、代偿的安排</w:t>
      </w:r>
      <w:bookmarkEnd w:id="908"/>
    </w:p>
    <w:p w14:paraId="6D645D3B">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32B3BC93">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E57A0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我方收到你方的书面索赔通知及相应的证明材料后７天内无条件支付。</w:t>
      </w:r>
    </w:p>
    <w:p w14:paraId="7E86002A">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909" w:name="_Toc12808"/>
      <w:r>
        <w:rPr>
          <w:rFonts w:hint="eastAsia" w:ascii="宋体" w:hAnsi="宋体" w:eastAsia="宋体" w:cs="宋体"/>
          <w:color w:val="auto"/>
          <w:sz w:val="24"/>
          <w:szCs w:val="24"/>
          <w:highlight w:val="none"/>
        </w:rPr>
        <w:t>五、保证责任的解除</w:t>
      </w:r>
      <w:bookmarkEnd w:id="909"/>
    </w:p>
    <w:p w14:paraId="59F3DC7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在本保函承诺的保证期间内，你方未书面向我方主张保证责任的，自保证期间届满次日起，我方保证责任解除。</w:t>
      </w:r>
    </w:p>
    <w:p w14:paraId="21FA474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发包人按主合同约定履行了工程款的全部支付义务的，自本保函承诺的保证期间届满次日起，我方保证责任解除。</w:t>
      </w:r>
    </w:p>
    <w:p w14:paraId="6BD9EDB1">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我方按照本保函向你方履行保证责任所支付金额达到本保函保证金额时，自我方向你方支付（支付款项从我方账户划出）之日起，保证责任即解除。</w:t>
      </w:r>
    </w:p>
    <w:p w14:paraId="4CD73A85">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按照法律法规的规定或出现应解除我方保证责任的其他情形的，我方在本保函项下的保证责任亦解除。</w:t>
      </w:r>
    </w:p>
    <w:p w14:paraId="79CCFDF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我方解除保证责任后，你方应自我方保证责任解除之日起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个工作日内，将本保函原件返还我方。</w:t>
      </w:r>
    </w:p>
    <w:p w14:paraId="180E5D86">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910" w:name="_Toc3200"/>
      <w:r>
        <w:rPr>
          <w:rFonts w:hint="eastAsia" w:ascii="宋体" w:hAnsi="宋体" w:eastAsia="宋体" w:cs="宋体"/>
          <w:color w:val="auto"/>
          <w:sz w:val="24"/>
          <w:szCs w:val="24"/>
          <w:highlight w:val="none"/>
        </w:rPr>
        <w:t>六、免责条款</w:t>
      </w:r>
      <w:bookmarkEnd w:id="910"/>
    </w:p>
    <w:p w14:paraId="2332FD1F">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因你方违约致使发包人不能履行义务的，我方不承担保证责任。</w:t>
      </w:r>
    </w:p>
    <w:p w14:paraId="327B30A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依照法律法规的规定或你方与发包人的另行约定，免除发包人部分或全部义务的，我方亦免除其相应的保证责任。</w:t>
      </w:r>
    </w:p>
    <w:p w14:paraId="0EB1B498">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E6F6D24">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因不可抗力造成发包人不能履行义务的，我方不承担保证责任。</w:t>
      </w:r>
    </w:p>
    <w:p w14:paraId="64F9A81E">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911" w:name="_Toc25095"/>
      <w:r>
        <w:rPr>
          <w:rFonts w:hint="eastAsia" w:ascii="宋体" w:hAnsi="宋体" w:eastAsia="宋体" w:cs="宋体"/>
          <w:color w:val="auto"/>
          <w:sz w:val="24"/>
          <w:szCs w:val="24"/>
          <w:highlight w:val="none"/>
        </w:rPr>
        <w:t>七、争议解决</w:t>
      </w:r>
      <w:bookmarkEnd w:id="911"/>
    </w:p>
    <w:p w14:paraId="3D3623E6">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因本保函或本保函相关事项发生的纠纷，可由双方协商解决，协商不成的，按下列第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种方式解决：</w:t>
      </w:r>
    </w:p>
    <w:p w14:paraId="666B0382">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仲裁委员会申请仲裁；</w:t>
      </w:r>
    </w:p>
    <w:p w14:paraId="549E18EE">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人民法院起诉。</w:t>
      </w:r>
    </w:p>
    <w:p w14:paraId="2BA69483">
      <w:pPr>
        <w:shd w:val="clear" w:color="auto" w:fill="auto"/>
        <w:spacing w:line="360" w:lineRule="auto"/>
        <w:ind w:firstLine="480" w:firstLineChars="200"/>
        <w:jc w:val="left"/>
        <w:rPr>
          <w:rFonts w:hint="eastAsia" w:ascii="宋体" w:hAnsi="宋体" w:eastAsia="宋体" w:cs="宋体"/>
          <w:color w:val="auto"/>
          <w:sz w:val="24"/>
          <w:szCs w:val="24"/>
          <w:highlight w:val="none"/>
        </w:rPr>
      </w:pPr>
      <w:bookmarkStart w:id="912" w:name="_Toc7843"/>
      <w:r>
        <w:rPr>
          <w:rFonts w:hint="eastAsia" w:ascii="宋体" w:hAnsi="宋体" w:eastAsia="宋体" w:cs="宋体"/>
          <w:color w:val="auto"/>
          <w:sz w:val="24"/>
          <w:szCs w:val="24"/>
          <w:highlight w:val="none"/>
        </w:rPr>
        <w:t>八、保函的生效</w:t>
      </w:r>
      <w:bookmarkEnd w:id="912"/>
    </w:p>
    <w:p w14:paraId="0E59C506">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本保函自我方法定代表人（或其授权代理人）签字并加盖公章之日起生效。</w:t>
      </w:r>
    </w:p>
    <w:p w14:paraId="72F1761E">
      <w:pPr>
        <w:shd w:val="clear" w:color="auto" w:fill="auto"/>
        <w:spacing w:line="360" w:lineRule="auto"/>
        <w:ind w:right="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担保人：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（盖章）</w:t>
      </w:r>
    </w:p>
    <w:p w14:paraId="5D0B990E">
      <w:pPr>
        <w:shd w:val="clear" w:color="auto" w:fill="auto"/>
        <w:spacing w:line="360" w:lineRule="auto"/>
        <w:ind w:right="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（签字）</w:t>
      </w:r>
    </w:p>
    <w:p w14:paraId="6350D3AE">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p>
    <w:p w14:paraId="239B34B7">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w:t>
      </w:r>
    </w:p>
    <w:p w14:paraId="2E783BB9">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                       </w:t>
      </w:r>
    </w:p>
    <w:p w14:paraId="46F2D449">
      <w:pPr>
        <w:shd w:val="clear" w:color="auto" w:fill="auto"/>
        <w:spacing w:line="360" w:lineRule="auto"/>
        <w:ind w:right="1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w:t>
      </w:r>
    </w:p>
    <w:p w14:paraId="2EED3A8E">
      <w:pPr>
        <w:shd w:val="clear" w:color="auto" w:fill="auto"/>
        <w:spacing w:line="440" w:lineRule="exact"/>
        <w:rPr>
          <w:rFonts w:hint="eastAsia" w:ascii="宋体" w:hAnsi="宋体" w:eastAsia="宋体" w:cs="宋体"/>
          <w:color w:val="auto"/>
          <w:sz w:val="32"/>
          <w:szCs w:val="32"/>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2"/>
          <w:szCs w:val="32"/>
          <w:highlight w:val="none"/>
        </w:rPr>
        <w:t>附件11：</w:t>
      </w:r>
    </w:p>
    <w:p w14:paraId="08665D8E">
      <w:pPr>
        <w:shd w:val="clear" w:color="auto" w:fill="auto"/>
        <w:spacing w:before="156" w:beforeLines="50" w:after="156" w:afterLines="50" w:line="440" w:lineRule="exact"/>
        <w:jc w:val="center"/>
        <w:rPr>
          <w:rFonts w:hint="eastAsia" w:ascii="宋体" w:hAnsi="宋体" w:eastAsia="宋体" w:cs="宋体"/>
          <w:color w:val="auto"/>
          <w:sz w:val="32"/>
          <w:szCs w:val="32"/>
          <w:highlight w:val="none"/>
        </w:rPr>
      </w:pPr>
      <w:bookmarkStart w:id="913" w:name="_Toc14309"/>
      <w:r>
        <w:rPr>
          <w:rFonts w:hint="eastAsia" w:ascii="宋体" w:hAnsi="宋体" w:eastAsia="宋体" w:cs="宋体"/>
          <w:color w:val="auto"/>
          <w:sz w:val="32"/>
          <w:szCs w:val="32"/>
          <w:highlight w:val="none"/>
        </w:rPr>
        <w:t>11-1：材料暂估价表</w:t>
      </w:r>
      <w:bookmarkEnd w:id="913"/>
    </w:p>
    <w:tbl>
      <w:tblPr>
        <w:tblStyle w:val="14"/>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02"/>
        <w:gridCol w:w="2008"/>
        <w:gridCol w:w="860"/>
        <w:gridCol w:w="783"/>
        <w:gridCol w:w="1369"/>
        <w:gridCol w:w="1435"/>
        <w:gridCol w:w="1721"/>
      </w:tblGrid>
      <w:tr w14:paraId="368E3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single" w:color="auto" w:sz="12" w:space="0"/>
              <w:bottom w:val="double" w:color="auto" w:sz="6" w:space="0"/>
            </w:tcBorders>
            <w:noWrap w:val="0"/>
            <w:vAlign w:val="top"/>
          </w:tcPr>
          <w:p w14:paraId="3551836B">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序号</w:t>
            </w:r>
          </w:p>
        </w:tc>
        <w:tc>
          <w:tcPr>
            <w:tcW w:w="1093" w:type="pct"/>
            <w:tcBorders>
              <w:top w:val="single" w:color="auto" w:sz="12" w:space="0"/>
              <w:bottom w:val="double" w:color="auto" w:sz="6" w:space="0"/>
            </w:tcBorders>
            <w:noWrap w:val="0"/>
            <w:vAlign w:val="top"/>
          </w:tcPr>
          <w:p w14:paraId="277E9F20">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名称</w:t>
            </w:r>
          </w:p>
        </w:tc>
        <w:tc>
          <w:tcPr>
            <w:tcW w:w="468" w:type="pct"/>
            <w:tcBorders>
              <w:top w:val="single" w:color="auto" w:sz="12" w:space="0"/>
              <w:bottom w:val="double" w:color="auto" w:sz="6" w:space="0"/>
            </w:tcBorders>
            <w:noWrap w:val="0"/>
            <w:vAlign w:val="top"/>
          </w:tcPr>
          <w:p w14:paraId="36356F61">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单位</w:t>
            </w:r>
          </w:p>
        </w:tc>
        <w:tc>
          <w:tcPr>
            <w:tcW w:w="426" w:type="pct"/>
            <w:tcBorders>
              <w:top w:val="single" w:color="auto" w:sz="12" w:space="0"/>
              <w:bottom w:val="double" w:color="auto" w:sz="6" w:space="0"/>
            </w:tcBorders>
            <w:noWrap w:val="0"/>
            <w:vAlign w:val="top"/>
          </w:tcPr>
          <w:p w14:paraId="2ECA5A6E">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数量</w:t>
            </w:r>
          </w:p>
        </w:tc>
        <w:tc>
          <w:tcPr>
            <w:tcW w:w="745" w:type="pct"/>
            <w:tcBorders>
              <w:top w:val="single" w:color="auto" w:sz="12" w:space="0"/>
              <w:bottom w:val="double" w:color="auto" w:sz="6" w:space="0"/>
            </w:tcBorders>
            <w:noWrap w:val="0"/>
            <w:vAlign w:val="top"/>
          </w:tcPr>
          <w:p w14:paraId="425F18C4">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单价（元）</w:t>
            </w:r>
          </w:p>
        </w:tc>
        <w:tc>
          <w:tcPr>
            <w:tcW w:w="781" w:type="pct"/>
            <w:tcBorders>
              <w:top w:val="single" w:color="auto" w:sz="12" w:space="0"/>
              <w:bottom w:val="double" w:color="auto" w:sz="6" w:space="0"/>
            </w:tcBorders>
            <w:noWrap w:val="0"/>
            <w:vAlign w:val="top"/>
          </w:tcPr>
          <w:p w14:paraId="353DDC1D">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合价（元）</w:t>
            </w:r>
          </w:p>
        </w:tc>
        <w:tc>
          <w:tcPr>
            <w:tcW w:w="937" w:type="pct"/>
            <w:tcBorders>
              <w:top w:val="single" w:color="auto" w:sz="12" w:space="0"/>
              <w:bottom w:val="double" w:color="auto" w:sz="6" w:space="0"/>
            </w:tcBorders>
            <w:noWrap w:val="0"/>
            <w:vAlign w:val="top"/>
          </w:tcPr>
          <w:p w14:paraId="388B66E2">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备注</w:t>
            </w:r>
          </w:p>
        </w:tc>
      </w:tr>
      <w:tr w14:paraId="3BEC6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double" w:color="auto" w:sz="6" w:space="0"/>
              <w:bottom w:val="single" w:color="auto" w:sz="6" w:space="0"/>
            </w:tcBorders>
            <w:noWrap w:val="0"/>
            <w:vAlign w:val="top"/>
          </w:tcPr>
          <w:p w14:paraId="10823D8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tcBorders>
              <w:top w:val="double" w:color="auto" w:sz="6" w:space="0"/>
              <w:bottom w:val="single" w:color="auto" w:sz="6" w:space="0"/>
            </w:tcBorders>
            <w:noWrap w:val="0"/>
            <w:vAlign w:val="top"/>
          </w:tcPr>
          <w:p w14:paraId="64E53CC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tcBorders>
              <w:top w:val="double" w:color="auto" w:sz="6" w:space="0"/>
              <w:bottom w:val="single" w:color="auto" w:sz="6" w:space="0"/>
            </w:tcBorders>
            <w:noWrap w:val="0"/>
            <w:vAlign w:val="top"/>
          </w:tcPr>
          <w:p w14:paraId="5CD6B3A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tcBorders>
              <w:top w:val="double" w:color="auto" w:sz="6" w:space="0"/>
              <w:bottom w:val="single" w:color="auto" w:sz="6" w:space="0"/>
            </w:tcBorders>
            <w:noWrap w:val="0"/>
            <w:vAlign w:val="top"/>
          </w:tcPr>
          <w:p w14:paraId="1739256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tcBorders>
              <w:top w:val="double" w:color="auto" w:sz="6" w:space="0"/>
              <w:bottom w:val="single" w:color="auto" w:sz="6" w:space="0"/>
            </w:tcBorders>
            <w:noWrap w:val="0"/>
            <w:vAlign w:val="top"/>
          </w:tcPr>
          <w:p w14:paraId="0348012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tcBorders>
              <w:top w:val="double" w:color="auto" w:sz="6" w:space="0"/>
              <w:bottom w:val="single" w:color="auto" w:sz="6" w:space="0"/>
            </w:tcBorders>
            <w:noWrap w:val="0"/>
            <w:vAlign w:val="top"/>
          </w:tcPr>
          <w:p w14:paraId="5514C51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tcBorders>
              <w:top w:val="double" w:color="auto" w:sz="6" w:space="0"/>
              <w:bottom w:val="single" w:color="auto" w:sz="6" w:space="0"/>
            </w:tcBorders>
            <w:noWrap w:val="0"/>
            <w:vAlign w:val="top"/>
          </w:tcPr>
          <w:p w14:paraId="5E4BF1B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45678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nil"/>
            </w:tcBorders>
            <w:noWrap w:val="0"/>
            <w:vAlign w:val="top"/>
          </w:tcPr>
          <w:p w14:paraId="57F9F9F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tcBorders>
              <w:top w:val="nil"/>
            </w:tcBorders>
            <w:noWrap w:val="0"/>
            <w:vAlign w:val="top"/>
          </w:tcPr>
          <w:p w14:paraId="572F44F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tcBorders>
              <w:top w:val="nil"/>
            </w:tcBorders>
            <w:noWrap w:val="0"/>
            <w:vAlign w:val="top"/>
          </w:tcPr>
          <w:p w14:paraId="4A7F3A5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tcBorders>
              <w:top w:val="nil"/>
            </w:tcBorders>
            <w:noWrap w:val="0"/>
            <w:vAlign w:val="top"/>
          </w:tcPr>
          <w:p w14:paraId="7F07C8E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tcBorders>
              <w:top w:val="nil"/>
            </w:tcBorders>
            <w:noWrap w:val="0"/>
            <w:vAlign w:val="top"/>
          </w:tcPr>
          <w:p w14:paraId="19EBEFC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tcBorders>
              <w:top w:val="nil"/>
            </w:tcBorders>
            <w:noWrap w:val="0"/>
            <w:vAlign w:val="top"/>
          </w:tcPr>
          <w:p w14:paraId="4DC99BE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tcBorders>
              <w:top w:val="nil"/>
            </w:tcBorders>
            <w:noWrap w:val="0"/>
            <w:vAlign w:val="top"/>
          </w:tcPr>
          <w:p w14:paraId="11A96AA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59677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6D97D81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680C6F0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3EAAD75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3C7A73D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615586E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101ACAC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21F5464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2ADE0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1B6CDCA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5E1DA19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4BBF1FF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49667F3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4642647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0878EBB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00F00F5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61D1A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0D62F56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157C87E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583DB67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1E99D24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02DB87F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3C817AB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15793A9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21099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225999B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7EAF755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7CBF41D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0D813DC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000C9F7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51EC313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257D048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7B520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64691D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5A6BF1F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2EA64B9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694EDA4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0DBB880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4E74FB1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2198511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14F7F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04A2147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00C79F7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109DCFE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1469946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277D772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1B96FD3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2BA3208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2A4C5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D255F9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2A24D6B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485170F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7F66729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13DCC3E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0BE3921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7C16EE2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168C0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AC8361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4F76036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7B993FA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1AA87ED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1FA0B90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15236DD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66DB0E7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3083E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693628F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539239F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36E8950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49EEE06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458E44F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39DE3DE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66F144D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3C3F2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6C2BE1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5ACF0B9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64D7F3D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2B5369D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3259027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7785DDB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03DC902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4E86C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97DDA2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5C25533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68661C5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549ABC6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637A542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070834A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44B4B26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46D06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192B6CB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5796335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14F6B3D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1BE588C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29C6B84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72ADC80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7792DBA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4FFC4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73805D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093A34D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4592CE0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4CD6A7B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4079735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2B45CFD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5CA2C25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49B55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730D83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606D10F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7B07CE2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452F70A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17DFD7A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6AFE056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6C6FBCC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5579A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6750E92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3F48DFD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25CF050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31EC757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61E5C34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24D8FB9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0606A56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0C525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6159830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331827F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416E3F7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75AABD5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7562573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09BC7D9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609732C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35BBD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2ED454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7A47D44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6611461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50F63CE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18B3845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4672A9B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556594E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75BBB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261E347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263C648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2B3801C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2BC77F0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7F0A13F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4692B30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0CD0E69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4A991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6CAC5FD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66B6915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33688A0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4626D89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4F9C040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526FCE9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63731E6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bl>
    <w:p w14:paraId="0999FFB8">
      <w:pPr>
        <w:shd w:val="clear" w:color="auto" w:fill="auto"/>
        <w:spacing w:before="156" w:beforeLines="50" w:after="156" w:afterLines="50" w:line="440" w:lineRule="exact"/>
        <w:rPr>
          <w:rFonts w:hint="eastAsia" w:ascii="宋体" w:hAnsi="宋体" w:eastAsia="宋体" w:cs="宋体"/>
          <w:color w:val="auto"/>
          <w:sz w:val="36"/>
          <w:szCs w:val="36"/>
          <w:highlight w:val="none"/>
        </w:rPr>
      </w:pPr>
    </w:p>
    <w:p w14:paraId="2F1A6DF1">
      <w:pPr>
        <w:shd w:val="clear" w:color="auto" w:fill="auto"/>
        <w:spacing w:before="156" w:beforeLines="50" w:after="156" w:afterLines="50" w:line="44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2"/>
          <w:szCs w:val="32"/>
          <w:highlight w:val="none"/>
        </w:rPr>
        <w:t>11-2：工程设备暂估价表</w:t>
      </w:r>
    </w:p>
    <w:tbl>
      <w:tblPr>
        <w:tblStyle w:val="14"/>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02"/>
        <w:gridCol w:w="2008"/>
        <w:gridCol w:w="860"/>
        <w:gridCol w:w="783"/>
        <w:gridCol w:w="1369"/>
        <w:gridCol w:w="1435"/>
        <w:gridCol w:w="1721"/>
      </w:tblGrid>
      <w:tr w14:paraId="1B1ED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single" w:color="auto" w:sz="12" w:space="0"/>
              <w:bottom w:val="double" w:color="auto" w:sz="6" w:space="0"/>
            </w:tcBorders>
            <w:noWrap w:val="0"/>
            <w:vAlign w:val="top"/>
          </w:tcPr>
          <w:p w14:paraId="16D05E30">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序号</w:t>
            </w:r>
          </w:p>
        </w:tc>
        <w:tc>
          <w:tcPr>
            <w:tcW w:w="1093" w:type="pct"/>
            <w:tcBorders>
              <w:top w:val="single" w:color="auto" w:sz="12" w:space="0"/>
              <w:bottom w:val="double" w:color="auto" w:sz="6" w:space="0"/>
            </w:tcBorders>
            <w:noWrap w:val="0"/>
            <w:vAlign w:val="top"/>
          </w:tcPr>
          <w:p w14:paraId="0E14D302">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名称</w:t>
            </w:r>
          </w:p>
        </w:tc>
        <w:tc>
          <w:tcPr>
            <w:tcW w:w="468" w:type="pct"/>
            <w:tcBorders>
              <w:top w:val="single" w:color="auto" w:sz="12" w:space="0"/>
              <w:bottom w:val="double" w:color="auto" w:sz="6" w:space="0"/>
            </w:tcBorders>
            <w:noWrap w:val="0"/>
            <w:vAlign w:val="top"/>
          </w:tcPr>
          <w:p w14:paraId="3D0FE309">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单位</w:t>
            </w:r>
          </w:p>
        </w:tc>
        <w:tc>
          <w:tcPr>
            <w:tcW w:w="426" w:type="pct"/>
            <w:tcBorders>
              <w:top w:val="single" w:color="auto" w:sz="12" w:space="0"/>
              <w:bottom w:val="double" w:color="auto" w:sz="6" w:space="0"/>
            </w:tcBorders>
            <w:noWrap w:val="0"/>
            <w:vAlign w:val="top"/>
          </w:tcPr>
          <w:p w14:paraId="49BCB0C0">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数量</w:t>
            </w:r>
          </w:p>
        </w:tc>
        <w:tc>
          <w:tcPr>
            <w:tcW w:w="745" w:type="pct"/>
            <w:tcBorders>
              <w:top w:val="single" w:color="auto" w:sz="12" w:space="0"/>
              <w:bottom w:val="double" w:color="auto" w:sz="6" w:space="0"/>
            </w:tcBorders>
            <w:noWrap w:val="0"/>
            <w:vAlign w:val="top"/>
          </w:tcPr>
          <w:p w14:paraId="639D3F0D">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单价（元）</w:t>
            </w:r>
          </w:p>
        </w:tc>
        <w:tc>
          <w:tcPr>
            <w:tcW w:w="781" w:type="pct"/>
            <w:tcBorders>
              <w:top w:val="single" w:color="auto" w:sz="12" w:space="0"/>
              <w:bottom w:val="double" w:color="auto" w:sz="6" w:space="0"/>
            </w:tcBorders>
            <w:noWrap w:val="0"/>
            <w:vAlign w:val="top"/>
          </w:tcPr>
          <w:p w14:paraId="4E1D1D6D">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合价（元）</w:t>
            </w:r>
          </w:p>
        </w:tc>
        <w:tc>
          <w:tcPr>
            <w:tcW w:w="937" w:type="pct"/>
            <w:tcBorders>
              <w:top w:val="single" w:color="auto" w:sz="12" w:space="0"/>
              <w:bottom w:val="double" w:color="auto" w:sz="6" w:space="0"/>
            </w:tcBorders>
            <w:noWrap w:val="0"/>
            <w:vAlign w:val="top"/>
          </w:tcPr>
          <w:p w14:paraId="43FE875C">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备注</w:t>
            </w:r>
          </w:p>
        </w:tc>
      </w:tr>
      <w:tr w14:paraId="5A239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double" w:color="auto" w:sz="6" w:space="0"/>
              <w:bottom w:val="single" w:color="auto" w:sz="6" w:space="0"/>
            </w:tcBorders>
            <w:noWrap w:val="0"/>
            <w:vAlign w:val="top"/>
          </w:tcPr>
          <w:p w14:paraId="53F98AE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tcBorders>
              <w:top w:val="double" w:color="auto" w:sz="6" w:space="0"/>
              <w:bottom w:val="single" w:color="auto" w:sz="6" w:space="0"/>
            </w:tcBorders>
            <w:noWrap w:val="0"/>
            <w:vAlign w:val="top"/>
          </w:tcPr>
          <w:p w14:paraId="366D8EB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tcBorders>
              <w:top w:val="double" w:color="auto" w:sz="6" w:space="0"/>
              <w:bottom w:val="single" w:color="auto" w:sz="6" w:space="0"/>
            </w:tcBorders>
            <w:noWrap w:val="0"/>
            <w:vAlign w:val="top"/>
          </w:tcPr>
          <w:p w14:paraId="197DCB1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tcBorders>
              <w:top w:val="double" w:color="auto" w:sz="6" w:space="0"/>
              <w:bottom w:val="single" w:color="auto" w:sz="6" w:space="0"/>
            </w:tcBorders>
            <w:noWrap w:val="0"/>
            <w:vAlign w:val="top"/>
          </w:tcPr>
          <w:p w14:paraId="7A3E3A5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tcBorders>
              <w:top w:val="double" w:color="auto" w:sz="6" w:space="0"/>
              <w:bottom w:val="single" w:color="auto" w:sz="6" w:space="0"/>
            </w:tcBorders>
            <w:noWrap w:val="0"/>
            <w:vAlign w:val="top"/>
          </w:tcPr>
          <w:p w14:paraId="26861DD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tcBorders>
              <w:top w:val="double" w:color="auto" w:sz="6" w:space="0"/>
              <w:bottom w:val="single" w:color="auto" w:sz="6" w:space="0"/>
            </w:tcBorders>
            <w:noWrap w:val="0"/>
            <w:vAlign w:val="top"/>
          </w:tcPr>
          <w:p w14:paraId="11A57FA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tcBorders>
              <w:top w:val="double" w:color="auto" w:sz="6" w:space="0"/>
              <w:bottom w:val="single" w:color="auto" w:sz="6" w:space="0"/>
            </w:tcBorders>
            <w:noWrap w:val="0"/>
            <w:vAlign w:val="top"/>
          </w:tcPr>
          <w:p w14:paraId="40CA75D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4FB2F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nil"/>
            </w:tcBorders>
            <w:noWrap w:val="0"/>
            <w:vAlign w:val="top"/>
          </w:tcPr>
          <w:p w14:paraId="7BD3928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tcBorders>
              <w:top w:val="nil"/>
            </w:tcBorders>
            <w:noWrap w:val="0"/>
            <w:vAlign w:val="top"/>
          </w:tcPr>
          <w:p w14:paraId="07286DB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tcBorders>
              <w:top w:val="nil"/>
            </w:tcBorders>
            <w:noWrap w:val="0"/>
            <w:vAlign w:val="top"/>
          </w:tcPr>
          <w:p w14:paraId="096C749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tcBorders>
              <w:top w:val="nil"/>
            </w:tcBorders>
            <w:noWrap w:val="0"/>
            <w:vAlign w:val="top"/>
          </w:tcPr>
          <w:p w14:paraId="2C50CFA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tcBorders>
              <w:top w:val="nil"/>
            </w:tcBorders>
            <w:noWrap w:val="0"/>
            <w:vAlign w:val="top"/>
          </w:tcPr>
          <w:p w14:paraId="31A3C2A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tcBorders>
              <w:top w:val="nil"/>
            </w:tcBorders>
            <w:noWrap w:val="0"/>
            <w:vAlign w:val="top"/>
          </w:tcPr>
          <w:p w14:paraId="3AAA55E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tcBorders>
              <w:top w:val="nil"/>
            </w:tcBorders>
            <w:noWrap w:val="0"/>
            <w:vAlign w:val="top"/>
          </w:tcPr>
          <w:p w14:paraId="55002F3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06493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563DA9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5727D55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76052A8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4225596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7E903A6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0CDA613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1B80C4F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3FD4A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11A5654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65D88A7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08C4A0E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64AD4AD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75F5046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6293539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29CE8E1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1723B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0A44BE8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5E3332D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48B7CAF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50B7748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708C16A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5783F0C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3C72139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70509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25DBD0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3FD3826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3C8C3E5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061E7E6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64D559F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4A74C55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6811941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269E6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1F4704D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5EF57F6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233F6A2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7634731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7F71F17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7FA8A87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50FC51E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5B353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809692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05BA33B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146D3D7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081D552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0301AED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7718AFD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68AAA15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652D6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9E8FB4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5F96810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681E8C9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7036D65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26403E7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48098D4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53A6130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4CE55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AF6388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7A662E0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7C2D5A1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08C647E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453B017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4F88919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426113B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06E93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05AC454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4C248FB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52F2CBC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244700D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5D25F9E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613C345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6B6D34D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3C5A0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F7FF8D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3AADEC2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4B34C5C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28BAB0A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5D9FDF6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03C5168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2754C6E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751DB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0685278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1CA0357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114BE64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4AAA981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3F7F63D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2624F62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38EF22E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0AC99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0D205D1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0E9882E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5C0CC37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231450C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20D63C4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70E1872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3EE59C3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570999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06F1401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3826F5B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748B18B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6523D3B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4098E20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75F5685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2D414C0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2B564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21E15C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7695AF8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46A128C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3202AC7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622EEB4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533F689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1837D8B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17805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7EA6D0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4087D6C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70F71CE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182C8FD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50076AB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4BAC935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37C4D52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2013E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A0D6DC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11C1651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783DA39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08ADFF2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42233F6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188269F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4467798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7055B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C4929E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7F20FE2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07568B4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020B51E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356A1A6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282934A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0B3534F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14983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2A9DCBB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312707A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1E49130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69DB7AD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3F1D475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7909E72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5E9C8B0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3E03A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60CCA1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7D4CD1A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12D2CE6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1FF8F06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122C534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67B8DC8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5A28381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2A487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0E7BF5E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62F6406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01481A4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69FC148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20B2CC8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04BEA5C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3B4BD5C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59E38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A9BA38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63F415A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22774CC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23240FD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6AF010A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666E58D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429206F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65F25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1B1B697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4EA5814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229929E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3934687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0AC8AEE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21F83F3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0A895A1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5FD3D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658E58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093" w:type="pct"/>
            <w:noWrap w:val="0"/>
            <w:vAlign w:val="top"/>
          </w:tcPr>
          <w:p w14:paraId="44830C1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8" w:type="pct"/>
            <w:noWrap w:val="0"/>
            <w:vAlign w:val="top"/>
          </w:tcPr>
          <w:p w14:paraId="16505B7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26" w:type="pct"/>
            <w:noWrap w:val="0"/>
            <w:vAlign w:val="top"/>
          </w:tcPr>
          <w:p w14:paraId="491CFDE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45" w:type="pct"/>
            <w:noWrap w:val="0"/>
            <w:vAlign w:val="top"/>
          </w:tcPr>
          <w:p w14:paraId="37530FE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781" w:type="pct"/>
            <w:noWrap w:val="0"/>
            <w:vAlign w:val="top"/>
          </w:tcPr>
          <w:p w14:paraId="5FBE725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937" w:type="pct"/>
            <w:noWrap w:val="0"/>
            <w:vAlign w:val="top"/>
          </w:tcPr>
          <w:p w14:paraId="468C767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bl>
    <w:p w14:paraId="5754AB85">
      <w:pPr>
        <w:shd w:val="clear" w:color="auto" w:fill="auto"/>
        <w:spacing w:line="440" w:lineRule="exact"/>
        <w:rPr>
          <w:rFonts w:hint="eastAsia" w:ascii="宋体" w:hAnsi="宋体" w:eastAsia="宋体" w:cs="宋体"/>
          <w:color w:val="auto"/>
          <w:sz w:val="36"/>
          <w:szCs w:val="36"/>
          <w:highlight w:val="none"/>
        </w:rPr>
      </w:pPr>
    </w:p>
    <w:p w14:paraId="1B262BD8">
      <w:pPr>
        <w:shd w:val="clear" w:color="auto" w:fill="auto"/>
        <w:spacing w:before="156" w:beforeLines="50" w:after="156" w:afterLines="50" w:line="44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2"/>
          <w:szCs w:val="32"/>
          <w:highlight w:val="none"/>
        </w:rPr>
        <w:t>11-3：专业工程暂估价表</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29B1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269748DA">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序号</w:t>
            </w:r>
          </w:p>
        </w:tc>
        <w:tc>
          <w:tcPr>
            <w:tcW w:w="1984" w:type="dxa"/>
            <w:tcBorders>
              <w:top w:val="single" w:color="auto" w:sz="12" w:space="0"/>
              <w:bottom w:val="double" w:color="auto" w:sz="6" w:space="0"/>
            </w:tcBorders>
            <w:noWrap w:val="0"/>
            <w:vAlign w:val="top"/>
          </w:tcPr>
          <w:p w14:paraId="40634F9D">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专业工程名称</w:t>
            </w:r>
          </w:p>
        </w:tc>
        <w:tc>
          <w:tcPr>
            <w:tcW w:w="4678" w:type="dxa"/>
            <w:tcBorders>
              <w:top w:val="single" w:color="auto" w:sz="12" w:space="0"/>
              <w:bottom w:val="double" w:color="auto" w:sz="6" w:space="0"/>
            </w:tcBorders>
            <w:noWrap w:val="0"/>
            <w:vAlign w:val="top"/>
          </w:tcPr>
          <w:p w14:paraId="20EF54ED">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工程内容</w:t>
            </w:r>
          </w:p>
        </w:tc>
        <w:tc>
          <w:tcPr>
            <w:tcW w:w="1276" w:type="dxa"/>
            <w:tcBorders>
              <w:top w:val="single" w:color="auto" w:sz="12" w:space="0"/>
              <w:bottom w:val="double" w:color="auto" w:sz="6" w:space="0"/>
            </w:tcBorders>
            <w:noWrap w:val="0"/>
            <w:vAlign w:val="top"/>
          </w:tcPr>
          <w:p w14:paraId="53B8ED29">
            <w:pPr>
              <w:pStyle w:val="6"/>
              <w:keepNext/>
              <w:shd w:val="clear" w:color="auto" w:fill="auto"/>
              <w:spacing w:after="0" w:line="440" w:lineRule="exact"/>
              <w:ind w:left="63" w:right="63"/>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金额</w:t>
            </w:r>
          </w:p>
        </w:tc>
      </w:tr>
      <w:tr w14:paraId="66813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6C0C8CE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tcBorders>
              <w:top w:val="double" w:color="auto" w:sz="6" w:space="0"/>
              <w:bottom w:val="single" w:color="auto" w:sz="6" w:space="0"/>
            </w:tcBorders>
            <w:noWrap w:val="0"/>
            <w:vAlign w:val="top"/>
          </w:tcPr>
          <w:p w14:paraId="024A86B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tcBorders>
              <w:top w:val="double" w:color="auto" w:sz="6" w:space="0"/>
              <w:bottom w:val="single" w:color="auto" w:sz="6" w:space="0"/>
            </w:tcBorders>
            <w:noWrap w:val="0"/>
            <w:vAlign w:val="top"/>
          </w:tcPr>
          <w:p w14:paraId="72F8AB3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tcBorders>
              <w:top w:val="double" w:color="auto" w:sz="6" w:space="0"/>
              <w:bottom w:val="single" w:color="auto" w:sz="6" w:space="0"/>
            </w:tcBorders>
            <w:noWrap w:val="0"/>
            <w:vAlign w:val="top"/>
          </w:tcPr>
          <w:p w14:paraId="112EC9E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33D9D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711C681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tcBorders>
              <w:top w:val="nil"/>
            </w:tcBorders>
            <w:noWrap w:val="0"/>
            <w:vAlign w:val="top"/>
          </w:tcPr>
          <w:p w14:paraId="50B6BC0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tcBorders>
              <w:top w:val="nil"/>
            </w:tcBorders>
            <w:noWrap w:val="0"/>
            <w:vAlign w:val="top"/>
          </w:tcPr>
          <w:p w14:paraId="0543ED6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tcBorders>
              <w:top w:val="nil"/>
            </w:tcBorders>
            <w:noWrap w:val="0"/>
            <w:vAlign w:val="top"/>
          </w:tcPr>
          <w:p w14:paraId="09AE128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778F1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11ED587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tcBorders>
              <w:top w:val="nil"/>
            </w:tcBorders>
            <w:noWrap w:val="0"/>
            <w:vAlign w:val="top"/>
          </w:tcPr>
          <w:p w14:paraId="523AA72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tcBorders>
              <w:top w:val="nil"/>
            </w:tcBorders>
            <w:noWrap w:val="0"/>
            <w:vAlign w:val="top"/>
          </w:tcPr>
          <w:p w14:paraId="5834FB5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tcBorders>
              <w:top w:val="nil"/>
            </w:tcBorders>
            <w:noWrap w:val="0"/>
            <w:vAlign w:val="top"/>
          </w:tcPr>
          <w:p w14:paraId="7737F4E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5C9CC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3823A7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0D80038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2855E02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4F1EBF2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324F8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977A3C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18F69B4A">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1CA12C9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2F04A83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1D2E3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6284F4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258295C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6E29E14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664ACFF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65C22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E1067B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0AC50E6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4BA236A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5E413DD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40EB8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9DEB16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7CDF62E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5400923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431ED27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55E82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C20DBB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214BDF2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7F54787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560076C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2A09D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92AD97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391C20E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55DD484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4F2E624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26DB0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0C21D5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1FD08E0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7A4B5CA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4DB2A43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29875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EB9FD1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01EC459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407FB88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613E1FE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611A2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85CDB0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148DF71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097C3E0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3E61387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18C86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EF2A14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632B157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505C708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66F6079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55721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C8C736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1C75A37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3216056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05459D6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5FBAD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A8483D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0345F6B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1C44482D">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014FB01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0E170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6104B2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65ABD1AC">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2852A4D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08C66E1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5844E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26A7C4E">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60E1472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5ABC4D8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78E09AF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00046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616353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607EA5C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35AA06C3">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1F53251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212AF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3DAA1D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75584E6F">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111BDE5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4C5CFF90">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6326F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B2A352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73904CCB">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3AC9D71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42A645B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218DA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8584CE9">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53C8D9E8">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3B8EB1B4">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4B760685">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38A12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D6321B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984" w:type="dxa"/>
            <w:noWrap w:val="0"/>
            <w:vAlign w:val="top"/>
          </w:tcPr>
          <w:p w14:paraId="330FBD22">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4678" w:type="dxa"/>
            <w:noWrap w:val="0"/>
            <w:vAlign w:val="top"/>
          </w:tcPr>
          <w:p w14:paraId="0BFAE146">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c>
          <w:tcPr>
            <w:tcW w:w="1276" w:type="dxa"/>
            <w:noWrap w:val="0"/>
            <w:vAlign w:val="top"/>
          </w:tcPr>
          <w:p w14:paraId="21149631">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p>
        </w:tc>
      </w:tr>
      <w:tr w14:paraId="215AE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7DC93F17">
            <w:pPr>
              <w:pStyle w:val="6"/>
              <w:keepNext/>
              <w:shd w:val="clear" w:color="auto" w:fill="auto"/>
              <w:spacing w:after="0" w:line="440" w:lineRule="exact"/>
              <w:ind w:left="63" w:right="63"/>
              <w:rPr>
                <w:rFonts w:hint="eastAsia" w:ascii="宋体" w:hAnsi="宋体" w:eastAsia="宋体" w:cs="宋体"/>
                <w:color w:val="auto"/>
                <w:kern w:val="2"/>
                <w:sz w:val="36"/>
                <w:szCs w:val="36"/>
                <w:highlight w:val="none"/>
              </w:rPr>
            </w:pPr>
            <w:r>
              <w:rPr>
                <w:rFonts w:hint="eastAsia" w:ascii="宋体" w:hAnsi="宋体" w:eastAsia="宋体" w:cs="宋体"/>
                <w:color w:val="auto"/>
                <w:kern w:val="2"/>
                <w:sz w:val="28"/>
                <w:szCs w:val="28"/>
                <w:highlight w:val="none"/>
              </w:rPr>
              <w:t>小计：</w:t>
            </w:r>
          </w:p>
        </w:tc>
      </w:tr>
    </w:tbl>
    <w:p w14:paraId="372A6FE8">
      <w:pPr>
        <w:shd w:val="clear" w:color="auto" w:fill="auto"/>
        <w:spacing w:line="360" w:lineRule="auto"/>
        <w:ind w:left="502"/>
        <w:jc w:val="left"/>
        <w:rPr>
          <w:rFonts w:hint="eastAsia" w:ascii="宋体" w:hAnsi="宋体" w:eastAsia="宋体" w:cs="宋体"/>
          <w:color w:val="auto"/>
          <w:sz w:val="24"/>
          <w:szCs w:val="24"/>
          <w:highlight w:val="none"/>
        </w:rPr>
      </w:pPr>
    </w:p>
    <w:p w14:paraId="01AE5DED">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color w:val="auto"/>
          <w:sz w:val="24"/>
          <w:szCs w:val="32"/>
          <w:highlight w:val="none"/>
        </w:rPr>
      </w:pPr>
    </w:p>
    <w:p w14:paraId="575CC9B0">
      <w:pPr>
        <w:pStyle w:val="2"/>
        <w:widowControl/>
        <w:shd w:val="clear" w:color="auto" w:fill="auto"/>
        <w:spacing w:before="240" w:after="240" w:line="312" w:lineRule="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lang w:val="zh-CN" w:eastAsia="zh-CN"/>
        </w:rPr>
        <w:br w:type="page"/>
      </w:r>
      <w:bookmarkStart w:id="914" w:name="_Toc30882"/>
      <w:r>
        <w:rPr>
          <w:rFonts w:hint="eastAsia" w:ascii="宋体" w:hAnsi="宋体" w:eastAsia="宋体" w:cs="宋体"/>
          <w:color w:val="auto"/>
          <w:sz w:val="36"/>
          <w:szCs w:val="36"/>
          <w:highlight w:val="none"/>
          <w:lang w:val="zh-CN"/>
        </w:rPr>
        <w:t>第四章  响应文件格式</w:t>
      </w:r>
      <w:bookmarkEnd w:id="242"/>
      <w:bookmarkEnd w:id="914"/>
    </w:p>
    <w:p w14:paraId="63E2EC6C">
      <w:pPr>
        <w:shd w:val="clear" w:color="auto" w:fill="auto"/>
        <w:jc w:val="center"/>
        <w:rPr>
          <w:rFonts w:hint="eastAsia" w:ascii="宋体" w:hAnsi="宋体" w:eastAsia="宋体" w:cs="宋体"/>
          <w:color w:val="auto"/>
          <w:highlight w:val="none"/>
          <w:lang w:eastAsia="zh-CN"/>
        </w:rPr>
      </w:pPr>
      <w:bookmarkStart w:id="915" w:name="_Toc491307473"/>
      <w:bookmarkStart w:id="916" w:name="_Toc491307363"/>
      <w:bookmarkStart w:id="917" w:name="_Toc491307483"/>
      <w:bookmarkStart w:id="918" w:name="_Toc491307301"/>
      <w:bookmarkStart w:id="919" w:name="_Toc491307291"/>
      <w:bookmarkStart w:id="920" w:name="_Toc494043337"/>
      <w:bookmarkStart w:id="921" w:name="_Toc491307353"/>
      <w:r>
        <w:rPr>
          <w:rFonts w:hint="eastAsia" w:hAnsi="宋体" w:cs="宋体"/>
          <w:b/>
          <w:bCs/>
          <w:snapToGrid/>
          <w:color w:val="auto"/>
          <w:kern w:val="2"/>
          <w:sz w:val="48"/>
          <w:szCs w:val="48"/>
          <w:highlight w:val="none"/>
          <w:u w:val="none"/>
          <w:lang w:eastAsia="zh-CN"/>
        </w:rPr>
        <w:t>丽江市古城区开南街道贵峰社区菊花种苗繁育中心建设项目</w:t>
      </w:r>
    </w:p>
    <w:p w14:paraId="6101BAA3">
      <w:pPr>
        <w:pStyle w:val="8"/>
        <w:shd w:val="clear" w:color="auto" w:fill="auto"/>
        <w:spacing w:line="780" w:lineRule="exact"/>
        <w:jc w:val="center"/>
        <w:rPr>
          <w:rFonts w:hint="eastAsia" w:ascii="宋体" w:hAnsi="宋体" w:eastAsia="宋体" w:cs="宋体"/>
          <w:b/>
          <w:color w:val="auto"/>
          <w:sz w:val="72"/>
          <w:szCs w:val="72"/>
          <w:highlight w:val="none"/>
        </w:rPr>
      </w:pPr>
    </w:p>
    <w:p w14:paraId="252D75C8">
      <w:pPr>
        <w:pStyle w:val="8"/>
        <w:shd w:val="clear" w:color="auto" w:fill="auto"/>
        <w:spacing w:line="780" w:lineRule="exact"/>
        <w:jc w:val="center"/>
        <w:rPr>
          <w:rFonts w:hint="eastAsia" w:ascii="宋体" w:hAnsi="宋体" w:eastAsia="宋体" w:cs="宋体"/>
          <w:b/>
          <w:color w:val="auto"/>
          <w:sz w:val="72"/>
          <w:szCs w:val="72"/>
          <w:highlight w:val="none"/>
        </w:rPr>
      </w:pPr>
    </w:p>
    <w:p w14:paraId="25E42327">
      <w:pPr>
        <w:pStyle w:val="8"/>
        <w:shd w:val="clear" w:color="auto" w:fill="auto"/>
        <w:spacing w:line="780" w:lineRule="exact"/>
        <w:jc w:val="center"/>
        <w:rPr>
          <w:rFonts w:hint="eastAsia" w:ascii="宋体" w:hAnsi="宋体" w:eastAsia="宋体" w:cs="宋体"/>
          <w:b/>
          <w:color w:val="auto"/>
          <w:sz w:val="72"/>
          <w:szCs w:val="72"/>
          <w:highlight w:val="none"/>
        </w:rPr>
      </w:pPr>
    </w:p>
    <w:p w14:paraId="41632D57">
      <w:pPr>
        <w:shd w:val="clear" w:color="auto" w:fill="auto"/>
        <w:rPr>
          <w:rFonts w:hint="eastAsia"/>
          <w:color w:val="auto"/>
          <w:highlight w:val="none"/>
        </w:rPr>
      </w:pPr>
    </w:p>
    <w:p w14:paraId="488F76E2">
      <w:pPr>
        <w:widowControl/>
        <w:shd w:val="clear" w:color="auto" w:fill="auto"/>
        <w:spacing w:line="720" w:lineRule="auto"/>
        <w:jc w:val="center"/>
        <w:rPr>
          <w:rFonts w:hint="eastAsia" w:ascii="宋体" w:hAnsi="宋体" w:eastAsia="宋体" w:cs="宋体"/>
          <w:b/>
          <w:snapToGrid/>
          <w:color w:val="auto"/>
          <w:kern w:val="0"/>
          <w:sz w:val="72"/>
          <w:szCs w:val="72"/>
          <w:highlight w:val="none"/>
        </w:rPr>
      </w:pPr>
      <w:r>
        <w:rPr>
          <w:rFonts w:hint="eastAsia" w:ascii="宋体" w:hAnsi="宋体" w:eastAsia="宋体" w:cs="宋体"/>
          <w:b/>
          <w:snapToGrid/>
          <w:color w:val="auto"/>
          <w:kern w:val="0"/>
          <w:sz w:val="72"/>
          <w:szCs w:val="72"/>
          <w:highlight w:val="none"/>
        </w:rPr>
        <w:t>响 应 文 件</w:t>
      </w:r>
    </w:p>
    <w:p w14:paraId="686C2C0F">
      <w:pPr>
        <w:widowControl/>
        <w:shd w:val="clear" w:color="auto" w:fill="auto"/>
        <w:spacing w:line="720" w:lineRule="auto"/>
        <w:jc w:val="center"/>
        <w:rPr>
          <w:rFonts w:hint="eastAsia" w:ascii="宋体" w:hAnsi="宋体" w:eastAsia="宋体" w:cs="宋体"/>
          <w:b/>
          <w:snapToGrid/>
          <w:color w:val="auto"/>
          <w:kern w:val="0"/>
          <w:sz w:val="28"/>
          <w:szCs w:val="28"/>
          <w:highlight w:val="none"/>
          <w:lang w:eastAsia="zh-CN"/>
        </w:rPr>
      </w:pPr>
      <w:r>
        <w:rPr>
          <w:rFonts w:hint="eastAsia" w:ascii="宋体" w:hAnsi="宋体" w:eastAsia="宋体" w:cs="宋体"/>
          <w:b/>
          <w:snapToGrid/>
          <w:color w:val="auto"/>
          <w:kern w:val="0"/>
          <w:sz w:val="28"/>
          <w:szCs w:val="28"/>
          <w:highlight w:val="none"/>
        </w:rPr>
        <w:t>项目编号：</w:t>
      </w:r>
    </w:p>
    <w:p w14:paraId="3C2D19A6">
      <w:pPr>
        <w:pStyle w:val="8"/>
        <w:shd w:val="clear" w:color="auto" w:fill="auto"/>
        <w:spacing w:line="500" w:lineRule="exact"/>
        <w:jc w:val="center"/>
        <w:rPr>
          <w:rFonts w:hint="eastAsia" w:ascii="宋体" w:hAnsi="宋体" w:eastAsia="宋体" w:cs="宋体"/>
          <w:b/>
          <w:color w:val="auto"/>
          <w:sz w:val="28"/>
          <w:szCs w:val="28"/>
          <w:highlight w:val="none"/>
        </w:rPr>
      </w:pPr>
    </w:p>
    <w:p w14:paraId="6A00F64A">
      <w:pPr>
        <w:shd w:val="clear" w:color="auto" w:fill="auto"/>
        <w:rPr>
          <w:rFonts w:hint="eastAsia" w:ascii="宋体" w:hAnsi="宋体" w:eastAsia="宋体" w:cs="宋体"/>
          <w:color w:val="auto"/>
          <w:highlight w:val="none"/>
        </w:rPr>
      </w:pPr>
    </w:p>
    <w:p w14:paraId="73192277">
      <w:pPr>
        <w:shd w:val="clear" w:color="auto" w:fill="auto"/>
        <w:rPr>
          <w:rFonts w:hint="eastAsia" w:ascii="宋体" w:hAnsi="宋体" w:eastAsia="宋体" w:cs="宋体"/>
          <w:color w:val="auto"/>
          <w:highlight w:val="none"/>
        </w:rPr>
      </w:pPr>
    </w:p>
    <w:p w14:paraId="701DC8C6">
      <w:pPr>
        <w:pStyle w:val="8"/>
        <w:shd w:val="clear" w:color="auto" w:fill="auto"/>
        <w:spacing w:line="500" w:lineRule="exact"/>
        <w:rPr>
          <w:rFonts w:hint="eastAsia" w:ascii="宋体" w:hAnsi="宋体" w:eastAsia="宋体" w:cs="宋体"/>
          <w:b/>
          <w:color w:val="auto"/>
          <w:sz w:val="28"/>
          <w:szCs w:val="28"/>
          <w:highlight w:val="none"/>
        </w:rPr>
      </w:pPr>
    </w:p>
    <w:p w14:paraId="1B0908C8">
      <w:pPr>
        <w:shd w:val="clear" w:color="auto" w:fill="auto"/>
        <w:rPr>
          <w:rFonts w:hint="eastAsia" w:ascii="宋体" w:hAnsi="宋体" w:eastAsia="宋体" w:cs="宋体"/>
          <w:color w:val="auto"/>
          <w:highlight w:val="none"/>
        </w:rPr>
      </w:pPr>
    </w:p>
    <w:p w14:paraId="790E874B">
      <w:pPr>
        <w:pStyle w:val="8"/>
        <w:shd w:val="clear" w:color="auto" w:fill="auto"/>
        <w:spacing w:line="500" w:lineRule="exact"/>
        <w:jc w:val="center"/>
        <w:rPr>
          <w:rFonts w:hint="eastAsia" w:ascii="宋体" w:hAnsi="宋体" w:eastAsia="宋体" w:cs="宋体"/>
          <w:b/>
          <w:color w:val="auto"/>
          <w:sz w:val="72"/>
          <w:szCs w:val="72"/>
          <w:highlight w:val="none"/>
        </w:rPr>
      </w:pPr>
    </w:p>
    <w:p w14:paraId="4505D196">
      <w:pPr>
        <w:shd w:val="clear" w:color="auto" w:fill="auto"/>
        <w:rPr>
          <w:rFonts w:hint="eastAsia" w:ascii="宋体" w:hAnsi="宋体" w:eastAsia="宋体" w:cs="宋体"/>
          <w:color w:val="auto"/>
          <w:highlight w:val="none"/>
        </w:rPr>
      </w:pPr>
    </w:p>
    <w:p w14:paraId="3AE5BC85">
      <w:pPr>
        <w:shd w:val="clear" w:color="auto" w:fill="auto"/>
        <w:rPr>
          <w:rFonts w:hint="eastAsia" w:ascii="宋体" w:hAnsi="宋体" w:eastAsia="宋体" w:cs="宋体"/>
          <w:color w:val="auto"/>
          <w:highlight w:val="none"/>
        </w:rPr>
      </w:pPr>
    </w:p>
    <w:p w14:paraId="029128F4">
      <w:pPr>
        <w:widowControl/>
        <w:shd w:val="clear" w:color="auto" w:fill="auto"/>
        <w:spacing w:line="480" w:lineRule="auto"/>
        <w:jc w:val="left"/>
        <w:rPr>
          <w:rFonts w:hint="eastAsia" w:ascii="宋体" w:hAnsi="宋体" w:eastAsia="宋体" w:cs="宋体"/>
          <w:snapToGrid/>
          <w:color w:val="auto"/>
          <w:kern w:val="0"/>
          <w:sz w:val="30"/>
          <w:szCs w:val="30"/>
          <w:highlight w:val="none"/>
        </w:rPr>
      </w:pPr>
    </w:p>
    <w:p w14:paraId="6C09A91B">
      <w:pPr>
        <w:widowControl/>
        <w:shd w:val="clear" w:color="auto" w:fill="auto"/>
        <w:spacing w:line="480" w:lineRule="auto"/>
        <w:ind w:firstLine="600" w:firstLineChars="200"/>
        <w:jc w:val="left"/>
        <w:rPr>
          <w:rFonts w:hint="eastAsia" w:ascii="宋体" w:hAnsi="宋体" w:eastAsia="宋体" w:cs="宋体"/>
          <w:snapToGrid/>
          <w:color w:val="auto"/>
          <w:kern w:val="0"/>
          <w:sz w:val="30"/>
          <w:szCs w:val="30"/>
          <w:highlight w:val="none"/>
        </w:rPr>
      </w:pPr>
      <w:r>
        <w:rPr>
          <w:rFonts w:hint="eastAsia" w:ascii="宋体" w:hAnsi="宋体" w:eastAsia="宋体" w:cs="宋体"/>
          <w:snapToGrid/>
          <w:color w:val="auto"/>
          <w:kern w:val="0"/>
          <w:sz w:val="30"/>
          <w:szCs w:val="30"/>
          <w:highlight w:val="none"/>
        </w:rPr>
        <w:t>供应商：</w:t>
      </w:r>
      <w:r>
        <w:rPr>
          <w:rFonts w:hint="eastAsia" w:ascii="宋体" w:hAnsi="宋体" w:eastAsia="宋体" w:cs="宋体"/>
          <w:snapToGrid/>
          <w:color w:val="auto"/>
          <w:kern w:val="0"/>
          <w:sz w:val="30"/>
          <w:szCs w:val="30"/>
          <w:highlight w:val="none"/>
          <w:u w:val="single"/>
        </w:rPr>
        <w:t xml:space="preserve">                                </w:t>
      </w:r>
      <w:r>
        <w:rPr>
          <w:rFonts w:hint="eastAsia" w:ascii="宋体" w:hAnsi="宋体" w:eastAsia="宋体" w:cs="宋体"/>
          <w:snapToGrid/>
          <w:color w:val="auto"/>
          <w:kern w:val="0"/>
          <w:sz w:val="30"/>
          <w:szCs w:val="30"/>
          <w:highlight w:val="none"/>
        </w:rPr>
        <w:t>（</w:t>
      </w:r>
      <w:bookmarkStart w:id="922" w:name="_Hlk122612079"/>
      <w:r>
        <w:rPr>
          <w:rFonts w:hint="eastAsia" w:ascii="宋体" w:hAnsi="宋体" w:eastAsia="宋体" w:cs="宋体"/>
          <w:snapToGrid/>
          <w:color w:val="auto"/>
          <w:kern w:val="0"/>
          <w:sz w:val="30"/>
          <w:szCs w:val="30"/>
          <w:highlight w:val="none"/>
        </w:rPr>
        <w:t>电子签章</w:t>
      </w:r>
      <w:bookmarkEnd w:id="922"/>
      <w:r>
        <w:rPr>
          <w:rFonts w:hint="eastAsia" w:ascii="宋体" w:hAnsi="宋体" w:eastAsia="宋体" w:cs="宋体"/>
          <w:snapToGrid/>
          <w:color w:val="auto"/>
          <w:kern w:val="0"/>
          <w:sz w:val="30"/>
          <w:szCs w:val="30"/>
          <w:highlight w:val="none"/>
        </w:rPr>
        <w:t>）</w:t>
      </w:r>
    </w:p>
    <w:p w14:paraId="0C92C5AB">
      <w:pPr>
        <w:widowControl/>
        <w:shd w:val="clear" w:color="auto" w:fill="auto"/>
        <w:spacing w:line="480" w:lineRule="auto"/>
        <w:ind w:firstLine="600" w:firstLineChars="200"/>
        <w:jc w:val="left"/>
        <w:rPr>
          <w:rFonts w:hint="eastAsia" w:ascii="宋体" w:hAnsi="宋体" w:eastAsia="宋体" w:cs="宋体"/>
          <w:snapToGrid/>
          <w:color w:val="auto"/>
          <w:kern w:val="0"/>
          <w:sz w:val="30"/>
          <w:szCs w:val="30"/>
          <w:highlight w:val="none"/>
        </w:rPr>
      </w:pPr>
      <w:r>
        <w:rPr>
          <w:rFonts w:hint="eastAsia" w:ascii="宋体" w:hAnsi="宋体" w:eastAsia="宋体" w:cs="宋体"/>
          <w:snapToGrid/>
          <w:color w:val="auto"/>
          <w:kern w:val="0"/>
          <w:sz w:val="30"/>
          <w:szCs w:val="30"/>
          <w:highlight w:val="none"/>
        </w:rPr>
        <w:t>法定代表人：</w:t>
      </w:r>
      <w:r>
        <w:rPr>
          <w:rFonts w:hint="eastAsia" w:ascii="宋体" w:hAnsi="宋体" w:eastAsia="宋体" w:cs="宋体"/>
          <w:snapToGrid/>
          <w:color w:val="auto"/>
          <w:kern w:val="0"/>
          <w:sz w:val="30"/>
          <w:szCs w:val="30"/>
          <w:highlight w:val="none"/>
          <w:u w:val="single"/>
        </w:rPr>
        <w:t xml:space="preserve">                </w:t>
      </w:r>
      <w:r>
        <w:rPr>
          <w:rFonts w:hint="eastAsia" w:ascii="宋体" w:hAnsi="宋体" w:eastAsia="宋体" w:cs="宋体"/>
          <w:snapToGrid/>
          <w:color w:val="auto"/>
          <w:kern w:val="0"/>
          <w:sz w:val="30"/>
          <w:szCs w:val="30"/>
          <w:highlight w:val="none"/>
        </w:rPr>
        <w:t>（电子签章）</w:t>
      </w:r>
    </w:p>
    <w:p w14:paraId="3DD6601B">
      <w:pPr>
        <w:widowControl/>
        <w:shd w:val="clear" w:color="auto" w:fill="auto"/>
        <w:spacing w:line="480" w:lineRule="auto"/>
        <w:ind w:firstLine="600" w:firstLineChars="200"/>
        <w:jc w:val="left"/>
        <w:rPr>
          <w:rFonts w:hint="eastAsia" w:ascii="宋体" w:hAnsi="宋体" w:eastAsia="宋体" w:cs="宋体"/>
          <w:color w:val="auto"/>
          <w:highlight w:val="none"/>
        </w:rPr>
      </w:pPr>
      <w:r>
        <w:rPr>
          <w:rFonts w:hint="eastAsia" w:ascii="宋体" w:hAnsi="宋体" w:eastAsia="宋体" w:cs="宋体"/>
          <w:snapToGrid/>
          <w:color w:val="auto"/>
          <w:kern w:val="0"/>
          <w:sz w:val="30"/>
          <w:szCs w:val="30"/>
          <w:highlight w:val="none"/>
        </w:rPr>
        <w:t>日期：</w:t>
      </w:r>
      <w:r>
        <w:rPr>
          <w:rFonts w:hint="eastAsia" w:ascii="宋体" w:hAnsi="宋体" w:eastAsia="宋体" w:cs="宋体"/>
          <w:snapToGrid/>
          <w:color w:val="auto"/>
          <w:kern w:val="0"/>
          <w:sz w:val="30"/>
          <w:szCs w:val="30"/>
          <w:highlight w:val="none"/>
          <w:u w:val="single"/>
        </w:rPr>
        <w:t xml:space="preserve">        </w:t>
      </w:r>
      <w:r>
        <w:rPr>
          <w:rFonts w:hint="eastAsia" w:ascii="宋体" w:hAnsi="宋体" w:eastAsia="宋体" w:cs="宋体"/>
          <w:snapToGrid/>
          <w:color w:val="auto"/>
          <w:kern w:val="0"/>
          <w:sz w:val="30"/>
          <w:szCs w:val="30"/>
          <w:highlight w:val="none"/>
        </w:rPr>
        <w:t>年</w:t>
      </w:r>
      <w:r>
        <w:rPr>
          <w:rFonts w:hint="eastAsia" w:ascii="宋体" w:hAnsi="宋体" w:eastAsia="宋体" w:cs="宋体"/>
          <w:snapToGrid/>
          <w:color w:val="auto"/>
          <w:kern w:val="0"/>
          <w:sz w:val="30"/>
          <w:szCs w:val="30"/>
          <w:highlight w:val="none"/>
          <w:u w:val="single"/>
        </w:rPr>
        <w:t xml:space="preserve">     </w:t>
      </w:r>
      <w:r>
        <w:rPr>
          <w:rFonts w:hint="eastAsia" w:ascii="宋体" w:hAnsi="宋体" w:eastAsia="宋体" w:cs="宋体"/>
          <w:snapToGrid/>
          <w:color w:val="auto"/>
          <w:kern w:val="0"/>
          <w:sz w:val="30"/>
          <w:szCs w:val="30"/>
          <w:highlight w:val="none"/>
        </w:rPr>
        <w:t>月</w:t>
      </w:r>
      <w:r>
        <w:rPr>
          <w:rFonts w:hint="eastAsia" w:ascii="宋体" w:hAnsi="宋体" w:eastAsia="宋体" w:cs="宋体"/>
          <w:snapToGrid/>
          <w:color w:val="auto"/>
          <w:kern w:val="0"/>
          <w:sz w:val="30"/>
          <w:szCs w:val="30"/>
          <w:highlight w:val="none"/>
          <w:u w:val="single"/>
        </w:rPr>
        <w:t xml:space="preserve">     </w:t>
      </w:r>
      <w:r>
        <w:rPr>
          <w:rFonts w:hint="eastAsia" w:ascii="宋体" w:hAnsi="宋体" w:eastAsia="宋体" w:cs="宋体"/>
          <w:snapToGrid/>
          <w:color w:val="auto"/>
          <w:kern w:val="0"/>
          <w:sz w:val="30"/>
          <w:szCs w:val="30"/>
          <w:highlight w:val="none"/>
        </w:rPr>
        <w:t>日</w:t>
      </w:r>
    </w:p>
    <w:p w14:paraId="5EB66852">
      <w:pPr>
        <w:shd w:val="clear" w:color="auto" w:fill="auto"/>
        <w:jc w:val="center"/>
        <w:outlineLvl w:val="1"/>
        <w:rPr>
          <w:rFonts w:hint="eastAsia" w:ascii="宋体" w:hAnsi="宋体" w:eastAsia="宋体" w:cs="宋体"/>
          <w:b/>
          <w:bCs/>
          <w:color w:val="auto"/>
          <w:sz w:val="28"/>
          <w:szCs w:val="36"/>
          <w:highlight w:val="none"/>
          <w:lang w:val="en-US" w:eastAsia="zh-CN"/>
        </w:rPr>
      </w:pPr>
      <w:r>
        <w:rPr>
          <w:rFonts w:hint="eastAsia" w:ascii="宋体" w:hAnsi="宋体" w:eastAsia="宋体" w:cs="宋体"/>
          <w:b/>
          <w:snapToGrid/>
          <w:color w:val="auto"/>
          <w:kern w:val="11"/>
          <w:sz w:val="32"/>
          <w:szCs w:val="32"/>
          <w:highlight w:val="none"/>
        </w:rPr>
        <w:br w:type="page"/>
      </w:r>
      <w:bookmarkStart w:id="923" w:name="_Toc1169"/>
      <w:bookmarkStart w:id="924" w:name="_Toc16959"/>
      <w:r>
        <w:rPr>
          <w:rFonts w:hint="eastAsia" w:hAnsi="宋体" w:cs="宋体"/>
          <w:b/>
          <w:bCs/>
          <w:color w:val="auto"/>
          <w:sz w:val="28"/>
          <w:szCs w:val="36"/>
          <w:highlight w:val="none"/>
          <w:lang w:val="en-US" w:eastAsia="zh-CN"/>
        </w:rPr>
        <w:t>第一部分</w:t>
      </w:r>
      <w:r>
        <w:rPr>
          <w:rFonts w:hint="eastAsia" w:ascii="宋体" w:hAnsi="宋体" w:eastAsia="宋体" w:cs="宋体"/>
          <w:b/>
          <w:bCs/>
          <w:color w:val="auto"/>
          <w:sz w:val="28"/>
          <w:szCs w:val="36"/>
          <w:highlight w:val="none"/>
        </w:rPr>
        <w:t>资格证明文件格式</w:t>
      </w:r>
    </w:p>
    <w:p w14:paraId="6F485EA1">
      <w:pPr>
        <w:keepLines w:val="0"/>
        <w:shd w:val="clear" w:color="auto" w:fill="auto"/>
        <w:spacing w:before="240" w:after="240" w:line="360" w:lineRule="auto"/>
        <w:jc w:val="center"/>
        <w:outlineLvl w:val="9"/>
        <w:rPr>
          <w:rFonts w:hint="eastAsia" w:ascii="宋体" w:hAnsi="宋体" w:eastAsia="宋体" w:cs="宋体"/>
          <w:b/>
          <w:bCs w:val="0"/>
          <w:color w:val="auto"/>
          <w:kern w:val="0"/>
          <w:sz w:val="30"/>
          <w:szCs w:val="30"/>
          <w:highlight w:val="none"/>
          <w:lang w:val="en-US"/>
        </w:rPr>
      </w:pPr>
      <w:bookmarkStart w:id="925" w:name="_Toc149850521"/>
      <w:bookmarkStart w:id="926" w:name="_Toc125054720"/>
      <w:r>
        <w:rPr>
          <w:rFonts w:hint="eastAsia" w:ascii="宋体" w:hAnsi="宋体" w:eastAsia="宋体" w:cs="宋体"/>
          <w:b/>
          <w:bCs w:val="0"/>
          <w:color w:val="auto"/>
          <w:kern w:val="0"/>
          <w:sz w:val="30"/>
          <w:szCs w:val="30"/>
          <w:highlight w:val="none"/>
          <w:lang w:val="en-US"/>
        </w:rPr>
        <w:t>资格证明文件</w:t>
      </w:r>
      <w:bookmarkEnd w:id="925"/>
      <w:bookmarkEnd w:id="926"/>
    </w:p>
    <w:p w14:paraId="2C8F8A17">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1.供应商应填写和提交下述规定的有关资料。</w:t>
      </w:r>
    </w:p>
    <w:p w14:paraId="64525D1B">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2.所附格式要求填写的全部内容都必须填写。</w:t>
      </w:r>
    </w:p>
    <w:p w14:paraId="10D9799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3.供应商应保证全部声明和填写的内容是真实的和正确的。</w:t>
      </w:r>
    </w:p>
    <w:p w14:paraId="1F5882CB">
      <w:pPr>
        <w:shd w:val="clear" w:color="auto" w:fill="auto"/>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4.供应商提交的材料将被保密，但不退还。</w:t>
      </w:r>
    </w:p>
    <w:p w14:paraId="33F89B2C">
      <w:pPr>
        <w:pStyle w:val="8"/>
        <w:shd w:val="clear" w:color="auto" w:fill="auto"/>
        <w:autoSpaceDE w:val="0"/>
        <w:autoSpaceDN w:val="0"/>
        <w:adjustRightInd w:val="0"/>
        <w:spacing w:line="360" w:lineRule="auto"/>
        <w:jc w:val="left"/>
        <w:rPr>
          <w:rFonts w:hint="eastAsia" w:ascii="宋体" w:hAnsi="宋体" w:eastAsia="宋体" w:cs="宋体"/>
          <w:b/>
          <w:color w:val="auto"/>
          <w:kern w:val="0"/>
          <w:sz w:val="28"/>
          <w:szCs w:val="28"/>
          <w:highlight w:val="none"/>
        </w:rPr>
      </w:pPr>
    </w:p>
    <w:p w14:paraId="7B09226E">
      <w:pP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br w:type="page"/>
      </w:r>
    </w:p>
    <w:p w14:paraId="6E5B571A">
      <w:pPr>
        <w:shd w:val="clear" w:color="auto" w:fill="auto"/>
        <w:outlineLvl w:val="2"/>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格式</w:t>
      </w:r>
      <w:r>
        <w:rPr>
          <w:rFonts w:hint="eastAsia" w:hAnsi="宋体" w:cs="宋体"/>
          <w:b/>
          <w:bCs/>
          <w:color w:val="auto"/>
          <w:sz w:val="28"/>
          <w:szCs w:val="36"/>
          <w:highlight w:val="none"/>
          <w:lang w:val="en-US" w:eastAsia="zh-CN"/>
        </w:rPr>
        <w:t>1</w:t>
      </w:r>
      <w:r>
        <w:rPr>
          <w:rFonts w:hint="eastAsia" w:ascii="宋体" w:hAnsi="宋体" w:eastAsia="宋体" w:cs="宋体"/>
          <w:b/>
          <w:bCs/>
          <w:color w:val="auto"/>
          <w:sz w:val="28"/>
          <w:szCs w:val="36"/>
          <w:highlight w:val="none"/>
        </w:rPr>
        <w:t>-1具有独立承担民事责任的能力</w:t>
      </w:r>
    </w:p>
    <w:p w14:paraId="57D26C2F">
      <w:pPr>
        <w:pageBreakBefore w:val="0"/>
        <w:shd w:val="clear" w:color="auto" w:fill="auto"/>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color w:val="auto"/>
          <w:kern w:val="0"/>
          <w:sz w:val="28"/>
          <w:szCs w:val="28"/>
          <w:highlight w:val="none"/>
        </w:rPr>
      </w:pPr>
      <w:r>
        <w:rPr>
          <w:rFonts w:hint="eastAsia" w:ascii="宋体" w:hAnsi="宋体"/>
          <w:color w:val="auto"/>
          <w:sz w:val="24"/>
          <w:szCs w:val="24"/>
          <w:highlight w:val="none"/>
        </w:rPr>
        <w:t>具有独立承担民事责任的能力</w:t>
      </w:r>
      <w:r>
        <w:rPr>
          <w:rFonts w:hint="eastAsia" w:hAnsi="宋体"/>
          <w:color w:val="auto"/>
          <w:sz w:val="24"/>
          <w:szCs w:val="24"/>
          <w:highlight w:val="none"/>
          <w:lang w:eastAsia="zh-CN"/>
        </w:rPr>
        <w:t>；按照竞争性磋商文件要求提供证明资料。</w:t>
      </w:r>
    </w:p>
    <w:p w14:paraId="7F8DC090">
      <w:pPr>
        <w:shd w:val="clear" w:color="auto" w:fill="auto"/>
        <w:rPr>
          <w:rFonts w:hint="eastAsia" w:ascii="宋体" w:hAnsi="宋体" w:eastAsia="宋体" w:cs="宋体"/>
          <w:b/>
          <w:bCs/>
          <w:color w:val="auto"/>
          <w:sz w:val="28"/>
          <w:szCs w:val="36"/>
          <w:highlight w:val="none"/>
        </w:rPr>
      </w:pPr>
    </w:p>
    <w:p w14:paraId="3FE74213">
      <w:pPr>
        <w:shd w:val="clear" w:color="auto" w:fill="auto"/>
        <w:outlineLvl w:val="2"/>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格式</w:t>
      </w:r>
      <w:r>
        <w:rPr>
          <w:rFonts w:hint="eastAsia" w:hAnsi="宋体" w:cs="宋体"/>
          <w:b/>
          <w:bCs/>
          <w:color w:val="auto"/>
          <w:sz w:val="28"/>
          <w:szCs w:val="36"/>
          <w:highlight w:val="none"/>
          <w:lang w:val="en-US" w:eastAsia="zh-CN"/>
        </w:rPr>
        <w:t>1</w:t>
      </w:r>
      <w:r>
        <w:rPr>
          <w:rFonts w:hint="eastAsia" w:ascii="宋体" w:hAnsi="宋体" w:eastAsia="宋体" w:cs="宋体"/>
          <w:b/>
          <w:bCs/>
          <w:color w:val="auto"/>
          <w:sz w:val="28"/>
          <w:szCs w:val="36"/>
          <w:highlight w:val="none"/>
        </w:rPr>
        <w:t>-2具有良好的商业信誉和健全的财务会计制度</w:t>
      </w:r>
    </w:p>
    <w:p w14:paraId="2A91A566">
      <w:pPr>
        <w:pageBreakBefore w:val="0"/>
        <w:shd w:val="clear" w:color="auto" w:fill="auto"/>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bCs/>
          <w:color w:val="auto"/>
          <w:sz w:val="28"/>
          <w:szCs w:val="36"/>
          <w:highlight w:val="none"/>
        </w:rPr>
      </w:pPr>
      <w:r>
        <w:rPr>
          <w:rFonts w:hint="eastAsia" w:ascii="宋体" w:hAnsi="宋体" w:eastAsia="宋体" w:cs="宋体"/>
          <w:color w:val="auto"/>
          <w:sz w:val="24"/>
          <w:szCs w:val="24"/>
          <w:highlight w:val="none"/>
        </w:rPr>
        <w:t>具有良好的商业信誉和健全的财务会计制度</w:t>
      </w:r>
      <w:r>
        <w:rPr>
          <w:rFonts w:hint="eastAsia" w:hAnsi="宋体" w:cs="宋体"/>
          <w:color w:val="auto"/>
          <w:sz w:val="24"/>
          <w:szCs w:val="24"/>
          <w:highlight w:val="none"/>
          <w:lang w:eastAsia="zh-CN"/>
        </w:rPr>
        <w:t>；按照竞争性磋商文件要求提供证明资料</w:t>
      </w:r>
      <w:r>
        <w:rPr>
          <w:rFonts w:hint="eastAsia" w:ascii="宋体" w:hAnsi="宋体" w:eastAsia="宋体" w:cs="宋体"/>
          <w:b w:val="0"/>
          <w:bCs w:val="0"/>
          <w:color w:val="auto"/>
          <w:sz w:val="24"/>
          <w:szCs w:val="24"/>
          <w:highlight w:val="none"/>
        </w:rPr>
        <w:t>。</w:t>
      </w:r>
    </w:p>
    <w:p w14:paraId="1D277FA1">
      <w:pPr>
        <w:shd w:val="clear" w:color="auto" w:fill="auto"/>
        <w:rPr>
          <w:rFonts w:hint="eastAsia" w:ascii="宋体" w:hAnsi="宋体" w:eastAsia="宋体" w:cs="宋体"/>
          <w:b/>
          <w:bCs/>
          <w:color w:val="auto"/>
          <w:sz w:val="28"/>
          <w:szCs w:val="36"/>
          <w:highlight w:val="none"/>
        </w:rPr>
      </w:pPr>
    </w:p>
    <w:p w14:paraId="5B9BE798">
      <w:pPr>
        <w:shd w:val="clear" w:color="auto" w:fill="auto"/>
        <w:outlineLvl w:val="2"/>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格式</w:t>
      </w:r>
      <w:r>
        <w:rPr>
          <w:rFonts w:hint="eastAsia" w:hAnsi="宋体" w:cs="宋体"/>
          <w:b/>
          <w:bCs/>
          <w:color w:val="auto"/>
          <w:sz w:val="28"/>
          <w:szCs w:val="36"/>
          <w:highlight w:val="none"/>
          <w:lang w:val="en-US" w:eastAsia="zh-CN"/>
        </w:rPr>
        <w:t>1</w:t>
      </w:r>
      <w:r>
        <w:rPr>
          <w:rFonts w:hint="eastAsia" w:ascii="宋体" w:hAnsi="宋体" w:eastAsia="宋体" w:cs="宋体"/>
          <w:b/>
          <w:bCs/>
          <w:color w:val="auto"/>
          <w:sz w:val="28"/>
          <w:szCs w:val="36"/>
          <w:highlight w:val="none"/>
        </w:rPr>
        <w:t>-3具有履行合同所必需的设备和专业技术能</w:t>
      </w:r>
    </w:p>
    <w:p w14:paraId="38073635">
      <w:pPr>
        <w:pageBreakBefore w:val="0"/>
        <w:shd w:val="clear" w:color="auto" w:fill="auto"/>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4"/>
          <w:szCs w:val="24"/>
          <w:highlight w:val="none"/>
        </w:rPr>
        <w:t>具有履行合同所必需的设备和专业技术能力</w:t>
      </w:r>
      <w:r>
        <w:rPr>
          <w:rFonts w:hint="eastAsia" w:hAnsi="宋体"/>
          <w:color w:val="auto"/>
          <w:sz w:val="24"/>
          <w:szCs w:val="24"/>
          <w:highlight w:val="none"/>
          <w:lang w:eastAsia="zh-CN"/>
        </w:rPr>
        <w:t>；按照竞争性磋商文件要求提供证明资料。</w:t>
      </w:r>
    </w:p>
    <w:p w14:paraId="1F1054D2">
      <w:pPr>
        <w:shd w:val="clear" w:color="auto" w:fill="auto"/>
        <w:rPr>
          <w:rFonts w:hint="eastAsia" w:ascii="宋体" w:hAnsi="宋体" w:eastAsia="宋体" w:cs="宋体"/>
          <w:color w:val="auto"/>
          <w:highlight w:val="none"/>
        </w:rPr>
      </w:pPr>
    </w:p>
    <w:p w14:paraId="06417539">
      <w:pPr>
        <w:shd w:val="clear" w:color="auto" w:fill="auto"/>
        <w:outlineLvl w:val="2"/>
        <w:rPr>
          <w:rFonts w:hint="eastAsia" w:ascii="宋体" w:hAnsi="宋体" w:eastAsia="宋体" w:cs="宋体"/>
          <w:b/>
          <w:bCs/>
          <w:color w:val="auto"/>
          <w:sz w:val="28"/>
          <w:szCs w:val="36"/>
          <w:highlight w:val="none"/>
        </w:rPr>
      </w:pPr>
      <w:bookmarkStart w:id="927" w:name="_Hlk110844487"/>
      <w:r>
        <w:rPr>
          <w:rFonts w:hint="eastAsia" w:ascii="宋体" w:hAnsi="宋体" w:eastAsia="宋体" w:cs="宋体"/>
          <w:b/>
          <w:bCs/>
          <w:color w:val="auto"/>
          <w:sz w:val="28"/>
          <w:szCs w:val="36"/>
          <w:highlight w:val="none"/>
        </w:rPr>
        <w:t>格式</w:t>
      </w:r>
      <w:r>
        <w:rPr>
          <w:rFonts w:hint="eastAsia" w:hAnsi="宋体" w:cs="宋体"/>
          <w:b/>
          <w:bCs/>
          <w:color w:val="auto"/>
          <w:sz w:val="28"/>
          <w:szCs w:val="36"/>
          <w:highlight w:val="none"/>
          <w:lang w:val="en-US" w:eastAsia="zh-CN"/>
        </w:rPr>
        <w:t>1</w:t>
      </w:r>
      <w:r>
        <w:rPr>
          <w:rFonts w:hint="eastAsia" w:ascii="宋体" w:hAnsi="宋体" w:eastAsia="宋体" w:cs="宋体"/>
          <w:b/>
          <w:bCs/>
          <w:color w:val="auto"/>
          <w:sz w:val="28"/>
          <w:szCs w:val="36"/>
          <w:highlight w:val="none"/>
        </w:rPr>
        <w:t>-4有依法缴纳税收和社会保障资金的良好记录</w:t>
      </w:r>
    </w:p>
    <w:p w14:paraId="1E287C19">
      <w:pPr>
        <w:keepNext w:val="0"/>
        <w:keepLines w:val="0"/>
        <w:pageBreakBefore w:val="0"/>
        <w:widowControl/>
        <w:shd w:val="clear" w:color="auto" w:fill="auto"/>
        <w:kinsoku/>
        <w:wordWrap/>
        <w:overflowPunct/>
        <w:topLinePunct w:val="0"/>
        <w:bidi w:val="0"/>
        <w:spacing w:line="360" w:lineRule="auto"/>
        <w:ind w:firstLine="48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 w:val="24"/>
          <w:szCs w:val="24"/>
          <w:highlight w:val="none"/>
        </w:rPr>
        <w:t>有依法缴纳税收</w:t>
      </w:r>
      <w:r>
        <w:rPr>
          <w:rFonts w:hint="eastAsia" w:ascii="宋体" w:hAnsi="宋体" w:eastAsia="宋体" w:cs="宋体"/>
          <w:color w:val="auto"/>
          <w:sz w:val="24"/>
          <w:szCs w:val="24"/>
          <w:highlight w:val="none"/>
          <w:shd w:val="clear" w:color="auto" w:fill="auto"/>
        </w:rPr>
        <w:t>和社会保障资金的良好记录</w:t>
      </w:r>
      <w:r>
        <w:rPr>
          <w:rFonts w:hint="eastAsia"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按照竞争性磋商文件要求提供证明资料</w:t>
      </w:r>
      <w:r>
        <w:rPr>
          <w:rFonts w:hint="eastAsia" w:hAnsi="宋体" w:cs="宋体"/>
          <w:color w:val="auto"/>
          <w:sz w:val="24"/>
          <w:szCs w:val="24"/>
          <w:highlight w:val="none"/>
          <w:shd w:val="clear" w:color="auto" w:fill="auto"/>
          <w:lang w:eastAsia="zh-CN"/>
        </w:rPr>
        <w:t>。</w:t>
      </w:r>
    </w:p>
    <w:p w14:paraId="1615D694">
      <w:pPr>
        <w:shd w:val="clear" w:color="auto" w:fill="auto"/>
        <w:spacing w:line="360" w:lineRule="auto"/>
        <w:jc w:val="center"/>
        <w:rPr>
          <w:rFonts w:hint="eastAsia" w:ascii="宋体" w:hAnsi="宋体" w:eastAsia="宋体" w:cs="宋体"/>
          <w:bCs/>
          <w:color w:val="auto"/>
          <w:szCs w:val="21"/>
          <w:highlight w:val="none"/>
        </w:rPr>
      </w:pPr>
    </w:p>
    <w:p w14:paraId="18E09FDC">
      <w:pPr>
        <w:shd w:val="clear" w:color="auto" w:fill="auto"/>
        <w:tabs>
          <w:tab w:val="left" w:pos="432"/>
          <w:tab w:val="left" w:pos="720"/>
        </w:tabs>
        <w:adjustRightInd w:val="0"/>
        <w:snapToGrid w:val="0"/>
        <w:spacing w:before="0" w:after="0" w:line="360" w:lineRule="auto"/>
        <w:ind w:firstLine="0"/>
        <w:jc w:val="left"/>
        <w:outlineLvl w:val="2"/>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格式</w:t>
      </w:r>
      <w:r>
        <w:rPr>
          <w:rFonts w:hint="eastAsia" w:hAnsi="宋体" w:cs="宋体"/>
          <w:b/>
          <w:bCs/>
          <w:color w:val="auto"/>
          <w:sz w:val="28"/>
          <w:szCs w:val="36"/>
          <w:highlight w:val="none"/>
          <w:lang w:val="en-US" w:eastAsia="zh-CN"/>
        </w:rPr>
        <w:t>1</w:t>
      </w:r>
      <w:r>
        <w:rPr>
          <w:rFonts w:hint="eastAsia" w:ascii="宋体" w:hAnsi="宋体" w:eastAsia="宋体" w:cs="宋体"/>
          <w:b/>
          <w:bCs/>
          <w:color w:val="auto"/>
          <w:sz w:val="28"/>
          <w:szCs w:val="36"/>
          <w:highlight w:val="none"/>
        </w:rPr>
        <w:t>-5参加政府采购活动前三年内，在经营活动中没有重大违法记录</w:t>
      </w:r>
    </w:p>
    <w:p w14:paraId="7BF89792">
      <w:pPr>
        <w:pageBreakBefore w:val="0"/>
        <w:shd w:val="clear" w:color="auto" w:fill="auto"/>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color w:val="auto"/>
          <w:sz w:val="24"/>
          <w:szCs w:val="24"/>
          <w:highlight w:val="none"/>
        </w:rPr>
        <w:t>参加政府采购活动前三年内，在经营活动中没有重大违法记录</w:t>
      </w:r>
      <w:r>
        <w:rPr>
          <w:rFonts w:hint="eastAsia" w:hAnsi="宋体"/>
          <w:color w:val="auto"/>
          <w:sz w:val="24"/>
          <w:szCs w:val="24"/>
          <w:highlight w:val="none"/>
          <w:lang w:eastAsia="zh-CN"/>
        </w:rPr>
        <w:t>；按照竞争性磋商文件要求提供证明资料。</w:t>
      </w:r>
    </w:p>
    <w:p w14:paraId="52338599">
      <w:pPr>
        <w:shd w:val="clear" w:color="auto" w:fill="auto"/>
        <w:spacing w:line="360" w:lineRule="auto"/>
        <w:jc w:val="center"/>
        <w:rPr>
          <w:rFonts w:hint="eastAsia" w:ascii="宋体" w:hAnsi="宋体" w:eastAsia="宋体" w:cs="宋体"/>
          <w:b/>
          <w:bCs/>
          <w:color w:val="auto"/>
          <w:szCs w:val="21"/>
          <w:highlight w:val="none"/>
        </w:rPr>
      </w:pPr>
    </w:p>
    <w:bookmarkEnd w:id="927"/>
    <w:p w14:paraId="15C82029">
      <w:pP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br w:type="page"/>
      </w:r>
    </w:p>
    <w:p w14:paraId="221C0A83">
      <w:pPr>
        <w:shd w:val="clear" w:color="auto" w:fill="auto"/>
        <w:outlineLvl w:val="2"/>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格式</w:t>
      </w:r>
      <w:r>
        <w:rPr>
          <w:rFonts w:hint="eastAsia" w:hAnsi="宋体" w:cs="宋体"/>
          <w:b/>
          <w:bCs/>
          <w:color w:val="auto"/>
          <w:sz w:val="28"/>
          <w:szCs w:val="36"/>
          <w:highlight w:val="none"/>
          <w:lang w:val="en-US" w:eastAsia="zh-CN"/>
        </w:rPr>
        <w:t>1</w:t>
      </w:r>
      <w:r>
        <w:rPr>
          <w:rFonts w:hint="eastAsia" w:ascii="宋体" w:hAnsi="宋体" w:eastAsia="宋体" w:cs="宋体"/>
          <w:b/>
          <w:bCs/>
          <w:color w:val="auto"/>
          <w:sz w:val="28"/>
          <w:szCs w:val="36"/>
          <w:highlight w:val="none"/>
        </w:rPr>
        <w:t>-6法律、行政法规规定的其他条件</w:t>
      </w:r>
    </w:p>
    <w:p w14:paraId="0025862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法律、行政法规规定的其他条件；</w:t>
      </w:r>
    </w:p>
    <w:p w14:paraId="02269490">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①供应商未被“中国执行信息公开网”（</w:t>
      </w:r>
      <w:r>
        <w:rPr>
          <w:rFonts w:hint="eastAsia" w:ascii="宋体" w:hAnsi="宋体" w:eastAsia="宋体" w:cs="宋体"/>
          <w:color w:val="auto"/>
          <w:sz w:val="24"/>
          <w:szCs w:val="24"/>
          <w:highlight w:val="none"/>
          <w:lang w:eastAsia="zh-CN"/>
        </w:rPr>
        <w:t>https://zxgk.court.gov.cn/shixin/</w:t>
      </w:r>
      <w:r>
        <w:rPr>
          <w:rFonts w:hint="eastAsia" w:ascii="宋体" w:hAnsi="宋体" w:eastAsia="宋体" w:cs="宋体"/>
          <w:color w:val="auto"/>
          <w:sz w:val="24"/>
          <w:szCs w:val="24"/>
          <w:highlight w:val="none"/>
        </w:rPr>
        <w:t>）列入失信被执行人、“信用中国”（</w:t>
      </w:r>
      <w:r>
        <w:rPr>
          <w:rFonts w:hint="eastAsia" w:ascii="宋体" w:hAnsi="宋体" w:eastAsia="宋体" w:cs="宋体"/>
          <w:color w:val="auto"/>
          <w:sz w:val="24"/>
          <w:szCs w:val="24"/>
          <w:highlight w:val="none"/>
          <w:lang w:eastAsia="zh-CN"/>
        </w:rPr>
        <w:t>https://www.creditchina.gov.cn/</w:t>
      </w:r>
      <w:r>
        <w:rPr>
          <w:rFonts w:hint="eastAsia" w:ascii="宋体" w:hAnsi="宋体" w:eastAsia="宋体" w:cs="宋体"/>
          <w:color w:val="auto"/>
          <w:sz w:val="24"/>
          <w:szCs w:val="24"/>
          <w:highlight w:val="none"/>
        </w:rPr>
        <w:t>）列入重大税收违法失信主体、“国家企业信用信息公示系统（http://www.gsxt.gov.cn）列入严重违法失信行为记录”，</w:t>
      </w:r>
      <w:r>
        <w:rPr>
          <w:rFonts w:hint="eastAsia" w:ascii="宋体" w:hAnsi="宋体" w:eastAsia="宋体" w:cs="宋体"/>
          <w:color w:val="auto"/>
          <w:sz w:val="24"/>
          <w:szCs w:val="24"/>
          <w:highlight w:val="none"/>
          <w:lang w:eastAsia="zh-CN"/>
        </w:rPr>
        <w:t>“中国政府采购网（http://www.ccgp.gov.cn/）</w:t>
      </w:r>
      <w:r>
        <w:rPr>
          <w:rFonts w:hint="eastAsia" w:ascii="宋体" w:hAnsi="宋体" w:eastAsia="宋体" w:cs="宋体"/>
          <w:color w:val="auto"/>
          <w:sz w:val="24"/>
          <w:szCs w:val="24"/>
          <w:highlight w:val="none"/>
          <w:lang w:val="en-US" w:eastAsia="zh-CN"/>
        </w:rPr>
        <w:t>列入</w:t>
      </w:r>
      <w:r>
        <w:rPr>
          <w:rFonts w:hint="eastAsia" w:ascii="宋体" w:hAnsi="宋体" w:eastAsia="宋体" w:cs="宋体"/>
          <w:color w:val="auto"/>
          <w:sz w:val="24"/>
          <w:szCs w:val="24"/>
          <w:highlight w:val="none"/>
          <w:lang w:eastAsia="zh-CN"/>
        </w:rPr>
        <w:t>政府采购严重违法失信行为信息记录名单”，</w:t>
      </w:r>
      <w:r>
        <w:rPr>
          <w:rFonts w:hint="eastAsia" w:ascii="宋体" w:hAnsi="宋体" w:eastAsia="宋体" w:cs="宋体"/>
          <w:color w:val="auto"/>
          <w:sz w:val="24"/>
          <w:szCs w:val="24"/>
          <w:highlight w:val="none"/>
        </w:rPr>
        <w:t>提供书面声明</w:t>
      </w:r>
      <w:r>
        <w:rPr>
          <w:rFonts w:hint="eastAsia" w:ascii="宋体" w:hAnsi="宋体" w:eastAsia="宋体" w:cs="宋体"/>
          <w:color w:val="auto"/>
          <w:sz w:val="24"/>
          <w:szCs w:val="24"/>
          <w:highlight w:val="none"/>
          <w:lang w:eastAsia="zh-CN"/>
        </w:rPr>
        <w:t>。</w:t>
      </w:r>
    </w:p>
    <w:p w14:paraId="43A2B02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上述信用信息由采购代理机构负责在项目磋商会议开始前查询、存档，供应商存在不良信用记录的，其响应文件将被拒绝。</w:t>
      </w:r>
    </w:p>
    <w:p w14:paraId="0510A02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11BD870">
      <w:pPr>
        <w:shd w:val="clear" w:color="auto" w:fill="auto"/>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p>
    <w:p w14:paraId="5A184D8D">
      <w:pPr>
        <w:shd w:val="clear" w:color="auto" w:fill="auto"/>
        <w:outlineLvl w:val="2"/>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rPr>
        <w:br w:type="page"/>
      </w:r>
      <w:r>
        <w:rPr>
          <w:rFonts w:hint="eastAsia" w:ascii="宋体" w:hAnsi="宋体" w:eastAsia="宋体" w:cs="宋体"/>
          <w:b/>
          <w:bCs/>
          <w:color w:val="auto"/>
          <w:sz w:val="28"/>
          <w:szCs w:val="36"/>
          <w:highlight w:val="none"/>
        </w:rPr>
        <w:t>格式</w:t>
      </w:r>
      <w:r>
        <w:rPr>
          <w:rFonts w:hint="eastAsia" w:hAnsi="宋体" w:cs="宋体"/>
          <w:b/>
          <w:bCs/>
          <w:color w:val="auto"/>
          <w:sz w:val="28"/>
          <w:szCs w:val="36"/>
          <w:highlight w:val="none"/>
          <w:lang w:val="en-US" w:eastAsia="zh-CN"/>
        </w:rPr>
        <w:t>1</w:t>
      </w:r>
      <w:r>
        <w:rPr>
          <w:rFonts w:hint="eastAsia" w:ascii="宋体" w:hAnsi="宋体" w:eastAsia="宋体" w:cs="宋体"/>
          <w:b/>
          <w:bCs/>
          <w:color w:val="auto"/>
          <w:sz w:val="28"/>
          <w:szCs w:val="36"/>
          <w:highlight w:val="none"/>
        </w:rPr>
        <w:t>-</w:t>
      </w:r>
      <w:r>
        <w:rPr>
          <w:rFonts w:hint="eastAsia" w:ascii="宋体" w:hAnsi="宋体" w:eastAsia="宋体" w:cs="宋体"/>
          <w:b/>
          <w:bCs/>
          <w:color w:val="auto"/>
          <w:sz w:val="28"/>
          <w:szCs w:val="36"/>
          <w:highlight w:val="none"/>
          <w:lang w:val="en-US" w:eastAsia="zh-CN"/>
        </w:rPr>
        <w:t>7特定资格要求</w:t>
      </w:r>
    </w:p>
    <w:p w14:paraId="0A905589">
      <w:pPr>
        <w:shd w:val="clear" w:color="auto" w:fill="auto"/>
        <w:spacing w:line="360" w:lineRule="auto"/>
        <w:ind w:firstLine="480" w:firstLineChars="200"/>
        <w:outlineLvl w:val="3"/>
        <w:rPr>
          <w:rFonts w:hint="eastAsia" w:hAnsi="宋体"/>
          <w:color w:val="auto"/>
          <w:sz w:val="24"/>
          <w:szCs w:val="24"/>
          <w:highlight w:val="none"/>
        </w:rPr>
      </w:pPr>
      <w:r>
        <w:rPr>
          <w:rFonts w:hint="eastAsia" w:hAnsi="宋体"/>
          <w:color w:val="auto"/>
          <w:sz w:val="24"/>
          <w:szCs w:val="24"/>
          <w:highlight w:val="none"/>
          <w:lang w:val="en-US" w:eastAsia="zh-CN"/>
        </w:rPr>
        <w:t>1.</w:t>
      </w:r>
      <w:r>
        <w:rPr>
          <w:rFonts w:hint="eastAsia" w:hAnsi="宋体"/>
          <w:color w:val="auto"/>
          <w:sz w:val="24"/>
          <w:szCs w:val="24"/>
          <w:highlight w:val="none"/>
        </w:rPr>
        <w:t>资质要求：按照竞争性磋商文件要求提供证明资料。</w:t>
      </w:r>
    </w:p>
    <w:p w14:paraId="337B4506">
      <w:pPr>
        <w:shd w:val="clear" w:color="auto" w:fill="auto"/>
        <w:outlineLvl w:val="3"/>
        <w:rPr>
          <w:rFonts w:hint="default" w:ascii="宋体" w:hAnsi="宋体" w:eastAsia="宋体" w:cs="Times New Roman"/>
          <w:color w:val="auto"/>
          <w:sz w:val="24"/>
          <w:szCs w:val="24"/>
          <w:highlight w:val="none"/>
          <w:lang w:val="en-US" w:eastAsia="zh-CN"/>
        </w:rPr>
      </w:pPr>
      <w:r>
        <w:rPr>
          <w:rFonts w:hint="eastAsia" w:ascii="宋体" w:hAnsi="宋体" w:eastAsia="宋体" w:cs="宋体"/>
          <w:b/>
          <w:bCs/>
          <w:color w:val="auto"/>
          <w:sz w:val="28"/>
          <w:szCs w:val="36"/>
          <w:highlight w:val="none"/>
        </w:rPr>
        <w:br w:type="page"/>
      </w:r>
      <w:bookmarkStart w:id="928" w:name="_Toc521754950"/>
      <w:bookmarkStart w:id="929" w:name="_Toc34168802"/>
      <w:r>
        <w:rPr>
          <w:rFonts w:hint="eastAsia" w:ascii="宋体" w:hAnsi="宋体" w:eastAsia="宋体" w:cs="Times New Roman"/>
          <w:color w:val="auto"/>
          <w:sz w:val="24"/>
          <w:szCs w:val="24"/>
          <w:highlight w:val="none"/>
          <w:lang w:val="en-US" w:eastAsia="zh-CN"/>
        </w:rPr>
        <w:t>2.项目经理要求</w:t>
      </w:r>
    </w:p>
    <w:p w14:paraId="1F0A2DAE">
      <w:pPr>
        <w:shd w:val="clear" w:color="auto" w:fill="auto"/>
        <w:spacing w:line="360" w:lineRule="auto"/>
        <w:rPr>
          <w:rFonts w:hint="eastAsia" w:hAnsi="宋体"/>
          <w:color w:val="auto"/>
          <w:sz w:val="24"/>
          <w:szCs w:val="24"/>
          <w:highlight w:val="none"/>
        </w:rPr>
      </w:pPr>
      <w:r>
        <w:rPr>
          <w:rFonts w:hint="eastAsia" w:hAnsi="宋体"/>
          <w:color w:val="auto"/>
          <w:sz w:val="24"/>
          <w:szCs w:val="24"/>
          <w:highlight w:val="none"/>
        </w:rPr>
        <w:t>项目经理资格要求：拟派往本项目的项目经理须具备国家注册二级及以上建造师（</w:t>
      </w:r>
      <w:r>
        <w:rPr>
          <w:rFonts w:hint="eastAsia" w:hAnsi="宋体" w:cs="宋体"/>
          <w:color w:val="auto"/>
          <w:kern w:val="0"/>
          <w:sz w:val="24"/>
          <w:highlight w:val="none"/>
          <w:lang w:eastAsia="zh-CN"/>
        </w:rPr>
        <w:t>建筑工程</w:t>
      </w:r>
      <w:r>
        <w:rPr>
          <w:rFonts w:hint="eastAsia" w:hAnsi="宋体"/>
          <w:color w:val="auto"/>
          <w:sz w:val="24"/>
          <w:szCs w:val="24"/>
          <w:highlight w:val="none"/>
        </w:rPr>
        <w:t>专业）执业资格和有效的安全生产考核合格证书（B证），需注册在供应商本单位，提供劳动合同或社保缴纳证明材料；且未担任其他在建建设工程项目的项目负责人或项目经理职务（并作出承诺）。</w:t>
      </w:r>
    </w:p>
    <w:p w14:paraId="6E4E9DC9">
      <w:pPr>
        <w:shd w:val="clear" w:color="auto" w:fill="auto"/>
        <w:jc w:val="center"/>
        <w:rPr>
          <w:rFonts w:hint="eastAsia" w:ascii="宋体" w:hAnsi="宋体" w:eastAsia="宋体" w:cs="宋体"/>
          <w:b/>
          <w:color w:val="auto"/>
          <w:sz w:val="30"/>
          <w:szCs w:val="30"/>
          <w:highlight w:val="none"/>
          <w:lang w:val="en-US"/>
        </w:rPr>
      </w:pPr>
      <w:r>
        <w:rPr>
          <w:rFonts w:hint="eastAsia" w:ascii="宋体" w:hAnsi="宋体" w:eastAsia="宋体" w:cs="宋体"/>
          <w:color w:val="auto"/>
          <w:sz w:val="30"/>
          <w:szCs w:val="30"/>
          <w:highlight w:val="none"/>
          <w:lang w:val="en-US"/>
        </w:rPr>
        <w:t>拟派项目经理简历表</w:t>
      </w:r>
      <w:bookmarkEnd w:id="928"/>
      <w:bookmarkEnd w:id="929"/>
    </w:p>
    <w:tbl>
      <w:tblPr>
        <w:tblStyle w:val="14"/>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744"/>
        <w:gridCol w:w="1354"/>
        <w:gridCol w:w="325"/>
        <w:gridCol w:w="185"/>
        <w:gridCol w:w="840"/>
        <w:gridCol w:w="977"/>
        <w:gridCol w:w="706"/>
        <w:gridCol w:w="1080"/>
        <w:gridCol w:w="402"/>
        <w:gridCol w:w="1398"/>
      </w:tblGrid>
      <w:tr w14:paraId="129F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0" w:type="dxa"/>
            <w:noWrap w:val="0"/>
            <w:vAlign w:val="center"/>
          </w:tcPr>
          <w:p w14:paraId="2016CDDA">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608" w:type="dxa"/>
            <w:gridSpan w:val="4"/>
            <w:noWrap w:val="0"/>
            <w:vAlign w:val="center"/>
          </w:tcPr>
          <w:p w14:paraId="18112D4B">
            <w:pPr>
              <w:shd w:val="clear" w:color="auto" w:fill="auto"/>
              <w:jc w:val="center"/>
              <w:rPr>
                <w:rFonts w:hint="eastAsia" w:ascii="宋体" w:hAnsi="宋体" w:eastAsia="宋体" w:cs="宋体"/>
                <w:color w:val="auto"/>
                <w:sz w:val="24"/>
                <w:szCs w:val="24"/>
                <w:highlight w:val="none"/>
              </w:rPr>
            </w:pPr>
          </w:p>
        </w:tc>
        <w:tc>
          <w:tcPr>
            <w:tcW w:w="840" w:type="dxa"/>
            <w:noWrap w:val="0"/>
            <w:vAlign w:val="center"/>
          </w:tcPr>
          <w:p w14:paraId="3099051F">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683" w:type="dxa"/>
            <w:gridSpan w:val="2"/>
            <w:noWrap w:val="0"/>
            <w:vAlign w:val="center"/>
          </w:tcPr>
          <w:p w14:paraId="5A9488CB">
            <w:pPr>
              <w:shd w:val="clear" w:color="auto" w:fill="auto"/>
              <w:jc w:val="center"/>
              <w:rPr>
                <w:rFonts w:hint="eastAsia" w:ascii="宋体" w:hAnsi="宋体" w:eastAsia="宋体" w:cs="宋体"/>
                <w:color w:val="auto"/>
                <w:sz w:val="24"/>
                <w:szCs w:val="24"/>
                <w:highlight w:val="none"/>
              </w:rPr>
            </w:pPr>
          </w:p>
        </w:tc>
        <w:tc>
          <w:tcPr>
            <w:tcW w:w="1080" w:type="dxa"/>
            <w:noWrap w:val="0"/>
            <w:vAlign w:val="center"/>
          </w:tcPr>
          <w:p w14:paraId="34B6379C">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800" w:type="dxa"/>
            <w:gridSpan w:val="2"/>
            <w:noWrap w:val="0"/>
            <w:vAlign w:val="center"/>
          </w:tcPr>
          <w:p w14:paraId="4F154EDE">
            <w:pPr>
              <w:shd w:val="clear" w:color="auto" w:fill="auto"/>
              <w:jc w:val="center"/>
              <w:rPr>
                <w:rFonts w:hint="eastAsia" w:ascii="宋体" w:hAnsi="宋体" w:eastAsia="宋体" w:cs="宋体"/>
                <w:color w:val="auto"/>
                <w:sz w:val="24"/>
                <w:szCs w:val="24"/>
                <w:highlight w:val="none"/>
              </w:rPr>
            </w:pPr>
          </w:p>
        </w:tc>
      </w:tr>
      <w:tr w14:paraId="26C7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0" w:type="dxa"/>
            <w:noWrap w:val="0"/>
            <w:vAlign w:val="center"/>
          </w:tcPr>
          <w:p w14:paraId="3F58E93C">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608" w:type="dxa"/>
            <w:gridSpan w:val="4"/>
            <w:noWrap w:val="0"/>
            <w:vAlign w:val="center"/>
          </w:tcPr>
          <w:p w14:paraId="720EB52C">
            <w:pPr>
              <w:shd w:val="clear" w:color="auto" w:fill="auto"/>
              <w:jc w:val="center"/>
              <w:rPr>
                <w:rFonts w:hint="eastAsia" w:ascii="宋体" w:hAnsi="宋体" w:eastAsia="宋体" w:cs="宋体"/>
                <w:color w:val="auto"/>
                <w:sz w:val="24"/>
                <w:szCs w:val="24"/>
                <w:highlight w:val="none"/>
              </w:rPr>
            </w:pPr>
          </w:p>
        </w:tc>
        <w:tc>
          <w:tcPr>
            <w:tcW w:w="840" w:type="dxa"/>
            <w:noWrap w:val="0"/>
            <w:vAlign w:val="center"/>
          </w:tcPr>
          <w:p w14:paraId="3B626DC3">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683" w:type="dxa"/>
            <w:gridSpan w:val="2"/>
            <w:noWrap w:val="0"/>
            <w:vAlign w:val="center"/>
          </w:tcPr>
          <w:p w14:paraId="6CDA3AB5">
            <w:pPr>
              <w:shd w:val="clear" w:color="auto" w:fill="auto"/>
              <w:jc w:val="center"/>
              <w:rPr>
                <w:rFonts w:hint="eastAsia" w:ascii="宋体" w:hAnsi="宋体" w:eastAsia="宋体" w:cs="宋体"/>
                <w:color w:val="auto"/>
                <w:sz w:val="24"/>
                <w:szCs w:val="24"/>
                <w:highlight w:val="none"/>
              </w:rPr>
            </w:pPr>
          </w:p>
        </w:tc>
        <w:tc>
          <w:tcPr>
            <w:tcW w:w="1080" w:type="dxa"/>
            <w:noWrap w:val="0"/>
            <w:vAlign w:val="center"/>
          </w:tcPr>
          <w:p w14:paraId="1FF0AD01">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800" w:type="dxa"/>
            <w:gridSpan w:val="2"/>
            <w:noWrap w:val="0"/>
            <w:vAlign w:val="center"/>
          </w:tcPr>
          <w:p w14:paraId="591585F2">
            <w:pPr>
              <w:shd w:val="clear" w:color="auto" w:fill="auto"/>
              <w:jc w:val="center"/>
              <w:rPr>
                <w:rFonts w:hint="eastAsia" w:ascii="宋体" w:hAnsi="宋体" w:eastAsia="宋体" w:cs="宋体"/>
                <w:color w:val="auto"/>
                <w:sz w:val="24"/>
                <w:szCs w:val="24"/>
                <w:highlight w:val="none"/>
              </w:rPr>
            </w:pPr>
          </w:p>
        </w:tc>
      </w:tr>
      <w:tr w14:paraId="4599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38" w:type="dxa"/>
            <w:gridSpan w:val="3"/>
            <w:noWrap w:val="0"/>
            <w:vAlign w:val="center"/>
          </w:tcPr>
          <w:p w14:paraId="3B702291">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参加工作时间</w:t>
            </w:r>
          </w:p>
        </w:tc>
        <w:tc>
          <w:tcPr>
            <w:tcW w:w="2327" w:type="dxa"/>
            <w:gridSpan w:val="4"/>
            <w:noWrap w:val="0"/>
            <w:vAlign w:val="center"/>
          </w:tcPr>
          <w:p w14:paraId="7E8D1AA6">
            <w:pPr>
              <w:shd w:val="clear" w:color="auto" w:fill="auto"/>
              <w:jc w:val="center"/>
              <w:rPr>
                <w:rFonts w:hint="eastAsia" w:ascii="宋体" w:hAnsi="宋体" w:eastAsia="宋体" w:cs="宋体"/>
                <w:color w:val="auto"/>
                <w:sz w:val="24"/>
                <w:szCs w:val="24"/>
                <w:highlight w:val="none"/>
              </w:rPr>
            </w:pPr>
          </w:p>
        </w:tc>
        <w:tc>
          <w:tcPr>
            <w:tcW w:w="2188" w:type="dxa"/>
            <w:gridSpan w:val="3"/>
            <w:noWrap w:val="0"/>
            <w:vAlign w:val="center"/>
          </w:tcPr>
          <w:p w14:paraId="28D9FFE3">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担任项目经理年限</w:t>
            </w:r>
          </w:p>
        </w:tc>
        <w:tc>
          <w:tcPr>
            <w:tcW w:w="1398" w:type="dxa"/>
            <w:noWrap w:val="0"/>
            <w:vAlign w:val="center"/>
          </w:tcPr>
          <w:p w14:paraId="337314BA">
            <w:pPr>
              <w:shd w:val="clear" w:color="auto" w:fill="auto"/>
              <w:jc w:val="center"/>
              <w:rPr>
                <w:rFonts w:hint="eastAsia" w:ascii="宋体" w:hAnsi="宋体" w:eastAsia="宋体" w:cs="宋体"/>
                <w:color w:val="auto"/>
                <w:sz w:val="24"/>
                <w:szCs w:val="24"/>
                <w:highlight w:val="none"/>
              </w:rPr>
            </w:pPr>
          </w:p>
        </w:tc>
      </w:tr>
      <w:tr w14:paraId="5C48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38" w:type="dxa"/>
            <w:gridSpan w:val="3"/>
            <w:noWrap w:val="0"/>
            <w:vAlign w:val="center"/>
          </w:tcPr>
          <w:p w14:paraId="364F384F">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注册建造师证书编号</w:t>
            </w:r>
          </w:p>
        </w:tc>
        <w:tc>
          <w:tcPr>
            <w:tcW w:w="5913" w:type="dxa"/>
            <w:gridSpan w:val="8"/>
            <w:noWrap w:val="0"/>
            <w:vAlign w:val="center"/>
          </w:tcPr>
          <w:p w14:paraId="1E36CD1C">
            <w:pPr>
              <w:shd w:val="clear" w:color="auto" w:fill="auto"/>
              <w:jc w:val="center"/>
              <w:rPr>
                <w:rFonts w:hint="eastAsia" w:ascii="宋体" w:hAnsi="宋体" w:eastAsia="宋体" w:cs="宋体"/>
                <w:color w:val="auto"/>
                <w:sz w:val="24"/>
                <w:szCs w:val="24"/>
                <w:highlight w:val="none"/>
              </w:rPr>
            </w:pPr>
          </w:p>
        </w:tc>
      </w:tr>
      <w:tr w14:paraId="5031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251" w:type="dxa"/>
            <w:gridSpan w:val="11"/>
            <w:noWrap w:val="0"/>
            <w:vAlign w:val="center"/>
          </w:tcPr>
          <w:p w14:paraId="6BBCDF72">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类似项目业绩情况</w:t>
            </w:r>
          </w:p>
        </w:tc>
      </w:tr>
      <w:tr w14:paraId="28F5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4" w:type="dxa"/>
            <w:gridSpan w:val="2"/>
            <w:noWrap w:val="0"/>
            <w:vAlign w:val="center"/>
          </w:tcPr>
          <w:p w14:paraId="2A056806">
            <w:pPr>
              <w:shd w:val="clear" w:color="auto" w:fill="auto"/>
              <w:ind w:left="27" w:leftChars="-11" w:hanging="50" w:hangingChars="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679" w:type="dxa"/>
            <w:gridSpan w:val="2"/>
            <w:noWrap w:val="0"/>
            <w:vAlign w:val="center"/>
          </w:tcPr>
          <w:p w14:paraId="64D46375">
            <w:pPr>
              <w:shd w:val="clear" w:color="auto" w:fill="auto"/>
              <w:ind w:left="3" w:leftChars="-20" w:hanging="45" w:hangingChars="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委托单位名称</w:t>
            </w:r>
          </w:p>
        </w:tc>
        <w:tc>
          <w:tcPr>
            <w:tcW w:w="2002" w:type="dxa"/>
            <w:gridSpan w:val="3"/>
            <w:noWrap w:val="0"/>
            <w:vAlign w:val="center"/>
          </w:tcPr>
          <w:p w14:paraId="642C84E3">
            <w:pPr>
              <w:shd w:val="clear" w:color="auto" w:fill="auto"/>
              <w:ind w:leftChars="-9" w:hanging="21" w:hangingChars="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承包范围</w:t>
            </w:r>
          </w:p>
        </w:tc>
        <w:tc>
          <w:tcPr>
            <w:tcW w:w="2188" w:type="dxa"/>
            <w:gridSpan w:val="3"/>
            <w:noWrap w:val="0"/>
            <w:vAlign w:val="center"/>
          </w:tcPr>
          <w:p w14:paraId="4B223A4B">
            <w:pPr>
              <w:shd w:val="clear" w:color="auto" w:fill="auto"/>
              <w:ind w:left="-97" w:leftChars="-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单项施工合同金额</w:t>
            </w:r>
          </w:p>
          <w:p w14:paraId="4095FE33">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398" w:type="dxa"/>
            <w:noWrap w:val="0"/>
            <w:vAlign w:val="center"/>
          </w:tcPr>
          <w:p w14:paraId="03103950">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委托时间</w:t>
            </w:r>
          </w:p>
        </w:tc>
      </w:tr>
      <w:tr w14:paraId="6550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4" w:type="dxa"/>
            <w:gridSpan w:val="2"/>
            <w:noWrap w:val="0"/>
            <w:vAlign w:val="center"/>
          </w:tcPr>
          <w:p w14:paraId="6C883DD3">
            <w:pPr>
              <w:shd w:val="clear" w:color="auto" w:fill="auto"/>
              <w:jc w:val="center"/>
              <w:rPr>
                <w:rFonts w:hint="eastAsia" w:ascii="宋体" w:hAnsi="宋体" w:eastAsia="宋体" w:cs="宋体"/>
                <w:color w:val="auto"/>
                <w:sz w:val="24"/>
                <w:szCs w:val="24"/>
                <w:highlight w:val="none"/>
              </w:rPr>
            </w:pPr>
          </w:p>
        </w:tc>
        <w:tc>
          <w:tcPr>
            <w:tcW w:w="1679" w:type="dxa"/>
            <w:gridSpan w:val="2"/>
            <w:noWrap w:val="0"/>
            <w:vAlign w:val="center"/>
          </w:tcPr>
          <w:p w14:paraId="1D7E08AA">
            <w:pPr>
              <w:shd w:val="clear" w:color="auto" w:fill="auto"/>
              <w:jc w:val="center"/>
              <w:rPr>
                <w:rFonts w:hint="eastAsia" w:ascii="宋体" w:hAnsi="宋体" w:eastAsia="宋体" w:cs="宋体"/>
                <w:color w:val="auto"/>
                <w:sz w:val="24"/>
                <w:szCs w:val="24"/>
                <w:highlight w:val="none"/>
              </w:rPr>
            </w:pPr>
          </w:p>
        </w:tc>
        <w:tc>
          <w:tcPr>
            <w:tcW w:w="2002" w:type="dxa"/>
            <w:gridSpan w:val="3"/>
            <w:noWrap w:val="0"/>
            <w:vAlign w:val="center"/>
          </w:tcPr>
          <w:p w14:paraId="4BC05786">
            <w:pPr>
              <w:shd w:val="clear" w:color="auto" w:fill="auto"/>
              <w:jc w:val="center"/>
              <w:rPr>
                <w:rFonts w:hint="eastAsia" w:ascii="宋体" w:hAnsi="宋体" w:eastAsia="宋体" w:cs="宋体"/>
                <w:color w:val="auto"/>
                <w:sz w:val="24"/>
                <w:szCs w:val="24"/>
                <w:highlight w:val="none"/>
              </w:rPr>
            </w:pPr>
          </w:p>
        </w:tc>
        <w:tc>
          <w:tcPr>
            <w:tcW w:w="2188" w:type="dxa"/>
            <w:gridSpan w:val="3"/>
            <w:noWrap w:val="0"/>
            <w:vAlign w:val="center"/>
          </w:tcPr>
          <w:p w14:paraId="43FC4694">
            <w:pPr>
              <w:shd w:val="clear" w:color="auto" w:fill="auto"/>
              <w:jc w:val="center"/>
              <w:rPr>
                <w:rFonts w:hint="eastAsia" w:ascii="宋体" w:hAnsi="宋体" w:eastAsia="宋体" w:cs="宋体"/>
                <w:color w:val="auto"/>
                <w:sz w:val="24"/>
                <w:szCs w:val="24"/>
                <w:highlight w:val="none"/>
              </w:rPr>
            </w:pPr>
          </w:p>
        </w:tc>
        <w:tc>
          <w:tcPr>
            <w:tcW w:w="1398" w:type="dxa"/>
            <w:noWrap w:val="0"/>
            <w:vAlign w:val="center"/>
          </w:tcPr>
          <w:p w14:paraId="18CC1B4E">
            <w:pPr>
              <w:shd w:val="clear" w:color="auto" w:fill="auto"/>
              <w:jc w:val="center"/>
              <w:rPr>
                <w:rFonts w:hint="eastAsia" w:ascii="宋体" w:hAnsi="宋体" w:eastAsia="宋体" w:cs="宋体"/>
                <w:color w:val="auto"/>
                <w:sz w:val="24"/>
                <w:szCs w:val="24"/>
                <w:highlight w:val="none"/>
              </w:rPr>
            </w:pPr>
          </w:p>
        </w:tc>
      </w:tr>
      <w:tr w14:paraId="5866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4" w:type="dxa"/>
            <w:gridSpan w:val="2"/>
            <w:noWrap w:val="0"/>
            <w:vAlign w:val="center"/>
          </w:tcPr>
          <w:p w14:paraId="3770D4FD">
            <w:pPr>
              <w:shd w:val="clear" w:color="auto" w:fill="auto"/>
              <w:jc w:val="center"/>
              <w:rPr>
                <w:rFonts w:hint="eastAsia" w:ascii="宋体" w:hAnsi="宋体" w:eastAsia="宋体" w:cs="宋体"/>
                <w:color w:val="auto"/>
                <w:sz w:val="24"/>
                <w:szCs w:val="24"/>
                <w:highlight w:val="none"/>
              </w:rPr>
            </w:pPr>
          </w:p>
        </w:tc>
        <w:tc>
          <w:tcPr>
            <w:tcW w:w="1679" w:type="dxa"/>
            <w:gridSpan w:val="2"/>
            <w:noWrap w:val="0"/>
            <w:vAlign w:val="center"/>
          </w:tcPr>
          <w:p w14:paraId="502519B3">
            <w:pPr>
              <w:shd w:val="clear" w:color="auto" w:fill="auto"/>
              <w:jc w:val="center"/>
              <w:rPr>
                <w:rFonts w:hint="eastAsia" w:ascii="宋体" w:hAnsi="宋体" w:eastAsia="宋体" w:cs="宋体"/>
                <w:color w:val="auto"/>
                <w:sz w:val="24"/>
                <w:szCs w:val="24"/>
                <w:highlight w:val="none"/>
              </w:rPr>
            </w:pPr>
          </w:p>
        </w:tc>
        <w:tc>
          <w:tcPr>
            <w:tcW w:w="2002" w:type="dxa"/>
            <w:gridSpan w:val="3"/>
            <w:noWrap w:val="0"/>
            <w:vAlign w:val="center"/>
          </w:tcPr>
          <w:p w14:paraId="719241FC">
            <w:pPr>
              <w:shd w:val="clear" w:color="auto" w:fill="auto"/>
              <w:jc w:val="center"/>
              <w:rPr>
                <w:rFonts w:hint="eastAsia" w:ascii="宋体" w:hAnsi="宋体" w:eastAsia="宋体" w:cs="宋体"/>
                <w:color w:val="auto"/>
                <w:sz w:val="24"/>
                <w:szCs w:val="24"/>
                <w:highlight w:val="none"/>
              </w:rPr>
            </w:pPr>
          </w:p>
        </w:tc>
        <w:tc>
          <w:tcPr>
            <w:tcW w:w="2188" w:type="dxa"/>
            <w:gridSpan w:val="3"/>
            <w:noWrap w:val="0"/>
            <w:vAlign w:val="center"/>
          </w:tcPr>
          <w:p w14:paraId="6CDD6973">
            <w:pPr>
              <w:shd w:val="clear" w:color="auto" w:fill="auto"/>
              <w:jc w:val="center"/>
              <w:rPr>
                <w:rFonts w:hint="eastAsia" w:ascii="宋体" w:hAnsi="宋体" w:eastAsia="宋体" w:cs="宋体"/>
                <w:color w:val="auto"/>
                <w:sz w:val="24"/>
                <w:szCs w:val="24"/>
                <w:highlight w:val="none"/>
              </w:rPr>
            </w:pPr>
          </w:p>
        </w:tc>
        <w:tc>
          <w:tcPr>
            <w:tcW w:w="1398" w:type="dxa"/>
            <w:noWrap w:val="0"/>
            <w:vAlign w:val="center"/>
          </w:tcPr>
          <w:p w14:paraId="45E506DE">
            <w:pPr>
              <w:shd w:val="clear" w:color="auto" w:fill="auto"/>
              <w:jc w:val="center"/>
              <w:rPr>
                <w:rFonts w:hint="eastAsia" w:ascii="宋体" w:hAnsi="宋体" w:eastAsia="宋体" w:cs="宋体"/>
                <w:color w:val="auto"/>
                <w:sz w:val="24"/>
                <w:szCs w:val="24"/>
                <w:highlight w:val="none"/>
              </w:rPr>
            </w:pPr>
          </w:p>
        </w:tc>
      </w:tr>
    </w:tbl>
    <w:p w14:paraId="6B93D72B">
      <w:pPr>
        <w:shd w:val="clear" w:color="auto" w:fill="auto"/>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注：①本表可相应扩展；</w:t>
      </w:r>
    </w:p>
    <w:p w14:paraId="38D5B389">
      <w:pPr>
        <w:shd w:val="clear" w:color="auto" w:fill="auto"/>
        <w:spacing w:line="360" w:lineRule="auto"/>
        <w:ind w:firstLine="840" w:firstLineChars="400"/>
        <w:rPr>
          <w:rFonts w:hint="eastAsia" w:hAnsi="宋体"/>
          <w:color w:val="auto"/>
          <w:szCs w:val="21"/>
          <w:highlight w:val="none"/>
        </w:rPr>
      </w:pPr>
      <w:r>
        <w:rPr>
          <w:rFonts w:hint="eastAsia" w:ascii="宋体" w:hAnsi="宋体" w:eastAsia="宋体" w:cs="宋体"/>
          <w:color w:val="auto"/>
          <w:szCs w:val="21"/>
          <w:highlight w:val="none"/>
        </w:rPr>
        <w:t>②</w:t>
      </w:r>
      <w:r>
        <w:rPr>
          <w:rFonts w:hint="eastAsia" w:hAnsi="宋体"/>
          <w:color w:val="auto"/>
          <w:szCs w:val="21"/>
          <w:highlight w:val="none"/>
        </w:rPr>
        <w:t>附拟派往本项目的项目经理有效的身份证、注册建造师证书、有效的安全生产考核合格证（B证）、</w:t>
      </w:r>
      <w:r>
        <w:rPr>
          <w:rFonts w:hint="eastAsia" w:hAnsi="宋体"/>
          <w:color w:val="auto"/>
          <w:szCs w:val="21"/>
          <w:highlight w:val="none"/>
          <w:lang w:val="en-US" w:eastAsia="zh-CN"/>
        </w:rPr>
        <w:t>劳动合同或</w:t>
      </w:r>
      <w:r>
        <w:rPr>
          <w:rFonts w:hint="eastAsia" w:hAnsi="宋体"/>
          <w:color w:val="auto"/>
          <w:szCs w:val="21"/>
          <w:highlight w:val="none"/>
        </w:rPr>
        <w:t>社保证明及其它相关证件、证明材料的复印件</w:t>
      </w:r>
      <w:r>
        <w:rPr>
          <w:rFonts w:hint="eastAsia" w:hAnsi="宋体"/>
          <w:color w:val="auto"/>
          <w:szCs w:val="21"/>
          <w:highlight w:val="none"/>
          <w:lang w:val="en-US" w:eastAsia="zh-CN"/>
        </w:rPr>
        <w:t>或扫描件</w:t>
      </w:r>
      <w:r>
        <w:rPr>
          <w:rFonts w:hint="eastAsia" w:hAnsi="宋体"/>
          <w:color w:val="auto"/>
          <w:szCs w:val="21"/>
          <w:highlight w:val="none"/>
        </w:rPr>
        <w:t>。</w:t>
      </w:r>
      <w:bookmarkStart w:id="930" w:name="_Toc484685789"/>
      <w:bookmarkStart w:id="931" w:name="_Toc484637066"/>
      <w:bookmarkStart w:id="932" w:name="_Toc450207974"/>
    </w:p>
    <w:p w14:paraId="11D35EEA">
      <w:pPr>
        <w:shd w:val="clear" w:color="auto" w:fill="auto"/>
        <w:spacing w:line="360" w:lineRule="auto"/>
        <w:ind w:firstLine="840" w:firstLineChars="400"/>
        <w:jc w:val="center"/>
        <w:rPr>
          <w:rFonts w:ascii="黑体" w:hAnsi="黑体"/>
          <w:bCs w:val="0"/>
          <w:color w:val="auto"/>
          <w:sz w:val="30"/>
          <w:szCs w:val="30"/>
          <w:highlight w:val="none"/>
          <w:lang w:val="en-US"/>
        </w:rPr>
      </w:pPr>
      <w:r>
        <w:rPr>
          <w:rFonts w:hint="eastAsia" w:hAnsi="宋体"/>
          <w:color w:val="auto"/>
          <w:szCs w:val="21"/>
          <w:highlight w:val="none"/>
        </w:rPr>
        <w:br w:type="page"/>
      </w:r>
      <w:r>
        <w:rPr>
          <w:rFonts w:hint="eastAsia" w:ascii="黑体" w:hAnsi="黑体"/>
          <w:bCs w:val="0"/>
          <w:color w:val="auto"/>
          <w:sz w:val="30"/>
          <w:szCs w:val="30"/>
          <w:highlight w:val="none"/>
          <w:lang w:val="en-US"/>
        </w:rPr>
        <w:t>承  诺  书</w:t>
      </w:r>
      <w:bookmarkEnd w:id="930"/>
      <w:bookmarkEnd w:id="931"/>
      <w:bookmarkEnd w:id="932"/>
    </w:p>
    <w:p w14:paraId="3ACA307C">
      <w:pPr>
        <w:shd w:val="clear" w:color="auto" w:fill="auto"/>
        <w:spacing w:after="312" w:afterLines="100" w:line="480" w:lineRule="auto"/>
        <w:rPr>
          <w:rFonts w:hAnsi="宋体"/>
          <w:color w:val="auto"/>
          <w:sz w:val="24"/>
          <w:szCs w:val="24"/>
          <w:highlight w:val="none"/>
        </w:rPr>
      </w:pPr>
      <w:r>
        <w:rPr>
          <w:rFonts w:hAnsi="宋体"/>
          <w:color w:val="auto"/>
          <w:sz w:val="24"/>
          <w:szCs w:val="24"/>
          <w:highlight w:val="none"/>
          <w:u w:val="single"/>
        </w:rPr>
        <w:t xml:space="preserve">                      </w:t>
      </w:r>
      <w:r>
        <w:rPr>
          <w:rFonts w:hint="eastAsia" w:hAnsi="宋体"/>
          <w:color w:val="auto"/>
          <w:sz w:val="24"/>
          <w:szCs w:val="24"/>
          <w:highlight w:val="none"/>
        </w:rPr>
        <w:t>（采购人名称）：</w:t>
      </w:r>
    </w:p>
    <w:p w14:paraId="36EB6657">
      <w:pPr>
        <w:shd w:val="clear" w:color="auto" w:fill="auto"/>
        <w:spacing w:line="480" w:lineRule="auto"/>
        <w:ind w:firstLine="480" w:firstLineChars="200"/>
        <w:rPr>
          <w:rFonts w:hAnsi="宋体"/>
          <w:color w:val="auto"/>
          <w:sz w:val="24"/>
          <w:szCs w:val="24"/>
          <w:highlight w:val="none"/>
        </w:rPr>
      </w:pPr>
      <w:r>
        <w:rPr>
          <w:rFonts w:hint="eastAsia" w:hAnsi="宋体"/>
          <w:color w:val="auto"/>
          <w:sz w:val="24"/>
          <w:szCs w:val="24"/>
          <w:highlight w:val="none"/>
        </w:rPr>
        <w:t>我方在此声明，我方拟派往</w:t>
      </w:r>
      <w:r>
        <w:rPr>
          <w:rFonts w:hAnsi="宋体"/>
          <w:color w:val="auto"/>
          <w:sz w:val="24"/>
          <w:szCs w:val="24"/>
          <w:highlight w:val="none"/>
          <w:u w:val="single"/>
        </w:rPr>
        <w:t xml:space="preserve">                    </w:t>
      </w:r>
      <w:r>
        <w:rPr>
          <w:rFonts w:hint="eastAsia" w:hAnsi="宋体"/>
          <w:color w:val="auto"/>
          <w:sz w:val="24"/>
          <w:szCs w:val="24"/>
          <w:highlight w:val="none"/>
        </w:rPr>
        <w:t>（项目名称）（以下简称“本工程”）的施工项目经理</w:t>
      </w:r>
      <w:r>
        <w:rPr>
          <w:rFonts w:hAnsi="宋体"/>
          <w:color w:val="auto"/>
          <w:sz w:val="24"/>
          <w:szCs w:val="24"/>
          <w:highlight w:val="none"/>
          <w:u w:val="single"/>
        </w:rPr>
        <w:t xml:space="preserve">          </w:t>
      </w:r>
      <w:r>
        <w:rPr>
          <w:rFonts w:hint="eastAsia" w:hAnsi="宋体"/>
          <w:color w:val="auto"/>
          <w:sz w:val="24"/>
          <w:szCs w:val="24"/>
          <w:highlight w:val="none"/>
        </w:rPr>
        <w:t>（项目经理姓名）现阶段没有担任其他在建建设工程项目的项目负责人或项目经理职务。</w:t>
      </w:r>
    </w:p>
    <w:p w14:paraId="1409B2F4">
      <w:pPr>
        <w:shd w:val="clear" w:color="auto" w:fill="auto"/>
        <w:spacing w:line="480" w:lineRule="auto"/>
        <w:ind w:firstLine="480" w:firstLineChars="200"/>
        <w:rPr>
          <w:rFonts w:hAnsi="宋体"/>
          <w:color w:val="auto"/>
          <w:sz w:val="24"/>
          <w:szCs w:val="24"/>
          <w:highlight w:val="none"/>
        </w:rPr>
      </w:pPr>
      <w:r>
        <w:rPr>
          <w:rFonts w:hint="eastAsia" w:hAnsi="宋体"/>
          <w:color w:val="auto"/>
          <w:sz w:val="24"/>
          <w:szCs w:val="24"/>
          <w:highlight w:val="none"/>
        </w:rPr>
        <w:t>我方保证上述信息的真实和准确，并愿意承担因我方就此弄虚作假所引起的一切法律后果。</w:t>
      </w:r>
    </w:p>
    <w:p w14:paraId="43DFB046">
      <w:pPr>
        <w:shd w:val="clear" w:color="auto" w:fill="auto"/>
        <w:spacing w:line="440" w:lineRule="exact"/>
        <w:rPr>
          <w:rFonts w:hAnsi="宋体"/>
          <w:color w:val="auto"/>
          <w:sz w:val="24"/>
          <w:szCs w:val="24"/>
          <w:highlight w:val="none"/>
        </w:rPr>
      </w:pPr>
    </w:p>
    <w:p w14:paraId="07583B68">
      <w:pPr>
        <w:shd w:val="clear" w:color="auto" w:fill="auto"/>
        <w:spacing w:line="440" w:lineRule="exact"/>
        <w:ind w:firstLine="480" w:firstLineChars="200"/>
        <w:rPr>
          <w:rFonts w:hAnsi="宋体"/>
          <w:color w:val="auto"/>
          <w:sz w:val="24"/>
          <w:szCs w:val="24"/>
          <w:highlight w:val="none"/>
        </w:rPr>
      </w:pPr>
      <w:r>
        <w:rPr>
          <w:rFonts w:hint="eastAsia" w:hAnsi="宋体"/>
          <w:color w:val="auto"/>
          <w:sz w:val="24"/>
          <w:szCs w:val="24"/>
          <w:highlight w:val="none"/>
        </w:rPr>
        <w:t>特此承诺。</w:t>
      </w:r>
    </w:p>
    <w:p w14:paraId="2FC163DA">
      <w:pPr>
        <w:shd w:val="clear" w:color="auto" w:fill="auto"/>
        <w:spacing w:line="440" w:lineRule="exact"/>
        <w:ind w:firstLine="480" w:firstLineChars="200"/>
        <w:rPr>
          <w:rFonts w:hAnsi="宋体"/>
          <w:color w:val="auto"/>
          <w:sz w:val="24"/>
          <w:szCs w:val="24"/>
          <w:highlight w:val="none"/>
        </w:rPr>
      </w:pPr>
    </w:p>
    <w:p w14:paraId="501FDA19">
      <w:pPr>
        <w:pStyle w:val="5"/>
        <w:shd w:val="clear" w:color="auto" w:fill="auto"/>
        <w:spacing w:before="93" w:beforeLines="30" w:line="480" w:lineRule="auto"/>
        <w:ind w:firstLineChars="200"/>
        <w:rPr>
          <w:rFonts w:hint="eastAsia" w:ascii="宋体" w:hAnsi="宋体" w:eastAsia="宋体"/>
          <w:color w:val="auto"/>
          <w:sz w:val="24"/>
          <w:szCs w:val="24"/>
          <w:highlight w:val="none"/>
        </w:rPr>
      </w:pPr>
    </w:p>
    <w:p w14:paraId="317E2E23">
      <w:pPr>
        <w:pStyle w:val="5"/>
        <w:shd w:val="clear" w:color="auto" w:fill="auto"/>
        <w:spacing w:before="93" w:beforeLines="30" w:line="480" w:lineRule="auto"/>
        <w:ind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p>
    <w:p w14:paraId="3D0222E7">
      <w:pPr>
        <w:pStyle w:val="5"/>
        <w:shd w:val="clear" w:color="auto" w:fill="auto"/>
        <w:spacing w:line="480" w:lineRule="auto"/>
        <w:ind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或委托代理人</w:t>
      </w:r>
      <w:r>
        <w:rPr>
          <w:rFonts w:hint="eastAsia" w:ascii="宋体" w:hAnsi="宋体" w:eastAsia="宋体" w:cs="宋体"/>
          <w:color w:val="auto"/>
          <w:sz w:val="24"/>
          <w:szCs w:val="24"/>
          <w:highlight w:val="none"/>
        </w:rPr>
        <w:t>（电子签章）：</w:t>
      </w:r>
      <w:r>
        <w:rPr>
          <w:rFonts w:hint="eastAsia" w:ascii="宋体" w:hAnsi="宋体" w:eastAsia="宋体" w:cs="宋体"/>
          <w:color w:val="auto"/>
          <w:sz w:val="24"/>
          <w:szCs w:val="24"/>
          <w:highlight w:val="none"/>
          <w:u w:val="none"/>
        </w:rPr>
        <w:t>___________</w:t>
      </w:r>
    </w:p>
    <w:p w14:paraId="7F6F1FE8">
      <w:pPr>
        <w:pStyle w:val="5"/>
        <w:shd w:val="clear" w:color="auto" w:fill="auto"/>
        <w:spacing w:line="480" w:lineRule="auto"/>
        <w:ind w:firstLineChars="200"/>
        <w:rPr>
          <w:color w:val="auto"/>
          <w:highlight w:val="no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228E914E">
      <w:pPr>
        <w:shd w:val="clear" w:color="auto" w:fill="auto"/>
        <w:outlineLvl w:val="3"/>
        <w:rPr>
          <w:rFonts w:hint="eastAsia" w:ascii="宋体" w:hAnsi="宋体" w:eastAsia="宋体" w:cs="Times New Roman"/>
          <w:color w:val="auto"/>
          <w:sz w:val="24"/>
          <w:szCs w:val="24"/>
          <w:highlight w:val="none"/>
          <w:lang w:val="en-US" w:eastAsia="zh-CN"/>
        </w:rPr>
      </w:pPr>
      <w:r>
        <w:rPr>
          <w:rFonts w:hint="eastAsia" w:ascii="宋体" w:hAnsi="宋体" w:eastAsia="宋体" w:cs="宋体"/>
          <w:b/>
          <w:bCs/>
          <w:color w:val="auto"/>
          <w:sz w:val="28"/>
          <w:szCs w:val="36"/>
          <w:highlight w:val="none"/>
        </w:rPr>
        <w:br w:type="page"/>
      </w:r>
      <w:r>
        <w:rPr>
          <w:rFonts w:hint="eastAsia" w:ascii="宋体" w:hAnsi="宋体" w:eastAsia="宋体" w:cs="Times New Roman"/>
          <w:color w:val="auto"/>
          <w:sz w:val="24"/>
          <w:szCs w:val="24"/>
          <w:highlight w:val="none"/>
          <w:lang w:val="en-US" w:eastAsia="zh-CN"/>
        </w:rPr>
        <w:t>3.其他人员要求</w:t>
      </w:r>
    </w:p>
    <w:p w14:paraId="7FF204FE">
      <w:pPr>
        <w:shd w:val="clear" w:color="auto" w:fill="auto"/>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①技术负责人:具有工程师及以上的职称证书，拟派本项目技术负责人应为供应商本单位人员，提供</w:t>
      </w:r>
      <w:r>
        <w:rPr>
          <w:rFonts w:hint="eastAsia" w:hAnsi="宋体"/>
          <w:color w:val="auto"/>
          <w:sz w:val="24"/>
          <w:szCs w:val="24"/>
          <w:highlight w:val="none"/>
          <w:lang w:eastAsia="zh-CN"/>
        </w:rPr>
        <w:t>劳动合同或社保缴纳证明材料</w:t>
      </w:r>
      <w:r>
        <w:rPr>
          <w:rFonts w:hint="eastAsia" w:hAnsi="宋体"/>
          <w:color w:val="auto"/>
          <w:sz w:val="24"/>
          <w:szCs w:val="24"/>
          <w:highlight w:val="none"/>
        </w:rPr>
        <w:t>。</w:t>
      </w:r>
    </w:p>
    <w:p w14:paraId="1563C4EA">
      <w:pPr>
        <w:shd w:val="clear" w:color="auto" w:fill="auto"/>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②专职安全员:持有安全生产考核合格证书（C证），拟派本项目专职安全员应为供应商本单位人员提供</w:t>
      </w:r>
      <w:r>
        <w:rPr>
          <w:rFonts w:hint="eastAsia" w:hAnsi="宋体"/>
          <w:color w:val="auto"/>
          <w:sz w:val="24"/>
          <w:szCs w:val="24"/>
          <w:highlight w:val="none"/>
          <w:lang w:eastAsia="zh-CN"/>
        </w:rPr>
        <w:t>劳动合同或社保缴纳证明材料</w:t>
      </w:r>
      <w:r>
        <w:rPr>
          <w:rFonts w:hint="eastAsia" w:hAnsi="宋体"/>
          <w:color w:val="auto"/>
          <w:sz w:val="24"/>
          <w:szCs w:val="24"/>
          <w:highlight w:val="none"/>
        </w:rPr>
        <w:t>。</w:t>
      </w:r>
    </w:p>
    <w:p w14:paraId="15183C49">
      <w:pPr>
        <w:shd w:val="clear" w:color="auto" w:fill="auto"/>
        <w:outlineLvl w:val="2"/>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rPr>
        <w:br w:type="page"/>
      </w:r>
      <w:r>
        <w:rPr>
          <w:rFonts w:hint="eastAsia" w:ascii="宋体" w:hAnsi="宋体" w:eastAsia="宋体" w:cs="宋体"/>
          <w:b/>
          <w:bCs/>
          <w:color w:val="auto"/>
          <w:sz w:val="28"/>
          <w:szCs w:val="36"/>
          <w:highlight w:val="none"/>
        </w:rPr>
        <w:t>格式</w:t>
      </w:r>
      <w:r>
        <w:rPr>
          <w:rFonts w:hint="eastAsia" w:ascii="宋体" w:hAnsi="宋体" w:eastAsia="宋体" w:cs="宋体"/>
          <w:b/>
          <w:bCs/>
          <w:color w:val="auto"/>
          <w:sz w:val="28"/>
          <w:szCs w:val="36"/>
          <w:highlight w:val="none"/>
          <w:lang w:val="en-US" w:eastAsia="zh-CN"/>
        </w:rPr>
        <w:t>1-8</w:t>
      </w:r>
      <w:r>
        <w:rPr>
          <w:rFonts w:hint="eastAsia" w:hAnsi="宋体" w:cs="宋体"/>
          <w:b/>
          <w:bCs/>
          <w:color w:val="auto"/>
          <w:sz w:val="28"/>
          <w:szCs w:val="36"/>
          <w:highlight w:val="none"/>
          <w:lang w:val="en-US" w:eastAsia="zh-CN"/>
        </w:rPr>
        <w:t>中小企业声明函</w:t>
      </w:r>
    </w:p>
    <w:p w14:paraId="35246068">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kern w:val="0"/>
          <w:sz w:val="30"/>
          <w:szCs w:val="30"/>
          <w:highlight w:val="none"/>
          <w:lang w:val="en-US"/>
        </w:rPr>
      </w:pPr>
      <w:r>
        <w:rPr>
          <w:rFonts w:hint="eastAsia" w:ascii="宋体" w:hAnsi="宋体" w:eastAsia="宋体" w:cs="宋体"/>
          <w:color w:val="auto"/>
          <w:kern w:val="0"/>
          <w:sz w:val="30"/>
          <w:szCs w:val="30"/>
          <w:highlight w:val="none"/>
          <w:lang w:val="en-US"/>
        </w:rPr>
        <w:t>《中小企业声明函（服务、工程）》</w:t>
      </w:r>
    </w:p>
    <w:p w14:paraId="1F114366">
      <w:pPr>
        <w:shd w:val="clear" w:color="auto" w:fill="auto"/>
        <w:spacing w:line="360" w:lineRule="auto"/>
        <w:ind w:right="-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符合《政府采购促进中小企业发展管理办法》（财库〔2020〕46号）规定享受中小企业扶持政策的供应商提供</w:t>
      </w:r>
    </w:p>
    <w:p w14:paraId="3189BCF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color w:val="auto"/>
          <w:kern w:val="0"/>
          <w:sz w:val="24"/>
          <w:szCs w:val="24"/>
          <w:highlight w:val="none"/>
        </w:rPr>
      </w:pPr>
      <w:r>
        <w:rPr>
          <w:rFonts w:hint="eastAsia" w:ascii="宋体" w:hAnsi="宋体" w:eastAsia="宋体" w:cs="宋体"/>
          <w:bCs/>
          <w:snapToGrid/>
          <w:color w:val="auto"/>
          <w:kern w:val="0"/>
          <w:sz w:val="30"/>
          <w:szCs w:val="30"/>
          <w:highlight w:val="none"/>
        </w:rPr>
        <w:t>中小企业声明函</w:t>
      </w:r>
    </w:p>
    <w:p w14:paraId="0468DB12">
      <w:pPr>
        <w:pStyle w:val="13"/>
        <w:shd w:val="clear" w:color="auto" w:fill="auto"/>
        <w:spacing w:before="0" w:beforeAutospacing="0" w:after="0" w:afterAutospacing="0"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 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项目的采购活动，工程的施工单位全部为符合政策要求的中小企业（或者：服务全部由符合政策要求的中小企业承接）。相关企业（含联合体中的中小企业、签订分包意向协议的中小企业）的具体情况如下：</w:t>
      </w:r>
    </w:p>
    <w:p w14:paraId="2526FFBC">
      <w:pPr>
        <w:pStyle w:val="13"/>
        <w:shd w:val="clear" w:color="auto" w:fill="auto"/>
        <w:spacing w:before="0" w:beforeAutospacing="0" w:after="0" w:afterAutospacing="0" w:line="360" w:lineRule="auto"/>
        <w:ind w:right="-143" w:rightChars="-68"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C7CC383">
      <w:pPr>
        <w:pStyle w:val="13"/>
        <w:shd w:val="clear" w:color="auto" w:fill="auto"/>
        <w:spacing w:before="0" w:beforeAutospacing="0" w:after="0" w:afterAutospacing="0"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3B70FDF">
      <w:pPr>
        <w:pStyle w:val="13"/>
        <w:shd w:val="clear" w:color="auto" w:fill="auto"/>
        <w:spacing w:before="0" w:beforeAutospacing="0" w:after="0" w:afterAutospacing="0"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B3AC620">
      <w:pPr>
        <w:pStyle w:val="13"/>
        <w:shd w:val="clear" w:color="auto" w:fill="auto"/>
        <w:spacing w:before="0" w:beforeAutospacing="0" w:after="0" w:afterAutospacing="0"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9B821DA">
      <w:pPr>
        <w:pStyle w:val="13"/>
        <w:shd w:val="clear" w:color="auto" w:fill="auto"/>
        <w:spacing w:before="0" w:beforeAutospacing="0" w:after="0" w:afterAutospacing="0" w:line="360" w:lineRule="auto"/>
        <w:ind w:firstLine="480" w:firstLineChars="200"/>
        <w:contextualSpacing/>
        <w:rPr>
          <w:rFonts w:hint="eastAsia" w:ascii="宋体" w:hAnsi="宋体" w:eastAsia="宋体" w:cs="宋体"/>
          <w:color w:val="auto"/>
          <w:sz w:val="24"/>
          <w:szCs w:val="24"/>
          <w:highlight w:val="none"/>
        </w:rPr>
      </w:pPr>
    </w:p>
    <w:p w14:paraId="3E433871">
      <w:pPr>
        <w:pStyle w:val="13"/>
        <w:shd w:val="clear" w:color="auto" w:fill="auto"/>
        <w:spacing w:before="0" w:beforeAutospacing="0" w:after="0" w:afterAutospacing="0"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供应商名称（电子签章或盖单位公章）：</w:t>
      </w:r>
    </w:p>
    <w:p w14:paraId="5FD406CA">
      <w:pPr>
        <w:pStyle w:val="13"/>
        <w:shd w:val="clear" w:color="auto" w:fill="auto"/>
        <w:spacing w:before="0" w:beforeAutospacing="0" w:after="0" w:afterAutospacing="0"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1CAF01EC">
      <w:pPr>
        <w:pStyle w:val="13"/>
        <w:shd w:val="clear" w:color="auto" w:fill="auto"/>
        <w:spacing w:before="0" w:beforeAutospacing="0" w:after="0" w:afterAutospacing="0" w:line="360" w:lineRule="auto"/>
        <w:ind w:firstLine="480" w:firstLineChars="200"/>
        <w:contextualSpacing/>
        <w:rPr>
          <w:rFonts w:hint="eastAsia" w:ascii="宋体" w:hAnsi="宋体" w:eastAsia="宋体" w:cs="宋体"/>
          <w:color w:val="auto"/>
          <w:sz w:val="24"/>
          <w:szCs w:val="24"/>
          <w:highlight w:val="none"/>
        </w:rPr>
      </w:pPr>
    </w:p>
    <w:p w14:paraId="3557D204">
      <w:pPr>
        <w:pStyle w:val="13"/>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auto"/>
        <w:ind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注：①上标“1”为从业人员、营业收入、资产总额填报上一年度数据，无上一年度数据的新成立企业可不填报。</w:t>
      </w:r>
    </w:p>
    <w:p w14:paraId="7DDC1DBE">
      <w:pPr>
        <w:pStyle w:val="13"/>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auto"/>
        <w:ind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②采购代理机构在随中标、成交结果同时公告其《中小企业声明函》，接受社会监督。供应商提供的《中小企业声明函》与事实不符的，按照《中国人民共和国政府采购法》等国家有规定追究相应责任。</w:t>
      </w:r>
    </w:p>
    <w:p w14:paraId="1DF8BF9D">
      <w:pPr>
        <w:pStyle w:val="13"/>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auto"/>
        <w:ind w:firstLine="422" w:firstLineChars="200"/>
        <w:contextualSpacing/>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③本项目属于《关于印发中小企业划型标准规定的通知》（工信部联企业〔2011〕300号）规定中的“（三）建筑业。”的行业。（注：（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EA41F34">
      <w:pPr>
        <w:shd w:val="clear" w:color="auto" w:fill="auto"/>
        <w:jc w:val="center"/>
        <w:outlineLvl w:val="9"/>
        <w:rPr>
          <w:rFonts w:hint="eastAsia" w:ascii="宋体" w:hAnsi="宋体" w:eastAsia="宋体" w:cs="宋体"/>
          <w:color w:val="auto"/>
          <w:kern w:val="0"/>
          <w:sz w:val="30"/>
          <w:szCs w:val="30"/>
          <w:highlight w:val="none"/>
          <w:lang w:val="en-US"/>
        </w:rPr>
      </w:pPr>
      <w:r>
        <w:rPr>
          <w:rFonts w:hint="eastAsia" w:ascii="宋体" w:hAnsi="宋体" w:eastAsia="宋体" w:cs="宋体"/>
          <w:b/>
          <w:bCs/>
          <w:color w:val="auto"/>
          <w:sz w:val="28"/>
          <w:szCs w:val="36"/>
          <w:highlight w:val="none"/>
        </w:rPr>
        <w:br w:type="page"/>
      </w:r>
      <w:r>
        <w:rPr>
          <w:rFonts w:hint="eastAsia" w:ascii="宋体" w:hAnsi="宋体" w:eastAsia="宋体" w:cs="宋体"/>
          <w:color w:val="auto"/>
          <w:kern w:val="0"/>
          <w:sz w:val="30"/>
          <w:szCs w:val="30"/>
          <w:highlight w:val="none"/>
          <w:lang w:val="en-US"/>
        </w:rPr>
        <w:t>《监狱企业证明文件》</w:t>
      </w:r>
    </w:p>
    <w:p w14:paraId="79E92FF0">
      <w:pPr>
        <w:shd w:val="clear" w:color="auto" w:fill="auto"/>
        <w:spacing w:line="360" w:lineRule="auto"/>
        <w:ind w:right="-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符合《财政部 司法部关于政府采购支持监狱企业发展有关问题的通知》（财库[2014]68号）价格扣减条件的供应商提供</w:t>
      </w:r>
    </w:p>
    <w:p w14:paraId="640D469A">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Cs/>
          <w:snapToGrid/>
          <w:color w:val="auto"/>
          <w:kern w:val="0"/>
          <w:sz w:val="30"/>
          <w:szCs w:val="30"/>
          <w:highlight w:val="none"/>
        </w:rPr>
      </w:pPr>
      <w:r>
        <w:rPr>
          <w:rFonts w:hint="eastAsia" w:ascii="宋体" w:hAnsi="宋体" w:eastAsia="宋体" w:cs="宋体"/>
          <w:bCs/>
          <w:snapToGrid/>
          <w:color w:val="auto"/>
          <w:kern w:val="0"/>
          <w:sz w:val="30"/>
          <w:szCs w:val="30"/>
          <w:highlight w:val="none"/>
        </w:rPr>
        <w:t>监狱企业证明文件</w:t>
      </w:r>
    </w:p>
    <w:p w14:paraId="296EC649">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BAC04DA">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7AAB0D30">
      <w:pPr>
        <w:pStyle w:val="13"/>
        <w:shd w:val="clear" w:color="auto" w:fill="auto"/>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供应商名称（电子签章或盖单位公章）：</w:t>
      </w:r>
    </w:p>
    <w:p w14:paraId="635E4B10">
      <w:pPr>
        <w:pStyle w:val="13"/>
        <w:shd w:val="clear" w:color="auto" w:fill="auto"/>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202258BB">
      <w:pPr>
        <w:widowControl/>
        <w:shd w:val="clear" w:color="auto" w:fill="auto"/>
        <w:spacing w:line="360" w:lineRule="auto"/>
        <w:ind w:firstLine="482" w:firstLineChars="200"/>
        <w:jc w:val="left"/>
        <w:rPr>
          <w:rFonts w:hint="eastAsia" w:ascii="宋体" w:hAnsi="宋体" w:eastAsia="宋体" w:cs="宋体"/>
          <w:b/>
          <w:color w:val="auto"/>
          <w:sz w:val="24"/>
          <w:szCs w:val="24"/>
          <w:highlight w:val="none"/>
        </w:rPr>
      </w:pPr>
    </w:p>
    <w:p w14:paraId="0E14D6E6">
      <w:pPr>
        <w:widowControl/>
        <w:shd w:val="clear" w:color="auto" w:fill="auto"/>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注：符合条件的监狱企业在参加政府采购活动时，应当按《财政部 司法部关于政府采购支持监狱企业发展有关问题的通知》（财库[2014]68号）提供规定的《监狱企业证明文件》，并对声明的真实性负责。</w:t>
      </w:r>
    </w:p>
    <w:p w14:paraId="3D2C71B3">
      <w:pPr>
        <w:pStyle w:val="13"/>
        <w:widowControl w:val="0"/>
        <w:shd w:val="clear" w:color="auto" w:fill="auto"/>
        <w:spacing w:before="0" w:beforeAutospacing="0" w:after="0" w:afterAutospacing="0" w:line="360" w:lineRule="auto"/>
        <w:ind w:firstLine="482" w:firstLineChars="200"/>
        <w:contextualSpacing/>
        <w:rPr>
          <w:rFonts w:hint="eastAsia" w:ascii="宋体" w:hAnsi="宋体" w:eastAsia="宋体" w:cs="宋体"/>
          <w:b/>
          <w:bCs/>
          <w:color w:val="auto"/>
          <w:sz w:val="24"/>
          <w:szCs w:val="24"/>
          <w:highlight w:val="none"/>
        </w:rPr>
      </w:pPr>
    </w:p>
    <w:p w14:paraId="62C35D9D">
      <w:pPr>
        <w:shd w:val="clear" w:color="auto" w:fill="auto"/>
        <w:rPr>
          <w:rFonts w:hint="eastAsia" w:ascii="宋体" w:hAnsi="宋体" w:eastAsia="宋体" w:cs="宋体"/>
          <w:color w:val="auto"/>
          <w:highlight w:val="none"/>
        </w:rPr>
      </w:pPr>
    </w:p>
    <w:p w14:paraId="3052EBA7">
      <w:pPr>
        <w:shd w:val="clear" w:color="auto" w:fill="auto"/>
        <w:outlineLvl w:val="9"/>
        <w:rPr>
          <w:rFonts w:hint="eastAsia" w:ascii="宋体" w:hAnsi="宋体" w:eastAsia="宋体" w:cs="宋体"/>
          <w:b/>
          <w:bCs/>
          <w:color w:val="auto"/>
          <w:sz w:val="28"/>
          <w:szCs w:val="36"/>
          <w:highlight w:val="none"/>
          <w:lang w:eastAsia="zh-CN"/>
        </w:rPr>
      </w:pPr>
    </w:p>
    <w:p w14:paraId="7510539C">
      <w:pPr>
        <w:shd w:val="clear" w:color="auto" w:fill="auto"/>
        <w:spacing w:before="240" w:after="240" w:line="360" w:lineRule="auto"/>
        <w:ind w:firstLine="0"/>
        <w:jc w:val="center"/>
        <w:outlineLvl w:val="9"/>
        <w:rPr>
          <w:rFonts w:hint="eastAsia" w:ascii="宋体" w:hAnsi="宋体" w:eastAsia="宋体" w:cs="宋体"/>
          <w:color w:val="auto"/>
          <w:kern w:val="0"/>
          <w:sz w:val="30"/>
          <w:szCs w:val="30"/>
          <w:highlight w:val="none"/>
          <w:lang w:val="en-US"/>
        </w:rPr>
      </w:pPr>
      <w:r>
        <w:rPr>
          <w:rFonts w:hint="eastAsia" w:ascii="宋体" w:hAnsi="宋体" w:eastAsia="宋体" w:cs="宋体"/>
          <w:color w:val="auto"/>
          <w:kern w:val="0"/>
          <w:sz w:val="30"/>
          <w:szCs w:val="30"/>
          <w:highlight w:val="none"/>
          <w:lang w:val="en-US"/>
        </w:rPr>
        <w:br w:type="page"/>
      </w:r>
      <w:r>
        <w:rPr>
          <w:rFonts w:hint="eastAsia" w:ascii="宋体" w:hAnsi="宋体" w:eastAsia="宋体" w:cs="宋体"/>
          <w:color w:val="auto"/>
          <w:kern w:val="0"/>
          <w:sz w:val="30"/>
          <w:szCs w:val="30"/>
          <w:highlight w:val="none"/>
          <w:lang w:val="en-US"/>
        </w:rPr>
        <w:t>《残疾人福利性单位声明函》</w:t>
      </w:r>
    </w:p>
    <w:p w14:paraId="7746DC9E">
      <w:pPr>
        <w:shd w:val="clear" w:color="auto" w:fill="auto"/>
        <w:spacing w:line="360" w:lineRule="auto"/>
        <w:ind w:right="-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符合《关于促进残疾人就业政府采购政策的通知》（财库〔2017〕141号）价格扣减条件的供应商提供</w:t>
      </w:r>
    </w:p>
    <w:p w14:paraId="5AAF39B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Cs/>
          <w:snapToGrid/>
          <w:color w:val="auto"/>
          <w:kern w:val="0"/>
          <w:sz w:val="30"/>
          <w:szCs w:val="30"/>
          <w:highlight w:val="none"/>
        </w:rPr>
      </w:pPr>
      <w:r>
        <w:rPr>
          <w:rFonts w:hint="eastAsia" w:ascii="宋体" w:hAnsi="宋体" w:eastAsia="宋体" w:cs="宋体"/>
          <w:bCs/>
          <w:snapToGrid/>
          <w:color w:val="auto"/>
          <w:kern w:val="0"/>
          <w:sz w:val="30"/>
          <w:szCs w:val="30"/>
          <w:highlight w:val="none"/>
        </w:rPr>
        <w:t>残疾人福利性单位声明函</w:t>
      </w:r>
    </w:p>
    <w:p w14:paraId="0A7FF72F">
      <w:pPr>
        <w:shd w:val="clear" w:color="auto" w:fill="auto"/>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3421F26">
      <w:pPr>
        <w:shd w:val="clear" w:color="auto" w:fill="auto"/>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008148EC">
      <w:pPr>
        <w:shd w:val="clear" w:color="auto" w:fill="auto"/>
        <w:spacing w:line="360" w:lineRule="auto"/>
        <w:ind w:firstLine="504" w:firstLineChars="200"/>
        <w:rPr>
          <w:rFonts w:hint="eastAsia" w:ascii="宋体" w:hAnsi="宋体" w:eastAsia="宋体" w:cs="宋体"/>
          <w:color w:val="auto"/>
          <w:spacing w:val="6"/>
          <w:sz w:val="24"/>
          <w:szCs w:val="24"/>
          <w:highlight w:val="none"/>
        </w:rPr>
      </w:pPr>
    </w:p>
    <w:p w14:paraId="29F93AE2">
      <w:pPr>
        <w:shd w:val="clear" w:color="auto" w:fill="auto"/>
        <w:spacing w:line="360" w:lineRule="auto"/>
        <w:ind w:firstLine="504" w:firstLineChars="200"/>
        <w:rPr>
          <w:rFonts w:hint="eastAsia" w:ascii="宋体" w:hAnsi="宋体" w:eastAsia="宋体" w:cs="宋体"/>
          <w:color w:val="auto"/>
          <w:spacing w:val="6"/>
          <w:sz w:val="24"/>
          <w:szCs w:val="24"/>
          <w:highlight w:val="none"/>
        </w:rPr>
      </w:pPr>
    </w:p>
    <w:p w14:paraId="66D55E22">
      <w:pPr>
        <w:pStyle w:val="13"/>
        <w:shd w:val="clear" w:color="auto" w:fill="auto"/>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供应商名称（电子签章或盖单位公章）：</w:t>
      </w:r>
    </w:p>
    <w:p w14:paraId="457888DF">
      <w:pPr>
        <w:pStyle w:val="13"/>
        <w:shd w:val="clear" w:color="auto" w:fill="auto"/>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5E6321DD">
      <w:pPr>
        <w:shd w:val="clear" w:color="auto" w:fill="auto"/>
        <w:spacing w:line="360" w:lineRule="auto"/>
        <w:ind w:firstLine="482" w:firstLineChars="200"/>
        <w:rPr>
          <w:rFonts w:hint="eastAsia" w:ascii="宋体" w:hAnsi="宋体" w:eastAsia="宋体" w:cs="宋体"/>
          <w:b/>
          <w:color w:val="auto"/>
          <w:sz w:val="24"/>
          <w:szCs w:val="24"/>
          <w:highlight w:val="none"/>
        </w:rPr>
      </w:pPr>
    </w:p>
    <w:p w14:paraId="3F55DB19">
      <w:pPr>
        <w:shd w:val="clear" w:color="auto" w:fill="auto"/>
        <w:spacing w:line="360" w:lineRule="auto"/>
        <w:rPr>
          <w:rFonts w:hint="eastAsia" w:ascii="宋体" w:hAnsi="宋体" w:eastAsia="宋体" w:cs="宋体"/>
          <w:b/>
          <w:color w:val="auto"/>
          <w:sz w:val="24"/>
          <w:szCs w:val="24"/>
          <w:highlight w:val="none"/>
        </w:rPr>
      </w:pPr>
    </w:p>
    <w:p w14:paraId="69D23B52">
      <w:pPr>
        <w:shd w:val="clear" w:color="auto" w:fill="auto"/>
        <w:spacing w:line="360" w:lineRule="auto"/>
        <w:ind w:firstLine="482" w:firstLineChars="200"/>
        <w:rPr>
          <w:rFonts w:hint="eastAsia" w:hAnsi="宋体"/>
          <w:color w:val="auto"/>
          <w:sz w:val="24"/>
          <w:szCs w:val="24"/>
          <w:highlight w:val="none"/>
        </w:rPr>
      </w:pPr>
      <w:r>
        <w:rPr>
          <w:rFonts w:hint="eastAsia" w:ascii="宋体" w:hAnsi="宋体" w:eastAsia="宋体" w:cs="宋体"/>
          <w:b/>
          <w:color w:val="auto"/>
          <w:sz w:val="24"/>
          <w:szCs w:val="24"/>
          <w:highlight w:val="none"/>
        </w:rPr>
        <w:t>注：符合条件的残疾人福利性单位在参加政府采购活动时，应当按《关于促进残疾人就业政府采购政策的通知》（财库〔2017〕141号）提供规定的《残疾人福利性单位声明函》，并对声明的真实性负责。</w:t>
      </w:r>
    </w:p>
    <w:p w14:paraId="6B5077B6">
      <w:pPr>
        <w:shd w:val="clear" w:color="auto" w:fill="auto"/>
        <w:rPr>
          <w:rFonts w:hint="eastAsia" w:ascii="宋体" w:hAnsi="宋体" w:eastAsia="宋体" w:cs="宋体"/>
          <w:color w:val="auto"/>
          <w:highlight w:val="none"/>
        </w:rPr>
      </w:pPr>
    </w:p>
    <w:p w14:paraId="1850C151">
      <w:pPr>
        <w:shd w:val="clear" w:color="auto" w:fill="auto"/>
        <w:outlineLvl w:val="2"/>
        <w:rPr>
          <w:rFonts w:hint="default"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rPr>
        <w:br w:type="page"/>
      </w:r>
      <w:r>
        <w:rPr>
          <w:rFonts w:hint="eastAsia" w:ascii="宋体" w:hAnsi="宋体" w:eastAsia="宋体" w:cs="宋体"/>
          <w:b/>
          <w:bCs/>
          <w:color w:val="auto"/>
          <w:sz w:val="28"/>
          <w:szCs w:val="36"/>
          <w:highlight w:val="none"/>
        </w:rPr>
        <w:t>格式</w:t>
      </w:r>
      <w:bookmarkStart w:id="933" w:name="_Hlk14881428"/>
      <w:r>
        <w:rPr>
          <w:rFonts w:hint="eastAsia" w:hAnsi="宋体" w:cs="宋体"/>
          <w:b/>
          <w:bCs/>
          <w:color w:val="auto"/>
          <w:sz w:val="28"/>
          <w:szCs w:val="36"/>
          <w:highlight w:val="none"/>
          <w:lang w:val="en-US" w:eastAsia="zh-CN"/>
        </w:rPr>
        <w:t>1-9其他材料</w:t>
      </w:r>
    </w:p>
    <w:p w14:paraId="4F4ABECA">
      <w:pPr>
        <w:shd w:val="clear" w:color="auto" w:fill="auto"/>
        <w:spacing w:line="360" w:lineRule="auto"/>
        <w:jc w:val="both"/>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竞争性磋商文件要求或供应商认为有必要提交的其他资料</w:t>
      </w:r>
    </w:p>
    <w:p w14:paraId="59CAA006">
      <w:pPr>
        <w:shd w:val="clear" w:color="auto" w:fill="auto"/>
        <w:spacing w:line="360" w:lineRule="auto"/>
        <w:jc w:val="both"/>
        <w:rPr>
          <w:rFonts w:hint="eastAsia" w:ascii="宋体" w:hAnsi="宋体" w:eastAsia="宋体" w:cs="宋体"/>
          <w:color w:val="auto"/>
          <w:highlight w:val="none"/>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如竞争性磋商文件的资格审查有要求的，但“响应文件格式”中未给出对应格式的，由供应商在此提供（格式自拟）</w:t>
      </w:r>
      <w:bookmarkEnd w:id="933"/>
    </w:p>
    <w:p w14:paraId="37358925">
      <w:pPr>
        <w:rPr>
          <w:rFonts w:hint="eastAsia" w:ascii="宋体" w:hAnsi="宋体" w:eastAsia="宋体" w:cs="宋体"/>
          <w:b/>
          <w:snapToGrid/>
          <w:color w:val="auto"/>
          <w:kern w:val="11"/>
          <w:sz w:val="32"/>
          <w:szCs w:val="32"/>
          <w:highlight w:val="none"/>
        </w:rPr>
      </w:pPr>
      <w:r>
        <w:rPr>
          <w:rFonts w:hint="eastAsia" w:ascii="宋体" w:hAnsi="宋体" w:eastAsia="宋体" w:cs="宋体"/>
          <w:b/>
          <w:snapToGrid/>
          <w:color w:val="auto"/>
          <w:kern w:val="11"/>
          <w:sz w:val="32"/>
          <w:szCs w:val="32"/>
          <w:highlight w:val="none"/>
        </w:rPr>
        <w:br w:type="page"/>
      </w:r>
    </w:p>
    <w:p w14:paraId="40CB96C6">
      <w:pPr>
        <w:pStyle w:val="3"/>
        <w:keepLines w:val="0"/>
        <w:shd w:val="clear" w:color="auto" w:fill="auto"/>
        <w:spacing w:before="240" w:after="240" w:line="360" w:lineRule="auto"/>
        <w:ind w:left="0" w:leftChars="0" w:firstLine="0" w:firstLineChars="0"/>
        <w:jc w:val="center"/>
        <w:outlineLvl w:val="1"/>
        <w:rPr>
          <w:rFonts w:hint="eastAsia" w:ascii="宋体" w:hAnsi="宋体" w:eastAsia="宋体" w:cs="宋体"/>
          <w:b/>
          <w:bCs/>
          <w:color w:val="auto"/>
          <w:sz w:val="28"/>
          <w:szCs w:val="36"/>
          <w:highlight w:val="none"/>
        </w:rPr>
      </w:pPr>
      <w:r>
        <w:rPr>
          <w:rFonts w:hint="eastAsia" w:ascii="宋体" w:eastAsia="宋体" w:cs="宋体"/>
          <w:b/>
          <w:bCs/>
          <w:color w:val="auto"/>
          <w:sz w:val="28"/>
          <w:szCs w:val="36"/>
          <w:highlight w:val="none"/>
          <w:lang w:val="en-US" w:eastAsia="zh-CN"/>
        </w:rPr>
        <w:t>第二部分</w:t>
      </w:r>
      <w:r>
        <w:rPr>
          <w:rFonts w:hint="eastAsia" w:ascii="宋体" w:hAnsi="宋体" w:eastAsia="宋体" w:cs="宋体"/>
          <w:b/>
          <w:bCs/>
          <w:color w:val="auto"/>
          <w:sz w:val="28"/>
          <w:szCs w:val="36"/>
          <w:highlight w:val="none"/>
          <w:lang w:val="en-US"/>
        </w:rPr>
        <w:t>报价文件</w:t>
      </w:r>
      <w:bookmarkEnd w:id="923"/>
      <w:bookmarkEnd w:id="924"/>
      <w:r>
        <w:rPr>
          <w:rFonts w:hint="eastAsia" w:ascii="宋体" w:hAnsi="宋体" w:eastAsia="宋体" w:cs="宋体"/>
          <w:b/>
          <w:bCs/>
          <w:color w:val="auto"/>
          <w:sz w:val="28"/>
          <w:szCs w:val="36"/>
          <w:highlight w:val="none"/>
          <w:lang w:val="en-US"/>
        </w:rPr>
        <w:t>文件格式</w:t>
      </w:r>
    </w:p>
    <w:p w14:paraId="5FE176B3">
      <w:pPr>
        <w:keepLines w:val="0"/>
        <w:shd w:val="clear" w:color="auto" w:fill="auto"/>
        <w:spacing w:before="240" w:after="240" w:line="360" w:lineRule="auto"/>
        <w:jc w:val="center"/>
        <w:outlineLvl w:val="9"/>
        <w:rPr>
          <w:rFonts w:hint="eastAsia" w:ascii="宋体" w:hAnsi="宋体" w:eastAsia="宋体" w:cs="宋体"/>
          <w:b/>
          <w:bCs w:val="0"/>
          <w:color w:val="auto"/>
          <w:kern w:val="0"/>
          <w:sz w:val="30"/>
          <w:szCs w:val="30"/>
          <w:highlight w:val="none"/>
          <w:lang w:val="en-US"/>
        </w:rPr>
      </w:pPr>
      <w:bookmarkStart w:id="934" w:name="_Toc149850517"/>
      <w:bookmarkStart w:id="935" w:name="_Toc125054718"/>
      <w:r>
        <w:rPr>
          <w:rFonts w:hint="eastAsia" w:ascii="宋体" w:hAnsi="宋体" w:eastAsia="宋体" w:cs="宋体"/>
          <w:b/>
          <w:bCs w:val="0"/>
          <w:color w:val="auto"/>
          <w:kern w:val="0"/>
          <w:sz w:val="30"/>
          <w:szCs w:val="30"/>
          <w:highlight w:val="none"/>
          <w:lang w:val="en-US"/>
        </w:rPr>
        <w:t>报价文件</w:t>
      </w:r>
      <w:bookmarkEnd w:id="934"/>
      <w:bookmarkEnd w:id="935"/>
    </w:p>
    <w:p w14:paraId="7C3915F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1.供应商应填写和提交下述规定的有关资料。</w:t>
      </w:r>
    </w:p>
    <w:p w14:paraId="60C5272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2.所附格式要求填写的全部内容都必须填写。</w:t>
      </w:r>
    </w:p>
    <w:p w14:paraId="6DD4E2A0">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3.供应商应保证填写的内容是真实的和正确的。</w:t>
      </w:r>
    </w:p>
    <w:p w14:paraId="0ADE1B9B">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4.供应商提交的材料将被保密，但不退还。</w:t>
      </w:r>
    </w:p>
    <w:p w14:paraId="48F29CD5">
      <w:pPr>
        <w:shd w:val="clear" w:color="auto" w:fill="auto"/>
        <w:outlineLvl w:val="2"/>
        <w:rPr>
          <w:rFonts w:hint="eastAsia" w:ascii="宋体" w:hAnsi="宋体" w:eastAsia="宋体" w:cs="宋体"/>
          <w:b/>
          <w:bCs/>
          <w:color w:val="auto"/>
          <w:sz w:val="28"/>
          <w:szCs w:val="36"/>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36"/>
          <w:highlight w:val="none"/>
        </w:rPr>
        <w:t>格式</w:t>
      </w:r>
      <w:r>
        <w:rPr>
          <w:rFonts w:hint="eastAsia" w:hAnsi="宋体" w:cs="宋体"/>
          <w:b/>
          <w:bCs/>
          <w:color w:val="auto"/>
          <w:sz w:val="28"/>
          <w:szCs w:val="36"/>
          <w:highlight w:val="none"/>
          <w:lang w:val="en-US" w:eastAsia="zh-CN"/>
        </w:rPr>
        <w:t>2</w:t>
      </w:r>
      <w:r>
        <w:rPr>
          <w:rFonts w:hint="eastAsia" w:ascii="宋体" w:hAnsi="宋体" w:eastAsia="宋体" w:cs="宋体"/>
          <w:b/>
          <w:bCs/>
          <w:color w:val="auto"/>
          <w:sz w:val="28"/>
          <w:szCs w:val="36"/>
          <w:highlight w:val="none"/>
        </w:rPr>
        <w:t>-1首次磋商报价一览表</w:t>
      </w:r>
    </w:p>
    <w:p w14:paraId="62A039BB">
      <w:pPr>
        <w:shd w:val="clear" w:color="auto" w:fill="auto"/>
        <w:tabs>
          <w:tab w:val="left" w:pos="432"/>
          <w:tab w:val="left" w:pos="720"/>
        </w:tabs>
        <w:spacing w:before="240" w:after="240" w:line="360" w:lineRule="auto"/>
        <w:ind w:firstLine="0"/>
        <w:jc w:val="center"/>
        <w:outlineLvl w:val="9"/>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首次磋商报价一览表</w:t>
      </w:r>
    </w:p>
    <w:p w14:paraId="18DC5384">
      <w:pPr>
        <w:shd w:val="clear" w:color="auto" w:fill="auto"/>
        <w:autoSpaceDE w:val="0"/>
        <w:autoSpaceDN w:val="0"/>
        <w:adjustRightInd w:val="0"/>
        <w:spacing w:line="360" w:lineRule="auto"/>
        <w:jc w:val="left"/>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项目名称：</w:t>
      </w:r>
    </w:p>
    <w:p w14:paraId="368BBB40">
      <w:pPr>
        <w:shd w:val="clear" w:color="auto" w:fill="auto"/>
        <w:autoSpaceDE w:val="0"/>
        <w:autoSpaceDN w:val="0"/>
        <w:adjustRightInd w:val="0"/>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项目编号：</w:t>
      </w:r>
    </w:p>
    <w:tbl>
      <w:tblPr>
        <w:tblStyle w:val="14"/>
        <w:tblpPr w:leftFromText="180" w:rightFromText="180" w:vertAnchor="text" w:horzAnchor="margin" w:tblpXSpec="center" w:tblpY="132"/>
        <w:tblOverlap w:val="never"/>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684"/>
        <w:gridCol w:w="5377"/>
      </w:tblGrid>
      <w:tr w14:paraId="3B3F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893" w:type="dxa"/>
            <w:tcBorders>
              <w:top w:val="single" w:color="auto" w:sz="4" w:space="0"/>
              <w:left w:val="single" w:color="auto" w:sz="4" w:space="0"/>
              <w:bottom w:val="single" w:color="auto" w:sz="4" w:space="0"/>
              <w:right w:val="single" w:color="auto" w:sz="4" w:space="0"/>
            </w:tcBorders>
            <w:noWrap w:val="0"/>
            <w:vAlign w:val="center"/>
          </w:tcPr>
          <w:p w14:paraId="50CF4587">
            <w:pPr>
              <w:keepNext w:val="0"/>
              <w:keepLines w:val="0"/>
              <w:pageBreakBefore w:val="0"/>
              <w:shd w:val="clear" w:color="auto" w:fill="auto"/>
              <w:kinsoku/>
              <w:wordWrap/>
              <w:overflowPunct/>
              <w:topLinePunct w:val="0"/>
              <w:autoSpaceDE/>
              <w:autoSpaceDN/>
              <w:bidi w:val="0"/>
              <w:adjustRightInd/>
              <w:spacing w:after="0" w:line="360" w:lineRule="auto"/>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序号</w:t>
            </w:r>
          </w:p>
        </w:tc>
        <w:tc>
          <w:tcPr>
            <w:tcW w:w="2684" w:type="dxa"/>
            <w:tcBorders>
              <w:top w:val="single" w:color="auto" w:sz="4" w:space="0"/>
              <w:left w:val="single" w:color="auto" w:sz="4" w:space="0"/>
              <w:bottom w:val="single" w:color="auto" w:sz="4" w:space="0"/>
              <w:right w:val="single" w:color="auto" w:sz="4" w:space="0"/>
            </w:tcBorders>
            <w:noWrap w:val="0"/>
            <w:vAlign w:val="center"/>
          </w:tcPr>
          <w:p w14:paraId="436291D4">
            <w:pPr>
              <w:keepNext w:val="0"/>
              <w:keepLines w:val="0"/>
              <w:pageBreakBefore w:val="0"/>
              <w:shd w:val="clear" w:color="auto" w:fill="auto"/>
              <w:kinsoku/>
              <w:wordWrap/>
              <w:overflowPunct/>
              <w:topLinePunct w:val="0"/>
              <w:autoSpaceDE/>
              <w:autoSpaceDN/>
              <w:bidi w:val="0"/>
              <w:adjustRightInd/>
              <w:spacing w:after="0" w:line="360" w:lineRule="auto"/>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内容</w:t>
            </w:r>
          </w:p>
        </w:tc>
        <w:tc>
          <w:tcPr>
            <w:tcW w:w="5377" w:type="dxa"/>
            <w:tcBorders>
              <w:top w:val="single" w:color="auto" w:sz="4" w:space="0"/>
              <w:left w:val="single" w:color="auto" w:sz="4" w:space="0"/>
              <w:bottom w:val="single" w:color="auto" w:sz="4" w:space="0"/>
              <w:right w:val="single" w:color="auto" w:sz="4" w:space="0"/>
            </w:tcBorders>
            <w:noWrap w:val="0"/>
            <w:vAlign w:val="center"/>
          </w:tcPr>
          <w:p w14:paraId="6B686E56">
            <w:pPr>
              <w:keepNext w:val="0"/>
              <w:keepLines w:val="0"/>
              <w:pageBreakBefore w:val="0"/>
              <w:shd w:val="clear" w:color="auto" w:fill="auto"/>
              <w:kinsoku/>
              <w:wordWrap/>
              <w:overflowPunct/>
              <w:topLinePunct w:val="0"/>
              <w:autoSpaceDE/>
              <w:autoSpaceDN/>
              <w:bidi w:val="0"/>
              <w:adjustRightInd/>
              <w:spacing w:after="0" w:line="360" w:lineRule="auto"/>
              <w:ind w:firstLine="482" w:firstLineChars="200"/>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报价及承诺</w:t>
            </w:r>
          </w:p>
        </w:tc>
      </w:tr>
      <w:tr w14:paraId="0204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jc w:val="center"/>
        </w:trPr>
        <w:tc>
          <w:tcPr>
            <w:tcW w:w="893" w:type="dxa"/>
            <w:tcBorders>
              <w:top w:val="single" w:color="auto" w:sz="4" w:space="0"/>
              <w:left w:val="single" w:color="auto" w:sz="4" w:space="0"/>
              <w:right w:val="single" w:color="auto" w:sz="4" w:space="0"/>
            </w:tcBorders>
            <w:noWrap w:val="0"/>
            <w:vAlign w:val="center"/>
          </w:tcPr>
          <w:p w14:paraId="7451257A">
            <w:pPr>
              <w:keepNext w:val="0"/>
              <w:keepLines w:val="0"/>
              <w:pageBreakBefore w:val="0"/>
              <w:shd w:val="clear" w:color="auto" w:fill="auto"/>
              <w:kinsoku/>
              <w:wordWrap/>
              <w:overflowPunct/>
              <w:topLinePunct w:val="0"/>
              <w:autoSpaceDE/>
              <w:autoSpaceDN/>
              <w:bidi w:val="0"/>
              <w:adjustRightInd/>
              <w:spacing w:after="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84" w:type="dxa"/>
            <w:tcBorders>
              <w:top w:val="single" w:color="auto" w:sz="4" w:space="0"/>
              <w:left w:val="single" w:color="auto" w:sz="4" w:space="0"/>
              <w:right w:val="single" w:color="auto" w:sz="4" w:space="0"/>
            </w:tcBorders>
            <w:noWrap w:val="0"/>
            <w:vAlign w:val="center"/>
          </w:tcPr>
          <w:p w14:paraId="5849253D">
            <w:pPr>
              <w:shd w:val="clear" w:color="auto" w:fill="auto"/>
              <w:spacing w:beforeLines="0" w:afterLines="0" w:line="320" w:lineRule="exact"/>
              <w:jc w:val="center"/>
              <w:rPr>
                <w:rFonts w:hint="eastAsia" w:ascii="宋体" w:hAnsi="宋体" w:eastAsia="宋体" w:cs="宋体"/>
                <w:b/>
                <w:color w:val="auto"/>
                <w:sz w:val="24"/>
                <w:szCs w:val="24"/>
                <w:highlight w:val="none"/>
              </w:rPr>
            </w:pPr>
            <w:r>
              <w:rPr>
                <w:rFonts w:hint="default" w:ascii="宋体" w:hAnsi="宋体" w:cs="宋体"/>
                <w:color w:val="auto"/>
                <w:kern w:val="2"/>
                <w:sz w:val="24"/>
                <w:szCs w:val="24"/>
                <w:highlight w:val="none"/>
              </w:rPr>
              <w:t>磋商报价</w:t>
            </w:r>
          </w:p>
        </w:tc>
        <w:tc>
          <w:tcPr>
            <w:tcW w:w="5377" w:type="dxa"/>
            <w:tcBorders>
              <w:top w:val="single" w:color="auto" w:sz="4" w:space="0"/>
              <w:left w:val="single" w:color="auto" w:sz="4" w:space="0"/>
              <w:right w:val="single" w:color="auto" w:sz="4" w:space="0"/>
            </w:tcBorders>
            <w:noWrap w:val="0"/>
            <w:vAlign w:val="center"/>
          </w:tcPr>
          <w:p w14:paraId="70C04353">
            <w:pPr>
              <w:shd w:val="clear" w:color="auto" w:fill="auto"/>
              <w:spacing w:beforeLines="0" w:afterLines="0" w:line="360" w:lineRule="auto"/>
              <w:jc w:val="left"/>
              <w:rPr>
                <w:rFonts w:hint="default" w:ascii="宋体" w:hAnsi="宋体" w:cs="宋体"/>
                <w:color w:val="auto"/>
                <w:sz w:val="24"/>
                <w:szCs w:val="24"/>
                <w:highlight w:val="none"/>
              </w:rPr>
            </w:pPr>
            <w:r>
              <w:rPr>
                <w:rFonts w:hint="default" w:ascii="宋体" w:hAnsi="宋体" w:cs="宋体"/>
                <w:color w:val="auto"/>
                <w:sz w:val="24"/>
                <w:szCs w:val="24"/>
                <w:highlight w:val="none"/>
              </w:rPr>
              <w:t>小写：</w:t>
            </w:r>
            <w:r>
              <w:rPr>
                <w:rFonts w:hint="default" w:ascii="宋体" w:hAnsi="宋体" w:cs="宋体"/>
                <w:color w:val="auto"/>
                <w:sz w:val="24"/>
                <w:szCs w:val="24"/>
                <w:highlight w:val="none"/>
                <w:u w:val="single"/>
              </w:rPr>
              <w:t xml:space="preserve">           </w:t>
            </w:r>
            <w:r>
              <w:rPr>
                <w:rFonts w:hint="default" w:ascii="宋体" w:hAnsi="宋体" w:cs="宋体"/>
                <w:color w:val="auto"/>
                <w:sz w:val="24"/>
                <w:szCs w:val="24"/>
                <w:highlight w:val="none"/>
              </w:rPr>
              <w:t>元</w:t>
            </w:r>
          </w:p>
          <w:p w14:paraId="0B71FF4B">
            <w:pPr>
              <w:shd w:val="clear" w:color="auto" w:fill="auto"/>
              <w:spacing w:beforeLines="0" w:afterLines="0" w:line="360" w:lineRule="auto"/>
              <w:jc w:val="left"/>
              <w:rPr>
                <w:rFonts w:hint="eastAsia" w:ascii="宋体" w:hAnsi="宋体" w:eastAsia="宋体" w:cs="宋体"/>
                <w:color w:val="auto"/>
                <w:sz w:val="24"/>
                <w:szCs w:val="24"/>
                <w:highlight w:val="none"/>
                <w:u w:val="single"/>
                <w:lang w:val="en-US" w:eastAsia="zh-CN"/>
              </w:rPr>
            </w:pPr>
            <w:r>
              <w:rPr>
                <w:rFonts w:hint="default" w:ascii="宋体" w:hAnsi="宋体" w:cs="宋体"/>
                <w:color w:val="auto"/>
                <w:sz w:val="24"/>
                <w:szCs w:val="24"/>
                <w:highlight w:val="none"/>
              </w:rPr>
              <w:t>大写：</w:t>
            </w:r>
            <w:r>
              <w:rPr>
                <w:rFonts w:hint="default" w:ascii="宋体" w:hAnsi="宋体" w:cs="宋体"/>
                <w:color w:val="auto"/>
                <w:sz w:val="24"/>
                <w:szCs w:val="24"/>
                <w:highlight w:val="none"/>
                <w:u w:val="single"/>
              </w:rPr>
              <w:t xml:space="preserve">             </w:t>
            </w:r>
          </w:p>
        </w:tc>
      </w:tr>
      <w:tr w14:paraId="4E25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893" w:type="dxa"/>
            <w:tcBorders>
              <w:top w:val="single" w:color="auto" w:sz="4" w:space="0"/>
              <w:left w:val="single" w:color="auto" w:sz="4" w:space="0"/>
              <w:right w:val="single" w:color="auto" w:sz="4" w:space="0"/>
            </w:tcBorders>
            <w:noWrap w:val="0"/>
            <w:vAlign w:val="center"/>
          </w:tcPr>
          <w:p w14:paraId="5F75448A">
            <w:pPr>
              <w:keepNext w:val="0"/>
              <w:keepLines w:val="0"/>
              <w:pageBreakBefore w:val="0"/>
              <w:shd w:val="clear" w:color="auto" w:fill="auto"/>
              <w:kinsoku/>
              <w:wordWrap/>
              <w:overflowPunct/>
              <w:topLinePunct w:val="0"/>
              <w:autoSpaceDE/>
              <w:autoSpaceDN/>
              <w:bidi w:val="0"/>
              <w:adjustRightInd/>
              <w:spacing w:after="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684" w:type="dxa"/>
            <w:tcBorders>
              <w:top w:val="single" w:color="auto" w:sz="4" w:space="0"/>
              <w:left w:val="single" w:color="auto" w:sz="4" w:space="0"/>
              <w:bottom w:val="single" w:color="auto" w:sz="4" w:space="0"/>
              <w:right w:val="single" w:color="auto" w:sz="4" w:space="0"/>
            </w:tcBorders>
            <w:noWrap w:val="0"/>
            <w:vAlign w:val="center"/>
          </w:tcPr>
          <w:p w14:paraId="15AA4719">
            <w:pPr>
              <w:keepNext w:val="0"/>
              <w:keepLines w:val="0"/>
              <w:pageBreakBefore w:val="0"/>
              <w:shd w:val="clear" w:color="auto" w:fill="auto"/>
              <w:kinsoku/>
              <w:wordWrap/>
              <w:overflowPunct/>
              <w:topLinePunct w:val="0"/>
              <w:autoSpaceDE/>
              <w:autoSpaceDN/>
              <w:bidi w:val="0"/>
              <w:adjustRightInd/>
              <w:spacing w:after="0" w:line="360" w:lineRule="auto"/>
              <w:jc w:val="center"/>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质量标准</w:t>
            </w:r>
          </w:p>
        </w:tc>
        <w:tc>
          <w:tcPr>
            <w:tcW w:w="5377" w:type="dxa"/>
            <w:tcBorders>
              <w:top w:val="single" w:color="auto" w:sz="4" w:space="0"/>
              <w:left w:val="single" w:color="auto" w:sz="4" w:space="0"/>
              <w:bottom w:val="single" w:color="auto" w:sz="4" w:space="0"/>
              <w:right w:val="single" w:color="auto" w:sz="4" w:space="0"/>
            </w:tcBorders>
            <w:noWrap w:val="0"/>
            <w:vAlign w:val="center"/>
          </w:tcPr>
          <w:p w14:paraId="4F9CBAAF">
            <w:pPr>
              <w:keepNext w:val="0"/>
              <w:keepLines w:val="0"/>
              <w:pageBreakBefore w:val="0"/>
              <w:widowControl/>
              <w:shd w:val="clear" w:color="auto" w:fill="auto"/>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szCs w:val="24"/>
                <w:highlight w:val="none"/>
                <w:u w:val="none"/>
                <w:lang w:eastAsia="zh-CN"/>
              </w:rPr>
            </w:pPr>
          </w:p>
        </w:tc>
      </w:tr>
      <w:tr w14:paraId="678D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893" w:type="dxa"/>
            <w:tcBorders>
              <w:top w:val="single" w:color="auto" w:sz="4" w:space="0"/>
              <w:left w:val="single" w:color="auto" w:sz="4" w:space="0"/>
              <w:bottom w:val="single" w:color="auto" w:sz="4" w:space="0"/>
              <w:right w:val="single" w:color="auto" w:sz="4" w:space="0"/>
            </w:tcBorders>
            <w:noWrap w:val="0"/>
            <w:vAlign w:val="center"/>
          </w:tcPr>
          <w:p w14:paraId="2EF63D8E">
            <w:pPr>
              <w:keepNext w:val="0"/>
              <w:keepLines w:val="0"/>
              <w:pageBreakBefore w:val="0"/>
              <w:shd w:val="clear" w:color="auto" w:fill="auto"/>
              <w:kinsoku/>
              <w:wordWrap/>
              <w:overflowPunct/>
              <w:topLinePunct w:val="0"/>
              <w:autoSpaceDE/>
              <w:autoSpaceDN/>
              <w:bidi w:val="0"/>
              <w:adjustRightInd/>
              <w:spacing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684" w:type="dxa"/>
            <w:tcBorders>
              <w:top w:val="single" w:color="auto" w:sz="4" w:space="0"/>
              <w:left w:val="single" w:color="auto" w:sz="4" w:space="0"/>
              <w:bottom w:val="single" w:color="auto" w:sz="4" w:space="0"/>
              <w:right w:val="single" w:color="auto" w:sz="4" w:space="0"/>
            </w:tcBorders>
            <w:noWrap w:val="0"/>
            <w:vAlign w:val="center"/>
          </w:tcPr>
          <w:p w14:paraId="6E9DCFB5">
            <w:pPr>
              <w:keepNext w:val="0"/>
              <w:keepLines w:val="0"/>
              <w:pageBreakBefore w:val="0"/>
              <w:shd w:val="clear" w:color="auto" w:fill="auto"/>
              <w:kinsoku/>
              <w:wordWrap/>
              <w:overflowPunct/>
              <w:topLinePunct w:val="0"/>
              <w:autoSpaceDE/>
              <w:autoSpaceDN/>
              <w:bidi w:val="0"/>
              <w:adjustRightInd/>
              <w:spacing w:after="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合同履行期限</w:t>
            </w:r>
          </w:p>
        </w:tc>
        <w:tc>
          <w:tcPr>
            <w:tcW w:w="5377" w:type="dxa"/>
            <w:tcBorders>
              <w:top w:val="single" w:color="auto" w:sz="4" w:space="0"/>
              <w:left w:val="single" w:color="auto" w:sz="4" w:space="0"/>
              <w:bottom w:val="single" w:color="auto" w:sz="4" w:space="0"/>
              <w:right w:val="single" w:color="auto" w:sz="4" w:space="0"/>
            </w:tcBorders>
            <w:noWrap w:val="0"/>
            <w:vAlign w:val="center"/>
          </w:tcPr>
          <w:p w14:paraId="6603A17F">
            <w:pPr>
              <w:keepNext w:val="0"/>
              <w:keepLines w:val="0"/>
              <w:pageBreakBefore w:val="0"/>
              <w:shd w:val="clear" w:color="auto" w:fill="auto"/>
              <w:kinsoku/>
              <w:wordWrap/>
              <w:overflowPunct/>
              <w:topLinePunct w:val="0"/>
              <w:autoSpaceDE/>
              <w:autoSpaceDN/>
              <w:bidi w:val="0"/>
              <w:adjustRightInd/>
              <w:spacing w:after="0" w:line="360" w:lineRule="auto"/>
              <w:jc w:val="center"/>
              <w:textAlignment w:val="auto"/>
              <w:rPr>
                <w:rFonts w:hint="eastAsia" w:ascii="宋体" w:hAnsi="宋体" w:eastAsia="宋体" w:cs="宋体"/>
                <w:color w:val="auto"/>
                <w:kern w:val="0"/>
                <w:sz w:val="24"/>
                <w:szCs w:val="24"/>
                <w:highlight w:val="none"/>
              </w:rPr>
            </w:pPr>
          </w:p>
        </w:tc>
      </w:tr>
      <w:tr w14:paraId="1E9C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exact"/>
          <w:jc w:val="center"/>
        </w:trPr>
        <w:tc>
          <w:tcPr>
            <w:tcW w:w="893" w:type="dxa"/>
            <w:tcBorders>
              <w:top w:val="single" w:color="auto" w:sz="4" w:space="0"/>
              <w:left w:val="single" w:color="auto" w:sz="4" w:space="0"/>
              <w:bottom w:val="single" w:color="auto" w:sz="4" w:space="0"/>
              <w:right w:val="single" w:color="auto" w:sz="4" w:space="0"/>
            </w:tcBorders>
            <w:noWrap w:val="0"/>
            <w:vAlign w:val="center"/>
          </w:tcPr>
          <w:p w14:paraId="05B118AE">
            <w:pPr>
              <w:keepNext w:val="0"/>
              <w:keepLines w:val="0"/>
              <w:pageBreakBefore w:val="0"/>
              <w:shd w:val="clear" w:color="auto" w:fill="auto"/>
              <w:kinsoku/>
              <w:wordWrap/>
              <w:overflowPunct/>
              <w:topLinePunct w:val="0"/>
              <w:autoSpaceDE/>
              <w:autoSpaceDN/>
              <w:bidi w:val="0"/>
              <w:adjustRightInd/>
              <w:spacing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2684" w:type="dxa"/>
            <w:tcBorders>
              <w:top w:val="single" w:color="auto" w:sz="4" w:space="0"/>
              <w:left w:val="single" w:color="auto" w:sz="4" w:space="0"/>
              <w:bottom w:val="single" w:color="auto" w:sz="4" w:space="0"/>
              <w:right w:val="single" w:color="auto" w:sz="4" w:space="0"/>
            </w:tcBorders>
            <w:noWrap w:val="0"/>
            <w:vAlign w:val="center"/>
          </w:tcPr>
          <w:p w14:paraId="22EFA829">
            <w:pPr>
              <w:keepNext w:val="0"/>
              <w:keepLines w:val="0"/>
              <w:pageBreakBefore w:val="0"/>
              <w:shd w:val="clear" w:color="auto" w:fill="auto"/>
              <w:kinsoku/>
              <w:wordWrap/>
              <w:overflowPunct/>
              <w:topLinePunct w:val="0"/>
              <w:autoSpaceDE/>
              <w:autoSpaceDN/>
              <w:bidi w:val="0"/>
              <w:adjustRightInd/>
              <w:spacing w:after="0"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项目经理</w:t>
            </w:r>
          </w:p>
        </w:tc>
        <w:tc>
          <w:tcPr>
            <w:tcW w:w="5377" w:type="dxa"/>
            <w:tcBorders>
              <w:top w:val="single" w:color="auto" w:sz="4" w:space="0"/>
              <w:left w:val="single" w:color="auto" w:sz="4" w:space="0"/>
              <w:bottom w:val="single" w:color="auto" w:sz="4" w:space="0"/>
              <w:right w:val="single" w:color="auto" w:sz="4" w:space="0"/>
            </w:tcBorders>
            <w:noWrap w:val="0"/>
            <w:vAlign w:val="center"/>
          </w:tcPr>
          <w:p w14:paraId="20621EBA">
            <w:pPr>
              <w:keepNext w:val="0"/>
              <w:keepLines w:val="0"/>
              <w:pageBreakBefore w:val="0"/>
              <w:shd w:val="clear" w:color="auto" w:fill="auto"/>
              <w:kinsoku/>
              <w:wordWrap/>
              <w:overflowPunct/>
              <w:topLinePunct w:val="0"/>
              <w:autoSpaceDE/>
              <w:autoSpaceDN/>
              <w:bidi w:val="0"/>
              <w:adjustRightInd/>
              <w:spacing w:after="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姓名：       </w:t>
            </w:r>
          </w:p>
          <w:p w14:paraId="07F79C36">
            <w:pPr>
              <w:keepNext w:val="0"/>
              <w:keepLines w:val="0"/>
              <w:pageBreakBefore w:val="0"/>
              <w:shd w:val="clear" w:color="auto" w:fill="auto"/>
              <w:kinsoku/>
              <w:wordWrap/>
              <w:overflowPunct/>
              <w:topLinePunct w:val="0"/>
              <w:autoSpaceDE/>
              <w:autoSpaceDN/>
              <w:bidi w:val="0"/>
              <w:adjustRightInd/>
              <w:spacing w:after="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资格证书名称：</w:t>
            </w:r>
          </w:p>
          <w:p w14:paraId="2E63485B">
            <w:pPr>
              <w:keepNext w:val="0"/>
              <w:keepLines w:val="0"/>
              <w:pageBreakBefore w:val="0"/>
              <w:shd w:val="clear" w:color="auto" w:fill="auto"/>
              <w:kinsoku/>
              <w:wordWrap/>
              <w:overflowPunct/>
              <w:topLinePunct w:val="0"/>
              <w:autoSpaceDE/>
              <w:autoSpaceDN/>
              <w:bidi w:val="0"/>
              <w:adjustRightInd/>
              <w:spacing w:after="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证书编号：</w:t>
            </w:r>
          </w:p>
        </w:tc>
      </w:tr>
      <w:tr w14:paraId="3A41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exact"/>
          <w:jc w:val="center"/>
        </w:trPr>
        <w:tc>
          <w:tcPr>
            <w:tcW w:w="893" w:type="dxa"/>
            <w:tcBorders>
              <w:top w:val="single" w:color="auto" w:sz="4" w:space="0"/>
              <w:left w:val="single" w:color="auto" w:sz="4" w:space="0"/>
              <w:bottom w:val="single" w:color="auto" w:sz="4" w:space="0"/>
              <w:right w:val="single" w:color="auto" w:sz="4" w:space="0"/>
            </w:tcBorders>
            <w:noWrap w:val="0"/>
            <w:vAlign w:val="center"/>
          </w:tcPr>
          <w:p w14:paraId="1645CC7F">
            <w:pPr>
              <w:keepNext w:val="0"/>
              <w:keepLines w:val="0"/>
              <w:pageBreakBefore w:val="0"/>
              <w:shd w:val="clear" w:color="auto" w:fill="auto"/>
              <w:kinsoku/>
              <w:wordWrap/>
              <w:overflowPunct/>
              <w:topLinePunct w:val="0"/>
              <w:autoSpaceDE/>
              <w:autoSpaceDN/>
              <w:bidi w:val="0"/>
              <w:adjustRightInd/>
              <w:spacing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684" w:type="dxa"/>
            <w:tcBorders>
              <w:top w:val="single" w:color="auto" w:sz="4" w:space="0"/>
              <w:left w:val="single" w:color="auto" w:sz="4" w:space="0"/>
              <w:bottom w:val="single" w:color="auto" w:sz="4" w:space="0"/>
              <w:right w:val="single" w:color="auto" w:sz="4" w:space="0"/>
            </w:tcBorders>
            <w:noWrap w:val="0"/>
            <w:vAlign w:val="center"/>
          </w:tcPr>
          <w:p w14:paraId="1DFAA242">
            <w:pPr>
              <w:keepNext w:val="0"/>
              <w:keepLines w:val="0"/>
              <w:pageBreakBefore w:val="0"/>
              <w:shd w:val="clear" w:color="auto" w:fill="auto"/>
              <w:kinsoku/>
              <w:wordWrap/>
              <w:overflowPunct/>
              <w:topLinePunct w:val="0"/>
              <w:autoSpaceDE/>
              <w:autoSpaceDN/>
              <w:bidi w:val="0"/>
              <w:adjustRightInd/>
              <w:spacing w:after="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备注</w:t>
            </w:r>
          </w:p>
        </w:tc>
        <w:tc>
          <w:tcPr>
            <w:tcW w:w="5377" w:type="dxa"/>
            <w:tcBorders>
              <w:top w:val="single" w:color="auto" w:sz="4" w:space="0"/>
              <w:left w:val="single" w:color="auto" w:sz="4" w:space="0"/>
              <w:bottom w:val="single" w:color="auto" w:sz="4" w:space="0"/>
              <w:right w:val="single" w:color="auto" w:sz="4" w:space="0"/>
            </w:tcBorders>
            <w:noWrap w:val="0"/>
            <w:vAlign w:val="center"/>
          </w:tcPr>
          <w:p w14:paraId="1450DA85">
            <w:pPr>
              <w:keepNext w:val="0"/>
              <w:keepLines w:val="0"/>
              <w:pageBreakBefore w:val="0"/>
              <w:shd w:val="clear" w:color="auto" w:fill="auto"/>
              <w:tabs>
                <w:tab w:val="left" w:pos="1765"/>
              </w:tabs>
              <w:kinsoku/>
              <w:wordWrap/>
              <w:overflowPunct/>
              <w:topLinePunct w:val="0"/>
              <w:autoSpaceDE/>
              <w:autoSpaceDN/>
              <w:bidi w:val="0"/>
              <w:adjustRightInd/>
              <w:spacing w:after="0"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ab/>
            </w:r>
          </w:p>
        </w:tc>
      </w:tr>
    </w:tbl>
    <w:p w14:paraId="0EFF1100">
      <w:pPr>
        <w:shd w:val="clear" w:color="auto" w:fill="auto"/>
        <w:autoSpaceDE w:val="0"/>
        <w:autoSpaceDN w:val="0"/>
        <w:adjustRightInd w:val="0"/>
        <w:spacing w:line="360" w:lineRule="auto"/>
        <w:jc w:val="left"/>
        <w:rPr>
          <w:rFonts w:hint="eastAsia" w:ascii="宋体" w:hAnsi="宋体" w:eastAsia="宋体" w:cs="宋体"/>
          <w:bCs/>
          <w:color w:val="auto"/>
          <w:kern w:val="0"/>
          <w:sz w:val="24"/>
          <w:szCs w:val="24"/>
          <w:highlight w:val="none"/>
        </w:rPr>
      </w:pPr>
    </w:p>
    <w:p w14:paraId="52888E4D">
      <w:pPr>
        <w:pStyle w:val="5"/>
        <w:shd w:val="clear" w:color="auto" w:fill="auto"/>
        <w:spacing w:before="93" w:beforeLines="3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供应商（电子签章）：</w:t>
      </w:r>
      <w:r>
        <w:rPr>
          <w:rFonts w:hint="eastAsia" w:ascii="宋体" w:hAnsi="宋体" w:eastAsia="宋体" w:cs="宋体"/>
          <w:color w:val="auto"/>
          <w:sz w:val="24"/>
          <w:szCs w:val="24"/>
          <w:highlight w:val="none"/>
          <w:u w:val="single"/>
        </w:rPr>
        <w:t xml:space="preserve">                </w:t>
      </w:r>
    </w:p>
    <w:p w14:paraId="168ABEC9">
      <w:pPr>
        <w:pStyle w:val="5"/>
        <w:shd w:val="clear" w:color="auto" w:fill="auto"/>
        <w:spacing w:line="360" w:lineRule="auto"/>
        <w:ind w:firstLine="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或委托代理人</w:t>
      </w:r>
      <w:r>
        <w:rPr>
          <w:rFonts w:hint="eastAsia" w:ascii="宋体" w:hAnsi="宋体" w:eastAsia="宋体" w:cs="宋体"/>
          <w:color w:val="auto"/>
          <w:sz w:val="24"/>
          <w:szCs w:val="24"/>
          <w:highlight w:val="none"/>
        </w:rPr>
        <w:t>（电子签章）：</w:t>
      </w:r>
      <w:r>
        <w:rPr>
          <w:rFonts w:hint="eastAsia" w:ascii="宋体" w:hAnsi="宋体" w:eastAsia="宋体" w:cs="宋体"/>
          <w:color w:val="auto"/>
          <w:sz w:val="24"/>
          <w:szCs w:val="24"/>
          <w:highlight w:val="none"/>
          <w:u w:val="none"/>
        </w:rPr>
        <w:t>___________</w:t>
      </w:r>
    </w:p>
    <w:p w14:paraId="27E155CC">
      <w:pPr>
        <w:pStyle w:val="5"/>
        <w:shd w:val="clear" w:color="auto" w:fill="auto"/>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E375008">
      <w:pPr>
        <w:shd w:val="clear" w:color="auto" w:fill="auto"/>
        <w:outlineLvl w:val="2"/>
        <w:rPr>
          <w:rFonts w:hint="eastAsia" w:ascii="宋体" w:hAnsi="宋体" w:eastAsia="宋体" w:cs="宋体"/>
          <w:color w:val="auto"/>
          <w:sz w:val="24"/>
          <w:szCs w:val="24"/>
          <w:highlight w:val="none"/>
        </w:rPr>
      </w:pPr>
    </w:p>
    <w:p w14:paraId="41888F18">
      <w:pPr>
        <w:shd w:val="clear" w:color="auto" w:fill="auto"/>
        <w:outlineLvl w:val="2"/>
        <w:rPr>
          <w:rFonts w:hint="eastAsia" w:ascii="宋体" w:hAnsi="宋体" w:eastAsia="宋体" w:cs="宋体"/>
          <w:b/>
          <w:bCs/>
          <w:color w:val="auto"/>
          <w:sz w:val="28"/>
          <w:szCs w:val="36"/>
          <w:highlight w:val="none"/>
          <w:lang w:eastAsia="zh-CN"/>
        </w:rPr>
      </w:pPr>
      <w:r>
        <w:rPr>
          <w:rFonts w:hint="eastAsia" w:hAnsi="宋体" w:cs="宋体"/>
          <w:color w:val="auto"/>
          <w:sz w:val="24"/>
          <w:szCs w:val="24"/>
          <w:highlight w:val="none"/>
          <w:lang w:val="en-US" w:eastAsia="zh-CN"/>
        </w:rPr>
        <w:t>注：此报价一览表，供应商应放在响应文件封面后第一页。</w:t>
      </w: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36"/>
          <w:highlight w:val="none"/>
        </w:rPr>
        <w:t>格式</w:t>
      </w:r>
      <w:r>
        <w:rPr>
          <w:rFonts w:hint="eastAsia" w:hAnsi="宋体" w:cs="宋体"/>
          <w:b/>
          <w:bCs/>
          <w:color w:val="auto"/>
          <w:sz w:val="28"/>
          <w:szCs w:val="36"/>
          <w:highlight w:val="none"/>
          <w:lang w:val="en-US" w:eastAsia="zh-CN"/>
        </w:rPr>
        <w:t>2</w:t>
      </w:r>
      <w:r>
        <w:rPr>
          <w:rFonts w:hint="eastAsia" w:ascii="宋体" w:hAnsi="宋体" w:eastAsia="宋体" w:cs="宋体"/>
          <w:b/>
          <w:bCs/>
          <w:color w:val="auto"/>
          <w:sz w:val="28"/>
          <w:szCs w:val="36"/>
          <w:highlight w:val="none"/>
        </w:rPr>
        <w:t>-</w:t>
      </w:r>
      <w:r>
        <w:rPr>
          <w:rFonts w:hint="eastAsia" w:ascii="宋体" w:hAnsi="宋体" w:eastAsia="宋体" w:cs="宋体"/>
          <w:b/>
          <w:bCs/>
          <w:color w:val="auto"/>
          <w:sz w:val="28"/>
          <w:szCs w:val="36"/>
          <w:highlight w:val="none"/>
          <w:lang w:val="en-US" w:eastAsia="zh-CN"/>
        </w:rPr>
        <w:t>2已标价工程量清单</w:t>
      </w:r>
    </w:p>
    <w:p w14:paraId="197F1F2D">
      <w:pPr>
        <w:shd w:val="clear" w:color="auto" w:fill="auto"/>
        <w:tabs>
          <w:tab w:val="left" w:pos="432"/>
          <w:tab w:val="left" w:pos="720"/>
        </w:tabs>
        <w:spacing w:before="240" w:after="240" w:line="360" w:lineRule="auto"/>
        <w:ind w:firstLine="0"/>
        <w:jc w:val="center"/>
        <w:outlineLvl w:val="9"/>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已标价工程量清单</w:t>
      </w:r>
    </w:p>
    <w:p w14:paraId="44FCEFB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无注册造价师，必须授权委托</w:t>
      </w:r>
      <w:r>
        <w:rPr>
          <w:rFonts w:hint="eastAsia" w:ascii="宋体" w:hAnsi="宋体" w:eastAsia="宋体" w:cs="宋体"/>
          <w:color w:val="auto"/>
          <w:sz w:val="24"/>
          <w:szCs w:val="24"/>
          <w:highlight w:val="none"/>
          <w:lang w:val="en-US" w:eastAsia="zh-CN"/>
        </w:rPr>
        <w:t>注册造价师</w:t>
      </w:r>
      <w:r>
        <w:rPr>
          <w:rFonts w:hint="eastAsia" w:ascii="宋体" w:hAnsi="宋体" w:eastAsia="宋体" w:cs="宋体"/>
          <w:color w:val="auto"/>
          <w:sz w:val="24"/>
          <w:szCs w:val="24"/>
          <w:highlight w:val="none"/>
        </w:rPr>
        <w:t>编制报价，并在已标价工程量清单前附委托协议书扫描件或复印件；已标价工程量清单需由注册造价师资格人员进行签章。</w:t>
      </w:r>
    </w:p>
    <w:p w14:paraId="0A9A301C">
      <w:pPr>
        <w:shd w:val="clear" w:color="auto" w:fill="auto"/>
        <w:spacing w:line="360" w:lineRule="auto"/>
        <w:jc w:val="both"/>
        <w:rPr>
          <w:rFonts w:hint="eastAsia" w:ascii="宋体" w:hAnsi="宋体" w:eastAsia="宋体" w:cs="宋体"/>
          <w:color w:val="auto"/>
          <w:highlight w:val="none"/>
        </w:rPr>
      </w:pPr>
      <w:r>
        <w:rPr>
          <w:rFonts w:hint="eastAsia" w:ascii="宋体" w:hAnsi="宋体" w:eastAsia="宋体" w:cs="宋体"/>
          <w:b/>
          <w:bCs/>
          <w:color w:val="auto"/>
          <w:sz w:val="28"/>
          <w:szCs w:val="36"/>
          <w:highlight w:val="none"/>
        </w:rPr>
        <w:br w:type="page"/>
      </w:r>
      <w:bookmarkStart w:id="936" w:name="_Hlk125053005"/>
    </w:p>
    <w:bookmarkEnd w:id="936"/>
    <w:p w14:paraId="7AE09448">
      <w:pPr>
        <w:pStyle w:val="3"/>
        <w:keepLines w:val="0"/>
        <w:shd w:val="clear" w:color="auto" w:fill="auto"/>
        <w:spacing w:before="240" w:after="240" w:line="360" w:lineRule="auto"/>
        <w:ind w:left="0" w:leftChars="0" w:firstLine="0" w:firstLineChars="0"/>
        <w:jc w:val="center"/>
        <w:outlineLvl w:val="1"/>
        <w:rPr>
          <w:rFonts w:hint="eastAsia" w:ascii="宋体" w:hAnsi="宋体" w:eastAsia="宋体" w:cs="宋体"/>
          <w:b/>
          <w:bCs/>
          <w:color w:val="auto"/>
          <w:sz w:val="28"/>
          <w:szCs w:val="36"/>
          <w:highlight w:val="none"/>
        </w:rPr>
      </w:pPr>
      <w:bookmarkStart w:id="937" w:name="_Toc12642"/>
      <w:bookmarkStart w:id="938" w:name="_Toc13413"/>
      <w:r>
        <w:rPr>
          <w:rFonts w:hint="eastAsia" w:ascii="宋体" w:hAnsi="宋体" w:eastAsia="宋体" w:cs="宋体"/>
          <w:b/>
          <w:bCs/>
          <w:color w:val="auto"/>
          <w:sz w:val="28"/>
          <w:szCs w:val="36"/>
          <w:highlight w:val="none"/>
          <w:lang w:val="en-US" w:eastAsia="zh-CN"/>
        </w:rPr>
        <w:t>第三部分</w:t>
      </w:r>
      <w:r>
        <w:rPr>
          <w:rFonts w:hint="eastAsia" w:ascii="宋体" w:hAnsi="宋体" w:eastAsia="宋体" w:cs="宋体"/>
          <w:b/>
          <w:bCs/>
          <w:color w:val="auto"/>
          <w:sz w:val="28"/>
          <w:szCs w:val="36"/>
          <w:highlight w:val="none"/>
        </w:rPr>
        <w:t>技术部分文件格式</w:t>
      </w:r>
    </w:p>
    <w:p w14:paraId="0F5C2001">
      <w:pPr>
        <w:keepLines w:val="0"/>
        <w:shd w:val="clear" w:color="auto" w:fill="auto"/>
        <w:spacing w:before="240" w:after="240" w:line="360" w:lineRule="auto"/>
        <w:jc w:val="center"/>
        <w:outlineLvl w:val="9"/>
        <w:rPr>
          <w:rFonts w:hint="eastAsia" w:ascii="宋体" w:hAnsi="宋体" w:eastAsia="宋体" w:cs="宋体"/>
          <w:b/>
          <w:bCs w:val="0"/>
          <w:color w:val="auto"/>
          <w:kern w:val="0"/>
          <w:sz w:val="30"/>
          <w:szCs w:val="30"/>
          <w:highlight w:val="none"/>
          <w:lang w:val="en-US"/>
        </w:rPr>
      </w:pPr>
      <w:r>
        <w:rPr>
          <w:rFonts w:hint="eastAsia" w:ascii="宋体" w:hAnsi="宋体" w:eastAsia="宋体" w:cs="宋体"/>
          <w:b/>
          <w:bCs w:val="0"/>
          <w:color w:val="auto"/>
          <w:kern w:val="0"/>
          <w:sz w:val="30"/>
          <w:szCs w:val="30"/>
          <w:highlight w:val="none"/>
          <w:lang w:val="en-US" w:eastAsia="zh-CN"/>
        </w:rPr>
        <w:t>技术</w:t>
      </w:r>
      <w:r>
        <w:rPr>
          <w:rFonts w:hint="eastAsia" w:ascii="宋体" w:hAnsi="宋体" w:eastAsia="宋体" w:cs="宋体"/>
          <w:b/>
          <w:bCs w:val="0"/>
          <w:color w:val="auto"/>
          <w:kern w:val="0"/>
          <w:sz w:val="30"/>
          <w:szCs w:val="30"/>
          <w:highlight w:val="none"/>
          <w:lang w:val="en-US"/>
        </w:rPr>
        <w:t>部分文件</w:t>
      </w:r>
    </w:p>
    <w:p w14:paraId="33CD8D50">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1.供应商应填写和提交下述规定的有关资料。</w:t>
      </w:r>
    </w:p>
    <w:p w14:paraId="1B7AC66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2.所附格式要求填写的全部内容都必须填写。</w:t>
      </w:r>
    </w:p>
    <w:p w14:paraId="58DCBE5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3.供应商应保证全部声明和填写的内容是真实的和正确的。</w:t>
      </w:r>
    </w:p>
    <w:p w14:paraId="13BE0D47">
      <w:pPr>
        <w:shd w:val="clear" w:color="auto" w:fill="auto"/>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4.供应商提交的材料将被保密，但不退还。</w:t>
      </w:r>
    </w:p>
    <w:p w14:paraId="3D264A44">
      <w:pPr>
        <w:rPr>
          <w:rFonts w:hint="eastAsia" w:hAnsi="宋体" w:cs="宋体"/>
          <w:b/>
          <w:bCs/>
          <w:color w:val="auto"/>
          <w:sz w:val="28"/>
          <w:szCs w:val="36"/>
          <w:highlight w:val="none"/>
          <w:lang w:val="en-US" w:eastAsia="zh-CN"/>
        </w:rPr>
      </w:pPr>
      <w:r>
        <w:rPr>
          <w:rFonts w:hint="eastAsia" w:hAnsi="宋体" w:cs="宋体"/>
          <w:b/>
          <w:bCs/>
          <w:color w:val="auto"/>
          <w:sz w:val="28"/>
          <w:szCs w:val="36"/>
          <w:highlight w:val="none"/>
          <w:lang w:val="en-US" w:eastAsia="zh-CN"/>
        </w:rPr>
        <w:br w:type="page"/>
      </w:r>
    </w:p>
    <w:p w14:paraId="4D6469D5">
      <w:pPr>
        <w:shd w:val="clear" w:color="auto" w:fill="auto"/>
        <w:spacing w:line="360" w:lineRule="auto"/>
        <w:outlineLvl w:val="2"/>
        <w:rPr>
          <w:rFonts w:hint="eastAsia" w:ascii="宋体" w:hAnsi="宋体" w:eastAsia="宋体" w:cs="宋体"/>
          <w:color w:val="auto"/>
          <w:highlight w:val="none"/>
        </w:rPr>
      </w:pPr>
      <w:r>
        <w:rPr>
          <w:rFonts w:hint="eastAsia" w:hAnsi="宋体" w:cs="宋体"/>
          <w:b/>
          <w:bCs/>
          <w:color w:val="auto"/>
          <w:sz w:val="28"/>
          <w:szCs w:val="36"/>
          <w:highlight w:val="none"/>
          <w:lang w:val="en-US" w:eastAsia="zh-CN"/>
        </w:rPr>
        <w:t>3-1施工技术方案</w:t>
      </w:r>
      <w:bookmarkEnd w:id="937"/>
      <w:bookmarkEnd w:id="938"/>
    </w:p>
    <w:p w14:paraId="2A621658">
      <w:pPr>
        <w:pStyle w:val="8"/>
        <w:shd w:val="clear" w:color="auto" w:fill="auto"/>
        <w:spacing w:line="360" w:lineRule="auto"/>
        <w:ind w:left="-141" w:leftChars="-67" w:right="-143" w:rightChars="-68"/>
        <w:jc w:val="center"/>
        <w:rPr>
          <w:rFonts w:hint="eastAsia" w:ascii="宋体" w:hAnsi="宋体" w:eastAsia="宋体" w:cs="宋体"/>
          <w:color w:val="auto"/>
          <w:highlight w:val="none"/>
        </w:rPr>
      </w:pPr>
      <w:r>
        <w:rPr>
          <w:rFonts w:hint="eastAsia" w:ascii="宋体" w:hAnsi="宋体" w:eastAsia="宋体" w:cs="宋体"/>
          <w:color w:val="auto"/>
          <w:highlight w:val="none"/>
        </w:rPr>
        <w:t>（供应商按照竞争性磋商文件要求、评审办法的评审内容及采购需求由供应商自行编写，格式自拟）</w:t>
      </w:r>
    </w:p>
    <w:p w14:paraId="0D2B5313">
      <w:pPr>
        <w:shd w:val="clear" w:color="auto" w:fill="auto"/>
        <w:bidi w:val="0"/>
        <w:spacing w:line="360" w:lineRule="auto"/>
        <w:rPr>
          <w:rFonts w:hint="eastAsia"/>
          <w:color w:val="auto"/>
          <w:highlight w:val="none"/>
        </w:rPr>
      </w:pPr>
      <w:bookmarkStart w:id="939" w:name="_Toc149850526"/>
      <w:bookmarkStart w:id="940" w:name="_Toc21827"/>
      <w:bookmarkStart w:id="941" w:name="_Toc15315"/>
    </w:p>
    <w:bookmarkEnd w:id="939"/>
    <w:p w14:paraId="330A6EF0">
      <w:pPr>
        <w:shd w:val="clear" w:color="auto" w:fill="auto"/>
        <w:spacing w:line="360" w:lineRule="auto"/>
        <w:outlineLvl w:val="2"/>
        <w:rPr>
          <w:rFonts w:hint="eastAsia" w:ascii="宋体" w:hAnsi="宋体" w:eastAsia="宋体" w:cs="宋体"/>
          <w:color w:val="auto"/>
          <w:highlight w:val="none"/>
        </w:rPr>
      </w:pPr>
      <w:r>
        <w:rPr>
          <w:rFonts w:hint="eastAsia" w:hAnsi="宋体" w:cs="宋体"/>
          <w:b/>
          <w:bCs/>
          <w:color w:val="auto"/>
          <w:sz w:val="28"/>
          <w:szCs w:val="36"/>
          <w:highlight w:val="none"/>
          <w:lang w:val="en-US" w:eastAsia="zh-CN"/>
        </w:rPr>
        <w:t>3-2施工周期、进度计划安排及保证措施</w:t>
      </w:r>
      <w:bookmarkEnd w:id="940"/>
      <w:bookmarkEnd w:id="941"/>
    </w:p>
    <w:p w14:paraId="6C905FA4">
      <w:pPr>
        <w:shd w:val="clear" w:color="auto" w:fill="auto"/>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（供应商按照竞争性磋商文件要求、评审办法的评审内容及采购需求由供应商自行编写，格式自拟）</w:t>
      </w:r>
    </w:p>
    <w:p w14:paraId="060C2DC8">
      <w:pPr>
        <w:shd w:val="clear" w:color="auto" w:fill="auto"/>
        <w:bidi w:val="0"/>
        <w:spacing w:line="360" w:lineRule="auto"/>
        <w:rPr>
          <w:rFonts w:hint="eastAsia"/>
          <w:color w:val="auto"/>
          <w:highlight w:val="none"/>
        </w:rPr>
      </w:pPr>
      <w:bookmarkStart w:id="942" w:name="_Toc30753"/>
      <w:bookmarkStart w:id="943" w:name="_Toc605"/>
    </w:p>
    <w:p w14:paraId="13AD71E1">
      <w:pPr>
        <w:shd w:val="clear" w:color="auto" w:fill="auto"/>
        <w:spacing w:line="360" w:lineRule="auto"/>
        <w:outlineLvl w:val="2"/>
        <w:rPr>
          <w:rFonts w:hint="eastAsia" w:ascii="宋体" w:hAnsi="宋体" w:eastAsia="宋体" w:cs="宋体"/>
          <w:color w:val="auto"/>
          <w:highlight w:val="none"/>
        </w:rPr>
      </w:pPr>
      <w:r>
        <w:rPr>
          <w:rFonts w:hint="eastAsia" w:hAnsi="宋体" w:cs="宋体"/>
          <w:b/>
          <w:snapToGrid/>
          <w:color w:val="auto"/>
          <w:kern w:val="0"/>
          <w:sz w:val="28"/>
          <w:szCs w:val="28"/>
          <w:highlight w:val="none"/>
          <w:lang w:val="en-US" w:eastAsia="zh-CN"/>
        </w:rPr>
        <w:t>3-3施工质量承诺及保证措施</w:t>
      </w:r>
      <w:bookmarkEnd w:id="942"/>
      <w:bookmarkEnd w:id="943"/>
    </w:p>
    <w:p w14:paraId="016AABBF">
      <w:pPr>
        <w:pStyle w:val="8"/>
        <w:shd w:val="clear" w:color="auto" w:fill="auto"/>
        <w:spacing w:line="360" w:lineRule="auto"/>
        <w:ind w:left="-141" w:leftChars="-67" w:right="-143" w:rightChars="-68"/>
        <w:jc w:val="center"/>
        <w:rPr>
          <w:rFonts w:hint="eastAsia" w:ascii="宋体" w:hAnsi="宋体" w:eastAsia="宋体" w:cs="宋体"/>
          <w:b/>
          <w:snapToGrid/>
          <w:color w:val="auto"/>
          <w:kern w:val="0"/>
          <w:sz w:val="28"/>
          <w:szCs w:val="28"/>
          <w:highlight w:val="none"/>
        </w:rPr>
      </w:pPr>
      <w:r>
        <w:rPr>
          <w:rFonts w:hint="eastAsia" w:ascii="宋体" w:hAnsi="宋体" w:eastAsia="宋体" w:cs="宋体"/>
          <w:color w:val="auto"/>
          <w:highlight w:val="none"/>
        </w:rPr>
        <w:t>（供应商按照竞争性磋商文件要求、评审办法的评审内容及采购需求由供应商自行编写，格式自拟）</w:t>
      </w:r>
      <w:bookmarkStart w:id="944" w:name="_Toc10375"/>
      <w:bookmarkStart w:id="945" w:name="_Toc3166"/>
    </w:p>
    <w:p w14:paraId="1820CA7F">
      <w:pPr>
        <w:shd w:val="clear" w:color="auto" w:fill="auto"/>
        <w:bidi w:val="0"/>
        <w:spacing w:line="360" w:lineRule="auto"/>
        <w:rPr>
          <w:rFonts w:hint="eastAsia"/>
          <w:color w:val="auto"/>
          <w:highlight w:val="none"/>
        </w:rPr>
      </w:pPr>
    </w:p>
    <w:bookmarkEnd w:id="944"/>
    <w:bookmarkEnd w:id="945"/>
    <w:p w14:paraId="3AFF85BD">
      <w:pPr>
        <w:shd w:val="clear" w:color="auto" w:fill="auto"/>
        <w:spacing w:line="360" w:lineRule="auto"/>
        <w:outlineLvl w:val="2"/>
        <w:rPr>
          <w:rFonts w:hint="eastAsia" w:ascii="宋体" w:hAnsi="宋体" w:eastAsia="宋体" w:cs="宋体"/>
          <w:b/>
          <w:snapToGrid/>
          <w:color w:val="auto"/>
          <w:kern w:val="0"/>
          <w:sz w:val="28"/>
          <w:szCs w:val="28"/>
          <w:highlight w:val="none"/>
        </w:rPr>
      </w:pPr>
      <w:bookmarkStart w:id="946" w:name="_Toc16086"/>
      <w:bookmarkStart w:id="947" w:name="_Toc14620"/>
      <w:r>
        <w:rPr>
          <w:rFonts w:hint="eastAsia" w:hAnsi="宋体" w:cs="宋体"/>
          <w:b/>
          <w:snapToGrid/>
          <w:color w:val="auto"/>
          <w:kern w:val="0"/>
          <w:sz w:val="28"/>
          <w:szCs w:val="28"/>
          <w:highlight w:val="none"/>
          <w:lang w:val="en-US" w:eastAsia="zh-CN"/>
        </w:rPr>
        <w:t>3-4</w:t>
      </w:r>
      <w:r>
        <w:rPr>
          <w:rFonts w:hint="eastAsia" w:ascii="宋体" w:hAnsi="宋体" w:eastAsia="宋体" w:cs="宋体"/>
          <w:b/>
          <w:snapToGrid/>
          <w:color w:val="auto"/>
          <w:kern w:val="0"/>
          <w:sz w:val="28"/>
          <w:szCs w:val="28"/>
          <w:highlight w:val="none"/>
          <w:lang w:val="en-US"/>
        </w:rPr>
        <w:t>安全文明施工保证措施</w:t>
      </w:r>
      <w:bookmarkEnd w:id="946"/>
      <w:bookmarkEnd w:id="947"/>
    </w:p>
    <w:p w14:paraId="2A19514F">
      <w:pPr>
        <w:pStyle w:val="8"/>
        <w:shd w:val="clear" w:color="auto" w:fill="auto"/>
        <w:spacing w:line="360" w:lineRule="auto"/>
        <w:ind w:left="-141" w:leftChars="-67" w:right="-143" w:rightChars="-68"/>
        <w:jc w:val="center"/>
        <w:rPr>
          <w:rFonts w:hint="eastAsia" w:ascii="宋体" w:hAnsi="宋体" w:eastAsia="宋体" w:cs="宋体"/>
          <w:color w:val="auto"/>
          <w:highlight w:val="none"/>
        </w:rPr>
      </w:pPr>
      <w:r>
        <w:rPr>
          <w:rFonts w:hint="eastAsia" w:ascii="宋体" w:hAnsi="宋体" w:eastAsia="宋体" w:cs="宋体"/>
          <w:color w:val="auto"/>
          <w:highlight w:val="none"/>
        </w:rPr>
        <w:t>（供应商按照竞争性磋商文件要求、评审办法的评审内容及采购需求由供应商自行编写，格式自拟）</w:t>
      </w:r>
    </w:p>
    <w:p w14:paraId="4E7FE01F">
      <w:pPr>
        <w:shd w:val="clear" w:color="auto" w:fill="auto"/>
        <w:bidi w:val="0"/>
        <w:spacing w:line="360" w:lineRule="auto"/>
        <w:rPr>
          <w:rFonts w:hint="eastAsia"/>
          <w:color w:val="auto"/>
          <w:highlight w:val="none"/>
        </w:rPr>
      </w:pPr>
      <w:bookmarkStart w:id="948" w:name="_Toc2004"/>
      <w:bookmarkStart w:id="949" w:name="_Toc5778"/>
    </w:p>
    <w:bookmarkEnd w:id="948"/>
    <w:bookmarkEnd w:id="949"/>
    <w:p w14:paraId="25D2CB70">
      <w:pPr>
        <w:shd w:val="clear" w:color="auto" w:fill="auto"/>
        <w:spacing w:line="360" w:lineRule="auto"/>
        <w:outlineLvl w:val="2"/>
        <w:rPr>
          <w:rFonts w:hint="default" w:ascii="宋体" w:hAnsi="宋体" w:eastAsia="宋体" w:cs="宋体"/>
          <w:b/>
          <w:snapToGrid/>
          <w:color w:val="auto"/>
          <w:kern w:val="0"/>
          <w:sz w:val="28"/>
          <w:szCs w:val="28"/>
          <w:highlight w:val="none"/>
          <w:lang w:val="en-US" w:eastAsia="zh-CN"/>
        </w:rPr>
      </w:pPr>
      <w:r>
        <w:rPr>
          <w:rFonts w:hint="eastAsia" w:hAnsi="宋体" w:cs="宋体"/>
          <w:b/>
          <w:snapToGrid/>
          <w:color w:val="auto"/>
          <w:kern w:val="0"/>
          <w:sz w:val="28"/>
          <w:szCs w:val="28"/>
          <w:highlight w:val="none"/>
          <w:lang w:val="en-US" w:eastAsia="zh-CN"/>
        </w:rPr>
        <w:t>3-5施工机械投入和材料投入计划及其保证措施</w:t>
      </w:r>
    </w:p>
    <w:p w14:paraId="04932957">
      <w:pPr>
        <w:pStyle w:val="8"/>
        <w:shd w:val="clear" w:color="auto" w:fill="auto"/>
        <w:spacing w:line="360" w:lineRule="auto"/>
        <w:ind w:left="-141" w:leftChars="-67" w:right="-143" w:rightChars="-68"/>
        <w:jc w:val="center"/>
        <w:rPr>
          <w:rFonts w:hint="eastAsia" w:ascii="宋体" w:hAnsi="宋体" w:eastAsia="宋体" w:cs="宋体"/>
          <w:color w:val="auto"/>
          <w:highlight w:val="none"/>
        </w:rPr>
      </w:pPr>
      <w:r>
        <w:rPr>
          <w:rFonts w:hint="eastAsia" w:ascii="宋体" w:hAnsi="宋体" w:eastAsia="宋体" w:cs="宋体"/>
          <w:color w:val="auto"/>
          <w:highlight w:val="none"/>
        </w:rPr>
        <w:t>（供应商按照竞争性磋商文件要求、评审办法的评审内容及采购需求由供应商自行编写，格式自拟）</w:t>
      </w:r>
    </w:p>
    <w:p w14:paraId="7E865455">
      <w:pPr>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br w:type="page"/>
      </w:r>
    </w:p>
    <w:p w14:paraId="41B626FD">
      <w:pPr>
        <w:pStyle w:val="3"/>
        <w:keepLines w:val="0"/>
        <w:shd w:val="clear" w:color="auto" w:fill="auto"/>
        <w:spacing w:before="240" w:after="240" w:line="360" w:lineRule="auto"/>
        <w:ind w:left="0" w:leftChars="0" w:firstLine="0" w:firstLineChars="0"/>
        <w:jc w:val="center"/>
        <w:outlineLvl w:val="1"/>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lang w:val="en-US" w:eastAsia="zh-CN"/>
        </w:rPr>
        <w:t>第</w:t>
      </w:r>
      <w:r>
        <w:rPr>
          <w:rFonts w:hint="eastAsia" w:ascii="宋体" w:eastAsia="宋体" w:cs="宋体"/>
          <w:b/>
          <w:bCs/>
          <w:color w:val="auto"/>
          <w:sz w:val="28"/>
          <w:szCs w:val="36"/>
          <w:highlight w:val="none"/>
          <w:lang w:val="en-US" w:eastAsia="zh-CN"/>
        </w:rPr>
        <w:t>四</w:t>
      </w:r>
      <w:r>
        <w:rPr>
          <w:rFonts w:hint="eastAsia" w:ascii="宋体" w:hAnsi="宋体" w:eastAsia="宋体" w:cs="宋体"/>
          <w:b/>
          <w:bCs/>
          <w:color w:val="auto"/>
          <w:sz w:val="28"/>
          <w:szCs w:val="36"/>
          <w:highlight w:val="none"/>
          <w:lang w:val="en-US" w:eastAsia="zh-CN"/>
        </w:rPr>
        <w:t>部分</w:t>
      </w:r>
      <w:r>
        <w:rPr>
          <w:rFonts w:hint="eastAsia" w:ascii="宋体" w:hAnsi="宋体" w:eastAsia="宋体" w:cs="宋体"/>
          <w:b/>
          <w:bCs/>
          <w:color w:val="auto"/>
          <w:sz w:val="28"/>
          <w:szCs w:val="36"/>
          <w:highlight w:val="none"/>
        </w:rPr>
        <w:t>商务部分文件格式</w:t>
      </w:r>
    </w:p>
    <w:p w14:paraId="0752EFE8">
      <w:pPr>
        <w:keepLines w:val="0"/>
        <w:shd w:val="clear" w:color="auto" w:fill="auto"/>
        <w:spacing w:before="240" w:after="240" w:line="360" w:lineRule="auto"/>
        <w:jc w:val="center"/>
        <w:outlineLvl w:val="9"/>
        <w:rPr>
          <w:rFonts w:hint="eastAsia" w:ascii="宋体" w:hAnsi="宋体" w:eastAsia="宋体" w:cs="宋体"/>
          <w:b/>
          <w:bCs w:val="0"/>
          <w:color w:val="auto"/>
          <w:kern w:val="0"/>
          <w:sz w:val="30"/>
          <w:szCs w:val="30"/>
          <w:highlight w:val="none"/>
          <w:lang w:val="en-US"/>
        </w:rPr>
      </w:pPr>
      <w:r>
        <w:rPr>
          <w:rFonts w:hint="eastAsia" w:ascii="宋体" w:hAnsi="宋体" w:eastAsia="宋体" w:cs="宋体"/>
          <w:b/>
          <w:bCs w:val="0"/>
          <w:color w:val="auto"/>
          <w:kern w:val="0"/>
          <w:sz w:val="30"/>
          <w:szCs w:val="30"/>
          <w:highlight w:val="none"/>
          <w:lang w:val="en-US"/>
        </w:rPr>
        <w:t>商务部分文件</w:t>
      </w:r>
    </w:p>
    <w:p w14:paraId="40177A35">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1.供应商应填写和提交下述规定的有关资料。</w:t>
      </w:r>
    </w:p>
    <w:p w14:paraId="7FB643E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2.所附格式要求填写的全部内容都必须填写。</w:t>
      </w:r>
    </w:p>
    <w:p w14:paraId="28B0B93D">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3.供应商应保证全部声明和填写的内容是真实的和正确的。</w:t>
      </w:r>
    </w:p>
    <w:p w14:paraId="6A374AAC">
      <w:pPr>
        <w:shd w:val="clear" w:color="auto" w:fill="auto"/>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4.供应商提交的材料将被保密，但不退还。</w:t>
      </w:r>
    </w:p>
    <w:p w14:paraId="3CA377B3">
      <w:pPr>
        <w:rPr>
          <w:rFonts w:hint="eastAsia" w:ascii="宋体" w:hAnsi="宋体" w:eastAsia="宋体" w:cs="宋体"/>
          <w:b/>
          <w:bCs w:val="0"/>
          <w:color w:val="auto"/>
          <w:kern w:val="0"/>
          <w:sz w:val="30"/>
          <w:szCs w:val="30"/>
          <w:highlight w:val="none"/>
          <w:lang w:val="en-US" w:eastAsia="zh-CN"/>
        </w:rPr>
      </w:pPr>
      <w:r>
        <w:rPr>
          <w:rFonts w:hint="eastAsia" w:ascii="宋体" w:hAnsi="宋体" w:eastAsia="宋体" w:cs="宋体"/>
          <w:b/>
          <w:bCs w:val="0"/>
          <w:color w:val="auto"/>
          <w:kern w:val="0"/>
          <w:sz w:val="30"/>
          <w:szCs w:val="30"/>
          <w:highlight w:val="none"/>
          <w:lang w:val="en-US" w:eastAsia="zh-CN"/>
        </w:rPr>
        <w:br w:type="page"/>
      </w:r>
    </w:p>
    <w:p w14:paraId="59955E11">
      <w:pPr>
        <w:pStyle w:val="5"/>
        <w:ind w:left="0" w:leftChars="0" w:firstLine="0" w:firstLineChars="0"/>
        <w:outlineLvl w:val="2"/>
        <w:rPr>
          <w:rFonts w:hint="default" w:eastAsia="宋体"/>
          <w:color w:val="auto"/>
          <w:highlight w:val="none"/>
          <w:lang w:val="en-US" w:eastAsia="zh-CN"/>
        </w:rPr>
      </w:pPr>
      <w:r>
        <w:rPr>
          <w:rFonts w:hint="eastAsia" w:ascii="宋体" w:hAnsi="宋体" w:cs="宋体"/>
          <w:b/>
          <w:bCs w:val="0"/>
          <w:color w:val="auto"/>
          <w:kern w:val="0"/>
          <w:sz w:val="30"/>
          <w:szCs w:val="30"/>
          <w:highlight w:val="none"/>
          <w:lang w:val="en-US" w:eastAsia="zh-CN"/>
        </w:rPr>
        <w:t>4</w:t>
      </w:r>
      <w:r>
        <w:rPr>
          <w:rFonts w:hint="eastAsia" w:ascii="宋体" w:hAnsi="宋体" w:eastAsia="宋体" w:cs="宋体"/>
          <w:b/>
          <w:bCs w:val="0"/>
          <w:color w:val="auto"/>
          <w:kern w:val="0"/>
          <w:sz w:val="30"/>
          <w:szCs w:val="30"/>
          <w:highlight w:val="none"/>
          <w:lang w:val="en-US" w:eastAsia="zh-CN"/>
        </w:rPr>
        <w:t>-1</w:t>
      </w:r>
      <w:r>
        <w:rPr>
          <w:rFonts w:hint="eastAsia" w:ascii="宋体" w:hAnsi="宋体" w:eastAsia="宋体" w:cs="宋体"/>
          <w:b/>
          <w:bCs w:val="0"/>
          <w:color w:val="auto"/>
          <w:kern w:val="0"/>
          <w:sz w:val="30"/>
          <w:szCs w:val="30"/>
          <w:highlight w:val="none"/>
          <w:lang w:val="en-US"/>
        </w:rPr>
        <w:t>磋商申请函</w:t>
      </w:r>
    </w:p>
    <w:p w14:paraId="31B68561">
      <w:pPr>
        <w:keepLines w:val="0"/>
        <w:shd w:val="clear" w:color="auto" w:fill="auto"/>
        <w:spacing w:before="240" w:after="240" w:line="360" w:lineRule="auto"/>
        <w:jc w:val="center"/>
        <w:outlineLvl w:val="9"/>
        <w:rPr>
          <w:rFonts w:hint="eastAsia" w:ascii="宋体" w:hAnsi="宋体" w:eastAsia="宋体" w:cs="宋体"/>
          <w:b/>
          <w:bCs w:val="0"/>
          <w:color w:val="auto"/>
          <w:kern w:val="0"/>
          <w:sz w:val="30"/>
          <w:szCs w:val="30"/>
          <w:highlight w:val="none"/>
          <w:lang w:val="en-US"/>
        </w:rPr>
      </w:pPr>
      <w:bookmarkStart w:id="950" w:name="_Toc149850519"/>
      <w:bookmarkStart w:id="951" w:name="_Toc125054719"/>
      <w:r>
        <w:rPr>
          <w:rFonts w:hint="eastAsia" w:ascii="宋体" w:hAnsi="宋体" w:eastAsia="宋体" w:cs="宋体"/>
          <w:b/>
          <w:bCs w:val="0"/>
          <w:color w:val="auto"/>
          <w:kern w:val="0"/>
          <w:sz w:val="30"/>
          <w:szCs w:val="30"/>
          <w:highlight w:val="none"/>
          <w:lang w:val="en-US"/>
        </w:rPr>
        <w:t>磋商申请函</w:t>
      </w:r>
      <w:bookmarkEnd w:id="950"/>
      <w:bookmarkEnd w:id="951"/>
    </w:p>
    <w:p w14:paraId="5D93A07E">
      <w:pPr>
        <w:pStyle w:val="8"/>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p>
    <w:p w14:paraId="28601097">
      <w:pPr>
        <w:pStyle w:val="8"/>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我方仔细研究了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）竞争性磋商文件的全部内容，正式授权下述签字人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（姓名和职务）全权代表供应商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（供应商全称）参加磋商，并提交响应文件。</w:t>
      </w:r>
    </w:p>
    <w:p w14:paraId="5DA9C07C">
      <w:pPr>
        <w:pStyle w:val="8"/>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据此函，签字人兹宣布同意如下：</w:t>
      </w:r>
    </w:p>
    <w:p w14:paraId="3EE8BF16">
      <w:pPr>
        <w:pStyle w:val="8"/>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1．按本竞争性磋商文件及采购需求进行报价，并认可</w:t>
      </w:r>
      <w:r>
        <w:rPr>
          <w:rFonts w:hint="eastAsia" w:ascii="宋体" w:hAnsi="宋体" w:eastAsia="宋体" w:cs="宋体"/>
          <w:color w:val="auto"/>
          <w:kern w:val="0"/>
          <w:sz w:val="24"/>
          <w:szCs w:val="24"/>
          <w:highlight w:val="none"/>
        </w:rPr>
        <w:t>我方授权人在</w:t>
      </w:r>
      <w:r>
        <w:rPr>
          <w:rFonts w:hint="eastAsia" w:ascii="宋体" w:hAnsi="宋体" w:eastAsia="宋体" w:cs="宋体"/>
          <w:color w:val="auto"/>
          <w:kern w:val="0"/>
          <w:sz w:val="24"/>
          <w:szCs w:val="24"/>
          <w:highlight w:val="none"/>
          <w:u w:val="single"/>
        </w:rPr>
        <w:t>磋商现场填报的最后磋商报价</w:t>
      </w:r>
      <w:r>
        <w:rPr>
          <w:rFonts w:hint="eastAsia" w:ascii="宋体" w:hAnsi="宋体" w:eastAsia="宋体" w:cs="宋体"/>
          <w:color w:val="auto"/>
          <w:kern w:val="0"/>
          <w:sz w:val="24"/>
          <w:szCs w:val="24"/>
          <w:highlight w:val="none"/>
        </w:rPr>
        <w:t>为成交价</w:t>
      </w:r>
      <w:r>
        <w:rPr>
          <w:rFonts w:hint="eastAsia" w:ascii="宋体" w:hAnsi="宋体" w:eastAsia="宋体" w:cs="宋体"/>
          <w:color w:val="auto"/>
          <w:sz w:val="24"/>
          <w:szCs w:val="24"/>
          <w:highlight w:val="none"/>
        </w:rPr>
        <w:t>，并承诺在合同约定的期限内完成全部合同工作。</w:t>
      </w:r>
    </w:p>
    <w:p w14:paraId="67438744">
      <w:pPr>
        <w:pStyle w:val="8"/>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2．我方已详细审查本竞争性磋商文件的全部内容，包括澄清、修改文件（如果有）。我方完全理解本竞争性磋商文件相关要求，并承担对本竞争性磋商文件有不明及误解的后果。</w:t>
      </w:r>
    </w:p>
    <w:p w14:paraId="5A3CAD39">
      <w:pPr>
        <w:pStyle w:val="8"/>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3．在供应商须知规定的提交日期起遵循本竞争性磋商文件，并在供应商须知第17.1条规定的响应文件有效期届满之日前均具有约束力。</w:t>
      </w:r>
    </w:p>
    <w:p w14:paraId="7FAB261E">
      <w:pPr>
        <w:pStyle w:val="8"/>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4．同意本竞争性磋商文件中关于没收磋商保证金的规定。</w:t>
      </w:r>
    </w:p>
    <w:p w14:paraId="1240DB1E">
      <w:pPr>
        <w:pStyle w:val="8"/>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5．同意应贵方要求提供与本项目有关的任何数据或资料，并保证数据和资料的完整性和真实性。</w:t>
      </w:r>
    </w:p>
    <w:p w14:paraId="14A0CE95">
      <w:pPr>
        <w:pStyle w:val="8"/>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6．完全理解贵方不一定要接受最低报价的供应商为成交供应商的行为。</w:t>
      </w:r>
    </w:p>
    <w:p w14:paraId="6DDD6FA7">
      <w:pPr>
        <w:pStyle w:val="8"/>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7．如我方成交：</w:t>
      </w:r>
    </w:p>
    <w:p w14:paraId="53D6334F">
      <w:pPr>
        <w:pStyle w:val="8"/>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（1）我方承诺在收到成交通知书后，在成交通知书规定的期限内与你方签订合同，并履行相应的合同责任和义务。</w:t>
      </w:r>
    </w:p>
    <w:p w14:paraId="3419C444">
      <w:pPr>
        <w:pStyle w:val="8"/>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（2）我方承诺按照本竞争性磋商文件的规定向你方递交履约保证金</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如有</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6A2739E">
      <w:pPr>
        <w:pStyle w:val="8"/>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（3）我方承诺将承担合同中约定的服务及质量责任。</w:t>
      </w:r>
    </w:p>
    <w:p w14:paraId="7DA99C1A">
      <w:pPr>
        <w:pStyle w:val="8"/>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8．我方在此声明，所递交的响应文件及有关资料内容完整、真实和准确。</w:t>
      </w:r>
    </w:p>
    <w:p w14:paraId="2F14B162">
      <w:pPr>
        <w:pStyle w:val="8"/>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（其他补充说明）。</w:t>
      </w:r>
    </w:p>
    <w:p w14:paraId="717C107D">
      <w:pPr>
        <w:pStyle w:val="8"/>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我单位正式通讯地址为：</w:t>
      </w:r>
    </w:p>
    <w:p w14:paraId="50B84807">
      <w:pPr>
        <w:pStyle w:val="8"/>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62CEBD11">
      <w:pPr>
        <w:pStyle w:val="8"/>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14:paraId="6D1EF0F9">
      <w:pPr>
        <w:pStyle w:val="8"/>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13CAE314">
      <w:pPr>
        <w:pStyle w:val="8"/>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p>
    <w:p w14:paraId="483C42B8">
      <w:pPr>
        <w:pStyle w:val="8"/>
        <w:shd w:val="clear" w:color="auto" w:fill="auto"/>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供应商（电子签章）：</w:t>
      </w:r>
      <w:r>
        <w:rPr>
          <w:rFonts w:hint="eastAsia" w:ascii="宋体" w:hAnsi="宋体" w:eastAsia="宋体" w:cs="宋体"/>
          <w:color w:val="auto"/>
          <w:sz w:val="24"/>
          <w:szCs w:val="24"/>
          <w:highlight w:val="none"/>
          <w:u w:val="single"/>
        </w:rPr>
        <w:t xml:space="preserve">                </w:t>
      </w:r>
    </w:p>
    <w:p w14:paraId="0816AF14">
      <w:pPr>
        <w:pStyle w:val="8"/>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或委托代理人</w:t>
      </w:r>
      <w:r>
        <w:rPr>
          <w:rFonts w:hint="eastAsia" w:ascii="宋体" w:hAnsi="宋体" w:eastAsia="宋体" w:cs="宋体"/>
          <w:color w:val="auto"/>
          <w:sz w:val="24"/>
          <w:szCs w:val="24"/>
          <w:highlight w:val="none"/>
        </w:rPr>
        <w:t>（电子签章）：___________</w:t>
      </w:r>
    </w:p>
    <w:p w14:paraId="652CCD59">
      <w:pPr>
        <w:shd w:val="clear" w:color="auto" w:fill="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AB9851">
      <w:pPr>
        <w:shd w:val="clear" w:color="auto" w:fill="auto"/>
        <w:outlineLvl w:val="2"/>
        <w:rPr>
          <w:rFonts w:hint="eastAsia" w:ascii="宋体" w:hAnsi="宋体" w:eastAsia="宋体" w:cs="宋体"/>
          <w:b/>
          <w:bCs/>
          <w:color w:val="auto"/>
          <w:sz w:val="28"/>
          <w:szCs w:val="36"/>
          <w:highlight w:val="none"/>
          <w:lang w:eastAsia="zh-CN"/>
        </w:rPr>
      </w:pPr>
      <w:r>
        <w:rPr>
          <w:rFonts w:hint="eastAsia" w:ascii="宋体" w:hAnsi="宋体" w:eastAsia="宋体" w:cs="宋体"/>
          <w:color w:val="auto"/>
          <w:sz w:val="24"/>
          <w:szCs w:val="24"/>
          <w:highlight w:val="none"/>
        </w:rPr>
        <w:br w:type="page"/>
      </w:r>
      <w:r>
        <w:rPr>
          <w:rFonts w:hint="eastAsia" w:hAnsi="宋体" w:cs="宋体"/>
          <w:b/>
          <w:bCs/>
          <w:color w:val="auto"/>
          <w:sz w:val="28"/>
          <w:szCs w:val="36"/>
          <w:highlight w:val="none"/>
          <w:lang w:val="en-US" w:eastAsia="zh-CN"/>
        </w:rPr>
        <w:t>4-2法定代表人身份证明书</w:t>
      </w:r>
    </w:p>
    <w:p w14:paraId="07D4A170">
      <w:pPr>
        <w:shd w:val="clear" w:color="auto" w:fill="auto"/>
        <w:spacing w:before="240" w:after="240" w:line="360" w:lineRule="auto"/>
        <w:ind w:firstLine="0"/>
        <w:jc w:val="center"/>
        <w:outlineLvl w:val="9"/>
        <w:rPr>
          <w:rFonts w:hint="eastAsia" w:ascii="宋体" w:hAnsi="宋体" w:eastAsia="宋体" w:cs="宋体"/>
          <w:color w:val="auto"/>
          <w:kern w:val="0"/>
          <w:sz w:val="30"/>
          <w:szCs w:val="30"/>
          <w:highlight w:val="none"/>
          <w:lang w:val="en-US"/>
        </w:rPr>
      </w:pPr>
      <w:r>
        <w:rPr>
          <w:rFonts w:hint="eastAsia" w:ascii="宋体" w:hAnsi="宋体" w:eastAsia="宋体" w:cs="宋体"/>
          <w:color w:val="auto"/>
          <w:kern w:val="0"/>
          <w:sz w:val="30"/>
          <w:szCs w:val="30"/>
          <w:highlight w:val="none"/>
          <w:lang w:val="en-US"/>
        </w:rPr>
        <w:t>法定代表人身份证明书</w:t>
      </w:r>
    </w:p>
    <w:p w14:paraId="6EE29D9C">
      <w:pPr>
        <w:shd w:val="clear" w:color="auto" w:fill="auto"/>
        <w:spacing w:line="440" w:lineRule="exact"/>
        <w:jc w:val="center"/>
        <w:rPr>
          <w:rFonts w:hint="eastAsia" w:ascii="宋体" w:hAnsi="宋体" w:eastAsia="宋体" w:cs="宋体"/>
          <w:b/>
          <w:color w:val="auto"/>
          <w:sz w:val="30"/>
          <w:szCs w:val="30"/>
          <w:highlight w:val="none"/>
        </w:rPr>
      </w:pPr>
    </w:p>
    <w:p w14:paraId="2B102F84">
      <w:pPr>
        <w:shd w:val="clear" w:color="auto" w:fill="auto"/>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698F66D9">
      <w:pPr>
        <w:shd w:val="clear" w:color="auto" w:fill="auto"/>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47DA3D8B">
      <w:pPr>
        <w:shd w:val="clear" w:color="auto" w:fill="auto"/>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5DFEC650">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AE57243">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2126C649">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p>
    <w:p w14:paraId="6E1D6908">
      <w:pPr>
        <w:shd w:val="clear" w:color="auto" w:fill="auto"/>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54041E60">
      <w:pPr>
        <w:shd w:val="clear" w:color="auto" w:fill="auto"/>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7177EDB4">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w:t>
      </w:r>
    </w:p>
    <w:p w14:paraId="522D4CB3">
      <w:pPr>
        <w:shd w:val="clear" w:color="auto" w:fill="auto"/>
        <w:spacing w:line="360" w:lineRule="auto"/>
        <w:ind w:firstLine="972" w:firstLineChars="405"/>
        <w:rPr>
          <w:rFonts w:hint="eastAsia" w:ascii="宋体" w:hAnsi="宋体" w:eastAsia="宋体" w:cs="宋体"/>
          <w:color w:val="auto"/>
          <w:sz w:val="24"/>
          <w:szCs w:val="24"/>
          <w:highlight w:val="none"/>
        </w:rPr>
      </w:pPr>
    </w:p>
    <w:p w14:paraId="5BD45D45">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574DAB86">
      <w:pPr>
        <w:shd w:val="clear" w:color="auto" w:fill="auto"/>
        <w:spacing w:line="360" w:lineRule="auto"/>
        <w:ind w:firstLine="616" w:firstLineChars="257"/>
        <w:rPr>
          <w:rFonts w:hint="eastAsia" w:ascii="宋体" w:hAnsi="宋体" w:eastAsia="宋体" w:cs="宋体"/>
          <w:color w:val="auto"/>
          <w:sz w:val="24"/>
          <w:szCs w:val="24"/>
          <w:highlight w:val="none"/>
        </w:rPr>
      </w:pPr>
    </w:p>
    <w:p w14:paraId="7398E3F4">
      <w:pPr>
        <w:shd w:val="clear" w:color="auto" w:fill="auto"/>
        <w:spacing w:line="360" w:lineRule="auto"/>
        <w:ind w:firstLine="472" w:firstLineChars="19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附：法定代表人身份证正反面原件扫描件</w:t>
      </w:r>
    </w:p>
    <w:p w14:paraId="2DD375BD">
      <w:pPr>
        <w:shd w:val="clear" w:color="auto" w:fill="auto"/>
        <w:spacing w:line="360" w:lineRule="auto"/>
        <w:rPr>
          <w:rFonts w:hint="eastAsia" w:ascii="宋体" w:hAnsi="宋体" w:eastAsia="宋体" w:cs="宋体"/>
          <w:color w:val="auto"/>
          <w:sz w:val="24"/>
          <w:szCs w:val="24"/>
          <w:highlight w:val="none"/>
        </w:rPr>
      </w:pPr>
    </w:p>
    <w:p w14:paraId="2AB95420">
      <w:pPr>
        <w:shd w:val="clear" w:color="auto" w:fill="auto"/>
        <w:wordWrap w:val="0"/>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供应商（电子签章）：</w:t>
      </w:r>
      <w:r>
        <w:rPr>
          <w:rFonts w:hint="eastAsia" w:ascii="宋体" w:hAnsi="宋体" w:eastAsia="宋体" w:cs="宋体"/>
          <w:color w:val="auto"/>
          <w:sz w:val="24"/>
          <w:szCs w:val="24"/>
          <w:highlight w:val="none"/>
          <w:u w:val="single"/>
        </w:rPr>
        <w:t xml:space="preserve">                       </w:t>
      </w:r>
    </w:p>
    <w:p w14:paraId="1C6D6527">
      <w:pPr>
        <w:shd w:val="clear" w:color="auto" w:fill="auto"/>
        <w:spacing w:line="360" w:lineRule="auto"/>
        <w:jc w:val="center"/>
        <w:rPr>
          <w:rFonts w:hint="eastAsia" w:ascii="宋体" w:hAnsi="宋体" w:eastAsia="宋体" w:cs="宋体"/>
          <w:color w:val="auto"/>
          <w:sz w:val="24"/>
          <w:szCs w:val="24"/>
          <w:highlight w:val="none"/>
        </w:rPr>
      </w:pPr>
      <w:r>
        <w:rPr>
          <w:rFonts w:hint="eastAsia" w:hAnsi="宋体" w:cs="宋体"/>
          <w:color w:val="auto"/>
          <w:sz w:val="24"/>
          <w:szCs w:val="24"/>
          <w:highlight w:val="none"/>
          <w:u w:val="none"/>
          <w:lang w:val="en-US" w:eastAsia="zh-CN"/>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57B3AF9">
      <w:pPr>
        <w:shd w:val="clear" w:color="auto" w:fill="auto"/>
        <w:rPr>
          <w:rFonts w:hint="eastAsia" w:ascii="宋体" w:hAnsi="宋体" w:eastAsia="宋体" w:cs="宋体"/>
          <w:color w:val="auto"/>
          <w:highlight w:val="none"/>
        </w:rPr>
      </w:pPr>
    </w:p>
    <w:p w14:paraId="0E70EEDF">
      <w:pPr>
        <w:shd w:val="clear" w:color="auto" w:fill="auto"/>
        <w:outlineLvl w:val="2"/>
        <w:rPr>
          <w:rFonts w:hint="eastAsia" w:ascii="宋体" w:hAnsi="宋体" w:eastAsia="宋体" w:cs="宋体"/>
          <w:b/>
          <w:bCs/>
          <w:color w:val="auto"/>
          <w:sz w:val="28"/>
          <w:szCs w:val="36"/>
          <w:highlight w:val="none"/>
          <w:lang w:eastAsia="zh-CN"/>
        </w:rPr>
      </w:pPr>
      <w:r>
        <w:rPr>
          <w:rFonts w:hint="eastAsia" w:ascii="宋体" w:hAnsi="宋体" w:eastAsia="宋体" w:cs="宋体"/>
          <w:bCs w:val="0"/>
          <w:snapToGrid w:val="0"/>
          <w:color w:val="auto"/>
          <w:kern w:val="21"/>
          <w:sz w:val="21"/>
          <w:szCs w:val="24"/>
          <w:highlight w:val="none"/>
          <w:lang w:val="en-US"/>
        </w:rPr>
        <w:br w:type="page"/>
      </w:r>
      <w:r>
        <w:rPr>
          <w:rFonts w:hint="eastAsia" w:hAnsi="宋体" w:cs="宋体"/>
          <w:b/>
          <w:bCs/>
          <w:color w:val="auto"/>
          <w:sz w:val="28"/>
          <w:szCs w:val="36"/>
          <w:highlight w:val="none"/>
          <w:lang w:val="en-US" w:eastAsia="zh-CN"/>
        </w:rPr>
        <w:t>4-3法定代表人授权委托书</w:t>
      </w:r>
    </w:p>
    <w:p w14:paraId="2FD54B92">
      <w:pPr>
        <w:shd w:val="clear" w:color="auto" w:fill="auto"/>
        <w:spacing w:before="240" w:after="240" w:line="360" w:lineRule="auto"/>
        <w:ind w:firstLine="0"/>
        <w:jc w:val="center"/>
        <w:outlineLvl w:val="9"/>
        <w:rPr>
          <w:rFonts w:hint="eastAsia" w:ascii="宋体" w:hAnsi="宋体" w:eastAsia="宋体" w:cs="宋体"/>
          <w:color w:val="auto"/>
          <w:kern w:val="0"/>
          <w:sz w:val="30"/>
          <w:szCs w:val="30"/>
          <w:highlight w:val="none"/>
          <w:lang w:val="en-US"/>
        </w:rPr>
      </w:pPr>
      <w:r>
        <w:rPr>
          <w:rFonts w:hint="eastAsia" w:ascii="宋体" w:hAnsi="宋体" w:eastAsia="宋体" w:cs="宋体"/>
          <w:color w:val="auto"/>
          <w:kern w:val="0"/>
          <w:sz w:val="30"/>
          <w:szCs w:val="30"/>
          <w:highlight w:val="none"/>
          <w:lang w:val="en-US"/>
        </w:rPr>
        <w:t>法定代表人授权委托书</w:t>
      </w:r>
    </w:p>
    <w:p w14:paraId="5B343D4B">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本授权委托书声明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（供应商全称）  </w:t>
      </w:r>
      <w:r>
        <w:rPr>
          <w:rFonts w:hint="eastAsia" w:ascii="宋体" w:hAnsi="宋体" w:eastAsia="宋体" w:cs="宋体"/>
          <w:color w:val="auto"/>
          <w:sz w:val="24"/>
          <w:szCs w:val="24"/>
          <w:highlight w:val="none"/>
        </w:rPr>
        <w:t>的法定代表人代表本公司授权</w:t>
      </w:r>
      <w:r>
        <w:rPr>
          <w:rFonts w:hint="eastAsia" w:ascii="宋体" w:hAnsi="宋体" w:eastAsia="宋体" w:cs="宋体"/>
          <w:color w:val="auto"/>
          <w:sz w:val="24"/>
          <w:szCs w:val="24"/>
          <w:highlight w:val="none"/>
          <w:u w:val="single"/>
        </w:rPr>
        <w:t>（委托代理人姓名）</w:t>
      </w:r>
      <w:r>
        <w:rPr>
          <w:rFonts w:hint="eastAsia" w:ascii="宋体" w:hAnsi="宋体" w:eastAsia="宋体" w:cs="宋体"/>
          <w:color w:val="auto"/>
          <w:sz w:val="24"/>
          <w:szCs w:val="24"/>
          <w:highlight w:val="none"/>
        </w:rPr>
        <w:t>为本公司合法代理人，就贵方组织的有关</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）的竞争性磋商，以本单位名义参加。代理人在本项目磋商过程中所签署的一切文件和处理与之有关的一切事务，我方均予承认，其法律后果由我方承担。</w:t>
      </w:r>
    </w:p>
    <w:p w14:paraId="274FF7C6">
      <w:pPr>
        <w:shd w:val="clear" w:color="auto" w:fill="auto"/>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p>
    <w:p w14:paraId="0388242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代理人无转委托权，特此委托</w:t>
      </w:r>
      <w:r>
        <w:rPr>
          <w:rFonts w:hint="eastAsia" w:ascii="宋体" w:hAnsi="宋体" w:eastAsia="宋体" w:cs="宋体"/>
          <w:color w:val="auto"/>
          <w:sz w:val="24"/>
          <w:szCs w:val="24"/>
          <w:highlight w:val="none"/>
        </w:rPr>
        <w:t>。</w:t>
      </w:r>
    </w:p>
    <w:p w14:paraId="059E4AE5">
      <w:pPr>
        <w:pStyle w:val="8"/>
        <w:shd w:val="clear" w:color="auto" w:fill="auto"/>
        <w:spacing w:line="360" w:lineRule="auto"/>
        <w:jc w:val="left"/>
        <w:rPr>
          <w:rFonts w:hint="eastAsia" w:ascii="宋体" w:hAnsi="宋体" w:eastAsia="宋体" w:cs="宋体"/>
          <w:color w:val="auto"/>
          <w:sz w:val="24"/>
          <w:szCs w:val="24"/>
          <w:highlight w:val="none"/>
        </w:rPr>
      </w:pPr>
    </w:p>
    <w:p w14:paraId="58102D75">
      <w:pPr>
        <w:shd w:val="clear" w:color="auto" w:fill="auto"/>
        <w:spacing w:line="480" w:lineRule="auto"/>
        <w:ind w:firstLine="2" w:firstLineChars="1"/>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供应商（电子签章）：</w:t>
      </w:r>
      <w:r>
        <w:rPr>
          <w:rFonts w:hint="eastAsia" w:ascii="宋体" w:hAnsi="宋体" w:eastAsia="宋体" w:cs="宋体"/>
          <w:color w:val="auto"/>
          <w:sz w:val="24"/>
          <w:szCs w:val="24"/>
          <w:highlight w:val="none"/>
          <w:u w:val="single"/>
        </w:rPr>
        <w:t xml:space="preserve">                         </w:t>
      </w:r>
    </w:p>
    <w:p w14:paraId="45AA0B45">
      <w:pPr>
        <w:shd w:val="clear" w:color="auto" w:fill="auto"/>
        <w:spacing w:line="480" w:lineRule="auto"/>
        <w:ind w:firstLine="2" w:firstLineChars="1"/>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法定代表人（电子签章）：</w:t>
      </w:r>
      <w:r>
        <w:rPr>
          <w:rFonts w:hint="eastAsia" w:ascii="宋体" w:hAnsi="宋体" w:eastAsia="宋体" w:cs="宋体"/>
          <w:color w:val="auto"/>
          <w:sz w:val="24"/>
          <w:szCs w:val="24"/>
          <w:highlight w:val="none"/>
          <w:u w:val="single"/>
        </w:rPr>
        <w:t xml:space="preserve">                     </w:t>
      </w:r>
    </w:p>
    <w:p w14:paraId="51F49E6B">
      <w:pPr>
        <w:shd w:val="clear" w:color="auto" w:fill="auto"/>
        <w:spacing w:line="480" w:lineRule="auto"/>
        <w:ind w:firstLine="2" w:firstLineChars="1"/>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54F32493">
      <w:pPr>
        <w:shd w:val="clear" w:color="auto" w:fill="auto"/>
        <w:spacing w:line="480" w:lineRule="auto"/>
        <w:ind w:firstLine="2" w:firstLineChars="1"/>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w:t>
      </w:r>
      <w:r>
        <w:rPr>
          <w:rFonts w:hint="eastAsia" w:ascii="宋体" w:hAnsi="宋体" w:eastAsia="宋体" w:cs="宋体"/>
          <w:b/>
          <w:bCs/>
          <w:color w:val="auto"/>
          <w:sz w:val="24"/>
          <w:szCs w:val="24"/>
          <w:highlight w:val="none"/>
        </w:rPr>
        <w:t>（签字或盖章或电子签章）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5A94414">
      <w:pPr>
        <w:shd w:val="clear" w:color="auto" w:fill="auto"/>
        <w:spacing w:line="480" w:lineRule="auto"/>
        <w:ind w:firstLine="2" w:firstLineChars="1"/>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02A3F4EE">
      <w:pPr>
        <w:pStyle w:val="8"/>
        <w:shd w:val="clear" w:color="auto" w:fill="auto"/>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9E0F7DF">
      <w:pPr>
        <w:pStyle w:val="8"/>
        <w:shd w:val="clear" w:color="auto" w:fill="auto"/>
        <w:spacing w:line="360" w:lineRule="auto"/>
        <w:rPr>
          <w:rFonts w:hint="eastAsia" w:ascii="宋体" w:hAnsi="宋体" w:eastAsia="宋体" w:cs="宋体"/>
          <w:b/>
          <w:bCs/>
          <w:color w:val="auto"/>
          <w:sz w:val="24"/>
          <w:szCs w:val="24"/>
          <w:highlight w:val="none"/>
        </w:rPr>
      </w:pPr>
    </w:p>
    <w:p w14:paraId="25E1172B">
      <w:pPr>
        <w:pStyle w:val="8"/>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注：1.附被授权代理人身份证正反面原件扫描件；</w:t>
      </w:r>
    </w:p>
    <w:p w14:paraId="32DD5700">
      <w:pPr>
        <w:pStyle w:val="8"/>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2.如供应商由法定代表人亲自签署响应文件并参与相关活动，则不需要办理授权。如由被授权的代理人签署上述文件，则必须按本格式规定填报并提交授权书，否则被授权的代理人将不被认可。</w:t>
      </w:r>
    </w:p>
    <w:p w14:paraId="25FBED2E">
      <w:pPr>
        <w:pStyle w:val="8"/>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3.本授权委托书配合法定代表人身份证明书使用方可生效。</w:t>
      </w:r>
    </w:p>
    <w:p w14:paraId="3CF333DD">
      <w:pPr>
        <w:pStyle w:val="8"/>
        <w:shd w:val="clear" w:color="auto" w:fill="auto"/>
        <w:spacing w:line="360" w:lineRule="auto"/>
        <w:ind w:firstLine="422" w:firstLineChars="200"/>
        <w:rPr>
          <w:rFonts w:hint="eastAsia" w:ascii="宋体" w:hAnsi="宋体" w:eastAsia="宋体" w:cs="宋体"/>
          <w:b/>
          <w:bCs/>
          <w:color w:val="auto"/>
          <w:szCs w:val="21"/>
          <w:highlight w:val="none"/>
        </w:rPr>
      </w:pPr>
    </w:p>
    <w:p w14:paraId="13897C19">
      <w:pPr>
        <w:shd w:val="clear" w:color="auto" w:fill="auto"/>
        <w:rPr>
          <w:rFonts w:hint="eastAsia" w:ascii="宋体" w:hAnsi="宋体" w:eastAsia="宋体" w:cs="宋体"/>
          <w:color w:val="auto"/>
          <w:highlight w:val="none"/>
        </w:rPr>
      </w:pPr>
    </w:p>
    <w:p w14:paraId="3981465D">
      <w:pPr>
        <w:shd w:val="clear" w:color="auto" w:fill="auto"/>
        <w:outlineLvl w:val="2"/>
        <w:rPr>
          <w:rFonts w:hint="default" w:ascii="宋体" w:hAnsi="宋体" w:eastAsia="宋体" w:cs="宋体"/>
          <w:b/>
          <w:bCs/>
          <w:color w:val="auto"/>
          <w:sz w:val="28"/>
          <w:szCs w:val="36"/>
          <w:highlight w:val="none"/>
          <w:lang w:val="en-US" w:eastAsia="zh-CN"/>
        </w:rPr>
      </w:pPr>
      <w:r>
        <w:rPr>
          <w:rFonts w:hint="eastAsia" w:ascii="宋体" w:hAnsi="宋体" w:eastAsia="宋体" w:cs="宋体"/>
          <w:bCs w:val="0"/>
          <w:snapToGrid w:val="0"/>
          <w:color w:val="auto"/>
          <w:kern w:val="21"/>
          <w:sz w:val="21"/>
          <w:szCs w:val="24"/>
          <w:highlight w:val="none"/>
          <w:lang w:val="en-US"/>
        </w:rPr>
        <w:br w:type="page"/>
      </w:r>
      <w:r>
        <w:rPr>
          <w:rFonts w:hint="eastAsia" w:hAnsi="宋体" w:cs="宋体"/>
          <w:b/>
          <w:bCs/>
          <w:color w:val="auto"/>
          <w:sz w:val="28"/>
          <w:szCs w:val="36"/>
          <w:highlight w:val="none"/>
          <w:lang w:val="en-US" w:eastAsia="zh-CN"/>
        </w:rPr>
        <w:t>4</w:t>
      </w:r>
      <w:r>
        <w:rPr>
          <w:rFonts w:hint="eastAsia" w:ascii="宋体" w:hAnsi="宋体" w:eastAsia="宋体" w:cs="宋体"/>
          <w:b/>
          <w:bCs/>
          <w:color w:val="auto"/>
          <w:sz w:val="28"/>
          <w:szCs w:val="36"/>
          <w:highlight w:val="none"/>
          <w:lang w:val="en-US" w:eastAsia="zh-CN"/>
        </w:rPr>
        <w:t>-</w:t>
      </w:r>
      <w:r>
        <w:rPr>
          <w:rFonts w:hint="eastAsia" w:hAnsi="宋体" w:cs="宋体"/>
          <w:b/>
          <w:bCs/>
          <w:color w:val="auto"/>
          <w:sz w:val="28"/>
          <w:szCs w:val="36"/>
          <w:highlight w:val="none"/>
          <w:lang w:val="en-US" w:eastAsia="zh-CN"/>
        </w:rPr>
        <w:t>4</w:t>
      </w:r>
      <w:r>
        <w:rPr>
          <w:rFonts w:hint="eastAsia" w:ascii="宋体" w:hAnsi="宋体" w:eastAsia="宋体" w:cs="宋体"/>
          <w:b/>
          <w:bCs/>
          <w:color w:val="auto"/>
          <w:sz w:val="28"/>
          <w:szCs w:val="36"/>
          <w:highlight w:val="none"/>
          <w:lang w:val="en-US" w:eastAsia="zh-CN"/>
        </w:rPr>
        <w:t>供应商基本情况表</w:t>
      </w:r>
    </w:p>
    <w:p w14:paraId="00024872">
      <w:pPr>
        <w:pStyle w:val="20"/>
        <w:pageBreakBefore w:val="0"/>
        <w:kinsoku/>
        <w:overflowPunct/>
        <w:topLinePunct w:val="0"/>
        <w:bidi w:val="0"/>
        <w:spacing w:after="0" w:line="360" w:lineRule="auto"/>
        <w:contextualSpacing/>
        <w:jc w:val="center"/>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基本情况表</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92"/>
        <w:gridCol w:w="1432"/>
        <w:gridCol w:w="1747"/>
        <w:gridCol w:w="1198"/>
        <w:gridCol w:w="1024"/>
        <w:gridCol w:w="2551"/>
      </w:tblGrid>
      <w:tr w14:paraId="12ACD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1511" w:type="pct"/>
            <w:gridSpan w:val="2"/>
            <w:tcBorders>
              <w:top w:val="single" w:color="auto" w:sz="12" w:space="0"/>
              <w:left w:val="single" w:color="auto" w:sz="12" w:space="0"/>
              <w:bottom w:val="single" w:color="auto" w:sz="6" w:space="0"/>
              <w:right w:val="single" w:color="auto" w:sz="4" w:space="0"/>
            </w:tcBorders>
            <w:noWrap w:val="0"/>
            <w:vAlign w:val="center"/>
          </w:tcPr>
          <w:p w14:paraId="11A632BA">
            <w:pPr>
              <w:widowControl/>
              <w:jc w:val="center"/>
              <w:rPr>
                <w:rFonts w:ascii="宋体" w:hAnsi="宋体"/>
                <w:color w:val="auto"/>
                <w:sz w:val="24"/>
                <w:highlight w:val="none"/>
              </w:rPr>
            </w:pPr>
            <w:r>
              <w:rPr>
                <w:rFonts w:hint="eastAsia" w:ascii="宋体" w:hAnsi="宋体"/>
                <w:color w:val="auto"/>
                <w:sz w:val="24"/>
                <w:highlight w:val="none"/>
              </w:rPr>
              <w:t>公司名称</w:t>
            </w:r>
          </w:p>
        </w:tc>
        <w:tc>
          <w:tcPr>
            <w:tcW w:w="3488" w:type="pct"/>
            <w:gridSpan w:val="4"/>
            <w:tcBorders>
              <w:top w:val="single" w:color="auto" w:sz="12" w:space="0"/>
              <w:left w:val="single" w:color="auto" w:sz="4" w:space="0"/>
              <w:bottom w:val="single" w:color="auto" w:sz="6" w:space="0"/>
              <w:right w:val="single" w:color="auto" w:sz="12" w:space="0"/>
            </w:tcBorders>
            <w:noWrap w:val="0"/>
            <w:vAlign w:val="center"/>
          </w:tcPr>
          <w:p w14:paraId="4E764A8A">
            <w:pPr>
              <w:widowControl/>
              <w:jc w:val="left"/>
              <w:rPr>
                <w:rFonts w:ascii="宋体" w:hAnsi="宋体"/>
                <w:color w:val="auto"/>
                <w:sz w:val="24"/>
                <w:highlight w:val="none"/>
              </w:rPr>
            </w:pPr>
          </w:p>
        </w:tc>
      </w:tr>
      <w:tr w14:paraId="2E3D3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1511" w:type="pct"/>
            <w:gridSpan w:val="2"/>
            <w:tcBorders>
              <w:top w:val="single" w:color="auto" w:sz="6" w:space="0"/>
              <w:left w:val="single" w:color="auto" w:sz="12" w:space="0"/>
              <w:bottom w:val="single" w:color="auto" w:sz="6" w:space="0"/>
              <w:right w:val="single" w:color="auto" w:sz="4" w:space="0"/>
            </w:tcBorders>
            <w:noWrap w:val="0"/>
            <w:vAlign w:val="center"/>
          </w:tcPr>
          <w:p w14:paraId="6F76F2B1">
            <w:pPr>
              <w:widowControl/>
              <w:jc w:val="center"/>
              <w:rPr>
                <w:rFonts w:ascii="宋体" w:hAnsi="宋体"/>
                <w:color w:val="auto"/>
                <w:sz w:val="24"/>
                <w:highlight w:val="none"/>
              </w:rPr>
            </w:pPr>
            <w:r>
              <w:rPr>
                <w:rFonts w:hint="eastAsia" w:ascii="宋体" w:hAnsi="宋体"/>
                <w:color w:val="auto"/>
                <w:sz w:val="24"/>
                <w:highlight w:val="none"/>
              </w:rPr>
              <w:t>公司地址</w:t>
            </w:r>
          </w:p>
        </w:tc>
        <w:tc>
          <w:tcPr>
            <w:tcW w:w="3488" w:type="pct"/>
            <w:gridSpan w:val="4"/>
            <w:tcBorders>
              <w:top w:val="single" w:color="auto" w:sz="6" w:space="0"/>
              <w:left w:val="single" w:color="auto" w:sz="4" w:space="0"/>
              <w:bottom w:val="single" w:color="auto" w:sz="6" w:space="0"/>
              <w:right w:val="single" w:color="auto" w:sz="12" w:space="0"/>
            </w:tcBorders>
            <w:noWrap w:val="0"/>
            <w:vAlign w:val="center"/>
          </w:tcPr>
          <w:p w14:paraId="3B5C84F6">
            <w:pPr>
              <w:widowControl/>
              <w:jc w:val="center"/>
              <w:rPr>
                <w:rFonts w:ascii="宋体" w:hAnsi="宋体"/>
                <w:color w:val="auto"/>
                <w:sz w:val="24"/>
                <w:highlight w:val="none"/>
              </w:rPr>
            </w:pPr>
          </w:p>
        </w:tc>
      </w:tr>
      <w:tr w14:paraId="21F43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511" w:type="pct"/>
            <w:gridSpan w:val="2"/>
            <w:tcBorders>
              <w:top w:val="single" w:color="auto" w:sz="6" w:space="0"/>
              <w:left w:val="single" w:color="auto" w:sz="12" w:space="0"/>
              <w:bottom w:val="single" w:color="auto" w:sz="6" w:space="0"/>
              <w:right w:val="single" w:color="auto" w:sz="4" w:space="0"/>
            </w:tcBorders>
            <w:noWrap w:val="0"/>
            <w:vAlign w:val="center"/>
          </w:tcPr>
          <w:p w14:paraId="34F40ACC">
            <w:pPr>
              <w:widowControl/>
              <w:jc w:val="center"/>
              <w:rPr>
                <w:rFonts w:ascii="宋体" w:hAnsi="宋体"/>
                <w:color w:val="auto"/>
                <w:sz w:val="24"/>
                <w:highlight w:val="none"/>
              </w:rPr>
            </w:pPr>
            <w:r>
              <w:rPr>
                <w:rFonts w:hint="eastAsia" w:ascii="宋体" w:hAnsi="宋体"/>
                <w:color w:val="auto"/>
                <w:sz w:val="24"/>
                <w:highlight w:val="none"/>
              </w:rPr>
              <w:t>公司性质</w:t>
            </w:r>
          </w:p>
        </w:tc>
        <w:tc>
          <w:tcPr>
            <w:tcW w:w="935" w:type="pct"/>
            <w:tcBorders>
              <w:top w:val="single" w:color="auto" w:sz="6" w:space="0"/>
              <w:left w:val="single" w:color="auto" w:sz="4" w:space="0"/>
              <w:bottom w:val="single" w:color="auto" w:sz="6" w:space="0"/>
              <w:right w:val="single" w:color="auto" w:sz="4" w:space="0"/>
            </w:tcBorders>
            <w:noWrap w:val="0"/>
            <w:vAlign w:val="center"/>
          </w:tcPr>
          <w:p w14:paraId="6205F139">
            <w:pPr>
              <w:widowControl/>
              <w:jc w:val="center"/>
              <w:rPr>
                <w:rFonts w:ascii="宋体" w:hAnsi="宋体"/>
                <w:color w:val="auto"/>
                <w:sz w:val="24"/>
                <w:highlight w:val="none"/>
              </w:rPr>
            </w:pPr>
          </w:p>
        </w:tc>
        <w:tc>
          <w:tcPr>
            <w:tcW w:w="1189" w:type="pct"/>
            <w:gridSpan w:val="2"/>
            <w:tcBorders>
              <w:top w:val="single" w:color="auto" w:sz="6" w:space="0"/>
              <w:left w:val="single" w:color="auto" w:sz="4" w:space="0"/>
              <w:bottom w:val="single" w:color="auto" w:sz="6" w:space="0"/>
              <w:right w:val="single" w:color="auto" w:sz="4" w:space="0"/>
            </w:tcBorders>
            <w:noWrap w:val="0"/>
            <w:vAlign w:val="center"/>
          </w:tcPr>
          <w:p w14:paraId="3C87CE1D">
            <w:pPr>
              <w:widowControl/>
              <w:jc w:val="center"/>
              <w:rPr>
                <w:rFonts w:ascii="宋体" w:hAnsi="宋体"/>
                <w:color w:val="auto"/>
                <w:sz w:val="24"/>
                <w:highlight w:val="none"/>
              </w:rPr>
            </w:pPr>
            <w:r>
              <w:rPr>
                <w:rFonts w:hint="eastAsia" w:ascii="宋体" w:hAnsi="宋体"/>
                <w:color w:val="auto"/>
                <w:sz w:val="24"/>
                <w:highlight w:val="none"/>
              </w:rPr>
              <w:t>公司类型</w:t>
            </w:r>
          </w:p>
        </w:tc>
        <w:tc>
          <w:tcPr>
            <w:tcW w:w="1363" w:type="pct"/>
            <w:tcBorders>
              <w:top w:val="single" w:color="auto" w:sz="6" w:space="0"/>
              <w:left w:val="single" w:color="auto" w:sz="4" w:space="0"/>
              <w:bottom w:val="single" w:color="auto" w:sz="6" w:space="0"/>
              <w:right w:val="single" w:color="auto" w:sz="12" w:space="0"/>
            </w:tcBorders>
            <w:noWrap w:val="0"/>
            <w:vAlign w:val="center"/>
          </w:tcPr>
          <w:p w14:paraId="550D620E">
            <w:pPr>
              <w:widowControl/>
              <w:jc w:val="center"/>
              <w:rPr>
                <w:rFonts w:ascii="宋体" w:hAnsi="宋体"/>
                <w:color w:val="auto"/>
                <w:sz w:val="24"/>
                <w:highlight w:val="none"/>
              </w:rPr>
            </w:pPr>
          </w:p>
        </w:tc>
      </w:tr>
      <w:tr w14:paraId="22951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1511" w:type="pct"/>
            <w:gridSpan w:val="2"/>
            <w:tcBorders>
              <w:top w:val="single" w:color="auto" w:sz="6" w:space="0"/>
              <w:left w:val="single" w:color="auto" w:sz="12" w:space="0"/>
              <w:bottom w:val="single" w:color="auto" w:sz="6" w:space="0"/>
              <w:right w:val="single" w:color="auto" w:sz="6" w:space="0"/>
            </w:tcBorders>
            <w:noWrap w:val="0"/>
            <w:vAlign w:val="center"/>
          </w:tcPr>
          <w:p w14:paraId="65253A24">
            <w:pPr>
              <w:widowControl/>
              <w:jc w:val="center"/>
              <w:rPr>
                <w:rFonts w:ascii="宋体" w:hAnsi="宋体"/>
                <w:color w:val="auto"/>
                <w:sz w:val="24"/>
                <w:highlight w:val="none"/>
              </w:rPr>
            </w:pPr>
            <w:r>
              <w:rPr>
                <w:rFonts w:hint="eastAsia" w:ascii="宋体" w:hAnsi="宋体"/>
                <w:color w:val="auto"/>
                <w:sz w:val="24"/>
                <w:highlight w:val="none"/>
              </w:rPr>
              <w:t>法定代表人</w:t>
            </w:r>
          </w:p>
        </w:tc>
        <w:tc>
          <w:tcPr>
            <w:tcW w:w="935" w:type="pct"/>
            <w:tcBorders>
              <w:top w:val="single" w:color="auto" w:sz="6" w:space="0"/>
              <w:left w:val="single" w:color="auto" w:sz="6" w:space="0"/>
              <w:bottom w:val="single" w:color="auto" w:sz="6" w:space="0"/>
              <w:right w:val="single" w:color="auto" w:sz="6" w:space="0"/>
            </w:tcBorders>
            <w:noWrap w:val="0"/>
            <w:vAlign w:val="center"/>
          </w:tcPr>
          <w:p w14:paraId="290E930A">
            <w:pPr>
              <w:widowControl/>
              <w:jc w:val="center"/>
              <w:rPr>
                <w:rFonts w:ascii="宋体" w:hAnsi="宋体"/>
                <w:color w:val="auto"/>
                <w:sz w:val="24"/>
                <w:highlight w:val="none"/>
              </w:rPr>
            </w:pPr>
          </w:p>
        </w:tc>
        <w:tc>
          <w:tcPr>
            <w:tcW w:w="1189" w:type="pct"/>
            <w:gridSpan w:val="2"/>
            <w:tcBorders>
              <w:top w:val="single" w:color="auto" w:sz="6" w:space="0"/>
              <w:left w:val="single" w:color="auto" w:sz="6" w:space="0"/>
              <w:bottom w:val="single" w:color="auto" w:sz="6" w:space="0"/>
              <w:right w:val="single" w:color="auto" w:sz="4" w:space="0"/>
            </w:tcBorders>
            <w:noWrap w:val="0"/>
            <w:vAlign w:val="center"/>
          </w:tcPr>
          <w:p w14:paraId="1ABA7B3E">
            <w:pPr>
              <w:widowControl/>
              <w:jc w:val="center"/>
              <w:rPr>
                <w:rFonts w:ascii="宋体" w:hAnsi="宋体"/>
                <w:color w:val="auto"/>
                <w:sz w:val="24"/>
                <w:highlight w:val="none"/>
              </w:rPr>
            </w:pPr>
            <w:r>
              <w:rPr>
                <w:rFonts w:hint="eastAsia" w:ascii="宋体" w:hAnsi="宋体"/>
                <w:color w:val="auto"/>
                <w:sz w:val="24"/>
                <w:highlight w:val="none"/>
              </w:rPr>
              <w:t>注册资金</w:t>
            </w:r>
          </w:p>
        </w:tc>
        <w:tc>
          <w:tcPr>
            <w:tcW w:w="1363" w:type="pct"/>
            <w:tcBorders>
              <w:top w:val="single" w:color="auto" w:sz="6" w:space="0"/>
              <w:left w:val="single" w:color="auto" w:sz="4" w:space="0"/>
              <w:bottom w:val="single" w:color="auto" w:sz="6" w:space="0"/>
              <w:right w:val="single" w:color="auto" w:sz="12" w:space="0"/>
            </w:tcBorders>
            <w:noWrap w:val="0"/>
            <w:vAlign w:val="center"/>
          </w:tcPr>
          <w:p w14:paraId="231106B4">
            <w:pPr>
              <w:widowControl/>
              <w:jc w:val="center"/>
              <w:rPr>
                <w:rFonts w:ascii="宋体" w:hAnsi="宋体"/>
                <w:color w:val="auto"/>
                <w:sz w:val="24"/>
                <w:highlight w:val="none"/>
              </w:rPr>
            </w:pPr>
          </w:p>
        </w:tc>
      </w:tr>
      <w:tr w14:paraId="71800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1511" w:type="pct"/>
            <w:gridSpan w:val="2"/>
            <w:vMerge w:val="restart"/>
            <w:tcBorders>
              <w:top w:val="single" w:color="auto" w:sz="6" w:space="0"/>
              <w:left w:val="single" w:color="auto" w:sz="12" w:space="0"/>
              <w:bottom w:val="single" w:color="auto" w:sz="6" w:space="0"/>
              <w:right w:val="single" w:color="auto" w:sz="6" w:space="0"/>
            </w:tcBorders>
            <w:noWrap w:val="0"/>
            <w:vAlign w:val="center"/>
          </w:tcPr>
          <w:p w14:paraId="34FDA0E1">
            <w:pPr>
              <w:widowControl/>
              <w:jc w:val="center"/>
              <w:rPr>
                <w:rFonts w:ascii="宋体" w:hAnsi="宋体"/>
                <w:color w:val="auto"/>
                <w:sz w:val="24"/>
                <w:highlight w:val="none"/>
              </w:rPr>
            </w:pPr>
            <w:r>
              <w:rPr>
                <w:rFonts w:hint="eastAsia" w:ascii="宋体" w:hAnsi="宋体"/>
                <w:color w:val="auto"/>
                <w:sz w:val="24"/>
                <w:highlight w:val="none"/>
              </w:rPr>
              <w:t>注册日期</w:t>
            </w:r>
          </w:p>
        </w:tc>
        <w:tc>
          <w:tcPr>
            <w:tcW w:w="935" w:type="pct"/>
            <w:vMerge w:val="restart"/>
            <w:tcBorders>
              <w:top w:val="single" w:color="auto" w:sz="6" w:space="0"/>
              <w:left w:val="single" w:color="auto" w:sz="6" w:space="0"/>
              <w:bottom w:val="single" w:color="auto" w:sz="6" w:space="0"/>
              <w:right w:val="single" w:color="auto" w:sz="6" w:space="0"/>
            </w:tcBorders>
            <w:noWrap w:val="0"/>
            <w:vAlign w:val="center"/>
          </w:tcPr>
          <w:p w14:paraId="5B75C5D1">
            <w:pPr>
              <w:widowControl/>
              <w:jc w:val="center"/>
              <w:rPr>
                <w:rFonts w:ascii="宋体" w:hAnsi="宋体"/>
                <w:color w:val="auto"/>
                <w:sz w:val="24"/>
                <w:highlight w:val="none"/>
              </w:rPr>
            </w:pPr>
          </w:p>
        </w:tc>
        <w:tc>
          <w:tcPr>
            <w:tcW w:w="1189" w:type="pct"/>
            <w:gridSpan w:val="2"/>
            <w:tcBorders>
              <w:top w:val="single" w:color="auto" w:sz="6" w:space="0"/>
              <w:left w:val="single" w:color="auto" w:sz="6" w:space="0"/>
              <w:bottom w:val="single" w:color="auto" w:sz="4" w:space="0"/>
              <w:right w:val="single" w:color="auto" w:sz="6" w:space="0"/>
            </w:tcBorders>
            <w:noWrap w:val="0"/>
            <w:vAlign w:val="center"/>
          </w:tcPr>
          <w:p w14:paraId="322B9ADB">
            <w:pPr>
              <w:widowControl/>
              <w:jc w:val="center"/>
              <w:rPr>
                <w:rFonts w:ascii="宋体" w:hAnsi="宋体"/>
                <w:color w:val="auto"/>
                <w:sz w:val="24"/>
                <w:highlight w:val="none"/>
              </w:rPr>
            </w:pPr>
            <w:r>
              <w:rPr>
                <w:rFonts w:hint="eastAsia" w:ascii="宋体" w:hAnsi="宋体"/>
                <w:color w:val="auto"/>
                <w:sz w:val="24"/>
                <w:highlight w:val="none"/>
              </w:rPr>
              <w:t>开户银行</w:t>
            </w:r>
          </w:p>
        </w:tc>
        <w:tc>
          <w:tcPr>
            <w:tcW w:w="1363" w:type="pct"/>
            <w:tcBorders>
              <w:top w:val="single" w:color="auto" w:sz="6" w:space="0"/>
              <w:left w:val="single" w:color="auto" w:sz="6" w:space="0"/>
              <w:bottom w:val="single" w:color="auto" w:sz="4" w:space="0"/>
              <w:right w:val="single" w:color="auto" w:sz="12" w:space="0"/>
            </w:tcBorders>
            <w:noWrap w:val="0"/>
            <w:vAlign w:val="center"/>
          </w:tcPr>
          <w:p w14:paraId="55C7FEC8">
            <w:pPr>
              <w:widowControl/>
              <w:jc w:val="center"/>
              <w:rPr>
                <w:rFonts w:ascii="宋体" w:hAnsi="宋体"/>
                <w:color w:val="auto"/>
                <w:sz w:val="24"/>
                <w:highlight w:val="none"/>
              </w:rPr>
            </w:pPr>
          </w:p>
        </w:tc>
      </w:tr>
      <w:tr w14:paraId="0EE2E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1511" w:type="pct"/>
            <w:gridSpan w:val="2"/>
            <w:vMerge w:val="continue"/>
            <w:tcBorders>
              <w:top w:val="single" w:color="auto" w:sz="6" w:space="0"/>
              <w:left w:val="single" w:color="auto" w:sz="12" w:space="0"/>
              <w:bottom w:val="single" w:color="auto" w:sz="6" w:space="0"/>
              <w:right w:val="single" w:color="auto" w:sz="6" w:space="0"/>
            </w:tcBorders>
            <w:noWrap w:val="0"/>
            <w:vAlign w:val="center"/>
          </w:tcPr>
          <w:p w14:paraId="470E2B55">
            <w:pPr>
              <w:widowControl/>
              <w:jc w:val="left"/>
              <w:rPr>
                <w:rFonts w:ascii="宋体" w:hAnsi="宋体"/>
                <w:color w:val="auto"/>
                <w:sz w:val="24"/>
                <w:highlight w:val="none"/>
              </w:rPr>
            </w:pPr>
          </w:p>
        </w:tc>
        <w:tc>
          <w:tcPr>
            <w:tcW w:w="935" w:type="pct"/>
            <w:vMerge w:val="continue"/>
            <w:tcBorders>
              <w:top w:val="single" w:color="auto" w:sz="6" w:space="0"/>
              <w:left w:val="single" w:color="auto" w:sz="6" w:space="0"/>
              <w:bottom w:val="single" w:color="auto" w:sz="6" w:space="0"/>
              <w:right w:val="single" w:color="auto" w:sz="6" w:space="0"/>
            </w:tcBorders>
            <w:noWrap w:val="0"/>
            <w:vAlign w:val="center"/>
          </w:tcPr>
          <w:p w14:paraId="23849E40">
            <w:pPr>
              <w:widowControl/>
              <w:jc w:val="left"/>
              <w:rPr>
                <w:rFonts w:ascii="宋体" w:hAnsi="宋体"/>
                <w:color w:val="auto"/>
                <w:sz w:val="24"/>
                <w:highlight w:val="none"/>
              </w:rPr>
            </w:pPr>
          </w:p>
        </w:tc>
        <w:tc>
          <w:tcPr>
            <w:tcW w:w="1189" w:type="pct"/>
            <w:gridSpan w:val="2"/>
            <w:tcBorders>
              <w:top w:val="single" w:color="auto" w:sz="4" w:space="0"/>
              <w:left w:val="single" w:color="auto" w:sz="6" w:space="0"/>
              <w:bottom w:val="single" w:color="auto" w:sz="6" w:space="0"/>
              <w:right w:val="single" w:color="auto" w:sz="6" w:space="0"/>
            </w:tcBorders>
            <w:noWrap w:val="0"/>
            <w:vAlign w:val="center"/>
          </w:tcPr>
          <w:p w14:paraId="10BB0CC1">
            <w:pPr>
              <w:widowControl/>
              <w:jc w:val="center"/>
              <w:rPr>
                <w:rFonts w:ascii="宋体" w:hAnsi="宋体"/>
                <w:color w:val="auto"/>
                <w:sz w:val="24"/>
                <w:highlight w:val="none"/>
              </w:rPr>
            </w:pPr>
            <w:r>
              <w:rPr>
                <w:rFonts w:hint="eastAsia" w:ascii="宋体" w:hAnsi="宋体"/>
                <w:color w:val="auto"/>
                <w:sz w:val="24"/>
                <w:highlight w:val="none"/>
              </w:rPr>
              <w:t>开户基本账号</w:t>
            </w:r>
          </w:p>
        </w:tc>
        <w:tc>
          <w:tcPr>
            <w:tcW w:w="1363" w:type="pct"/>
            <w:tcBorders>
              <w:top w:val="single" w:color="auto" w:sz="4" w:space="0"/>
              <w:left w:val="single" w:color="auto" w:sz="6" w:space="0"/>
              <w:bottom w:val="single" w:color="auto" w:sz="6" w:space="0"/>
              <w:right w:val="single" w:color="auto" w:sz="12" w:space="0"/>
            </w:tcBorders>
            <w:noWrap w:val="0"/>
            <w:vAlign w:val="center"/>
          </w:tcPr>
          <w:p w14:paraId="0FEEBDF8">
            <w:pPr>
              <w:widowControl/>
              <w:jc w:val="center"/>
              <w:rPr>
                <w:rFonts w:ascii="宋体" w:hAnsi="宋体"/>
                <w:color w:val="auto"/>
                <w:sz w:val="24"/>
                <w:highlight w:val="none"/>
              </w:rPr>
            </w:pPr>
          </w:p>
        </w:tc>
      </w:tr>
      <w:tr w14:paraId="60AE5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1511" w:type="pct"/>
            <w:gridSpan w:val="2"/>
            <w:vMerge w:val="restart"/>
            <w:tcBorders>
              <w:top w:val="single" w:color="auto" w:sz="6" w:space="0"/>
              <w:left w:val="single" w:color="auto" w:sz="12" w:space="0"/>
              <w:bottom w:val="single" w:color="auto" w:sz="6" w:space="0"/>
              <w:right w:val="single" w:color="auto" w:sz="6" w:space="0"/>
            </w:tcBorders>
            <w:noWrap w:val="0"/>
            <w:vAlign w:val="center"/>
          </w:tcPr>
          <w:p w14:paraId="2A03C779">
            <w:pPr>
              <w:widowControl/>
              <w:jc w:val="center"/>
              <w:rPr>
                <w:rFonts w:ascii="宋体" w:hAnsi="宋体"/>
                <w:color w:val="auto"/>
                <w:sz w:val="24"/>
                <w:highlight w:val="none"/>
              </w:rPr>
            </w:pPr>
            <w:r>
              <w:rPr>
                <w:rFonts w:hint="eastAsia" w:ascii="宋体" w:hAnsi="宋体"/>
                <w:color w:val="auto"/>
                <w:sz w:val="24"/>
                <w:highlight w:val="none"/>
              </w:rPr>
              <w:t>联系人</w:t>
            </w:r>
          </w:p>
        </w:tc>
        <w:tc>
          <w:tcPr>
            <w:tcW w:w="935" w:type="pct"/>
            <w:vMerge w:val="restart"/>
            <w:tcBorders>
              <w:top w:val="single" w:color="auto" w:sz="6" w:space="0"/>
              <w:left w:val="single" w:color="auto" w:sz="6" w:space="0"/>
              <w:bottom w:val="single" w:color="auto" w:sz="6" w:space="0"/>
              <w:right w:val="single" w:color="auto" w:sz="6" w:space="0"/>
            </w:tcBorders>
            <w:noWrap w:val="0"/>
            <w:vAlign w:val="center"/>
          </w:tcPr>
          <w:p w14:paraId="6D5CFEA5">
            <w:pPr>
              <w:widowControl/>
              <w:jc w:val="center"/>
              <w:rPr>
                <w:rFonts w:ascii="宋体" w:hAnsi="宋体"/>
                <w:color w:val="auto"/>
                <w:sz w:val="24"/>
                <w:highlight w:val="none"/>
              </w:rPr>
            </w:pPr>
          </w:p>
        </w:tc>
        <w:tc>
          <w:tcPr>
            <w:tcW w:w="641" w:type="pct"/>
            <w:vMerge w:val="restart"/>
            <w:tcBorders>
              <w:top w:val="single" w:color="auto" w:sz="6" w:space="0"/>
              <w:left w:val="single" w:color="auto" w:sz="6" w:space="0"/>
              <w:bottom w:val="single" w:color="auto" w:sz="6" w:space="0"/>
              <w:right w:val="single" w:color="auto" w:sz="6" w:space="0"/>
            </w:tcBorders>
            <w:noWrap w:val="0"/>
            <w:vAlign w:val="center"/>
          </w:tcPr>
          <w:p w14:paraId="2A9EDD8E">
            <w:pPr>
              <w:widowControl/>
              <w:jc w:val="center"/>
              <w:rPr>
                <w:rFonts w:ascii="宋体" w:hAnsi="宋体"/>
                <w:color w:val="auto"/>
                <w:sz w:val="24"/>
                <w:highlight w:val="none"/>
              </w:rPr>
            </w:pPr>
            <w:r>
              <w:rPr>
                <w:rFonts w:hint="eastAsia" w:ascii="宋体" w:hAnsi="宋体"/>
                <w:color w:val="auto"/>
                <w:sz w:val="24"/>
                <w:highlight w:val="none"/>
              </w:rPr>
              <w:t>联系电话</w:t>
            </w:r>
          </w:p>
        </w:tc>
        <w:tc>
          <w:tcPr>
            <w:tcW w:w="548" w:type="pct"/>
            <w:tcBorders>
              <w:top w:val="single" w:color="auto" w:sz="6" w:space="0"/>
              <w:left w:val="single" w:color="auto" w:sz="6" w:space="0"/>
              <w:bottom w:val="single" w:color="auto" w:sz="6" w:space="0"/>
              <w:right w:val="single" w:color="auto" w:sz="6" w:space="0"/>
            </w:tcBorders>
            <w:noWrap w:val="0"/>
            <w:vAlign w:val="center"/>
          </w:tcPr>
          <w:p w14:paraId="10FC1AE7">
            <w:pPr>
              <w:widowControl/>
              <w:jc w:val="center"/>
              <w:rPr>
                <w:rFonts w:ascii="宋体" w:hAnsi="宋体"/>
                <w:color w:val="auto"/>
                <w:sz w:val="24"/>
                <w:highlight w:val="none"/>
              </w:rPr>
            </w:pPr>
            <w:r>
              <w:rPr>
                <w:rFonts w:hint="eastAsia" w:ascii="宋体" w:hAnsi="宋体"/>
                <w:color w:val="auto"/>
                <w:sz w:val="24"/>
                <w:highlight w:val="none"/>
              </w:rPr>
              <w:t>手机</w:t>
            </w:r>
          </w:p>
        </w:tc>
        <w:tc>
          <w:tcPr>
            <w:tcW w:w="1363" w:type="pct"/>
            <w:tcBorders>
              <w:top w:val="single" w:color="auto" w:sz="6" w:space="0"/>
              <w:left w:val="single" w:color="auto" w:sz="6" w:space="0"/>
              <w:bottom w:val="single" w:color="auto" w:sz="6" w:space="0"/>
              <w:right w:val="single" w:color="auto" w:sz="12" w:space="0"/>
            </w:tcBorders>
            <w:noWrap w:val="0"/>
            <w:vAlign w:val="center"/>
          </w:tcPr>
          <w:p w14:paraId="65AAFABB">
            <w:pPr>
              <w:widowControl/>
              <w:jc w:val="center"/>
              <w:rPr>
                <w:rFonts w:ascii="宋体" w:hAnsi="宋体"/>
                <w:color w:val="auto"/>
                <w:sz w:val="24"/>
                <w:highlight w:val="none"/>
              </w:rPr>
            </w:pPr>
          </w:p>
        </w:tc>
      </w:tr>
      <w:tr w14:paraId="46186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1511" w:type="pct"/>
            <w:gridSpan w:val="2"/>
            <w:vMerge w:val="continue"/>
            <w:tcBorders>
              <w:top w:val="single" w:color="auto" w:sz="6" w:space="0"/>
              <w:left w:val="single" w:color="auto" w:sz="12" w:space="0"/>
              <w:bottom w:val="single" w:color="auto" w:sz="6" w:space="0"/>
              <w:right w:val="single" w:color="auto" w:sz="6" w:space="0"/>
            </w:tcBorders>
            <w:noWrap w:val="0"/>
            <w:vAlign w:val="center"/>
          </w:tcPr>
          <w:p w14:paraId="7DDCE80E">
            <w:pPr>
              <w:widowControl/>
              <w:jc w:val="left"/>
              <w:rPr>
                <w:rFonts w:ascii="宋体" w:hAnsi="宋体"/>
                <w:color w:val="auto"/>
                <w:sz w:val="24"/>
                <w:highlight w:val="none"/>
              </w:rPr>
            </w:pPr>
          </w:p>
        </w:tc>
        <w:tc>
          <w:tcPr>
            <w:tcW w:w="935" w:type="pct"/>
            <w:vMerge w:val="continue"/>
            <w:tcBorders>
              <w:top w:val="single" w:color="auto" w:sz="6" w:space="0"/>
              <w:left w:val="single" w:color="auto" w:sz="6" w:space="0"/>
              <w:bottom w:val="single" w:color="auto" w:sz="6" w:space="0"/>
              <w:right w:val="single" w:color="auto" w:sz="6" w:space="0"/>
            </w:tcBorders>
            <w:noWrap w:val="0"/>
            <w:vAlign w:val="center"/>
          </w:tcPr>
          <w:p w14:paraId="5C3C7DD8">
            <w:pPr>
              <w:widowControl/>
              <w:jc w:val="left"/>
              <w:rPr>
                <w:rFonts w:ascii="宋体" w:hAnsi="宋体"/>
                <w:color w:val="auto"/>
                <w:sz w:val="24"/>
                <w:highlight w:val="none"/>
              </w:rPr>
            </w:pPr>
          </w:p>
        </w:tc>
        <w:tc>
          <w:tcPr>
            <w:tcW w:w="641" w:type="pct"/>
            <w:vMerge w:val="continue"/>
            <w:tcBorders>
              <w:top w:val="single" w:color="auto" w:sz="6" w:space="0"/>
              <w:left w:val="single" w:color="auto" w:sz="6" w:space="0"/>
              <w:bottom w:val="single" w:color="auto" w:sz="6" w:space="0"/>
              <w:right w:val="single" w:color="auto" w:sz="6" w:space="0"/>
            </w:tcBorders>
            <w:noWrap w:val="0"/>
            <w:vAlign w:val="center"/>
          </w:tcPr>
          <w:p w14:paraId="2468946A">
            <w:pPr>
              <w:widowControl/>
              <w:jc w:val="left"/>
              <w:rPr>
                <w:rFonts w:ascii="宋体" w:hAnsi="宋体"/>
                <w:color w:val="auto"/>
                <w:sz w:val="24"/>
                <w:highlight w:val="none"/>
              </w:rPr>
            </w:pPr>
          </w:p>
        </w:tc>
        <w:tc>
          <w:tcPr>
            <w:tcW w:w="548" w:type="pct"/>
            <w:tcBorders>
              <w:top w:val="single" w:color="auto" w:sz="6" w:space="0"/>
              <w:left w:val="single" w:color="auto" w:sz="6" w:space="0"/>
              <w:bottom w:val="single" w:color="auto" w:sz="6" w:space="0"/>
              <w:right w:val="single" w:color="auto" w:sz="6" w:space="0"/>
            </w:tcBorders>
            <w:noWrap w:val="0"/>
            <w:vAlign w:val="center"/>
          </w:tcPr>
          <w:p w14:paraId="70D22E09">
            <w:pPr>
              <w:widowControl/>
              <w:jc w:val="center"/>
              <w:rPr>
                <w:rFonts w:ascii="宋体" w:hAnsi="宋体"/>
                <w:color w:val="auto"/>
                <w:sz w:val="24"/>
                <w:highlight w:val="none"/>
              </w:rPr>
            </w:pPr>
            <w:r>
              <w:rPr>
                <w:rFonts w:hint="eastAsia" w:ascii="宋体" w:hAnsi="宋体"/>
                <w:color w:val="auto"/>
                <w:sz w:val="24"/>
                <w:highlight w:val="none"/>
              </w:rPr>
              <w:t>固话</w:t>
            </w:r>
          </w:p>
        </w:tc>
        <w:tc>
          <w:tcPr>
            <w:tcW w:w="1363" w:type="pct"/>
            <w:tcBorders>
              <w:top w:val="single" w:color="auto" w:sz="6" w:space="0"/>
              <w:left w:val="single" w:color="auto" w:sz="6" w:space="0"/>
              <w:bottom w:val="single" w:color="auto" w:sz="6" w:space="0"/>
              <w:right w:val="single" w:color="auto" w:sz="12" w:space="0"/>
            </w:tcBorders>
            <w:noWrap w:val="0"/>
            <w:vAlign w:val="center"/>
          </w:tcPr>
          <w:p w14:paraId="17D62951">
            <w:pPr>
              <w:widowControl/>
              <w:jc w:val="center"/>
              <w:rPr>
                <w:rFonts w:ascii="宋体" w:hAnsi="宋体"/>
                <w:color w:val="auto"/>
                <w:sz w:val="24"/>
                <w:highlight w:val="none"/>
              </w:rPr>
            </w:pPr>
          </w:p>
        </w:tc>
      </w:tr>
      <w:tr w14:paraId="7ABAD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1511" w:type="pct"/>
            <w:gridSpan w:val="2"/>
            <w:tcBorders>
              <w:top w:val="single" w:color="auto" w:sz="6" w:space="0"/>
              <w:left w:val="single" w:color="auto" w:sz="12" w:space="0"/>
              <w:bottom w:val="single" w:color="auto" w:sz="6" w:space="0"/>
              <w:right w:val="single" w:color="auto" w:sz="6" w:space="0"/>
            </w:tcBorders>
            <w:noWrap w:val="0"/>
            <w:vAlign w:val="center"/>
          </w:tcPr>
          <w:p w14:paraId="18FCF528">
            <w:pPr>
              <w:widowControl/>
              <w:jc w:val="center"/>
              <w:rPr>
                <w:rFonts w:ascii="宋体" w:hAnsi="宋体"/>
                <w:color w:val="auto"/>
                <w:sz w:val="24"/>
                <w:highlight w:val="none"/>
              </w:rPr>
            </w:pPr>
            <w:r>
              <w:rPr>
                <w:rFonts w:hint="eastAsia" w:ascii="宋体" w:hAnsi="宋体"/>
                <w:color w:val="auto"/>
                <w:sz w:val="24"/>
                <w:highlight w:val="none"/>
              </w:rPr>
              <w:t>联系传真</w:t>
            </w:r>
          </w:p>
        </w:tc>
        <w:tc>
          <w:tcPr>
            <w:tcW w:w="935" w:type="pct"/>
            <w:tcBorders>
              <w:top w:val="single" w:color="auto" w:sz="6" w:space="0"/>
              <w:left w:val="single" w:color="auto" w:sz="6" w:space="0"/>
              <w:bottom w:val="single" w:color="auto" w:sz="6" w:space="0"/>
              <w:right w:val="single" w:color="auto" w:sz="6" w:space="0"/>
            </w:tcBorders>
            <w:noWrap w:val="0"/>
            <w:vAlign w:val="center"/>
          </w:tcPr>
          <w:p w14:paraId="7BAC2EA4">
            <w:pPr>
              <w:widowControl/>
              <w:jc w:val="center"/>
              <w:rPr>
                <w:rFonts w:ascii="宋体" w:hAnsi="宋体"/>
                <w:color w:val="auto"/>
                <w:sz w:val="24"/>
                <w:highlight w:val="none"/>
              </w:rPr>
            </w:pPr>
          </w:p>
        </w:tc>
        <w:tc>
          <w:tcPr>
            <w:tcW w:w="1189" w:type="pct"/>
            <w:gridSpan w:val="2"/>
            <w:tcBorders>
              <w:top w:val="single" w:color="auto" w:sz="6" w:space="0"/>
              <w:left w:val="single" w:color="auto" w:sz="6" w:space="0"/>
              <w:bottom w:val="single" w:color="auto" w:sz="6" w:space="0"/>
              <w:right w:val="single" w:color="auto" w:sz="6" w:space="0"/>
            </w:tcBorders>
            <w:noWrap w:val="0"/>
            <w:vAlign w:val="center"/>
          </w:tcPr>
          <w:p w14:paraId="4381A720">
            <w:pPr>
              <w:widowControl/>
              <w:jc w:val="center"/>
              <w:rPr>
                <w:rFonts w:ascii="宋体" w:hAnsi="宋体"/>
                <w:color w:val="auto"/>
                <w:sz w:val="24"/>
                <w:highlight w:val="none"/>
              </w:rPr>
            </w:pPr>
            <w:r>
              <w:rPr>
                <w:rFonts w:hint="eastAsia" w:ascii="宋体" w:hAnsi="宋体"/>
                <w:color w:val="auto"/>
                <w:sz w:val="24"/>
                <w:highlight w:val="none"/>
              </w:rPr>
              <w:t>联系邮箱</w:t>
            </w:r>
          </w:p>
        </w:tc>
        <w:tc>
          <w:tcPr>
            <w:tcW w:w="1363" w:type="pct"/>
            <w:tcBorders>
              <w:top w:val="single" w:color="auto" w:sz="6" w:space="0"/>
              <w:left w:val="single" w:color="auto" w:sz="6" w:space="0"/>
              <w:bottom w:val="single" w:color="auto" w:sz="6" w:space="0"/>
              <w:right w:val="single" w:color="auto" w:sz="12" w:space="0"/>
            </w:tcBorders>
            <w:noWrap w:val="0"/>
            <w:vAlign w:val="center"/>
          </w:tcPr>
          <w:p w14:paraId="425528E4">
            <w:pPr>
              <w:widowControl/>
              <w:jc w:val="center"/>
              <w:rPr>
                <w:rFonts w:ascii="宋体" w:hAnsi="宋体"/>
                <w:color w:val="auto"/>
                <w:sz w:val="24"/>
                <w:highlight w:val="none"/>
              </w:rPr>
            </w:pPr>
          </w:p>
        </w:tc>
      </w:tr>
      <w:tr w14:paraId="26D41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1511" w:type="pct"/>
            <w:gridSpan w:val="2"/>
            <w:tcBorders>
              <w:top w:val="single" w:color="auto" w:sz="6" w:space="0"/>
              <w:left w:val="single" w:color="auto" w:sz="12" w:space="0"/>
              <w:bottom w:val="single" w:color="auto" w:sz="6" w:space="0"/>
              <w:right w:val="single" w:color="auto" w:sz="6" w:space="0"/>
            </w:tcBorders>
            <w:noWrap w:val="0"/>
            <w:vAlign w:val="center"/>
          </w:tcPr>
          <w:p w14:paraId="69817EC3">
            <w:pPr>
              <w:widowControl/>
              <w:jc w:val="center"/>
              <w:rPr>
                <w:rFonts w:ascii="宋体" w:hAnsi="宋体"/>
                <w:color w:val="auto"/>
                <w:sz w:val="24"/>
                <w:highlight w:val="none"/>
              </w:rPr>
            </w:pPr>
            <w:r>
              <w:rPr>
                <w:rFonts w:hint="eastAsia" w:ascii="宋体" w:hAnsi="宋体"/>
                <w:color w:val="auto"/>
                <w:sz w:val="24"/>
                <w:highlight w:val="none"/>
              </w:rPr>
              <w:t>经营范围</w:t>
            </w:r>
          </w:p>
        </w:tc>
        <w:tc>
          <w:tcPr>
            <w:tcW w:w="3488" w:type="pct"/>
            <w:gridSpan w:val="4"/>
            <w:tcBorders>
              <w:top w:val="single" w:color="auto" w:sz="6" w:space="0"/>
              <w:left w:val="single" w:color="auto" w:sz="6" w:space="0"/>
              <w:bottom w:val="single" w:color="auto" w:sz="6" w:space="0"/>
              <w:right w:val="single" w:color="auto" w:sz="12" w:space="0"/>
            </w:tcBorders>
            <w:noWrap w:val="0"/>
            <w:vAlign w:val="center"/>
          </w:tcPr>
          <w:p w14:paraId="4C873332">
            <w:pPr>
              <w:widowControl/>
              <w:jc w:val="center"/>
              <w:rPr>
                <w:rFonts w:ascii="宋体" w:hAnsi="宋体"/>
                <w:color w:val="auto"/>
                <w:sz w:val="24"/>
                <w:highlight w:val="none"/>
              </w:rPr>
            </w:pPr>
          </w:p>
        </w:tc>
      </w:tr>
      <w:tr w14:paraId="1652E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1511" w:type="pct"/>
            <w:gridSpan w:val="2"/>
            <w:tcBorders>
              <w:top w:val="single" w:color="auto" w:sz="6" w:space="0"/>
              <w:left w:val="single" w:color="auto" w:sz="12" w:space="0"/>
              <w:bottom w:val="single" w:color="auto" w:sz="6" w:space="0"/>
              <w:right w:val="single" w:color="auto" w:sz="6" w:space="0"/>
            </w:tcBorders>
            <w:noWrap w:val="0"/>
            <w:vAlign w:val="center"/>
          </w:tcPr>
          <w:p w14:paraId="253BE7ED">
            <w:pPr>
              <w:widowControl/>
              <w:jc w:val="center"/>
              <w:rPr>
                <w:rFonts w:ascii="宋体" w:hAnsi="宋体"/>
                <w:color w:val="auto"/>
                <w:sz w:val="24"/>
                <w:highlight w:val="none"/>
              </w:rPr>
            </w:pPr>
            <w:r>
              <w:rPr>
                <w:rFonts w:hint="eastAsia" w:ascii="宋体" w:hAnsi="宋体"/>
                <w:color w:val="auto"/>
                <w:sz w:val="24"/>
                <w:highlight w:val="none"/>
              </w:rPr>
              <w:t>公司管理体系认证</w:t>
            </w:r>
          </w:p>
        </w:tc>
        <w:tc>
          <w:tcPr>
            <w:tcW w:w="3488" w:type="pct"/>
            <w:gridSpan w:val="4"/>
            <w:tcBorders>
              <w:top w:val="single" w:color="auto" w:sz="6" w:space="0"/>
              <w:left w:val="single" w:color="auto" w:sz="6" w:space="0"/>
              <w:bottom w:val="single" w:color="auto" w:sz="6" w:space="0"/>
              <w:right w:val="single" w:color="auto" w:sz="12" w:space="0"/>
            </w:tcBorders>
            <w:noWrap w:val="0"/>
            <w:vAlign w:val="center"/>
          </w:tcPr>
          <w:p w14:paraId="614870B8">
            <w:pPr>
              <w:widowControl/>
              <w:jc w:val="center"/>
              <w:rPr>
                <w:rFonts w:ascii="宋体" w:hAnsi="宋体"/>
                <w:color w:val="auto"/>
                <w:sz w:val="24"/>
                <w:highlight w:val="none"/>
              </w:rPr>
            </w:pPr>
            <w:r>
              <w:rPr>
                <w:rFonts w:hint="eastAsia" w:ascii="宋体" w:hAnsi="宋体"/>
                <w:color w:val="auto"/>
                <w:sz w:val="24"/>
                <w:highlight w:val="none"/>
              </w:rPr>
              <w:t>（质量、职业、环境管理体系，如有）</w:t>
            </w:r>
          </w:p>
        </w:tc>
      </w:tr>
      <w:tr w14:paraId="4939E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5000" w:type="pct"/>
            <w:gridSpan w:val="6"/>
            <w:tcBorders>
              <w:top w:val="single" w:color="auto" w:sz="6" w:space="0"/>
              <w:left w:val="single" w:color="auto" w:sz="12" w:space="0"/>
              <w:bottom w:val="single" w:color="auto" w:sz="6" w:space="0"/>
              <w:right w:val="single" w:color="auto" w:sz="12" w:space="0"/>
            </w:tcBorders>
            <w:noWrap w:val="0"/>
            <w:vAlign w:val="center"/>
          </w:tcPr>
          <w:p w14:paraId="259FA2EA">
            <w:pPr>
              <w:widowControl/>
              <w:jc w:val="left"/>
              <w:rPr>
                <w:rFonts w:ascii="宋体" w:hAnsi="宋体"/>
                <w:color w:val="auto"/>
                <w:sz w:val="24"/>
                <w:highlight w:val="none"/>
              </w:rPr>
            </w:pPr>
            <w:r>
              <w:rPr>
                <w:rFonts w:hint="eastAsia" w:ascii="宋体" w:hAnsi="宋体"/>
                <w:color w:val="auto"/>
                <w:sz w:val="24"/>
                <w:highlight w:val="none"/>
              </w:rPr>
              <w:t>公司资质及各类生产、经营许可等（如有）</w:t>
            </w:r>
          </w:p>
        </w:tc>
      </w:tr>
      <w:tr w14:paraId="52AA0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3" w:hRule="atLeast"/>
        </w:trPr>
        <w:tc>
          <w:tcPr>
            <w:tcW w:w="5000" w:type="pct"/>
            <w:gridSpan w:val="6"/>
            <w:tcBorders>
              <w:top w:val="single" w:color="auto" w:sz="6" w:space="0"/>
              <w:left w:val="single" w:color="auto" w:sz="12" w:space="0"/>
              <w:bottom w:val="single" w:color="auto" w:sz="6" w:space="0"/>
              <w:right w:val="single" w:color="auto" w:sz="12" w:space="0"/>
            </w:tcBorders>
            <w:noWrap w:val="0"/>
            <w:vAlign w:val="center"/>
          </w:tcPr>
          <w:p w14:paraId="68F424C2">
            <w:pPr>
              <w:widowControl/>
              <w:rPr>
                <w:rFonts w:ascii="宋体" w:hAnsi="宋体"/>
                <w:color w:val="auto"/>
                <w:sz w:val="24"/>
                <w:highlight w:val="none"/>
              </w:rPr>
            </w:pPr>
            <w:r>
              <w:rPr>
                <w:rFonts w:hint="eastAsia" w:ascii="宋体" w:hAnsi="宋体"/>
                <w:color w:val="auto"/>
                <w:sz w:val="24"/>
                <w:highlight w:val="none"/>
              </w:rPr>
              <w:t>如：工程类资质（工程单位）、设备制造商、经销商（生产、经营许可证、产品认证）、其它资质。</w:t>
            </w:r>
          </w:p>
        </w:tc>
      </w:tr>
      <w:tr w14:paraId="5963C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45" w:type="pct"/>
            <w:tcBorders>
              <w:top w:val="single" w:color="auto" w:sz="6" w:space="0"/>
              <w:left w:val="single" w:color="auto" w:sz="12" w:space="0"/>
              <w:bottom w:val="single" w:color="auto" w:sz="12" w:space="0"/>
              <w:right w:val="single" w:color="auto" w:sz="6" w:space="0"/>
            </w:tcBorders>
            <w:noWrap w:val="0"/>
            <w:vAlign w:val="center"/>
          </w:tcPr>
          <w:p w14:paraId="73A88307">
            <w:pPr>
              <w:widowControl/>
              <w:jc w:val="center"/>
              <w:rPr>
                <w:rFonts w:ascii="宋体" w:hAnsi="宋体"/>
                <w:color w:val="auto"/>
                <w:sz w:val="24"/>
                <w:highlight w:val="none"/>
              </w:rPr>
            </w:pPr>
            <w:r>
              <w:rPr>
                <w:rFonts w:hint="eastAsia" w:ascii="宋体" w:hAnsi="宋体"/>
                <w:color w:val="auto"/>
                <w:sz w:val="24"/>
                <w:highlight w:val="none"/>
              </w:rPr>
              <w:t>备注</w:t>
            </w:r>
          </w:p>
        </w:tc>
        <w:tc>
          <w:tcPr>
            <w:tcW w:w="4254" w:type="pct"/>
            <w:gridSpan w:val="5"/>
            <w:tcBorders>
              <w:top w:val="single" w:color="auto" w:sz="6" w:space="0"/>
              <w:left w:val="single" w:color="auto" w:sz="6" w:space="0"/>
              <w:bottom w:val="single" w:color="auto" w:sz="12" w:space="0"/>
              <w:right w:val="single" w:color="auto" w:sz="12" w:space="0"/>
            </w:tcBorders>
            <w:noWrap w:val="0"/>
            <w:vAlign w:val="center"/>
          </w:tcPr>
          <w:p w14:paraId="6B9A1EB0">
            <w:pPr>
              <w:widowControl/>
              <w:jc w:val="center"/>
              <w:rPr>
                <w:rFonts w:ascii="宋体" w:hAnsi="宋体"/>
                <w:color w:val="auto"/>
                <w:sz w:val="24"/>
                <w:highlight w:val="none"/>
              </w:rPr>
            </w:pPr>
          </w:p>
        </w:tc>
      </w:tr>
    </w:tbl>
    <w:p w14:paraId="78CD6A7A">
      <w:pPr>
        <w:pageBreakBefore w:val="0"/>
        <w:kinsoku/>
        <w:overflowPunct/>
        <w:topLinePunct w:val="0"/>
        <w:bidi w:val="0"/>
        <w:spacing w:after="0" w:line="360" w:lineRule="auto"/>
        <w:ind w:firstLine="480" w:firstLineChars="200"/>
        <w:rPr>
          <w:rFonts w:hint="eastAsia" w:ascii="宋体" w:hAnsi="宋体" w:eastAsia="宋体" w:cs="宋体"/>
          <w:color w:val="auto"/>
          <w:sz w:val="24"/>
          <w:szCs w:val="24"/>
          <w:highlight w:val="none"/>
        </w:rPr>
      </w:pPr>
    </w:p>
    <w:p w14:paraId="0CA4DF26">
      <w:pPr>
        <w:pageBreakBefore w:val="0"/>
        <w:kinsoku/>
        <w:overflowPunct/>
        <w:topLinePunct w:val="0"/>
        <w:bidi w:val="0"/>
        <w:spacing w:after="0"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DA065D5">
      <w:pPr>
        <w:pageBreakBefore w:val="0"/>
        <w:kinsoku/>
        <w:overflowPunct/>
        <w:topLinePunct w:val="0"/>
        <w:bidi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法定代表人或委托代理人（电子签章）：</w:t>
      </w:r>
      <w:r>
        <w:rPr>
          <w:rFonts w:hint="eastAsia" w:ascii="宋体" w:hAnsi="宋体" w:eastAsia="宋体" w:cs="宋体"/>
          <w:color w:val="auto"/>
          <w:sz w:val="24"/>
          <w:szCs w:val="24"/>
          <w:highlight w:val="none"/>
          <w:u w:val="single"/>
        </w:rPr>
        <w:t xml:space="preserve">                </w:t>
      </w:r>
    </w:p>
    <w:p w14:paraId="56D2F13D">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2AD8FE2">
      <w:pPr>
        <w:rPr>
          <w:rFonts w:hint="eastAsia" w:hAnsi="宋体" w:cs="宋体"/>
          <w:b/>
          <w:snapToGrid/>
          <w:color w:val="auto"/>
          <w:kern w:val="0"/>
          <w:sz w:val="28"/>
          <w:szCs w:val="28"/>
          <w:highlight w:val="none"/>
          <w:lang w:val="en-US" w:eastAsia="zh-CN"/>
        </w:rPr>
      </w:pPr>
      <w:r>
        <w:rPr>
          <w:rFonts w:hint="eastAsia" w:hAnsi="宋体" w:cs="宋体"/>
          <w:b/>
          <w:snapToGrid/>
          <w:color w:val="auto"/>
          <w:kern w:val="0"/>
          <w:sz w:val="28"/>
          <w:szCs w:val="28"/>
          <w:highlight w:val="none"/>
          <w:lang w:val="en-US" w:eastAsia="zh-CN"/>
        </w:rPr>
        <w:br w:type="page"/>
      </w:r>
    </w:p>
    <w:p w14:paraId="3ED154B9">
      <w:pPr>
        <w:shd w:val="clear" w:color="auto" w:fill="auto"/>
        <w:spacing w:line="440" w:lineRule="exact"/>
        <w:outlineLvl w:val="2"/>
        <w:rPr>
          <w:rFonts w:hint="eastAsia" w:ascii="宋体" w:hAnsi="宋体" w:eastAsia="宋体" w:cs="宋体"/>
          <w:b/>
          <w:snapToGrid/>
          <w:color w:val="auto"/>
          <w:kern w:val="0"/>
          <w:sz w:val="28"/>
          <w:szCs w:val="28"/>
          <w:highlight w:val="none"/>
        </w:rPr>
      </w:pPr>
      <w:r>
        <w:rPr>
          <w:rFonts w:hint="eastAsia" w:hAnsi="宋体" w:cs="宋体"/>
          <w:b/>
          <w:snapToGrid/>
          <w:color w:val="auto"/>
          <w:kern w:val="0"/>
          <w:sz w:val="28"/>
          <w:szCs w:val="28"/>
          <w:highlight w:val="none"/>
          <w:lang w:val="en-US" w:eastAsia="zh-CN"/>
        </w:rPr>
        <w:t>4-5</w:t>
      </w:r>
      <w:r>
        <w:rPr>
          <w:rFonts w:hint="eastAsia" w:ascii="宋体" w:hAnsi="宋体" w:eastAsia="宋体" w:cs="宋体"/>
          <w:b/>
          <w:snapToGrid/>
          <w:color w:val="auto"/>
          <w:kern w:val="0"/>
          <w:sz w:val="28"/>
          <w:szCs w:val="28"/>
          <w:highlight w:val="none"/>
          <w:lang w:val="en-US"/>
        </w:rPr>
        <w:t>拟派往本项目项目实施团队机构配备情况表</w:t>
      </w:r>
    </w:p>
    <w:p w14:paraId="023DB7AE">
      <w:pPr>
        <w:keepLines w:val="0"/>
        <w:shd w:val="clear" w:color="auto" w:fill="auto"/>
        <w:spacing w:before="240" w:after="240" w:line="360" w:lineRule="auto"/>
        <w:jc w:val="center"/>
        <w:outlineLvl w:val="9"/>
        <w:rPr>
          <w:rFonts w:hint="eastAsia" w:ascii="宋体" w:hAnsi="宋体" w:eastAsia="宋体" w:cs="宋体"/>
          <w:b/>
          <w:bCs w:val="0"/>
          <w:color w:val="auto"/>
          <w:kern w:val="0"/>
          <w:sz w:val="30"/>
          <w:szCs w:val="30"/>
          <w:highlight w:val="none"/>
          <w:lang w:val="en-US"/>
        </w:rPr>
      </w:pPr>
      <w:r>
        <w:rPr>
          <w:rFonts w:hint="eastAsia" w:ascii="宋体" w:hAnsi="宋体" w:eastAsia="宋体" w:cs="宋体"/>
          <w:b/>
          <w:bCs w:val="0"/>
          <w:color w:val="auto"/>
          <w:kern w:val="0"/>
          <w:sz w:val="30"/>
          <w:szCs w:val="30"/>
          <w:highlight w:val="none"/>
          <w:lang w:val="en-US"/>
        </w:rPr>
        <w:t>拟派往本项目项目实施团队机构配备情况表</w:t>
      </w:r>
    </w:p>
    <w:tbl>
      <w:tblPr>
        <w:tblStyle w:val="14"/>
        <w:tblW w:w="9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539"/>
        <w:gridCol w:w="857"/>
        <w:gridCol w:w="928"/>
        <w:gridCol w:w="1144"/>
        <w:gridCol w:w="1022"/>
        <w:gridCol w:w="1250"/>
        <w:gridCol w:w="1538"/>
        <w:gridCol w:w="783"/>
      </w:tblGrid>
      <w:tr w14:paraId="66D6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10" w:type="dxa"/>
            <w:noWrap w:val="0"/>
            <w:vAlign w:val="center"/>
          </w:tcPr>
          <w:p w14:paraId="612EFD6C">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39" w:type="dxa"/>
            <w:noWrap w:val="0"/>
            <w:vAlign w:val="center"/>
          </w:tcPr>
          <w:p w14:paraId="4316D2D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57" w:type="dxa"/>
            <w:noWrap w:val="0"/>
            <w:vAlign w:val="center"/>
          </w:tcPr>
          <w:p w14:paraId="16F089B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28" w:type="dxa"/>
            <w:noWrap w:val="0"/>
            <w:vAlign w:val="center"/>
          </w:tcPr>
          <w:p w14:paraId="35B9A91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144" w:type="dxa"/>
            <w:noWrap w:val="0"/>
            <w:vAlign w:val="center"/>
          </w:tcPr>
          <w:p w14:paraId="100F8705">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14:paraId="0FC3CA5C">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022" w:type="dxa"/>
            <w:noWrap w:val="0"/>
            <w:vAlign w:val="center"/>
          </w:tcPr>
          <w:p w14:paraId="45D592E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w:t>
            </w:r>
          </w:p>
          <w:p w14:paraId="111824B8">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p>
        </w:tc>
        <w:tc>
          <w:tcPr>
            <w:tcW w:w="1250" w:type="dxa"/>
            <w:noWrap w:val="0"/>
            <w:vAlign w:val="center"/>
          </w:tcPr>
          <w:p w14:paraId="5D6CDDE9">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从事专业</w:t>
            </w:r>
          </w:p>
          <w:p w14:paraId="13A9F906">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年限</w:t>
            </w:r>
          </w:p>
        </w:tc>
        <w:tc>
          <w:tcPr>
            <w:tcW w:w="1538" w:type="dxa"/>
            <w:noWrap w:val="0"/>
            <w:vAlign w:val="center"/>
          </w:tcPr>
          <w:p w14:paraId="5F14D2F7">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拟任</w:t>
            </w:r>
          </w:p>
          <w:p w14:paraId="55BB874D">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783" w:type="dxa"/>
            <w:noWrap w:val="0"/>
            <w:vAlign w:val="center"/>
          </w:tcPr>
          <w:p w14:paraId="0D739E7E">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415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10" w:type="dxa"/>
            <w:noWrap w:val="0"/>
            <w:vAlign w:val="center"/>
          </w:tcPr>
          <w:p w14:paraId="684FD250">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39" w:type="dxa"/>
            <w:noWrap w:val="0"/>
            <w:vAlign w:val="center"/>
          </w:tcPr>
          <w:p w14:paraId="4C4DA17A">
            <w:pPr>
              <w:shd w:val="clear" w:color="auto" w:fill="auto"/>
              <w:spacing w:line="360" w:lineRule="auto"/>
              <w:jc w:val="center"/>
              <w:rPr>
                <w:rFonts w:hint="eastAsia" w:ascii="宋体" w:hAnsi="宋体" w:eastAsia="宋体" w:cs="宋体"/>
                <w:color w:val="auto"/>
                <w:sz w:val="24"/>
                <w:szCs w:val="24"/>
                <w:highlight w:val="none"/>
              </w:rPr>
            </w:pPr>
          </w:p>
        </w:tc>
        <w:tc>
          <w:tcPr>
            <w:tcW w:w="857" w:type="dxa"/>
            <w:noWrap w:val="0"/>
            <w:vAlign w:val="center"/>
          </w:tcPr>
          <w:p w14:paraId="782D2769">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928" w:type="dxa"/>
            <w:noWrap w:val="0"/>
            <w:vAlign w:val="center"/>
          </w:tcPr>
          <w:p w14:paraId="4F172AD0">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144" w:type="dxa"/>
            <w:noWrap w:val="0"/>
            <w:vAlign w:val="center"/>
          </w:tcPr>
          <w:p w14:paraId="1449C2F7">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022" w:type="dxa"/>
            <w:noWrap w:val="0"/>
            <w:vAlign w:val="center"/>
          </w:tcPr>
          <w:p w14:paraId="7B8AD91D">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250" w:type="dxa"/>
            <w:noWrap w:val="0"/>
            <w:vAlign w:val="center"/>
          </w:tcPr>
          <w:p w14:paraId="33B93466">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538" w:type="dxa"/>
            <w:noWrap w:val="0"/>
            <w:vAlign w:val="center"/>
          </w:tcPr>
          <w:p w14:paraId="7CA50768">
            <w:pPr>
              <w:shd w:val="clear" w:color="auto" w:fill="auto"/>
              <w:spacing w:line="360" w:lineRule="auto"/>
              <w:jc w:val="center"/>
              <w:rPr>
                <w:rFonts w:hint="eastAsia" w:ascii="宋体" w:hAnsi="宋体" w:eastAsia="宋体" w:cs="宋体"/>
                <w:color w:val="auto"/>
                <w:sz w:val="24"/>
                <w:szCs w:val="24"/>
                <w:highlight w:val="none"/>
              </w:rPr>
            </w:pPr>
          </w:p>
        </w:tc>
        <w:tc>
          <w:tcPr>
            <w:tcW w:w="783" w:type="dxa"/>
            <w:noWrap w:val="0"/>
            <w:vAlign w:val="center"/>
          </w:tcPr>
          <w:p w14:paraId="2D5C2AA5">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r>
      <w:tr w14:paraId="5C94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10" w:type="dxa"/>
            <w:noWrap w:val="0"/>
            <w:vAlign w:val="center"/>
          </w:tcPr>
          <w:p w14:paraId="6E76DAB4">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39" w:type="dxa"/>
            <w:noWrap w:val="0"/>
            <w:vAlign w:val="center"/>
          </w:tcPr>
          <w:p w14:paraId="71D9FBAC">
            <w:pPr>
              <w:shd w:val="clear" w:color="auto" w:fill="auto"/>
              <w:spacing w:line="360" w:lineRule="auto"/>
              <w:jc w:val="center"/>
              <w:rPr>
                <w:rFonts w:hint="eastAsia" w:ascii="宋体" w:hAnsi="宋体" w:eastAsia="宋体" w:cs="宋体"/>
                <w:color w:val="auto"/>
                <w:sz w:val="24"/>
                <w:szCs w:val="24"/>
                <w:highlight w:val="none"/>
              </w:rPr>
            </w:pPr>
          </w:p>
        </w:tc>
        <w:tc>
          <w:tcPr>
            <w:tcW w:w="857" w:type="dxa"/>
            <w:noWrap w:val="0"/>
            <w:vAlign w:val="center"/>
          </w:tcPr>
          <w:p w14:paraId="5DB2E5D7">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928" w:type="dxa"/>
            <w:noWrap w:val="0"/>
            <w:vAlign w:val="center"/>
          </w:tcPr>
          <w:p w14:paraId="1CC544D0">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144" w:type="dxa"/>
            <w:noWrap w:val="0"/>
            <w:vAlign w:val="center"/>
          </w:tcPr>
          <w:p w14:paraId="4FCD3E29">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022" w:type="dxa"/>
            <w:noWrap w:val="0"/>
            <w:vAlign w:val="center"/>
          </w:tcPr>
          <w:p w14:paraId="1581E150">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250" w:type="dxa"/>
            <w:noWrap w:val="0"/>
            <w:vAlign w:val="center"/>
          </w:tcPr>
          <w:p w14:paraId="78151527">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538" w:type="dxa"/>
            <w:noWrap w:val="0"/>
            <w:vAlign w:val="center"/>
          </w:tcPr>
          <w:p w14:paraId="2043057C">
            <w:pPr>
              <w:shd w:val="clear" w:color="auto" w:fill="auto"/>
              <w:spacing w:line="360" w:lineRule="auto"/>
              <w:jc w:val="center"/>
              <w:rPr>
                <w:rFonts w:hint="eastAsia" w:ascii="宋体" w:hAnsi="宋体" w:eastAsia="宋体" w:cs="宋体"/>
                <w:color w:val="auto"/>
                <w:sz w:val="24"/>
                <w:szCs w:val="24"/>
                <w:highlight w:val="none"/>
              </w:rPr>
            </w:pPr>
          </w:p>
        </w:tc>
        <w:tc>
          <w:tcPr>
            <w:tcW w:w="783" w:type="dxa"/>
            <w:noWrap w:val="0"/>
            <w:vAlign w:val="center"/>
          </w:tcPr>
          <w:p w14:paraId="421CDCC0">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r>
      <w:tr w14:paraId="655F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10" w:type="dxa"/>
            <w:noWrap w:val="0"/>
            <w:vAlign w:val="center"/>
          </w:tcPr>
          <w:p w14:paraId="21E4D713">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39" w:type="dxa"/>
            <w:noWrap w:val="0"/>
            <w:vAlign w:val="center"/>
          </w:tcPr>
          <w:p w14:paraId="44CD5493">
            <w:pPr>
              <w:shd w:val="clear" w:color="auto" w:fill="auto"/>
              <w:spacing w:line="360" w:lineRule="auto"/>
              <w:jc w:val="center"/>
              <w:rPr>
                <w:rFonts w:hint="eastAsia" w:ascii="宋体" w:hAnsi="宋体" w:eastAsia="宋体" w:cs="宋体"/>
                <w:color w:val="auto"/>
                <w:sz w:val="24"/>
                <w:szCs w:val="24"/>
                <w:highlight w:val="none"/>
              </w:rPr>
            </w:pPr>
          </w:p>
        </w:tc>
        <w:tc>
          <w:tcPr>
            <w:tcW w:w="857" w:type="dxa"/>
            <w:noWrap w:val="0"/>
            <w:vAlign w:val="center"/>
          </w:tcPr>
          <w:p w14:paraId="2F2578D1">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928" w:type="dxa"/>
            <w:noWrap w:val="0"/>
            <w:vAlign w:val="center"/>
          </w:tcPr>
          <w:p w14:paraId="3CF4909C">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144" w:type="dxa"/>
            <w:noWrap w:val="0"/>
            <w:vAlign w:val="center"/>
          </w:tcPr>
          <w:p w14:paraId="42861020">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022" w:type="dxa"/>
            <w:noWrap w:val="0"/>
            <w:vAlign w:val="center"/>
          </w:tcPr>
          <w:p w14:paraId="402522FC">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250" w:type="dxa"/>
            <w:noWrap w:val="0"/>
            <w:vAlign w:val="center"/>
          </w:tcPr>
          <w:p w14:paraId="491B0081">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538" w:type="dxa"/>
            <w:noWrap w:val="0"/>
            <w:vAlign w:val="center"/>
          </w:tcPr>
          <w:p w14:paraId="721DBFF2">
            <w:pPr>
              <w:shd w:val="clear" w:color="auto" w:fill="auto"/>
              <w:spacing w:line="360" w:lineRule="auto"/>
              <w:jc w:val="center"/>
              <w:rPr>
                <w:rFonts w:hint="eastAsia" w:ascii="宋体" w:hAnsi="宋体" w:eastAsia="宋体" w:cs="宋体"/>
                <w:color w:val="auto"/>
                <w:sz w:val="24"/>
                <w:szCs w:val="24"/>
                <w:highlight w:val="none"/>
              </w:rPr>
            </w:pPr>
          </w:p>
        </w:tc>
        <w:tc>
          <w:tcPr>
            <w:tcW w:w="783" w:type="dxa"/>
            <w:noWrap w:val="0"/>
            <w:vAlign w:val="center"/>
          </w:tcPr>
          <w:p w14:paraId="651E9B10">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r>
      <w:tr w14:paraId="6E4B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10" w:type="dxa"/>
            <w:noWrap w:val="0"/>
            <w:vAlign w:val="center"/>
          </w:tcPr>
          <w:p w14:paraId="4751FF99">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39" w:type="dxa"/>
            <w:noWrap w:val="0"/>
            <w:vAlign w:val="center"/>
          </w:tcPr>
          <w:p w14:paraId="615B5F73">
            <w:pPr>
              <w:shd w:val="clear" w:color="auto" w:fill="auto"/>
              <w:spacing w:line="360" w:lineRule="auto"/>
              <w:jc w:val="center"/>
              <w:rPr>
                <w:rFonts w:hint="eastAsia" w:ascii="宋体" w:hAnsi="宋体" w:eastAsia="宋体" w:cs="宋体"/>
                <w:color w:val="auto"/>
                <w:sz w:val="24"/>
                <w:szCs w:val="24"/>
                <w:highlight w:val="none"/>
              </w:rPr>
            </w:pPr>
          </w:p>
        </w:tc>
        <w:tc>
          <w:tcPr>
            <w:tcW w:w="857" w:type="dxa"/>
            <w:noWrap w:val="0"/>
            <w:vAlign w:val="center"/>
          </w:tcPr>
          <w:p w14:paraId="72BF0663">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928" w:type="dxa"/>
            <w:noWrap w:val="0"/>
            <w:vAlign w:val="center"/>
          </w:tcPr>
          <w:p w14:paraId="182E184F">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144" w:type="dxa"/>
            <w:noWrap w:val="0"/>
            <w:vAlign w:val="center"/>
          </w:tcPr>
          <w:p w14:paraId="39201469">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022" w:type="dxa"/>
            <w:noWrap w:val="0"/>
            <w:vAlign w:val="center"/>
          </w:tcPr>
          <w:p w14:paraId="7EDF0A25">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250" w:type="dxa"/>
            <w:noWrap w:val="0"/>
            <w:vAlign w:val="center"/>
          </w:tcPr>
          <w:p w14:paraId="37F05E95">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538" w:type="dxa"/>
            <w:noWrap w:val="0"/>
            <w:vAlign w:val="center"/>
          </w:tcPr>
          <w:p w14:paraId="0E28A65F">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tc>
        <w:tc>
          <w:tcPr>
            <w:tcW w:w="783" w:type="dxa"/>
            <w:noWrap w:val="0"/>
            <w:vAlign w:val="center"/>
          </w:tcPr>
          <w:p w14:paraId="083A9ACA">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r>
      <w:tr w14:paraId="1A38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10" w:type="dxa"/>
            <w:noWrap w:val="0"/>
            <w:vAlign w:val="center"/>
          </w:tcPr>
          <w:p w14:paraId="2BB64763">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39" w:type="dxa"/>
            <w:noWrap w:val="0"/>
            <w:vAlign w:val="center"/>
          </w:tcPr>
          <w:p w14:paraId="06CCB4E7">
            <w:pPr>
              <w:shd w:val="clear" w:color="auto" w:fill="auto"/>
              <w:spacing w:line="360" w:lineRule="auto"/>
              <w:jc w:val="center"/>
              <w:rPr>
                <w:rFonts w:hint="eastAsia" w:ascii="宋体" w:hAnsi="宋体" w:eastAsia="宋体" w:cs="宋体"/>
                <w:color w:val="auto"/>
                <w:sz w:val="24"/>
                <w:szCs w:val="24"/>
                <w:highlight w:val="none"/>
              </w:rPr>
            </w:pPr>
          </w:p>
        </w:tc>
        <w:tc>
          <w:tcPr>
            <w:tcW w:w="857" w:type="dxa"/>
            <w:noWrap w:val="0"/>
            <w:vAlign w:val="center"/>
          </w:tcPr>
          <w:p w14:paraId="65F0C4C4">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928" w:type="dxa"/>
            <w:noWrap w:val="0"/>
            <w:vAlign w:val="center"/>
          </w:tcPr>
          <w:p w14:paraId="49E0EB39">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144" w:type="dxa"/>
            <w:noWrap w:val="0"/>
            <w:vAlign w:val="center"/>
          </w:tcPr>
          <w:p w14:paraId="07298A4E">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022" w:type="dxa"/>
            <w:noWrap w:val="0"/>
            <w:vAlign w:val="center"/>
          </w:tcPr>
          <w:p w14:paraId="38E593A3">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250" w:type="dxa"/>
            <w:noWrap w:val="0"/>
            <w:vAlign w:val="center"/>
          </w:tcPr>
          <w:p w14:paraId="48694206">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538" w:type="dxa"/>
            <w:noWrap w:val="0"/>
            <w:vAlign w:val="center"/>
          </w:tcPr>
          <w:p w14:paraId="58D13657">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783" w:type="dxa"/>
            <w:noWrap w:val="0"/>
            <w:vAlign w:val="center"/>
          </w:tcPr>
          <w:p w14:paraId="4D2F41ED">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r>
      <w:tr w14:paraId="0610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10" w:type="dxa"/>
            <w:noWrap w:val="0"/>
            <w:vAlign w:val="center"/>
          </w:tcPr>
          <w:p w14:paraId="4C403E71">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39" w:type="dxa"/>
            <w:noWrap w:val="0"/>
            <w:vAlign w:val="center"/>
          </w:tcPr>
          <w:p w14:paraId="1F0481C5">
            <w:pPr>
              <w:shd w:val="clear" w:color="auto" w:fill="auto"/>
              <w:spacing w:line="360" w:lineRule="auto"/>
              <w:jc w:val="center"/>
              <w:rPr>
                <w:rFonts w:hint="eastAsia" w:ascii="宋体" w:hAnsi="宋体" w:eastAsia="宋体" w:cs="宋体"/>
                <w:color w:val="auto"/>
                <w:sz w:val="24"/>
                <w:szCs w:val="24"/>
                <w:highlight w:val="none"/>
              </w:rPr>
            </w:pPr>
          </w:p>
        </w:tc>
        <w:tc>
          <w:tcPr>
            <w:tcW w:w="857" w:type="dxa"/>
            <w:noWrap w:val="0"/>
            <w:vAlign w:val="center"/>
          </w:tcPr>
          <w:p w14:paraId="2E6A3926">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928" w:type="dxa"/>
            <w:noWrap w:val="0"/>
            <w:vAlign w:val="center"/>
          </w:tcPr>
          <w:p w14:paraId="27481401">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144" w:type="dxa"/>
            <w:noWrap w:val="0"/>
            <w:vAlign w:val="center"/>
          </w:tcPr>
          <w:p w14:paraId="5E715B48">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022" w:type="dxa"/>
            <w:noWrap w:val="0"/>
            <w:vAlign w:val="center"/>
          </w:tcPr>
          <w:p w14:paraId="2CC57F24">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250" w:type="dxa"/>
            <w:noWrap w:val="0"/>
            <w:vAlign w:val="center"/>
          </w:tcPr>
          <w:p w14:paraId="551EDBFB">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538" w:type="dxa"/>
            <w:noWrap w:val="0"/>
            <w:vAlign w:val="center"/>
          </w:tcPr>
          <w:p w14:paraId="35AEEE8D">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783" w:type="dxa"/>
            <w:noWrap w:val="0"/>
            <w:vAlign w:val="center"/>
          </w:tcPr>
          <w:p w14:paraId="3553AEA0">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r>
      <w:tr w14:paraId="5D4E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10" w:type="dxa"/>
            <w:noWrap w:val="0"/>
            <w:vAlign w:val="center"/>
          </w:tcPr>
          <w:p w14:paraId="57321875">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39" w:type="dxa"/>
            <w:noWrap w:val="0"/>
            <w:vAlign w:val="center"/>
          </w:tcPr>
          <w:p w14:paraId="7522F25E">
            <w:pPr>
              <w:shd w:val="clear" w:color="auto" w:fill="auto"/>
              <w:spacing w:line="360" w:lineRule="auto"/>
              <w:jc w:val="center"/>
              <w:rPr>
                <w:rFonts w:hint="eastAsia" w:ascii="宋体" w:hAnsi="宋体" w:eastAsia="宋体" w:cs="宋体"/>
                <w:color w:val="auto"/>
                <w:sz w:val="24"/>
                <w:szCs w:val="24"/>
                <w:highlight w:val="none"/>
              </w:rPr>
            </w:pPr>
          </w:p>
        </w:tc>
        <w:tc>
          <w:tcPr>
            <w:tcW w:w="857" w:type="dxa"/>
            <w:noWrap w:val="0"/>
            <w:vAlign w:val="center"/>
          </w:tcPr>
          <w:p w14:paraId="37702C0E">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928" w:type="dxa"/>
            <w:noWrap w:val="0"/>
            <w:vAlign w:val="center"/>
          </w:tcPr>
          <w:p w14:paraId="5FAAEEE8">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144" w:type="dxa"/>
            <w:noWrap w:val="0"/>
            <w:vAlign w:val="center"/>
          </w:tcPr>
          <w:p w14:paraId="338ACF62">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022" w:type="dxa"/>
            <w:noWrap w:val="0"/>
            <w:vAlign w:val="center"/>
          </w:tcPr>
          <w:p w14:paraId="161EDE1A">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250" w:type="dxa"/>
            <w:noWrap w:val="0"/>
            <w:vAlign w:val="center"/>
          </w:tcPr>
          <w:p w14:paraId="6149851B">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1538" w:type="dxa"/>
            <w:noWrap w:val="0"/>
            <w:vAlign w:val="center"/>
          </w:tcPr>
          <w:p w14:paraId="0EB3A715">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c>
          <w:tcPr>
            <w:tcW w:w="783" w:type="dxa"/>
            <w:noWrap w:val="0"/>
            <w:vAlign w:val="center"/>
          </w:tcPr>
          <w:p w14:paraId="02169600">
            <w:pPr>
              <w:shd w:val="clear" w:color="auto" w:fill="auto"/>
              <w:spacing w:line="360" w:lineRule="auto"/>
              <w:ind w:firstLine="540" w:firstLineChars="225"/>
              <w:jc w:val="center"/>
              <w:rPr>
                <w:rFonts w:hint="eastAsia" w:ascii="宋体" w:hAnsi="宋体" w:eastAsia="宋体" w:cs="宋体"/>
                <w:color w:val="auto"/>
                <w:sz w:val="24"/>
                <w:szCs w:val="24"/>
                <w:highlight w:val="none"/>
              </w:rPr>
            </w:pPr>
          </w:p>
        </w:tc>
      </w:tr>
      <w:tr w14:paraId="14E0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10" w:type="dxa"/>
            <w:noWrap w:val="0"/>
            <w:vAlign w:val="center"/>
          </w:tcPr>
          <w:p w14:paraId="754D7276">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39" w:type="dxa"/>
            <w:noWrap w:val="0"/>
            <w:vAlign w:val="center"/>
          </w:tcPr>
          <w:p w14:paraId="05B802FC">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57" w:type="dxa"/>
            <w:noWrap w:val="0"/>
            <w:vAlign w:val="center"/>
          </w:tcPr>
          <w:p w14:paraId="6FE86EAE">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28" w:type="dxa"/>
            <w:noWrap w:val="0"/>
            <w:vAlign w:val="center"/>
          </w:tcPr>
          <w:p w14:paraId="190B1874">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44" w:type="dxa"/>
            <w:noWrap w:val="0"/>
            <w:vAlign w:val="center"/>
          </w:tcPr>
          <w:p w14:paraId="0B3E1450">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22" w:type="dxa"/>
            <w:noWrap w:val="0"/>
            <w:vAlign w:val="center"/>
          </w:tcPr>
          <w:p w14:paraId="037A90B1">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50" w:type="dxa"/>
            <w:noWrap w:val="0"/>
            <w:vAlign w:val="center"/>
          </w:tcPr>
          <w:p w14:paraId="7453C101">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38" w:type="dxa"/>
            <w:noWrap w:val="0"/>
            <w:vAlign w:val="center"/>
          </w:tcPr>
          <w:p w14:paraId="395D2904">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3" w:type="dxa"/>
            <w:noWrap w:val="0"/>
            <w:vAlign w:val="center"/>
          </w:tcPr>
          <w:p w14:paraId="148A126B">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0A2BC9DC">
      <w:pPr>
        <w:shd w:val="clear" w:color="auto" w:fill="auto"/>
        <w:spacing w:before="156" w:beforeLines="50" w:line="360" w:lineRule="auto"/>
        <w:ind w:right="-300" w:rightChars="-143"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注：本表可扩展；</w:t>
      </w:r>
      <w:r>
        <w:rPr>
          <w:rFonts w:hint="eastAsia"/>
          <w:color w:val="auto"/>
          <w:szCs w:val="21"/>
          <w:highlight w:val="none"/>
          <w:lang w:val="zh-CN"/>
        </w:rPr>
        <w:t>本表后附拟派往本项目项目实施团队人员有效的身份证、职称证（若有）、上岗证（若有）、注册证书（若有）、执（职）业资格证书（若有）、劳动合同</w:t>
      </w:r>
      <w:r>
        <w:rPr>
          <w:rFonts w:hint="eastAsia"/>
          <w:color w:val="auto"/>
          <w:szCs w:val="21"/>
          <w:highlight w:val="none"/>
          <w:lang w:val="en-US" w:eastAsia="zh-CN"/>
        </w:rPr>
        <w:t>或</w:t>
      </w:r>
      <w:r>
        <w:rPr>
          <w:rFonts w:hint="eastAsia"/>
          <w:color w:val="auto"/>
          <w:szCs w:val="21"/>
          <w:highlight w:val="none"/>
          <w:lang w:val="zh-CN"/>
        </w:rPr>
        <w:t>社保缴纳证明</w:t>
      </w:r>
      <w:r>
        <w:rPr>
          <w:rFonts w:hint="eastAsia"/>
          <w:color w:val="auto"/>
          <w:szCs w:val="21"/>
          <w:highlight w:val="none"/>
          <w:lang w:val="en-US" w:eastAsia="zh-CN"/>
        </w:rPr>
        <w:t>及</w:t>
      </w:r>
      <w:r>
        <w:rPr>
          <w:rFonts w:hint="eastAsia"/>
          <w:color w:val="auto"/>
          <w:szCs w:val="21"/>
          <w:highlight w:val="none"/>
          <w:lang w:val="zh-CN"/>
        </w:rPr>
        <w:t>其它相关证件、证明材料的原件扫描件。</w:t>
      </w:r>
    </w:p>
    <w:p w14:paraId="5A9FC1E2">
      <w:pPr>
        <w:shd w:val="clear" w:color="auto" w:fill="auto"/>
        <w:spacing w:line="440" w:lineRule="exact"/>
        <w:outlineLvl w:val="2"/>
        <w:rPr>
          <w:rFonts w:hint="eastAsia" w:ascii="宋体" w:hAnsi="宋体" w:eastAsia="宋体" w:cs="宋体"/>
          <w:b/>
          <w:snapToGrid/>
          <w:color w:val="auto"/>
          <w:kern w:val="0"/>
          <w:sz w:val="28"/>
          <w:szCs w:val="28"/>
          <w:highlight w:val="none"/>
        </w:rPr>
      </w:pPr>
      <w:bookmarkStart w:id="952" w:name="_Toc22860"/>
      <w:r>
        <w:rPr>
          <w:rFonts w:hint="eastAsia" w:ascii="宋体" w:hAnsi="宋体" w:eastAsia="宋体" w:cs="宋体"/>
          <w:b/>
          <w:snapToGrid/>
          <w:color w:val="auto"/>
          <w:kern w:val="0"/>
          <w:sz w:val="28"/>
          <w:szCs w:val="28"/>
          <w:highlight w:val="none"/>
        </w:rPr>
        <w:br w:type="page"/>
      </w:r>
      <w:bookmarkStart w:id="953" w:name="_Toc10668"/>
      <w:r>
        <w:rPr>
          <w:rFonts w:hint="eastAsia" w:hAnsi="宋体" w:cs="宋体"/>
          <w:b/>
          <w:snapToGrid/>
          <w:color w:val="auto"/>
          <w:kern w:val="0"/>
          <w:sz w:val="28"/>
          <w:szCs w:val="28"/>
          <w:highlight w:val="none"/>
          <w:lang w:val="en-US" w:eastAsia="zh-CN"/>
        </w:rPr>
        <w:t>4-6</w:t>
      </w:r>
      <w:r>
        <w:rPr>
          <w:rFonts w:hint="eastAsia" w:ascii="宋体" w:hAnsi="宋体" w:eastAsia="宋体" w:cs="宋体"/>
          <w:b/>
          <w:snapToGrid/>
          <w:color w:val="auto"/>
          <w:kern w:val="0"/>
          <w:sz w:val="28"/>
          <w:szCs w:val="28"/>
          <w:highlight w:val="none"/>
          <w:lang w:val="en-US"/>
        </w:rPr>
        <w:t>类似业绩列表</w:t>
      </w:r>
      <w:bookmarkEnd w:id="952"/>
      <w:bookmarkEnd w:id="953"/>
    </w:p>
    <w:p w14:paraId="08B711BE">
      <w:pPr>
        <w:keepLines w:val="0"/>
        <w:shd w:val="clear" w:color="auto" w:fill="auto"/>
        <w:spacing w:before="240" w:after="240" w:line="360" w:lineRule="auto"/>
        <w:jc w:val="center"/>
        <w:outlineLvl w:val="9"/>
        <w:rPr>
          <w:rFonts w:hint="eastAsia" w:ascii="宋体" w:hAnsi="宋体" w:eastAsia="宋体" w:cs="宋体"/>
          <w:b/>
          <w:bCs w:val="0"/>
          <w:color w:val="auto"/>
          <w:kern w:val="0"/>
          <w:sz w:val="30"/>
          <w:szCs w:val="30"/>
          <w:highlight w:val="none"/>
          <w:lang w:val="en-US"/>
        </w:rPr>
      </w:pPr>
      <w:bookmarkStart w:id="954" w:name="_Toc125054727"/>
      <w:r>
        <w:rPr>
          <w:rFonts w:hint="eastAsia" w:ascii="宋体" w:hAnsi="宋体" w:eastAsia="宋体" w:cs="宋体"/>
          <w:b/>
          <w:bCs w:val="0"/>
          <w:color w:val="auto"/>
          <w:kern w:val="0"/>
          <w:sz w:val="30"/>
          <w:szCs w:val="30"/>
          <w:highlight w:val="none"/>
          <w:lang w:val="en-US"/>
        </w:rPr>
        <w:t>类似业绩列表</w:t>
      </w:r>
      <w:bookmarkEnd w:id="954"/>
    </w:p>
    <w:tbl>
      <w:tblPr>
        <w:tblStyle w:val="1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1989"/>
        <w:gridCol w:w="1843"/>
        <w:gridCol w:w="1559"/>
        <w:gridCol w:w="1134"/>
      </w:tblGrid>
      <w:tr w14:paraId="05A2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88" w:type="dxa"/>
            <w:tcBorders>
              <w:top w:val="single" w:color="auto" w:sz="4" w:space="0"/>
              <w:left w:val="single" w:color="auto" w:sz="4" w:space="0"/>
              <w:right w:val="single" w:color="auto" w:sz="4" w:space="0"/>
            </w:tcBorders>
            <w:noWrap w:val="0"/>
            <w:vAlign w:val="center"/>
          </w:tcPr>
          <w:p w14:paraId="3EF99B7D">
            <w:pPr>
              <w:shd w:val="clear" w:color="auto" w:fill="auto"/>
              <w:ind w:left="210" w:hanging="240" w:hanging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01" w:type="dxa"/>
            <w:tcBorders>
              <w:top w:val="single" w:color="auto" w:sz="4" w:space="0"/>
              <w:left w:val="single" w:color="auto" w:sz="4" w:space="0"/>
              <w:right w:val="single" w:color="auto" w:sz="4" w:space="0"/>
            </w:tcBorders>
            <w:noWrap w:val="0"/>
            <w:vAlign w:val="center"/>
          </w:tcPr>
          <w:p w14:paraId="15AED895">
            <w:pPr>
              <w:shd w:val="clear" w:color="auto" w:fill="auto"/>
              <w:ind w:left="0" w:leftChars="-10" w:hanging="21" w:hangingChars="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委托单位名称</w:t>
            </w:r>
          </w:p>
        </w:tc>
        <w:tc>
          <w:tcPr>
            <w:tcW w:w="1989" w:type="dxa"/>
            <w:tcBorders>
              <w:top w:val="single" w:color="auto" w:sz="4" w:space="0"/>
              <w:left w:val="single" w:color="auto" w:sz="4" w:space="0"/>
              <w:right w:val="single" w:color="auto" w:sz="4" w:space="0"/>
            </w:tcBorders>
            <w:noWrap w:val="0"/>
            <w:vAlign w:val="center"/>
          </w:tcPr>
          <w:p w14:paraId="74B03560">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843" w:type="dxa"/>
            <w:tcBorders>
              <w:top w:val="single" w:color="auto" w:sz="4" w:space="0"/>
              <w:left w:val="single" w:color="auto" w:sz="4" w:space="0"/>
              <w:right w:val="single" w:color="auto" w:sz="4" w:space="0"/>
            </w:tcBorders>
            <w:noWrap w:val="0"/>
            <w:vAlign w:val="center"/>
          </w:tcPr>
          <w:p w14:paraId="7B0AE175">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承包范围</w:t>
            </w:r>
          </w:p>
        </w:tc>
        <w:tc>
          <w:tcPr>
            <w:tcW w:w="1559" w:type="dxa"/>
            <w:tcBorders>
              <w:top w:val="single" w:color="auto" w:sz="4" w:space="0"/>
              <w:left w:val="single" w:color="auto" w:sz="4" w:space="0"/>
              <w:right w:val="single" w:color="auto" w:sz="4" w:space="0"/>
            </w:tcBorders>
            <w:noWrap w:val="0"/>
            <w:vAlign w:val="center"/>
          </w:tcPr>
          <w:p w14:paraId="0A58A6F7">
            <w:pPr>
              <w:shd w:val="clear" w:color="auto" w:fill="auto"/>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合同金额</w:t>
            </w:r>
          </w:p>
          <w:p w14:paraId="602EB5BA">
            <w:pPr>
              <w:shd w:val="clear" w:color="auto" w:fill="auto"/>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（万元）</w:t>
            </w:r>
          </w:p>
        </w:tc>
        <w:tc>
          <w:tcPr>
            <w:tcW w:w="1134" w:type="dxa"/>
            <w:tcBorders>
              <w:top w:val="single" w:color="auto" w:sz="4" w:space="0"/>
              <w:left w:val="single" w:color="auto" w:sz="4" w:space="0"/>
              <w:right w:val="single" w:color="auto" w:sz="4" w:space="0"/>
            </w:tcBorders>
            <w:noWrap w:val="0"/>
            <w:vAlign w:val="center"/>
          </w:tcPr>
          <w:p w14:paraId="3C92B0AD">
            <w:pPr>
              <w:shd w:val="clear" w:color="auto" w:fill="auto"/>
              <w:ind w:left="-8" w:leftChars="-4" w:firstLine="7" w:firstLineChars="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委托时间</w:t>
            </w:r>
          </w:p>
        </w:tc>
      </w:tr>
      <w:tr w14:paraId="5FDB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CE3E40B">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7D60421B">
            <w:pPr>
              <w:shd w:val="clear" w:color="auto" w:fill="auto"/>
              <w:ind w:firstLine="360" w:firstLineChars="150"/>
              <w:rPr>
                <w:rFonts w:hint="eastAsia" w:ascii="宋体" w:hAnsi="宋体" w:eastAsia="宋体" w:cs="宋体"/>
                <w:color w:val="auto"/>
                <w:sz w:val="24"/>
                <w:szCs w:val="24"/>
                <w:highlight w:val="none"/>
              </w:rPr>
            </w:pPr>
          </w:p>
        </w:tc>
        <w:tc>
          <w:tcPr>
            <w:tcW w:w="1989" w:type="dxa"/>
            <w:tcBorders>
              <w:top w:val="single" w:color="auto" w:sz="4" w:space="0"/>
              <w:left w:val="single" w:color="auto" w:sz="4" w:space="0"/>
              <w:bottom w:val="single" w:color="auto" w:sz="4" w:space="0"/>
              <w:right w:val="single" w:color="auto" w:sz="4" w:space="0"/>
            </w:tcBorders>
            <w:noWrap w:val="0"/>
            <w:vAlign w:val="top"/>
          </w:tcPr>
          <w:p w14:paraId="6243D0A7">
            <w:pPr>
              <w:shd w:val="clear" w:color="auto" w:fill="auto"/>
              <w:ind w:firstLine="360" w:firstLineChars="150"/>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C83A553">
            <w:pPr>
              <w:shd w:val="clear" w:color="auto" w:fill="auto"/>
              <w:ind w:firstLine="360" w:firstLineChars="150"/>
              <w:rPr>
                <w:rFonts w:hint="eastAsia" w:ascii="宋体" w:hAnsi="宋体" w:eastAsia="宋体" w:cs="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2E05DCD">
            <w:pPr>
              <w:shd w:val="clear" w:color="auto" w:fill="auto"/>
              <w:ind w:firstLine="360" w:firstLineChars="15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5953D8E">
            <w:pPr>
              <w:shd w:val="clear" w:color="auto" w:fill="auto"/>
              <w:ind w:firstLine="360" w:firstLineChars="150"/>
              <w:rPr>
                <w:rFonts w:hint="eastAsia" w:ascii="宋体" w:hAnsi="宋体" w:eastAsia="宋体" w:cs="宋体"/>
                <w:color w:val="auto"/>
                <w:sz w:val="24"/>
                <w:szCs w:val="24"/>
                <w:highlight w:val="none"/>
              </w:rPr>
            </w:pPr>
          </w:p>
        </w:tc>
      </w:tr>
      <w:tr w14:paraId="0C03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7A85E9F">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4A658152">
            <w:pPr>
              <w:shd w:val="clear" w:color="auto" w:fill="auto"/>
              <w:ind w:firstLine="360" w:firstLineChars="150"/>
              <w:rPr>
                <w:rFonts w:hint="eastAsia" w:ascii="宋体" w:hAnsi="宋体" w:eastAsia="宋体" w:cs="宋体"/>
                <w:color w:val="auto"/>
                <w:sz w:val="24"/>
                <w:szCs w:val="24"/>
                <w:highlight w:val="none"/>
              </w:rPr>
            </w:pPr>
          </w:p>
        </w:tc>
        <w:tc>
          <w:tcPr>
            <w:tcW w:w="1989" w:type="dxa"/>
            <w:tcBorders>
              <w:top w:val="single" w:color="auto" w:sz="4" w:space="0"/>
              <w:left w:val="single" w:color="auto" w:sz="4" w:space="0"/>
              <w:bottom w:val="single" w:color="auto" w:sz="4" w:space="0"/>
              <w:right w:val="single" w:color="auto" w:sz="4" w:space="0"/>
            </w:tcBorders>
            <w:noWrap w:val="0"/>
            <w:vAlign w:val="top"/>
          </w:tcPr>
          <w:p w14:paraId="16621B51">
            <w:pPr>
              <w:shd w:val="clear" w:color="auto" w:fill="auto"/>
              <w:ind w:firstLine="360" w:firstLineChars="150"/>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D6FFD41">
            <w:pPr>
              <w:shd w:val="clear" w:color="auto" w:fill="auto"/>
              <w:ind w:firstLine="360" w:firstLineChars="150"/>
              <w:rPr>
                <w:rFonts w:hint="eastAsia" w:ascii="宋体" w:hAnsi="宋体" w:eastAsia="宋体" w:cs="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10F148A">
            <w:pPr>
              <w:shd w:val="clear" w:color="auto" w:fill="auto"/>
              <w:ind w:firstLine="360" w:firstLineChars="15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39EB47E">
            <w:pPr>
              <w:shd w:val="clear" w:color="auto" w:fill="auto"/>
              <w:ind w:firstLine="360" w:firstLineChars="150"/>
              <w:rPr>
                <w:rFonts w:hint="eastAsia" w:ascii="宋体" w:hAnsi="宋体" w:eastAsia="宋体" w:cs="宋体"/>
                <w:color w:val="auto"/>
                <w:sz w:val="24"/>
                <w:szCs w:val="24"/>
                <w:highlight w:val="none"/>
              </w:rPr>
            </w:pPr>
          </w:p>
        </w:tc>
      </w:tr>
      <w:tr w14:paraId="380F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7F717CD">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1103DD52">
            <w:pPr>
              <w:shd w:val="clear" w:color="auto" w:fill="auto"/>
              <w:ind w:firstLine="360" w:firstLineChars="150"/>
              <w:rPr>
                <w:rFonts w:hint="eastAsia" w:ascii="宋体" w:hAnsi="宋体" w:eastAsia="宋体" w:cs="宋体"/>
                <w:color w:val="auto"/>
                <w:sz w:val="24"/>
                <w:szCs w:val="24"/>
                <w:highlight w:val="none"/>
              </w:rPr>
            </w:pPr>
          </w:p>
        </w:tc>
        <w:tc>
          <w:tcPr>
            <w:tcW w:w="1989" w:type="dxa"/>
            <w:tcBorders>
              <w:top w:val="single" w:color="auto" w:sz="4" w:space="0"/>
              <w:left w:val="single" w:color="auto" w:sz="4" w:space="0"/>
              <w:bottom w:val="single" w:color="auto" w:sz="4" w:space="0"/>
              <w:right w:val="single" w:color="auto" w:sz="4" w:space="0"/>
            </w:tcBorders>
            <w:noWrap w:val="0"/>
            <w:vAlign w:val="top"/>
          </w:tcPr>
          <w:p w14:paraId="3BDA8CD6">
            <w:pPr>
              <w:shd w:val="clear" w:color="auto" w:fill="auto"/>
              <w:ind w:firstLine="360" w:firstLineChars="150"/>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F9B9B97">
            <w:pPr>
              <w:shd w:val="clear" w:color="auto" w:fill="auto"/>
              <w:ind w:firstLine="360" w:firstLineChars="150"/>
              <w:rPr>
                <w:rFonts w:hint="eastAsia" w:ascii="宋体" w:hAnsi="宋体" w:eastAsia="宋体" w:cs="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42D9A7E">
            <w:pPr>
              <w:shd w:val="clear" w:color="auto" w:fill="auto"/>
              <w:ind w:firstLine="360" w:firstLineChars="15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252DCBF">
            <w:pPr>
              <w:shd w:val="clear" w:color="auto" w:fill="auto"/>
              <w:ind w:firstLine="360" w:firstLineChars="150"/>
              <w:rPr>
                <w:rFonts w:hint="eastAsia" w:ascii="宋体" w:hAnsi="宋体" w:eastAsia="宋体" w:cs="宋体"/>
                <w:color w:val="auto"/>
                <w:sz w:val="24"/>
                <w:szCs w:val="24"/>
                <w:highlight w:val="none"/>
              </w:rPr>
            </w:pPr>
          </w:p>
        </w:tc>
      </w:tr>
      <w:tr w14:paraId="05DF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FD259A2">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4D052BBF">
            <w:pPr>
              <w:shd w:val="clear" w:color="auto" w:fill="auto"/>
              <w:ind w:firstLine="360" w:firstLineChars="150"/>
              <w:rPr>
                <w:rFonts w:hint="eastAsia" w:ascii="宋体" w:hAnsi="宋体" w:eastAsia="宋体" w:cs="宋体"/>
                <w:color w:val="auto"/>
                <w:sz w:val="24"/>
                <w:szCs w:val="24"/>
                <w:highlight w:val="none"/>
              </w:rPr>
            </w:pPr>
          </w:p>
        </w:tc>
        <w:tc>
          <w:tcPr>
            <w:tcW w:w="1989" w:type="dxa"/>
            <w:tcBorders>
              <w:top w:val="single" w:color="auto" w:sz="4" w:space="0"/>
              <w:left w:val="single" w:color="auto" w:sz="4" w:space="0"/>
              <w:bottom w:val="single" w:color="auto" w:sz="4" w:space="0"/>
              <w:right w:val="single" w:color="auto" w:sz="4" w:space="0"/>
            </w:tcBorders>
            <w:noWrap w:val="0"/>
            <w:vAlign w:val="top"/>
          </w:tcPr>
          <w:p w14:paraId="7BCE9A7A">
            <w:pPr>
              <w:shd w:val="clear" w:color="auto" w:fill="auto"/>
              <w:ind w:firstLine="360" w:firstLineChars="150"/>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A9B9B5A">
            <w:pPr>
              <w:shd w:val="clear" w:color="auto" w:fill="auto"/>
              <w:ind w:firstLine="360" w:firstLineChars="150"/>
              <w:rPr>
                <w:rFonts w:hint="eastAsia" w:ascii="宋体" w:hAnsi="宋体" w:eastAsia="宋体" w:cs="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D3F5BD8">
            <w:pPr>
              <w:shd w:val="clear" w:color="auto" w:fill="auto"/>
              <w:ind w:firstLine="360" w:firstLineChars="15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939AA20">
            <w:pPr>
              <w:shd w:val="clear" w:color="auto" w:fill="auto"/>
              <w:ind w:firstLine="360" w:firstLineChars="150"/>
              <w:rPr>
                <w:rFonts w:hint="eastAsia" w:ascii="宋体" w:hAnsi="宋体" w:eastAsia="宋体" w:cs="宋体"/>
                <w:color w:val="auto"/>
                <w:sz w:val="24"/>
                <w:szCs w:val="24"/>
                <w:highlight w:val="none"/>
              </w:rPr>
            </w:pPr>
          </w:p>
        </w:tc>
      </w:tr>
      <w:tr w14:paraId="3770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61C7882">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5101C739">
            <w:pPr>
              <w:shd w:val="clear" w:color="auto" w:fill="auto"/>
              <w:ind w:firstLine="360" w:firstLineChars="150"/>
              <w:rPr>
                <w:rFonts w:hint="eastAsia" w:ascii="宋体" w:hAnsi="宋体" w:eastAsia="宋体" w:cs="宋体"/>
                <w:color w:val="auto"/>
                <w:sz w:val="24"/>
                <w:szCs w:val="24"/>
                <w:highlight w:val="none"/>
              </w:rPr>
            </w:pPr>
          </w:p>
        </w:tc>
        <w:tc>
          <w:tcPr>
            <w:tcW w:w="1989" w:type="dxa"/>
            <w:tcBorders>
              <w:top w:val="single" w:color="auto" w:sz="4" w:space="0"/>
              <w:left w:val="single" w:color="auto" w:sz="4" w:space="0"/>
              <w:bottom w:val="single" w:color="auto" w:sz="4" w:space="0"/>
              <w:right w:val="single" w:color="auto" w:sz="4" w:space="0"/>
            </w:tcBorders>
            <w:noWrap w:val="0"/>
            <w:vAlign w:val="top"/>
          </w:tcPr>
          <w:p w14:paraId="1D550B03">
            <w:pPr>
              <w:shd w:val="clear" w:color="auto" w:fill="auto"/>
              <w:ind w:firstLine="360" w:firstLineChars="150"/>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3B6FD5A">
            <w:pPr>
              <w:shd w:val="clear" w:color="auto" w:fill="auto"/>
              <w:ind w:firstLine="360" w:firstLineChars="150"/>
              <w:rPr>
                <w:rFonts w:hint="eastAsia" w:ascii="宋体" w:hAnsi="宋体" w:eastAsia="宋体" w:cs="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BF83C4E">
            <w:pPr>
              <w:shd w:val="clear" w:color="auto" w:fill="auto"/>
              <w:ind w:firstLine="360" w:firstLineChars="15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515BE2E">
            <w:pPr>
              <w:shd w:val="clear" w:color="auto" w:fill="auto"/>
              <w:ind w:firstLine="360" w:firstLineChars="150"/>
              <w:rPr>
                <w:rFonts w:hint="eastAsia" w:ascii="宋体" w:hAnsi="宋体" w:eastAsia="宋体" w:cs="宋体"/>
                <w:color w:val="auto"/>
                <w:sz w:val="24"/>
                <w:szCs w:val="24"/>
                <w:highlight w:val="none"/>
              </w:rPr>
            </w:pPr>
          </w:p>
        </w:tc>
      </w:tr>
      <w:tr w14:paraId="0E95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4C9ED4C">
            <w:pPr>
              <w:shd w:val="clear" w:color="auto" w:fill="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47874143">
            <w:pPr>
              <w:shd w:val="clear" w:color="auto" w:fill="auto"/>
              <w:ind w:firstLine="360" w:firstLineChars="150"/>
              <w:rPr>
                <w:rFonts w:hint="eastAsia" w:ascii="宋体" w:hAnsi="宋体" w:eastAsia="宋体" w:cs="宋体"/>
                <w:color w:val="auto"/>
                <w:sz w:val="24"/>
                <w:szCs w:val="24"/>
                <w:highlight w:val="none"/>
              </w:rPr>
            </w:pPr>
          </w:p>
        </w:tc>
        <w:tc>
          <w:tcPr>
            <w:tcW w:w="1989" w:type="dxa"/>
            <w:tcBorders>
              <w:top w:val="single" w:color="auto" w:sz="4" w:space="0"/>
              <w:left w:val="single" w:color="auto" w:sz="4" w:space="0"/>
              <w:bottom w:val="single" w:color="auto" w:sz="4" w:space="0"/>
              <w:right w:val="single" w:color="auto" w:sz="4" w:space="0"/>
            </w:tcBorders>
            <w:noWrap w:val="0"/>
            <w:vAlign w:val="top"/>
          </w:tcPr>
          <w:p w14:paraId="7ADFDE77">
            <w:pPr>
              <w:shd w:val="clear" w:color="auto" w:fill="auto"/>
              <w:ind w:firstLine="360" w:firstLineChars="150"/>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1375ADC">
            <w:pPr>
              <w:shd w:val="clear" w:color="auto" w:fill="auto"/>
              <w:ind w:firstLine="360" w:firstLineChars="150"/>
              <w:rPr>
                <w:rFonts w:hint="eastAsia" w:ascii="宋体" w:hAnsi="宋体" w:eastAsia="宋体" w:cs="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71A86CE">
            <w:pPr>
              <w:shd w:val="clear" w:color="auto" w:fill="auto"/>
              <w:ind w:firstLine="360" w:firstLineChars="15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EB0DA92">
            <w:pPr>
              <w:shd w:val="clear" w:color="auto" w:fill="auto"/>
              <w:ind w:firstLine="360" w:firstLineChars="150"/>
              <w:rPr>
                <w:rFonts w:hint="eastAsia" w:ascii="宋体" w:hAnsi="宋体" w:eastAsia="宋体" w:cs="宋体"/>
                <w:color w:val="auto"/>
                <w:sz w:val="24"/>
                <w:szCs w:val="24"/>
                <w:highlight w:val="none"/>
              </w:rPr>
            </w:pPr>
          </w:p>
        </w:tc>
      </w:tr>
      <w:tr w14:paraId="69EC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51ACC86">
            <w:pPr>
              <w:shd w:val="clear" w:color="auto" w:fill="auto"/>
              <w:ind w:firstLine="360" w:firstLineChars="15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96E61F9">
            <w:pPr>
              <w:shd w:val="clear" w:color="auto" w:fill="auto"/>
              <w:ind w:firstLine="360" w:firstLineChars="150"/>
              <w:rPr>
                <w:rFonts w:hint="eastAsia" w:ascii="宋体" w:hAnsi="宋体" w:eastAsia="宋体" w:cs="宋体"/>
                <w:color w:val="auto"/>
                <w:sz w:val="24"/>
                <w:szCs w:val="24"/>
                <w:highlight w:val="none"/>
              </w:rPr>
            </w:pPr>
          </w:p>
        </w:tc>
        <w:tc>
          <w:tcPr>
            <w:tcW w:w="1989" w:type="dxa"/>
            <w:tcBorders>
              <w:top w:val="single" w:color="auto" w:sz="4" w:space="0"/>
              <w:left w:val="single" w:color="auto" w:sz="4" w:space="0"/>
              <w:bottom w:val="single" w:color="auto" w:sz="4" w:space="0"/>
              <w:right w:val="single" w:color="auto" w:sz="4" w:space="0"/>
            </w:tcBorders>
            <w:noWrap w:val="0"/>
            <w:vAlign w:val="top"/>
          </w:tcPr>
          <w:p w14:paraId="2191DBA8">
            <w:pPr>
              <w:shd w:val="clear" w:color="auto" w:fill="auto"/>
              <w:ind w:firstLine="360" w:firstLineChars="150"/>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9983136">
            <w:pPr>
              <w:shd w:val="clear" w:color="auto" w:fill="auto"/>
              <w:ind w:firstLine="360" w:firstLineChars="150"/>
              <w:rPr>
                <w:rFonts w:hint="eastAsia" w:ascii="宋体" w:hAnsi="宋体" w:eastAsia="宋体" w:cs="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4AA50BF">
            <w:pPr>
              <w:shd w:val="clear" w:color="auto" w:fill="auto"/>
              <w:ind w:firstLine="360" w:firstLineChars="15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08C3016">
            <w:pPr>
              <w:shd w:val="clear" w:color="auto" w:fill="auto"/>
              <w:ind w:firstLine="360" w:firstLineChars="150"/>
              <w:rPr>
                <w:rFonts w:hint="eastAsia" w:ascii="宋体" w:hAnsi="宋体" w:eastAsia="宋体" w:cs="宋体"/>
                <w:color w:val="auto"/>
                <w:sz w:val="24"/>
                <w:szCs w:val="24"/>
                <w:highlight w:val="none"/>
              </w:rPr>
            </w:pPr>
          </w:p>
        </w:tc>
      </w:tr>
    </w:tbl>
    <w:p w14:paraId="2D2D964A">
      <w:pPr>
        <w:shd w:val="clear" w:color="auto" w:fill="auto"/>
        <w:rPr>
          <w:rFonts w:hint="eastAsia" w:ascii="宋体" w:hAnsi="宋体" w:eastAsia="宋体" w:cs="宋体"/>
          <w:color w:val="auto"/>
          <w:szCs w:val="21"/>
          <w:highlight w:val="none"/>
        </w:rPr>
      </w:pPr>
    </w:p>
    <w:p w14:paraId="6B8650D6">
      <w:pPr>
        <w:shd w:val="clear" w:color="auto" w:fill="auto"/>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5F7E160">
      <w:pPr>
        <w:shd w:val="clear" w:color="auto" w:fill="auto"/>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1、本表后须按上表提供相对应的业绩证明材料</w:t>
      </w:r>
      <w:r>
        <w:rPr>
          <w:rFonts w:hint="eastAsia" w:ascii="宋体" w:hAnsi="宋体" w:eastAsia="宋体" w:cs="宋体"/>
          <w:color w:val="auto"/>
          <w:szCs w:val="21"/>
          <w:highlight w:val="none"/>
          <w:lang w:val="en-US" w:eastAsia="zh-CN"/>
        </w:rPr>
        <w:t>原件扫描件</w:t>
      </w:r>
      <w:r>
        <w:rPr>
          <w:rFonts w:hint="eastAsia" w:ascii="宋体" w:hAnsi="宋体" w:eastAsia="宋体" w:cs="宋体"/>
          <w:color w:val="auto"/>
          <w:szCs w:val="21"/>
          <w:highlight w:val="none"/>
        </w:rPr>
        <w:t>，业绩证明材料为中标/成交通知书或合同（提供合同的，须至少提供合同首页、承担范围所在页、日期及委托方与受托方公章盖章页）或业主证明或工程接收（工程竣工验收）证明材料；无证明材料或未按要求提供证明材料或证明材料无法体现内容的，不予认可。</w:t>
      </w:r>
    </w:p>
    <w:p w14:paraId="70D90B14">
      <w:pPr>
        <w:shd w:val="clear" w:color="auto" w:fill="auto"/>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2、供应商可根据实际情况拓展本表。</w:t>
      </w:r>
    </w:p>
    <w:p w14:paraId="728EEAC6">
      <w:pPr>
        <w:keepNext w:val="0"/>
        <w:keepLines w:val="0"/>
        <w:pageBreakBefore w:val="0"/>
        <w:widowControl w:val="0"/>
        <w:shd w:val="clear" w:color="auto" w:fill="auto"/>
        <w:kinsoku/>
        <w:wordWrap/>
        <w:overflowPunct/>
        <w:topLinePunct w:val="0"/>
        <w:autoSpaceDE/>
        <w:autoSpaceDN/>
        <w:bidi w:val="0"/>
        <w:adjustRightInd/>
        <w:snapToGrid/>
        <w:textAlignment w:val="auto"/>
        <w:outlineLvl w:val="2"/>
        <w:rPr>
          <w:rFonts w:hint="eastAsia" w:ascii="宋体" w:hAnsi="宋体" w:eastAsia="宋体" w:cs="宋体"/>
          <w:b/>
          <w:snapToGrid/>
          <w:color w:val="auto"/>
          <w:kern w:val="0"/>
          <w:sz w:val="28"/>
          <w:szCs w:val="28"/>
          <w:highlight w:val="none"/>
        </w:rPr>
      </w:pPr>
      <w:bookmarkStart w:id="955" w:name="_Toc5642"/>
      <w:r>
        <w:rPr>
          <w:rFonts w:hint="eastAsia" w:ascii="宋体" w:hAnsi="宋体" w:eastAsia="宋体" w:cs="宋体"/>
          <w:b/>
          <w:snapToGrid/>
          <w:color w:val="auto"/>
          <w:kern w:val="0"/>
          <w:sz w:val="28"/>
          <w:szCs w:val="28"/>
          <w:highlight w:val="none"/>
        </w:rPr>
        <w:br w:type="page"/>
      </w:r>
      <w:r>
        <w:rPr>
          <w:rFonts w:hint="eastAsia" w:hAnsi="宋体" w:cs="宋体"/>
          <w:b/>
          <w:snapToGrid/>
          <w:color w:val="auto"/>
          <w:kern w:val="0"/>
          <w:sz w:val="28"/>
          <w:szCs w:val="28"/>
          <w:highlight w:val="none"/>
          <w:lang w:val="en-US" w:eastAsia="zh-CN"/>
        </w:rPr>
        <w:t>4-</w:t>
      </w:r>
      <w:bookmarkEnd w:id="955"/>
      <w:r>
        <w:rPr>
          <w:rFonts w:hint="eastAsia" w:hAnsi="宋体" w:cs="宋体"/>
          <w:b/>
          <w:snapToGrid/>
          <w:color w:val="auto"/>
          <w:kern w:val="0"/>
          <w:sz w:val="28"/>
          <w:szCs w:val="28"/>
          <w:highlight w:val="none"/>
          <w:lang w:val="en-US" w:eastAsia="zh-CN"/>
        </w:rPr>
        <w:t>7开设农民工工资专户承诺函</w:t>
      </w:r>
    </w:p>
    <w:p w14:paraId="67C50433">
      <w:pPr>
        <w:shd w:val="clear" w:color="auto" w:fill="auto"/>
        <w:jc w:val="center"/>
        <w:rPr>
          <w:rFonts w:hint="eastAsia" w:ascii="宋体" w:hAnsi="宋体" w:eastAsia="宋体" w:cs="宋体"/>
          <w:bCs/>
          <w:color w:val="auto"/>
          <w:szCs w:val="21"/>
          <w:highlight w:val="none"/>
        </w:rPr>
      </w:pPr>
    </w:p>
    <w:p w14:paraId="587C5C54">
      <w:pPr>
        <w:shd w:val="clear" w:color="auto" w:fill="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（供应商按照竞争性磋商文件要求由供应商自行编写，格式自拟）</w:t>
      </w:r>
    </w:p>
    <w:p w14:paraId="115BC9E9">
      <w:pPr>
        <w:shd w:val="clear" w:color="auto" w:fill="auto"/>
        <w:jc w:val="center"/>
        <w:rPr>
          <w:rFonts w:hint="eastAsia" w:ascii="宋体" w:hAnsi="宋体" w:eastAsia="宋体" w:cs="宋体"/>
          <w:bCs/>
          <w:color w:val="auto"/>
          <w:sz w:val="24"/>
          <w:szCs w:val="24"/>
          <w:highlight w:val="none"/>
        </w:rPr>
      </w:pPr>
    </w:p>
    <w:p w14:paraId="4C2EA7B9">
      <w:pPr>
        <w:shd w:val="clear" w:color="auto" w:fill="auto"/>
        <w:jc w:val="center"/>
        <w:rPr>
          <w:rFonts w:hint="eastAsia" w:ascii="宋体" w:hAnsi="宋体" w:eastAsia="宋体" w:cs="宋体"/>
          <w:bCs/>
          <w:color w:val="auto"/>
          <w:sz w:val="24"/>
          <w:szCs w:val="24"/>
          <w:highlight w:val="none"/>
        </w:rPr>
      </w:pPr>
    </w:p>
    <w:p w14:paraId="21AED57E">
      <w:pPr>
        <w:rPr>
          <w:rFonts w:hint="eastAsia" w:hAnsi="宋体" w:cs="宋体"/>
          <w:b/>
          <w:snapToGrid/>
          <w:color w:val="auto"/>
          <w:kern w:val="0"/>
          <w:sz w:val="28"/>
          <w:szCs w:val="28"/>
          <w:highlight w:val="none"/>
          <w:lang w:val="en-US" w:eastAsia="zh-CN"/>
        </w:rPr>
      </w:pPr>
      <w:r>
        <w:rPr>
          <w:rFonts w:hint="eastAsia" w:hAnsi="宋体" w:cs="宋体"/>
          <w:b/>
          <w:snapToGrid/>
          <w:color w:val="auto"/>
          <w:kern w:val="0"/>
          <w:sz w:val="28"/>
          <w:szCs w:val="28"/>
          <w:highlight w:val="none"/>
          <w:lang w:val="en-US" w:eastAsia="zh-CN"/>
        </w:rPr>
        <w:br w:type="page"/>
      </w:r>
    </w:p>
    <w:p w14:paraId="2DB353D1">
      <w:pPr>
        <w:keepNext w:val="0"/>
        <w:keepLines w:val="0"/>
        <w:pageBreakBefore w:val="0"/>
        <w:widowControl w:val="0"/>
        <w:shd w:val="clear" w:color="auto" w:fill="auto"/>
        <w:kinsoku/>
        <w:wordWrap/>
        <w:overflowPunct/>
        <w:topLinePunct w:val="0"/>
        <w:autoSpaceDE/>
        <w:autoSpaceDN/>
        <w:bidi w:val="0"/>
        <w:adjustRightInd/>
        <w:snapToGrid/>
        <w:textAlignment w:val="auto"/>
        <w:outlineLvl w:val="2"/>
        <w:rPr>
          <w:rFonts w:hint="eastAsia" w:ascii="宋体" w:hAnsi="宋体" w:eastAsia="宋体" w:cs="宋体"/>
          <w:b/>
          <w:snapToGrid/>
          <w:color w:val="auto"/>
          <w:kern w:val="0"/>
          <w:sz w:val="28"/>
          <w:szCs w:val="28"/>
          <w:highlight w:val="none"/>
        </w:rPr>
      </w:pPr>
      <w:r>
        <w:rPr>
          <w:rFonts w:hint="eastAsia" w:hAnsi="宋体" w:cs="宋体"/>
          <w:b/>
          <w:snapToGrid/>
          <w:color w:val="auto"/>
          <w:kern w:val="0"/>
          <w:sz w:val="28"/>
          <w:szCs w:val="28"/>
          <w:highlight w:val="none"/>
          <w:lang w:val="en-US" w:eastAsia="zh-CN"/>
        </w:rPr>
        <w:t>4-8</w:t>
      </w:r>
      <w:r>
        <w:rPr>
          <w:rFonts w:hint="eastAsia" w:ascii="宋体" w:hAnsi="宋体" w:eastAsia="宋体" w:cs="宋体"/>
          <w:b/>
          <w:snapToGrid/>
          <w:color w:val="auto"/>
          <w:kern w:val="0"/>
          <w:sz w:val="28"/>
          <w:szCs w:val="28"/>
          <w:highlight w:val="none"/>
          <w:lang w:val="en-US"/>
        </w:rPr>
        <w:t>竞争性磋商文件中所涉及到的相关资料及证明文件或供应商认为必须提供的其他相关资料</w:t>
      </w:r>
    </w:p>
    <w:p w14:paraId="71C0B728">
      <w:pPr>
        <w:shd w:val="clear" w:color="auto" w:fill="auto"/>
        <w:jc w:val="center"/>
        <w:rPr>
          <w:rFonts w:hint="eastAsia" w:ascii="宋体" w:hAnsi="宋体" w:eastAsia="宋体" w:cs="宋体"/>
          <w:bCs/>
          <w:color w:val="auto"/>
          <w:szCs w:val="21"/>
          <w:highlight w:val="none"/>
        </w:rPr>
      </w:pPr>
    </w:p>
    <w:p w14:paraId="6CF638C7">
      <w:pPr>
        <w:shd w:val="clear" w:color="auto" w:fill="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（格式自拟）</w:t>
      </w:r>
    </w:p>
    <w:p w14:paraId="2336095E">
      <w:pPr>
        <w:pStyle w:val="8"/>
        <w:shd w:val="clear" w:color="auto" w:fill="auto"/>
        <w:spacing w:line="360" w:lineRule="auto"/>
        <w:ind w:right="-143" w:rightChars="-68"/>
        <w:jc w:val="both"/>
        <w:rPr>
          <w:rFonts w:hint="eastAsia" w:ascii="宋体" w:hAnsi="宋体" w:eastAsia="宋体" w:cs="宋体"/>
          <w:color w:val="auto"/>
          <w:highlight w:val="none"/>
        </w:rPr>
      </w:pPr>
    </w:p>
    <w:bookmarkEnd w:id="915"/>
    <w:bookmarkEnd w:id="916"/>
    <w:bookmarkEnd w:id="917"/>
    <w:bookmarkEnd w:id="918"/>
    <w:bookmarkEnd w:id="919"/>
    <w:bookmarkEnd w:id="920"/>
    <w:bookmarkEnd w:id="921"/>
    <w:p w14:paraId="717B7F2C">
      <w:pPr>
        <w:shd w:val="clear" w:color="auto" w:fill="auto"/>
        <w:jc w:val="both"/>
        <w:rPr>
          <w:rFonts w:hint="eastAsia" w:ascii="宋体" w:hAnsi="宋体" w:eastAsia="宋体" w:cs="宋体"/>
          <w:bCs/>
          <w:color w:val="auto"/>
          <w:sz w:val="24"/>
          <w:szCs w:val="24"/>
          <w:highlight w:val="none"/>
        </w:rPr>
      </w:pPr>
      <w:bookmarkStart w:id="956" w:name="_Toc491307331"/>
      <w:bookmarkStart w:id="957" w:name="_Toc9860"/>
    </w:p>
    <w:p w14:paraId="2441EEFB">
      <w:pPr>
        <w:pStyle w:val="2"/>
        <w:widowControl/>
        <w:shd w:val="clear" w:color="auto" w:fill="auto"/>
        <w:spacing w:before="240" w:after="240"/>
        <w:rPr>
          <w:rFonts w:hint="eastAsia" w:ascii="宋体" w:hAnsi="宋体" w:eastAsia="宋体" w:cs="宋体"/>
          <w:color w:val="auto"/>
          <w:szCs w:val="21"/>
          <w:highlight w:val="none"/>
        </w:rPr>
      </w:pPr>
      <w:bookmarkStart w:id="958" w:name="_Toc29421"/>
      <w:r>
        <w:rPr>
          <w:rFonts w:hint="eastAsia" w:ascii="宋体" w:hAnsi="宋体" w:eastAsia="宋体" w:cs="宋体"/>
          <w:color w:val="auto"/>
          <w:sz w:val="36"/>
          <w:szCs w:val="36"/>
          <w:highlight w:val="none"/>
          <w:lang w:val="zh-CN"/>
        </w:rPr>
        <w:br w:type="page"/>
      </w:r>
      <w:r>
        <w:rPr>
          <w:rFonts w:hint="eastAsia" w:ascii="宋体" w:hAnsi="宋体" w:eastAsia="宋体" w:cs="宋体"/>
          <w:color w:val="auto"/>
          <w:sz w:val="36"/>
          <w:szCs w:val="36"/>
          <w:highlight w:val="none"/>
          <w:lang w:val="zh-CN"/>
        </w:rPr>
        <w:t>第五章  采购需求</w:t>
      </w:r>
      <w:bookmarkEnd w:id="956"/>
      <w:bookmarkEnd w:id="957"/>
      <w:bookmarkEnd w:id="958"/>
      <w:bookmarkStart w:id="959" w:name="_Toc421799430"/>
      <w:bookmarkStart w:id="960" w:name="_Toc421622894"/>
    </w:p>
    <w:p w14:paraId="084EA979">
      <w:pPr>
        <w:pStyle w:val="19"/>
        <w:keepNext w:val="0"/>
        <w:keepLines w:val="0"/>
        <w:shd w:val="clear" w:color="auto" w:fill="auto"/>
        <w:spacing w:line="360" w:lineRule="auto"/>
        <w:jc w:val="left"/>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项目概况</w:t>
      </w:r>
    </w:p>
    <w:p w14:paraId="5F7FD8A0">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丽江市古城区开南街道贵峰社区菊花种苗繁育中心建设项目</w:t>
      </w:r>
      <w:r>
        <w:rPr>
          <w:rFonts w:hint="eastAsia" w:ascii="宋体" w:hAnsi="宋体" w:eastAsia="宋体" w:cs="宋体"/>
          <w:color w:val="auto"/>
          <w:sz w:val="24"/>
          <w:szCs w:val="24"/>
          <w:highlight w:val="none"/>
          <w:lang w:val="en-US" w:eastAsia="zh-CN"/>
        </w:rPr>
        <w:t>，具体以工程量清单及图纸为准。</w:t>
      </w:r>
    </w:p>
    <w:p w14:paraId="4B3EDED0">
      <w:pPr>
        <w:shd w:val="clear" w:color="auto" w:fill="auto"/>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1.需实现的功能或者目标</w:t>
      </w:r>
      <w:r>
        <w:rPr>
          <w:rFonts w:hint="eastAsia" w:ascii="宋体" w:hAnsi="宋体" w:eastAsia="宋体" w:cs="宋体"/>
          <w:color w:val="auto"/>
          <w:sz w:val="24"/>
          <w:szCs w:val="24"/>
          <w:highlight w:val="none"/>
          <w:lang w:eastAsia="zh-CN"/>
        </w:rPr>
        <w:t>：</w:t>
      </w:r>
    </w:p>
    <w:p w14:paraId="36FE2F1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完成本项目经采购人审核通过的施工图、及工程量清单中所包括的全部工程施工任务。</w:t>
      </w:r>
    </w:p>
    <w:p w14:paraId="7FDB7001">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）建设内容及规模</w:t>
      </w:r>
      <w:r>
        <w:rPr>
          <w:rFonts w:hint="eastAsia" w:hAnsi="宋体" w:cs="宋体"/>
          <w:color w:val="auto"/>
          <w:sz w:val="24"/>
          <w:szCs w:val="24"/>
          <w:highlight w:val="none"/>
          <w:lang w:val="en-US" w:eastAsia="zh-CN"/>
        </w:rPr>
        <w:t>：</w:t>
      </w:r>
    </w:p>
    <w:p w14:paraId="72702795">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用于土地平整、国内育苗标准大棚搭建及必要的遮阳、喷灌等设施建设。新建3亩连体大棚2个。菊花种苗繁育中心建设项目计划落地贵峰社区大来下居民小组，项目占地约10亩，项目实施期一年。按“社区+公司+农户”的模式实施，以社区农村综合服务有限公司为主体，流转村小组土地，在街道办事处建成育苗大棚基地后，资产移交社区，由社区组织经营，确保取得良好收益。</w:t>
      </w:r>
    </w:p>
    <w:p w14:paraId="7FF92E6D">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）资金概算</w:t>
      </w:r>
      <w:r>
        <w:rPr>
          <w:rFonts w:hint="eastAsia" w:hAnsi="宋体" w:cs="宋体"/>
          <w:color w:val="auto"/>
          <w:sz w:val="24"/>
          <w:szCs w:val="24"/>
          <w:highlight w:val="none"/>
          <w:lang w:val="en-US" w:eastAsia="zh-CN"/>
        </w:rPr>
        <w:t>：</w:t>
      </w:r>
    </w:p>
    <w:p w14:paraId="67275A37">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项目总投资</w:t>
      </w:r>
      <w:r>
        <w:rPr>
          <w:rFonts w:hint="eastAsia" w:hAnsi="宋体" w:cs="宋体"/>
          <w:color w:val="auto"/>
          <w:sz w:val="24"/>
          <w:szCs w:val="24"/>
          <w:highlight w:val="none"/>
          <w:lang w:val="en-US" w:eastAsia="zh-CN"/>
        </w:rPr>
        <w:t>80</w:t>
      </w:r>
      <w:r>
        <w:rPr>
          <w:rFonts w:hint="eastAsia" w:ascii="宋体" w:hAnsi="宋体" w:eastAsia="宋体" w:cs="宋体"/>
          <w:color w:val="auto"/>
          <w:sz w:val="24"/>
          <w:szCs w:val="24"/>
          <w:highlight w:val="none"/>
          <w:lang w:val="en-US" w:eastAsia="zh-CN"/>
        </w:rPr>
        <w:t>万元。</w:t>
      </w:r>
    </w:p>
    <w:p w14:paraId="3C9E4DFA">
      <w:pPr>
        <w:shd w:val="clear" w:color="auto" w:fill="auto"/>
        <w:autoSpaceDE/>
        <w:autoSpaceDN/>
        <w:adjustRightInd/>
        <w:spacing w:line="360" w:lineRule="auto"/>
        <w:ind w:firstLine="482"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2.为落实政府采购政策需满足的要求</w:t>
      </w:r>
      <w:r>
        <w:rPr>
          <w:rFonts w:hint="eastAsia" w:ascii="宋体" w:hAnsi="宋体" w:eastAsia="宋体" w:cs="宋体"/>
          <w:color w:val="auto"/>
          <w:sz w:val="24"/>
          <w:szCs w:val="24"/>
          <w:highlight w:val="none"/>
          <w:lang w:eastAsia="zh-CN"/>
        </w:rPr>
        <w:t>：</w:t>
      </w:r>
    </w:p>
    <w:p w14:paraId="49FAA773">
      <w:pPr>
        <w:shd w:val="clear" w:color="auto" w:fill="auto"/>
        <w:autoSpaceDE/>
        <w:autoSpaceDN/>
        <w:adjustRightInd/>
        <w:spacing w:line="360" w:lineRule="auto"/>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）符合《中华人民共和国政府采购法》、《中华人民共和国政府采购法实施条例》、《政府采购非招标采购方式管理办法》、《政府采购竞争性磋商采购方式管理暂行办法》等有关法律、法规和规章的规定。</w:t>
      </w:r>
    </w:p>
    <w:p w14:paraId="4D3A1F2C">
      <w:pPr>
        <w:shd w:val="clear" w:color="auto" w:fill="auto"/>
        <w:autoSpaceDE/>
        <w:autoSpaceDN/>
        <w:adjustRightIn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）鼓励节能政策：在技术、服务等指标同等条件下，优先采购属于国家公布的节能清单中产品；鼓励环保政策：在性能、技术、服务等指标同等条件下，优先采购国家公布的环</w:t>
      </w:r>
      <w:r>
        <w:rPr>
          <w:rFonts w:hint="eastAsia" w:ascii="宋体" w:hAnsi="宋体" w:eastAsia="宋体" w:cs="宋体"/>
          <w:b w:val="0"/>
          <w:bCs w:val="0"/>
          <w:color w:val="auto"/>
          <w:sz w:val="24"/>
          <w:szCs w:val="24"/>
          <w:highlight w:val="none"/>
          <w:lang w:eastAsia="zh-CN"/>
        </w:rPr>
        <w:t>保产品清单中的产品；</w:t>
      </w:r>
    </w:p>
    <w:p w14:paraId="5B119A42">
      <w:pPr>
        <w:shd w:val="clear" w:color="auto" w:fill="auto"/>
        <w:autoSpaceDE/>
        <w:autoSpaceDN/>
        <w:adjustRightIn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eastAsia="zh-CN"/>
        </w:rPr>
        <w:t>）促进中小企业发展政策、监狱企业、残疾人福利性单位扶持政策：</w:t>
      </w:r>
      <w:r>
        <w:rPr>
          <w:rFonts w:hint="eastAsia" w:ascii="宋体" w:hAnsi="宋体" w:eastAsia="宋体" w:cs="宋体"/>
          <w:b/>
          <w:bCs/>
          <w:color w:val="auto"/>
          <w:sz w:val="24"/>
          <w:szCs w:val="24"/>
          <w:highlight w:val="none"/>
          <w:lang w:eastAsia="zh-CN"/>
        </w:rPr>
        <w:t>本项目</w:t>
      </w:r>
      <w:r>
        <w:rPr>
          <w:rFonts w:hint="eastAsia" w:ascii="宋体" w:hAnsi="宋体" w:eastAsia="宋体" w:cs="宋体"/>
          <w:b/>
          <w:bCs/>
          <w:color w:val="auto"/>
          <w:sz w:val="24"/>
          <w:szCs w:val="24"/>
          <w:highlight w:val="none"/>
          <w:lang w:val="en-US" w:eastAsia="zh-CN"/>
        </w:rPr>
        <w:t>专门</w:t>
      </w:r>
      <w:r>
        <w:rPr>
          <w:rFonts w:hint="eastAsia" w:ascii="宋体" w:hAnsi="宋体" w:eastAsia="宋体" w:cs="宋体"/>
          <w:b/>
          <w:bCs/>
          <w:color w:val="auto"/>
          <w:sz w:val="24"/>
          <w:szCs w:val="24"/>
          <w:highlight w:val="none"/>
          <w:lang w:eastAsia="zh-CN"/>
        </w:rPr>
        <w:t>面向中小微企业采购，</w:t>
      </w:r>
      <w:r>
        <w:rPr>
          <w:rFonts w:hint="eastAsia" w:ascii="宋体" w:hAnsi="宋体" w:eastAsia="宋体" w:cs="宋体"/>
          <w:b w:val="0"/>
          <w:bCs w:val="0"/>
          <w:color w:val="auto"/>
          <w:sz w:val="24"/>
          <w:szCs w:val="24"/>
          <w:highlight w:val="none"/>
          <w:lang w:eastAsia="zh-CN"/>
        </w:rPr>
        <w:t>监狱企业、残疾人福利性单位视同小型、微型企业。</w:t>
      </w:r>
    </w:p>
    <w:p w14:paraId="4DC9B73F">
      <w:pPr>
        <w:pStyle w:val="19"/>
        <w:keepNext w:val="0"/>
        <w:keepLines w:val="0"/>
        <w:shd w:val="clear" w:color="auto" w:fill="auto"/>
        <w:spacing w:line="360" w:lineRule="auto"/>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二、采购</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需执行的国家相关标准、行业标准、地方标准或者其他标准、规范</w:t>
      </w:r>
    </w:p>
    <w:p w14:paraId="72D119AB">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（一）本采购工程项目的材料、设备、施工须达到现行中华人民共和国以及省、自治区、直辖市或行业的工程建设标准、规范的要求；严格遵照设计施工图及国家或行业有关标准、规范执行。</w:t>
      </w:r>
    </w:p>
    <w:p w14:paraId="6EB95DB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（二）本采购工程项目的安全生产、文明施工、环境保护措施应符合中华人民共和国以及省、市、自治区、直辖市或行业以及当地政府的有关法律、法规的要求。</w:t>
      </w:r>
    </w:p>
    <w:p w14:paraId="502CDDF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（三）根据工程设计要求及所处地域当地政府的相关规定，适用时本采购工程项目的材料、设备、施工必须达到但不限于以下现行标准或规范及其最新版本的要求。</w:t>
      </w:r>
    </w:p>
    <w:p w14:paraId="3A1F0C3B">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本项目实施过程中执行国家、地方及行业现行相关的强制性标准和技术规范、规程。如有新规范、新标准，按新规范、新标准执行。</w:t>
      </w:r>
    </w:p>
    <w:p w14:paraId="1D35CE63">
      <w:pPr>
        <w:pStyle w:val="19"/>
        <w:keepNext w:val="0"/>
        <w:keepLines w:val="0"/>
        <w:shd w:val="clear" w:color="auto" w:fill="auto"/>
        <w:spacing w:line="360" w:lineRule="auto"/>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三、采购</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需满足的质量、安全、技术规格、物理特性等要求</w:t>
      </w:r>
    </w:p>
    <w:p w14:paraId="2E831F04">
      <w:pPr>
        <w:shd w:val="clear" w:color="auto" w:fill="auto"/>
        <w:spacing w:line="360" w:lineRule="auto"/>
        <w:ind w:firstLine="45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质量标准：符合《建筑工程施工质量验收统一标准》（GB 50300-2013）、《建筑与市政工程施工质量控制通用规范》（GB 55032-2022）及国家、地方、行业现行的相关质量验收标准及规范的要求，且一次性验收合格。</w:t>
      </w:r>
    </w:p>
    <w:p w14:paraId="20F62924">
      <w:pPr>
        <w:pStyle w:val="18"/>
        <w:pageBreakBefore w:val="0"/>
        <w:shd w:val="clear" w:color="auto" w:fill="auto"/>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注：在项目实施过程中如有相关规范及标准调整，按最新的规范及标准执行。</w:t>
      </w:r>
    </w:p>
    <w:p w14:paraId="0AD37034">
      <w:pPr>
        <w:pStyle w:val="19"/>
        <w:widowControl/>
        <w:shd w:val="clear" w:color="auto" w:fill="auto"/>
        <w:spacing w:line="360" w:lineRule="auto"/>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四、采购</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的数量、采购项目交付或者实施时间和地点</w:t>
      </w:r>
    </w:p>
    <w:tbl>
      <w:tblPr>
        <w:tblStyle w:val="14"/>
        <w:tblW w:w="53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4320"/>
        <w:gridCol w:w="885"/>
        <w:gridCol w:w="1095"/>
        <w:gridCol w:w="1455"/>
        <w:gridCol w:w="1375"/>
      </w:tblGrid>
      <w:tr w14:paraId="52BC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5" w:type="pct"/>
            <w:noWrap w:val="0"/>
            <w:vAlign w:val="center"/>
          </w:tcPr>
          <w:p w14:paraId="48982833">
            <w:pPr>
              <w:shd w:val="clear" w:color="auto" w:fill="auto"/>
              <w:spacing w:line="240" w:lineRule="auto"/>
              <w:jc w:val="center"/>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序号</w:t>
            </w:r>
          </w:p>
        </w:tc>
        <w:tc>
          <w:tcPr>
            <w:tcW w:w="2178" w:type="pct"/>
            <w:noWrap w:val="0"/>
            <w:vAlign w:val="center"/>
          </w:tcPr>
          <w:p w14:paraId="28ED21B9">
            <w:pPr>
              <w:shd w:val="clear" w:color="auto" w:fill="auto"/>
              <w:spacing w:line="240" w:lineRule="auto"/>
              <w:jc w:val="center"/>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lang w:val="en-US" w:eastAsia="zh-CN"/>
              </w:rPr>
              <w:t>项目</w:t>
            </w:r>
            <w:r>
              <w:rPr>
                <w:rFonts w:hint="eastAsia" w:ascii="宋体" w:hAnsi="宋体" w:eastAsia="宋体" w:cs="宋体"/>
                <w:snapToGrid/>
                <w:color w:val="auto"/>
                <w:kern w:val="2"/>
                <w:sz w:val="24"/>
                <w:szCs w:val="24"/>
                <w:highlight w:val="none"/>
              </w:rPr>
              <w:t>名称</w:t>
            </w:r>
          </w:p>
        </w:tc>
        <w:tc>
          <w:tcPr>
            <w:tcW w:w="446" w:type="pct"/>
            <w:noWrap w:val="0"/>
            <w:vAlign w:val="center"/>
          </w:tcPr>
          <w:p w14:paraId="18EA7CE8">
            <w:pPr>
              <w:shd w:val="clear" w:color="auto" w:fill="auto"/>
              <w:spacing w:line="240" w:lineRule="auto"/>
              <w:jc w:val="center"/>
              <w:rPr>
                <w:rFonts w:hint="eastAsia" w:ascii="宋体" w:hAnsi="宋体" w:eastAsia="宋体" w:cs="宋体"/>
                <w:snapToGrid/>
                <w:color w:val="auto"/>
                <w:kern w:val="2"/>
                <w:sz w:val="24"/>
                <w:szCs w:val="24"/>
                <w:highlight w:val="none"/>
              </w:rPr>
            </w:pPr>
            <w:r>
              <w:rPr>
                <w:rFonts w:hint="eastAsia" w:ascii="宋体" w:hAnsi="宋体" w:eastAsia="宋体" w:cs="宋体"/>
                <w:color w:val="auto"/>
                <w:kern w:val="2"/>
                <w:sz w:val="24"/>
                <w:szCs w:val="24"/>
                <w:highlight w:val="none"/>
              </w:rPr>
              <w:t>数量</w:t>
            </w:r>
          </w:p>
        </w:tc>
        <w:tc>
          <w:tcPr>
            <w:tcW w:w="552" w:type="pct"/>
            <w:noWrap w:val="0"/>
            <w:vAlign w:val="center"/>
          </w:tcPr>
          <w:p w14:paraId="3BFFAD61">
            <w:pPr>
              <w:shd w:val="clear" w:color="auto" w:fill="auto"/>
              <w:spacing w:line="240" w:lineRule="auto"/>
              <w:jc w:val="center"/>
              <w:rPr>
                <w:rFonts w:hint="eastAsia" w:ascii="宋体" w:hAnsi="宋体" w:eastAsia="宋体" w:cs="宋体"/>
                <w:snapToGrid/>
                <w:color w:val="auto"/>
                <w:kern w:val="2"/>
                <w:sz w:val="24"/>
                <w:szCs w:val="24"/>
                <w:highlight w:val="none"/>
              </w:rPr>
            </w:pPr>
            <w:r>
              <w:rPr>
                <w:rFonts w:hint="eastAsia" w:ascii="宋体" w:hAnsi="宋体" w:eastAsia="宋体" w:cs="宋体"/>
                <w:color w:val="auto"/>
                <w:kern w:val="2"/>
                <w:sz w:val="24"/>
                <w:szCs w:val="24"/>
                <w:highlight w:val="none"/>
              </w:rPr>
              <w:t>计量单位</w:t>
            </w:r>
          </w:p>
        </w:tc>
        <w:tc>
          <w:tcPr>
            <w:tcW w:w="733" w:type="pct"/>
            <w:noWrap w:val="0"/>
            <w:vAlign w:val="center"/>
          </w:tcPr>
          <w:p w14:paraId="36304E06">
            <w:pPr>
              <w:shd w:val="clear" w:color="auto" w:fill="auto"/>
              <w:spacing w:line="240" w:lineRule="auto"/>
              <w:jc w:val="center"/>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预算金额</w:t>
            </w:r>
          </w:p>
          <w:p w14:paraId="22361AEA">
            <w:pPr>
              <w:shd w:val="clear" w:color="auto" w:fill="auto"/>
              <w:spacing w:line="240" w:lineRule="auto"/>
              <w:jc w:val="center"/>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（元）</w:t>
            </w:r>
          </w:p>
        </w:tc>
        <w:tc>
          <w:tcPr>
            <w:tcW w:w="693" w:type="pct"/>
            <w:noWrap w:val="0"/>
            <w:vAlign w:val="center"/>
          </w:tcPr>
          <w:p w14:paraId="382EBE6A">
            <w:pPr>
              <w:shd w:val="clear" w:color="auto" w:fill="auto"/>
              <w:spacing w:line="240" w:lineRule="auto"/>
              <w:jc w:val="center"/>
              <w:rPr>
                <w:rFonts w:hint="eastAsia" w:hAnsi="宋体" w:cs="宋体"/>
                <w:snapToGrid/>
                <w:color w:val="auto"/>
                <w:kern w:val="2"/>
                <w:sz w:val="24"/>
                <w:szCs w:val="24"/>
                <w:highlight w:val="none"/>
                <w:lang w:val="en-US" w:eastAsia="zh-CN"/>
              </w:rPr>
            </w:pPr>
            <w:r>
              <w:rPr>
                <w:rFonts w:hint="eastAsia" w:hAnsi="宋体" w:cs="宋体"/>
                <w:snapToGrid/>
                <w:color w:val="auto"/>
                <w:kern w:val="2"/>
                <w:sz w:val="24"/>
                <w:szCs w:val="24"/>
                <w:highlight w:val="none"/>
                <w:lang w:val="en-US" w:eastAsia="zh-CN"/>
              </w:rPr>
              <w:t>最高限价</w:t>
            </w:r>
          </w:p>
          <w:p w14:paraId="360034E5">
            <w:pPr>
              <w:shd w:val="clear" w:color="auto" w:fill="auto"/>
              <w:spacing w:line="240" w:lineRule="auto"/>
              <w:jc w:val="center"/>
              <w:rPr>
                <w:rFonts w:hint="default" w:ascii="宋体" w:hAnsi="宋体" w:eastAsia="宋体" w:cs="宋体"/>
                <w:snapToGrid/>
                <w:color w:val="auto"/>
                <w:kern w:val="2"/>
                <w:sz w:val="24"/>
                <w:szCs w:val="24"/>
                <w:highlight w:val="none"/>
                <w:lang w:val="en-US" w:eastAsia="zh-CN"/>
              </w:rPr>
            </w:pPr>
            <w:r>
              <w:rPr>
                <w:rFonts w:hint="eastAsia" w:hAnsi="宋体" w:cs="宋体"/>
                <w:snapToGrid/>
                <w:color w:val="auto"/>
                <w:kern w:val="2"/>
                <w:sz w:val="24"/>
                <w:szCs w:val="24"/>
                <w:highlight w:val="none"/>
                <w:lang w:val="en-US" w:eastAsia="zh-CN"/>
              </w:rPr>
              <w:t>（元）</w:t>
            </w:r>
          </w:p>
        </w:tc>
      </w:tr>
      <w:tr w14:paraId="76D6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95" w:type="pct"/>
            <w:noWrap w:val="0"/>
            <w:vAlign w:val="center"/>
          </w:tcPr>
          <w:p w14:paraId="6DE4B20B">
            <w:pPr>
              <w:shd w:val="clear" w:color="auto" w:fill="auto"/>
              <w:spacing w:line="360" w:lineRule="auto"/>
              <w:jc w:val="center"/>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w:t>
            </w:r>
          </w:p>
        </w:tc>
        <w:tc>
          <w:tcPr>
            <w:tcW w:w="2178" w:type="pct"/>
            <w:noWrap w:val="0"/>
            <w:vAlign w:val="center"/>
          </w:tcPr>
          <w:p w14:paraId="300B4A23">
            <w:pPr>
              <w:shd w:val="clear" w:color="auto" w:fill="auto"/>
              <w:spacing w:line="360" w:lineRule="auto"/>
              <w:jc w:val="center"/>
              <w:rPr>
                <w:rFonts w:hint="eastAsia" w:ascii="宋体" w:hAnsi="宋体" w:eastAsia="宋体" w:cs="宋体"/>
                <w:color w:val="auto"/>
                <w:sz w:val="24"/>
                <w:szCs w:val="24"/>
                <w:highlight w:val="none"/>
                <w:u w:val="single"/>
                <w:lang w:eastAsia="zh-CN"/>
              </w:rPr>
            </w:pPr>
            <w:r>
              <w:rPr>
                <w:rFonts w:hint="eastAsia" w:hAnsi="宋体" w:cs="宋体"/>
                <w:color w:val="auto"/>
                <w:sz w:val="24"/>
                <w:szCs w:val="24"/>
                <w:highlight w:val="none"/>
                <w:u w:val="none"/>
                <w:lang w:eastAsia="zh-CN"/>
              </w:rPr>
              <w:t>丽江市古城区开南街道贵峰社区菊花种苗繁育中心建设项目</w:t>
            </w:r>
          </w:p>
        </w:tc>
        <w:tc>
          <w:tcPr>
            <w:tcW w:w="446" w:type="pct"/>
            <w:noWrap w:val="0"/>
            <w:vAlign w:val="center"/>
          </w:tcPr>
          <w:p w14:paraId="4D2E7587">
            <w:pPr>
              <w:shd w:val="clear" w:color="auto" w:fill="auto"/>
              <w:spacing w:line="360" w:lineRule="auto"/>
              <w:jc w:val="center"/>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w:t>
            </w:r>
          </w:p>
        </w:tc>
        <w:tc>
          <w:tcPr>
            <w:tcW w:w="552" w:type="pct"/>
            <w:noWrap w:val="0"/>
            <w:vAlign w:val="center"/>
          </w:tcPr>
          <w:p w14:paraId="6AAB7C12">
            <w:pPr>
              <w:shd w:val="clear" w:color="auto" w:fill="auto"/>
              <w:spacing w:line="360" w:lineRule="auto"/>
              <w:jc w:val="center"/>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项</w:t>
            </w:r>
          </w:p>
        </w:tc>
        <w:tc>
          <w:tcPr>
            <w:tcW w:w="733" w:type="pct"/>
            <w:noWrap w:val="0"/>
            <w:vAlign w:val="center"/>
          </w:tcPr>
          <w:p w14:paraId="184CC2ED">
            <w:pPr>
              <w:shd w:val="clear" w:color="auto" w:fill="auto"/>
              <w:spacing w:line="360" w:lineRule="auto"/>
              <w:jc w:val="center"/>
              <w:rPr>
                <w:rFonts w:hint="default" w:ascii="宋体" w:hAnsi="宋体" w:eastAsia="宋体" w:cs="宋体"/>
                <w:snapToGrid/>
                <w:color w:val="auto"/>
                <w:kern w:val="2"/>
                <w:sz w:val="24"/>
                <w:szCs w:val="24"/>
                <w:highlight w:val="none"/>
                <w:lang w:val="en-US"/>
              </w:rPr>
            </w:pPr>
            <w:r>
              <w:rPr>
                <w:rFonts w:hint="eastAsia" w:hAnsi="宋体" w:cs="宋体"/>
                <w:color w:val="auto"/>
                <w:sz w:val="24"/>
                <w:szCs w:val="24"/>
                <w:highlight w:val="none"/>
                <w:lang w:val="en-US" w:eastAsia="zh-CN"/>
              </w:rPr>
              <w:t>800000.00</w:t>
            </w:r>
          </w:p>
        </w:tc>
        <w:tc>
          <w:tcPr>
            <w:tcW w:w="693" w:type="pct"/>
            <w:noWrap w:val="0"/>
            <w:vAlign w:val="center"/>
          </w:tcPr>
          <w:p w14:paraId="5A24AF5B">
            <w:pPr>
              <w:shd w:val="clear" w:color="auto" w:fill="auto"/>
              <w:spacing w:line="360" w:lineRule="auto"/>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799794.25</w:t>
            </w:r>
          </w:p>
        </w:tc>
      </w:tr>
    </w:tbl>
    <w:p w14:paraId="31D953A5">
      <w:pPr>
        <w:shd w:val="clear" w:color="auto" w:fill="auto"/>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项目实施地点：开南街道贵峰社区大来下居民小组</w:t>
      </w:r>
    </w:p>
    <w:p w14:paraId="4010CC7A">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合同履行期限：</w:t>
      </w:r>
      <w:r>
        <w:rPr>
          <w:rFonts w:hint="eastAsia" w:hAnsi="宋体" w:cs="宋体"/>
          <w:color w:val="auto"/>
          <w:sz w:val="24"/>
          <w:szCs w:val="24"/>
          <w:highlight w:val="none"/>
          <w:lang w:eastAsia="zh-CN"/>
        </w:rPr>
        <w:t>自合同签订生效之日起60日历天完成</w:t>
      </w:r>
      <w:r>
        <w:rPr>
          <w:rFonts w:hint="eastAsia" w:ascii="宋体" w:hAnsi="宋体" w:eastAsia="宋体" w:cs="宋体"/>
          <w:color w:val="auto"/>
          <w:sz w:val="24"/>
          <w:szCs w:val="24"/>
          <w:highlight w:val="none"/>
          <w:lang w:eastAsia="zh-CN"/>
        </w:rPr>
        <w:t>。</w:t>
      </w:r>
    </w:p>
    <w:p w14:paraId="5B6DFD3F">
      <w:pPr>
        <w:shd w:val="clear" w:color="auto" w:fill="auto"/>
        <w:spacing w:line="360" w:lineRule="auto"/>
        <w:rPr>
          <w:rFonts w:hint="eastAsia" w:ascii="宋体" w:hAnsi="宋体" w:eastAsia="宋体" w:cs="宋体"/>
          <w:b/>
          <w:bCs/>
          <w:color w:val="auto"/>
          <w:sz w:val="24"/>
          <w:szCs w:val="24"/>
          <w:highlight w:val="none"/>
        </w:rPr>
      </w:pPr>
      <w:bookmarkStart w:id="961" w:name="_Toc6673"/>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、招标工程量清单</w:t>
      </w:r>
      <w:bookmarkEnd w:id="961"/>
    </w:p>
    <w:p w14:paraId="0E0A27C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另附，供应商在“政采云”平台（https://www.zcygov.cn）获取。</w:t>
      </w:r>
    </w:p>
    <w:p w14:paraId="7CBFE534">
      <w:pPr>
        <w:shd w:val="clear" w:color="auto" w:fill="auto"/>
        <w:spacing w:line="360" w:lineRule="auto"/>
        <w:ind w:firstLine="480" w:firstLineChars="200"/>
        <w:jc w:val="left"/>
        <w:rPr>
          <w:rFonts w:hint="eastAsia" w:ascii="宋体" w:hAnsi="宋体" w:eastAsia="宋体" w:cs="宋体"/>
          <w:color w:val="auto"/>
          <w:sz w:val="24"/>
          <w:szCs w:val="24"/>
          <w:highlight w:val="none"/>
          <w:lang w:eastAsia="zh-CN"/>
        </w:rPr>
      </w:pPr>
    </w:p>
    <w:p w14:paraId="110143EB">
      <w:pPr>
        <w:pStyle w:val="2"/>
        <w:widowControl/>
        <w:shd w:val="clear" w:color="auto" w:fill="auto"/>
        <w:spacing w:before="240" w:after="240"/>
        <w:rPr>
          <w:rFonts w:hint="eastAsia" w:ascii="宋体" w:hAnsi="宋体" w:eastAsia="宋体" w:cs="宋体"/>
          <w:color w:val="auto"/>
          <w:sz w:val="36"/>
          <w:szCs w:val="36"/>
          <w:highlight w:val="none"/>
          <w:lang w:val="zh-CN"/>
        </w:rPr>
      </w:pPr>
      <w:bookmarkStart w:id="962" w:name="_Toc14505"/>
      <w:bookmarkStart w:id="963" w:name="_Toc25533"/>
      <w:r>
        <w:rPr>
          <w:rFonts w:hint="eastAsia" w:ascii="宋体" w:hAnsi="宋体" w:eastAsia="宋体" w:cs="宋体"/>
          <w:color w:val="auto"/>
          <w:sz w:val="36"/>
          <w:szCs w:val="36"/>
          <w:highlight w:val="none"/>
          <w:lang w:val="zh-CN"/>
        </w:rPr>
        <w:br w:type="page"/>
      </w:r>
      <w:r>
        <w:rPr>
          <w:rFonts w:hint="eastAsia" w:ascii="宋体" w:hAnsi="宋体" w:eastAsia="宋体" w:cs="宋体"/>
          <w:color w:val="auto"/>
          <w:sz w:val="36"/>
          <w:szCs w:val="36"/>
          <w:highlight w:val="none"/>
          <w:lang w:val="zh-CN"/>
        </w:rPr>
        <w:t xml:space="preserve">第六章  </w:t>
      </w:r>
      <w:bookmarkEnd w:id="959"/>
      <w:bookmarkEnd w:id="960"/>
      <w:r>
        <w:rPr>
          <w:rFonts w:hint="eastAsia" w:ascii="宋体" w:hAnsi="宋体" w:eastAsia="宋体" w:cs="宋体"/>
          <w:color w:val="auto"/>
          <w:sz w:val="36"/>
          <w:szCs w:val="36"/>
          <w:highlight w:val="none"/>
          <w:lang w:val="zh-CN"/>
        </w:rPr>
        <w:t>评审方法</w:t>
      </w:r>
      <w:bookmarkEnd w:id="962"/>
      <w:bookmarkEnd w:id="963"/>
      <w:bookmarkStart w:id="964" w:name="_Toc196764552"/>
    </w:p>
    <w:bookmarkEnd w:id="964"/>
    <w:p w14:paraId="154F0EE9">
      <w:pPr>
        <w:pStyle w:val="3"/>
        <w:shd w:val="clear" w:color="auto" w:fill="auto"/>
        <w:spacing w:before="0" w:after="120" w:line="360" w:lineRule="auto"/>
        <w:jc w:val="center"/>
        <w:rPr>
          <w:rFonts w:hint="eastAsia" w:ascii="宋体" w:hAnsi="宋体" w:eastAsia="宋体" w:cs="宋体"/>
          <w:b/>
          <w:color w:val="auto"/>
          <w:sz w:val="28"/>
          <w:szCs w:val="28"/>
          <w:highlight w:val="none"/>
          <w:lang w:val="en-US"/>
        </w:rPr>
      </w:pPr>
      <w:bookmarkStart w:id="965" w:name="_Toc29327"/>
      <w:bookmarkStart w:id="966" w:name="_Toc482343782"/>
      <w:bookmarkStart w:id="967" w:name="_Toc12412"/>
      <w:r>
        <w:rPr>
          <w:rFonts w:hint="eastAsia" w:ascii="宋体" w:hAnsi="宋体" w:eastAsia="宋体" w:cs="宋体"/>
          <w:b/>
          <w:color w:val="auto"/>
          <w:sz w:val="28"/>
          <w:szCs w:val="28"/>
          <w:highlight w:val="none"/>
          <w:lang w:val="en-US"/>
        </w:rPr>
        <w:t>评审方法前附表</w:t>
      </w:r>
      <w:bookmarkEnd w:id="965"/>
      <w:bookmarkEnd w:id="966"/>
      <w:bookmarkEnd w:id="967"/>
    </w:p>
    <w:tbl>
      <w:tblPr>
        <w:tblStyle w:val="14"/>
        <w:tblW w:w="10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182"/>
        <w:gridCol w:w="1900"/>
        <w:gridCol w:w="6034"/>
      </w:tblGrid>
      <w:tr w14:paraId="55A5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17" w:type="dxa"/>
            <w:gridSpan w:val="2"/>
            <w:noWrap w:val="0"/>
            <w:vAlign w:val="center"/>
          </w:tcPr>
          <w:p w14:paraId="02B677A9">
            <w:pPr>
              <w:shd w:val="clear" w:color="auto" w:fill="auto"/>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900" w:type="dxa"/>
            <w:noWrap w:val="0"/>
            <w:vAlign w:val="center"/>
          </w:tcPr>
          <w:p w14:paraId="55999BDC">
            <w:pPr>
              <w:shd w:val="clear" w:color="auto" w:fill="auto"/>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6034" w:type="dxa"/>
            <w:noWrap w:val="0"/>
            <w:vAlign w:val="center"/>
          </w:tcPr>
          <w:p w14:paraId="5B96DD41">
            <w:pPr>
              <w:shd w:val="clear" w:color="auto" w:fill="auto"/>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1BA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restart"/>
            <w:noWrap w:val="0"/>
            <w:vAlign w:val="center"/>
          </w:tcPr>
          <w:p w14:paraId="5BF1BFC4">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182" w:type="dxa"/>
            <w:vMerge w:val="restart"/>
            <w:noWrap w:val="0"/>
            <w:vAlign w:val="center"/>
          </w:tcPr>
          <w:p w14:paraId="100138E1">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p>
          <w:p w14:paraId="51EE81FA">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1900" w:type="dxa"/>
            <w:noWrap w:val="0"/>
            <w:vAlign w:val="center"/>
          </w:tcPr>
          <w:p w14:paraId="129A8CD9">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6034" w:type="dxa"/>
            <w:noWrap w:val="0"/>
            <w:vAlign w:val="center"/>
          </w:tcPr>
          <w:p w14:paraId="72137ADF">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w:t>
            </w:r>
            <w:r>
              <w:rPr>
                <w:rFonts w:hint="eastAsia" w:ascii="宋体" w:hAnsi="宋体" w:eastAsia="宋体" w:cs="宋体"/>
                <w:color w:val="auto"/>
                <w:sz w:val="24"/>
                <w:szCs w:val="24"/>
                <w:highlight w:val="none"/>
                <w:lang w:val="en-US" w:eastAsia="zh-CN"/>
              </w:rPr>
              <w:t>4.1供应商资格要求</w:t>
            </w:r>
            <w:r>
              <w:rPr>
                <w:rFonts w:hint="eastAsia" w:ascii="宋体" w:hAnsi="宋体" w:eastAsia="宋体" w:cs="宋体"/>
                <w:color w:val="auto"/>
                <w:sz w:val="24"/>
                <w:szCs w:val="24"/>
                <w:highlight w:val="none"/>
              </w:rPr>
              <w:t>”</w:t>
            </w:r>
          </w:p>
        </w:tc>
      </w:tr>
      <w:tr w14:paraId="78AC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001983CD">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7515F5CF">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65387B95">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6034" w:type="dxa"/>
            <w:noWrap w:val="0"/>
            <w:vAlign w:val="center"/>
          </w:tcPr>
          <w:p w14:paraId="42E48C95">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符合供应商须知前附表中“4.1供应商资格要求”</w:t>
            </w:r>
          </w:p>
        </w:tc>
      </w:tr>
      <w:tr w14:paraId="0B2E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3D1A5483">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01672F5D">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4E589CC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6034" w:type="dxa"/>
            <w:noWrap w:val="0"/>
            <w:vAlign w:val="center"/>
          </w:tcPr>
          <w:p w14:paraId="7CBB218B">
            <w:pPr>
              <w:shd w:val="clear" w:color="auto" w:fill="auto"/>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w:t>
            </w:r>
            <w:r>
              <w:rPr>
                <w:rFonts w:hint="eastAsia" w:ascii="宋体" w:hAnsi="宋体" w:eastAsia="宋体" w:cs="宋体"/>
                <w:color w:val="auto"/>
                <w:sz w:val="24"/>
                <w:szCs w:val="24"/>
                <w:highlight w:val="none"/>
                <w:lang w:val="en-US" w:eastAsia="zh-CN"/>
              </w:rPr>
              <w:t>4.1供应商资格要求</w:t>
            </w:r>
            <w:r>
              <w:rPr>
                <w:rFonts w:hint="eastAsia" w:ascii="宋体" w:hAnsi="宋体" w:eastAsia="宋体" w:cs="宋体"/>
                <w:color w:val="auto"/>
                <w:sz w:val="24"/>
                <w:szCs w:val="24"/>
                <w:highlight w:val="none"/>
              </w:rPr>
              <w:t>”</w:t>
            </w:r>
          </w:p>
        </w:tc>
      </w:tr>
      <w:tr w14:paraId="5488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111171A7">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239DB9F9">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29DA832B">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6034" w:type="dxa"/>
            <w:noWrap w:val="0"/>
            <w:vAlign w:val="center"/>
          </w:tcPr>
          <w:p w14:paraId="4A995B97">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w:t>
            </w:r>
            <w:r>
              <w:rPr>
                <w:rFonts w:hint="eastAsia" w:ascii="宋体" w:hAnsi="宋体" w:eastAsia="宋体" w:cs="宋体"/>
                <w:color w:val="auto"/>
                <w:sz w:val="24"/>
                <w:szCs w:val="24"/>
                <w:highlight w:val="none"/>
                <w:lang w:val="en-US" w:eastAsia="zh-CN"/>
              </w:rPr>
              <w:t>4.1供应商资格要求</w:t>
            </w:r>
            <w:r>
              <w:rPr>
                <w:rFonts w:hint="eastAsia" w:ascii="宋体" w:hAnsi="宋体" w:eastAsia="宋体" w:cs="宋体"/>
                <w:color w:val="auto"/>
                <w:sz w:val="24"/>
                <w:szCs w:val="24"/>
                <w:highlight w:val="none"/>
              </w:rPr>
              <w:t>”</w:t>
            </w:r>
          </w:p>
        </w:tc>
      </w:tr>
      <w:tr w14:paraId="389F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54EAF959">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039E82AF">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12CF412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6034" w:type="dxa"/>
            <w:noWrap w:val="0"/>
            <w:vAlign w:val="center"/>
          </w:tcPr>
          <w:p w14:paraId="60AA1774">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w:t>
            </w:r>
            <w:r>
              <w:rPr>
                <w:rFonts w:hint="eastAsia" w:ascii="宋体" w:hAnsi="宋体" w:eastAsia="宋体" w:cs="宋体"/>
                <w:color w:val="auto"/>
                <w:sz w:val="24"/>
                <w:szCs w:val="24"/>
                <w:highlight w:val="none"/>
                <w:lang w:val="en-US" w:eastAsia="zh-CN"/>
              </w:rPr>
              <w:t>4.1供应商资格要求</w:t>
            </w:r>
            <w:r>
              <w:rPr>
                <w:rFonts w:hint="eastAsia" w:ascii="宋体" w:hAnsi="宋体" w:eastAsia="宋体" w:cs="宋体"/>
                <w:color w:val="auto"/>
                <w:sz w:val="24"/>
                <w:szCs w:val="24"/>
                <w:highlight w:val="none"/>
              </w:rPr>
              <w:t>”</w:t>
            </w:r>
          </w:p>
        </w:tc>
      </w:tr>
      <w:tr w14:paraId="5A87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13F1B319">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04EBEF9E">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47761295">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法律、行政法规规定的其他条件</w:t>
            </w:r>
          </w:p>
        </w:tc>
        <w:tc>
          <w:tcPr>
            <w:tcW w:w="6034" w:type="dxa"/>
            <w:noWrap w:val="0"/>
            <w:vAlign w:val="center"/>
          </w:tcPr>
          <w:p w14:paraId="31C36F07">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w:t>
            </w:r>
            <w:r>
              <w:rPr>
                <w:rFonts w:hint="eastAsia" w:ascii="宋体" w:hAnsi="宋体" w:eastAsia="宋体" w:cs="宋体"/>
                <w:color w:val="auto"/>
                <w:sz w:val="24"/>
                <w:szCs w:val="24"/>
                <w:highlight w:val="none"/>
                <w:lang w:val="en-US" w:eastAsia="zh-CN"/>
              </w:rPr>
              <w:t>4.1供应商资格要求</w:t>
            </w:r>
            <w:r>
              <w:rPr>
                <w:rFonts w:hint="eastAsia" w:ascii="宋体" w:hAnsi="宋体" w:eastAsia="宋体" w:cs="宋体"/>
                <w:color w:val="auto"/>
                <w:sz w:val="24"/>
                <w:szCs w:val="24"/>
                <w:highlight w:val="none"/>
              </w:rPr>
              <w:t>”</w:t>
            </w:r>
          </w:p>
        </w:tc>
      </w:tr>
      <w:tr w14:paraId="7784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2AFFF7CF">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4329CAE2">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2FBAEDA1">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本项目的特定资格要求</w:t>
            </w:r>
          </w:p>
        </w:tc>
        <w:tc>
          <w:tcPr>
            <w:tcW w:w="6034" w:type="dxa"/>
            <w:noWrap w:val="0"/>
            <w:vAlign w:val="center"/>
          </w:tcPr>
          <w:p w14:paraId="1F660E2C">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w:t>
            </w:r>
            <w:r>
              <w:rPr>
                <w:rFonts w:hint="eastAsia" w:ascii="宋体" w:hAnsi="宋体" w:eastAsia="宋体" w:cs="宋体"/>
                <w:color w:val="auto"/>
                <w:sz w:val="24"/>
                <w:szCs w:val="24"/>
                <w:highlight w:val="none"/>
                <w:lang w:val="en-US" w:eastAsia="zh-CN"/>
              </w:rPr>
              <w:t>4.1供应商资格要求</w:t>
            </w:r>
            <w:r>
              <w:rPr>
                <w:rFonts w:hint="eastAsia" w:ascii="宋体" w:hAnsi="宋体" w:eastAsia="宋体" w:cs="宋体"/>
                <w:color w:val="auto"/>
                <w:sz w:val="24"/>
                <w:szCs w:val="24"/>
                <w:highlight w:val="none"/>
              </w:rPr>
              <w:t>”</w:t>
            </w:r>
          </w:p>
        </w:tc>
      </w:tr>
      <w:tr w14:paraId="05EA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33E29B00">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37B4E445">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7464C68A">
            <w:pPr>
              <w:shd w:val="clear" w:color="auto" w:fill="auto"/>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落实政府采购政策需满足的资格要求</w:t>
            </w:r>
          </w:p>
        </w:tc>
        <w:tc>
          <w:tcPr>
            <w:tcW w:w="6034" w:type="dxa"/>
            <w:noWrap w:val="0"/>
            <w:vAlign w:val="center"/>
          </w:tcPr>
          <w:p w14:paraId="6DAB730D">
            <w:pPr>
              <w:shd w:val="clear" w:color="auto" w:fill="auto"/>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本项目属于专门面向中小</w:t>
            </w:r>
            <w:r>
              <w:rPr>
                <w:rFonts w:hint="eastAsia" w:ascii="宋体" w:hAnsi="宋体" w:eastAsia="宋体" w:cs="宋体"/>
                <w:color w:val="auto"/>
                <w:sz w:val="24"/>
                <w:szCs w:val="24"/>
                <w:highlight w:val="none"/>
                <w:lang w:val="en-US" w:eastAsia="zh-CN"/>
              </w:rPr>
              <w:t>微</w:t>
            </w:r>
            <w:r>
              <w:rPr>
                <w:rFonts w:hint="eastAsia" w:ascii="宋体" w:hAnsi="宋体" w:eastAsia="宋体" w:cs="宋体"/>
                <w:color w:val="auto"/>
                <w:sz w:val="24"/>
                <w:szCs w:val="24"/>
                <w:highlight w:val="none"/>
                <w:lang w:eastAsia="zh-CN"/>
              </w:rPr>
              <w:t>企业采购的项目，供应商应为中小</w:t>
            </w:r>
            <w:r>
              <w:rPr>
                <w:rFonts w:hint="eastAsia" w:ascii="宋体" w:hAnsi="宋体" w:eastAsia="宋体" w:cs="宋体"/>
                <w:color w:val="auto"/>
                <w:sz w:val="24"/>
                <w:szCs w:val="24"/>
                <w:highlight w:val="none"/>
                <w:lang w:val="en-US" w:eastAsia="zh-CN"/>
              </w:rPr>
              <w:t>微</w:t>
            </w:r>
            <w:r>
              <w:rPr>
                <w:rFonts w:hint="eastAsia" w:ascii="宋体" w:hAnsi="宋体" w:eastAsia="宋体" w:cs="宋体"/>
                <w:color w:val="auto"/>
                <w:sz w:val="24"/>
                <w:szCs w:val="24"/>
                <w:highlight w:val="none"/>
                <w:lang w:eastAsia="zh-CN"/>
              </w:rPr>
              <w:t>企业</w:t>
            </w:r>
            <w:r>
              <w:rPr>
                <w:rFonts w:hint="eastAsia" w:ascii="宋体" w:hAnsi="宋体" w:eastAsia="宋体" w:cs="宋体"/>
                <w:color w:val="auto"/>
                <w:sz w:val="24"/>
                <w:szCs w:val="24"/>
                <w:highlight w:val="none"/>
                <w:lang w:val="en-US" w:eastAsia="zh-CN"/>
              </w:rPr>
              <w:t>,请根据要求单独上传《中小企业声明函》。格式以竞争性磋商文件要求为准。</w:t>
            </w:r>
          </w:p>
        </w:tc>
      </w:tr>
      <w:tr w14:paraId="1F37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restart"/>
            <w:noWrap w:val="0"/>
            <w:vAlign w:val="center"/>
          </w:tcPr>
          <w:p w14:paraId="40D35D36">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182" w:type="dxa"/>
            <w:vMerge w:val="restart"/>
            <w:noWrap w:val="0"/>
            <w:vAlign w:val="center"/>
          </w:tcPr>
          <w:p w14:paraId="3D0827B1">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符合性审查标准</w:t>
            </w:r>
          </w:p>
        </w:tc>
        <w:tc>
          <w:tcPr>
            <w:tcW w:w="1900" w:type="dxa"/>
            <w:noWrap w:val="0"/>
            <w:vAlign w:val="center"/>
          </w:tcPr>
          <w:p w14:paraId="23B49C42">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供应商的名称</w:t>
            </w:r>
          </w:p>
        </w:tc>
        <w:tc>
          <w:tcPr>
            <w:tcW w:w="6034" w:type="dxa"/>
            <w:noWrap w:val="0"/>
            <w:vAlign w:val="center"/>
          </w:tcPr>
          <w:p w14:paraId="404B3F3F">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供应商的名称与营业执照或事业单位法人证书或其他法定凭证、企业资质证书一致</w:t>
            </w:r>
          </w:p>
        </w:tc>
      </w:tr>
      <w:tr w14:paraId="0E54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643536D4">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178EE9B7">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788DFC6A">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法定代表人身份证明书及法定代表人授权委托书</w:t>
            </w:r>
          </w:p>
        </w:tc>
        <w:tc>
          <w:tcPr>
            <w:tcW w:w="6034" w:type="dxa"/>
            <w:noWrap w:val="0"/>
            <w:vAlign w:val="center"/>
          </w:tcPr>
          <w:p w14:paraId="6681AECC">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符合第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文件格式”的格式及内容要求</w:t>
            </w:r>
          </w:p>
        </w:tc>
      </w:tr>
      <w:tr w14:paraId="27A9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5739BF44">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265B433D">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63E802A2">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文件的签署</w:t>
            </w:r>
          </w:p>
        </w:tc>
        <w:tc>
          <w:tcPr>
            <w:tcW w:w="6034" w:type="dxa"/>
            <w:noWrap w:val="0"/>
            <w:vAlign w:val="center"/>
          </w:tcPr>
          <w:p w14:paraId="5AF28B80">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符合第二章“供应商须知前附表”第</w:t>
            </w:r>
            <w:r>
              <w:rPr>
                <w:rFonts w:hint="eastAsia" w:ascii="宋体" w:hAnsi="宋体" w:eastAsia="宋体" w:cs="宋体"/>
                <w:color w:val="auto"/>
                <w:sz w:val="24"/>
                <w:szCs w:val="24"/>
                <w:highlight w:val="none"/>
                <w:lang w:val="en-US" w:eastAsia="zh-CN"/>
              </w:rPr>
              <w:t>19.2</w:t>
            </w:r>
            <w:r>
              <w:rPr>
                <w:rFonts w:hint="eastAsia" w:ascii="宋体" w:hAnsi="宋体" w:eastAsia="宋体" w:cs="宋体"/>
                <w:color w:val="auto"/>
                <w:sz w:val="24"/>
                <w:szCs w:val="24"/>
                <w:highlight w:val="none"/>
              </w:rPr>
              <w:t>项要求</w:t>
            </w:r>
          </w:p>
        </w:tc>
      </w:tr>
      <w:tr w14:paraId="5C43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1A40692C">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749D5DF9">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19EC5CEA">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tc>
        <w:tc>
          <w:tcPr>
            <w:tcW w:w="6034" w:type="dxa"/>
            <w:noWrap w:val="0"/>
            <w:vAlign w:val="center"/>
          </w:tcPr>
          <w:p w14:paraId="7F4F3405">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符合第二章“供应商须知</w:t>
            </w:r>
            <w:r>
              <w:rPr>
                <w:rFonts w:hint="eastAsia" w:ascii="宋体" w:hAnsi="宋体" w:eastAsia="宋体" w:cs="宋体"/>
                <w:color w:val="auto"/>
                <w:sz w:val="24"/>
                <w:szCs w:val="24"/>
                <w:highlight w:val="none"/>
              </w:rPr>
              <w:t>前附表</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20.2</w:t>
            </w:r>
            <w:r>
              <w:rPr>
                <w:rFonts w:hint="eastAsia" w:ascii="宋体" w:hAnsi="宋体" w:eastAsia="宋体" w:cs="宋体"/>
                <w:color w:val="auto"/>
                <w:sz w:val="24"/>
                <w:szCs w:val="24"/>
                <w:highlight w:val="none"/>
              </w:rPr>
              <w:t>项要求</w:t>
            </w:r>
          </w:p>
        </w:tc>
      </w:tr>
      <w:tr w14:paraId="4269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520D4549">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7A79D453">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5A3A6BDC">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报价唯一</w:t>
            </w:r>
          </w:p>
        </w:tc>
        <w:tc>
          <w:tcPr>
            <w:tcW w:w="6034" w:type="dxa"/>
            <w:noWrap w:val="0"/>
            <w:vAlign w:val="center"/>
          </w:tcPr>
          <w:p w14:paraId="18038226">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供应商的</w:t>
            </w:r>
            <w:r>
              <w:rPr>
                <w:rFonts w:hint="eastAsia" w:ascii="宋体" w:hAnsi="宋体" w:eastAsia="宋体" w:cs="宋体"/>
                <w:snapToGrid w:val="0"/>
                <w:color w:val="auto"/>
                <w:kern w:val="0"/>
                <w:sz w:val="24"/>
                <w:szCs w:val="24"/>
                <w:highlight w:val="none"/>
                <w:lang w:val="en-US" w:eastAsia="zh-CN"/>
              </w:rPr>
              <w:t>响应</w:t>
            </w:r>
            <w:r>
              <w:rPr>
                <w:rFonts w:hint="eastAsia" w:ascii="宋体" w:hAnsi="宋体" w:eastAsia="宋体" w:cs="宋体"/>
                <w:snapToGrid w:val="0"/>
                <w:color w:val="auto"/>
                <w:kern w:val="0"/>
                <w:sz w:val="24"/>
                <w:szCs w:val="24"/>
                <w:highlight w:val="none"/>
              </w:rPr>
              <w:t>文件中只有一个有效的投标报价</w:t>
            </w:r>
          </w:p>
        </w:tc>
      </w:tr>
      <w:tr w14:paraId="3D1C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2AC3B1C5">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573EBC34">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15659941">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格式</w:t>
            </w:r>
          </w:p>
        </w:tc>
        <w:tc>
          <w:tcPr>
            <w:tcW w:w="6034" w:type="dxa"/>
            <w:noWrap w:val="0"/>
            <w:vAlign w:val="center"/>
          </w:tcPr>
          <w:p w14:paraId="4465D3EF">
            <w:pPr>
              <w:shd w:val="clear" w:color="auto" w:fill="auto"/>
              <w:autoSpaceDE w:val="0"/>
              <w:autoSpaceDN w:val="0"/>
              <w:adjustRightIn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符合第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文件格式”的格式及内容要求</w:t>
            </w:r>
          </w:p>
        </w:tc>
      </w:tr>
      <w:tr w14:paraId="4DB3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38465B5A">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3039FC1D">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09F2FF17">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6034" w:type="dxa"/>
            <w:noWrap w:val="0"/>
            <w:vAlign w:val="center"/>
          </w:tcPr>
          <w:p w14:paraId="0C25DCC0">
            <w:pPr>
              <w:shd w:val="clear" w:color="auto" w:fill="auto"/>
              <w:autoSpaceDE w:val="0"/>
              <w:autoSpaceDN w:val="0"/>
              <w:adjustRightIn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符合第二章“供应商须知</w:t>
            </w:r>
            <w:r>
              <w:rPr>
                <w:rFonts w:hint="eastAsia" w:ascii="宋体" w:hAnsi="宋体" w:eastAsia="宋体" w:cs="宋体"/>
                <w:color w:val="auto"/>
                <w:sz w:val="24"/>
                <w:szCs w:val="24"/>
                <w:highlight w:val="none"/>
              </w:rPr>
              <w:t>前附表</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项要求</w:t>
            </w:r>
          </w:p>
        </w:tc>
      </w:tr>
      <w:tr w14:paraId="04B7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437603F3">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4F66EC82">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6B828444">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6034" w:type="dxa"/>
            <w:noWrap w:val="0"/>
            <w:vAlign w:val="center"/>
          </w:tcPr>
          <w:p w14:paraId="110C024C">
            <w:pPr>
              <w:shd w:val="clear" w:color="auto" w:fill="auto"/>
              <w:autoSpaceDE w:val="0"/>
              <w:autoSpaceDN w:val="0"/>
              <w:adjustRightIn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符合第二章“供应商须知</w:t>
            </w:r>
            <w:r>
              <w:rPr>
                <w:rFonts w:hint="eastAsia" w:ascii="宋体" w:hAnsi="宋体" w:eastAsia="宋体" w:cs="宋体"/>
                <w:color w:val="auto"/>
                <w:sz w:val="24"/>
                <w:szCs w:val="24"/>
                <w:highlight w:val="none"/>
              </w:rPr>
              <w:t>前附表</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项要求</w:t>
            </w:r>
          </w:p>
        </w:tc>
      </w:tr>
      <w:tr w14:paraId="28AB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35" w:type="dxa"/>
            <w:vMerge w:val="continue"/>
            <w:noWrap w:val="0"/>
            <w:vAlign w:val="center"/>
          </w:tcPr>
          <w:p w14:paraId="2B36B378">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7ED4FF70">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26B868F3">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6034" w:type="dxa"/>
            <w:noWrap w:val="0"/>
            <w:vAlign w:val="center"/>
          </w:tcPr>
          <w:p w14:paraId="1C60441C">
            <w:pPr>
              <w:shd w:val="clear" w:color="auto" w:fill="auto"/>
              <w:autoSpaceDE w:val="0"/>
              <w:autoSpaceDN w:val="0"/>
              <w:adjustRightIn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符合第二章“供应商须知</w:t>
            </w:r>
            <w:r>
              <w:rPr>
                <w:rFonts w:hint="eastAsia" w:ascii="宋体" w:hAnsi="宋体" w:eastAsia="宋体" w:cs="宋体"/>
                <w:color w:val="auto"/>
                <w:sz w:val="24"/>
                <w:szCs w:val="24"/>
                <w:highlight w:val="none"/>
              </w:rPr>
              <w:t>前附表</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项要求</w:t>
            </w:r>
          </w:p>
        </w:tc>
      </w:tr>
      <w:tr w14:paraId="6959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4E637060">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0463B1ED">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24B62AFC">
            <w:pPr>
              <w:pStyle w:val="13"/>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w:t>
            </w:r>
          </w:p>
        </w:tc>
        <w:tc>
          <w:tcPr>
            <w:tcW w:w="6034" w:type="dxa"/>
            <w:noWrap w:val="0"/>
            <w:vAlign w:val="center"/>
          </w:tcPr>
          <w:p w14:paraId="62975C1B">
            <w:pPr>
              <w:shd w:val="clear" w:color="auto" w:fill="auto"/>
              <w:autoSpaceDE w:val="0"/>
              <w:autoSpaceDN w:val="0"/>
              <w:adjustRightIn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符合第二章“供应商须知</w:t>
            </w:r>
            <w:r>
              <w:rPr>
                <w:rFonts w:hint="eastAsia" w:ascii="宋体" w:hAnsi="宋体" w:eastAsia="宋体" w:cs="宋体"/>
                <w:color w:val="auto"/>
                <w:sz w:val="24"/>
                <w:szCs w:val="24"/>
                <w:highlight w:val="none"/>
              </w:rPr>
              <w:t>前附表</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17.1</w:t>
            </w:r>
            <w:r>
              <w:rPr>
                <w:rFonts w:hint="eastAsia" w:ascii="宋体" w:hAnsi="宋体" w:eastAsia="宋体" w:cs="宋体"/>
                <w:color w:val="auto"/>
                <w:sz w:val="24"/>
                <w:szCs w:val="24"/>
                <w:highlight w:val="none"/>
              </w:rPr>
              <w:t>项要求</w:t>
            </w:r>
          </w:p>
        </w:tc>
      </w:tr>
      <w:tr w14:paraId="713D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13E2F3D5">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182" w:type="dxa"/>
            <w:vMerge w:val="continue"/>
            <w:noWrap w:val="0"/>
            <w:vAlign w:val="center"/>
          </w:tcPr>
          <w:p w14:paraId="28FBC29A">
            <w:pPr>
              <w:shd w:val="clear" w:color="auto" w:fill="auto"/>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1900" w:type="dxa"/>
            <w:noWrap w:val="0"/>
            <w:vAlign w:val="center"/>
          </w:tcPr>
          <w:p w14:paraId="68A4A501">
            <w:pPr>
              <w:pStyle w:val="13"/>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其他</w:t>
            </w:r>
          </w:p>
        </w:tc>
        <w:tc>
          <w:tcPr>
            <w:tcW w:w="6034" w:type="dxa"/>
            <w:noWrap w:val="0"/>
            <w:vAlign w:val="center"/>
          </w:tcPr>
          <w:p w14:paraId="11E4F7BB">
            <w:pPr>
              <w:shd w:val="clear" w:color="auto" w:fill="auto"/>
              <w:autoSpaceDE w:val="0"/>
              <w:autoSpaceDN w:val="0"/>
              <w:adjustRightIn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文件未出现</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文件中规定的其他无效情形或不满足竞争性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文件中标注★条款内容的情形出现</w:t>
            </w:r>
          </w:p>
        </w:tc>
      </w:tr>
      <w:tr w14:paraId="4619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restart"/>
            <w:noWrap w:val="0"/>
            <w:vAlign w:val="center"/>
          </w:tcPr>
          <w:p w14:paraId="3F5EA874">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w:t>
            </w:r>
          </w:p>
        </w:tc>
        <w:tc>
          <w:tcPr>
            <w:tcW w:w="1182" w:type="dxa"/>
            <w:vMerge w:val="restart"/>
            <w:noWrap w:val="0"/>
            <w:vAlign w:val="center"/>
          </w:tcPr>
          <w:p w14:paraId="1C421158">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详细评审标准</w:t>
            </w:r>
          </w:p>
        </w:tc>
        <w:tc>
          <w:tcPr>
            <w:tcW w:w="1900" w:type="dxa"/>
            <w:noWrap w:val="0"/>
            <w:vAlign w:val="center"/>
          </w:tcPr>
          <w:p w14:paraId="327ECB91">
            <w:pPr>
              <w:shd w:val="clear" w:color="auto" w:fill="auto"/>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评审得分计算公式</w:t>
            </w:r>
          </w:p>
        </w:tc>
        <w:tc>
          <w:tcPr>
            <w:tcW w:w="6034" w:type="dxa"/>
            <w:noWrap w:val="0"/>
            <w:vAlign w:val="center"/>
          </w:tcPr>
          <w:p w14:paraId="1375B580">
            <w:pPr>
              <w:shd w:val="clear" w:color="auto" w:fill="auto"/>
              <w:snapToGrid w:val="0"/>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供应商的评审得分满分</w:t>
            </w:r>
            <w:r>
              <w:rPr>
                <w:rFonts w:hint="eastAsia" w:hAnsi="宋体" w:cs="宋体"/>
                <w:color w:val="auto"/>
                <w:sz w:val="24"/>
                <w:szCs w:val="24"/>
                <w:highlight w:val="none"/>
                <w:lang w:eastAsia="zh-CN"/>
              </w:rPr>
              <w:t>80</w:t>
            </w:r>
            <w:r>
              <w:rPr>
                <w:rFonts w:hint="eastAsia" w:ascii="宋体" w:hAnsi="宋体" w:eastAsia="宋体" w:cs="宋体"/>
                <w:color w:val="auto"/>
                <w:sz w:val="24"/>
                <w:szCs w:val="24"/>
                <w:highlight w:val="none"/>
              </w:rPr>
              <w:t>分，</w:t>
            </w:r>
          </w:p>
          <w:p w14:paraId="4352DC90">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供应商的评审得分＝</w:t>
            </w:r>
            <w:r>
              <w:rPr>
                <w:rFonts w:hint="eastAsia" w:ascii="宋体" w:hAnsi="宋体" w:eastAsia="宋体" w:cs="宋体"/>
                <w:color w:val="auto"/>
                <w:kern w:val="2"/>
                <w:sz w:val="24"/>
                <w:szCs w:val="24"/>
                <w:highlight w:val="none"/>
              </w:rPr>
              <w:t>F1+F2+F3</w:t>
            </w:r>
          </w:p>
          <w:p w14:paraId="192E1E05">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其中：F1、F2、F3分别为</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评分、技术部分评分、商务部分评分3项评审因素的汇总得分。</w:t>
            </w:r>
          </w:p>
        </w:tc>
      </w:tr>
      <w:tr w14:paraId="0973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5F6BA201">
            <w:pPr>
              <w:shd w:val="clear" w:color="auto" w:fill="auto"/>
              <w:spacing w:line="360" w:lineRule="auto"/>
              <w:rPr>
                <w:rFonts w:hint="eastAsia" w:ascii="宋体" w:hAnsi="宋体" w:eastAsia="宋体" w:cs="宋体"/>
                <w:color w:val="auto"/>
                <w:sz w:val="24"/>
                <w:szCs w:val="24"/>
                <w:highlight w:val="none"/>
              </w:rPr>
            </w:pPr>
          </w:p>
        </w:tc>
        <w:tc>
          <w:tcPr>
            <w:tcW w:w="1182" w:type="dxa"/>
            <w:vMerge w:val="continue"/>
            <w:noWrap w:val="0"/>
            <w:vAlign w:val="center"/>
          </w:tcPr>
          <w:p w14:paraId="01631F69">
            <w:pPr>
              <w:shd w:val="clear" w:color="auto" w:fill="auto"/>
              <w:spacing w:line="360" w:lineRule="auto"/>
              <w:rPr>
                <w:rFonts w:hint="eastAsia" w:ascii="宋体" w:hAnsi="宋体" w:eastAsia="宋体" w:cs="宋体"/>
                <w:color w:val="auto"/>
                <w:sz w:val="24"/>
                <w:szCs w:val="24"/>
                <w:highlight w:val="none"/>
              </w:rPr>
            </w:pPr>
          </w:p>
        </w:tc>
        <w:tc>
          <w:tcPr>
            <w:tcW w:w="1900" w:type="dxa"/>
            <w:noWrap w:val="0"/>
            <w:vAlign w:val="center"/>
          </w:tcPr>
          <w:p w14:paraId="28C48963">
            <w:pPr>
              <w:shd w:val="clear" w:color="auto" w:fill="auto"/>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评审因素权重</w:t>
            </w:r>
          </w:p>
        </w:tc>
        <w:tc>
          <w:tcPr>
            <w:tcW w:w="6034" w:type="dxa"/>
            <w:noWrap w:val="0"/>
            <w:vAlign w:val="center"/>
          </w:tcPr>
          <w:p w14:paraId="298D67AE">
            <w:pPr>
              <w:shd w:val="clear" w:color="auto" w:fill="auto"/>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评分F1满分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1F87BB49">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技术部分评分F2满分6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p w14:paraId="21E033D4">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商务部分评分F3满分20分。</w:t>
            </w:r>
          </w:p>
        </w:tc>
      </w:tr>
      <w:tr w14:paraId="520E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48882068">
            <w:pPr>
              <w:shd w:val="clear" w:color="auto" w:fill="auto"/>
              <w:spacing w:line="360" w:lineRule="auto"/>
              <w:rPr>
                <w:rFonts w:hint="eastAsia" w:ascii="宋体" w:hAnsi="宋体" w:eastAsia="宋体" w:cs="宋体"/>
                <w:color w:val="auto"/>
                <w:sz w:val="24"/>
                <w:szCs w:val="24"/>
                <w:highlight w:val="none"/>
              </w:rPr>
            </w:pPr>
          </w:p>
        </w:tc>
        <w:tc>
          <w:tcPr>
            <w:tcW w:w="1182" w:type="dxa"/>
            <w:vMerge w:val="continue"/>
            <w:noWrap w:val="0"/>
            <w:vAlign w:val="center"/>
          </w:tcPr>
          <w:p w14:paraId="29163EDD">
            <w:pPr>
              <w:shd w:val="clear" w:color="auto" w:fill="auto"/>
              <w:spacing w:line="360" w:lineRule="auto"/>
              <w:rPr>
                <w:rFonts w:hint="eastAsia" w:ascii="宋体" w:hAnsi="宋体" w:eastAsia="宋体" w:cs="宋体"/>
                <w:color w:val="auto"/>
                <w:sz w:val="24"/>
                <w:szCs w:val="24"/>
                <w:highlight w:val="none"/>
              </w:rPr>
            </w:pPr>
          </w:p>
        </w:tc>
        <w:tc>
          <w:tcPr>
            <w:tcW w:w="7934" w:type="dxa"/>
            <w:gridSpan w:val="2"/>
            <w:noWrap w:val="0"/>
            <w:vAlign w:val="center"/>
          </w:tcPr>
          <w:p w14:paraId="40775E04">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rPr>
              <w:t>部分F1（满分</w:t>
            </w: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分）</w:t>
            </w:r>
          </w:p>
        </w:tc>
      </w:tr>
      <w:tr w14:paraId="505F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26C58CA6">
            <w:pPr>
              <w:shd w:val="clear" w:color="auto" w:fill="auto"/>
              <w:spacing w:line="360" w:lineRule="auto"/>
              <w:rPr>
                <w:rFonts w:hint="eastAsia" w:ascii="宋体" w:hAnsi="宋体" w:eastAsia="宋体" w:cs="宋体"/>
                <w:color w:val="auto"/>
                <w:sz w:val="24"/>
                <w:szCs w:val="24"/>
                <w:highlight w:val="none"/>
              </w:rPr>
            </w:pPr>
          </w:p>
        </w:tc>
        <w:tc>
          <w:tcPr>
            <w:tcW w:w="1182" w:type="dxa"/>
            <w:vMerge w:val="continue"/>
            <w:noWrap w:val="0"/>
            <w:vAlign w:val="center"/>
          </w:tcPr>
          <w:p w14:paraId="1347EE65">
            <w:pPr>
              <w:shd w:val="clear" w:color="auto" w:fill="auto"/>
              <w:spacing w:line="360" w:lineRule="auto"/>
              <w:rPr>
                <w:rFonts w:hint="eastAsia" w:ascii="宋体" w:hAnsi="宋体" w:eastAsia="宋体" w:cs="宋体"/>
                <w:color w:val="auto"/>
                <w:sz w:val="24"/>
                <w:szCs w:val="24"/>
                <w:highlight w:val="none"/>
              </w:rPr>
            </w:pPr>
          </w:p>
        </w:tc>
        <w:tc>
          <w:tcPr>
            <w:tcW w:w="1900" w:type="dxa"/>
            <w:noWrap w:val="0"/>
            <w:vAlign w:val="center"/>
          </w:tcPr>
          <w:p w14:paraId="33C60F69">
            <w:pPr>
              <w:shd w:val="clear" w:color="auto" w:fill="auto"/>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报价评审评分（满分</w:t>
            </w: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分）</w:t>
            </w:r>
          </w:p>
        </w:tc>
        <w:tc>
          <w:tcPr>
            <w:tcW w:w="6034" w:type="dxa"/>
            <w:noWrap w:val="0"/>
            <w:vAlign w:val="center"/>
          </w:tcPr>
          <w:p w14:paraId="13D0154E">
            <w:pPr>
              <w:shd w:val="clear" w:color="auto" w:fill="auto"/>
              <w:snapToGrid w:val="0"/>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报价评分采用低价优先法计算，即满足磋商文件要求且最终报价最低的供应商的</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为磋商基准价，其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分为满分。</w:t>
            </w:r>
          </w:p>
          <w:p w14:paraId="799F15D7">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其它供应商的报价分统一按照下列公式计算：</w:t>
            </w:r>
          </w:p>
          <w:p w14:paraId="3A7BD880">
            <w:pPr>
              <w:shd w:val="clear" w:color="auto" w:fill="auto"/>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磋商报价得分=（磋商基准价/</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磋商报价）×</w:t>
            </w:r>
            <w:r>
              <w:rPr>
                <w:rFonts w:hint="eastAsia" w:ascii="宋体" w:hAnsi="宋体" w:eastAsia="宋体" w:cs="宋体"/>
                <w:color w:val="auto"/>
                <w:sz w:val="24"/>
                <w:szCs w:val="24"/>
                <w:highlight w:val="none"/>
                <w:lang w:val="en-US" w:eastAsia="zh-CN"/>
              </w:rPr>
              <w:t>20</w:t>
            </w:r>
          </w:p>
          <w:p w14:paraId="7AEA1A48">
            <w:pPr>
              <w:shd w:val="clear" w:color="auto" w:fill="auto"/>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即：F1=C/（B1，B2，…，Bn）×</w:t>
            </w:r>
            <w:r>
              <w:rPr>
                <w:rFonts w:hint="eastAsia" w:ascii="宋体" w:hAnsi="宋体" w:eastAsia="宋体" w:cs="宋体"/>
                <w:color w:val="auto"/>
                <w:sz w:val="24"/>
                <w:szCs w:val="24"/>
                <w:highlight w:val="none"/>
                <w:lang w:val="en-US" w:eastAsia="zh-CN"/>
              </w:rPr>
              <w:t>20</w:t>
            </w:r>
          </w:p>
          <w:p w14:paraId="08AF0A63">
            <w:pPr>
              <w:shd w:val="clear" w:color="auto" w:fill="auto"/>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995FD8B">
            <w:pPr>
              <w:shd w:val="clear" w:color="auto" w:fill="auto"/>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1）C为磋商基准价，即满足磋商文件要求且</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报价最低的供应商的</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为磋商基准价；</w:t>
            </w:r>
          </w:p>
          <w:p w14:paraId="5A774170">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2）B1，B2，…，Bn为第n个经实质性审查合格的</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磋商报价。</w:t>
            </w:r>
          </w:p>
          <w:p w14:paraId="45C75BBB">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w:t>
            </w:r>
            <w:r>
              <w:rPr>
                <w:rFonts w:hint="eastAsia" w:ascii="宋体" w:hAnsi="宋体" w:eastAsia="宋体" w:cs="宋体"/>
                <w:color w:val="auto"/>
                <w:sz w:val="24"/>
                <w:szCs w:val="24"/>
                <w:highlight w:val="none"/>
                <w:lang w:val="en-US" w:eastAsia="zh-CN"/>
              </w:rPr>
              <w:t>所属行业</w:t>
            </w:r>
            <w:r>
              <w:rPr>
                <w:rFonts w:hint="eastAsia" w:ascii="宋体" w:hAnsi="宋体" w:eastAsia="宋体" w:cs="宋体"/>
                <w:b/>
                <w:bCs/>
                <w:color w:val="auto"/>
                <w:sz w:val="24"/>
                <w:szCs w:val="24"/>
                <w:highlight w:val="none"/>
                <w:u w:val="single"/>
                <w:lang w:val="en-US" w:eastAsia="zh-CN"/>
              </w:rPr>
              <w:t>建筑业</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监狱企业、残疾人福利性单位属于小型、微型企业的，不重复享受政策；政府采购政策详见第二章供应商须知“第30项”的规定。</w:t>
            </w:r>
          </w:p>
        </w:tc>
      </w:tr>
      <w:tr w14:paraId="77FE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128F42B7">
            <w:pPr>
              <w:shd w:val="clear" w:color="auto" w:fill="auto"/>
              <w:spacing w:line="360" w:lineRule="auto"/>
              <w:rPr>
                <w:rFonts w:hint="eastAsia" w:ascii="宋体" w:hAnsi="宋体" w:eastAsia="宋体" w:cs="宋体"/>
                <w:color w:val="auto"/>
                <w:sz w:val="24"/>
                <w:szCs w:val="24"/>
                <w:highlight w:val="none"/>
              </w:rPr>
            </w:pPr>
          </w:p>
        </w:tc>
        <w:tc>
          <w:tcPr>
            <w:tcW w:w="1182" w:type="dxa"/>
            <w:vMerge w:val="continue"/>
            <w:noWrap w:val="0"/>
            <w:vAlign w:val="center"/>
          </w:tcPr>
          <w:p w14:paraId="37285A00">
            <w:pPr>
              <w:shd w:val="clear" w:color="auto" w:fill="auto"/>
              <w:spacing w:line="360" w:lineRule="auto"/>
              <w:rPr>
                <w:rFonts w:hint="eastAsia" w:ascii="宋体" w:hAnsi="宋体" w:eastAsia="宋体" w:cs="宋体"/>
                <w:color w:val="auto"/>
                <w:sz w:val="24"/>
                <w:szCs w:val="24"/>
                <w:highlight w:val="none"/>
              </w:rPr>
            </w:pPr>
          </w:p>
        </w:tc>
        <w:tc>
          <w:tcPr>
            <w:tcW w:w="7934" w:type="dxa"/>
            <w:gridSpan w:val="2"/>
            <w:noWrap w:val="0"/>
            <w:vAlign w:val="center"/>
          </w:tcPr>
          <w:p w14:paraId="63107309">
            <w:pPr>
              <w:shd w:val="clear" w:color="auto" w:fill="auto"/>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技术部分F2评审标准（满分6</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分）</w:t>
            </w:r>
          </w:p>
        </w:tc>
      </w:tr>
      <w:tr w14:paraId="3147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0A4C0431">
            <w:pPr>
              <w:shd w:val="clear" w:color="auto" w:fill="auto"/>
              <w:spacing w:line="360" w:lineRule="auto"/>
              <w:rPr>
                <w:rFonts w:hint="eastAsia" w:ascii="宋体" w:hAnsi="宋体" w:eastAsia="宋体" w:cs="宋体"/>
                <w:color w:val="auto"/>
                <w:sz w:val="24"/>
                <w:szCs w:val="24"/>
                <w:highlight w:val="none"/>
              </w:rPr>
            </w:pPr>
          </w:p>
        </w:tc>
        <w:tc>
          <w:tcPr>
            <w:tcW w:w="1182" w:type="dxa"/>
            <w:vMerge w:val="continue"/>
            <w:noWrap w:val="0"/>
            <w:vAlign w:val="center"/>
          </w:tcPr>
          <w:p w14:paraId="2A6BF62F">
            <w:pPr>
              <w:shd w:val="clear" w:color="auto" w:fill="auto"/>
              <w:spacing w:line="360" w:lineRule="auto"/>
              <w:rPr>
                <w:rFonts w:hint="eastAsia" w:ascii="宋体" w:hAnsi="宋体" w:eastAsia="宋体" w:cs="宋体"/>
                <w:color w:val="auto"/>
                <w:sz w:val="24"/>
                <w:szCs w:val="24"/>
                <w:highlight w:val="none"/>
              </w:rPr>
            </w:pPr>
          </w:p>
        </w:tc>
        <w:tc>
          <w:tcPr>
            <w:tcW w:w="1900" w:type="dxa"/>
            <w:noWrap w:val="0"/>
            <w:vAlign w:val="center"/>
          </w:tcPr>
          <w:p w14:paraId="11FB6EB7">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施工技术方案评审（满分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034" w:type="dxa"/>
            <w:noWrap w:val="0"/>
            <w:vAlign w:val="center"/>
          </w:tcPr>
          <w:p w14:paraId="490F6D79">
            <w:pPr>
              <w:shd w:val="clear" w:color="auto" w:fill="auto"/>
              <w:snapToGrid w:val="0"/>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第一档次：施工技术方案、施工程序及施工大纲合理且能指导施工，施工措施具体且有针对性，施工部署全面，能满足本项目需求的得15分；</w:t>
            </w:r>
          </w:p>
          <w:p w14:paraId="1E90B58B">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第二档次：施工技术方案、施工程序及施工大纲合理但对施工指导性不具体，施工措施具体有一定的针对性,施工部署全面,基本满足本项目需求的得10分；</w:t>
            </w:r>
          </w:p>
          <w:p w14:paraId="3E200039">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第三档次：施工技术方案、施工程序及施工大纲基本合理，但对施工缺乏指导性，施工措施、施工部署基本合理但存在一些问题的得5分。</w:t>
            </w:r>
          </w:p>
          <w:p w14:paraId="56365495">
            <w:pPr>
              <w:shd w:val="clear" w:color="auto" w:fill="auto"/>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第四个档次：施工技术方案、施工程序及施工大纲不合理，对施工缺乏指导性，施工措施、施工部署不合理但存在重大问题的得0分。</w:t>
            </w:r>
          </w:p>
        </w:tc>
      </w:tr>
      <w:tr w14:paraId="53CB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5E9DB258">
            <w:pPr>
              <w:shd w:val="clear" w:color="auto" w:fill="auto"/>
              <w:spacing w:line="360" w:lineRule="auto"/>
              <w:rPr>
                <w:rFonts w:hint="eastAsia" w:ascii="宋体" w:hAnsi="宋体" w:eastAsia="宋体" w:cs="宋体"/>
                <w:color w:val="auto"/>
                <w:sz w:val="24"/>
                <w:szCs w:val="24"/>
                <w:highlight w:val="none"/>
              </w:rPr>
            </w:pPr>
          </w:p>
        </w:tc>
        <w:tc>
          <w:tcPr>
            <w:tcW w:w="1182" w:type="dxa"/>
            <w:vMerge w:val="continue"/>
            <w:noWrap w:val="0"/>
            <w:vAlign w:val="center"/>
          </w:tcPr>
          <w:p w14:paraId="2FAD9743">
            <w:pPr>
              <w:shd w:val="clear" w:color="auto" w:fill="auto"/>
              <w:spacing w:line="360" w:lineRule="auto"/>
              <w:rPr>
                <w:rFonts w:hint="eastAsia" w:ascii="宋体" w:hAnsi="宋体" w:eastAsia="宋体" w:cs="宋体"/>
                <w:color w:val="auto"/>
                <w:sz w:val="24"/>
                <w:szCs w:val="24"/>
                <w:highlight w:val="none"/>
              </w:rPr>
            </w:pPr>
          </w:p>
        </w:tc>
        <w:tc>
          <w:tcPr>
            <w:tcW w:w="1900" w:type="dxa"/>
            <w:noWrap w:val="0"/>
            <w:vAlign w:val="center"/>
          </w:tcPr>
          <w:p w14:paraId="3B09C6B9">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施工周期、进度计划安排及保证措施评审（满分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034" w:type="dxa"/>
            <w:noWrap w:val="0"/>
            <w:vAlign w:val="center"/>
          </w:tcPr>
          <w:p w14:paraId="4934EAD4">
            <w:pPr>
              <w:shd w:val="clear" w:color="auto" w:fill="auto"/>
              <w:snapToGrid w:val="0"/>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第一档次：施工周期、进度安排承诺满足竞争性磋商文件要求，保证措施合理且有针对性，有具体的违约责任承诺的得15分；</w:t>
            </w:r>
          </w:p>
          <w:p w14:paraId="5189431F">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第二档次：施工周期、进度安排承诺满足竞争性磋商文件要求，保证措施合理有一定的针对性，有具体的违约责任承诺的得10分；</w:t>
            </w:r>
          </w:p>
          <w:p w14:paraId="09909F5A">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第三档次：施工周期、进度安排承诺满足竞争性磋商文件的要求，保证措施基本合理，有具体的违约责任承诺的得5分；</w:t>
            </w:r>
          </w:p>
          <w:p w14:paraId="210B2017">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第四档次：施工周期、进度安排承诺满足竞争性磋商文件的要求，但保证措施存在问题，</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违约责任承诺的得0分。</w:t>
            </w:r>
          </w:p>
        </w:tc>
      </w:tr>
      <w:tr w14:paraId="1E88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19F6366C">
            <w:pPr>
              <w:shd w:val="clear" w:color="auto" w:fill="auto"/>
              <w:spacing w:line="360" w:lineRule="auto"/>
              <w:rPr>
                <w:rFonts w:hint="eastAsia" w:ascii="宋体" w:hAnsi="宋体" w:eastAsia="宋体" w:cs="宋体"/>
                <w:color w:val="auto"/>
                <w:sz w:val="24"/>
                <w:szCs w:val="24"/>
                <w:highlight w:val="none"/>
              </w:rPr>
            </w:pPr>
          </w:p>
        </w:tc>
        <w:tc>
          <w:tcPr>
            <w:tcW w:w="1182" w:type="dxa"/>
            <w:vMerge w:val="continue"/>
            <w:noWrap w:val="0"/>
            <w:vAlign w:val="center"/>
          </w:tcPr>
          <w:p w14:paraId="109D9963">
            <w:pPr>
              <w:shd w:val="clear" w:color="auto" w:fill="auto"/>
              <w:spacing w:line="360" w:lineRule="auto"/>
              <w:rPr>
                <w:rFonts w:hint="eastAsia" w:ascii="宋体" w:hAnsi="宋体" w:eastAsia="宋体" w:cs="宋体"/>
                <w:color w:val="auto"/>
                <w:sz w:val="24"/>
                <w:szCs w:val="24"/>
                <w:highlight w:val="none"/>
              </w:rPr>
            </w:pPr>
          </w:p>
        </w:tc>
        <w:tc>
          <w:tcPr>
            <w:tcW w:w="1900" w:type="dxa"/>
            <w:noWrap w:val="0"/>
            <w:vAlign w:val="center"/>
          </w:tcPr>
          <w:p w14:paraId="679999DE">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施工质量承诺及保证措施评审（满分10分）</w:t>
            </w:r>
          </w:p>
        </w:tc>
        <w:tc>
          <w:tcPr>
            <w:tcW w:w="6034" w:type="dxa"/>
            <w:noWrap w:val="0"/>
            <w:vAlign w:val="center"/>
          </w:tcPr>
          <w:p w14:paraId="22CDA604">
            <w:pPr>
              <w:shd w:val="clear" w:color="auto" w:fill="auto"/>
              <w:snapToGrid w:val="0"/>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第一档次：质量承诺满足竞争性磋商文件要求且有具体的违约责任承诺，质量保证措施严格按竞争性磋商文件要求的施工技术规范、标准编制且有针对性，对设计及工程质量保证措施有阐述的得10分；</w:t>
            </w:r>
          </w:p>
          <w:p w14:paraId="3DFCC843">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第二档次：质量承诺满足竞争性磋商文件要求且有具体的违约责任承诺，质量保证措施达到技术规范、标准，有一定的针对性的得7分；</w:t>
            </w:r>
          </w:p>
          <w:p w14:paraId="4B6D6783">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第三档次：质量承诺满足竞争性磋商文件要求且有违约责任承诺，质量保证措施基本达到技术规范、标准但明显缺乏针对性的得3分；</w:t>
            </w:r>
          </w:p>
          <w:p w14:paraId="109BFF4B">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第四档次：质量承诺满足竞争性磋商文件要求，质量保证措施基本达到技术规范、标准但有重大缺陷或错漏，无技术质量控制和管理措施的得0分。</w:t>
            </w:r>
          </w:p>
        </w:tc>
      </w:tr>
      <w:tr w14:paraId="4454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26402A06">
            <w:pPr>
              <w:shd w:val="clear" w:color="auto" w:fill="auto"/>
              <w:spacing w:line="360" w:lineRule="auto"/>
              <w:rPr>
                <w:rFonts w:hint="eastAsia" w:ascii="宋体" w:hAnsi="宋体" w:eastAsia="宋体" w:cs="宋体"/>
                <w:color w:val="auto"/>
                <w:sz w:val="24"/>
                <w:szCs w:val="24"/>
                <w:highlight w:val="none"/>
              </w:rPr>
            </w:pPr>
          </w:p>
        </w:tc>
        <w:tc>
          <w:tcPr>
            <w:tcW w:w="1182" w:type="dxa"/>
            <w:vMerge w:val="continue"/>
            <w:noWrap w:val="0"/>
            <w:vAlign w:val="center"/>
          </w:tcPr>
          <w:p w14:paraId="6B9A6AA2">
            <w:pPr>
              <w:shd w:val="clear" w:color="auto" w:fill="auto"/>
              <w:spacing w:line="360" w:lineRule="auto"/>
              <w:rPr>
                <w:rFonts w:hint="eastAsia" w:ascii="宋体" w:hAnsi="宋体" w:eastAsia="宋体" w:cs="宋体"/>
                <w:color w:val="auto"/>
                <w:sz w:val="24"/>
                <w:szCs w:val="24"/>
                <w:highlight w:val="none"/>
              </w:rPr>
            </w:pPr>
          </w:p>
        </w:tc>
        <w:tc>
          <w:tcPr>
            <w:tcW w:w="1900" w:type="dxa"/>
            <w:noWrap w:val="0"/>
            <w:vAlign w:val="center"/>
          </w:tcPr>
          <w:p w14:paraId="6DDDD12B">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安全文明施工保证措施评审（满分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034" w:type="dxa"/>
            <w:noWrap w:val="0"/>
            <w:vAlign w:val="center"/>
          </w:tcPr>
          <w:p w14:paraId="08C2DFF1">
            <w:pPr>
              <w:shd w:val="clear" w:color="auto" w:fill="auto"/>
              <w:snapToGrid w:val="0"/>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第一档次：响应文件中有具体、完整、可行的安全文明施工实施保证措施且合理、先进、针对性好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符合国家、省、州（市）的有关规定的得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250F79A0">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第二档次：响应文件中有安全文明施工实施保证措施且合理，但针对性不太具体，</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符合国家、省、州（市）的有关规定的得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3163F443">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第三档次：响应文件中有安全文明施工实施保证措施，但不具体、存有错漏的、可行性不太实际的得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1C64BDC">
            <w:pPr>
              <w:shd w:val="clear" w:color="auto" w:fill="auto"/>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第四档次：响应文件中无安全文明施工实施保证措施的得0分。</w:t>
            </w:r>
          </w:p>
        </w:tc>
      </w:tr>
      <w:tr w14:paraId="1B27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53A524B7">
            <w:pPr>
              <w:shd w:val="clear" w:color="auto" w:fill="auto"/>
              <w:spacing w:line="360" w:lineRule="auto"/>
              <w:rPr>
                <w:rFonts w:hint="eastAsia" w:ascii="宋体" w:hAnsi="宋体" w:eastAsia="宋体" w:cs="宋体"/>
                <w:color w:val="auto"/>
                <w:sz w:val="24"/>
                <w:szCs w:val="24"/>
                <w:highlight w:val="none"/>
              </w:rPr>
            </w:pPr>
          </w:p>
        </w:tc>
        <w:tc>
          <w:tcPr>
            <w:tcW w:w="1182" w:type="dxa"/>
            <w:vMerge w:val="continue"/>
            <w:noWrap w:val="0"/>
            <w:vAlign w:val="center"/>
          </w:tcPr>
          <w:p w14:paraId="5B451C1E">
            <w:pPr>
              <w:shd w:val="clear" w:color="auto" w:fill="auto"/>
              <w:spacing w:line="360" w:lineRule="auto"/>
              <w:rPr>
                <w:rFonts w:hint="eastAsia" w:ascii="宋体" w:hAnsi="宋体" w:eastAsia="宋体" w:cs="宋体"/>
                <w:color w:val="auto"/>
                <w:sz w:val="24"/>
                <w:szCs w:val="24"/>
                <w:highlight w:val="none"/>
              </w:rPr>
            </w:pPr>
          </w:p>
        </w:tc>
        <w:tc>
          <w:tcPr>
            <w:tcW w:w="1900" w:type="dxa"/>
            <w:noWrap w:val="0"/>
            <w:vAlign w:val="center"/>
          </w:tcPr>
          <w:p w14:paraId="76C2CBCF">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施工机械投入和材料投入计划及其保证措施评审（满分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034" w:type="dxa"/>
            <w:noWrap w:val="0"/>
            <w:vAlign w:val="center"/>
          </w:tcPr>
          <w:p w14:paraId="78CD640F">
            <w:pPr>
              <w:shd w:val="clear" w:color="auto" w:fill="auto"/>
              <w:snapToGrid w:val="0"/>
              <w:spacing w:before="93" w:beforeLines="3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第一档次：施工机械投入和材料投入计划与施工进度计划呼应，能较好满足施工需要，调配投入计划合理，针对性好的得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372B964F">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第二档次：施工机械投入和材料投入计划与施工进度计划呼应，能满足施工需要，调配投入计划合理，有一定的针对性得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4F659FD8">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第三档次：施工机械投入和材料投入计划与施工进度计划基本呼应，能基本满足施工需要，调配投入计划基本合理，但缺乏针对性，或施工机械投入和材料投入计划与施工进度计划不能呼应的有矛盾的得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1DB5EE70">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第四档次：响应文件中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施工机械投入和材料投入计划</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并且无</w:t>
            </w:r>
            <w:r>
              <w:rPr>
                <w:rFonts w:hint="eastAsia" w:ascii="宋体" w:hAnsi="宋体" w:eastAsia="宋体" w:cs="宋体"/>
                <w:color w:val="auto"/>
                <w:sz w:val="24"/>
                <w:szCs w:val="24"/>
                <w:highlight w:val="none"/>
              </w:rPr>
              <w:t>保证措施的得0分。</w:t>
            </w:r>
          </w:p>
        </w:tc>
      </w:tr>
      <w:tr w14:paraId="1D87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42128643">
            <w:pPr>
              <w:shd w:val="clear" w:color="auto" w:fill="auto"/>
              <w:spacing w:line="360" w:lineRule="auto"/>
              <w:rPr>
                <w:rFonts w:hint="eastAsia" w:ascii="宋体" w:hAnsi="宋体" w:eastAsia="宋体" w:cs="宋体"/>
                <w:color w:val="auto"/>
                <w:sz w:val="24"/>
                <w:szCs w:val="24"/>
                <w:highlight w:val="none"/>
              </w:rPr>
            </w:pPr>
          </w:p>
        </w:tc>
        <w:tc>
          <w:tcPr>
            <w:tcW w:w="1182" w:type="dxa"/>
            <w:vMerge w:val="continue"/>
            <w:noWrap w:val="0"/>
            <w:vAlign w:val="center"/>
          </w:tcPr>
          <w:p w14:paraId="1E93CCD5">
            <w:pPr>
              <w:shd w:val="clear" w:color="auto" w:fill="auto"/>
              <w:spacing w:line="360" w:lineRule="auto"/>
              <w:rPr>
                <w:rFonts w:hint="eastAsia" w:ascii="宋体" w:hAnsi="宋体" w:eastAsia="宋体" w:cs="宋体"/>
                <w:color w:val="auto"/>
                <w:sz w:val="24"/>
                <w:szCs w:val="24"/>
                <w:highlight w:val="none"/>
              </w:rPr>
            </w:pPr>
          </w:p>
        </w:tc>
        <w:tc>
          <w:tcPr>
            <w:tcW w:w="7934" w:type="dxa"/>
            <w:gridSpan w:val="2"/>
            <w:noWrap w:val="0"/>
            <w:vAlign w:val="center"/>
          </w:tcPr>
          <w:p w14:paraId="4B5E0856">
            <w:pPr>
              <w:shd w:val="clear" w:color="auto" w:fill="auto"/>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商务部分F3评审标准（满分20分）</w:t>
            </w:r>
          </w:p>
        </w:tc>
      </w:tr>
      <w:tr w14:paraId="1002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621888F6">
            <w:pPr>
              <w:shd w:val="clear" w:color="auto" w:fill="auto"/>
              <w:spacing w:line="360" w:lineRule="auto"/>
              <w:rPr>
                <w:rFonts w:hint="eastAsia" w:ascii="宋体" w:hAnsi="宋体" w:eastAsia="宋体" w:cs="宋体"/>
                <w:color w:val="auto"/>
                <w:sz w:val="24"/>
                <w:szCs w:val="24"/>
                <w:highlight w:val="none"/>
              </w:rPr>
            </w:pPr>
          </w:p>
        </w:tc>
        <w:tc>
          <w:tcPr>
            <w:tcW w:w="1182" w:type="dxa"/>
            <w:vMerge w:val="continue"/>
            <w:noWrap w:val="0"/>
            <w:vAlign w:val="center"/>
          </w:tcPr>
          <w:p w14:paraId="74D61568">
            <w:pPr>
              <w:shd w:val="clear" w:color="auto" w:fill="auto"/>
              <w:spacing w:line="360" w:lineRule="auto"/>
              <w:rPr>
                <w:rFonts w:hint="eastAsia" w:ascii="宋体" w:hAnsi="宋体" w:eastAsia="宋体" w:cs="宋体"/>
                <w:color w:val="auto"/>
                <w:sz w:val="24"/>
                <w:szCs w:val="24"/>
                <w:highlight w:val="none"/>
              </w:rPr>
            </w:pPr>
          </w:p>
        </w:tc>
        <w:tc>
          <w:tcPr>
            <w:tcW w:w="1900" w:type="dxa"/>
            <w:noWrap w:val="0"/>
            <w:vAlign w:val="center"/>
          </w:tcPr>
          <w:p w14:paraId="0A775FE7">
            <w:pPr>
              <w:shd w:val="clear" w:color="auto" w:fill="auto"/>
              <w:spacing w:line="360" w:lineRule="auto"/>
              <w:jc w:val="center"/>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rPr>
              <w:t>项目组织机构及主要人员评审（满分10分）</w:t>
            </w:r>
          </w:p>
        </w:tc>
        <w:tc>
          <w:tcPr>
            <w:tcW w:w="6034" w:type="dxa"/>
            <w:noWrap w:val="0"/>
            <w:vAlign w:val="center"/>
          </w:tcPr>
          <w:p w14:paraId="5C57F517">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第一档次：项目实施团队专业配置齐全，人员专业和项目匹配度高，分工明确，团队整体实力强，充分满足项目实际需求的得10分；</w:t>
            </w:r>
          </w:p>
          <w:p w14:paraId="4A9B2C7A">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第二档次：项目实施团队专业配置基本齐全，人员专业和项目匹配度较高，分工较明确，团队有一定实力，基本满足项目实际需求得7 分；</w:t>
            </w:r>
          </w:p>
          <w:p w14:paraId="66C05E2A">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第三档次：项目实施团队专业配置基本齐全，人员专业和项目匹配度可行，分工基本明确，团队整体实力较弱，基本满足项目实际需求的得3分。</w:t>
            </w:r>
          </w:p>
          <w:p w14:paraId="7BA30173">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注：响应文件中附拟派往本项目项目实施团队成员相关证件、相关证明材料的原件扫描件。</w:t>
            </w:r>
          </w:p>
        </w:tc>
      </w:tr>
      <w:tr w14:paraId="5F9A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5" w:type="dxa"/>
            <w:vMerge w:val="continue"/>
            <w:noWrap w:val="0"/>
            <w:vAlign w:val="center"/>
          </w:tcPr>
          <w:p w14:paraId="01C12896">
            <w:pPr>
              <w:shd w:val="clear" w:color="auto" w:fill="auto"/>
              <w:spacing w:line="360" w:lineRule="auto"/>
              <w:rPr>
                <w:rFonts w:hint="eastAsia" w:ascii="宋体" w:hAnsi="宋体" w:eastAsia="宋体" w:cs="宋体"/>
                <w:color w:val="auto"/>
                <w:sz w:val="24"/>
                <w:szCs w:val="24"/>
                <w:highlight w:val="none"/>
              </w:rPr>
            </w:pPr>
          </w:p>
        </w:tc>
        <w:tc>
          <w:tcPr>
            <w:tcW w:w="1182" w:type="dxa"/>
            <w:vMerge w:val="continue"/>
            <w:noWrap w:val="0"/>
            <w:vAlign w:val="center"/>
          </w:tcPr>
          <w:p w14:paraId="741C80FA">
            <w:pPr>
              <w:shd w:val="clear" w:color="auto" w:fill="auto"/>
              <w:spacing w:line="360" w:lineRule="auto"/>
              <w:rPr>
                <w:rFonts w:hint="eastAsia" w:ascii="宋体" w:hAnsi="宋体" w:eastAsia="宋体" w:cs="宋体"/>
                <w:color w:val="auto"/>
                <w:sz w:val="24"/>
                <w:szCs w:val="24"/>
                <w:highlight w:val="none"/>
              </w:rPr>
            </w:pPr>
          </w:p>
        </w:tc>
        <w:tc>
          <w:tcPr>
            <w:tcW w:w="1900" w:type="dxa"/>
            <w:noWrap w:val="0"/>
            <w:vAlign w:val="center"/>
          </w:tcPr>
          <w:p w14:paraId="2AEAD8D1">
            <w:pPr>
              <w:shd w:val="clear" w:color="auto" w:fill="auto"/>
              <w:spacing w:line="360" w:lineRule="auto"/>
              <w:jc w:val="center"/>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rPr>
              <w:t>类似业绩评审（满分10分）</w:t>
            </w:r>
          </w:p>
        </w:tc>
        <w:tc>
          <w:tcPr>
            <w:tcW w:w="6034" w:type="dxa"/>
            <w:noWrap w:val="0"/>
            <w:vAlign w:val="center"/>
          </w:tcPr>
          <w:p w14:paraId="07FED383">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供应商近三年</w:t>
            </w:r>
            <w:r>
              <w:rPr>
                <w:rFonts w:hint="eastAsia" w:ascii="宋体" w:hAnsi="宋体" w:eastAsia="宋体" w:cs="宋体"/>
                <w:color w:val="auto"/>
                <w:sz w:val="24"/>
                <w:szCs w:val="24"/>
                <w:highlight w:val="none"/>
                <w:lang w:val="en-US" w:eastAsia="zh-CN"/>
              </w:rPr>
              <w:t>202</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年1月1日至今</w:t>
            </w:r>
            <w:r>
              <w:rPr>
                <w:rFonts w:hint="eastAsia" w:ascii="宋体" w:hAnsi="宋体" w:eastAsia="宋体" w:cs="宋体"/>
                <w:color w:val="auto"/>
                <w:sz w:val="24"/>
                <w:szCs w:val="24"/>
                <w:highlight w:val="none"/>
              </w:rPr>
              <w:t>每承担过（包含已完成或正在实施的项目）1个工程类施工项目业绩得2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分，满分10分，分数得满为止。</w:t>
            </w:r>
          </w:p>
          <w:p w14:paraId="10B84307">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响应文件中须提供业绩列表及相对应的业绩证明材料的原件扫描件，业绩证明材料为中标/成交通知书或合同（提供合同的，须至少提供合同首页、承担范围所在页、日期及委托方与受托方公章盖章页）或业主证明或工程接收（工程竣工验收）证明材料；无证明材料或未按要求提供证明材料或证明材料无法体现内容的，不予认可。</w:t>
            </w:r>
          </w:p>
        </w:tc>
      </w:tr>
    </w:tbl>
    <w:p w14:paraId="108A30F3">
      <w:pPr>
        <w:shd w:val="clear" w:color="auto" w:fill="auto"/>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0BE4FF34">
      <w:pPr>
        <w:pStyle w:val="19"/>
        <w:widowControl/>
        <w:shd w:val="clear" w:color="auto" w:fill="auto"/>
        <w:spacing w:before="312" w:beforeLines="10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1、评审原则及方法</w:t>
      </w:r>
    </w:p>
    <w:p w14:paraId="4BAEB689">
      <w:pPr>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1.1本竞争性磋商项目采用综合评分法进行评审，磋商小组对满足竞争性磋商文件实质性要求的《响应文件》按照本章规定的评分标准进行打分，根据</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最终得分由高到低的顺序推荐成交候选人。</w:t>
      </w:r>
    </w:p>
    <w:p w14:paraId="62C2907B">
      <w:pPr>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根据财政部《关于政府采购竞争性磋商采购方式管理暂行办法有关问题的补充通知》财库〔2015〕124号文件的规定，采用竞争性磋商采购方式采购的政府购买服务项目（含政府和社会资本合作项目），在采购过程中符合要求的</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（社会资本）只有2家的，竞争性磋商采购活动可以继续进行。采购过程中符合要求的磋商申请人（社会资本）只有1家的，采购人（项目实施机构）或者采购代理机构应当终止竞争性磋商采购活动。</w:t>
      </w:r>
    </w:p>
    <w:p w14:paraId="7F6219B7">
      <w:pPr>
        <w:pStyle w:val="19"/>
        <w:keepNext w:val="0"/>
        <w:keepLines w:val="0"/>
        <w:pageBreakBefore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2、实质性评审</w:t>
      </w:r>
    </w:p>
    <w:p w14:paraId="7348C964">
      <w:pPr>
        <w:pageBreakBefore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lang w:val="en-US" w:eastAsia="zh-CN"/>
        </w:rPr>
      </w:pPr>
      <w:bookmarkStart w:id="968" w:name="_Toc15929"/>
      <w:bookmarkStart w:id="969" w:name="_Toc18358"/>
      <w:bookmarkStart w:id="970" w:name="_Toc516762836"/>
      <w:bookmarkStart w:id="971" w:name="_Toc53845204"/>
      <w:bookmarkStart w:id="972" w:name="_Toc517710042"/>
      <w:bookmarkStart w:id="973" w:name="_Toc518141903"/>
      <w:bookmarkStart w:id="974" w:name="_Toc54871525"/>
      <w:bookmarkStart w:id="975" w:name="_Toc13640"/>
      <w:bookmarkStart w:id="976" w:name="_Toc28112"/>
      <w:bookmarkStart w:id="977" w:name="_Toc21375"/>
      <w:bookmarkStart w:id="978" w:name="_Toc516389824"/>
      <w:bookmarkStart w:id="979" w:name="_Toc495488564"/>
      <w:bookmarkStart w:id="980" w:name="_Toc518140132"/>
      <w:bookmarkStart w:id="981" w:name="_Toc516654862"/>
      <w:bookmarkStart w:id="982" w:name="_Toc517891547"/>
      <w:bookmarkStart w:id="983" w:name="_Toc518141771"/>
      <w:bookmarkStart w:id="984" w:name="_Toc30097"/>
      <w:bookmarkStart w:id="985" w:name="_Toc491097877"/>
      <w:bookmarkStart w:id="986" w:name="_Toc16024"/>
      <w:bookmarkStart w:id="987" w:name="_Toc10251"/>
      <w:bookmarkStart w:id="988" w:name="_Toc491159093"/>
      <w:bookmarkStart w:id="989" w:name="_Toc516674707"/>
      <w:bookmarkStart w:id="990" w:name="_Toc518130854"/>
      <w:bookmarkStart w:id="991" w:name="_Toc13407"/>
      <w:bookmarkStart w:id="992" w:name="_Toc75476315"/>
      <w:bookmarkStart w:id="993" w:name="_Toc517710379"/>
      <w:bookmarkStart w:id="994" w:name="_Toc78372782"/>
      <w:bookmarkStart w:id="995" w:name="_Toc55384615"/>
      <w:bookmarkStart w:id="996" w:name="_Toc1343"/>
      <w:bookmarkStart w:id="997" w:name="_Toc517978872"/>
      <w:bookmarkStart w:id="998" w:name="_Toc12132"/>
      <w:bookmarkStart w:id="999" w:name="_Toc28137"/>
      <w:bookmarkStart w:id="1000" w:name="_Toc516389715"/>
      <w:bookmarkStart w:id="1001" w:name="_Toc53941946"/>
      <w:bookmarkStart w:id="1002" w:name="_Toc518130789"/>
      <w:bookmarkStart w:id="1003" w:name="_Toc517962059"/>
      <w:bookmarkStart w:id="1004" w:name="_Toc516331239"/>
      <w:bookmarkStart w:id="1005" w:name="_Toc517710824"/>
      <w:bookmarkStart w:id="1006" w:name="_Toc4151"/>
      <w:bookmarkStart w:id="1007" w:name="_Toc491089874"/>
      <w:bookmarkStart w:id="1008" w:name="_Toc31846"/>
      <w:r>
        <w:rPr>
          <w:rFonts w:hint="eastAsia" w:ascii="宋体" w:hAnsi="宋体" w:eastAsia="宋体" w:cs="宋体"/>
          <w:b/>
          <w:bCs w:val="0"/>
          <w:color w:val="auto"/>
          <w:sz w:val="24"/>
          <w:szCs w:val="24"/>
          <w:highlight w:val="none"/>
          <w:lang w:val="en-US" w:eastAsia="zh-CN"/>
        </w:rPr>
        <w:t>2.1</w:t>
      </w:r>
      <w:r>
        <w:rPr>
          <w:rFonts w:hint="eastAsia" w:ascii="宋体" w:hAnsi="宋体" w:eastAsia="宋体" w:cs="宋体"/>
          <w:b/>
          <w:bCs w:val="0"/>
          <w:color w:val="auto"/>
          <w:sz w:val="24"/>
          <w:szCs w:val="24"/>
          <w:highlight w:val="none"/>
        </w:rPr>
        <w:t>初步评审</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425C6E8D">
      <w:pPr>
        <w:pageBreakBefore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2.1.1</w:t>
      </w:r>
      <w:r>
        <w:rPr>
          <w:rFonts w:hint="eastAsia" w:ascii="宋体" w:hAnsi="宋体" w:eastAsia="宋体" w:cs="宋体"/>
          <w:b/>
          <w:color w:val="auto"/>
          <w:sz w:val="24"/>
          <w:szCs w:val="24"/>
          <w:highlight w:val="none"/>
        </w:rPr>
        <w:t>资格审查</w:t>
      </w:r>
    </w:p>
    <w:p w14:paraId="00BFF6D9">
      <w:pPr>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磋商办法</w:t>
      </w:r>
      <w:r>
        <w:rPr>
          <w:rFonts w:hint="eastAsia" w:ascii="宋体" w:hAnsi="宋体" w:eastAsia="宋体" w:cs="宋体"/>
          <w:color w:val="auto"/>
          <w:sz w:val="24"/>
          <w:szCs w:val="24"/>
          <w:highlight w:val="none"/>
        </w:rPr>
        <w:t>前附表中规定的评审因素和评审标准，</w:t>
      </w:r>
      <w:r>
        <w:rPr>
          <w:rFonts w:hint="eastAsia"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对供应商的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文件进行资格审查，并记录评审结果。通过资格审查的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文件方能进入符合性审查。</w:t>
      </w:r>
    </w:p>
    <w:p w14:paraId="53D62741">
      <w:pPr>
        <w:pageBreakBefore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2.1.2</w:t>
      </w:r>
      <w:r>
        <w:rPr>
          <w:rFonts w:hint="eastAsia" w:ascii="宋体" w:hAnsi="宋体" w:eastAsia="宋体" w:cs="宋体"/>
          <w:b/>
          <w:color w:val="auto"/>
          <w:sz w:val="24"/>
          <w:szCs w:val="24"/>
          <w:highlight w:val="none"/>
        </w:rPr>
        <w:t>符合性审查</w:t>
      </w:r>
    </w:p>
    <w:p w14:paraId="49FE0B8F">
      <w:pPr>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办法前附表中规定的评审因素和评审标准，磋商小组对供应商的投标文件进行符合性审查，并记录评审结果。通过符合性审查的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文件方能进入</w:t>
      </w:r>
      <w:r>
        <w:rPr>
          <w:rFonts w:hint="eastAsia" w:hAnsi="宋体" w:cs="宋体"/>
          <w:color w:val="auto"/>
          <w:sz w:val="24"/>
          <w:szCs w:val="24"/>
          <w:highlight w:val="none"/>
          <w:lang w:val="en-US" w:eastAsia="zh-CN"/>
        </w:rPr>
        <w:t>详细评审</w:t>
      </w:r>
      <w:r>
        <w:rPr>
          <w:rFonts w:hint="eastAsia" w:ascii="宋体" w:hAnsi="宋体" w:eastAsia="宋体" w:cs="宋体"/>
          <w:color w:val="auto"/>
          <w:sz w:val="24"/>
          <w:szCs w:val="24"/>
          <w:highlight w:val="none"/>
        </w:rPr>
        <w:t>。</w:t>
      </w:r>
    </w:p>
    <w:p w14:paraId="358E5BA1">
      <w:pPr>
        <w:pageBreakBefore w:val="0"/>
        <w:shd w:val="clear" w:color="auto" w:fill="auto"/>
        <w:kinsoku/>
        <w:wordWrap/>
        <w:overflowPunct/>
        <w:topLinePunct w:val="0"/>
        <w:autoSpaceDE/>
        <w:autoSpaceDN/>
        <w:bidi w:val="0"/>
        <w:adjustRightInd/>
        <w:snapToGrid/>
        <w:spacing w:line="360" w:lineRule="auto"/>
        <w:ind w:firstLine="482" w:firstLineChars="200"/>
        <w:jc w:val="left"/>
        <w:textAlignment w:val="auto"/>
        <w:outlineLvl w:val="9"/>
        <w:rPr>
          <w:rFonts w:hint="default" w:ascii="宋体" w:hAnsi="宋体" w:eastAsia="宋体" w:cs="宋体"/>
          <w:b/>
          <w:bCs w:val="0"/>
          <w:color w:val="auto"/>
          <w:kern w:val="2"/>
          <w:sz w:val="24"/>
          <w:szCs w:val="24"/>
          <w:highlight w:val="none"/>
          <w:lang w:val="en-US" w:eastAsia="zh-CN"/>
        </w:rPr>
      </w:pPr>
      <w:r>
        <w:rPr>
          <w:rFonts w:hint="eastAsia" w:ascii="宋体" w:hAnsi="宋体" w:eastAsia="宋体" w:cs="宋体"/>
          <w:b/>
          <w:bCs w:val="0"/>
          <w:color w:val="auto"/>
          <w:kern w:val="2"/>
          <w:sz w:val="24"/>
          <w:szCs w:val="24"/>
          <w:highlight w:val="none"/>
        </w:rPr>
        <w:t>2.</w:t>
      </w:r>
      <w:r>
        <w:rPr>
          <w:rFonts w:hint="eastAsia" w:ascii="宋体" w:hAnsi="宋体" w:eastAsia="宋体" w:cs="宋体"/>
          <w:b/>
          <w:bCs w:val="0"/>
          <w:color w:val="auto"/>
          <w:kern w:val="2"/>
          <w:sz w:val="24"/>
          <w:szCs w:val="24"/>
          <w:highlight w:val="none"/>
          <w:lang w:val="en-US" w:eastAsia="zh-CN"/>
        </w:rPr>
        <w:t>1.3详细评审</w:t>
      </w:r>
    </w:p>
    <w:p w14:paraId="6B54B104">
      <w:pPr>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F1</w:t>
      </w:r>
      <w:r>
        <w:rPr>
          <w:rFonts w:hint="eastAsia"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部分评审标准：</w:t>
      </w:r>
      <w:r>
        <w:rPr>
          <w:rFonts w:hint="eastAsia" w:ascii="宋体" w:hAnsi="宋体" w:eastAsia="宋体" w:cs="宋体"/>
          <w:color w:val="auto"/>
          <w:sz w:val="24"/>
          <w:szCs w:val="24"/>
          <w:highlight w:val="none"/>
          <w:lang w:val="en-US" w:eastAsia="zh-CN"/>
        </w:rPr>
        <w:t>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办法前附表。</w:t>
      </w:r>
    </w:p>
    <w:p w14:paraId="62156DCF">
      <w:pPr>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F2</w:t>
      </w:r>
      <w:r>
        <w:rPr>
          <w:rFonts w:hint="eastAsia" w:ascii="宋体" w:hAnsi="宋体" w:eastAsia="宋体" w:cs="宋体"/>
          <w:color w:val="auto"/>
          <w:sz w:val="24"/>
          <w:szCs w:val="24"/>
          <w:highlight w:val="none"/>
        </w:rPr>
        <w:t>技术部分评审标准：</w:t>
      </w:r>
      <w:r>
        <w:rPr>
          <w:rFonts w:hint="eastAsia" w:ascii="宋体" w:hAnsi="宋体" w:eastAsia="宋体" w:cs="宋体"/>
          <w:color w:val="auto"/>
          <w:sz w:val="24"/>
          <w:szCs w:val="24"/>
          <w:highlight w:val="none"/>
          <w:lang w:val="en-US" w:eastAsia="zh-CN"/>
        </w:rPr>
        <w:t>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办法前附表。</w:t>
      </w:r>
    </w:p>
    <w:p w14:paraId="206C9E09">
      <w:pPr>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F3</w:t>
      </w:r>
      <w:r>
        <w:rPr>
          <w:rFonts w:hint="eastAsia" w:ascii="宋体" w:hAnsi="宋体" w:eastAsia="宋体" w:cs="宋体"/>
          <w:color w:val="auto"/>
          <w:sz w:val="24"/>
          <w:szCs w:val="24"/>
          <w:highlight w:val="none"/>
        </w:rPr>
        <w:t>商务部分评审标准：</w:t>
      </w:r>
      <w:r>
        <w:rPr>
          <w:rFonts w:hint="eastAsia" w:ascii="宋体" w:hAnsi="宋体" w:eastAsia="宋体" w:cs="宋体"/>
          <w:color w:val="auto"/>
          <w:sz w:val="24"/>
          <w:szCs w:val="24"/>
          <w:highlight w:val="none"/>
          <w:lang w:val="en-US" w:eastAsia="zh-CN"/>
        </w:rPr>
        <w:t>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办法前附表。</w:t>
      </w:r>
    </w:p>
    <w:p w14:paraId="79326E8B">
      <w:pPr>
        <w:pStyle w:val="19"/>
        <w:keepNext w:val="0"/>
        <w:keepLines w:val="0"/>
        <w:shd w:val="clear" w:color="auto" w:fill="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3、磋商及</w:t>
      </w:r>
      <w:r>
        <w:rPr>
          <w:rFonts w:hint="eastAsia" w:ascii="宋体" w:hAnsi="宋体" w:eastAsia="宋体" w:cs="宋体"/>
          <w:b/>
          <w:bCs/>
          <w:color w:val="auto"/>
          <w:sz w:val="24"/>
          <w:szCs w:val="24"/>
          <w:highlight w:val="none"/>
          <w:lang w:val="en-US" w:eastAsia="zh-CN"/>
        </w:rPr>
        <w:t>最终</w:t>
      </w:r>
      <w:r>
        <w:rPr>
          <w:rFonts w:hint="eastAsia" w:ascii="宋体" w:hAnsi="宋体" w:eastAsia="宋体" w:cs="宋体"/>
          <w:b/>
          <w:bCs/>
          <w:color w:val="auto"/>
          <w:sz w:val="24"/>
          <w:szCs w:val="24"/>
          <w:highlight w:val="none"/>
        </w:rPr>
        <w:t>报价</w:t>
      </w:r>
    </w:p>
    <w:p w14:paraId="52A26D03">
      <w:pPr>
        <w:pageBreakBefore w:val="0"/>
        <w:shd w:val="clear" w:color="auto" w:fill="auto"/>
        <w:tabs>
          <w:tab w:val="left" w:pos="2472"/>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磋商小组所有成员集中与通过实质性审查的供应商分别进行磋商。在磋商中，磋商的任何一方不得透露与磋商有关的其他供应商的技术资料、</w:t>
      </w:r>
      <w:r>
        <w:rPr>
          <w:rFonts w:hint="eastAsia" w:hAnsi="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 xml:space="preserve">、折扣和其他信息。 </w:t>
      </w:r>
    </w:p>
    <w:p w14:paraId="5AE7C6F8">
      <w:pPr>
        <w:pageBreakBefore w:val="0"/>
        <w:shd w:val="clear" w:color="auto" w:fill="auto"/>
        <w:tabs>
          <w:tab w:val="left" w:pos="2472"/>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竞争性磋商文件有实质性变动的，磋商小组将经采购人代表确认后，以书面形式通知所有参加磋商的供应商。但不得对涉及竞争的公平、公正性内容进行修改、变动。</w:t>
      </w:r>
    </w:p>
    <w:p w14:paraId="7C582081">
      <w:pPr>
        <w:pageBreakBefore w:val="0"/>
        <w:shd w:val="clear" w:color="auto" w:fill="auto"/>
        <w:tabs>
          <w:tab w:val="left" w:pos="2472"/>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为</w:t>
      </w:r>
      <w:r>
        <w:rPr>
          <w:rFonts w:hint="eastAsia" w:ascii="宋体" w:hAnsi="宋体" w:eastAsia="宋体" w:cs="宋体"/>
          <w:color w:val="auto"/>
          <w:kern w:val="0"/>
          <w:sz w:val="24"/>
          <w:szCs w:val="24"/>
          <w:highlight w:val="none"/>
          <w:lang w:eastAsia="zh-CN"/>
        </w:rPr>
        <w:t>有助于</w:t>
      </w:r>
      <w:r>
        <w:rPr>
          <w:rFonts w:hint="eastAsia" w:ascii="宋体" w:hAnsi="宋体" w:eastAsia="宋体" w:cs="宋体"/>
          <w:color w:val="auto"/>
          <w:kern w:val="0"/>
          <w:sz w:val="24"/>
          <w:szCs w:val="24"/>
          <w:highlight w:val="none"/>
        </w:rPr>
        <w:t>响应文件的详细审查、评价和比较，磋商小组可要求对供应商分别进行技术询问、澄清，有关要求和答复均现场进行。</w:t>
      </w:r>
    </w:p>
    <w:p w14:paraId="591912AB">
      <w:pPr>
        <w:pageBreakBefore w:val="0"/>
        <w:shd w:val="clear" w:color="auto" w:fill="auto"/>
        <w:tabs>
          <w:tab w:val="left" w:pos="2472"/>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w:t>
      </w:r>
      <w:r>
        <w:rPr>
          <w:rFonts w:hint="eastAsia" w:ascii="宋体" w:hAnsi="宋体" w:cs="宋体"/>
          <w:color w:val="auto"/>
          <w:kern w:val="0"/>
          <w:sz w:val="24"/>
          <w:szCs w:val="24"/>
          <w:highlight w:val="none"/>
          <w:lang w:eastAsia="zh-CN"/>
        </w:rPr>
        <w:t>法定代表人</w:t>
      </w:r>
      <w:r>
        <w:rPr>
          <w:rFonts w:hint="eastAsia" w:ascii="宋体" w:hAnsi="宋体" w:eastAsia="宋体" w:cs="宋体"/>
          <w:color w:val="auto"/>
          <w:kern w:val="0"/>
          <w:sz w:val="24"/>
          <w:szCs w:val="24"/>
          <w:highlight w:val="none"/>
        </w:rPr>
        <w:t>或其授权代表签字或者加盖公章。由授权代表签字的，应当附</w:t>
      </w:r>
      <w:r>
        <w:rPr>
          <w:rFonts w:hint="eastAsia" w:ascii="宋体" w:hAnsi="宋体" w:cs="宋体"/>
          <w:color w:val="auto"/>
          <w:kern w:val="0"/>
          <w:sz w:val="24"/>
          <w:szCs w:val="24"/>
          <w:highlight w:val="none"/>
          <w:lang w:eastAsia="zh-CN"/>
        </w:rPr>
        <w:t>法定代表人</w:t>
      </w:r>
      <w:r>
        <w:rPr>
          <w:rFonts w:hint="eastAsia" w:ascii="宋体" w:hAnsi="宋体" w:eastAsia="宋体" w:cs="宋体"/>
          <w:color w:val="auto"/>
          <w:kern w:val="0"/>
          <w:sz w:val="24"/>
          <w:szCs w:val="24"/>
          <w:highlight w:val="none"/>
        </w:rPr>
        <w:t>授权书。供应商为自然人的，应当由本人签字并附身份证明。</w:t>
      </w:r>
    </w:p>
    <w:p w14:paraId="586B1186">
      <w:pPr>
        <w:pageBreakBefore w:val="0"/>
        <w:shd w:val="clear" w:color="auto" w:fill="auto"/>
        <w:tabs>
          <w:tab w:val="left" w:pos="2472"/>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 磋商小组要求供应商澄清、说明或者更正响应文件应当以书面形式作出。供应商的澄清、说明或者更正应当由</w:t>
      </w:r>
      <w:r>
        <w:rPr>
          <w:rFonts w:hint="eastAsia" w:ascii="宋体" w:hAnsi="宋体" w:cs="宋体"/>
          <w:color w:val="auto"/>
          <w:kern w:val="0"/>
          <w:sz w:val="24"/>
          <w:szCs w:val="24"/>
          <w:highlight w:val="none"/>
          <w:lang w:eastAsia="zh-CN"/>
        </w:rPr>
        <w:t>法定代表人</w:t>
      </w:r>
      <w:r>
        <w:rPr>
          <w:rFonts w:hint="eastAsia" w:ascii="宋体" w:hAnsi="宋体" w:eastAsia="宋体" w:cs="宋体"/>
          <w:color w:val="auto"/>
          <w:kern w:val="0"/>
          <w:sz w:val="24"/>
          <w:szCs w:val="24"/>
          <w:highlight w:val="none"/>
        </w:rPr>
        <w:t>或其授权代表签字或者加盖公章。</w:t>
      </w:r>
    </w:p>
    <w:p w14:paraId="1BAB0D93">
      <w:pPr>
        <w:pageBreakBefore w:val="0"/>
        <w:shd w:val="clear" w:color="auto" w:fill="auto"/>
        <w:tabs>
          <w:tab w:val="left" w:pos="2472"/>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 磋商结束后，所有实质性响应的供应商在规定时间内提交</w:t>
      </w:r>
      <w:r>
        <w:rPr>
          <w:rFonts w:hint="eastAsia" w:ascii="宋体" w:hAnsi="宋体" w:eastAsia="宋体" w:cs="宋体"/>
          <w:color w:val="auto"/>
          <w:kern w:val="0"/>
          <w:sz w:val="24"/>
          <w:szCs w:val="24"/>
          <w:highlight w:val="none"/>
          <w:lang w:val="en-US" w:eastAsia="zh-CN"/>
        </w:rPr>
        <w:t>有效的</w:t>
      </w:r>
      <w:r>
        <w:rPr>
          <w:rFonts w:hint="eastAsia" w:hAnsi="宋体" w:cs="宋体"/>
          <w:color w:val="auto"/>
          <w:kern w:val="0"/>
          <w:sz w:val="24"/>
          <w:szCs w:val="24"/>
          <w:highlight w:val="none"/>
          <w:lang w:val="en-US" w:eastAsia="zh-CN"/>
        </w:rPr>
        <w:t>最终</w:t>
      </w:r>
      <w:r>
        <w:rPr>
          <w:rFonts w:hint="eastAsia" w:ascii="宋体" w:hAnsi="宋体" w:eastAsia="宋体" w:cs="宋体"/>
          <w:color w:val="auto"/>
          <w:kern w:val="0"/>
          <w:sz w:val="24"/>
          <w:szCs w:val="24"/>
          <w:highlight w:val="none"/>
        </w:rPr>
        <w:t>报价，</w:t>
      </w:r>
      <w:r>
        <w:rPr>
          <w:rFonts w:hint="eastAsia" w:ascii="宋体" w:hAnsi="宋体" w:eastAsia="宋体" w:cs="宋体"/>
          <w:b/>
          <w:bCs/>
          <w:color w:val="auto"/>
          <w:kern w:val="0"/>
          <w:sz w:val="24"/>
          <w:szCs w:val="24"/>
          <w:highlight w:val="none"/>
        </w:rPr>
        <w:t>最后报价超过最高限价的供应商将被视为实质性条件不满足本项目，其响应文件将被否决。</w:t>
      </w:r>
    </w:p>
    <w:p w14:paraId="4397A56D">
      <w:pPr>
        <w:pageBreakBefore w:val="0"/>
        <w:shd w:val="clear" w:color="auto" w:fill="auto"/>
        <w:tabs>
          <w:tab w:val="left" w:pos="2472"/>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提交</w:t>
      </w:r>
      <w:r>
        <w:rPr>
          <w:rFonts w:hint="eastAsia" w:hAnsi="宋体" w:cs="宋体"/>
          <w:b/>
          <w:bCs/>
          <w:color w:val="auto"/>
          <w:kern w:val="0"/>
          <w:sz w:val="24"/>
          <w:szCs w:val="24"/>
          <w:highlight w:val="none"/>
          <w:lang w:val="en-US" w:eastAsia="zh-CN"/>
        </w:rPr>
        <w:t>最终</w:t>
      </w:r>
      <w:r>
        <w:rPr>
          <w:rFonts w:hint="eastAsia" w:ascii="宋体" w:hAnsi="宋体" w:eastAsia="宋体" w:cs="宋体"/>
          <w:b/>
          <w:bCs/>
          <w:color w:val="auto"/>
          <w:kern w:val="0"/>
          <w:sz w:val="24"/>
          <w:szCs w:val="24"/>
          <w:highlight w:val="none"/>
        </w:rPr>
        <w:t>报价的供应商不得少于3家。</w:t>
      </w:r>
      <w:r>
        <w:rPr>
          <w:rFonts w:hint="eastAsia" w:hAnsi="宋体" w:cs="宋体"/>
          <w:color w:val="auto"/>
          <w:kern w:val="0"/>
          <w:sz w:val="24"/>
          <w:szCs w:val="24"/>
          <w:highlight w:val="none"/>
          <w:lang w:val="en-US" w:eastAsia="zh-CN"/>
        </w:rPr>
        <w:t>最终</w:t>
      </w:r>
      <w:r>
        <w:rPr>
          <w:rFonts w:hint="eastAsia" w:ascii="宋体" w:hAnsi="宋体" w:eastAsia="宋体" w:cs="宋体"/>
          <w:color w:val="auto"/>
          <w:kern w:val="0"/>
          <w:sz w:val="24"/>
          <w:szCs w:val="24"/>
          <w:highlight w:val="none"/>
        </w:rPr>
        <w:t>报价是供应商响应文件的有效组成部分。</w:t>
      </w:r>
    </w:p>
    <w:p w14:paraId="49A0F124">
      <w:pPr>
        <w:pStyle w:val="19"/>
        <w:keepNext w:val="0"/>
        <w:keepLines w:val="0"/>
        <w:shd w:val="clear" w:color="auto" w:fill="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4、详细评审及统分原则</w:t>
      </w:r>
    </w:p>
    <w:p w14:paraId="34005AD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4.1磋商小组各成员将按照竞争性磋商文件中规定的详细评审标准独立对每个有效响应的文件进行评价、打分，然后汇总每个供应商每项评分因素的得分，最终按以下公式计算出各供应商的评审得分。</w:t>
      </w:r>
    </w:p>
    <w:p w14:paraId="26D4DAE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评审得分=F1+F2+F3</w:t>
      </w:r>
    </w:p>
    <w:p w14:paraId="44752039">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其中：F1、F2、F3分别为</w:t>
      </w:r>
      <w:r>
        <w:rPr>
          <w:rFonts w:hint="eastAsia"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评分、技术部分评分、商务部分评分3项评审因素的汇总得分。</w:t>
      </w:r>
    </w:p>
    <w:p w14:paraId="6FF388B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磋商小组成员要依法独立审查，并对审查意见承担个人责任。磋商小组成员对需要共同认定的事项存在争议的，按照少数服从多数的原则做出结论。持不同意见的磋商小组成员应当在评审报告上签署不同意见并说明理由，否则视为同意。</w:t>
      </w:r>
    </w:p>
    <w:p w14:paraId="548859F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4.3磋商小组对供应商的</w:t>
      </w:r>
      <w:r>
        <w:rPr>
          <w:rFonts w:hint="eastAsia"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分等客观评分项的评分应当一致，对其他需要借助专业知识评判的主观评分项，应当严格按照评分细则公正评分。</w:t>
      </w:r>
    </w:p>
    <w:p w14:paraId="09A0B27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4.4供应商各项评分因素得分为该项因素各成员评分的算术平均值（保留小数点后两位），小数点后第三位“四舍五入”。</w:t>
      </w:r>
    </w:p>
    <w:p w14:paraId="52D333B1">
      <w:pPr>
        <w:pStyle w:val="19"/>
        <w:keepNext w:val="0"/>
        <w:keepLines w:val="0"/>
        <w:shd w:val="clear" w:color="auto" w:fill="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5、推荐成交候选供应商及确定成交供应商</w:t>
      </w:r>
    </w:p>
    <w:p w14:paraId="1C100D6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5.1磋商小组根据综合评分情况，按照评审得分由高到低顺序推荐3名以上成交候选供应商，并编写评审报告。评审得分相同的，按照</w:t>
      </w:r>
      <w:r>
        <w:rPr>
          <w:rFonts w:hint="eastAsia" w:hAnsi="宋体" w:cs="宋体"/>
          <w:color w:val="auto"/>
          <w:sz w:val="24"/>
          <w:szCs w:val="24"/>
          <w:highlight w:val="none"/>
          <w:lang w:val="en-US" w:eastAsia="zh-CN"/>
        </w:rPr>
        <w:t>最终</w:t>
      </w:r>
      <w:r>
        <w:rPr>
          <w:rFonts w:hint="eastAsia" w:ascii="宋体" w:hAnsi="宋体" w:eastAsia="宋体" w:cs="宋体"/>
          <w:color w:val="auto"/>
          <w:sz w:val="24"/>
          <w:szCs w:val="24"/>
          <w:highlight w:val="none"/>
        </w:rPr>
        <w:t>报价（符合中小企业划分标准或残疾人福利性单位或监狱企业用扣除后的价格参与评审）由低到高的顺序推荐。评审得分且</w:t>
      </w:r>
      <w:r>
        <w:rPr>
          <w:rFonts w:hint="eastAsia" w:hAnsi="宋体" w:cs="宋体"/>
          <w:color w:val="auto"/>
          <w:sz w:val="24"/>
          <w:szCs w:val="24"/>
          <w:highlight w:val="none"/>
          <w:lang w:val="en-US" w:eastAsia="zh-CN"/>
        </w:rPr>
        <w:t>最终</w:t>
      </w:r>
      <w:r>
        <w:rPr>
          <w:rFonts w:hint="eastAsia" w:ascii="宋体" w:hAnsi="宋体" w:eastAsia="宋体" w:cs="宋体"/>
          <w:color w:val="auto"/>
          <w:sz w:val="24"/>
          <w:szCs w:val="24"/>
          <w:highlight w:val="none"/>
        </w:rPr>
        <w:t>报价相同的，按照技术指标优劣顺序推荐。</w:t>
      </w:r>
    </w:p>
    <w:p w14:paraId="02715220">
      <w:pPr>
        <w:shd w:val="clear" w:color="auto" w:fill="auto"/>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5.2采购人从评审报告提出的成交候选供应商中，按照排序由高到低的原则确定成交供应商。</w:t>
      </w:r>
    </w:p>
    <w:p w14:paraId="1AB38C3D">
      <w:pPr>
        <w:rPr>
          <w:color w:val="auto"/>
          <w:highlight w:val="none"/>
        </w:rPr>
      </w:pPr>
    </w:p>
    <w:p w14:paraId="3FC74D43">
      <w:pPr>
        <w:rPr>
          <w:color w:val="auto"/>
          <w:highlight w:val="none"/>
        </w:rPr>
      </w:pPr>
    </w:p>
    <w:sectPr>
      <w:footerReference r:id="rId5" w:type="default"/>
      <w:pgSz w:w="11906" w:h="16838"/>
      <w:pgMar w:top="1389" w:right="1389" w:bottom="1389" w:left="1389"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F8101">
    <w:pPr>
      <w:pStyle w:val="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2E">
    <w:pPr>
      <w:pStyle w:val="9"/>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0B1E67">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00B1E67">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B888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46E89"/>
    <w:rsid w:val="00E12589"/>
    <w:rsid w:val="032133F9"/>
    <w:rsid w:val="07AF43CA"/>
    <w:rsid w:val="08BD7DA5"/>
    <w:rsid w:val="0CC64DD6"/>
    <w:rsid w:val="12446E89"/>
    <w:rsid w:val="13577E6B"/>
    <w:rsid w:val="1367395A"/>
    <w:rsid w:val="13AC569A"/>
    <w:rsid w:val="17F0740C"/>
    <w:rsid w:val="1B2026F6"/>
    <w:rsid w:val="27722D9C"/>
    <w:rsid w:val="2CF2792E"/>
    <w:rsid w:val="2F580D57"/>
    <w:rsid w:val="37CE1DAE"/>
    <w:rsid w:val="39472B23"/>
    <w:rsid w:val="3ED26D52"/>
    <w:rsid w:val="3F5636D4"/>
    <w:rsid w:val="45D01738"/>
    <w:rsid w:val="482E66A7"/>
    <w:rsid w:val="4D365A25"/>
    <w:rsid w:val="5101065B"/>
    <w:rsid w:val="5200380D"/>
    <w:rsid w:val="52952878"/>
    <w:rsid w:val="570977AE"/>
    <w:rsid w:val="61271157"/>
    <w:rsid w:val="61813B73"/>
    <w:rsid w:val="670752BE"/>
    <w:rsid w:val="6CA572BA"/>
    <w:rsid w:val="6D595004"/>
    <w:rsid w:val="6FF9170D"/>
    <w:rsid w:val="70436DB8"/>
    <w:rsid w:val="71614A1E"/>
    <w:rsid w:val="72E4641C"/>
    <w:rsid w:val="764469AF"/>
    <w:rsid w:val="78A33257"/>
    <w:rsid w:val="7BF21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napToGrid w:val="0"/>
      <w:kern w:val="21"/>
      <w:sz w:val="21"/>
      <w:szCs w:val="24"/>
      <w:lang w:val="en-US" w:eastAsia="zh-CN" w:bidi="ar-SA"/>
    </w:rPr>
  </w:style>
  <w:style w:type="paragraph" w:styleId="2">
    <w:name w:val="heading 1"/>
    <w:basedOn w:val="1"/>
    <w:next w:val="1"/>
    <w:qFormat/>
    <w:uiPriority w:val="9"/>
    <w:pPr>
      <w:keepNext/>
      <w:keepLines/>
      <w:spacing w:before="120" w:after="120" w:line="360" w:lineRule="auto"/>
      <w:jc w:val="center"/>
      <w:outlineLvl w:val="0"/>
    </w:pPr>
    <w:rPr>
      <w:rFonts w:ascii="Calibri"/>
      <w:b/>
      <w:bCs/>
      <w:snapToGrid/>
      <w:kern w:val="44"/>
      <w:sz w:val="30"/>
      <w:szCs w:val="44"/>
    </w:rPr>
  </w:style>
  <w:style w:type="paragraph" w:styleId="3">
    <w:name w:val="heading 2"/>
    <w:basedOn w:val="1"/>
    <w:next w:val="1"/>
    <w:qFormat/>
    <w:uiPriority w:val="0"/>
    <w:pPr>
      <w:keepNext/>
      <w:keepLines/>
      <w:spacing w:before="260" w:after="260" w:line="416" w:lineRule="auto"/>
      <w:outlineLvl w:val="1"/>
    </w:pPr>
    <w:rPr>
      <w:rFonts w:ascii="黑体" w:hAnsi="宋体" w:eastAsia="黑体"/>
      <w:bCs/>
      <w:snapToGrid/>
      <w:kern w:val="2"/>
      <w:sz w:val="32"/>
      <w:szCs w:val="36"/>
      <w:lang w:val="zh-CN"/>
    </w:rPr>
  </w:style>
  <w:style w:type="paragraph" w:styleId="4">
    <w:name w:val="heading 3"/>
    <w:basedOn w:val="1"/>
    <w:next w:val="1"/>
    <w:qFormat/>
    <w:uiPriority w:val="0"/>
    <w:pPr>
      <w:keepNext/>
      <w:keepLines/>
      <w:spacing w:before="60" w:after="60" w:line="400" w:lineRule="exact"/>
      <w:ind w:firstLine="510"/>
      <w:outlineLvl w:val="2"/>
    </w:pPr>
    <w:rPr>
      <w:rFonts w:hint="eastAsia" w:ascii="黑体" w:hAnsi="宋体" w:eastAsia="黑体"/>
      <w:bCs/>
      <w:snapToGrid/>
      <w:kern w:val="2"/>
      <w:sz w:val="30"/>
      <w:szCs w:val="20"/>
      <w:lang w:val="zh-CN"/>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eastAsia="宋体" w:cs="Times New Roman"/>
      <w:snapToGrid/>
      <w:kern w:val="2"/>
      <w:szCs w:val="22"/>
    </w:rPr>
  </w:style>
  <w:style w:type="paragraph" w:styleId="6">
    <w:name w:val="Body Text"/>
    <w:basedOn w:val="1"/>
    <w:next w:val="7"/>
    <w:qFormat/>
    <w:uiPriority w:val="0"/>
    <w:pPr>
      <w:widowControl w:val="0"/>
      <w:spacing w:after="120" w:afterLines="0"/>
      <w:jc w:val="both"/>
    </w:pPr>
    <w:rPr>
      <w:rFonts w:ascii="Times New Roman" w:hAnsi="Times New Roman" w:eastAsia="宋体" w:cs="Times New Roman"/>
      <w:snapToGrid w:val="0"/>
      <w:kern w:val="21"/>
      <w:sz w:val="21"/>
      <w:szCs w:val="24"/>
      <w:lang w:val="en-US" w:eastAsia="zh-CN" w:bidi="ar-SA"/>
    </w:rPr>
  </w:style>
  <w:style w:type="paragraph" w:styleId="7">
    <w:name w:val="toc 5"/>
    <w:basedOn w:val="1"/>
    <w:next w:val="1"/>
    <w:qFormat/>
    <w:uiPriority w:val="39"/>
    <w:pPr>
      <w:ind w:left="840"/>
      <w:jc w:val="left"/>
    </w:pPr>
    <w:rPr>
      <w:sz w:val="18"/>
      <w:szCs w:val="18"/>
    </w:rPr>
  </w:style>
  <w:style w:type="paragraph" w:styleId="8">
    <w:name w:val="Plain Text"/>
    <w:basedOn w:val="1"/>
    <w:next w:val="1"/>
    <w:qFormat/>
    <w:uiPriority w:val="0"/>
    <w:rPr>
      <w:rFonts w:hAnsi="Calibri" w:cs="Times New Roman"/>
      <w:snapToGrid/>
      <w:kern w:val="2"/>
      <w:szCs w:val="22"/>
    </w:rPr>
  </w:style>
  <w:style w:type="paragraph" w:styleId="9">
    <w:name w:val="footer"/>
    <w:basedOn w:val="1"/>
    <w:qFormat/>
    <w:uiPriority w:val="99"/>
    <w:pPr>
      <w:tabs>
        <w:tab w:val="center" w:pos="4153"/>
        <w:tab w:val="right" w:pos="8306"/>
      </w:tabs>
      <w:snapToGrid w:val="0"/>
      <w:jc w:val="left"/>
    </w:pPr>
    <w:rPr>
      <w:rFonts w:hAnsi="Calibri" w:cs="Times New Roman"/>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rFonts w:hAnsi="Calibri" w:cs="Times New Roman"/>
      <w:sz w:val="18"/>
      <w:szCs w:val="18"/>
    </w:rPr>
  </w:style>
  <w:style w:type="paragraph" w:styleId="11">
    <w:name w:val="toc 1"/>
    <w:basedOn w:val="1"/>
    <w:next w:val="1"/>
    <w:qFormat/>
    <w:uiPriority w:val="39"/>
    <w:pPr>
      <w:tabs>
        <w:tab w:val="right" w:leader="dot" w:pos="9060"/>
      </w:tabs>
      <w:spacing w:line="360" w:lineRule="auto"/>
    </w:pPr>
    <w:rPr>
      <w:rFonts w:hAnsi="宋体"/>
      <w:b/>
      <w:bCs/>
      <w:szCs w:val="21"/>
      <w:lang w:val="zh-CN"/>
    </w:rPr>
  </w:style>
  <w:style w:type="paragraph" w:styleId="12">
    <w:name w:val="HTML Preformatted"/>
    <w:basedOn w:val="1"/>
    <w:qFormat/>
    <w:uiPriority w:val="0"/>
    <w:rPr>
      <w:rFonts w:ascii="Courier New" w:hAnsi="Courier New"/>
      <w:sz w:val="20"/>
    </w:rPr>
  </w:style>
  <w:style w:type="paragraph" w:styleId="13">
    <w:name w:val="Normal (Web)"/>
    <w:basedOn w:val="1"/>
    <w:qFormat/>
    <w:uiPriority w:val="99"/>
    <w:pPr>
      <w:widowControl/>
      <w:spacing w:before="100" w:beforeAutospacing="1" w:after="100" w:afterAutospacing="1"/>
      <w:jc w:val="left"/>
    </w:pPr>
    <w:rPr>
      <w:rFonts w:hAnsi="宋体"/>
      <w:snapToGrid/>
      <w:kern w:val="0"/>
      <w:sz w:val="24"/>
    </w:rPr>
  </w:style>
  <w:style w:type="character" w:styleId="16">
    <w:name w:val="Hyperlink"/>
    <w:basedOn w:val="15"/>
    <w:qFormat/>
    <w:uiPriority w:val="0"/>
    <w:rPr>
      <w:color w:val="0000FF"/>
      <w:u w:val="single"/>
    </w:rPr>
  </w:style>
  <w:style w:type="paragraph" w:customStyle="1" w:styleId="1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样式 标题 3 + (中文) 黑体 小四 非加粗 段前: 7.8 磅 段后: 0 磅 行距: 固定值 20 磅"/>
    <w:basedOn w:val="4"/>
    <w:qFormat/>
    <w:uiPriority w:val="0"/>
    <w:pPr>
      <w:spacing w:before="0" w:after="0"/>
      <w:ind w:firstLine="0"/>
    </w:pPr>
    <w:rPr>
      <w:rFonts w:hint="default" w:ascii="Times New Roman" w:hAnsi="Times New Roman" w:cs="宋体"/>
      <w:bCs w:val="0"/>
      <w:sz w:val="24"/>
    </w:rPr>
  </w:style>
  <w:style w:type="paragraph" w:customStyle="1" w:styleId="20">
    <w:name w:val="Normal_1"/>
    <w:qFormat/>
    <w:uiPriority w:val="0"/>
    <w:pPr>
      <w:widowControl w:val="0"/>
      <w:spacing w:after="200" w:line="276" w:lineRule="auto"/>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12263</Words>
  <Characters>13602</Characters>
  <Lines>0</Lines>
  <Paragraphs>0</Paragraphs>
  <TotalTime>260</TotalTime>
  <ScaleCrop>false</ScaleCrop>
  <LinksUpToDate>false</LinksUpToDate>
  <CharactersWithSpaces>13764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2026-03-05T06:48:00Z</dcterms:created>
  <dc:creator>WPS_1562304950</dc:creator>
  <cp:lastModifiedBy>WPS_1661998115</cp:lastModifiedBy>
  <dcterms:modified xsi:type="dcterms:W3CDTF">2026-05-13T06:58:22Z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A5DE8D8CFBCA4362B91B8E49B25AB7F1_11</vt:lpwstr>
  </property>
  <property fmtid="{D5CDD505-2E9C-101B-9397-08002B2CF9AE}" pid="4" name="KSOTemplateDocerSaveRecord">
    <vt:lpwstr>eyJoZGlkIjoiNGVkNDMzNTQzZjY4NmVjYTZmNGYyNDk1ODJkMjJmOGUiLCJ1c2VySWQiOiIxNDA3MTkwMDY1In0=</vt:lpwstr>
  </property>
</Properties>
</file>