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D9AEF">
      <w:pPr>
        <w:spacing w:line="600" w:lineRule="exact"/>
        <w:jc w:val="left"/>
        <w:rPr>
          <w:rFonts w:ascii="宋体" w:hAnsi="宋体" w:cs="Times New Roman"/>
          <w:color w:val="000000"/>
          <w:sz w:val="44"/>
          <w:szCs w:val="44"/>
          <w:highlight w:val="none"/>
        </w:rPr>
      </w:pPr>
    </w:p>
    <w:p w14:paraId="21D0BDE9">
      <w:pPr>
        <w:spacing w:line="600" w:lineRule="exact"/>
        <w:jc w:val="left"/>
        <w:rPr>
          <w:rFonts w:hint="eastAsia" w:ascii="宋体" w:hAnsi="宋体" w:eastAsia="宋体" w:cs="Times New Roman"/>
          <w:color w:val="000000"/>
          <w:sz w:val="44"/>
          <w:szCs w:val="44"/>
          <w:highlight w:val="none"/>
          <w:lang w:val="en-US" w:eastAsia="zh-CN"/>
        </w:rPr>
      </w:pPr>
      <w:r>
        <w:rPr>
          <w:rFonts w:hint="eastAsia" w:ascii="宋体" w:hAnsi="宋体" w:cs="Times New Roman"/>
          <w:color w:val="000000"/>
          <w:sz w:val="44"/>
          <w:szCs w:val="44"/>
          <w:highlight w:val="none"/>
        </w:rPr>
        <w:t>项目名称：</w:t>
      </w:r>
      <w:r>
        <w:rPr>
          <w:rFonts w:hint="eastAsia" w:ascii="宋体" w:hAnsi="宋体" w:cs="Times New Roman"/>
          <w:color w:val="000000"/>
          <w:sz w:val="44"/>
          <w:szCs w:val="44"/>
          <w:highlight w:val="none"/>
          <w:lang w:eastAsia="zh-CN"/>
        </w:rPr>
        <w:t>新疆职业大学</w:t>
      </w:r>
      <w:r>
        <w:rPr>
          <w:rFonts w:hint="eastAsia" w:ascii="宋体" w:hAnsi="宋体" w:cs="Times New Roman"/>
          <w:color w:val="000000"/>
          <w:sz w:val="44"/>
          <w:szCs w:val="44"/>
          <w:highlight w:val="none"/>
        </w:rPr>
        <w:t>申办本科职业院校全过程辅助管理服务</w:t>
      </w:r>
      <w:r>
        <w:rPr>
          <w:rFonts w:hint="eastAsia" w:ascii="宋体" w:hAnsi="宋体" w:cs="Times New Roman"/>
          <w:color w:val="000000"/>
          <w:sz w:val="44"/>
          <w:szCs w:val="44"/>
          <w:highlight w:val="none"/>
          <w:lang w:val="en-US" w:eastAsia="zh-CN"/>
        </w:rPr>
        <w:t>项目</w:t>
      </w:r>
    </w:p>
    <w:p w14:paraId="7A299521">
      <w:pPr>
        <w:spacing w:line="600" w:lineRule="exact"/>
        <w:jc w:val="left"/>
        <w:rPr>
          <w:rFonts w:hint="eastAsia" w:ascii="宋体" w:hAnsi="宋体" w:cs="Times New Roman"/>
          <w:color w:val="000000"/>
          <w:sz w:val="44"/>
          <w:szCs w:val="44"/>
          <w:highlight w:val="none"/>
        </w:rPr>
      </w:pPr>
    </w:p>
    <w:p w14:paraId="617AF63B">
      <w:pPr>
        <w:spacing w:line="600" w:lineRule="exact"/>
        <w:jc w:val="left"/>
        <w:rPr>
          <w:rFonts w:hint="default" w:ascii="宋体" w:hAnsi="宋体" w:eastAsia="宋体" w:cs="Times New Roman"/>
          <w:color w:val="000000"/>
          <w:sz w:val="44"/>
          <w:szCs w:val="44"/>
          <w:highlight w:val="none"/>
          <w:lang w:val="en-US" w:eastAsia="zh-CN"/>
        </w:rPr>
      </w:pPr>
      <w:r>
        <w:rPr>
          <w:rFonts w:hint="eastAsia" w:ascii="宋体" w:hAnsi="宋体" w:cs="Times New Roman"/>
          <w:color w:val="000000"/>
          <w:sz w:val="44"/>
          <w:szCs w:val="44"/>
          <w:highlight w:val="none"/>
        </w:rPr>
        <w:t>项目编号：ZZ202</w:t>
      </w:r>
      <w:r>
        <w:rPr>
          <w:rFonts w:hint="eastAsia" w:ascii="宋体" w:hAnsi="宋体" w:cs="Times New Roman"/>
          <w:color w:val="000000"/>
          <w:sz w:val="44"/>
          <w:szCs w:val="44"/>
          <w:highlight w:val="none"/>
          <w:lang w:val="en-US" w:eastAsia="zh-CN"/>
        </w:rPr>
        <w:t>6</w:t>
      </w:r>
      <w:r>
        <w:rPr>
          <w:rFonts w:hint="eastAsia" w:ascii="宋体" w:hAnsi="宋体" w:cs="Times New Roman"/>
          <w:color w:val="000000"/>
          <w:sz w:val="44"/>
          <w:szCs w:val="44"/>
          <w:highlight w:val="none"/>
        </w:rPr>
        <w:t>-0</w:t>
      </w:r>
      <w:r>
        <w:rPr>
          <w:rFonts w:hint="eastAsia" w:ascii="宋体" w:hAnsi="宋体" w:cs="Times New Roman"/>
          <w:color w:val="000000"/>
          <w:sz w:val="44"/>
          <w:szCs w:val="44"/>
          <w:highlight w:val="none"/>
          <w:lang w:val="en-US" w:eastAsia="zh-CN"/>
        </w:rPr>
        <w:t>62</w:t>
      </w:r>
    </w:p>
    <w:p w14:paraId="6028F7F5">
      <w:pPr>
        <w:spacing w:line="600" w:lineRule="exact"/>
        <w:jc w:val="center"/>
        <w:rPr>
          <w:rFonts w:ascii="宋体" w:hAnsi="宋体" w:cs="Times New Roman"/>
          <w:color w:val="000000"/>
          <w:sz w:val="44"/>
          <w:szCs w:val="44"/>
          <w:highlight w:val="none"/>
        </w:rPr>
      </w:pPr>
    </w:p>
    <w:p w14:paraId="4B96513D">
      <w:pPr>
        <w:spacing w:line="600" w:lineRule="exact"/>
        <w:jc w:val="center"/>
        <w:rPr>
          <w:rFonts w:ascii="宋体" w:hAnsi="宋体" w:cs="Times New Roman"/>
          <w:color w:val="000000"/>
          <w:sz w:val="44"/>
          <w:szCs w:val="44"/>
          <w:highlight w:val="none"/>
        </w:rPr>
      </w:pPr>
    </w:p>
    <w:p w14:paraId="6AE9C670">
      <w:pPr>
        <w:spacing w:line="600" w:lineRule="exact"/>
        <w:rPr>
          <w:rFonts w:ascii="宋体" w:hAnsi="宋体" w:cs="Times New Roman"/>
          <w:color w:val="000000"/>
          <w:sz w:val="44"/>
          <w:szCs w:val="44"/>
          <w:highlight w:val="none"/>
        </w:rPr>
      </w:pPr>
    </w:p>
    <w:p w14:paraId="54B3D7B9">
      <w:pPr>
        <w:spacing w:line="800" w:lineRule="exact"/>
        <w:jc w:val="center"/>
        <w:rPr>
          <w:rFonts w:ascii="宋体" w:hAnsi="宋体" w:cs="仿宋"/>
          <w:b/>
          <w:bCs/>
          <w:color w:val="000000"/>
          <w:sz w:val="72"/>
          <w:szCs w:val="72"/>
          <w:highlight w:val="none"/>
        </w:rPr>
      </w:pPr>
    </w:p>
    <w:p w14:paraId="65D05079">
      <w:pPr>
        <w:spacing w:line="800" w:lineRule="exact"/>
        <w:jc w:val="center"/>
        <w:rPr>
          <w:rFonts w:ascii="宋体" w:hAnsi="宋体" w:cs="仿宋"/>
          <w:b/>
          <w:bCs/>
          <w:color w:val="000000"/>
          <w:sz w:val="72"/>
          <w:szCs w:val="72"/>
          <w:highlight w:val="none"/>
        </w:rPr>
      </w:pPr>
      <w:r>
        <w:rPr>
          <w:rFonts w:hint="eastAsia" w:ascii="宋体" w:hAnsi="宋体" w:cs="仿宋"/>
          <w:b/>
          <w:bCs/>
          <w:color w:val="000000"/>
          <w:sz w:val="72"/>
          <w:szCs w:val="72"/>
          <w:highlight w:val="none"/>
        </w:rPr>
        <w:t>招标文件</w:t>
      </w:r>
    </w:p>
    <w:p w14:paraId="6F021E86">
      <w:pPr>
        <w:spacing w:line="600" w:lineRule="exact"/>
        <w:jc w:val="center"/>
        <w:rPr>
          <w:rFonts w:ascii="宋体" w:hAnsi="宋体" w:cs="仿宋"/>
          <w:b/>
          <w:bCs/>
          <w:color w:val="000000"/>
          <w:sz w:val="44"/>
          <w:szCs w:val="52"/>
          <w:highlight w:val="none"/>
        </w:rPr>
      </w:pPr>
    </w:p>
    <w:p w14:paraId="702624F4">
      <w:pPr>
        <w:spacing w:line="360" w:lineRule="auto"/>
        <w:ind w:firstLine="600"/>
        <w:rPr>
          <w:rFonts w:ascii="宋体" w:hAnsi="宋体" w:cs="仿宋"/>
          <w:b/>
          <w:bCs/>
          <w:color w:val="000000"/>
          <w:sz w:val="30"/>
          <w:highlight w:val="none"/>
        </w:rPr>
      </w:pPr>
    </w:p>
    <w:p w14:paraId="756BE469">
      <w:pPr>
        <w:spacing w:line="360" w:lineRule="auto"/>
        <w:ind w:firstLine="600"/>
        <w:rPr>
          <w:rFonts w:ascii="宋体" w:hAnsi="宋体" w:cs="仿宋"/>
          <w:b/>
          <w:bCs/>
          <w:color w:val="000000"/>
          <w:sz w:val="30"/>
          <w:highlight w:val="none"/>
        </w:rPr>
      </w:pPr>
    </w:p>
    <w:p w14:paraId="77B554AF">
      <w:pPr>
        <w:spacing w:line="360" w:lineRule="auto"/>
        <w:ind w:firstLine="600"/>
        <w:rPr>
          <w:rFonts w:ascii="宋体" w:hAnsi="宋体" w:cs="仿宋"/>
          <w:color w:val="000000"/>
          <w:sz w:val="32"/>
          <w:szCs w:val="32"/>
          <w:highlight w:val="none"/>
        </w:rPr>
      </w:pPr>
    </w:p>
    <w:p w14:paraId="6767B197">
      <w:pPr>
        <w:spacing w:line="360" w:lineRule="auto"/>
        <w:ind w:firstLine="600"/>
        <w:rPr>
          <w:rFonts w:ascii="宋体" w:hAnsi="宋体" w:cs="仿宋"/>
          <w:color w:val="000000"/>
          <w:sz w:val="32"/>
          <w:szCs w:val="32"/>
          <w:highlight w:val="none"/>
        </w:rPr>
      </w:pPr>
    </w:p>
    <w:p w14:paraId="2EB4796A">
      <w:pPr>
        <w:spacing w:line="800" w:lineRule="exact"/>
        <w:ind w:firstLine="601"/>
        <w:rPr>
          <w:rFonts w:ascii="宋体" w:hAnsi="宋体" w:cs="仿宋"/>
          <w:color w:val="000000"/>
          <w:sz w:val="32"/>
          <w:szCs w:val="32"/>
          <w:highlight w:val="none"/>
        </w:rPr>
      </w:pPr>
      <w:r>
        <w:rPr>
          <w:rFonts w:hint="eastAsia" w:ascii="宋体" w:hAnsi="宋体" w:cs="仿宋"/>
          <w:color w:val="000000"/>
          <w:sz w:val="32"/>
          <w:szCs w:val="32"/>
          <w:highlight w:val="none"/>
        </w:rPr>
        <w:t>采购人：新疆职业大学</w:t>
      </w:r>
    </w:p>
    <w:p w14:paraId="41F25CC7">
      <w:pPr>
        <w:spacing w:line="800" w:lineRule="exact"/>
        <w:ind w:firstLine="601"/>
        <w:rPr>
          <w:rFonts w:ascii="宋体" w:hAnsi="宋体" w:cs="仿宋"/>
          <w:color w:val="000000"/>
          <w:sz w:val="32"/>
          <w:szCs w:val="32"/>
          <w:highlight w:val="none"/>
        </w:rPr>
      </w:pPr>
      <w:r>
        <w:rPr>
          <w:rFonts w:hint="eastAsia" w:ascii="宋体" w:hAnsi="宋体" w:cs="仿宋"/>
          <w:color w:val="000000"/>
          <w:sz w:val="32"/>
          <w:szCs w:val="32"/>
          <w:highlight w:val="none"/>
        </w:rPr>
        <w:t>采购代理机构：新疆中咨建设项目管理有限公司</w:t>
      </w:r>
    </w:p>
    <w:p w14:paraId="0AFE95FB">
      <w:pPr>
        <w:spacing w:line="800" w:lineRule="exact"/>
        <w:ind w:firstLine="601"/>
        <w:rPr>
          <w:rFonts w:ascii="宋体" w:hAnsi="宋体" w:cs="仿宋"/>
          <w:color w:val="000000"/>
          <w:sz w:val="32"/>
          <w:szCs w:val="32"/>
          <w:highlight w:val="none"/>
        </w:rPr>
      </w:pPr>
      <w:r>
        <w:rPr>
          <w:rFonts w:hint="eastAsia" w:ascii="宋体" w:hAnsi="宋体" w:cs="仿宋"/>
          <w:color w:val="000000"/>
          <w:sz w:val="32"/>
          <w:szCs w:val="32"/>
          <w:highlight w:val="none"/>
        </w:rPr>
        <w:t>编制日期：202</w:t>
      </w:r>
      <w:r>
        <w:rPr>
          <w:rFonts w:hint="eastAsia" w:ascii="宋体" w:hAnsi="宋体" w:cs="仿宋"/>
          <w:color w:val="000000"/>
          <w:sz w:val="32"/>
          <w:szCs w:val="32"/>
          <w:highlight w:val="none"/>
          <w:lang w:val="en-US" w:eastAsia="zh-CN"/>
        </w:rPr>
        <w:t>6</w:t>
      </w:r>
      <w:r>
        <w:rPr>
          <w:rFonts w:hint="eastAsia" w:ascii="宋体" w:hAnsi="宋体" w:cs="仿宋"/>
          <w:color w:val="000000"/>
          <w:sz w:val="32"/>
          <w:szCs w:val="32"/>
          <w:highlight w:val="none"/>
        </w:rPr>
        <w:t>年0</w:t>
      </w:r>
      <w:r>
        <w:rPr>
          <w:rFonts w:hint="eastAsia" w:ascii="宋体" w:hAnsi="宋体" w:cs="仿宋"/>
          <w:color w:val="000000"/>
          <w:sz w:val="32"/>
          <w:szCs w:val="32"/>
          <w:highlight w:val="none"/>
          <w:lang w:val="en-US" w:eastAsia="zh-CN"/>
        </w:rPr>
        <w:t>4</w:t>
      </w:r>
      <w:r>
        <w:rPr>
          <w:rFonts w:hint="eastAsia" w:ascii="宋体" w:hAnsi="宋体" w:cs="仿宋"/>
          <w:color w:val="000000"/>
          <w:sz w:val="32"/>
          <w:szCs w:val="32"/>
          <w:highlight w:val="none"/>
        </w:rPr>
        <w:t>月</w:t>
      </w:r>
    </w:p>
    <w:p w14:paraId="767DAF05">
      <w:pPr>
        <w:spacing w:line="360" w:lineRule="auto"/>
        <w:ind w:firstLine="600"/>
        <w:rPr>
          <w:rFonts w:ascii="宋体" w:hAnsi="宋体" w:cs="仿宋"/>
          <w:color w:val="000000"/>
          <w:sz w:val="32"/>
          <w:szCs w:val="32"/>
          <w:highlight w:val="none"/>
        </w:rPr>
      </w:pPr>
    </w:p>
    <w:p w14:paraId="5D8C4B4B">
      <w:pPr>
        <w:spacing w:line="400" w:lineRule="exact"/>
        <w:rPr>
          <w:rFonts w:ascii="宋体" w:hAnsi="宋体" w:cs="Times New Roman"/>
          <w:color w:val="000000"/>
          <w:sz w:val="24"/>
          <w:szCs w:val="24"/>
          <w:highlight w:val="none"/>
        </w:rPr>
        <w:sectPr>
          <w:headerReference r:id="rId3" w:type="default"/>
          <w:pgSz w:w="11906" w:h="16838"/>
          <w:pgMar w:top="1440" w:right="1800" w:bottom="1440" w:left="1800" w:header="851" w:footer="992" w:gutter="0"/>
          <w:cols w:space="720" w:num="1"/>
          <w:docGrid w:type="lines" w:linePitch="312" w:charSpace="0"/>
        </w:sectPr>
      </w:pPr>
    </w:p>
    <w:p w14:paraId="2611F3A3">
      <w:pPr>
        <w:keepNext/>
        <w:keepLines/>
        <w:widowControl/>
        <w:spacing w:line="360" w:lineRule="auto"/>
        <w:rPr>
          <w:rFonts w:ascii="宋体" w:hAnsi="宋体" w:cs="宋体"/>
          <w:b/>
          <w:bCs/>
          <w:color w:val="000000"/>
          <w:kern w:val="0"/>
          <w:sz w:val="36"/>
          <w:szCs w:val="28"/>
          <w:highlight w:val="none"/>
        </w:rPr>
      </w:pPr>
    </w:p>
    <w:p w14:paraId="5E8FE75E">
      <w:pPr>
        <w:pStyle w:val="31"/>
        <w:tabs>
          <w:tab w:val="right" w:leader="dot" w:pos="8306"/>
        </w:tabs>
        <w:rPr>
          <w:rFonts w:ascii="宋体" w:hAnsi="宋体" w:cs="宋体"/>
          <w:sz w:val="28"/>
          <w:szCs w:val="28"/>
          <w:highlight w:val="none"/>
        </w:rPr>
      </w:pPr>
      <w:r>
        <w:rPr>
          <w:rFonts w:hint="eastAsia" w:ascii="宋体" w:hAnsi="宋体" w:cs="宋体"/>
          <w:b/>
          <w:color w:val="000000"/>
          <w:sz w:val="24"/>
          <w:szCs w:val="24"/>
          <w:highlight w:val="none"/>
        </w:rPr>
        <w:fldChar w:fldCharType="begin"/>
      </w:r>
      <w:r>
        <w:rPr>
          <w:rFonts w:hint="eastAsia" w:ascii="宋体" w:hAnsi="宋体" w:cs="宋体"/>
          <w:b/>
          <w:color w:val="000000"/>
          <w:sz w:val="24"/>
          <w:szCs w:val="24"/>
          <w:highlight w:val="none"/>
        </w:rPr>
        <w:instrText xml:space="preserve"> TOC \o "1-7" \h \z \u </w:instrText>
      </w:r>
      <w:r>
        <w:rPr>
          <w:rFonts w:hint="eastAsia" w:ascii="宋体" w:hAnsi="宋体" w:cs="宋体"/>
          <w:b/>
          <w:color w:val="000000"/>
          <w:sz w:val="24"/>
          <w:szCs w:val="24"/>
          <w:highlight w:val="none"/>
        </w:rPr>
        <w:fldChar w:fldCharType="separate"/>
      </w:r>
    </w:p>
    <w:p w14:paraId="285484D1">
      <w:pPr>
        <w:jc w:val="center"/>
        <w:rPr>
          <w:b/>
          <w:bCs/>
          <w:sz w:val="28"/>
          <w:szCs w:val="28"/>
          <w:highlight w:val="none"/>
        </w:rPr>
      </w:pPr>
      <w:r>
        <w:rPr>
          <w:rFonts w:ascii="宋体" w:hAnsi="宋体"/>
          <w:b/>
          <w:bCs/>
          <w:sz w:val="28"/>
          <w:szCs w:val="28"/>
          <w:highlight w:val="none"/>
        </w:rPr>
        <w:t>目录</w:t>
      </w:r>
    </w:p>
    <w:p w14:paraId="19056D13">
      <w:pPr>
        <w:pStyle w:val="31"/>
        <w:tabs>
          <w:tab w:val="right" w:leader="dot" w:pos="8306"/>
        </w:tabs>
        <w:rPr>
          <w:b/>
          <w:bCs/>
          <w:sz w:val="28"/>
          <w:szCs w:val="28"/>
          <w:highlight w:val="none"/>
        </w:rPr>
      </w:pPr>
      <w:r>
        <w:rPr>
          <w:highlight w:val="none"/>
        </w:rPr>
        <w:fldChar w:fldCharType="begin"/>
      </w:r>
      <w:r>
        <w:rPr>
          <w:highlight w:val="none"/>
        </w:rPr>
        <w:instrText xml:space="preserve"> HYPERLINK \l "_Toc26797" </w:instrText>
      </w:r>
      <w:r>
        <w:rPr>
          <w:highlight w:val="none"/>
        </w:rPr>
        <w:fldChar w:fldCharType="separate"/>
      </w:r>
      <w:r>
        <w:rPr>
          <w:rFonts w:hint="eastAsia"/>
          <w:b/>
          <w:bCs/>
          <w:sz w:val="28"/>
          <w:szCs w:val="28"/>
          <w:highlight w:val="none"/>
        </w:rPr>
        <w:t>第一章　招标公告</w:t>
      </w:r>
      <w:r>
        <w:rPr>
          <w:b/>
          <w:bCs/>
          <w:sz w:val="28"/>
          <w:szCs w:val="28"/>
          <w:highlight w:val="none"/>
        </w:rPr>
        <w:tab/>
      </w:r>
      <w:r>
        <w:rPr>
          <w:rFonts w:hint="eastAsia"/>
          <w:b/>
          <w:bCs/>
          <w:sz w:val="28"/>
          <w:szCs w:val="28"/>
          <w:highlight w:val="none"/>
        </w:rPr>
        <w:t>1</w:t>
      </w:r>
      <w:r>
        <w:rPr>
          <w:rFonts w:hint="eastAsia"/>
          <w:b/>
          <w:bCs/>
          <w:sz w:val="28"/>
          <w:szCs w:val="28"/>
          <w:highlight w:val="none"/>
        </w:rPr>
        <w:fldChar w:fldCharType="end"/>
      </w:r>
      <w:r>
        <w:rPr>
          <w:rFonts w:ascii="宋体" w:hAnsi="宋体" w:cs="宋体"/>
          <w:b/>
          <w:bCs/>
          <w:sz w:val="28"/>
          <w:szCs w:val="28"/>
          <w:highlight w:val="none"/>
        </w:rPr>
        <w:fldChar w:fldCharType="begin"/>
      </w:r>
      <w:r>
        <w:rPr>
          <w:b/>
          <w:bCs/>
          <w:sz w:val="28"/>
          <w:szCs w:val="28"/>
          <w:highlight w:val="none"/>
        </w:rPr>
        <w:instrText xml:space="preserve">TOC \o "1-1" \h \u </w:instrText>
      </w:r>
      <w:r>
        <w:rPr>
          <w:rFonts w:ascii="宋体" w:hAnsi="宋体" w:cs="宋体"/>
          <w:b/>
          <w:bCs/>
          <w:sz w:val="28"/>
          <w:szCs w:val="28"/>
          <w:highlight w:val="none"/>
        </w:rPr>
        <w:fldChar w:fldCharType="separate"/>
      </w:r>
    </w:p>
    <w:p w14:paraId="77FD256A">
      <w:pPr>
        <w:pStyle w:val="31"/>
        <w:tabs>
          <w:tab w:val="right" w:leader="dot" w:pos="8306"/>
        </w:tabs>
        <w:rPr>
          <w:b/>
          <w:bCs/>
          <w:sz w:val="28"/>
          <w:szCs w:val="28"/>
          <w:highlight w:val="none"/>
        </w:rPr>
      </w:pPr>
      <w:r>
        <w:rPr>
          <w:highlight w:val="none"/>
        </w:rPr>
        <w:fldChar w:fldCharType="begin"/>
      </w:r>
      <w:r>
        <w:rPr>
          <w:highlight w:val="none"/>
        </w:rPr>
        <w:instrText xml:space="preserve"> HYPERLINK \l "_Toc26797" </w:instrText>
      </w:r>
      <w:r>
        <w:rPr>
          <w:highlight w:val="none"/>
        </w:rPr>
        <w:fldChar w:fldCharType="separate"/>
      </w:r>
      <w:r>
        <w:rPr>
          <w:rFonts w:hint="eastAsia"/>
          <w:b/>
          <w:bCs/>
          <w:sz w:val="28"/>
          <w:szCs w:val="28"/>
          <w:highlight w:val="none"/>
        </w:rPr>
        <w:t>第二章　供应商须知</w:t>
      </w:r>
      <w:r>
        <w:rPr>
          <w:b/>
          <w:bCs/>
          <w:sz w:val="28"/>
          <w:szCs w:val="28"/>
          <w:highlight w:val="none"/>
        </w:rPr>
        <w:tab/>
      </w:r>
      <w:r>
        <w:rPr>
          <w:b/>
          <w:bCs/>
          <w:sz w:val="28"/>
          <w:szCs w:val="28"/>
          <w:highlight w:val="none"/>
        </w:rPr>
        <w:fldChar w:fldCharType="begin"/>
      </w:r>
      <w:r>
        <w:rPr>
          <w:b/>
          <w:bCs/>
          <w:sz w:val="28"/>
          <w:szCs w:val="28"/>
          <w:highlight w:val="none"/>
        </w:rPr>
        <w:instrText xml:space="preserve"> PAGEREF _Toc26797 \h </w:instrText>
      </w:r>
      <w:r>
        <w:rPr>
          <w:b/>
          <w:bCs/>
          <w:sz w:val="28"/>
          <w:szCs w:val="28"/>
          <w:highlight w:val="none"/>
        </w:rPr>
        <w:fldChar w:fldCharType="separate"/>
      </w:r>
      <w:r>
        <w:rPr>
          <w:b/>
          <w:bCs/>
          <w:sz w:val="28"/>
          <w:szCs w:val="28"/>
          <w:highlight w:val="none"/>
        </w:rPr>
        <w:t>5</w:t>
      </w:r>
      <w:r>
        <w:rPr>
          <w:b/>
          <w:bCs/>
          <w:sz w:val="28"/>
          <w:szCs w:val="28"/>
          <w:highlight w:val="none"/>
        </w:rPr>
        <w:fldChar w:fldCharType="end"/>
      </w:r>
      <w:r>
        <w:rPr>
          <w:b/>
          <w:bCs/>
          <w:sz w:val="28"/>
          <w:szCs w:val="28"/>
          <w:highlight w:val="none"/>
        </w:rPr>
        <w:fldChar w:fldCharType="end"/>
      </w:r>
    </w:p>
    <w:p w14:paraId="107D1585">
      <w:pPr>
        <w:pStyle w:val="31"/>
        <w:tabs>
          <w:tab w:val="right" w:leader="dot" w:pos="8306"/>
        </w:tabs>
        <w:rPr>
          <w:b/>
          <w:bCs/>
          <w:sz w:val="28"/>
          <w:szCs w:val="28"/>
          <w:highlight w:val="none"/>
        </w:rPr>
      </w:pPr>
      <w:r>
        <w:rPr>
          <w:highlight w:val="none"/>
        </w:rPr>
        <w:fldChar w:fldCharType="begin"/>
      </w:r>
      <w:r>
        <w:rPr>
          <w:highlight w:val="none"/>
        </w:rPr>
        <w:instrText xml:space="preserve"> HYPERLINK \l "_Toc31452" </w:instrText>
      </w:r>
      <w:r>
        <w:rPr>
          <w:highlight w:val="none"/>
        </w:rPr>
        <w:fldChar w:fldCharType="separate"/>
      </w:r>
      <w:r>
        <w:rPr>
          <w:rFonts w:hint="eastAsia"/>
          <w:b/>
          <w:bCs/>
          <w:sz w:val="28"/>
          <w:szCs w:val="28"/>
          <w:highlight w:val="none"/>
        </w:rPr>
        <w:t>第三章　评标办法及标准</w:t>
      </w:r>
      <w:r>
        <w:rPr>
          <w:b/>
          <w:bCs/>
          <w:sz w:val="28"/>
          <w:szCs w:val="28"/>
          <w:highlight w:val="none"/>
        </w:rPr>
        <w:tab/>
      </w:r>
      <w:r>
        <w:rPr>
          <w:b/>
          <w:bCs/>
          <w:sz w:val="28"/>
          <w:szCs w:val="28"/>
          <w:highlight w:val="none"/>
        </w:rPr>
        <w:fldChar w:fldCharType="begin"/>
      </w:r>
      <w:r>
        <w:rPr>
          <w:b/>
          <w:bCs/>
          <w:sz w:val="28"/>
          <w:szCs w:val="28"/>
          <w:highlight w:val="none"/>
        </w:rPr>
        <w:instrText xml:space="preserve"> PAGEREF _Toc31452 \h </w:instrText>
      </w:r>
      <w:r>
        <w:rPr>
          <w:b/>
          <w:bCs/>
          <w:sz w:val="28"/>
          <w:szCs w:val="28"/>
          <w:highlight w:val="none"/>
        </w:rPr>
        <w:fldChar w:fldCharType="separate"/>
      </w:r>
      <w:r>
        <w:rPr>
          <w:b/>
          <w:bCs/>
          <w:sz w:val="28"/>
          <w:szCs w:val="28"/>
          <w:highlight w:val="none"/>
        </w:rPr>
        <w:t>23</w:t>
      </w:r>
      <w:r>
        <w:rPr>
          <w:b/>
          <w:bCs/>
          <w:sz w:val="28"/>
          <w:szCs w:val="28"/>
          <w:highlight w:val="none"/>
        </w:rPr>
        <w:fldChar w:fldCharType="end"/>
      </w:r>
      <w:r>
        <w:rPr>
          <w:b/>
          <w:bCs/>
          <w:sz w:val="28"/>
          <w:szCs w:val="28"/>
          <w:highlight w:val="none"/>
        </w:rPr>
        <w:fldChar w:fldCharType="end"/>
      </w:r>
    </w:p>
    <w:p w14:paraId="4156E87C">
      <w:pPr>
        <w:pStyle w:val="31"/>
        <w:tabs>
          <w:tab w:val="right" w:leader="dot" w:pos="8306"/>
        </w:tabs>
        <w:rPr>
          <w:b/>
          <w:bCs/>
          <w:sz w:val="28"/>
          <w:szCs w:val="28"/>
          <w:highlight w:val="none"/>
        </w:rPr>
      </w:pPr>
      <w:r>
        <w:rPr>
          <w:highlight w:val="none"/>
        </w:rPr>
        <w:fldChar w:fldCharType="begin"/>
      </w:r>
      <w:r>
        <w:rPr>
          <w:highlight w:val="none"/>
        </w:rPr>
        <w:instrText xml:space="preserve"> HYPERLINK \l "_Toc10306" </w:instrText>
      </w:r>
      <w:r>
        <w:rPr>
          <w:highlight w:val="none"/>
        </w:rPr>
        <w:fldChar w:fldCharType="separate"/>
      </w:r>
      <w:r>
        <w:rPr>
          <w:rFonts w:hint="eastAsia"/>
          <w:b/>
          <w:bCs/>
          <w:sz w:val="28"/>
          <w:szCs w:val="28"/>
          <w:highlight w:val="none"/>
        </w:rPr>
        <w:t>第四章　拟签订的合同文本</w:t>
      </w:r>
      <w:r>
        <w:rPr>
          <w:b/>
          <w:bCs/>
          <w:sz w:val="28"/>
          <w:szCs w:val="28"/>
          <w:highlight w:val="none"/>
        </w:rPr>
        <w:tab/>
      </w:r>
      <w:r>
        <w:rPr>
          <w:b/>
          <w:bCs/>
          <w:sz w:val="28"/>
          <w:szCs w:val="28"/>
          <w:highlight w:val="none"/>
        </w:rPr>
        <w:fldChar w:fldCharType="begin"/>
      </w:r>
      <w:r>
        <w:rPr>
          <w:b/>
          <w:bCs/>
          <w:sz w:val="28"/>
          <w:szCs w:val="28"/>
          <w:highlight w:val="none"/>
        </w:rPr>
        <w:instrText xml:space="preserve"> PAGEREF _Toc10306 \h </w:instrText>
      </w:r>
      <w:r>
        <w:rPr>
          <w:b/>
          <w:bCs/>
          <w:sz w:val="28"/>
          <w:szCs w:val="28"/>
          <w:highlight w:val="none"/>
        </w:rPr>
        <w:fldChar w:fldCharType="separate"/>
      </w:r>
      <w:r>
        <w:rPr>
          <w:b/>
          <w:bCs/>
          <w:sz w:val="28"/>
          <w:szCs w:val="28"/>
          <w:highlight w:val="none"/>
        </w:rPr>
        <w:t>29</w:t>
      </w:r>
      <w:r>
        <w:rPr>
          <w:b/>
          <w:bCs/>
          <w:sz w:val="28"/>
          <w:szCs w:val="28"/>
          <w:highlight w:val="none"/>
        </w:rPr>
        <w:fldChar w:fldCharType="end"/>
      </w:r>
      <w:r>
        <w:rPr>
          <w:b/>
          <w:bCs/>
          <w:sz w:val="28"/>
          <w:szCs w:val="28"/>
          <w:highlight w:val="none"/>
        </w:rPr>
        <w:fldChar w:fldCharType="end"/>
      </w:r>
    </w:p>
    <w:p w14:paraId="76848FA3">
      <w:pPr>
        <w:pStyle w:val="31"/>
        <w:tabs>
          <w:tab w:val="right" w:leader="dot" w:pos="8306"/>
        </w:tabs>
        <w:rPr>
          <w:b/>
          <w:bCs/>
          <w:sz w:val="28"/>
          <w:szCs w:val="28"/>
          <w:highlight w:val="none"/>
        </w:rPr>
      </w:pPr>
      <w:r>
        <w:rPr>
          <w:highlight w:val="none"/>
        </w:rPr>
        <w:fldChar w:fldCharType="begin"/>
      </w:r>
      <w:r>
        <w:rPr>
          <w:highlight w:val="none"/>
        </w:rPr>
        <w:instrText xml:space="preserve"> HYPERLINK \l "_Toc16583" </w:instrText>
      </w:r>
      <w:r>
        <w:rPr>
          <w:highlight w:val="none"/>
        </w:rPr>
        <w:fldChar w:fldCharType="separate"/>
      </w:r>
      <w:r>
        <w:rPr>
          <w:rFonts w:hint="eastAsia"/>
          <w:b/>
          <w:bCs/>
          <w:sz w:val="28"/>
          <w:szCs w:val="28"/>
          <w:highlight w:val="none"/>
        </w:rPr>
        <w:t>第五章　投标文件组成</w:t>
      </w:r>
      <w:r>
        <w:rPr>
          <w:b/>
          <w:bCs/>
          <w:sz w:val="28"/>
          <w:szCs w:val="28"/>
          <w:highlight w:val="none"/>
        </w:rPr>
        <w:tab/>
      </w:r>
      <w:r>
        <w:rPr>
          <w:b/>
          <w:bCs/>
          <w:sz w:val="28"/>
          <w:szCs w:val="28"/>
          <w:highlight w:val="none"/>
        </w:rPr>
        <w:fldChar w:fldCharType="begin"/>
      </w:r>
      <w:r>
        <w:rPr>
          <w:b/>
          <w:bCs/>
          <w:sz w:val="28"/>
          <w:szCs w:val="28"/>
          <w:highlight w:val="none"/>
        </w:rPr>
        <w:instrText xml:space="preserve"> PAGEREF _Toc16583 \h </w:instrText>
      </w:r>
      <w:r>
        <w:rPr>
          <w:b/>
          <w:bCs/>
          <w:sz w:val="28"/>
          <w:szCs w:val="28"/>
          <w:highlight w:val="none"/>
        </w:rPr>
        <w:fldChar w:fldCharType="separate"/>
      </w:r>
      <w:r>
        <w:rPr>
          <w:b/>
          <w:bCs/>
          <w:sz w:val="28"/>
          <w:szCs w:val="28"/>
          <w:highlight w:val="none"/>
        </w:rPr>
        <w:t>37</w:t>
      </w:r>
      <w:r>
        <w:rPr>
          <w:b/>
          <w:bCs/>
          <w:sz w:val="28"/>
          <w:szCs w:val="28"/>
          <w:highlight w:val="none"/>
        </w:rPr>
        <w:fldChar w:fldCharType="end"/>
      </w:r>
      <w:r>
        <w:rPr>
          <w:b/>
          <w:bCs/>
          <w:sz w:val="28"/>
          <w:szCs w:val="28"/>
          <w:highlight w:val="none"/>
        </w:rPr>
        <w:fldChar w:fldCharType="end"/>
      </w:r>
    </w:p>
    <w:p w14:paraId="02E1248E">
      <w:pPr>
        <w:pStyle w:val="31"/>
        <w:tabs>
          <w:tab w:val="right" w:leader="dot" w:pos="8306"/>
        </w:tabs>
        <w:rPr>
          <w:b/>
          <w:bCs/>
          <w:sz w:val="28"/>
          <w:szCs w:val="28"/>
          <w:highlight w:val="none"/>
        </w:rPr>
      </w:pPr>
      <w:r>
        <w:rPr>
          <w:highlight w:val="none"/>
        </w:rPr>
        <w:fldChar w:fldCharType="begin"/>
      </w:r>
      <w:r>
        <w:rPr>
          <w:highlight w:val="none"/>
        </w:rPr>
        <w:instrText xml:space="preserve"> HYPERLINK \l "_Toc20187" </w:instrText>
      </w:r>
      <w:r>
        <w:rPr>
          <w:highlight w:val="none"/>
        </w:rPr>
        <w:fldChar w:fldCharType="separate"/>
      </w:r>
      <w:r>
        <w:rPr>
          <w:rFonts w:hint="eastAsia" w:ascii="Calibri" w:hAnsi="Calibri"/>
          <w:b/>
          <w:bCs/>
          <w:kern w:val="0"/>
          <w:sz w:val="28"/>
          <w:szCs w:val="28"/>
          <w:highlight w:val="none"/>
        </w:rPr>
        <w:t xml:space="preserve">第六章 </w:t>
      </w:r>
      <w:r>
        <w:rPr>
          <w:rFonts w:hint="eastAsia" w:ascii="Calibri" w:hAnsi="Calibri"/>
          <w:b/>
          <w:bCs/>
          <w:kern w:val="0"/>
          <w:sz w:val="28"/>
          <w:szCs w:val="28"/>
          <w:highlight w:val="none"/>
          <w:lang w:val="en-US" w:eastAsia="zh-CN"/>
        </w:rPr>
        <w:t xml:space="preserve"> </w:t>
      </w:r>
      <w:r>
        <w:rPr>
          <w:rFonts w:hint="eastAsia" w:ascii="Calibri" w:hAnsi="Calibri"/>
          <w:b/>
          <w:bCs/>
          <w:kern w:val="0"/>
          <w:sz w:val="28"/>
          <w:szCs w:val="28"/>
          <w:highlight w:val="none"/>
        </w:rPr>
        <w:t>项目采购需求</w:t>
      </w:r>
      <w:r>
        <w:rPr>
          <w:b/>
          <w:bCs/>
          <w:sz w:val="28"/>
          <w:szCs w:val="28"/>
          <w:highlight w:val="none"/>
        </w:rPr>
        <w:tab/>
      </w:r>
      <w:r>
        <w:rPr>
          <w:b/>
          <w:bCs/>
          <w:sz w:val="28"/>
          <w:szCs w:val="28"/>
          <w:highlight w:val="none"/>
        </w:rPr>
        <w:fldChar w:fldCharType="begin"/>
      </w:r>
      <w:r>
        <w:rPr>
          <w:b/>
          <w:bCs/>
          <w:sz w:val="28"/>
          <w:szCs w:val="28"/>
          <w:highlight w:val="none"/>
        </w:rPr>
        <w:instrText xml:space="preserve"> PAGEREF _Toc20187 \h </w:instrText>
      </w:r>
      <w:r>
        <w:rPr>
          <w:b/>
          <w:bCs/>
          <w:sz w:val="28"/>
          <w:szCs w:val="28"/>
          <w:highlight w:val="none"/>
        </w:rPr>
        <w:fldChar w:fldCharType="separate"/>
      </w:r>
      <w:r>
        <w:rPr>
          <w:b/>
          <w:bCs/>
          <w:sz w:val="28"/>
          <w:szCs w:val="28"/>
          <w:highlight w:val="none"/>
        </w:rPr>
        <w:t>74</w:t>
      </w:r>
      <w:r>
        <w:rPr>
          <w:b/>
          <w:bCs/>
          <w:sz w:val="28"/>
          <w:szCs w:val="28"/>
          <w:highlight w:val="none"/>
        </w:rPr>
        <w:fldChar w:fldCharType="end"/>
      </w:r>
      <w:r>
        <w:rPr>
          <w:b/>
          <w:bCs/>
          <w:sz w:val="28"/>
          <w:szCs w:val="28"/>
          <w:highlight w:val="none"/>
        </w:rPr>
        <w:fldChar w:fldCharType="end"/>
      </w:r>
    </w:p>
    <w:p w14:paraId="1BCE6C0C">
      <w:pPr>
        <w:pStyle w:val="23"/>
        <w:tabs>
          <w:tab w:val="right" w:leader="dot" w:pos="8306"/>
        </w:tabs>
        <w:rPr>
          <w:rFonts w:ascii="宋体" w:hAnsi="宋体" w:cs="宋体"/>
          <w:szCs w:val="24"/>
          <w:highlight w:val="none"/>
        </w:rPr>
      </w:pPr>
      <w:r>
        <w:rPr>
          <w:rFonts w:ascii="宋体" w:hAnsi="宋体" w:cs="宋体"/>
          <w:b/>
          <w:bCs/>
          <w:sz w:val="28"/>
          <w:szCs w:val="28"/>
          <w:highlight w:val="none"/>
        </w:rPr>
        <w:fldChar w:fldCharType="end"/>
      </w:r>
    </w:p>
    <w:p w14:paraId="6FBFAF8F">
      <w:pPr>
        <w:rPr>
          <w:highlight w:val="none"/>
        </w:rPr>
      </w:pPr>
    </w:p>
    <w:p w14:paraId="4CCCE66E">
      <w:pPr>
        <w:spacing w:line="360" w:lineRule="auto"/>
        <w:ind w:firstLine="480" w:firstLineChars="200"/>
        <w:rPr>
          <w:rFonts w:ascii="宋体" w:hAnsi="宋体" w:cs="Times New Roman"/>
          <w:color w:val="000000"/>
          <w:kern w:val="0"/>
          <w:sz w:val="20"/>
          <w:szCs w:val="21"/>
          <w:highlight w:val="none"/>
        </w:rPr>
        <w:sectPr>
          <w:footerReference r:id="rId4" w:type="default"/>
          <w:pgSz w:w="11906" w:h="16838"/>
          <w:pgMar w:top="1440" w:right="1800" w:bottom="1440" w:left="1800" w:header="851" w:footer="992" w:gutter="0"/>
          <w:pgNumType w:start="1"/>
          <w:cols w:space="720" w:num="1"/>
          <w:docGrid w:type="lines" w:linePitch="312" w:charSpace="0"/>
        </w:sectPr>
      </w:pPr>
      <w:r>
        <w:rPr>
          <w:rFonts w:hint="eastAsia" w:ascii="宋体" w:hAnsi="宋体" w:cs="宋体"/>
          <w:color w:val="000000"/>
          <w:kern w:val="0"/>
          <w:sz w:val="24"/>
          <w:szCs w:val="24"/>
          <w:highlight w:val="none"/>
        </w:rPr>
        <w:fldChar w:fldCharType="end"/>
      </w:r>
    </w:p>
    <w:p w14:paraId="3F79A0B8">
      <w:pPr>
        <w:pStyle w:val="4"/>
        <w:rPr>
          <w:highlight w:val="none"/>
        </w:rPr>
      </w:pPr>
      <w:bookmarkStart w:id="0" w:name="_Toc30249"/>
      <w:r>
        <w:rPr>
          <w:rFonts w:hint="eastAsia"/>
          <w:highlight w:val="none"/>
        </w:rPr>
        <w:t>第一章　</w:t>
      </w:r>
      <w:bookmarkEnd w:id="0"/>
      <w:r>
        <w:rPr>
          <w:rFonts w:hint="eastAsia"/>
          <w:highlight w:val="none"/>
          <w:lang w:val="en-US" w:eastAsia="zh-CN"/>
        </w:rPr>
        <w:t>招标公告</w:t>
      </w:r>
    </w:p>
    <w:p w14:paraId="3A012236">
      <w:pPr>
        <w:jc w:val="center"/>
        <w:rPr>
          <w:rFonts w:cs="Times New Roman"/>
          <w:b/>
          <w:bCs/>
          <w:color w:val="000000"/>
          <w:sz w:val="24"/>
          <w:szCs w:val="28"/>
          <w:highlight w:val="none"/>
        </w:rPr>
      </w:pPr>
      <w:r>
        <w:rPr>
          <w:rFonts w:hint="eastAsia" w:cs="Times New Roman"/>
          <w:b/>
          <w:bCs/>
          <w:color w:val="000000"/>
          <w:sz w:val="24"/>
          <w:szCs w:val="28"/>
          <w:highlight w:val="none"/>
          <w:lang w:eastAsia="zh-CN"/>
        </w:rPr>
        <w:t>新疆职业大学</w:t>
      </w:r>
      <w:r>
        <w:rPr>
          <w:rFonts w:hint="eastAsia" w:cs="Times New Roman"/>
          <w:b/>
          <w:bCs/>
          <w:color w:val="000000"/>
          <w:sz w:val="24"/>
          <w:szCs w:val="28"/>
          <w:highlight w:val="none"/>
        </w:rPr>
        <w:t>申办本科职业院校全过程辅助管理服务</w:t>
      </w:r>
      <w:r>
        <w:rPr>
          <w:rFonts w:hint="eastAsia" w:cs="Times New Roman"/>
          <w:b/>
          <w:bCs/>
          <w:color w:val="000000"/>
          <w:sz w:val="24"/>
          <w:szCs w:val="28"/>
          <w:highlight w:val="none"/>
          <w:lang w:val="en-US" w:eastAsia="zh-CN"/>
        </w:rPr>
        <w:t>项目</w:t>
      </w:r>
      <w:r>
        <w:rPr>
          <w:rFonts w:hint="eastAsia" w:cs="Times New Roman"/>
          <w:b/>
          <w:bCs/>
          <w:color w:val="000000"/>
          <w:sz w:val="24"/>
          <w:szCs w:val="28"/>
          <w:highlight w:val="none"/>
        </w:rPr>
        <w:t>公开招标公告</w:t>
      </w:r>
    </w:p>
    <w:tbl>
      <w:tblPr>
        <w:tblStyle w:val="45"/>
        <w:tblW w:w="8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06"/>
      </w:tblGrid>
      <w:tr w14:paraId="79E50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06" w:type="dxa"/>
          </w:tcPr>
          <w:p w14:paraId="2B5FF4AC">
            <w:pPr>
              <w:spacing w:line="440" w:lineRule="exact"/>
              <w:rPr>
                <w:rFonts w:ascii="宋体" w:hAnsi="宋体" w:cs="宋体"/>
                <w:color w:val="000000"/>
                <w:sz w:val="24"/>
                <w:szCs w:val="24"/>
                <w:highlight w:val="none"/>
              </w:rPr>
            </w:pPr>
            <w:r>
              <w:rPr>
                <w:rFonts w:hint="eastAsia" w:ascii="宋体" w:hAnsi="宋体" w:cs="宋体"/>
                <w:color w:val="000000"/>
                <w:sz w:val="24"/>
                <w:szCs w:val="24"/>
                <w:highlight w:val="none"/>
              </w:rPr>
              <w:t>项目概况</w:t>
            </w:r>
          </w:p>
          <w:p w14:paraId="08ECC77C">
            <w:pPr>
              <w:spacing w:line="440" w:lineRule="exact"/>
              <w:ind w:firstLine="480" w:firstLineChars="200"/>
              <w:rPr>
                <w:rFonts w:cs="Times New Roman"/>
                <w:color w:val="000000"/>
                <w:highlight w:val="none"/>
              </w:rPr>
            </w:pPr>
            <w:r>
              <w:rPr>
                <w:rFonts w:hint="eastAsia" w:ascii="宋体" w:hAnsi="宋体" w:cs="宋体"/>
                <w:color w:val="000000"/>
                <w:sz w:val="24"/>
                <w:szCs w:val="24"/>
                <w:highlight w:val="none"/>
                <w:u w:val="single"/>
                <w:lang w:eastAsia="zh-CN"/>
              </w:rPr>
              <w:t>新疆职业大学</w:t>
            </w:r>
            <w:r>
              <w:rPr>
                <w:rFonts w:hint="eastAsia" w:ascii="宋体" w:hAnsi="宋体" w:cs="宋体"/>
                <w:color w:val="000000"/>
                <w:sz w:val="24"/>
                <w:szCs w:val="24"/>
                <w:highlight w:val="none"/>
                <w:u w:val="single"/>
              </w:rPr>
              <w:t>申办本科职业院校全过程辅助管理服务</w:t>
            </w:r>
            <w:r>
              <w:rPr>
                <w:rFonts w:hint="eastAsia" w:ascii="宋体" w:hAnsi="宋体" w:cs="宋体"/>
                <w:color w:val="000000"/>
                <w:sz w:val="24"/>
                <w:szCs w:val="24"/>
                <w:highlight w:val="none"/>
                <w:u w:val="single"/>
                <w:lang w:val="en-US" w:eastAsia="zh-CN"/>
              </w:rPr>
              <w:t>项目</w:t>
            </w:r>
            <w:r>
              <w:rPr>
                <w:rFonts w:hint="eastAsia" w:ascii="宋体" w:hAnsi="宋体" w:cs="宋体"/>
                <w:color w:val="000000"/>
                <w:sz w:val="24"/>
                <w:szCs w:val="24"/>
                <w:highlight w:val="none"/>
              </w:rPr>
              <w:t>潜在供应商应在新疆政府采购网政采云平台（http://www.ccgp-xinjiang.gov.cn/）线上获取招标文件，并于202</w:t>
            </w:r>
            <w:r>
              <w:rPr>
                <w:rFonts w:hint="eastAsia" w:ascii="宋体" w:hAnsi="宋体" w:cs="宋体"/>
                <w:color w:val="000000"/>
                <w:sz w:val="24"/>
                <w:szCs w:val="24"/>
                <w:highlight w:val="none"/>
                <w:lang w:val="en-US" w:eastAsia="zh-CN"/>
              </w:rPr>
              <w:t>6</w:t>
            </w:r>
            <w:r>
              <w:rPr>
                <w:rFonts w:hint="eastAsia" w:ascii="宋体" w:hAnsi="宋体" w:cs="宋体"/>
                <w:color w:val="000000"/>
                <w:sz w:val="24"/>
                <w:szCs w:val="24"/>
                <w:highlight w:val="none"/>
              </w:rPr>
              <w:t>年</w:t>
            </w:r>
            <w:r>
              <w:rPr>
                <w:rFonts w:hint="eastAsia" w:ascii="宋体" w:hAnsi="宋体" w:cs="宋体"/>
                <w:color w:val="000000"/>
                <w:sz w:val="24"/>
                <w:szCs w:val="24"/>
                <w:highlight w:val="none"/>
                <w:lang w:val="en-US" w:eastAsia="zh-CN"/>
              </w:rPr>
              <w:t>05</w:t>
            </w:r>
            <w:r>
              <w:rPr>
                <w:rFonts w:hint="eastAsia" w:ascii="宋体" w:hAnsi="宋体" w:cs="宋体"/>
                <w:color w:val="000000"/>
                <w:sz w:val="24"/>
                <w:szCs w:val="24"/>
                <w:highlight w:val="none"/>
              </w:rPr>
              <w:t>月</w:t>
            </w:r>
            <w:r>
              <w:rPr>
                <w:rFonts w:hint="eastAsia" w:ascii="宋体" w:hAnsi="宋体" w:cs="宋体"/>
                <w:color w:val="000000"/>
                <w:sz w:val="24"/>
                <w:szCs w:val="24"/>
                <w:highlight w:val="none"/>
                <w:lang w:val="en-US" w:eastAsia="zh-CN"/>
              </w:rPr>
              <w:t>22</w:t>
            </w:r>
            <w:r>
              <w:rPr>
                <w:rFonts w:hint="eastAsia" w:ascii="宋体" w:hAnsi="宋体" w:cs="宋体"/>
                <w:color w:val="000000"/>
                <w:sz w:val="24"/>
                <w:szCs w:val="24"/>
                <w:highlight w:val="none"/>
              </w:rPr>
              <w:t>日</w:t>
            </w:r>
            <w:r>
              <w:rPr>
                <w:rFonts w:hint="eastAsia" w:ascii="宋体" w:hAnsi="宋体" w:cs="宋体"/>
                <w:color w:val="000000"/>
                <w:sz w:val="24"/>
                <w:szCs w:val="24"/>
                <w:highlight w:val="none"/>
                <w:lang w:val="en-US" w:eastAsia="zh-CN"/>
              </w:rPr>
              <w:t>16</w:t>
            </w:r>
            <w:r>
              <w:rPr>
                <w:rFonts w:hint="eastAsia" w:ascii="宋体" w:hAnsi="宋体" w:cs="宋体"/>
                <w:color w:val="000000"/>
                <w:sz w:val="24"/>
                <w:szCs w:val="24"/>
                <w:highlight w:val="none"/>
              </w:rPr>
              <w:t>:00（北京时间）前提交投标文件。</w:t>
            </w:r>
          </w:p>
        </w:tc>
      </w:tr>
    </w:tbl>
    <w:p w14:paraId="1BC9AAA7">
      <w:pPr>
        <w:rPr>
          <w:rFonts w:cs="Times New Roman"/>
          <w:color w:val="000000"/>
          <w:highlight w:val="none"/>
        </w:rPr>
      </w:pPr>
    </w:p>
    <w:p w14:paraId="0574260B">
      <w:pPr>
        <w:widowControl/>
        <w:snapToGrid w:val="0"/>
        <w:spacing w:line="360" w:lineRule="auto"/>
        <w:ind w:firstLine="502" w:firstLineChars="200"/>
        <w:jc w:val="left"/>
        <w:outlineLvl w:val="0"/>
        <w:rPr>
          <w:rFonts w:ascii="宋体" w:hAnsi="宋体" w:cs="宋体"/>
          <w:b/>
          <w:bCs/>
          <w:color w:val="000000"/>
          <w:sz w:val="25"/>
          <w:highlight w:val="none"/>
        </w:rPr>
      </w:pPr>
      <w:bookmarkStart w:id="1" w:name="_Toc5363"/>
      <w:r>
        <w:rPr>
          <w:rFonts w:hint="eastAsia" w:ascii="宋体" w:hAnsi="宋体" w:cs="宋体"/>
          <w:b/>
          <w:bCs/>
          <w:color w:val="000000"/>
          <w:sz w:val="25"/>
          <w:highlight w:val="none"/>
        </w:rPr>
        <w:t>一、项目基本情况</w:t>
      </w:r>
      <w:bookmarkEnd w:id="1"/>
    </w:p>
    <w:p w14:paraId="0EA04744">
      <w:pPr>
        <w:spacing w:line="360" w:lineRule="auto"/>
        <w:ind w:firstLine="480" w:firstLineChars="200"/>
        <w:rPr>
          <w:rFonts w:hint="default" w:ascii="宋体" w:hAnsi="宋体" w:eastAsia="宋体" w:cs="Times New Roman"/>
          <w:color w:val="000000"/>
          <w:kern w:val="0"/>
          <w:sz w:val="24"/>
          <w:szCs w:val="24"/>
          <w:highlight w:val="none"/>
          <w:lang w:val="en-US" w:eastAsia="zh-CN"/>
        </w:rPr>
      </w:pPr>
      <w:r>
        <w:rPr>
          <w:rFonts w:hint="eastAsia" w:ascii="宋体" w:hAnsi="宋体" w:cs="Times New Roman"/>
          <w:color w:val="000000"/>
          <w:kern w:val="0"/>
          <w:sz w:val="24"/>
          <w:szCs w:val="24"/>
          <w:highlight w:val="none"/>
        </w:rPr>
        <w:t>项目编号：ZZ202</w:t>
      </w:r>
      <w:r>
        <w:rPr>
          <w:rFonts w:hint="eastAsia" w:ascii="宋体" w:hAnsi="宋体" w:cs="Times New Roman"/>
          <w:color w:val="000000"/>
          <w:kern w:val="0"/>
          <w:sz w:val="24"/>
          <w:szCs w:val="24"/>
          <w:highlight w:val="none"/>
          <w:lang w:val="en-US" w:eastAsia="zh-CN"/>
        </w:rPr>
        <w:t>6</w:t>
      </w:r>
      <w:r>
        <w:rPr>
          <w:rFonts w:hint="eastAsia" w:ascii="宋体" w:hAnsi="宋体" w:cs="Times New Roman"/>
          <w:color w:val="000000"/>
          <w:kern w:val="0"/>
          <w:sz w:val="24"/>
          <w:szCs w:val="24"/>
          <w:highlight w:val="none"/>
        </w:rPr>
        <w:t>-0</w:t>
      </w:r>
      <w:r>
        <w:rPr>
          <w:rFonts w:hint="eastAsia" w:ascii="宋体" w:hAnsi="宋体" w:cs="Times New Roman"/>
          <w:color w:val="000000"/>
          <w:kern w:val="0"/>
          <w:sz w:val="24"/>
          <w:szCs w:val="24"/>
          <w:highlight w:val="none"/>
          <w:lang w:val="en-US" w:eastAsia="zh-CN"/>
        </w:rPr>
        <w:t>62</w:t>
      </w:r>
    </w:p>
    <w:p w14:paraId="0A6CD75F">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项目名称：</w:t>
      </w:r>
      <w:r>
        <w:rPr>
          <w:rFonts w:hint="eastAsia" w:ascii="宋体" w:hAnsi="宋体" w:cs="Times New Roman"/>
          <w:color w:val="000000"/>
          <w:kern w:val="0"/>
          <w:sz w:val="24"/>
          <w:szCs w:val="24"/>
          <w:highlight w:val="none"/>
          <w:lang w:eastAsia="zh-CN"/>
        </w:rPr>
        <w:t>新疆职业大学</w:t>
      </w:r>
      <w:r>
        <w:rPr>
          <w:rFonts w:hint="eastAsia" w:ascii="宋体" w:hAnsi="宋体" w:cs="Times New Roman"/>
          <w:color w:val="000000"/>
          <w:kern w:val="0"/>
          <w:sz w:val="24"/>
          <w:szCs w:val="24"/>
          <w:highlight w:val="none"/>
        </w:rPr>
        <w:t>申办本科职业院校全过程辅助管理服务</w:t>
      </w:r>
      <w:r>
        <w:rPr>
          <w:rFonts w:hint="eastAsia" w:ascii="宋体" w:hAnsi="宋体" w:cs="Times New Roman"/>
          <w:color w:val="000000"/>
          <w:kern w:val="0"/>
          <w:sz w:val="24"/>
          <w:szCs w:val="24"/>
          <w:highlight w:val="none"/>
          <w:lang w:val="en-US" w:eastAsia="zh-CN"/>
        </w:rPr>
        <w:t>项目</w:t>
      </w:r>
    </w:p>
    <w:p w14:paraId="73926340">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采购方式：</w:t>
      </w:r>
      <w:r>
        <w:rPr>
          <w:rFonts w:hint="eastAsia" w:ascii="宋体" w:hAnsi="宋体" w:cs="Times New Roman"/>
          <w:color w:val="000000"/>
          <w:kern w:val="0"/>
          <w:sz w:val="24"/>
          <w:szCs w:val="24"/>
          <w:highlight w:val="none"/>
        </w:rPr>
        <w:t>公开招标</w:t>
      </w:r>
    </w:p>
    <w:p w14:paraId="5B8296F7">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预算金额（元）：</w:t>
      </w:r>
      <w:r>
        <w:rPr>
          <w:rFonts w:hint="eastAsia" w:ascii="宋体" w:hAnsi="宋体" w:cs="Times New Roman"/>
          <w:color w:val="000000"/>
          <w:kern w:val="0"/>
          <w:sz w:val="24"/>
          <w:szCs w:val="24"/>
          <w:highlight w:val="none"/>
          <w:lang w:val="en-US" w:eastAsia="zh-CN"/>
        </w:rPr>
        <w:t>2000000</w:t>
      </w:r>
      <w:r>
        <w:rPr>
          <w:rFonts w:hint="eastAsia" w:ascii="宋体" w:hAnsi="宋体" w:cs="Times New Roman"/>
          <w:color w:val="000000"/>
          <w:kern w:val="0"/>
          <w:sz w:val="24"/>
          <w:szCs w:val="24"/>
          <w:highlight w:val="none"/>
        </w:rPr>
        <w:t>.00</w:t>
      </w:r>
    </w:p>
    <w:p w14:paraId="7AC350BC">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最高限价（元）：</w:t>
      </w:r>
      <w:r>
        <w:rPr>
          <w:rFonts w:hint="eastAsia" w:ascii="宋体" w:hAnsi="宋体" w:cs="Times New Roman"/>
          <w:color w:val="000000"/>
          <w:kern w:val="0"/>
          <w:sz w:val="24"/>
          <w:szCs w:val="24"/>
          <w:highlight w:val="none"/>
          <w:lang w:val="en-US" w:eastAsia="zh-CN"/>
        </w:rPr>
        <w:t>2000000</w:t>
      </w:r>
      <w:r>
        <w:rPr>
          <w:rFonts w:hint="eastAsia" w:ascii="宋体" w:hAnsi="宋体" w:cs="Times New Roman"/>
          <w:color w:val="000000"/>
          <w:kern w:val="0"/>
          <w:sz w:val="24"/>
          <w:szCs w:val="24"/>
          <w:highlight w:val="none"/>
        </w:rPr>
        <w:t>.00</w:t>
      </w:r>
    </w:p>
    <w:p w14:paraId="266C5F31">
      <w:pPr>
        <w:spacing w:line="360" w:lineRule="auto"/>
        <w:ind w:firstLine="480" w:firstLineChars="200"/>
        <w:rPr>
          <w:rFonts w:ascii="宋体" w:hAnsi="宋体" w:cs="Times New Roman"/>
          <w:b/>
          <w:bCs/>
          <w:color w:val="000000"/>
          <w:kern w:val="0"/>
          <w:sz w:val="24"/>
          <w:szCs w:val="24"/>
          <w:highlight w:val="none"/>
        </w:rPr>
      </w:pPr>
      <w:r>
        <w:rPr>
          <w:rFonts w:ascii="宋体" w:hAnsi="宋体" w:cs="Times New Roman"/>
          <w:color w:val="000000"/>
          <w:kern w:val="0"/>
          <w:sz w:val="24"/>
          <w:szCs w:val="24"/>
          <w:highlight w:val="none"/>
        </w:rPr>
        <w:t>采购需求：</w:t>
      </w:r>
      <w:r>
        <w:rPr>
          <w:rFonts w:hint="eastAsia" w:ascii="宋体" w:hAnsi="宋体" w:cs="Times New Roman"/>
          <w:color w:val="000000"/>
          <w:kern w:val="0"/>
          <w:sz w:val="24"/>
          <w:szCs w:val="24"/>
          <w:highlight w:val="none"/>
          <w:lang w:eastAsia="zh-CN"/>
        </w:rPr>
        <w:t>新疆职业大学</w:t>
      </w:r>
      <w:r>
        <w:rPr>
          <w:rFonts w:hint="eastAsia" w:ascii="宋体" w:hAnsi="宋体" w:cs="Times New Roman"/>
          <w:color w:val="000000"/>
          <w:kern w:val="0"/>
          <w:sz w:val="24"/>
          <w:szCs w:val="24"/>
          <w:highlight w:val="none"/>
        </w:rPr>
        <w:t>申办本科职业院校全过程辅助管理服务；具体详见招标文件采购需求。</w:t>
      </w:r>
    </w:p>
    <w:p w14:paraId="0FB0F548">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合同履约期限：</w:t>
      </w:r>
      <w:r>
        <w:rPr>
          <w:rFonts w:hint="default" w:ascii="宋体" w:hAnsi="宋体" w:cs="Times New Roman"/>
          <w:color w:val="000000"/>
          <w:kern w:val="0"/>
          <w:sz w:val="24"/>
          <w:szCs w:val="24"/>
          <w:highlight w:val="none"/>
          <w:lang w:val="en-US" w:eastAsia="zh-CN"/>
        </w:rPr>
        <w:t>自合同签订之日起至通过教育部高校设置评审结束。</w:t>
      </w:r>
      <w:r>
        <w:rPr>
          <w:rFonts w:hint="eastAsia" w:ascii="宋体" w:hAnsi="宋体" w:cs="Times New Roman"/>
          <w:color w:val="000000"/>
          <w:kern w:val="0"/>
          <w:sz w:val="24"/>
          <w:szCs w:val="24"/>
          <w:highlight w:val="none"/>
          <w:lang w:val="en-US" w:eastAsia="zh-CN"/>
        </w:rPr>
        <w:t>（</w:t>
      </w:r>
      <w:r>
        <w:rPr>
          <w:rFonts w:hint="default" w:ascii="宋体" w:hAnsi="宋体" w:cs="Times New Roman"/>
          <w:color w:val="000000"/>
          <w:kern w:val="0"/>
          <w:sz w:val="24"/>
          <w:szCs w:val="24"/>
          <w:highlight w:val="none"/>
          <w:lang w:val="en-US" w:eastAsia="zh-CN"/>
        </w:rPr>
        <w:t>若学校未纳入自治区“十五五”高校设置规划，合同终止。付款方式根据服务内容分阶段支付。</w:t>
      </w:r>
      <w:r>
        <w:rPr>
          <w:rFonts w:hint="eastAsia" w:ascii="宋体" w:hAnsi="宋体" w:cs="Times New Roman"/>
          <w:color w:val="000000"/>
          <w:kern w:val="0"/>
          <w:sz w:val="24"/>
          <w:szCs w:val="24"/>
          <w:highlight w:val="none"/>
          <w:lang w:val="en-US" w:eastAsia="zh-CN"/>
        </w:rPr>
        <w:t>）</w:t>
      </w:r>
    </w:p>
    <w:p w14:paraId="6AE42B1B">
      <w:pPr>
        <w:spacing w:line="360" w:lineRule="auto"/>
        <w:ind w:firstLine="480" w:firstLineChars="200"/>
        <w:rPr>
          <w:rFonts w:ascii="仿宋" w:hAnsi="仿宋" w:cs="宋体"/>
          <w:color w:val="000000"/>
          <w:kern w:val="0"/>
          <w:sz w:val="24"/>
          <w:szCs w:val="24"/>
          <w:highlight w:val="none"/>
        </w:rPr>
      </w:pPr>
      <w:r>
        <w:rPr>
          <w:rFonts w:ascii="宋体" w:hAnsi="宋体" w:cs="Times New Roman"/>
          <w:color w:val="000000"/>
          <w:kern w:val="0"/>
          <w:sz w:val="24"/>
          <w:szCs w:val="24"/>
          <w:highlight w:val="none"/>
        </w:rPr>
        <w:t>本项目（否）接受联合体投标。</w:t>
      </w:r>
    </w:p>
    <w:p w14:paraId="5C3A0D78">
      <w:pPr>
        <w:widowControl/>
        <w:spacing w:line="360" w:lineRule="auto"/>
        <w:ind w:firstLine="502" w:firstLineChars="200"/>
        <w:jc w:val="left"/>
        <w:outlineLvl w:val="0"/>
        <w:rPr>
          <w:rFonts w:ascii="宋体" w:hAnsi="宋体" w:cs="宋体"/>
          <w:b/>
          <w:bCs/>
          <w:color w:val="000000"/>
          <w:sz w:val="25"/>
          <w:highlight w:val="none"/>
        </w:rPr>
      </w:pPr>
      <w:bookmarkStart w:id="2" w:name="_Toc24308"/>
      <w:r>
        <w:rPr>
          <w:rFonts w:hint="eastAsia" w:ascii="宋体" w:hAnsi="宋体" w:cs="宋体"/>
          <w:b/>
          <w:bCs/>
          <w:color w:val="000000"/>
          <w:sz w:val="25"/>
          <w:highlight w:val="none"/>
        </w:rPr>
        <w:t>二、申请人的资格要求：</w:t>
      </w:r>
      <w:bookmarkEnd w:id="2"/>
    </w:p>
    <w:p w14:paraId="09724396">
      <w:pPr>
        <w:widowControl/>
        <w:spacing w:line="420" w:lineRule="atLeast"/>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1．供应商的资格要求：符合《中华人民共和国政府采购法》第二十二条规定条件；</w:t>
      </w:r>
    </w:p>
    <w:p w14:paraId="0B599D05">
      <w:pPr>
        <w:widowControl/>
        <w:spacing w:line="420" w:lineRule="atLeast"/>
        <w:ind w:firstLine="480" w:firstLineChars="200"/>
        <w:jc w:val="left"/>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rPr>
        <w:t>2．采购项目需要落实的政府采购政策：</w:t>
      </w:r>
      <w:r>
        <w:rPr>
          <w:rFonts w:hint="eastAsia" w:ascii="宋体" w:hAnsi="宋体" w:cs="宋体"/>
          <w:color w:val="000000"/>
          <w:kern w:val="0"/>
          <w:sz w:val="24"/>
          <w:szCs w:val="24"/>
          <w:highlight w:val="none"/>
          <w:lang w:val="en-US" w:eastAsia="zh-CN"/>
        </w:rPr>
        <w:t>本项目属于专门面向中小企业采购项目</w:t>
      </w:r>
    </w:p>
    <w:p w14:paraId="52A3CBC3">
      <w:pPr>
        <w:widowControl/>
        <w:spacing w:line="420" w:lineRule="atLeast"/>
        <w:ind w:firstLine="480" w:firstLineChars="200"/>
        <w:jc w:val="left"/>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3.</w:t>
      </w:r>
      <w:r>
        <w:rPr>
          <w:rFonts w:hAnsi="宋体" w:cs="Times New Roman"/>
          <w:color w:val="000000"/>
          <w:sz w:val="24"/>
          <w:szCs w:val="24"/>
          <w:highlight w:val="none"/>
        </w:rPr>
        <w:t>本项目的特定资格要求：</w:t>
      </w:r>
    </w:p>
    <w:p w14:paraId="74B682BE">
      <w:pPr>
        <w:spacing w:line="520" w:lineRule="exact"/>
        <w:ind w:firstLine="480" w:firstLineChars="200"/>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w:t>
      </w:r>
      <w:r>
        <w:rPr>
          <w:rFonts w:hint="eastAsia" w:ascii="宋体" w:hAnsi="宋体" w:cs="Times New Roman"/>
          <w:color w:val="000000"/>
          <w:sz w:val="24"/>
          <w:szCs w:val="24"/>
          <w:highlight w:val="none"/>
          <w:lang w:val="en-US" w:eastAsia="zh-CN"/>
        </w:rPr>
        <w:t>1</w:t>
      </w:r>
      <w:r>
        <w:rPr>
          <w:rFonts w:hint="eastAsia" w:ascii="宋体" w:hAnsi="宋体" w:cs="Times New Roman"/>
          <w:color w:val="000000"/>
          <w:sz w:val="24"/>
          <w:szCs w:val="24"/>
          <w:highlight w:val="none"/>
        </w:rPr>
        <w:t>）供应商近三年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投标活动。（</w:t>
      </w:r>
      <w:r>
        <w:rPr>
          <w:rFonts w:hint="eastAsia" w:ascii="宋体" w:hAnsi="宋体" w:cs="Times New Roman"/>
          <w:color w:val="000000"/>
          <w:sz w:val="24"/>
          <w:szCs w:val="24"/>
          <w:highlight w:val="none"/>
          <w:lang w:val="en-US" w:eastAsia="zh-CN"/>
        </w:rPr>
        <w:t>2</w:t>
      </w:r>
      <w:r>
        <w:rPr>
          <w:rFonts w:hint="eastAsia" w:ascii="宋体" w:hAnsi="宋体" w:cs="Times New Roman"/>
          <w:color w:val="000000"/>
          <w:sz w:val="24"/>
          <w:szCs w:val="24"/>
          <w:highlight w:val="none"/>
        </w:rPr>
        <w:t>）其他说明：（A）与采购人存在利害关系可能影响采购公正性的法人、其他组织或者个人，不得参加本次采购活动。（B）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3DE81BE">
      <w:pPr>
        <w:spacing w:line="360" w:lineRule="auto"/>
        <w:ind w:firstLine="482" w:firstLineChars="200"/>
        <w:outlineLvl w:val="0"/>
        <w:rPr>
          <w:rFonts w:ascii="宋体" w:hAnsi="宋体" w:cs="Arial"/>
          <w:b/>
          <w:bCs/>
          <w:color w:val="000000"/>
          <w:kern w:val="0"/>
          <w:sz w:val="24"/>
          <w:szCs w:val="24"/>
          <w:highlight w:val="none"/>
        </w:rPr>
      </w:pPr>
      <w:bookmarkStart w:id="3" w:name="_Toc19999"/>
      <w:r>
        <w:rPr>
          <w:rFonts w:hint="eastAsia" w:ascii="宋体" w:hAnsi="宋体" w:cs="Arial"/>
          <w:b/>
          <w:bCs/>
          <w:color w:val="000000"/>
          <w:kern w:val="0"/>
          <w:sz w:val="24"/>
          <w:szCs w:val="24"/>
          <w:highlight w:val="none"/>
        </w:rPr>
        <w:t>三、获取招标文件</w:t>
      </w:r>
      <w:bookmarkEnd w:id="3"/>
    </w:p>
    <w:p w14:paraId="61DA142B">
      <w:pPr>
        <w:widowControl/>
        <w:spacing w:line="360" w:lineRule="auto"/>
        <w:ind w:firstLine="480" w:firstLineChars="200"/>
        <w:jc w:val="left"/>
        <w:rPr>
          <w:rFonts w:ascii="宋体" w:hAnsi="宋体" w:cs="Courier New"/>
          <w:color w:val="000000"/>
          <w:sz w:val="24"/>
          <w:szCs w:val="24"/>
          <w:highlight w:val="none"/>
        </w:rPr>
      </w:pPr>
      <w:r>
        <w:rPr>
          <w:rFonts w:hint="eastAsia" w:ascii="宋体" w:hAnsi="宋体" w:cs="Courier New"/>
          <w:color w:val="000000"/>
          <w:sz w:val="24"/>
          <w:szCs w:val="24"/>
          <w:highlight w:val="none"/>
        </w:rPr>
        <w:t>获取</w:t>
      </w:r>
      <w:r>
        <w:rPr>
          <w:rFonts w:ascii="宋体" w:hAnsi="宋体" w:cs="Courier New"/>
          <w:color w:val="000000"/>
          <w:sz w:val="24"/>
          <w:szCs w:val="24"/>
          <w:highlight w:val="none"/>
        </w:rPr>
        <w:t>时间：</w:t>
      </w:r>
      <w:r>
        <w:rPr>
          <w:rFonts w:hint="eastAsia" w:ascii="宋体" w:hAnsi="宋体" w:cs="Courier New"/>
          <w:color w:val="000000"/>
          <w:sz w:val="24"/>
          <w:szCs w:val="24"/>
          <w:highlight w:val="none"/>
        </w:rPr>
        <w:t>202</w:t>
      </w:r>
      <w:r>
        <w:rPr>
          <w:rFonts w:hint="eastAsia" w:ascii="宋体" w:hAnsi="宋体" w:cs="Courier New"/>
          <w:color w:val="000000"/>
          <w:sz w:val="24"/>
          <w:szCs w:val="24"/>
          <w:highlight w:val="none"/>
          <w:lang w:val="en-US" w:eastAsia="zh-CN"/>
        </w:rPr>
        <w:t>6</w:t>
      </w:r>
      <w:r>
        <w:rPr>
          <w:rFonts w:ascii="宋体" w:hAnsi="宋体" w:cs="Courier New"/>
          <w:color w:val="000000"/>
          <w:sz w:val="24"/>
          <w:szCs w:val="24"/>
          <w:highlight w:val="none"/>
        </w:rPr>
        <w:t>年</w:t>
      </w:r>
      <w:r>
        <w:rPr>
          <w:rFonts w:hint="eastAsia" w:ascii="宋体" w:hAnsi="宋体" w:cs="Courier New"/>
          <w:color w:val="000000"/>
          <w:sz w:val="24"/>
          <w:szCs w:val="24"/>
          <w:highlight w:val="none"/>
          <w:lang w:val="en-US" w:eastAsia="zh-CN"/>
        </w:rPr>
        <w:t>04</w:t>
      </w:r>
      <w:r>
        <w:rPr>
          <w:rFonts w:ascii="宋体" w:hAnsi="宋体" w:cs="Courier New"/>
          <w:color w:val="000000"/>
          <w:sz w:val="24"/>
          <w:szCs w:val="24"/>
          <w:highlight w:val="none"/>
        </w:rPr>
        <w:t>月</w:t>
      </w:r>
      <w:r>
        <w:rPr>
          <w:rFonts w:hint="eastAsia" w:ascii="宋体" w:hAnsi="宋体" w:cs="Courier New"/>
          <w:color w:val="000000"/>
          <w:sz w:val="24"/>
          <w:szCs w:val="24"/>
          <w:highlight w:val="none"/>
          <w:lang w:val="en-US" w:eastAsia="zh-CN"/>
        </w:rPr>
        <w:t>30</w:t>
      </w:r>
      <w:r>
        <w:rPr>
          <w:rFonts w:ascii="宋体" w:hAnsi="宋体" w:cs="Courier New"/>
          <w:color w:val="000000"/>
          <w:sz w:val="24"/>
          <w:szCs w:val="24"/>
          <w:highlight w:val="none"/>
        </w:rPr>
        <w:t>日至</w:t>
      </w:r>
      <w:r>
        <w:rPr>
          <w:rFonts w:hint="eastAsia" w:ascii="宋体" w:hAnsi="宋体" w:cs="Courier New"/>
          <w:color w:val="000000"/>
          <w:sz w:val="24"/>
          <w:szCs w:val="24"/>
          <w:highlight w:val="none"/>
        </w:rPr>
        <w:t>202</w:t>
      </w:r>
      <w:r>
        <w:rPr>
          <w:rFonts w:hint="eastAsia" w:ascii="宋体" w:hAnsi="宋体" w:cs="Courier New"/>
          <w:color w:val="000000"/>
          <w:sz w:val="24"/>
          <w:szCs w:val="24"/>
          <w:highlight w:val="none"/>
          <w:lang w:val="en-US" w:eastAsia="zh-CN"/>
        </w:rPr>
        <w:t>6</w:t>
      </w:r>
      <w:r>
        <w:rPr>
          <w:rFonts w:ascii="宋体" w:hAnsi="宋体" w:cs="Courier New"/>
          <w:color w:val="000000"/>
          <w:sz w:val="24"/>
          <w:szCs w:val="24"/>
          <w:highlight w:val="none"/>
        </w:rPr>
        <w:t>年</w:t>
      </w:r>
      <w:r>
        <w:rPr>
          <w:rFonts w:hint="eastAsia" w:ascii="宋体" w:hAnsi="宋体" w:cs="Courier New"/>
          <w:color w:val="000000"/>
          <w:sz w:val="24"/>
          <w:szCs w:val="24"/>
          <w:highlight w:val="none"/>
          <w:lang w:val="en-US" w:eastAsia="zh-CN"/>
        </w:rPr>
        <w:t>05</w:t>
      </w:r>
      <w:r>
        <w:rPr>
          <w:rFonts w:ascii="宋体" w:hAnsi="宋体" w:cs="Courier New"/>
          <w:color w:val="000000"/>
          <w:sz w:val="24"/>
          <w:szCs w:val="24"/>
          <w:highlight w:val="none"/>
        </w:rPr>
        <w:t>月</w:t>
      </w:r>
      <w:r>
        <w:rPr>
          <w:rFonts w:hint="eastAsia" w:ascii="宋体" w:hAnsi="宋体" w:cs="Courier New"/>
          <w:color w:val="000000"/>
          <w:sz w:val="24"/>
          <w:szCs w:val="24"/>
          <w:highlight w:val="none"/>
          <w:lang w:val="en-US" w:eastAsia="zh-CN"/>
        </w:rPr>
        <w:t>11</w:t>
      </w:r>
      <w:r>
        <w:rPr>
          <w:rFonts w:ascii="宋体" w:hAnsi="宋体" w:cs="Courier New"/>
          <w:color w:val="000000"/>
          <w:sz w:val="24"/>
          <w:szCs w:val="24"/>
          <w:highlight w:val="none"/>
        </w:rPr>
        <w:t>日，</w:t>
      </w:r>
      <w:r>
        <w:rPr>
          <w:rFonts w:hint="eastAsia" w:ascii="宋体" w:hAnsi="宋体" w:cs="Courier New"/>
          <w:color w:val="000000"/>
          <w:sz w:val="24"/>
          <w:szCs w:val="24"/>
          <w:highlight w:val="none"/>
        </w:rPr>
        <w:t>每天上午00:00至12:00，下午12:00至23:59（北京时间）</w:t>
      </w:r>
    </w:p>
    <w:p w14:paraId="5C4B0E53">
      <w:pPr>
        <w:widowControl/>
        <w:spacing w:line="360" w:lineRule="auto"/>
        <w:ind w:firstLine="480" w:firstLineChars="200"/>
        <w:jc w:val="left"/>
        <w:rPr>
          <w:rFonts w:ascii="宋体" w:hAnsi="宋体" w:cs="Courier New"/>
          <w:color w:val="000000"/>
          <w:sz w:val="24"/>
          <w:szCs w:val="24"/>
          <w:highlight w:val="none"/>
        </w:rPr>
      </w:pPr>
      <w:r>
        <w:rPr>
          <w:rFonts w:hint="eastAsia" w:ascii="宋体" w:hAnsi="宋体" w:cs="Courier New"/>
          <w:color w:val="000000"/>
          <w:sz w:val="24"/>
          <w:szCs w:val="24"/>
          <w:highlight w:val="none"/>
        </w:rPr>
        <w:t>获取</w:t>
      </w:r>
      <w:r>
        <w:rPr>
          <w:rFonts w:ascii="宋体" w:hAnsi="宋体" w:cs="Courier New"/>
          <w:color w:val="000000"/>
          <w:sz w:val="24"/>
          <w:szCs w:val="24"/>
          <w:highlight w:val="none"/>
        </w:rPr>
        <w:t>地点：</w:t>
      </w:r>
      <w:r>
        <w:rPr>
          <w:rFonts w:hint="eastAsia" w:ascii="宋体" w:hAnsi="宋体" w:cs="Courier New"/>
          <w:color w:val="000000"/>
          <w:sz w:val="24"/>
          <w:szCs w:val="24"/>
          <w:highlight w:val="none"/>
        </w:rPr>
        <w:t>新疆政府采购网政采云平台：（http://www.ccgp-xinjiang.gov.cn/）</w:t>
      </w:r>
    </w:p>
    <w:p w14:paraId="56695FB4">
      <w:pPr>
        <w:widowControl/>
        <w:spacing w:line="360" w:lineRule="auto"/>
        <w:ind w:firstLine="480" w:firstLineChars="200"/>
        <w:jc w:val="left"/>
        <w:rPr>
          <w:rFonts w:ascii="宋体" w:hAnsi="宋体" w:cs="Courier New"/>
          <w:color w:val="000000"/>
          <w:sz w:val="24"/>
          <w:szCs w:val="24"/>
          <w:highlight w:val="none"/>
        </w:rPr>
      </w:pPr>
      <w:r>
        <w:rPr>
          <w:rFonts w:hint="eastAsia" w:ascii="宋体" w:hAnsi="宋体" w:cs="Courier New"/>
          <w:color w:val="000000"/>
          <w:sz w:val="24"/>
          <w:szCs w:val="24"/>
          <w:highlight w:val="none"/>
        </w:rPr>
        <w:t>获取</w:t>
      </w:r>
      <w:r>
        <w:rPr>
          <w:rFonts w:ascii="宋体" w:hAnsi="宋体" w:cs="Courier New"/>
          <w:color w:val="000000"/>
          <w:sz w:val="24"/>
          <w:szCs w:val="24"/>
          <w:highlight w:val="none"/>
        </w:rPr>
        <w:t>方式：</w:t>
      </w:r>
      <w:r>
        <w:rPr>
          <w:rFonts w:hint="eastAsia" w:ascii="宋体" w:hAnsi="宋体" w:cs="Courier New"/>
          <w:color w:val="000000"/>
          <w:sz w:val="24"/>
          <w:szCs w:val="24"/>
          <w:highlight w:val="none"/>
        </w:rPr>
        <w:t xml:space="preserve">供应商登录新疆政府采购网政采云平台（http://www.ccgp-xinjiang.gov.cn/）在线申请获取招标文件（进入“项目采购”应用，在获取招标文件菜单中选择项目，申请获取招标文件） </w:t>
      </w:r>
    </w:p>
    <w:p w14:paraId="07E4D507">
      <w:pPr>
        <w:widowControl/>
        <w:spacing w:line="360" w:lineRule="auto"/>
        <w:ind w:firstLine="480" w:firstLineChars="200"/>
        <w:jc w:val="left"/>
        <w:rPr>
          <w:rFonts w:ascii="黑体" w:hAnsi="黑体" w:eastAsia="黑体" w:cs="Times New Roman"/>
          <w:b/>
          <w:bCs/>
          <w:color w:val="000000"/>
          <w:sz w:val="25"/>
          <w:highlight w:val="none"/>
        </w:rPr>
      </w:pPr>
      <w:r>
        <w:rPr>
          <w:rFonts w:ascii="宋体" w:hAnsi="宋体" w:cs="Courier New"/>
          <w:color w:val="000000"/>
          <w:sz w:val="24"/>
          <w:szCs w:val="24"/>
          <w:highlight w:val="none"/>
        </w:rPr>
        <w:t>售价（元）：</w:t>
      </w:r>
      <w:r>
        <w:rPr>
          <w:rFonts w:hint="eastAsia" w:ascii="宋体" w:hAnsi="宋体" w:cs="Courier New"/>
          <w:color w:val="000000"/>
          <w:sz w:val="24"/>
          <w:szCs w:val="24"/>
          <w:highlight w:val="none"/>
        </w:rPr>
        <w:t>0</w:t>
      </w:r>
    </w:p>
    <w:p w14:paraId="3F0BFA9A">
      <w:pPr>
        <w:spacing w:line="360" w:lineRule="auto"/>
        <w:ind w:firstLine="482" w:firstLineChars="200"/>
        <w:outlineLvl w:val="0"/>
        <w:rPr>
          <w:rFonts w:ascii="宋体" w:hAnsi="宋体" w:cs="Arial"/>
          <w:b/>
          <w:bCs/>
          <w:color w:val="000000"/>
          <w:kern w:val="0"/>
          <w:sz w:val="24"/>
          <w:szCs w:val="24"/>
          <w:highlight w:val="none"/>
        </w:rPr>
      </w:pPr>
      <w:bookmarkStart w:id="4" w:name="_Toc28101"/>
      <w:r>
        <w:rPr>
          <w:rFonts w:hint="eastAsia" w:ascii="宋体" w:hAnsi="宋体" w:cs="Arial"/>
          <w:b/>
          <w:bCs/>
          <w:color w:val="000000"/>
          <w:kern w:val="0"/>
          <w:sz w:val="24"/>
          <w:szCs w:val="24"/>
          <w:highlight w:val="none"/>
        </w:rPr>
        <w:t>四、提交投标文件截止时间、开标时间和地点</w:t>
      </w:r>
      <w:bookmarkEnd w:id="4"/>
    </w:p>
    <w:p w14:paraId="233CF3D1">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截止时间</w:t>
      </w:r>
      <w:r>
        <w:rPr>
          <w:rFonts w:hint="eastAsia" w:ascii="宋体" w:hAnsi="宋体" w:cs="Arial"/>
          <w:color w:val="000000"/>
          <w:kern w:val="0"/>
          <w:sz w:val="24"/>
          <w:szCs w:val="24"/>
          <w:highlight w:val="none"/>
          <w:lang w:val="en-US" w:eastAsia="zh-CN"/>
        </w:rPr>
        <w:t>/</w:t>
      </w:r>
      <w:r>
        <w:rPr>
          <w:rFonts w:hint="eastAsia" w:ascii="宋体" w:hAnsi="宋体" w:cs="Arial"/>
          <w:color w:val="000000"/>
          <w:kern w:val="0"/>
          <w:sz w:val="24"/>
          <w:szCs w:val="24"/>
          <w:highlight w:val="none"/>
        </w:rPr>
        <w:t>开标时间：202</w:t>
      </w:r>
      <w:r>
        <w:rPr>
          <w:rFonts w:hint="eastAsia" w:ascii="宋体" w:hAnsi="宋体" w:cs="Arial"/>
          <w:color w:val="000000"/>
          <w:kern w:val="0"/>
          <w:sz w:val="24"/>
          <w:szCs w:val="24"/>
          <w:highlight w:val="none"/>
          <w:lang w:val="en-US" w:eastAsia="zh-CN"/>
        </w:rPr>
        <w:t>6</w:t>
      </w:r>
      <w:r>
        <w:rPr>
          <w:rFonts w:hint="eastAsia" w:ascii="宋体" w:hAnsi="宋体" w:cs="Arial"/>
          <w:color w:val="000000"/>
          <w:kern w:val="0"/>
          <w:sz w:val="24"/>
          <w:szCs w:val="24"/>
          <w:highlight w:val="none"/>
        </w:rPr>
        <w:t>年</w:t>
      </w:r>
      <w:r>
        <w:rPr>
          <w:rFonts w:hint="eastAsia" w:ascii="宋体" w:hAnsi="宋体" w:cs="Arial"/>
          <w:color w:val="000000"/>
          <w:kern w:val="0"/>
          <w:sz w:val="24"/>
          <w:szCs w:val="24"/>
          <w:highlight w:val="none"/>
          <w:lang w:val="en-US" w:eastAsia="zh-CN"/>
        </w:rPr>
        <w:t>05</w:t>
      </w:r>
      <w:r>
        <w:rPr>
          <w:rFonts w:hint="eastAsia" w:ascii="宋体" w:hAnsi="宋体" w:cs="Arial"/>
          <w:color w:val="000000"/>
          <w:kern w:val="0"/>
          <w:sz w:val="24"/>
          <w:szCs w:val="24"/>
          <w:highlight w:val="none"/>
        </w:rPr>
        <w:t xml:space="preserve">月 </w:t>
      </w:r>
      <w:r>
        <w:rPr>
          <w:rFonts w:hint="eastAsia" w:ascii="宋体" w:hAnsi="宋体" w:cs="Arial"/>
          <w:color w:val="000000"/>
          <w:kern w:val="0"/>
          <w:sz w:val="24"/>
          <w:szCs w:val="24"/>
          <w:highlight w:val="none"/>
          <w:lang w:val="en-US" w:eastAsia="zh-CN"/>
        </w:rPr>
        <w:t>22</w:t>
      </w:r>
      <w:r>
        <w:rPr>
          <w:rFonts w:hint="eastAsia" w:ascii="宋体" w:hAnsi="宋体" w:cs="Arial"/>
          <w:color w:val="000000"/>
          <w:kern w:val="0"/>
          <w:sz w:val="24"/>
          <w:szCs w:val="24"/>
          <w:highlight w:val="none"/>
        </w:rPr>
        <w:t>日</w:t>
      </w:r>
      <w:r>
        <w:rPr>
          <w:rFonts w:hint="eastAsia" w:ascii="宋体" w:hAnsi="宋体" w:cs="Arial"/>
          <w:color w:val="000000"/>
          <w:kern w:val="0"/>
          <w:sz w:val="24"/>
          <w:szCs w:val="24"/>
          <w:highlight w:val="none"/>
          <w:lang w:val="en-US" w:eastAsia="zh-CN"/>
        </w:rPr>
        <w:t>16：</w:t>
      </w:r>
      <w:r>
        <w:rPr>
          <w:rFonts w:hint="eastAsia" w:ascii="宋体" w:hAnsi="宋体" w:cs="Arial"/>
          <w:color w:val="000000"/>
          <w:kern w:val="0"/>
          <w:sz w:val="24"/>
          <w:szCs w:val="24"/>
          <w:highlight w:val="none"/>
        </w:rPr>
        <w:t>00（北京时间）</w:t>
      </w:r>
    </w:p>
    <w:p w14:paraId="282CCA2F">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 xml:space="preserve">投标地点（网址）：新疆政府采购网政采云平台不见面开标大厅（本项目采用远程不见面交易的模式。采购当日，供应商无需到达采购现场，仅需在任意地点登录政采云平台（http://www.ccgp-xinjiang.gov.cn/）不见面开标系统（进入“项目采购”应用，在开标评标菜单中选择进入开标大厅） </w:t>
      </w:r>
    </w:p>
    <w:p w14:paraId="13B889E8">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 xml:space="preserve">开标地点：新疆政府采购网政采云平台（http://www.ccgp-xinjiang.gov.cn/）  </w:t>
      </w:r>
    </w:p>
    <w:p w14:paraId="4FE3582F">
      <w:pPr>
        <w:spacing w:line="360" w:lineRule="auto"/>
        <w:ind w:firstLine="482" w:firstLineChars="200"/>
        <w:outlineLvl w:val="0"/>
        <w:rPr>
          <w:rFonts w:ascii="宋体" w:hAnsi="宋体" w:cs="Arial"/>
          <w:b/>
          <w:bCs/>
          <w:color w:val="000000"/>
          <w:kern w:val="0"/>
          <w:sz w:val="24"/>
          <w:szCs w:val="24"/>
          <w:highlight w:val="none"/>
        </w:rPr>
      </w:pPr>
      <w:bookmarkStart w:id="5" w:name="_Toc2381"/>
      <w:r>
        <w:rPr>
          <w:rFonts w:hint="eastAsia" w:ascii="宋体" w:hAnsi="宋体" w:cs="Arial"/>
          <w:b/>
          <w:bCs/>
          <w:color w:val="000000"/>
          <w:kern w:val="0"/>
          <w:sz w:val="24"/>
          <w:szCs w:val="24"/>
          <w:highlight w:val="none"/>
        </w:rPr>
        <w:t>五、公告期限</w:t>
      </w:r>
      <w:bookmarkEnd w:id="5"/>
    </w:p>
    <w:p w14:paraId="79B16A29">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自本公告发布之日起5个工作日。</w:t>
      </w:r>
    </w:p>
    <w:p w14:paraId="1061CC3A">
      <w:pPr>
        <w:spacing w:line="360" w:lineRule="auto"/>
        <w:ind w:firstLine="482" w:firstLineChars="200"/>
        <w:outlineLvl w:val="0"/>
        <w:rPr>
          <w:rFonts w:ascii="宋体" w:hAnsi="宋体" w:cs="Arial"/>
          <w:b/>
          <w:bCs/>
          <w:color w:val="000000"/>
          <w:kern w:val="0"/>
          <w:sz w:val="24"/>
          <w:szCs w:val="24"/>
          <w:highlight w:val="none"/>
        </w:rPr>
      </w:pPr>
      <w:bookmarkStart w:id="6" w:name="_Toc16764"/>
      <w:r>
        <w:rPr>
          <w:rFonts w:hint="eastAsia" w:ascii="宋体" w:hAnsi="宋体" w:cs="Arial"/>
          <w:b/>
          <w:bCs/>
          <w:color w:val="000000"/>
          <w:kern w:val="0"/>
          <w:sz w:val="24"/>
          <w:szCs w:val="24"/>
          <w:highlight w:val="none"/>
        </w:rPr>
        <w:t>六、其他补充事宜</w:t>
      </w:r>
      <w:bookmarkEnd w:id="6"/>
    </w:p>
    <w:p w14:paraId="3592AECD">
      <w:pPr>
        <w:spacing w:line="360" w:lineRule="auto"/>
        <w:ind w:firstLine="480" w:firstLineChars="200"/>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1、本项目实行网上投标，采用电子投标文件。</w:t>
      </w:r>
    </w:p>
    <w:p w14:paraId="4D933ADD">
      <w:pPr>
        <w:spacing w:line="360" w:lineRule="auto"/>
        <w:ind w:firstLine="480" w:firstLineChars="200"/>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3659DABB">
      <w:pPr>
        <w:spacing w:line="360" w:lineRule="auto"/>
        <w:ind w:firstLine="480" w:firstLineChars="200"/>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3、供应商将政采云电子交易客户端下载、安装完成后，可通过账号密码或CA登录客户端进行投标文件的制作。在使用政采云投标客户端时，建议使用WIN7及以上操作系统。</w:t>
      </w:r>
    </w:p>
    <w:p w14:paraId="556A568B">
      <w:pPr>
        <w:spacing w:line="360" w:lineRule="auto"/>
        <w:ind w:firstLine="480" w:firstLineChars="200"/>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4、其他事项：①</w:t>
      </w:r>
      <w:r>
        <w:rPr>
          <w:rFonts w:hint="eastAsia" w:ascii="宋体" w:hAnsi="宋体" w:cs="Arial"/>
          <w:color w:val="000000"/>
          <w:kern w:val="0"/>
          <w:sz w:val="24"/>
          <w:szCs w:val="24"/>
          <w:highlight w:val="none"/>
          <w:lang w:eastAsia="zh-CN"/>
        </w:rPr>
        <w:t>如需咨询，</w:t>
      </w:r>
      <w:r>
        <w:rPr>
          <w:rFonts w:hint="eastAsia" w:ascii="宋体" w:hAnsi="宋体" w:cs="Arial"/>
          <w:color w:val="000000"/>
          <w:kern w:val="0"/>
          <w:sz w:val="24"/>
          <w:szCs w:val="24"/>
          <w:highlight w:val="none"/>
          <w:lang w:val="en-US" w:eastAsia="zh-CN"/>
        </w:rPr>
        <w:t>可</w:t>
      </w:r>
      <w:r>
        <w:rPr>
          <w:rFonts w:hint="eastAsia" w:ascii="宋体" w:hAnsi="宋体" w:cs="Arial"/>
          <w:color w:val="000000"/>
          <w:kern w:val="0"/>
          <w:sz w:val="24"/>
          <w:szCs w:val="24"/>
          <w:highlight w:val="none"/>
          <w:lang w:eastAsia="zh-CN"/>
        </w:rPr>
        <w:t>联系新疆CA服务热线 0991-2819290；</w:t>
      </w:r>
      <w:r>
        <w:rPr>
          <w:rFonts w:hint="eastAsia" w:ascii="宋体" w:hAnsi="宋体" w:cs="Arial"/>
          <w:color w:val="000000"/>
          <w:kern w:val="0"/>
          <w:sz w:val="24"/>
          <w:szCs w:val="24"/>
          <w:highlight w:val="none"/>
          <w:lang w:val="en-US" w:eastAsia="zh-CN"/>
        </w:rPr>
        <w:t>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7897A35">
      <w:pPr>
        <w:spacing w:line="360" w:lineRule="auto"/>
        <w:ind w:firstLine="480" w:firstLineChars="200"/>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特别提示：</w:t>
      </w:r>
    </w:p>
    <w:p w14:paraId="3E17A2EF">
      <w:pPr>
        <w:spacing w:line="360" w:lineRule="auto"/>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  1、采购限额标准以上，200万元以下的货物和服务采购项目、400万元以下的工程采购项目，适宜由中小企业提供的，采购人应当专门面向中小企业采购。</w:t>
      </w:r>
    </w:p>
    <w:p w14:paraId="6F1737AC">
      <w:pPr>
        <w:spacing w:line="360" w:lineRule="auto"/>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  2、超过200万元的货物和服务采购项目，预留该部分采购项目预算总额的30%以上专门面向中小企业采购，其中预留给小微企业的比例不低于60%。</w:t>
      </w:r>
    </w:p>
    <w:p w14:paraId="03FBBE55">
      <w:pPr>
        <w:spacing w:line="360" w:lineRule="auto"/>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  3、超过400万元的工程采购项目中适宜由中小企业提供的，预留该部分采购项目预算总额的40%以上专门面向中小企业采购，其中预留给小微企业的比例不低于60%。</w:t>
      </w:r>
    </w:p>
    <w:p w14:paraId="3BB01F90">
      <w:pPr>
        <w:spacing w:line="360" w:lineRule="auto"/>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633E775">
      <w:pPr>
        <w:spacing w:line="360" w:lineRule="auto"/>
        <w:rPr>
          <w:rFonts w:hint="eastAsia" w:ascii="宋体" w:hAnsi="宋体" w:cs="Arial"/>
          <w:color w:val="000000"/>
          <w:kern w:val="0"/>
          <w:sz w:val="24"/>
          <w:szCs w:val="24"/>
          <w:highlight w:val="none"/>
          <w:lang w:val="en-US" w:eastAsia="zh-CN"/>
        </w:rPr>
      </w:pPr>
      <w:r>
        <w:rPr>
          <w:rFonts w:hint="eastAsia" w:ascii="宋体" w:hAnsi="宋体" w:cs="Arial"/>
          <w:color w:val="000000"/>
          <w:kern w:val="0"/>
          <w:sz w:val="24"/>
          <w:szCs w:val="24"/>
          <w:highlight w:val="none"/>
          <w:lang w:val="en-US" w:eastAsia="zh-CN"/>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68D9FD1">
      <w:pPr>
        <w:spacing w:line="360" w:lineRule="auto"/>
        <w:rPr>
          <w:rFonts w:ascii="宋体" w:hAnsi="宋体" w:cs="Arial"/>
          <w:color w:val="000000"/>
          <w:kern w:val="0"/>
          <w:sz w:val="24"/>
          <w:szCs w:val="24"/>
          <w:highlight w:val="none"/>
        </w:rPr>
      </w:pPr>
    </w:p>
    <w:p w14:paraId="17E1CC47">
      <w:pPr>
        <w:spacing w:line="360" w:lineRule="auto"/>
        <w:ind w:firstLine="482" w:firstLineChars="200"/>
        <w:outlineLvl w:val="0"/>
        <w:rPr>
          <w:rFonts w:ascii="宋体" w:hAnsi="宋体" w:cs="Arial"/>
          <w:b/>
          <w:bCs/>
          <w:color w:val="000000"/>
          <w:kern w:val="0"/>
          <w:sz w:val="24"/>
          <w:szCs w:val="24"/>
          <w:highlight w:val="none"/>
        </w:rPr>
      </w:pPr>
      <w:bookmarkStart w:id="7" w:name="_Toc18957"/>
      <w:r>
        <w:rPr>
          <w:rFonts w:hint="eastAsia" w:ascii="宋体" w:hAnsi="宋体" w:cs="Arial"/>
          <w:b/>
          <w:bCs/>
          <w:color w:val="000000"/>
          <w:kern w:val="0"/>
          <w:sz w:val="24"/>
          <w:szCs w:val="24"/>
          <w:highlight w:val="none"/>
        </w:rPr>
        <w:t>七、凡对本次招标提出询问，请按以下方式联系</w:t>
      </w:r>
      <w:bookmarkEnd w:id="7"/>
    </w:p>
    <w:p w14:paraId="2724F36F">
      <w:pPr>
        <w:spacing w:line="360" w:lineRule="auto"/>
        <w:ind w:firstLine="480" w:firstLineChars="200"/>
        <w:outlineLvl w:val="1"/>
        <w:rPr>
          <w:rFonts w:ascii="宋体" w:hAnsi="宋体" w:cs="Arial"/>
          <w:color w:val="000000"/>
          <w:kern w:val="0"/>
          <w:sz w:val="24"/>
          <w:szCs w:val="24"/>
          <w:highlight w:val="none"/>
        </w:rPr>
      </w:pPr>
      <w:r>
        <w:rPr>
          <w:rFonts w:hint="eastAsia" w:ascii="宋体" w:hAnsi="宋体" w:cs="Arial"/>
          <w:color w:val="000000"/>
          <w:kern w:val="0"/>
          <w:sz w:val="24"/>
          <w:szCs w:val="24"/>
          <w:highlight w:val="none"/>
        </w:rPr>
        <w:t>1.采购人信息</w:t>
      </w:r>
    </w:p>
    <w:p w14:paraId="4AB50339">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名称：新疆职业大学</w:t>
      </w:r>
    </w:p>
    <w:p w14:paraId="1ADF80FE">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地址：乌鲁木齐市达坂城区达坂城镇文达路</w:t>
      </w:r>
      <w:r>
        <w:rPr>
          <w:rFonts w:hint="eastAsia" w:ascii="宋体" w:hAnsi="宋体" w:cs="Arial"/>
          <w:color w:val="000000"/>
          <w:kern w:val="0"/>
          <w:sz w:val="24"/>
          <w:szCs w:val="24"/>
          <w:highlight w:val="none"/>
          <w:lang w:val="en-US" w:eastAsia="zh-CN"/>
        </w:rPr>
        <w:t>1号</w:t>
      </w:r>
    </w:p>
    <w:p w14:paraId="74639D3C">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联系方式：</w:t>
      </w:r>
      <w:r>
        <w:rPr>
          <w:rFonts w:hint="eastAsia" w:ascii="宋体" w:hAnsi="宋体" w:cs="Arial"/>
          <w:color w:val="000000"/>
          <w:kern w:val="0"/>
          <w:sz w:val="24"/>
          <w:szCs w:val="24"/>
          <w:highlight w:val="none"/>
          <w:lang w:val="en-US" w:eastAsia="zh-CN"/>
        </w:rPr>
        <w:t>15276828532</w:t>
      </w:r>
    </w:p>
    <w:p w14:paraId="396DE8DB">
      <w:pPr>
        <w:spacing w:line="360" w:lineRule="auto"/>
        <w:ind w:firstLine="480" w:firstLineChars="200"/>
        <w:outlineLvl w:val="1"/>
        <w:rPr>
          <w:rFonts w:ascii="宋体" w:hAnsi="宋体" w:cs="Arial"/>
          <w:color w:val="000000"/>
          <w:kern w:val="0"/>
          <w:sz w:val="24"/>
          <w:szCs w:val="24"/>
          <w:highlight w:val="none"/>
        </w:rPr>
      </w:pPr>
      <w:r>
        <w:rPr>
          <w:rFonts w:hint="eastAsia" w:ascii="宋体" w:hAnsi="宋体" w:cs="Arial"/>
          <w:color w:val="000000"/>
          <w:kern w:val="0"/>
          <w:sz w:val="24"/>
          <w:szCs w:val="24"/>
          <w:highlight w:val="none"/>
        </w:rPr>
        <w:t>2.采购代理机构信息</w:t>
      </w:r>
    </w:p>
    <w:p w14:paraId="57B6EC11">
      <w:pPr>
        <w:tabs>
          <w:tab w:val="left" w:pos="379"/>
        </w:tabs>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名称：新疆中咨建设项目管理有限公司</w:t>
      </w:r>
    </w:p>
    <w:p w14:paraId="6C273AE3">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地址：</w:t>
      </w:r>
      <w:r>
        <w:rPr>
          <w:rFonts w:hint="eastAsia" w:ascii="宋体" w:hAnsi="宋体" w:eastAsia="宋体" w:cs="宋体"/>
          <w:color w:val="auto"/>
          <w:sz w:val="24"/>
          <w:szCs w:val="24"/>
          <w:highlight w:val="none"/>
          <w:lang w:val="en-US" w:eastAsia="zh-CN"/>
        </w:rPr>
        <w:t>乌鲁木齐水磨沟区会展大道555号星耀天都4号楼B座403</w:t>
      </w:r>
    </w:p>
    <w:p w14:paraId="4B665A7F">
      <w:pPr>
        <w:spacing w:line="360" w:lineRule="auto"/>
        <w:ind w:firstLine="480" w:firstLineChars="200"/>
        <w:rPr>
          <w:rFonts w:hint="eastAsia" w:ascii="宋体" w:hAnsi="宋体" w:cs="Arial"/>
          <w:color w:val="000000"/>
          <w:kern w:val="0"/>
          <w:sz w:val="24"/>
          <w:szCs w:val="24"/>
          <w:highlight w:val="none"/>
        </w:rPr>
      </w:pPr>
      <w:r>
        <w:rPr>
          <w:rFonts w:hint="eastAsia" w:ascii="宋体" w:hAnsi="宋体" w:cs="Arial"/>
          <w:color w:val="000000"/>
          <w:kern w:val="0"/>
          <w:sz w:val="24"/>
          <w:szCs w:val="24"/>
          <w:highlight w:val="none"/>
        </w:rPr>
        <w:t>项目联系人：王亭懿、</w:t>
      </w:r>
      <w:r>
        <w:rPr>
          <w:rFonts w:hint="eastAsia" w:ascii="宋体" w:hAnsi="宋体" w:cs="Arial"/>
          <w:color w:val="000000"/>
          <w:kern w:val="0"/>
          <w:sz w:val="24"/>
          <w:szCs w:val="24"/>
          <w:highlight w:val="none"/>
          <w:lang w:val="en-US" w:eastAsia="zh-CN"/>
        </w:rPr>
        <w:t>吴斌、</w:t>
      </w:r>
      <w:r>
        <w:rPr>
          <w:rFonts w:hint="eastAsia" w:ascii="宋体" w:hAnsi="宋体" w:cs="Arial"/>
          <w:color w:val="000000"/>
          <w:kern w:val="0"/>
          <w:sz w:val="24"/>
          <w:szCs w:val="24"/>
          <w:highlight w:val="none"/>
        </w:rPr>
        <w:t>梅坤伟、翟安琪</w:t>
      </w:r>
    </w:p>
    <w:p w14:paraId="4153478A">
      <w:pPr>
        <w:spacing w:line="360" w:lineRule="auto"/>
        <w:ind w:firstLine="480" w:firstLineChars="200"/>
        <w:rPr>
          <w:rFonts w:ascii="宋体" w:hAnsi="宋体" w:cs="Arial"/>
          <w:color w:val="000000"/>
          <w:kern w:val="0"/>
          <w:sz w:val="24"/>
          <w:szCs w:val="24"/>
          <w:highlight w:val="none"/>
        </w:rPr>
      </w:pPr>
      <w:r>
        <w:rPr>
          <w:rFonts w:hint="eastAsia" w:ascii="宋体" w:hAnsi="宋体" w:cs="Arial"/>
          <w:color w:val="000000"/>
          <w:kern w:val="0"/>
          <w:sz w:val="24"/>
          <w:szCs w:val="24"/>
          <w:highlight w:val="none"/>
        </w:rPr>
        <w:t>联系方式：0991-4603819/18599343155</w:t>
      </w:r>
    </w:p>
    <w:p w14:paraId="7ED82D79">
      <w:pPr>
        <w:spacing w:line="360" w:lineRule="auto"/>
        <w:ind w:firstLine="480" w:firstLineChars="200"/>
        <w:rPr>
          <w:rFonts w:ascii="宋体" w:hAnsi="宋体" w:cs="Arial"/>
          <w:color w:val="000000"/>
          <w:kern w:val="0"/>
          <w:sz w:val="24"/>
          <w:szCs w:val="24"/>
          <w:highlight w:val="none"/>
        </w:rPr>
      </w:pPr>
    </w:p>
    <w:p w14:paraId="4DB579DB">
      <w:pPr>
        <w:rPr>
          <w:rFonts w:hint="eastAsia" w:cs="Times New Roman"/>
          <w:b/>
          <w:bCs/>
          <w:kern w:val="44"/>
          <w:sz w:val="28"/>
          <w:szCs w:val="44"/>
          <w:highlight w:val="none"/>
        </w:rPr>
      </w:pPr>
      <w:bookmarkStart w:id="8" w:name="_Toc14557"/>
      <w:bookmarkStart w:id="9" w:name="_Toc26797"/>
      <w:r>
        <w:rPr>
          <w:rFonts w:hint="eastAsia" w:cs="Times New Roman"/>
          <w:b/>
          <w:bCs/>
          <w:kern w:val="44"/>
          <w:sz w:val="28"/>
          <w:szCs w:val="44"/>
          <w:highlight w:val="none"/>
        </w:rPr>
        <w:br w:type="page"/>
      </w:r>
    </w:p>
    <w:p w14:paraId="38767875">
      <w:pPr>
        <w:spacing w:line="360" w:lineRule="auto"/>
        <w:jc w:val="center"/>
        <w:rPr>
          <w:rFonts w:ascii="Arial" w:hAnsi="Arial" w:eastAsia="黑体" w:cs="Times New Roman"/>
          <w:b/>
          <w:color w:val="000000"/>
          <w:kern w:val="0"/>
          <w:szCs w:val="20"/>
          <w:highlight w:val="none"/>
        </w:rPr>
      </w:pPr>
      <w:r>
        <w:rPr>
          <w:rFonts w:hint="eastAsia" w:cs="Times New Roman"/>
          <w:b/>
          <w:bCs/>
          <w:kern w:val="44"/>
          <w:sz w:val="28"/>
          <w:szCs w:val="44"/>
          <w:highlight w:val="none"/>
        </w:rPr>
        <w:t>第二章　供应商须知</w:t>
      </w:r>
      <w:bookmarkEnd w:id="8"/>
      <w:bookmarkEnd w:id="9"/>
    </w:p>
    <w:p w14:paraId="1C1C18A4">
      <w:pPr>
        <w:ind w:firstLine="480" w:firstLineChars="200"/>
        <w:jc w:val="center"/>
        <w:outlineLvl w:val="0"/>
        <w:rPr>
          <w:rFonts w:ascii="宋体" w:hAnsi="宋体" w:cs="Times New Roman"/>
          <w:color w:val="000000"/>
          <w:kern w:val="0"/>
          <w:sz w:val="24"/>
          <w:szCs w:val="24"/>
          <w:highlight w:val="none"/>
        </w:rPr>
      </w:pPr>
      <w:bookmarkStart w:id="10" w:name="_Toc16580"/>
      <w:r>
        <w:rPr>
          <w:rFonts w:hint="eastAsia" w:ascii="宋体" w:hAnsi="宋体" w:cs="Times New Roman"/>
          <w:color w:val="000000"/>
          <w:kern w:val="0"/>
          <w:sz w:val="24"/>
          <w:szCs w:val="24"/>
          <w:highlight w:val="none"/>
        </w:rPr>
        <w:t>供应商须知前附表</w:t>
      </w:r>
      <w:bookmarkEnd w:id="10"/>
    </w:p>
    <w:tbl>
      <w:tblPr>
        <w:tblStyle w:val="45"/>
        <w:tblW w:w="9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37"/>
        <w:gridCol w:w="7662"/>
      </w:tblGrid>
      <w:tr w14:paraId="74E6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14:paraId="2F807BFA">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序号</w:t>
            </w:r>
          </w:p>
        </w:tc>
        <w:tc>
          <w:tcPr>
            <w:tcW w:w="1537" w:type="dxa"/>
            <w:vAlign w:val="center"/>
          </w:tcPr>
          <w:p w14:paraId="282B27A3">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条款名称</w:t>
            </w:r>
          </w:p>
        </w:tc>
        <w:tc>
          <w:tcPr>
            <w:tcW w:w="7662" w:type="dxa"/>
            <w:vAlign w:val="center"/>
          </w:tcPr>
          <w:p w14:paraId="62995FD4">
            <w:pPr>
              <w:jc w:val="center"/>
              <w:rPr>
                <w:rFonts w:ascii="宋体" w:hAnsi="宋体" w:cs="MingLiU_HKSCS"/>
                <w:color w:val="000000"/>
                <w:sz w:val="24"/>
                <w:szCs w:val="24"/>
                <w:highlight w:val="none"/>
              </w:rPr>
            </w:pPr>
            <w:r>
              <w:rPr>
                <w:rFonts w:hint="eastAsia" w:ascii="宋体" w:hAnsi="宋体" w:cs="Times New Roman"/>
                <w:color w:val="000000"/>
                <w:sz w:val="24"/>
                <w:szCs w:val="24"/>
                <w:highlight w:val="none"/>
              </w:rPr>
              <w:t>编列内容规定</w:t>
            </w:r>
          </w:p>
        </w:tc>
      </w:tr>
      <w:tr w14:paraId="49F6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34" w:type="dxa"/>
            <w:vMerge w:val="restart"/>
            <w:vAlign w:val="center"/>
          </w:tcPr>
          <w:p w14:paraId="7C26AFB1">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1</w:t>
            </w:r>
          </w:p>
        </w:tc>
        <w:tc>
          <w:tcPr>
            <w:tcW w:w="1537" w:type="dxa"/>
            <w:vAlign w:val="center"/>
          </w:tcPr>
          <w:p w14:paraId="4D4723B7">
            <w:pPr>
              <w:jc w:val="center"/>
              <w:rPr>
                <w:rFonts w:hint="default" w:ascii="宋体" w:hAnsi="宋体" w:eastAsia="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项目名称</w:t>
            </w:r>
          </w:p>
        </w:tc>
        <w:tc>
          <w:tcPr>
            <w:tcW w:w="7662" w:type="dxa"/>
            <w:vAlign w:val="center"/>
          </w:tcPr>
          <w:p w14:paraId="4C9FBBE9">
            <w:pPr>
              <w:spacing w:line="360" w:lineRule="auto"/>
              <w:jc w:val="left"/>
              <w:rPr>
                <w:rFonts w:ascii="宋体" w:hAnsi="宋体" w:cs="MingLiU_HKSCS"/>
                <w:color w:val="000000"/>
                <w:sz w:val="24"/>
                <w:szCs w:val="24"/>
                <w:highlight w:val="none"/>
              </w:rPr>
            </w:pPr>
            <w:r>
              <w:rPr>
                <w:rFonts w:hint="eastAsia" w:ascii="宋体" w:hAnsi="宋体" w:cs="Times New Roman"/>
                <w:color w:val="000000"/>
                <w:kern w:val="0"/>
                <w:sz w:val="24"/>
                <w:szCs w:val="24"/>
                <w:highlight w:val="none"/>
                <w:lang w:eastAsia="zh-CN"/>
              </w:rPr>
              <w:t>新疆职业大学</w:t>
            </w:r>
            <w:r>
              <w:rPr>
                <w:rFonts w:hint="eastAsia" w:ascii="宋体" w:hAnsi="宋体" w:cs="Times New Roman"/>
                <w:color w:val="000000"/>
                <w:kern w:val="0"/>
                <w:sz w:val="24"/>
                <w:szCs w:val="24"/>
                <w:highlight w:val="none"/>
              </w:rPr>
              <w:t>申办本科职业院校全过程辅助管理服务</w:t>
            </w:r>
            <w:r>
              <w:rPr>
                <w:rFonts w:hint="eastAsia" w:ascii="宋体" w:hAnsi="宋体" w:cs="Times New Roman"/>
                <w:color w:val="000000"/>
                <w:kern w:val="0"/>
                <w:sz w:val="24"/>
                <w:szCs w:val="24"/>
                <w:highlight w:val="none"/>
                <w:lang w:val="en-US" w:eastAsia="zh-CN"/>
              </w:rPr>
              <w:t>项目</w:t>
            </w:r>
          </w:p>
        </w:tc>
      </w:tr>
      <w:tr w14:paraId="451A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34" w:type="dxa"/>
            <w:vMerge w:val="continue"/>
            <w:vAlign w:val="center"/>
          </w:tcPr>
          <w:p w14:paraId="1B032ABF">
            <w:pPr>
              <w:jc w:val="center"/>
              <w:rPr>
                <w:rFonts w:ascii="宋体" w:hAnsi="宋体" w:cs="Times New Roman"/>
                <w:color w:val="000000"/>
                <w:sz w:val="24"/>
                <w:szCs w:val="24"/>
                <w:highlight w:val="none"/>
              </w:rPr>
            </w:pPr>
          </w:p>
        </w:tc>
        <w:tc>
          <w:tcPr>
            <w:tcW w:w="1537" w:type="dxa"/>
            <w:vAlign w:val="center"/>
          </w:tcPr>
          <w:p w14:paraId="5B64D916">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项目编号</w:t>
            </w:r>
          </w:p>
        </w:tc>
        <w:tc>
          <w:tcPr>
            <w:tcW w:w="7662" w:type="dxa"/>
            <w:vAlign w:val="center"/>
          </w:tcPr>
          <w:p w14:paraId="58AD4825">
            <w:pPr>
              <w:spacing w:line="360" w:lineRule="auto"/>
              <w:jc w:val="left"/>
              <w:rPr>
                <w:rFonts w:ascii="宋体" w:hAnsi="宋体" w:cs="Courier New"/>
                <w:color w:val="000000"/>
                <w:kern w:val="0"/>
                <w:sz w:val="24"/>
                <w:szCs w:val="24"/>
                <w:highlight w:val="none"/>
              </w:rPr>
            </w:pPr>
            <w:r>
              <w:rPr>
                <w:rFonts w:hint="eastAsia" w:ascii="宋体" w:hAnsi="宋体" w:cs="Times New Roman"/>
                <w:color w:val="000000"/>
                <w:kern w:val="0"/>
                <w:sz w:val="24"/>
                <w:szCs w:val="24"/>
                <w:highlight w:val="none"/>
              </w:rPr>
              <w:t>ZZ202</w:t>
            </w:r>
            <w:r>
              <w:rPr>
                <w:rFonts w:hint="eastAsia" w:ascii="宋体" w:hAnsi="宋体" w:cs="Times New Roman"/>
                <w:color w:val="000000"/>
                <w:kern w:val="0"/>
                <w:sz w:val="24"/>
                <w:szCs w:val="24"/>
                <w:highlight w:val="none"/>
                <w:lang w:val="en-US" w:eastAsia="zh-CN"/>
              </w:rPr>
              <w:t>6</w:t>
            </w:r>
            <w:r>
              <w:rPr>
                <w:rFonts w:hint="eastAsia" w:ascii="宋体" w:hAnsi="宋体" w:cs="Times New Roman"/>
                <w:color w:val="000000"/>
                <w:kern w:val="0"/>
                <w:sz w:val="24"/>
                <w:szCs w:val="24"/>
                <w:highlight w:val="none"/>
              </w:rPr>
              <w:t>-0</w:t>
            </w:r>
            <w:r>
              <w:rPr>
                <w:rFonts w:hint="eastAsia" w:ascii="宋体" w:hAnsi="宋体" w:cs="Times New Roman"/>
                <w:color w:val="000000"/>
                <w:kern w:val="0"/>
                <w:sz w:val="24"/>
                <w:szCs w:val="24"/>
                <w:highlight w:val="none"/>
                <w:lang w:val="en-US" w:eastAsia="zh-CN"/>
              </w:rPr>
              <w:t>62</w:t>
            </w:r>
          </w:p>
        </w:tc>
      </w:tr>
      <w:tr w14:paraId="6B08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34" w:type="dxa"/>
            <w:vAlign w:val="center"/>
          </w:tcPr>
          <w:p w14:paraId="61B9E747">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2</w:t>
            </w:r>
          </w:p>
        </w:tc>
        <w:tc>
          <w:tcPr>
            <w:tcW w:w="1537" w:type="dxa"/>
            <w:vAlign w:val="center"/>
          </w:tcPr>
          <w:p w14:paraId="2643D227">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采购人</w:t>
            </w:r>
          </w:p>
        </w:tc>
        <w:tc>
          <w:tcPr>
            <w:tcW w:w="7662" w:type="dxa"/>
            <w:vAlign w:val="center"/>
          </w:tcPr>
          <w:p w14:paraId="7295B66D">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名称：</w:t>
            </w:r>
            <w:r>
              <w:rPr>
                <w:rFonts w:hint="eastAsia" w:ascii="宋体" w:hAnsi="宋体" w:cs="Courier New"/>
                <w:color w:val="000000"/>
                <w:kern w:val="0"/>
                <w:sz w:val="24"/>
                <w:szCs w:val="24"/>
                <w:highlight w:val="none"/>
              </w:rPr>
              <w:t>新疆职业大学</w:t>
            </w:r>
          </w:p>
          <w:p w14:paraId="4A8BCA57">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地址：</w:t>
            </w:r>
            <w:r>
              <w:rPr>
                <w:rFonts w:hint="eastAsia" w:ascii="宋体" w:hAnsi="宋体" w:cs="Arial"/>
                <w:color w:val="000000"/>
                <w:kern w:val="0"/>
                <w:sz w:val="24"/>
                <w:szCs w:val="24"/>
                <w:highlight w:val="none"/>
              </w:rPr>
              <w:t>乌鲁木齐市达坂城区达坂城镇文达路</w:t>
            </w:r>
            <w:r>
              <w:rPr>
                <w:rFonts w:hint="eastAsia" w:ascii="宋体" w:hAnsi="宋体" w:cs="Arial"/>
                <w:color w:val="000000"/>
                <w:kern w:val="0"/>
                <w:sz w:val="24"/>
                <w:szCs w:val="24"/>
                <w:highlight w:val="none"/>
                <w:lang w:val="en-US" w:eastAsia="zh-CN"/>
              </w:rPr>
              <w:t>1号</w:t>
            </w:r>
          </w:p>
          <w:p w14:paraId="36647249">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联系人：</w:t>
            </w:r>
            <w:r>
              <w:rPr>
                <w:rFonts w:hint="eastAsia" w:ascii="宋体" w:hAnsi="宋体" w:cs="Times New Roman"/>
                <w:color w:val="000000"/>
                <w:sz w:val="24"/>
                <w:szCs w:val="24"/>
                <w:highlight w:val="none"/>
                <w:lang w:val="en-US" w:eastAsia="zh-CN"/>
              </w:rPr>
              <w:t>苗老师</w:t>
            </w:r>
          </w:p>
          <w:p w14:paraId="426F3747">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电话：</w:t>
            </w:r>
            <w:r>
              <w:rPr>
                <w:rFonts w:hint="eastAsia" w:ascii="宋体" w:hAnsi="宋体" w:cs="Arial"/>
                <w:color w:val="000000"/>
                <w:kern w:val="0"/>
                <w:sz w:val="24"/>
                <w:szCs w:val="24"/>
                <w:highlight w:val="none"/>
                <w:lang w:val="en-US" w:eastAsia="zh-CN"/>
              </w:rPr>
              <w:t>15276828532</w:t>
            </w:r>
          </w:p>
        </w:tc>
      </w:tr>
      <w:tr w14:paraId="2760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4" w:type="dxa"/>
            <w:vAlign w:val="center"/>
          </w:tcPr>
          <w:p w14:paraId="4E75F33B">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3</w:t>
            </w:r>
          </w:p>
        </w:tc>
        <w:tc>
          <w:tcPr>
            <w:tcW w:w="1537" w:type="dxa"/>
            <w:vAlign w:val="center"/>
          </w:tcPr>
          <w:p w14:paraId="615547C2">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采购代理机构</w:t>
            </w:r>
          </w:p>
        </w:tc>
        <w:tc>
          <w:tcPr>
            <w:tcW w:w="7662" w:type="dxa"/>
            <w:vAlign w:val="center"/>
          </w:tcPr>
          <w:p w14:paraId="2AB25CEE">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名称：新疆中咨建设项目管理有限公司</w:t>
            </w:r>
          </w:p>
          <w:p w14:paraId="64442E8D">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地址：</w:t>
            </w:r>
            <w:r>
              <w:rPr>
                <w:rFonts w:hint="eastAsia" w:ascii="宋体" w:hAnsi="宋体" w:eastAsia="宋体" w:cs="宋体"/>
                <w:color w:val="auto"/>
                <w:sz w:val="24"/>
                <w:szCs w:val="24"/>
                <w:highlight w:val="none"/>
                <w:lang w:val="en-US" w:eastAsia="zh-CN"/>
              </w:rPr>
              <w:t>乌鲁木齐水磨沟区会展大道555号星耀天都4号楼B座403</w:t>
            </w:r>
          </w:p>
          <w:p w14:paraId="4F279136">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联系人：王亭懿、</w:t>
            </w:r>
            <w:r>
              <w:rPr>
                <w:rFonts w:hint="eastAsia" w:ascii="宋体" w:hAnsi="宋体" w:cs="Times New Roman"/>
                <w:color w:val="000000"/>
                <w:sz w:val="24"/>
                <w:szCs w:val="24"/>
                <w:highlight w:val="none"/>
                <w:lang w:val="en-US" w:eastAsia="zh-CN"/>
              </w:rPr>
              <w:t>吴斌、</w:t>
            </w:r>
            <w:r>
              <w:rPr>
                <w:rFonts w:hint="eastAsia" w:ascii="宋体" w:hAnsi="宋体" w:cs="Times New Roman"/>
                <w:color w:val="000000"/>
                <w:sz w:val="24"/>
                <w:szCs w:val="24"/>
                <w:highlight w:val="none"/>
              </w:rPr>
              <w:t>梅坤伟、翟安琪</w:t>
            </w:r>
          </w:p>
          <w:p w14:paraId="42FF4AB1">
            <w:pPr>
              <w:widowControl/>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电话：</w:t>
            </w:r>
            <w:r>
              <w:rPr>
                <w:rFonts w:hint="eastAsia" w:ascii="宋体" w:hAnsi="宋体" w:cs="Arial"/>
                <w:color w:val="000000"/>
                <w:kern w:val="0"/>
                <w:sz w:val="24"/>
                <w:szCs w:val="24"/>
                <w:highlight w:val="none"/>
              </w:rPr>
              <w:t>0991-4603819/18599343155</w:t>
            </w:r>
          </w:p>
        </w:tc>
      </w:tr>
      <w:tr w14:paraId="3ABE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34" w:type="dxa"/>
            <w:vAlign w:val="center"/>
          </w:tcPr>
          <w:p w14:paraId="026C02A6">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4</w:t>
            </w:r>
          </w:p>
        </w:tc>
        <w:tc>
          <w:tcPr>
            <w:tcW w:w="1537" w:type="dxa"/>
            <w:vAlign w:val="center"/>
          </w:tcPr>
          <w:p w14:paraId="112F79D3">
            <w:pPr>
              <w:jc w:val="center"/>
              <w:rPr>
                <w:rFonts w:ascii="宋体" w:hAnsi="宋体" w:cs="Times New Roman"/>
                <w:color w:val="000000"/>
                <w:sz w:val="24"/>
                <w:szCs w:val="24"/>
                <w:highlight w:val="none"/>
              </w:rPr>
            </w:pPr>
            <w:r>
              <w:rPr>
                <w:rFonts w:hint="eastAsia" w:ascii="宋体" w:hAnsi="宋体" w:eastAsia="宋体" w:cs="宋体"/>
                <w:color w:val="auto"/>
                <w:kern w:val="2"/>
                <w:sz w:val="24"/>
                <w:szCs w:val="24"/>
                <w:highlight w:val="none"/>
                <w:lang w:val="en-US" w:eastAsia="zh-CN" w:bidi="ar-SA"/>
              </w:rPr>
              <w:t>服务内容及要求</w:t>
            </w:r>
          </w:p>
        </w:tc>
        <w:tc>
          <w:tcPr>
            <w:tcW w:w="7662" w:type="dxa"/>
            <w:vAlign w:val="center"/>
          </w:tcPr>
          <w:p w14:paraId="60D582D1">
            <w:pPr>
              <w:spacing w:line="360" w:lineRule="auto"/>
              <w:rPr>
                <w:rFonts w:hint="eastAsia" w:ascii="宋体" w:hAnsi="宋体" w:cs="Times New Roman"/>
                <w:color w:val="000000"/>
                <w:kern w:val="0"/>
                <w:sz w:val="24"/>
                <w:szCs w:val="24"/>
                <w:highlight w:val="none"/>
                <w:lang w:val="en-US" w:eastAsia="zh-CN"/>
              </w:rPr>
            </w:pPr>
            <w:r>
              <w:rPr>
                <w:rFonts w:hint="eastAsia" w:ascii="宋体" w:hAnsi="宋体" w:cs="Times New Roman"/>
                <w:b/>
                <w:bCs/>
                <w:color w:val="000000"/>
                <w:kern w:val="0"/>
                <w:sz w:val="24"/>
                <w:szCs w:val="24"/>
                <w:highlight w:val="none"/>
                <w:lang w:val="en-US" w:eastAsia="zh-CN"/>
              </w:rPr>
              <w:t>服务内容</w:t>
            </w:r>
            <w:r>
              <w:rPr>
                <w:rFonts w:hint="eastAsia" w:ascii="宋体" w:hAnsi="宋体" w:cs="Times New Roman"/>
                <w:color w:val="000000"/>
                <w:kern w:val="0"/>
                <w:sz w:val="24"/>
                <w:szCs w:val="24"/>
                <w:highlight w:val="none"/>
                <w:lang w:val="en-US" w:eastAsia="zh-CN"/>
              </w:rPr>
              <w:t>：新疆职业大学申办本科职业院校全过程辅助管理服务；具体详见招标文件采购需求。</w:t>
            </w:r>
          </w:p>
          <w:p w14:paraId="600B73D8">
            <w:pPr>
              <w:spacing w:line="360" w:lineRule="auto"/>
              <w:rPr>
                <w:rFonts w:hint="eastAsia" w:ascii="宋体" w:hAnsi="宋体" w:cs="Times New Roman"/>
                <w:color w:val="000000"/>
                <w:kern w:val="0"/>
                <w:sz w:val="24"/>
                <w:szCs w:val="24"/>
                <w:highlight w:val="none"/>
                <w:lang w:val="en-US" w:eastAsia="zh-CN"/>
              </w:rPr>
            </w:pPr>
            <w:r>
              <w:rPr>
                <w:rFonts w:hint="eastAsia" w:ascii="宋体" w:hAnsi="宋体" w:cs="Times New Roman"/>
                <w:b/>
                <w:bCs/>
                <w:color w:val="000000"/>
                <w:kern w:val="0"/>
                <w:sz w:val="24"/>
                <w:szCs w:val="24"/>
                <w:highlight w:val="none"/>
                <w:lang w:val="en-US" w:eastAsia="zh-CN"/>
              </w:rPr>
              <w:t>交付/实施时间</w:t>
            </w:r>
            <w:r>
              <w:rPr>
                <w:rFonts w:hint="eastAsia" w:ascii="宋体" w:hAnsi="宋体" w:cs="Times New Roman"/>
                <w:color w:val="000000"/>
                <w:kern w:val="0"/>
                <w:sz w:val="24"/>
                <w:szCs w:val="24"/>
                <w:highlight w:val="none"/>
                <w:lang w:val="en-US" w:eastAsia="zh-CN"/>
              </w:rPr>
              <w:t>：</w:t>
            </w:r>
          </w:p>
          <w:p w14:paraId="4E3B490E">
            <w:pPr>
              <w:pStyle w:val="14"/>
              <w:numPr>
                <w:ilvl w:val="0"/>
                <w:numId w:val="0"/>
              </w:numP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1.自合同签订之日起</w:t>
            </w:r>
            <w:r>
              <w:rPr>
                <w:rFonts w:hint="eastAsia" w:ascii="宋体" w:hAnsi="宋体" w:cs="Times New Roman"/>
                <w:color w:val="000000"/>
                <w:kern w:val="0"/>
                <w:sz w:val="24"/>
                <w:szCs w:val="24"/>
                <w:highlight w:val="none"/>
                <w:lang w:val="en-US" w:eastAsia="zh-CN" w:bidi="ar-SA"/>
              </w:rPr>
              <w:t>20</w:t>
            </w:r>
            <w:r>
              <w:rPr>
                <w:rFonts w:hint="eastAsia" w:ascii="宋体" w:hAnsi="宋体" w:eastAsia="宋体" w:cs="Times New Roman"/>
                <w:color w:val="000000"/>
                <w:kern w:val="0"/>
                <w:sz w:val="24"/>
                <w:szCs w:val="24"/>
                <w:highlight w:val="none"/>
                <w:lang w:val="en-US" w:eastAsia="zh-CN" w:bidi="ar-SA"/>
              </w:rPr>
              <w:t>天内</w:t>
            </w:r>
            <w:r>
              <w:rPr>
                <w:rFonts w:hint="eastAsia" w:ascii="宋体" w:hAnsi="宋体" w:cs="Times New Roman"/>
                <w:color w:val="000000"/>
                <w:kern w:val="0"/>
                <w:sz w:val="24"/>
                <w:szCs w:val="24"/>
                <w:highlight w:val="none"/>
                <w:lang w:val="en-US" w:eastAsia="zh-CN" w:bidi="ar-SA"/>
              </w:rPr>
              <w:t>实现</w:t>
            </w:r>
            <w:r>
              <w:rPr>
                <w:rFonts w:hint="eastAsia" w:ascii="宋体" w:hAnsi="宋体" w:eastAsia="宋体" w:cs="Times New Roman"/>
                <w:color w:val="000000"/>
                <w:kern w:val="0"/>
                <w:sz w:val="24"/>
                <w:szCs w:val="24"/>
                <w:highlight w:val="none"/>
                <w:lang w:val="en-US" w:eastAsia="zh-CN" w:bidi="ar-SA"/>
              </w:rPr>
              <w:t>申本</w:t>
            </w:r>
            <w:r>
              <w:rPr>
                <w:rFonts w:hint="eastAsia" w:ascii="宋体" w:hAnsi="宋体" w:cs="Times New Roman"/>
                <w:color w:val="000000"/>
                <w:kern w:val="0"/>
                <w:sz w:val="24"/>
                <w:szCs w:val="24"/>
                <w:highlight w:val="none"/>
                <w:lang w:val="en-US" w:eastAsia="zh-CN" w:bidi="ar-SA"/>
              </w:rPr>
              <w:t>信息化服务所需的功能</w:t>
            </w:r>
          </w:p>
          <w:p w14:paraId="5D97DDED">
            <w:pPr>
              <w:pStyle w:val="14"/>
              <w:numPr>
                <w:ilvl w:val="0"/>
                <w:numId w:val="0"/>
              </w:numPr>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2.自合同签订之日起</w:t>
            </w:r>
            <w:r>
              <w:rPr>
                <w:rFonts w:hint="eastAsia" w:ascii="宋体" w:hAnsi="宋体" w:cs="Times New Roman"/>
                <w:color w:val="000000"/>
                <w:kern w:val="0"/>
                <w:sz w:val="24"/>
                <w:szCs w:val="24"/>
                <w:highlight w:val="none"/>
                <w:lang w:val="en-US" w:eastAsia="zh-CN" w:bidi="ar-SA"/>
              </w:rPr>
              <w:t>30</w:t>
            </w:r>
            <w:r>
              <w:rPr>
                <w:rFonts w:hint="eastAsia" w:ascii="宋体" w:hAnsi="宋体" w:eastAsia="宋体" w:cs="Times New Roman"/>
                <w:color w:val="000000"/>
                <w:kern w:val="0"/>
                <w:sz w:val="24"/>
                <w:szCs w:val="24"/>
                <w:highlight w:val="none"/>
                <w:lang w:val="en-US" w:eastAsia="zh-CN" w:bidi="ar-SA"/>
              </w:rPr>
              <w:t>天内完成申本论证报告</w:t>
            </w:r>
          </w:p>
          <w:p w14:paraId="38CCA93E">
            <w:pPr>
              <w:pStyle w:val="14"/>
              <w:ind w:left="0" w:leftChars="0" w:firstLine="0" w:firstLineChars="0"/>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3.在2026年12月前，协助学校完成自治区入规评估和纳入设置工作。</w:t>
            </w:r>
          </w:p>
          <w:p w14:paraId="41BF8DD8">
            <w:pPr>
              <w:pStyle w:val="14"/>
              <w:ind w:left="0" w:leftChars="0" w:firstLine="0" w:firstLineChars="0"/>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4.在2027年6月前，协助学校完成教育部高评委入校</w:t>
            </w:r>
            <w:r>
              <w:rPr>
                <w:rFonts w:hint="eastAsia" w:ascii="宋体" w:hAnsi="宋体" w:cs="Times New Roman"/>
                <w:color w:val="000000"/>
                <w:kern w:val="0"/>
                <w:sz w:val="24"/>
                <w:szCs w:val="24"/>
                <w:highlight w:val="none"/>
                <w:lang w:val="en-US" w:eastAsia="zh-CN" w:bidi="ar-SA"/>
              </w:rPr>
              <w:t>考察</w:t>
            </w:r>
            <w:r>
              <w:rPr>
                <w:rFonts w:hint="eastAsia" w:ascii="宋体" w:hAnsi="宋体" w:eastAsia="宋体" w:cs="Times New Roman"/>
                <w:color w:val="000000"/>
                <w:kern w:val="0"/>
                <w:sz w:val="24"/>
                <w:szCs w:val="24"/>
                <w:highlight w:val="none"/>
                <w:lang w:val="en-US" w:eastAsia="zh-CN" w:bidi="ar-SA"/>
              </w:rPr>
              <w:t>工作。</w:t>
            </w:r>
          </w:p>
          <w:p w14:paraId="5E538CF1">
            <w:pPr>
              <w:pStyle w:val="14"/>
              <w:ind w:left="0" w:leftChars="0" w:firstLine="0" w:firstLineChars="0"/>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（如遇自治区和国家本科层次职业学校设置政策调整等不可抗力因素，交付时间可顺延，按照自治区和教育部相关通知安排进行相应调整）</w:t>
            </w:r>
          </w:p>
          <w:p w14:paraId="5027AA39">
            <w:pPr>
              <w:spacing w:line="360" w:lineRule="auto"/>
              <w:rPr>
                <w:rFonts w:hint="default" w:ascii="宋体" w:hAnsi="宋体" w:cs="Times New Roman"/>
                <w:b/>
                <w:bCs/>
                <w:color w:val="000000"/>
                <w:kern w:val="0"/>
                <w:sz w:val="24"/>
                <w:szCs w:val="24"/>
                <w:highlight w:val="none"/>
                <w:lang w:val="en-US" w:eastAsia="zh-CN"/>
              </w:rPr>
            </w:pPr>
            <w:r>
              <w:rPr>
                <w:rFonts w:hint="eastAsia" w:ascii="宋体" w:hAnsi="宋体" w:cs="Times New Roman"/>
                <w:b/>
                <w:bCs/>
                <w:color w:val="000000"/>
                <w:kern w:val="0"/>
                <w:sz w:val="24"/>
                <w:szCs w:val="24"/>
                <w:highlight w:val="none"/>
                <w:lang w:val="en-US" w:eastAsia="zh-CN"/>
              </w:rPr>
              <w:t>验收标准：</w:t>
            </w:r>
            <w:r>
              <w:rPr>
                <w:rFonts w:hint="eastAsia" w:ascii="宋体" w:hAnsi="宋体" w:cs="Times New Roman"/>
                <w:b w:val="0"/>
                <w:bCs w:val="0"/>
                <w:color w:val="000000"/>
                <w:kern w:val="0"/>
                <w:sz w:val="24"/>
                <w:szCs w:val="24"/>
                <w:highlight w:val="none"/>
                <w:lang w:val="en-US" w:eastAsia="zh-CN"/>
              </w:rPr>
              <w:t>通过自治区教育厅、教育部、全国高校设置评议委员会评委专家审核。</w:t>
            </w:r>
          </w:p>
          <w:p w14:paraId="27C18EA4">
            <w:pPr>
              <w:spacing w:line="360" w:lineRule="auto"/>
              <w:rPr>
                <w:rFonts w:ascii="宋体" w:hAnsi="宋体" w:cs="Times New Roman"/>
                <w:color w:val="000000"/>
                <w:kern w:val="0"/>
                <w:sz w:val="24"/>
                <w:szCs w:val="24"/>
                <w:highlight w:val="none"/>
              </w:rPr>
            </w:pPr>
            <w:r>
              <w:rPr>
                <w:rFonts w:hint="eastAsia" w:ascii="宋体" w:hAnsi="宋体" w:cs="Times New Roman"/>
                <w:b/>
                <w:bCs/>
                <w:color w:val="000000"/>
                <w:kern w:val="0"/>
                <w:sz w:val="24"/>
                <w:szCs w:val="24"/>
                <w:highlight w:val="none"/>
                <w:lang w:val="en-US" w:eastAsia="zh-CN"/>
              </w:rPr>
              <w:t>服务地点</w:t>
            </w:r>
            <w:r>
              <w:rPr>
                <w:rFonts w:hint="eastAsia" w:ascii="宋体" w:hAnsi="宋体" w:cs="Times New Roman"/>
                <w:color w:val="000000"/>
                <w:kern w:val="0"/>
                <w:sz w:val="24"/>
                <w:szCs w:val="24"/>
                <w:highlight w:val="none"/>
                <w:lang w:val="en-US" w:eastAsia="zh-CN"/>
              </w:rPr>
              <w:t>：</w:t>
            </w:r>
            <w:r>
              <w:rPr>
                <w:rFonts w:hint="eastAsia" w:ascii="宋体" w:hAnsi="宋体" w:cs="Courier New"/>
                <w:color w:val="000000"/>
                <w:kern w:val="0"/>
                <w:sz w:val="24"/>
                <w:szCs w:val="24"/>
                <w:highlight w:val="none"/>
              </w:rPr>
              <w:t>新疆</w:t>
            </w:r>
            <w:r>
              <w:rPr>
                <w:rFonts w:hint="eastAsia" w:ascii="宋体" w:hAnsi="宋体" w:cs="Arial"/>
                <w:color w:val="000000"/>
                <w:kern w:val="0"/>
                <w:sz w:val="24"/>
                <w:szCs w:val="24"/>
                <w:highlight w:val="none"/>
              </w:rPr>
              <w:t>乌鲁木齐市达坂城区</w:t>
            </w:r>
            <w:r>
              <w:rPr>
                <w:rFonts w:hint="eastAsia" w:ascii="宋体" w:hAnsi="宋体" w:cs="Courier New"/>
                <w:color w:val="000000"/>
                <w:kern w:val="0"/>
                <w:sz w:val="24"/>
                <w:szCs w:val="24"/>
                <w:highlight w:val="none"/>
              </w:rPr>
              <w:t>新疆职业大学</w:t>
            </w:r>
          </w:p>
        </w:tc>
      </w:tr>
      <w:tr w14:paraId="739F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Align w:val="center"/>
          </w:tcPr>
          <w:p w14:paraId="741373EF">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5</w:t>
            </w:r>
          </w:p>
        </w:tc>
        <w:tc>
          <w:tcPr>
            <w:tcW w:w="1537" w:type="dxa"/>
            <w:vAlign w:val="center"/>
          </w:tcPr>
          <w:p w14:paraId="34849379">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供应商资格条件</w:t>
            </w:r>
          </w:p>
        </w:tc>
        <w:tc>
          <w:tcPr>
            <w:tcW w:w="7662" w:type="dxa"/>
            <w:vAlign w:val="center"/>
          </w:tcPr>
          <w:p w14:paraId="11BE34FD">
            <w:pPr>
              <w:spacing w:line="360" w:lineRule="auto"/>
              <w:jc w:val="left"/>
              <w:rPr>
                <w:rFonts w:ascii="宋体" w:hAnsi="宋体" w:cs="Courier New"/>
                <w:color w:val="000000"/>
                <w:sz w:val="24"/>
                <w:szCs w:val="24"/>
                <w:highlight w:val="none"/>
              </w:rPr>
            </w:pPr>
            <w:r>
              <w:rPr>
                <w:rFonts w:hint="eastAsia" w:ascii="宋体" w:hAnsi="宋体" w:cs="Courier New"/>
                <w:color w:val="000000"/>
                <w:sz w:val="24"/>
                <w:szCs w:val="24"/>
                <w:highlight w:val="none"/>
              </w:rPr>
              <w:t>1．供应商的资格要求：符合《中华人民共和国政府采购法》第二十二条规定条件；</w:t>
            </w:r>
          </w:p>
          <w:p w14:paraId="6B1B5050">
            <w:pPr>
              <w:widowControl/>
              <w:spacing w:line="420" w:lineRule="atLeast"/>
              <w:jc w:val="left"/>
              <w:rPr>
                <w:rFonts w:hint="eastAsia" w:ascii="宋体" w:hAnsi="宋体" w:cs="Courier New"/>
                <w:color w:val="000000"/>
                <w:sz w:val="24"/>
                <w:szCs w:val="24"/>
                <w:highlight w:val="none"/>
              </w:rPr>
            </w:pPr>
            <w:r>
              <w:rPr>
                <w:rFonts w:hint="eastAsia" w:ascii="宋体" w:hAnsi="宋体" w:cs="Courier New"/>
                <w:color w:val="000000"/>
                <w:sz w:val="24"/>
                <w:szCs w:val="24"/>
                <w:highlight w:val="none"/>
              </w:rPr>
              <w:t>2．采购项目需要落实的政府采购政策：</w:t>
            </w:r>
            <w:r>
              <w:rPr>
                <w:rFonts w:hint="eastAsia" w:ascii="宋体" w:hAnsi="宋体" w:cs="宋体"/>
                <w:color w:val="000000"/>
                <w:kern w:val="0"/>
                <w:sz w:val="24"/>
                <w:szCs w:val="24"/>
                <w:highlight w:val="none"/>
                <w:lang w:val="en-US" w:eastAsia="zh-CN"/>
              </w:rPr>
              <w:t>本项目属于专门面向中小企业采购项目</w:t>
            </w:r>
          </w:p>
          <w:p w14:paraId="52C7FFEC">
            <w:pPr>
              <w:spacing w:line="360" w:lineRule="auto"/>
              <w:jc w:val="left"/>
              <w:rPr>
                <w:rFonts w:ascii="宋体" w:hAnsi="宋体" w:cs="Courier New"/>
                <w:color w:val="000000"/>
                <w:sz w:val="24"/>
                <w:szCs w:val="24"/>
                <w:highlight w:val="none"/>
              </w:rPr>
            </w:pPr>
            <w:r>
              <w:rPr>
                <w:rFonts w:hint="eastAsia" w:ascii="宋体" w:hAnsi="宋体" w:cs="Courier New"/>
                <w:color w:val="000000"/>
                <w:sz w:val="24"/>
                <w:szCs w:val="24"/>
                <w:highlight w:val="none"/>
              </w:rPr>
              <w:t>3.</w:t>
            </w:r>
            <w:r>
              <w:rPr>
                <w:rFonts w:ascii="宋体" w:hAnsi="宋体" w:cs="Courier New"/>
                <w:color w:val="000000"/>
                <w:sz w:val="24"/>
                <w:szCs w:val="24"/>
                <w:highlight w:val="none"/>
              </w:rPr>
              <w:t>本项目的特定资格要求：</w:t>
            </w:r>
          </w:p>
          <w:p w14:paraId="2A120E24">
            <w:pPr>
              <w:spacing w:line="360" w:lineRule="auto"/>
              <w:jc w:val="left"/>
              <w:rPr>
                <w:rFonts w:hint="eastAsia" w:ascii="宋体" w:hAnsi="宋体" w:cs="Courier New"/>
                <w:color w:val="000000"/>
                <w:sz w:val="24"/>
                <w:szCs w:val="24"/>
                <w:highlight w:val="none"/>
              </w:rPr>
            </w:pPr>
            <w:r>
              <w:rPr>
                <w:rFonts w:hint="eastAsia" w:ascii="宋体" w:hAnsi="宋体" w:cs="Courier New"/>
                <w:color w:val="000000"/>
                <w:sz w:val="24"/>
                <w:szCs w:val="24"/>
                <w:highlight w:val="none"/>
              </w:rPr>
              <w:t>（</w:t>
            </w:r>
            <w:r>
              <w:rPr>
                <w:rFonts w:hint="eastAsia" w:ascii="宋体" w:hAnsi="宋体" w:cs="Courier New"/>
                <w:color w:val="000000"/>
                <w:sz w:val="24"/>
                <w:szCs w:val="24"/>
                <w:highlight w:val="none"/>
                <w:lang w:val="en-US" w:eastAsia="zh-CN"/>
              </w:rPr>
              <w:t>1</w:t>
            </w:r>
            <w:r>
              <w:rPr>
                <w:rFonts w:hint="eastAsia" w:ascii="宋体" w:hAnsi="宋体" w:cs="Courier New"/>
                <w:color w:val="000000"/>
                <w:sz w:val="24"/>
                <w:szCs w:val="24"/>
                <w:highlight w:val="none"/>
              </w:rPr>
              <w:t>）供应商近三年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投标活动。（</w:t>
            </w:r>
            <w:r>
              <w:rPr>
                <w:rFonts w:hint="eastAsia" w:ascii="宋体" w:hAnsi="宋体" w:cs="Courier New"/>
                <w:color w:val="000000"/>
                <w:sz w:val="24"/>
                <w:szCs w:val="24"/>
                <w:highlight w:val="none"/>
                <w:lang w:val="en-US" w:eastAsia="zh-CN"/>
              </w:rPr>
              <w:t>2</w:t>
            </w:r>
            <w:r>
              <w:rPr>
                <w:rFonts w:hint="eastAsia" w:ascii="宋体" w:hAnsi="宋体" w:cs="Courier New"/>
                <w:color w:val="000000"/>
                <w:sz w:val="24"/>
                <w:szCs w:val="24"/>
                <w:highlight w:val="none"/>
              </w:rPr>
              <w:t>）其他说明：（A）与采购人存在利害关系可能影响采购公正性的法人、其他组织或者个人，不得参加本次采购活动。（B）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r>
      <w:tr w14:paraId="3A5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34" w:type="dxa"/>
            <w:vAlign w:val="center"/>
          </w:tcPr>
          <w:p w14:paraId="49A85BD1">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6</w:t>
            </w:r>
          </w:p>
        </w:tc>
        <w:tc>
          <w:tcPr>
            <w:tcW w:w="1537" w:type="dxa"/>
            <w:vAlign w:val="center"/>
          </w:tcPr>
          <w:p w14:paraId="77C1589C">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项目现场勘察</w:t>
            </w:r>
          </w:p>
        </w:tc>
        <w:tc>
          <w:tcPr>
            <w:tcW w:w="7662" w:type="dxa"/>
            <w:vAlign w:val="center"/>
          </w:tcPr>
          <w:p w14:paraId="61143B51">
            <w:pPr>
              <w:ind w:left="1440" w:hanging="1440" w:hangingChars="600"/>
              <w:jc w:val="left"/>
              <w:rPr>
                <w:rFonts w:ascii="宋体" w:hAnsi="宋体" w:cs="Times New Roman"/>
                <w:color w:val="000000"/>
                <w:sz w:val="24"/>
                <w:szCs w:val="24"/>
                <w:highlight w:val="none"/>
              </w:rPr>
            </w:pPr>
            <w:r>
              <w:rPr>
                <w:rFonts w:ascii="宋体" w:hAnsi="宋体" w:cs="Times New Roman"/>
                <w:color w:val="000000"/>
                <w:sz w:val="24"/>
                <w:szCs w:val="24"/>
                <w:highlight w:val="none"/>
              </w:rPr>
              <w:fldChar w:fldCharType="begin"/>
            </w:r>
            <w:r>
              <w:rPr>
                <w:rFonts w:hint="eastAsia" w:ascii="宋体" w:hAnsi="宋体" w:cs="Times New Roman"/>
                <w:color w:val="000000"/>
                <w:sz w:val="24"/>
                <w:szCs w:val="24"/>
                <w:highlight w:val="none"/>
              </w:rPr>
              <w:instrText xml:space="preserve">eq \o\ac(□,√)</w:instrText>
            </w:r>
            <w:r>
              <w:rPr>
                <w:rFonts w:ascii="宋体" w:hAnsi="宋体" w:cs="Times New Roman"/>
                <w:color w:val="000000"/>
                <w:sz w:val="24"/>
                <w:szCs w:val="24"/>
                <w:highlight w:val="none"/>
              </w:rPr>
              <w:fldChar w:fldCharType="end"/>
            </w:r>
            <w:r>
              <w:rPr>
                <w:rFonts w:hint="eastAsia" w:ascii="宋体" w:hAnsi="宋体" w:cs="Times New Roman"/>
                <w:color w:val="000000"/>
                <w:sz w:val="24"/>
                <w:szCs w:val="24"/>
                <w:highlight w:val="none"/>
              </w:rPr>
              <w:t>不组织</w:t>
            </w:r>
          </w:p>
          <w:p w14:paraId="2E0FFC8A">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□组织</w:t>
            </w:r>
          </w:p>
        </w:tc>
      </w:tr>
      <w:tr w14:paraId="48BB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34" w:type="dxa"/>
            <w:vAlign w:val="center"/>
          </w:tcPr>
          <w:p w14:paraId="0AA71F83">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7</w:t>
            </w:r>
          </w:p>
        </w:tc>
        <w:tc>
          <w:tcPr>
            <w:tcW w:w="1537" w:type="dxa"/>
            <w:vAlign w:val="center"/>
          </w:tcPr>
          <w:p w14:paraId="2015D32A">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联合体投标</w:t>
            </w:r>
          </w:p>
        </w:tc>
        <w:tc>
          <w:tcPr>
            <w:tcW w:w="7662" w:type="dxa"/>
            <w:vAlign w:val="center"/>
          </w:tcPr>
          <w:p w14:paraId="4E44BB35">
            <w:pPr>
              <w:spacing w:line="360" w:lineRule="auto"/>
              <w:jc w:val="left"/>
              <w:rPr>
                <w:rFonts w:ascii="宋体" w:hAnsi="宋体" w:cs="Times New Roman"/>
                <w:color w:val="000000"/>
                <w:sz w:val="24"/>
                <w:szCs w:val="24"/>
                <w:highlight w:val="none"/>
              </w:rPr>
            </w:pPr>
            <w:r>
              <w:rPr>
                <w:rFonts w:ascii="宋体" w:hAnsi="宋体" w:cs="Courier New"/>
                <w:color w:val="000000"/>
                <w:sz w:val="24"/>
                <w:szCs w:val="24"/>
                <w:highlight w:val="none"/>
              </w:rPr>
              <w:fldChar w:fldCharType="begin"/>
            </w:r>
            <w:r>
              <w:rPr>
                <w:rFonts w:ascii="宋体" w:hAnsi="宋体" w:cs="Courier New"/>
                <w:color w:val="000000"/>
                <w:sz w:val="24"/>
                <w:szCs w:val="24"/>
                <w:highlight w:val="none"/>
              </w:rPr>
              <w:instrText xml:space="preserve">eq \o\ac(□,√)</w:instrText>
            </w:r>
            <w:r>
              <w:rPr>
                <w:rFonts w:ascii="宋体" w:hAnsi="宋体" w:cs="Courier New"/>
                <w:color w:val="000000"/>
                <w:sz w:val="24"/>
                <w:szCs w:val="24"/>
                <w:highlight w:val="none"/>
              </w:rPr>
              <w:fldChar w:fldCharType="end"/>
            </w:r>
            <w:r>
              <w:rPr>
                <w:rFonts w:hint="eastAsia" w:ascii="宋体" w:hAnsi="宋体" w:cs="Times New Roman"/>
                <w:color w:val="000000"/>
                <w:sz w:val="24"/>
                <w:szCs w:val="24"/>
                <w:highlight w:val="none"/>
              </w:rPr>
              <w:t>不接受</w:t>
            </w:r>
          </w:p>
          <w:p w14:paraId="01F996C1">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□接受</w:t>
            </w:r>
          </w:p>
          <w:p w14:paraId="7D9046EE">
            <w:pPr>
              <w:spacing w:line="360" w:lineRule="auto"/>
              <w:jc w:val="left"/>
              <w:rPr>
                <w:rFonts w:ascii="宋体" w:hAnsi="宋体" w:cs="Times New Roman"/>
                <w:color w:val="000000"/>
                <w:sz w:val="24"/>
                <w:szCs w:val="24"/>
                <w:highlight w:val="none"/>
              </w:rPr>
            </w:pPr>
            <w:r>
              <w:rPr>
                <w:rFonts w:hint="eastAsia" w:ascii="宋体" w:hAnsi="宋体" w:cs="Times New Roman"/>
                <w:b/>
                <w:color w:val="000000"/>
                <w:sz w:val="24"/>
                <w:szCs w:val="24"/>
                <w:highlight w:val="none"/>
              </w:rPr>
              <w:t>注:</w:t>
            </w:r>
            <w:r>
              <w:rPr>
                <w:rFonts w:hint="eastAsia" w:ascii="宋体" w:hAnsi="Courier New" w:cs="Courier New"/>
                <w:b/>
                <w:color w:val="000000"/>
                <w:sz w:val="24"/>
                <w:szCs w:val="24"/>
                <w:highlight w:val="none"/>
              </w:rPr>
              <w:t>本</w:t>
            </w:r>
            <w:r>
              <w:rPr>
                <w:rFonts w:hint="eastAsia" w:ascii="宋体" w:hAnsi="宋体" w:cs="Times New Roman"/>
                <w:b/>
                <w:color w:val="000000"/>
                <w:sz w:val="24"/>
                <w:szCs w:val="24"/>
                <w:highlight w:val="none"/>
              </w:rPr>
              <w:t>项目不得分包、不得转包</w:t>
            </w:r>
          </w:p>
        </w:tc>
      </w:tr>
      <w:tr w14:paraId="12D5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34" w:type="dxa"/>
            <w:vAlign w:val="center"/>
          </w:tcPr>
          <w:p w14:paraId="49EE57B5">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8</w:t>
            </w:r>
          </w:p>
        </w:tc>
        <w:tc>
          <w:tcPr>
            <w:tcW w:w="1537" w:type="dxa"/>
            <w:shd w:val="clear" w:color="auto" w:fill="auto"/>
            <w:vAlign w:val="center"/>
          </w:tcPr>
          <w:p w14:paraId="4B57B838">
            <w:pPr>
              <w:jc w:val="center"/>
              <w:rPr>
                <w:rFonts w:ascii="宋体" w:hAnsi="宋体" w:eastAsia="宋体" w:cs="Times New Roman"/>
                <w:color w:val="000000"/>
                <w:kern w:val="2"/>
                <w:sz w:val="24"/>
                <w:szCs w:val="24"/>
                <w:highlight w:val="none"/>
                <w:lang w:val="en-US" w:eastAsia="zh-CN" w:bidi="ar-SA"/>
              </w:rPr>
            </w:pPr>
            <w:r>
              <w:rPr>
                <w:rFonts w:hint="eastAsia" w:ascii="宋体" w:hAnsi="宋体" w:cs="Times New Roman"/>
                <w:color w:val="000000"/>
                <w:sz w:val="24"/>
                <w:szCs w:val="24"/>
                <w:highlight w:val="none"/>
              </w:rPr>
              <w:t>提交投标文件的截止时间、地点</w:t>
            </w:r>
          </w:p>
        </w:tc>
        <w:tc>
          <w:tcPr>
            <w:tcW w:w="7662" w:type="dxa"/>
            <w:shd w:val="clear" w:color="auto" w:fill="auto"/>
            <w:vAlign w:val="center"/>
          </w:tcPr>
          <w:p w14:paraId="4F6F3FE4">
            <w:pPr>
              <w:spacing w:line="360" w:lineRule="auto"/>
              <w:jc w:val="left"/>
              <w:rPr>
                <w:rFonts w:hint="default" w:ascii="宋体" w:hAnsi="宋体" w:eastAsia="宋体" w:cs="Times New Roman"/>
                <w:color w:val="000000"/>
                <w:sz w:val="24"/>
                <w:szCs w:val="24"/>
                <w:highlight w:val="none"/>
                <w:lang w:val="en-US" w:eastAsia="zh-CN"/>
              </w:rPr>
            </w:pPr>
            <w:r>
              <w:rPr>
                <w:rFonts w:hint="eastAsia" w:ascii="宋体" w:hAnsi="宋体" w:cs="Times New Roman"/>
                <w:color w:val="000000"/>
                <w:sz w:val="24"/>
                <w:szCs w:val="24"/>
                <w:highlight w:val="none"/>
              </w:rPr>
              <w:t>时间：</w:t>
            </w:r>
            <w:r>
              <w:rPr>
                <w:rFonts w:hint="eastAsia" w:ascii="宋体" w:hAnsi="宋体" w:cs="Courier New"/>
                <w:color w:val="000000"/>
                <w:sz w:val="24"/>
                <w:szCs w:val="24"/>
                <w:highlight w:val="none"/>
              </w:rPr>
              <w:t>202</w:t>
            </w:r>
            <w:r>
              <w:rPr>
                <w:rFonts w:hint="eastAsia" w:ascii="宋体" w:hAnsi="宋体" w:cs="Courier New"/>
                <w:color w:val="000000"/>
                <w:sz w:val="24"/>
                <w:szCs w:val="24"/>
                <w:highlight w:val="none"/>
                <w:lang w:val="en-US" w:eastAsia="zh-CN"/>
              </w:rPr>
              <w:t>6</w:t>
            </w:r>
            <w:r>
              <w:rPr>
                <w:rFonts w:hint="eastAsia" w:ascii="宋体" w:hAnsi="宋体" w:cs="Courier New"/>
                <w:color w:val="000000"/>
                <w:sz w:val="24"/>
                <w:szCs w:val="24"/>
                <w:highlight w:val="none"/>
              </w:rPr>
              <w:t>年</w:t>
            </w:r>
            <w:r>
              <w:rPr>
                <w:rFonts w:hint="eastAsia" w:ascii="宋体" w:hAnsi="宋体" w:cs="Courier New"/>
                <w:color w:val="000000"/>
                <w:sz w:val="24"/>
                <w:szCs w:val="24"/>
                <w:highlight w:val="none"/>
                <w:lang w:val="en-US" w:eastAsia="zh-CN"/>
              </w:rPr>
              <w:t>05</w:t>
            </w:r>
            <w:r>
              <w:rPr>
                <w:rFonts w:hint="eastAsia" w:ascii="宋体" w:hAnsi="宋体" w:cs="Courier New"/>
                <w:color w:val="000000"/>
                <w:sz w:val="24"/>
                <w:szCs w:val="24"/>
                <w:highlight w:val="none"/>
              </w:rPr>
              <w:t>月</w:t>
            </w:r>
            <w:r>
              <w:rPr>
                <w:rFonts w:hint="eastAsia" w:ascii="宋体" w:hAnsi="宋体" w:cs="Courier New"/>
                <w:color w:val="000000"/>
                <w:sz w:val="24"/>
                <w:szCs w:val="24"/>
                <w:highlight w:val="none"/>
                <w:lang w:val="en-US" w:eastAsia="zh-CN"/>
              </w:rPr>
              <w:t>22</w:t>
            </w:r>
            <w:r>
              <w:rPr>
                <w:rFonts w:hint="eastAsia" w:ascii="宋体" w:hAnsi="宋体" w:cs="Courier New"/>
                <w:color w:val="000000"/>
                <w:sz w:val="24"/>
                <w:szCs w:val="24"/>
                <w:highlight w:val="none"/>
              </w:rPr>
              <w:t>日</w:t>
            </w:r>
            <w:r>
              <w:rPr>
                <w:rFonts w:hint="eastAsia" w:ascii="宋体" w:hAnsi="宋体" w:cs="Courier New"/>
                <w:color w:val="000000"/>
                <w:sz w:val="24"/>
                <w:szCs w:val="24"/>
                <w:highlight w:val="none"/>
                <w:lang w:val="en-US" w:eastAsia="zh-CN"/>
              </w:rPr>
              <w:t>16</w:t>
            </w:r>
            <w:r>
              <w:rPr>
                <w:rFonts w:hint="eastAsia" w:ascii="宋体" w:hAnsi="宋体" w:cs="Courier New"/>
                <w:color w:val="000000"/>
                <w:sz w:val="24"/>
                <w:szCs w:val="24"/>
                <w:highlight w:val="none"/>
              </w:rPr>
              <w:t>时00分</w:t>
            </w:r>
            <w:r>
              <w:rPr>
                <w:rFonts w:hint="eastAsia" w:ascii="宋体" w:hAnsi="宋体" w:cs="Courier New"/>
                <w:color w:val="000000"/>
                <w:sz w:val="24"/>
                <w:szCs w:val="24"/>
                <w:highlight w:val="none"/>
                <w:lang w:eastAsia="zh-CN"/>
              </w:rPr>
              <w:t>（</w:t>
            </w:r>
            <w:r>
              <w:rPr>
                <w:rFonts w:hint="eastAsia" w:ascii="宋体" w:hAnsi="宋体" w:cs="Courier New"/>
                <w:color w:val="000000"/>
                <w:sz w:val="24"/>
                <w:szCs w:val="24"/>
                <w:highlight w:val="none"/>
                <w:lang w:val="en-US" w:eastAsia="zh-CN"/>
              </w:rPr>
              <w:t>北京时间）</w:t>
            </w:r>
          </w:p>
          <w:p w14:paraId="3C3F7D3E">
            <w:pPr>
              <w:spacing w:line="360" w:lineRule="auto"/>
              <w:jc w:val="left"/>
              <w:rPr>
                <w:rFonts w:ascii="宋体" w:hAnsi="宋体" w:eastAsia="宋体" w:cs="Times New Roman"/>
                <w:color w:val="000000"/>
                <w:kern w:val="2"/>
                <w:sz w:val="24"/>
                <w:szCs w:val="24"/>
                <w:highlight w:val="none"/>
                <w:lang w:val="en-US" w:eastAsia="zh-CN" w:bidi="ar-SA"/>
              </w:rPr>
            </w:pPr>
            <w:r>
              <w:rPr>
                <w:rFonts w:hint="eastAsia" w:ascii="宋体" w:hAnsi="宋体" w:cs="Times New Roman"/>
                <w:color w:val="000000"/>
                <w:sz w:val="24"/>
                <w:szCs w:val="24"/>
                <w:highlight w:val="none"/>
              </w:rPr>
              <w:t>地点：</w:t>
            </w:r>
            <w:r>
              <w:rPr>
                <w:rFonts w:hint="eastAsia" w:ascii="宋体" w:hAnsi="宋体" w:cs="Courier New"/>
                <w:color w:val="000000"/>
                <w:sz w:val="24"/>
                <w:szCs w:val="24"/>
                <w:highlight w:val="none"/>
              </w:rPr>
              <w:t>新疆政府采购网政采云平台（http://www.ccgp-xinjiang.gov.cn/）</w:t>
            </w:r>
          </w:p>
        </w:tc>
      </w:tr>
      <w:tr w14:paraId="0ADE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34" w:type="dxa"/>
            <w:vAlign w:val="center"/>
          </w:tcPr>
          <w:p w14:paraId="22553BD6">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9</w:t>
            </w:r>
          </w:p>
        </w:tc>
        <w:tc>
          <w:tcPr>
            <w:tcW w:w="1537" w:type="dxa"/>
            <w:shd w:val="clear" w:color="auto" w:fill="auto"/>
            <w:vAlign w:val="center"/>
          </w:tcPr>
          <w:p w14:paraId="05DA9DB9">
            <w:pPr>
              <w:jc w:val="center"/>
              <w:rPr>
                <w:rFonts w:ascii="宋体" w:hAnsi="宋体" w:eastAsia="宋体" w:cs="Times New Roman"/>
                <w:color w:val="000000"/>
                <w:kern w:val="2"/>
                <w:sz w:val="24"/>
                <w:szCs w:val="24"/>
                <w:highlight w:val="none"/>
                <w:lang w:val="en-US" w:eastAsia="zh-CN" w:bidi="ar-SA"/>
              </w:rPr>
            </w:pPr>
            <w:r>
              <w:rPr>
                <w:rFonts w:hint="eastAsia" w:ascii="宋体" w:hAnsi="宋体" w:cs="Times New Roman"/>
                <w:color w:val="000000"/>
                <w:sz w:val="24"/>
                <w:szCs w:val="24"/>
                <w:highlight w:val="none"/>
              </w:rPr>
              <w:t>开标时间、地点</w:t>
            </w:r>
          </w:p>
        </w:tc>
        <w:tc>
          <w:tcPr>
            <w:tcW w:w="7662" w:type="dxa"/>
            <w:shd w:val="clear" w:color="auto" w:fill="auto"/>
            <w:vAlign w:val="center"/>
          </w:tcPr>
          <w:p w14:paraId="15F7577E">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时间：</w:t>
            </w:r>
            <w:r>
              <w:rPr>
                <w:rFonts w:hint="eastAsia" w:ascii="宋体" w:hAnsi="宋体" w:cs="Courier New"/>
                <w:color w:val="000000"/>
                <w:sz w:val="24"/>
                <w:szCs w:val="24"/>
                <w:highlight w:val="none"/>
              </w:rPr>
              <w:t>202</w:t>
            </w:r>
            <w:r>
              <w:rPr>
                <w:rFonts w:hint="eastAsia" w:ascii="宋体" w:hAnsi="宋体" w:cs="Courier New"/>
                <w:color w:val="000000"/>
                <w:sz w:val="24"/>
                <w:szCs w:val="24"/>
                <w:highlight w:val="none"/>
                <w:lang w:val="en-US" w:eastAsia="zh-CN"/>
              </w:rPr>
              <w:t>6</w:t>
            </w:r>
            <w:r>
              <w:rPr>
                <w:rFonts w:hint="eastAsia" w:ascii="宋体" w:hAnsi="宋体" w:cs="Courier New"/>
                <w:color w:val="000000"/>
                <w:sz w:val="24"/>
                <w:szCs w:val="24"/>
                <w:highlight w:val="none"/>
              </w:rPr>
              <w:t>年</w:t>
            </w:r>
            <w:r>
              <w:rPr>
                <w:rFonts w:hint="eastAsia" w:ascii="宋体" w:hAnsi="宋体" w:cs="Courier New"/>
                <w:color w:val="000000"/>
                <w:sz w:val="24"/>
                <w:szCs w:val="24"/>
                <w:highlight w:val="none"/>
                <w:lang w:val="en-US" w:eastAsia="zh-CN"/>
              </w:rPr>
              <w:t>05</w:t>
            </w:r>
            <w:r>
              <w:rPr>
                <w:rFonts w:hint="eastAsia" w:ascii="宋体" w:hAnsi="宋体" w:cs="Courier New"/>
                <w:color w:val="000000"/>
                <w:sz w:val="24"/>
                <w:szCs w:val="24"/>
                <w:highlight w:val="none"/>
              </w:rPr>
              <w:t>月</w:t>
            </w:r>
            <w:r>
              <w:rPr>
                <w:rFonts w:hint="eastAsia" w:ascii="宋体" w:hAnsi="宋体" w:cs="Courier New"/>
                <w:color w:val="000000"/>
                <w:sz w:val="24"/>
                <w:szCs w:val="24"/>
                <w:highlight w:val="none"/>
                <w:lang w:val="en-US" w:eastAsia="zh-CN"/>
              </w:rPr>
              <w:t>22</w:t>
            </w:r>
            <w:r>
              <w:rPr>
                <w:rFonts w:hint="eastAsia" w:ascii="宋体" w:hAnsi="宋体" w:cs="Courier New"/>
                <w:color w:val="000000"/>
                <w:sz w:val="24"/>
                <w:szCs w:val="24"/>
                <w:highlight w:val="none"/>
              </w:rPr>
              <w:t>日</w:t>
            </w:r>
            <w:r>
              <w:rPr>
                <w:rFonts w:hint="eastAsia" w:ascii="宋体" w:hAnsi="宋体" w:cs="Courier New"/>
                <w:color w:val="000000"/>
                <w:sz w:val="24"/>
                <w:szCs w:val="24"/>
                <w:highlight w:val="none"/>
                <w:lang w:val="en-US" w:eastAsia="zh-CN"/>
              </w:rPr>
              <w:t>16</w:t>
            </w:r>
            <w:r>
              <w:rPr>
                <w:rFonts w:hint="eastAsia" w:ascii="宋体" w:hAnsi="宋体" w:cs="Courier New"/>
                <w:color w:val="000000"/>
                <w:sz w:val="24"/>
                <w:szCs w:val="24"/>
                <w:highlight w:val="none"/>
              </w:rPr>
              <w:t>时00分</w:t>
            </w:r>
            <w:r>
              <w:rPr>
                <w:rFonts w:hint="eastAsia" w:ascii="宋体" w:hAnsi="宋体" w:cs="Courier New"/>
                <w:color w:val="000000"/>
                <w:sz w:val="24"/>
                <w:szCs w:val="24"/>
                <w:highlight w:val="none"/>
                <w:lang w:eastAsia="zh-CN"/>
              </w:rPr>
              <w:t>（</w:t>
            </w:r>
            <w:r>
              <w:rPr>
                <w:rFonts w:hint="eastAsia" w:ascii="宋体" w:hAnsi="宋体" w:cs="Courier New"/>
                <w:color w:val="000000"/>
                <w:sz w:val="24"/>
                <w:szCs w:val="24"/>
                <w:highlight w:val="none"/>
                <w:lang w:val="en-US" w:eastAsia="zh-CN"/>
              </w:rPr>
              <w:t>北京时间）</w:t>
            </w:r>
          </w:p>
          <w:p w14:paraId="71AE99FA">
            <w:pPr>
              <w:spacing w:line="360" w:lineRule="auto"/>
              <w:jc w:val="left"/>
              <w:rPr>
                <w:rFonts w:ascii="宋体" w:hAnsi="宋体" w:eastAsia="宋体" w:cs="Times New Roman"/>
                <w:color w:val="000000"/>
                <w:kern w:val="2"/>
                <w:sz w:val="24"/>
                <w:szCs w:val="24"/>
                <w:highlight w:val="none"/>
                <w:lang w:val="en-US" w:eastAsia="zh-CN" w:bidi="ar-SA"/>
              </w:rPr>
            </w:pPr>
            <w:r>
              <w:rPr>
                <w:rFonts w:hint="eastAsia" w:ascii="宋体" w:hAnsi="宋体" w:cs="Times New Roman"/>
                <w:color w:val="000000"/>
                <w:sz w:val="24"/>
                <w:szCs w:val="24"/>
                <w:highlight w:val="none"/>
              </w:rPr>
              <w:t>地点：</w:t>
            </w:r>
            <w:r>
              <w:rPr>
                <w:rFonts w:hint="eastAsia" w:ascii="宋体" w:hAnsi="宋体" w:cs="宋体"/>
                <w:color w:val="000000"/>
                <w:kern w:val="0"/>
                <w:sz w:val="24"/>
                <w:szCs w:val="24"/>
                <w:highlight w:val="none"/>
              </w:rPr>
              <w:t>新疆政府采购网政采云平台不见面开标大厅（本项目采用远程不见面交易的模式。采购当日，供应商无需到达采购现场，仅需在任意地点登录新疆政府采购网政采云平台（http://www.ccgp-xinjiang.gov.cn/）不见面开标系统（进入“项目采购”应用，在开标评标菜单中选择进入开标大厅）</w:t>
            </w:r>
          </w:p>
        </w:tc>
      </w:tr>
      <w:tr w14:paraId="4BBB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34" w:type="dxa"/>
            <w:vAlign w:val="center"/>
          </w:tcPr>
          <w:p w14:paraId="0046FBB2">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10</w:t>
            </w:r>
          </w:p>
        </w:tc>
        <w:tc>
          <w:tcPr>
            <w:tcW w:w="1537" w:type="dxa"/>
            <w:shd w:val="clear" w:color="auto" w:fill="auto"/>
            <w:vAlign w:val="center"/>
          </w:tcPr>
          <w:p w14:paraId="6860B106">
            <w:pPr>
              <w:jc w:val="center"/>
              <w:rPr>
                <w:rFonts w:ascii="宋体" w:hAnsi="宋体" w:eastAsia="宋体" w:cs="Times New Roman"/>
                <w:color w:val="000000"/>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采购预算(最高限价)</w:t>
            </w:r>
          </w:p>
        </w:tc>
        <w:tc>
          <w:tcPr>
            <w:tcW w:w="7662" w:type="dxa"/>
            <w:shd w:val="clear" w:color="auto" w:fill="auto"/>
            <w:vAlign w:val="center"/>
          </w:tcPr>
          <w:p w14:paraId="42B8BC70">
            <w:pPr>
              <w:spacing w:line="360" w:lineRule="auto"/>
              <w:jc w:val="left"/>
              <w:rPr>
                <w:rFonts w:hint="default" w:ascii="宋体" w:hAnsi="宋体" w:eastAsia="宋体" w:cs="Times New Roman"/>
                <w:color w:val="000000"/>
                <w:kern w:val="0"/>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采购预算(最高限价)</w:t>
            </w:r>
            <w:r>
              <w:rPr>
                <w:rFonts w:hint="eastAsia"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2000000</w:t>
            </w:r>
            <w:r>
              <w:rPr>
                <w:rFonts w:hint="eastAsia" w:ascii="宋体" w:hAnsi="宋体" w:cs="Times New Roman"/>
                <w:color w:val="000000"/>
                <w:kern w:val="0"/>
                <w:sz w:val="24"/>
                <w:szCs w:val="24"/>
                <w:highlight w:val="none"/>
              </w:rPr>
              <w:t>.00元</w:t>
            </w:r>
            <w:r>
              <w:rPr>
                <w:rFonts w:hint="eastAsia" w:ascii="宋体" w:hAnsi="宋体" w:cs="Times New Roman"/>
                <w:color w:val="000000"/>
                <w:kern w:val="0"/>
                <w:sz w:val="24"/>
                <w:szCs w:val="24"/>
                <w:highlight w:val="none"/>
                <w:lang w:eastAsia="zh-CN"/>
              </w:rPr>
              <w:t>（</w:t>
            </w:r>
            <w:r>
              <w:rPr>
                <w:rFonts w:hint="eastAsia" w:ascii="宋体" w:hAnsi="宋体" w:cs="Times New Roman"/>
                <w:color w:val="000000"/>
                <w:kern w:val="0"/>
                <w:sz w:val="24"/>
                <w:szCs w:val="24"/>
                <w:highlight w:val="none"/>
                <w:lang w:val="en-US" w:eastAsia="zh-CN"/>
              </w:rPr>
              <w:t>人民币贰佰万元整）</w:t>
            </w:r>
          </w:p>
          <w:p w14:paraId="3156793E">
            <w:pPr>
              <w:spacing w:line="360" w:lineRule="auto"/>
              <w:jc w:val="left"/>
              <w:rPr>
                <w:rFonts w:ascii="宋体" w:hAnsi="宋体" w:eastAsia="宋体" w:cs="黑体"/>
                <w:kern w:val="2"/>
                <w:sz w:val="24"/>
                <w:szCs w:val="24"/>
                <w:highlight w:val="none"/>
                <w:lang w:val="en-US" w:eastAsia="zh-CN" w:bidi="ar-SA"/>
              </w:rPr>
            </w:pPr>
            <w:r>
              <w:rPr>
                <w:rFonts w:hint="eastAsia" w:ascii="宋体" w:hAnsi="宋体" w:cs="宋体"/>
                <w:b/>
                <w:bCs/>
                <w:snapToGrid w:val="0"/>
                <w:sz w:val="24"/>
                <w:szCs w:val="24"/>
                <w:highlight w:val="none"/>
              </w:rPr>
              <w:t>注：超出最高限价作废标处理。</w:t>
            </w:r>
          </w:p>
        </w:tc>
      </w:tr>
      <w:tr w14:paraId="40BC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34" w:type="dxa"/>
            <w:vAlign w:val="center"/>
          </w:tcPr>
          <w:p w14:paraId="5D525D8F">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11</w:t>
            </w:r>
          </w:p>
        </w:tc>
        <w:tc>
          <w:tcPr>
            <w:tcW w:w="1537" w:type="dxa"/>
            <w:shd w:val="clear" w:color="auto" w:fill="auto"/>
            <w:vAlign w:val="center"/>
          </w:tcPr>
          <w:p w14:paraId="254048F2">
            <w:pPr>
              <w:jc w:val="center"/>
              <w:rPr>
                <w:rFonts w:ascii="宋体" w:hAnsi="宋体" w:eastAsia="宋体" w:cs="Times New Roman"/>
                <w:color w:val="000000"/>
                <w:kern w:val="2"/>
                <w:sz w:val="24"/>
                <w:szCs w:val="24"/>
                <w:highlight w:val="none"/>
                <w:lang w:val="en-US" w:eastAsia="zh-CN" w:bidi="ar-SA"/>
              </w:rPr>
            </w:pPr>
            <w:r>
              <w:rPr>
                <w:rFonts w:hint="eastAsia" w:ascii="宋体" w:hAnsi="宋体" w:cs="Times New Roman"/>
                <w:color w:val="000000"/>
                <w:sz w:val="24"/>
                <w:szCs w:val="24"/>
                <w:highlight w:val="none"/>
              </w:rPr>
              <w:t>投标保证金</w:t>
            </w:r>
          </w:p>
        </w:tc>
        <w:tc>
          <w:tcPr>
            <w:tcW w:w="7662" w:type="dxa"/>
            <w:shd w:val="clear" w:color="auto" w:fill="auto"/>
            <w:vAlign w:val="center"/>
          </w:tcPr>
          <w:p w14:paraId="02B7CF61">
            <w:pPr>
              <w:spacing w:line="400" w:lineRule="exact"/>
              <w:jc w:val="left"/>
              <w:rPr>
                <w:rFonts w:ascii="宋体" w:hAnsi="宋体" w:cs="Times New Roman"/>
                <w:color w:val="000000"/>
                <w:sz w:val="24"/>
                <w:szCs w:val="24"/>
                <w:highlight w:val="none"/>
              </w:rPr>
            </w:pPr>
            <w:r>
              <w:rPr>
                <w:rFonts w:ascii="宋体" w:hAnsi="宋体" w:cs="Courier New"/>
                <w:color w:val="000000"/>
                <w:sz w:val="24"/>
                <w:szCs w:val="24"/>
                <w:highlight w:val="none"/>
              </w:rPr>
              <w:fldChar w:fldCharType="begin"/>
            </w:r>
            <w:r>
              <w:rPr>
                <w:rFonts w:hint="eastAsia" w:ascii="宋体" w:hAnsi="宋体" w:cs="Courier New"/>
                <w:color w:val="000000"/>
                <w:sz w:val="24"/>
                <w:szCs w:val="24"/>
                <w:highlight w:val="none"/>
              </w:rPr>
              <w:instrText xml:space="preserve">eq \o\ac(□,√)</w:instrText>
            </w:r>
            <w:r>
              <w:rPr>
                <w:rFonts w:ascii="宋体" w:hAnsi="宋体" w:cs="Courier New"/>
                <w:color w:val="000000"/>
                <w:sz w:val="24"/>
                <w:szCs w:val="24"/>
                <w:highlight w:val="none"/>
              </w:rPr>
              <w:fldChar w:fldCharType="end"/>
            </w:r>
            <w:r>
              <w:rPr>
                <w:rFonts w:hint="eastAsia" w:ascii="宋体" w:hAnsi="宋体" w:cs="Times New Roman"/>
                <w:color w:val="000000"/>
                <w:sz w:val="24"/>
                <w:szCs w:val="24"/>
                <w:highlight w:val="none"/>
              </w:rPr>
              <w:t>要求提供。</w:t>
            </w:r>
          </w:p>
          <w:p w14:paraId="6ACA0641">
            <w:pPr>
              <w:numPr>
                <w:ilvl w:val="0"/>
                <w:numId w:val="2"/>
              </w:numPr>
              <w:spacing w:line="400" w:lineRule="exact"/>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标保证金金额：</w:t>
            </w:r>
            <w:r>
              <w:rPr>
                <w:rFonts w:hint="eastAsia" w:ascii="宋体" w:hAnsi="宋体" w:cs="Times New Roman"/>
                <w:color w:val="000000"/>
                <w:sz w:val="24"/>
                <w:szCs w:val="24"/>
                <w:highlight w:val="none"/>
                <w:lang w:val="en-US" w:eastAsia="zh-CN"/>
              </w:rPr>
              <w:t>20000.00元（贰万元整）</w:t>
            </w:r>
          </w:p>
          <w:p w14:paraId="72A6248D">
            <w:pPr>
              <w:spacing w:line="400" w:lineRule="exact"/>
              <w:jc w:val="left"/>
              <w:rPr>
                <w:rFonts w:ascii="宋体" w:hAnsi="宋体" w:cs="Times New Roman"/>
                <w:color w:val="000000"/>
                <w:sz w:val="24"/>
                <w:szCs w:val="24"/>
                <w:highlight w:val="none"/>
              </w:rPr>
            </w:pPr>
            <w:r>
              <w:rPr>
                <w:rFonts w:hint="eastAsia" w:ascii="宋体" w:hAnsi="宋体" w:cs="Courier New"/>
                <w:color w:val="000000"/>
                <w:sz w:val="24"/>
                <w:szCs w:val="24"/>
                <w:highlight w:val="none"/>
              </w:rPr>
              <w:t>投标保证金到账截止时间：同招标截止时间</w:t>
            </w:r>
          </w:p>
          <w:p w14:paraId="5567B53C">
            <w:pPr>
              <w:spacing w:line="400" w:lineRule="exact"/>
              <w:jc w:val="left"/>
              <w:rPr>
                <w:rFonts w:ascii="宋体" w:hAnsi="宋体" w:cs="Courier New"/>
                <w:color w:val="000000"/>
                <w:sz w:val="24"/>
                <w:szCs w:val="24"/>
                <w:highlight w:val="none"/>
              </w:rPr>
            </w:pPr>
            <w:r>
              <w:rPr>
                <w:rFonts w:hint="eastAsia" w:ascii="宋体" w:hAnsi="宋体" w:cs="Courier New"/>
                <w:color w:val="000000"/>
                <w:sz w:val="24"/>
                <w:szCs w:val="24"/>
                <w:highlight w:val="none"/>
              </w:rPr>
              <w:t>提交方式：须从供应商账户转出或以网银、银行电汇等非现金形式缴纳。</w:t>
            </w:r>
          </w:p>
          <w:p w14:paraId="15DDD381">
            <w:pPr>
              <w:autoSpaceDE w:val="0"/>
              <w:autoSpaceDN w:val="0"/>
              <w:spacing w:line="400" w:lineRule="exact"/>
              <w:rPr>
                <w:rFonts w:ascii="宋体" w:hAnsi="宋体" w:cs="Courier New"/>
                <w:color w:val="000000"/>
                <w:sz w:val="24"/>
                <w:szCs w:val="24"/>
                <w:highlight w:val="none"/>
              </w:rPr>
            </w:pPr>
            <w:r>
              <w:rPr>
                <w:rFonts w:hint="eastAsia" w:ascii="宋体" w:hAnsi="宋体" w:cs="Courier New"/>
                <w:color w:val="000000"/>
                <w:sz w:val="24"/>
                <w:szCs w:val="24"/>
                <w:highlight w:val="none"/>
              </w:rPr>
              <w:t>账户信息：</w:t>
            </w:r>
          </w:p>
          <w:p w14:paraId="288C64B0">
            <w:pPr>
              <w:widowControl/>
              <w:spacing w:line="400" w:lineRule="exact"/>
              <w:rPr>
                <w:rFonts w:hAnsi="宋体" w:cs="宋体"/>
                <w:bCs/>
                <w:sz w:val="24"/>
                <w:highlight w:val="none"/>
              </w:rPr>
            </w:pPr>
            <w:r>
              <w:rPr>
                <w:rFonts w:hint="eastAsia" w:hAnsi="宋体" w:cs="宋体"/>
                <w:bCs/>
                <w:sz w:val="24"/>
                <w:highlight w:val="none"/>
              </w:rPr>
              <w:t>开户单位名称：新疆中咨建设项目管理有限公司乌鲁木齐二分公司</w:t>
            </w:r>
          </w:p>
          <w:p w14:paraId="7E158CA5">
            <w:pPr>
              <w:widowControl/>
              <w:spacing w:line="400" w:lineRule="exact"/>
              <w:rPr>
                <w:rFonts w:hAnsi="宋体" w:cs="宋体"/>
                <w:bCs/>
                <w:sz w:val="24"/>
                <w:highlight w:val="none"/>
              </w:rPr>
            </w:pPr>
            <w:r>
              <w:rPr>
                <w:rFonts w:hint="eastAsia" w:hAnsi="宋体" w:cs="宋体"/>
                <w:bCs/>
                <w:sz w:val="24"/>
                <w:highlight w:val="none"/>
              </w:rPr>
              <w:t>开户银行：招商银行股份有限公司乌鲁木齐南湖东路支行</w:t>
            </w:r>
          </w:p>
          <w:p w14:paraId="695486D7">
            <w:pPr>
              <w:widowControl/>
              <w:spacing w:line="400" w:lineRule="exact"/>
              <w:rPr>
                <w:rFonts w:ascii="宋体" w:hAnsi="宋体" w:cs="宋体"/>
                <w:bCs/>
                <w:sz w:val="24"/>
                <w:highlight w:val="none"/>
              </w:rPr>
            </w:pPr>
            <w:r>
              <w:rPr>
                <w:rFonts w:hint="eastAsia" w:hAnsi="宋体" w:cs="宋体"/>
                <w:bCs/>
                <w:sz w:val="24"/>
                <w:highlight w:val="none"/>
              </w:rPr>
              <w:t>账号</w:t>
            </w:r>
            <w:r>
              <w:rPr>
                <w:rFonts w:hint="eastAsia" w:ascii="宋体" w:hAnsi="宋体" w:cs="宋体"/>
                <w:bCs/>
                <w:sz w:val="24"/>
                <w:highlight w:val="none"/>
              </w:rPr>
              <w:t>：991904389610902</w:t>
            </w:r>
          </w:p>
          <w:p w14:paraId="689ADCDE">
            <w:pPr>
              <w:widowControl/>
              <w:spacing w:line="400" w:lineRule="exact"/>
              <w:rPr>
                <w:rFonts w:ascii="宋体" w:hAnsi="宋体" w:cs="宋体"/>
                <w:bCs/>
                <w:sz w:val="24"/>
                <w:highlight w:val="none"/>
              </w:rPr>
            </w:pPr>
            <w:r>
              <w:rPr>
                <w:rFonts w:hint="eastAsia" w:ascii="宋体" w:hAnsi="宋体" w:cs="宋体"/>
                <w:bCs/>
                <w:sz w:val="24"/>
                <w:highlight w:val="none"/>
              </w:rPr>
              <w:t>行号：308881029139</w:t>
            </w:r>
          </w:p>
          <w:p w14:paraId="334E489E">
            <w:pPr>
              <w:autoSpaceDE w:val="0"/>
              <w:autoSpaceDN w:val="0"/>
              <w:spacing w:line="400" w:lineRule="exact"/>
              <w:rPr>
                <w:rFonts w:ascii="宋体" w:hAnsi="宋体" w:cs="宋体"/>
                <w:color w:val="000000"/>
                <w:sz w:val="24"/>
                <w:szCs w:val="24"/>
                <w:highlight w:val="none"/>
              </w:rPr>
            </w:pPr>
            <w:r>
              <w:rPr>
                <w:rFonts w:hint="eastAsia" w:ascii="宋体" w:hAnsi="宋体" w:cs="宋体"/>
                <w:color w:val="000000"/>
                <w:sz w:val="24"/>
                <w:szCs w:val="24"/>
                <w:highlight w:val="none"/>
              </w:rPr>
              <w:t>投标保证金以到账信息为准，制造商应充分考虑在途时间，制造商未按照招标文件要求提交投标保证金的，投标无效。</w:t>
            </w:r>
          </w:p>
          <w:p w14:paraId="60E21D10">
            <w:pPr>
              <w:spacing w:line="400" w:lineRule="exact"/>
              <w:jc w:val="left"/>
              <w:rPr>
                <w:rFonts w:ascii="宋体" w:hAnsi="宋体" w:cs="宋体"/>
                <w:color w:val="000000"/>
                <w:sz w:val="24"/>
                <w:szCs w:val="24"/>
                <w:highlight w:val="none"/>
              </w:rPr>
            </w:pPr>
            <w:r>
              <w:rPr>
                <w:rFonts w:hint="eastAsia" w:ascii="宋体" w:hAnsi="宋体" w:cs="宋体"/>
                <w:color w:val="000000"/>
                <w:sz w:val="24"/>
                <w:szCs w:val="24"/>
                <w:highlight w:val="none"/>
              </w:rPr>
              <w:t>注：以电汇方式递交投标保证金须在电汇凭据附言栏中写明招标编号、包号及用途(投标保证金)。</w:t>
            </w:r>
          </w:p>
          <w:p w14:paraId="371CD3F5">
            <w:pPr>
              <w:widowControl/>
              <w:spacing w:line="400" w:lineRule="exact"/>
              <w:rPr>
                <w:rFonts w:ascii="宋体" w:hAnsi="宋体" w:cs="宋体"/>
                <w:bCs/>
                <w:sz w:val="24"/>
                <w:highlight w:val="none"/>
                <w:lang w:val="zh-CN"/>
              </w:rPr>
            </w:pPr>
            <w:r>
              <w:rPr>
                <w:rFonts w:hint="eastAsia" w:ascii="宋体" w:hAnsi="宋体" w:cs="宋体"/>
                <w:bCs/>
                <w:sz w:val="24"/>
                <w:highlight w:val="none"/>
              </w:rPr>
              <w:t>②</w:t>
            </w:r>
            <w:r>
              <w:rPr>
                <w:rFonts w:hint="eastAsia" w:ascii="宋体" w:hAnsi="宋体" w:cs="宋体"/>
                <w:bCs/>
                <w:sz w:val="24"/>
                <w:highlight w:val="none"/>
                <w:lang w:val="zh-CN"/>
              </w:rPr>
              <w:t>电子保函</w:t>
            </w:r>
          </w:p>
          <w:p w14:paraId="560644E6">
            <w:pPr>
              <w:widowControl/>
              <w:spacing w:line="400" w:lineRule="exact"/>
              <w:rPr>
                <w:rFonts w:ascii="宋体" w:hAnsi="宋体" w:cs="宋体"/>
                <w:bCs/>
                <w:sz w:val="24"/>
                <w:highlight w:val="none"/>
                <w:lang w:val="zh-CN"/>
              </w:rPr>
            </w:pPr>
            <w:r>
              <w:rPr>
                <w:rFonts w:hint="eastAsia" w:ascii="宋体" w:hAnsi="宋体" w:cs="宋体"/>
                <w:bCs/>
                <w:sz w:val="24"/>
                <w:highlight w:val="none"/>
                <w:lang w:val="zh-CN"/>
              </w:rPr>
              <w:t>本项目可使用政采云电子保函形式缴纳投标保证金，在线完成保函的申请、审核、开票、出函等环节；</w:t>
            </w:r>
          </w:p>
          <w:p w14:paraId="2C7E5861">
            <w:pPr>
              <w:widowControl/>
              <w:spacing w:line="400" w:lineRule="exact"/>
              <w:jc w:val="left"/>
              <w:rPr>
                <w:rFonts w:ascii="宋体" w:hAnsi="宋体" w:cs="宋体"/>
                <w:bCs/>
                <w:sz w:val="24"/>
                <w:highlight w:val="none"/>
                <w:lang w:val="zh-CN"/>
              </w:rPr>
            </w:pPr>
            <w:r>
              <w:rPr>
                <w:rFonts w:hint="eastAsia" w:ascii="宋体" w:hAnsi="宋体" w:cs="宋体"/>
                <w:bCs/>
                <w:sz w:val="24"/>
                <w:highlight w:val="none"/>
                <w:lang w:val="zh-CN"/>
              </w:rPr>
              <w:t>如采用政采云电子保函形式，可按照以下形式进行在线申请，电子保函申请链接（https://jinrong.zcygov.cn/finance/letter/product/detail?id=30&amp;source=41），如遇问题可拨打客服电话：4009039583；</w:t>
            </w:r>
          </w:p>
          <w:p w14:paraId="67534980">
            <w:pPr>
              <w:spacing w:line="400" w:lineRule="exact"/>
              <w:jc w:val="left"/>
              <w:rPr>
                <w:rFonts w:ascii="宋体" w:hAnsi="宋体" w:eastAsia="宋体" w:cs="Times New Roman"/>
                <w:color w:val="000000"/>
                <w:kern w:val="2"/>
                <w:sz w:val="24"/>
                <w:szCs w:val="24"/>
                <w:highlight w:val="none"/>
                <w:lang w:val="en-US" w:eastAsia="zh-CN" w:bidi="ar-SA"/>
              </w:rPr>
            </w:pPr>
            <w:r>
              <w:rPr>
                <w:rFonts w:hint="eastAsia" w:ascii="宋体" w:hAnsi="宋体" w:cs="宋体"/>
                <w:bCs/>
                <w:sz w:val="24"/>
                <w:highlight w:val="none"/>
                <w:lang w:val="zh-CN"/>
              </w:rPr>
              <w:t>开标前将保函制作到电子响应文件即可。</w:t>
            </w:r>
          </w:p>
        </w:tc>
      </w:tr>
      <w:tr w14:paraId="43A6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34" w:type="dxa"/>
            <w:vAlign w:val="center"/>
          </w:tcPr>
          <w:p w14:paraId="1DAB9F21">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12</w:t>
            </w:r>
          </w:p>
        </w:tc>
        <w:tc>
          <w:tcPr>
            <w:tcW w:w="1537" w:type="dxa"/>
            <w:shd w:val="clear" w:color="auto" w:fill="auto"/>
            <w:vAlign w:val="center"/>
          </w:tcPr>
          <w:p w14:paraId="451006C9">
            <w:pPr>
              <w:jc w:val="center"/>
              <w:rPr>
                <w:rFonts w:ascii="宋体" w:hAnsi="宋体" w:eastAsia="宋体" w:cs="Times New Roman"/>
                <w:color w:val="000000"/>
                <w:kern w:val="2"/>
                <w:sz w:val="24"/>
                <w:szCs w:val="24"/>
                <w:highlight w:val="none"/>
                <w:lang w:val="en-US" w:eastAsia="zh-CN" w:bidi="ar-SA"/>
              </w:rPr>
            </w:pPr>
            <w:r>
              <w:rPr>
                <w:rFonts w:hint="eastAsia" w:ascii="宋体" w:hAnsi="宋体" w:cs="Times New Roman"/>
                <w:color w:val="000000"/>
                <w:sz w:val="24"/>
                <w:szCs w:val="24"/>
                <w:highlight w:val="none"/>
              </w:rPr>
              <w:t>投标有效期</w:t>
            </w:r>
          </w:p>
        </w:tc>
        <w:tc>
          <w:tcPr>
            <w:tcW w:w="7662" w:type="dxa"/>
            <w:shd w:val="clear" w:color="auto" w:fill="auto"/>
            <w:vAlign w:val="center"/>
          </w:tcPr>
          <w:p w14:paraId="7D39AFDD">
            <w:pPr>
              <w:jc w:val="left"/>
              <w:rPr>
                <w:rFonts w:ascii="宋体" w:hAnsi="宋体" w:eastAsia="宋体" w:cs="MingLiU_HKSCS"/>
                <w:color w:val="000000"/>
                <w:kern w:val="2"/>
                <w:sz w:val="24"/>
                <w:szCs w:val="24"/>
                <w:highlight w:val="none"/>
                <w:lang w:val="en-US" w:eastAsia="zh-CN" w:bidi="ar-SA"/>
              </w:rPr>
            </w:pPr>
            <w:r>
              <w:rPr>
                <w:rFonts w:hint="eastAsia" w:ascii="宋体" w:hAnsi="宋体" w:cs="Times New Roman"/>
                <w:color w:val="000000"/>
                <w:sz w:val="24"/>
                <w:szCs w:val="24"/>
                <w:highlight w:val="none"/>
              </w:rPr>
              <w:t>自投标文件截止时间起90日</w:t>
            </w:r>
            <w:r>
              <w:rPr>
                <w:rFonts w:ascii="宋体" w:hAnsi="宋体" w:cs="Times New Roman"/>
                <w:color w:val="000000"/>
                <w:sz w:val="24"/>
                <w:szCs w:val="24"/>
                <w:highlight w:val="none"/>
              </w:rPr>
              <w:t>(</w:t>
            </w:r>
            <w:r>
              <w:rPr>
                <w:rFonts w:hint="eastAsia" w:ascii="宋体" w:hAnsi="宋体" w:cs="Times New Roman"/>
                <w:color w:val="000000"/>
                <w:sz w:val="24"/>
                <w:szCs w:val="24"/>
                <w:highlight w:val="none"/>
              </w:rPr>
              <w:t>日历日</w:t>
            </w:r>
            <w:r>
              <w:rPr>
                <w:rFonts w:ascii="宋体" w:hAnsi="宋体" w:cs="Times New Roman"/>
                <w:color w:val="000000"/>
                <w:sz w:val="24"/>
                <w:szCs w:val="24"/>
                <w:highlight w:val="none"/>
              </w:rPr>
              <w:t>)</w:t>
            </w:r>
          </w:p>
        </w:tc>
      </w:tr>
      <w:tr w14:paraId="1072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34" w:type="dxa"/>
            <w:vAlign w:val="center"/>
          </w:tcPr>
          <w:p w14:paraId="7462ECF9">
            <w:pPr>
              <w:jc w:val="center"/>
              <w:rPr>
                <w:rFonts w:ascii="宋体" w:hAnsi="宋体" w:cs="Times New Roman"/>
                <w:color w:val="000000"/>
                <w:sz w:val="24"/>
                <w:szCs w:val="24"/>
                <w:highlight w:val="none"/>
              </w:rPr>
            </w:pPr>
            <w:r>
              <w:rPr>
                <w:rFonts w:ascii="宋体" w:hAnsi="宋体" w:cs="Times New Roman"/>
                <w:color w:val="000000"/>
                <w:sz w:val="24"/>
                <w:szCs w:val="24"/>
                <w:highlight w:val="none"/>
              </w:rPr>
              <w:t>13</w:t>
            </w:r>
          </w:p>
        </w:tc>
        <w:tc>
          <w:tcPr>
            <w:tcW w:w="1537" w:type="dxa"/>
            <w:shd w:val="clear" w:color="auto" w:fill="auto"/>
            <w:vAlign w:val="center"/>
          </w:tcPr>
          <w:p w14:paraId="4EDE8B6A">
            <w:pPr>
              <w:jc w:val="center"/>
              <w:rPr>
                <w:rFonts w:ascii="宋体" w:hAnsi="宋体" w:eastAsia="宋体" w:cs="Times New Roman"/>
                <w:color w:val="000000"/>
                <w:kern w:val="2"/>
                <w:sz w:val="24"/>
                <w:szCs w:val="24"/>
                <w:highlight w:val="none"/>
                <w:lang w:val="en-US" w:eastAsia="zh-CN" w:bidi="ar-SA"/>
              </w:rPr>
            </w:pPr>
            <w:r>
              <w:rPr>
                <w:rFonts w:hint="eastAsia" w:ascii="宋体" w:hAnsi="宋体" w:cs="Times New Roman"/>
                <w:color w:val="000000"/>
                <w:sz w:val="24"/>
                <w:szCs w:val="24"/>
                <w:highlight w:val="none"/>
              </w:rPr>
              <w:t>投标文件份数</w:t>
            </w:r>
          </w:p>
        </w:tc>
        <w:tc>
          <w:tcPr>
            <w:tcW w:w="7662" w:type="dxa"/>
            <w:shd w:val="clear" w:color="auto" w:fill="auto"/>
            <w:vAlign w:val="center"/>
          </w:tcPr>
          <w:p w14:paraId="7F168275">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color w:val="000000"/>
                <w:sz w:val="24"/>
                <w:szCs w:val="24"/>
                <w:highlight w:val="none"/>
              </w:rPr>
              <w:sym w:font="Wingdings 2" w:char="00A3"/>
            </w:r>
            <w:r>
              <w:rPr>
                <w:rFonts w:hint="eastAsia" w:ascii="宋体" w:hAnsi="宋体" w:cs="宋体"/>
                <w:color w:val="000000"/>
                <w:sz w:val="24"/>
                <w:szCs w:val="24"/>
                <w:highlight w:val="none"/>
              </w:rPr>
              <w:t>采用见面开标</w:t>
            </w:r>
          </w:p>
          <w:p w14:paraId="236CADEF">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投标文件包括：/</w:t>
            </w:r>
          </w:p>
          <w:p w14:paraId="33FE6186">
            <w:pPr>
              <w:adjustRightInd w:val="0"/>
              <w:snapToGrid w:val="0"/>
              <w:spacing w:beforeLines="50" w:line="360" w:lineRule="auto"/>
              <w:rPr>
                <w:rFonts w:ascii="宋体" w:hAnsi="宋体" w:cs="宋体"/>
                <w:color w:val="000000"/>
                <w:sz w:val="24"/>
                <w:szCs w:val="24"/>
                <w:highlight w:val="none"/>
              </w:rPr>
            </w:pPr>
            <w:r>
              <w:rPr>
                <w:rFonts w:hint="eastAsia" w:ascii="MS Mincho" w:hAnsi="MS Mincho" w:eastAsia="MS Mincho" w:cs="MS Mincho"/>
                <w:color w:val="000000"/>
                <w:sz w:val="24"/>
                <w:szCs w:val="24"/>
                <w:highlight w:val="none"/>
              </w:rPr>
              <w:t>☑</w:t>
            </w:r>
            <w:r>
              <w:rPr>
                <w:rFonts w:hint="eastAsia" w:ascii="宋体" w:hAnsi="宋体" w:cs="宋体"/>
                <w:color w:val="000000"/>
                <w:sz w:val="24"/>
                <w:szCs w:val="24"/>
                <w:highlight w:val="none"/>
              </w:rPr>
              <w:t xml:space="preserve"> 本项目采用不见面开标：</w:t>
            </w:r>
          </w:p>
          <w:p w14:paraId="4292E213">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1．本项目采用不见面开标、供应商需要递交电子投标文件，加密的电子投标文件，在投标截止时间前通过政采云平台上传到指定位置。无需递交纸质文件。</w:t>
            </w:r>
          </w:p>
          <w:p w14:paraId="12473759">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2.本项目采用远程不见面交易的模式。招标当日，供应商无需到达开标现场，仅需在任意地点通过政采云平台完成投标截止时间前签到、开标过程中远程解密、提疑澄清、开标唱标、结果公布等交互环节。供应商必须使用能正确解密投标文件的“CA锁”在规定的时间内完成远程解密，因供应商原因未能解密、解密失败或解密超时，视为供应商撤销其投标文件，系统内投标文件将被退回；</w:t>
            </w:r>
          </w:p>
          <w:p w14:paraId="2094E8B3">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b/>
                <w:bCs/>
                <w:color w:val="000000"/>
                <w:sz w:val="24"/>
                <w:szCs w:val="24"/>
                <w:highlight w:val="none"/>
              </w:rPr>
              <w:t>解密时长：30分钟</w:t>
            </w:r>
            <w:r>
              <w:rPr>
                <w:rFonts w:hint="eastAsia" w:ascii="宋体" w:hAnsi="宋体" w:cs="宋体"/>
                <w:color w:val="000000"/>
                <w:sz w:val="24"/>
                <w:szCs w:val="24"/>
                <w:highlight w:val="none"/>
              </w:rPr>
              <w:t>。</w:t>
            </w:r>
          </w:p>
          <w:p w14:paraId="37950C74">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2. 参与“不见面”开标的采购人或其委托代理机构、供应商等各交易主体，应当按照规定使用CA数字证书及电子签章。各方主体在系统中所有操作均具有法律效力，并承担法律责任。</w:t>
            </w:r>
          </w:p>
          <w:p w14:paraId="16E8AF1B">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3.供应商由于数字证书遗失、损坏、更换、续期等情况导致投标文件无法解密，由供应商自行承担责任。</w:t>
            </w:r>
          </w:p>
          <w:p w14:paraId="75818396">
            <w:pPr>
              <w:adjustRightInd w:val="0"/>
              <w:snapToGrid w:val="0"/>
              <w:spacing w:beforeLines="50"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4.各供应商在项目开标、评标（审）期间应随时保持在线状态，及时查阅消息，并根据消息提醒进行投标文件在线解密等操作。随时通过交易系统接受评标（审）委员会发出的询标信息，并在规定时间内作出答复，未能按时答复的，评标（审）委员会将视同其放弃澄清。</w:t>
            </w:r>
          </w:p>
          <w:p w14:paraId="13F32885">
            <w:pPr>
              <w:jc w:val="left"/>
              <w:rPr>
                <w:rFonts w:ascii="宋体" w:hAnsi="宋体" w:eastAsia="宋体" w:cs="Times New Roman"/>
                <w:color w:val="000000"/>
                <w:kern w:val="2"/>
                <w:sz w:val="24"/>
                <w:szCs w:val="24"/>
                <w:highlight w:val="none"/>
                <w:lang w:val="en-US" w:eastAsia="zh-CN" w:bidi="ar-SA"/>
              </w:rPr>
            </w:pPr>
            <w:r>
              <w:rPr>
                <w:rFonts w:hint="eastAsia" w:ascii="宋体" w:hAnsi="宋体" w:cs="宋体"/>
                <w:color w:val="000000"/>
                <w:sz w:val="24"/>
                <w:szCs w:val="24"/>
                <w:highlight w:val="none"/>
              </w:rPr>
              <w:t>5.开标、评标过程中，供应商参与远程音视频交互（以下简称“交互”）的法定代表人或授权委托人应始终为同一人，中途不得更换，并保持签到的通讯畅通。供应商端口操作人员均被视为供应商法人代表或授权委托人，供应商自行承担随意更换人员所导致的一切后果。</w:t>
            </w:r>
          </w:p>
        </w:tc>
      </w:tr>
      <w:tr w14:paraId="298A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4" w:type="dxa"/>
            <w:vAlign w:val="center"/>
          </w:tcPr>
          <w:p w14:paraId="657F8822">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14</w:t>
            </w:r>
          </w:p>
        </w:tc>
        <w:tc>
          <w:tcPr>
            <w:tcW w:w="1537" w:type="dxa"/>
            <w:vAlign w:val="center"/>
          </w:tcPr>
          <w:p w14:paraId="66546C5C">
            <w:pPr>
              <w:jc w:val="center"/>
              <w:rPr>
                <w:rFonts w:ascii="宋体" w:hAnsi="宋体" w:cs="Times New Roman"/>
                <w:color w:val="000000"/>
                <w:sz w:val="24"/>
                <w:szCs w:val="24"/>
                <w:highlight w:val="none"/>
              </w:rPr>
            </w:pPr>
            <w:r>
              <w:rPr>
                <w:rFonts w:hint="eastAsia" w:ascii="宋体" w:hAnsi="宋体" w:eastAsia="宋体" w:cs="宋体"/>
                <w:color w:val="auto"/>
                <w:sz w:val="24"/>
                <w:szCs w:val="24"/>
                <w:highlight w:val="none"/>
              </w:rPr>
              <w:t>解密投标文件的时限</w:t>
            </w:r>
          </w:p>
        </w:tc>
        <w:tc>
          <w:tcPr>
            <w:tcW w:w="7662" w:type="dxa"/>
            <w:vAlign w:val="center"/>
          </w:tcPr>
          <w:p w14:paraId="715B8FF3">
            <w:pPr>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不见面开标默认解密时长：</w:t>
            </w:r>
            <w:r>
              <w:rPr>
                <w:rFonts w:hint="eastAsia" w:ascii="宋体" w:hAnsi="宋体" w:cs="Times New Roman"/>
                <w:color w:val="000000"/>
                <w:sz w:val="24"/>
                <w:szCs w:val="24"/>
                <w:highlight w:val="none"/>
                <w:lang w:val="en-US" w:eastAsia="zh-CN"/>
              </w:rPr>
              <w:t xml:space="preserve"> </w:t>
            </w:r>
            <w:r>
              <w:rPr>
                <w:rFonts w:hint="eastAsia" w:ascii="宋体" w:hAnsi="宋体" w:cs="Times New Roman"/>
                <w:b/>
                <w:bCs/>
                <w:color w:val="000000"/>
                <w:sz w:val="24"/>
                <w:szCs w:val="24"/>
                <w:highlight w:val="none"/>
                <w:lang w:val="en-US" w:eastAsia="zh-CN"/>
              </w:rPr>
              <w:t>30 分钟</w:t>
            </w:r>
            <w:r>
              <w:rPr>
                <w:rFonts w:hint="eastAsia" w:ascii="宋体" w:hAnsi="宋体" w:cs="Times New Roman"/>
                <w:color w:val="000000"/>
                <w:sz w:val="24"/>
                <w:szCs w:val="24"/>
                <w:highlight w:val="none"/>
                <w:lang w:val="en-US" w:eastAsia="zh-CN"/>
              </w:rPr>
              <w:t>。</w:t>
            </w:r>
            <w:r>
              <w:rPr>
                <w:rFonts w:hint="eastAsia" w:ascii="宋体" w:hAnsi="宋体" w:cs="Times New Roman"/>
                <w:color w:val="000000"/>
                <w:sz w:val="24"/>
                <w:szCs w:val="24"/>
                <w:highlight w:val="none"/>
              </w:rPr>
              <w:t xml:space="preserve"> </w:t>
            </w:r>
          </w:p>
          <w:p w14:paraId="6917ECF2">
            <w:pPr>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lang w:val="en-US" w:eastAsia="zh-CN"/>
              </w:rPr>
              <w:t>除因交易平台发生故障导致投标文件无法按时解密外，投标文件未按时解密的，视为未按规定提交投标文件</w:t>
            </w:r>
            <w:r>
              <w:rPr>
                <w:rFonts w:hint="eastAsia" w:ascii="宋体" w:hAnsi="宋体" w:cs="Times New Roman"/>
                <w:color w:val="000000"/>
                <w:sz w:val="24"/>
                <w:szCs w:val="24"/>
                <w:highlight w:val="none"/>
              </w:rPr>
              <w:t>。</w:t>
            </w:r>
          </w:p>
        </w:tc>
      </w:tr>
      <w:tr w14:paraId="0E24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34" w:type="dxa"/>
            <w:vAlign w:val="center"/>
          </w:tcPr>
          <w:p w14:paraId="442E7224">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15</w:t>
            </w:r>
          </w:p>
        </w:tc>
        <w:tc>
          <w:tcPr>
            <w:tcW w:w="1537" w:type="dxa"/>
            <w:vAlign w:val="center"/>
          </w:tcPr>
          <w:p w14:paraId="0CAF8659">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lang w:val="en-US" w:eastAsia="zh-CN"/>
              </w:rPr>
              <w:t>评标方法</w:t>
            </w:r>
          </w:p>
        </w:tc>
        <w:tc>
          <w:tcPr>
            <w:tcW w:w="7662" w:type="dxa"/>
            <w:vAlign w:val="center"/>
          </w:tcPr>
          <w:p w14:paraId="717C8B30">
            <w:pPr>
              <w:jc w:val="left"/>
              <w:rPr>
                <w:rFonts w:ascii="宋体" w:hAnsi="宋体" w:cs="Times New Roman"/>
                <w:color w:val="000000"/>
                <w:sz w:val="24"/>
                <w:szCs w:val="24"/>
                <w:highlight w:val="none"/>
              </w:rPr>
            </w:pPr>
            <w:r>
              <w:rPr>
                <w:rFonts w:hint="eastAsia" w:ascii="宋体" w:hAnsi="宋体" w:eastAsia="宋体" w:cs="宋体"/>
                <w:color w:val="auto"/>
                <w:sz w:val="24"/>
                <w:szCs w:val="24"/>
                <w:highlight w:val="none"/>
                <w:lang w:val="en-US" w:eastAsia="zh-CN"/>
              </w:rPr>
              <w:t>综合评分法</w:t>
            </w:r>
          </w:p>
        </w:tc>
      </w:tr>
      <w:tr w14:paraId="4C67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34" w:type="dxa"/>
            <w:vAlign w:val="center"/>
          </w:tcPr>
          <w:p w14:paraId="4C4BD777">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16</w:t>
            </w:r>
          </w:p>
        </w:tc>
        <w:tc>
          <w:tcPr>
            <w:tcW w:w="1537" w:type="dxa"/>
            <w:vAlign w:val="center"/>
          </w:tcPr>
          <w:p w14:paraId="06951EBB">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评标委员会</w:t>
            </w:r>
          </w:p>
          <w:p w14:paraId="02D462F7">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的组成</w:t>
            </w:r>
          </w:p>
        </w:tc>
        <w:tc>
          <w:tcPr>
            <w:tcW w:w="7662" w:type="dxa"/>
            <w:vAlign w:val="center"/>
          </w:tcPr>
          <w:p w14:paraId="60809F1A">
            <w:pPr>
              <w:jc w:val="left"/>
              <w:rPr>
                <w:rFonts w:ascii="宋体" w:hAnsi="宋体" w:cs="Courier New"/>
                <w:color w:val="000000"/>
                <w:sz w:val="24"/>
                <w:szCs w:val="24"/>
                <w:highlight w:val="none"/>
              </w:rPr>
            </w:pPr>
            <w:r>
              <w:rPr>
                <w:rFonts w:hint="eastAsia" w:ascii="宋体" w:hAnsi="宋体" w:cs="Courier New"/>
                <w:color w:val="000000"/>
                <w:sz w:val="24"/>
                <w:szCs w:val="24"/>
                <w:highlight w:val="none"/>
              </w:rPr>
              <w:t>评标委员会构成：5人</w:t>
            </w:r>
          </w:p>
          <w:p w14:paraId="62EEF5B0">
            <w:pPr>
              <w:jc w:val="left"/>
              <w:rPr>
                <w:rFonts w:hint="default" w:ascii="宋体" w:hAnsi="宋体" w:eastAsia="宋体" w:cs="Courier New"/>
                <w:color w:val="000000"/>
                <w:sz w:val="24"/>
                <w:szCs w:val="24"/>
                <w:highlight w:val="none"/>
                <w:lang w:val="en-US" w:eastAsia="zh-CN"/>
              </w:rPr>
            </w:pPr>
            <w:r>
              <w:rPr>
                <w:rFonts w:hint="eastAsia" w:ascii="宋体" w:hAnsi="宋体" w:cs="Courier New"/>
                <w:color w:val="000000"/>
                <w:sz w:val="24"/>
                <w:szCs w:val="24"/>
                <w:highlight w:val="none"/>
              </w:rPr>
              <w:t>评委确定方式：新疆政采云平台专家库随机抽取</w:t>
            </w:r>
            <w:r>
              <w:rPr>
                <w:rFonts w:hint="eastAsia" w:ascii="宋体" w:hAnsi="宋体" w:cs="Courier New"/>
                <w:color w:val="000000"/>
                <w:sz w:val="24"/>
                <w:szCs w:val="24"/>
                <w:highlight w:val="none"/>
                <w:lang w:val="en-US" w:eastAsia="zh-CN"/>
              </w:rPr>
              <w:t>4人、采购人代表1人</w:t>
            </w:r>
          </w:p>
        </w:tc>
      </w:tr>
      <w:tr w14:paraId="6541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34" w:type="dxa"/>
            <w:vAlign w:val="center"/>
          </w:tcPr>
          <w:p w14:paraId="5ABE516D">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17</w:t>
            </w:r>
          </w:p>
        </w:tc>
        <w:tc>
          <w:tcPr>
            <w:tcW w:w="1537" w:type="dxa"/>
            <w:vAlign w:val="center"/>
          </w:tcPr>
          <w:p w14:paraId="7978BE79">
            <w:pPr>
              <w:jc w:val="center"/>
              <w:rPr>
                <w:rFonts w:ascii="宋体" w:hAnsi="宋体" w:cs="Times New Roman"/>
                <w:color w:val="000000"/>
                <w:sz w:val="24"/>
                <w:szCs w:val="24"/>
                <w:highlight w:val="none"/>
              </w:rPr>
            </w:pPr>
            <w:r>
              <w:rPr>
                <w:rFonts w:hint="eastAsia" w:ascii="宋体" w:hAnsi="宋体" w:eastAsia="宋体" w:cs="宋体"/>
                <w:color w:val="auto"/>
                <w:sz w:val="24"/>
                <w:szCs w:val="24"/>
                <w:highlight w:val="none"/>
              </w:rPr>
              <w:t>推荐中标候选人</w:t>
            </w:r>
          </w:p>
        </w:tc>
        <w:tc>
          <w:tcPr>
            <w:tcW w:w="7662" w:type="dxa"/>
            <w:vAlign w:val="center"/>
          </w:tcPr>
          <w:p w14:paraId="58E02916">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中标候选人数量</w:t>
            </w:r>
            <w:r>
              <w:rPr>
                <w:rFonts w:hint="eastAsia" w:ascii="宋体" w:hAnsi="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3  </w:t>
            </w:r>
            <w:r>
              <w:rPr>
                <w:rFonts w:hint="eastAsia" w:ascii="宋体" w:hAnsi="宋体" w:cs="Times New Roman"/>
                <w:color w:val="000000"/>
                <w:sz w:val="24"/>
                <w:szCs w:val="24"/>
                <w:highlight w:val="none"/>
              </w:rPr>
              <w:t>家</w:t>
            </w:r>
          </w:p>
        </w:tc>
      </w:tr>
      <w:tr w14:paraId="38E2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34" w:type="dxa"/>
            <w:vAlign w:val="center"/>
          </w:tcPr>
          <w:p w14:paraId="6BE9300B">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18</w:t>
            </w:r>
          </w:p>
        </w:tc>
        <w:tc>
          <w:tcPr>
            <w:tcW w:w="1537" w:type="dxa"/>
            <w:shd w:val="clear" w:color="auto" w:fill="auto"/>
            <w:vAlign w:val="center"/>
          </w:tcPr>
          <w:p w14:paraId="5FFF29BE">
            <w:pPr>
              <w:jc w:val="center"/>
              <w:rPr>
                <w:rFonts w:ascii="宋体" w:hAnsi="宋体" w:eastAsia="宋体" w:cs="Times New Roman"/>
                <w:color w:val="000000"/>
                <w:kern w:val="2"/>
                <w:sz w:val="24"/>
                <w:szCs w:val="24"/>
                <w:highlight w:val="none"/>
                <w:lang w:val="en-US" w:eastAsia="zh-CN" w:bidi="ar-SA"/>
              </w:rPr>
            </w:pPr>
            <w:r>
              <w:rPr>
                <w:rFonts w:hint="eastAsia" w:ascii="宋体" w:hAnsi="宋体" w:eastAsia="宋体" w:cs="宋体"/>
                <w:color w:val="auto"/>
                <w:sz w:val="24"/>
                <w:szCs w:val="24"/>
                <w:highlight w:val="none"/>
              </w:rPr>
              <w:t>确定中标人</w:t>
            </w:r>
          </w:p>
        </w:tc>
        <w:tc>
          <w:tcPr>
            <w:tcW w:w="7662" w:type="dxa"/>
            <w:shd w:val="clear" w:color="auto" w:fill="auto"/>
            <w:vAlign w:val="center"/>
          </w:tcPr>
          <w:p w14:paraId="681EBA9E">
            <w:pPr>
              <w:spacing w:line="360" w:lineRule="auto"/>
              <w:jc w:val="left"/>
              <w:rPr>
                <w:rFonts w:ascii="宋体" w:hAnsi="宋体" w:eastAsia="宋体" w:cs="Times New Roman"/>
                <w:color w:val="000000"/>
                <w:kern w:val="2"/>
                <w:sz w:val="24"/>
                <w:szCs w:val="24"/>
                <w:highlight w:val="none"/>
                <w:lang w:val="en-US" w:eastAsia="zh-CN" w:bidi="ar-SA"/>
              </w:rPr>
            </w:pPr>
            <w:r>
              <w:rPr>
                <w:rFonts w:hint="eastAsia" w:ascii="宋体" w:hAnsi="宋体" w:eastAsia="宋体" w:cs="宋体"/>
                <w:color w:val="auto"/>
                <w:sz w:val="24"/>
                <w:szCs w:val="24"/>
                <w:highlight w:val="none"/>
              </w:rPr>
              <w:t>采购人按评审报告中推荐的中标候选人排序确定中标人。</w:t>
            </w:r>
          </w:p>
        </w:tc>
      </w:tr>
      <w:tr w14:paraId="5D4F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4" w:type="dxa"/>
            <w:vAlign w:val="center"/>
          </w:tcPr>
          <w:p w14:paraId="2DDFD67B">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19</w:t>
            </w:r>
          </w:p>
        </w:tc>
        <w:tc>
          <w:tcPr>
            <w:tcW w:w="1537" w:type="dxa"/>
            <w:vAlign w:val="center"/>
          </w:tcPr>
          <w:p w14:paraId="131DBD6A">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付款方式</w:t>
            </w:r>
          </w:p>
        </w:tc>
        <w:tc>
          <w:tcPr>
            <w:tcW w:w="7662" w:type="dxa"/>
            <w:vAlign w:val="center"/>
          </w:tcPr>
          <w:p w14:paraId="42EE5A95">
            <w:pPr>
              <w:pStyle w:val="24"/>
              <w:spacing w:line="360" w:lineRule="auto"/>
              <w:jc w:val="left"/>
              <w:rPr>
                <w:rFonts w:hint="eastAsia" w:ascii="Times New Roman" w:hAnsi="宋体" w:eastAsia="宋体" w:cs="宋体"/>
                <w:b/>
                <w:bCs/>
                <w:color w:val="auto"/>
                <w:kern w:val="0"/>
                <w:sz w:val="24"/>
                <w:szCs w:val="24"/>
                <w:highlight w:val="none"/>
                <w:lang w:val="en-US" w:eastAsia="zh-CN" w:bidi="ar-SA"/>
              </w:rPr>
            </w:pPr>
            <w:r>
              <w:rPr>
                <w:rFonts w:hint="eastAsia" w:ascii="Times New Roman" w:hAnsi="宋体" w:eastAsia="宋体" w:cs="宋体"/>
                <w:b/>
                <w:bCs/>
                <w:color w:val="auto"/>
                <w:kern w:val="0"/>
                <w:sz w:val="24"/>
                <w:szCs w:val="24"/>
                <w:highlight w:val="none"/>
                <w:lang w:val="en-US" w:eastAsia="zh-CN" w:bidi="ar-SA"/>
              </w:rPr>
              <w:t>按阶段分次付款：</w:t>
            </w:r>
          </w:p>
          <w:p w14:paraId="587A4BDB">
            <w:pPr>
              <w:pStyle w:val="24"/>
              <w:numPr>
                <w:ilvl w:val="0"/>
                <w:numId w:val="3"/>
              </w:numPr>
              <w:spacing w:line="360" w:lineRule="auto"/>
              <w:jc w:val="left"/>
              <w:rPr>
                <w:rFonts w:hint="eastAsia" w:hAnsi="宋体" w:cs="宋体"/>
                <w:b/>
                <w:bCs/>
                <w:color w:val="auto"/>
                <w:sz w:val="24"/>
                <w:szCs w:val="24"/>
                <w:highlight w:val="none"/>
                <w:lang w:val="en-US" w:eastAsia="zh"/>
              </w:rPr>
            </w:pPr>
            <w:r>
              <w:rPr>
                <w:rFonts w:hint="eastAsia" w:hAnsi="宋体" w:cs="宋体"/>
                <w:b/>
                <w:bCs/>
                <w:color w:val="auto"/>
                <w:sz w:val="24"/>
                <w:szCs w:val="24"/>
                <w:highlight w:val="none"/>
                <w:lang w:val="en-US" w:eastAsia="zh-CN"/>
              </w:rPr>
              <w:t>自合同签订之日起14日内支付合同总金额的30%。</w:t>
            </w:r>
          </w:p>
          <w:p w14:paraId="4A025FCD">
            <w:pPr>
              <w:pStyle w:val="24"/>
              <w:numPr>
                <w:ilvl w:val="0"/>
                <w:numId w:val="3"/>
              </w:numPr>
              <w:spacing w:line="360" w:lineRule="auto"/>
              <w:jc w:val="left"/>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完成第一阶段（纳入自治区十五五高校设置规划）全部工作后支付合同总金额的20%。</w:t>
            </w:r>
          </w:p>
          <w:p w14:paraId="4210E958">
            <w:pPr>
              <w:pStyle w:val="43"/>
              <w:numPr>
                <w:ilvl w:val="0"/>
                <w:numId w:val="0"/>
              </w:numPr>
              <w:ind w:leftChars="0"/>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3.完成第二</w:t>
            </w:r>
            <w:r>
              <w:rPr>
                <w:rFonts w:hint="eastAsia" w:ascii="宋体" w:hAnsi="宋体" w:eastAsia="宋体" w:cs="宋体"/>
                <w:b/>
                <w:bCs/>
                <w:color w:val="auto"/>
                <w:kern w:val="0"/>
                <w:sz w:val="24"/>
                <w:szCs w:val="24"/>
                <w:highlight w:val="none"/>
                <w:lang w:val="en-US" w:eastAsia="zh-CN" w:bidi="ar-SA"/>
              </w:rPr>
              <w:t>阶段（</w:t>
            </w:r>
            <w:r>
              <w:rPr>
                <w:rFonts w:hint="default" w:ascii="宋体" w:hAnsi="宋体" w:eastAsia="宋体" w:cs="宋体"/>
                <w:b/>
                <w:bCs/>
                <w:color w:val="auto"/>
                <w:kern w:val="0"/>
                <w:sz w:val="24"/>
                <w:szCs w:val="24"/>
                <w:highlight w:val="none"/>
                <w:lang w:val="en-US" w:eastAsia="zh-CN" w:bidi="ar-SA"/>
              </w:rPr>
              <w:t>入规后建设阶段</w:t>
            </w:r>
            <w:r>
              <w:rPr>
                <w:rFonts w:hint="eastAsia" w:ascii="宋体" w:hAnsi="宋体" w:eastAsia="宋体" w:cs="宋体"/>
                <w:b/>
                <w:bCs/>
                <w:color w:val="auto"/>
                <w:kern w:val="0"/>
                <w:sz w:val="24"/>
                <w:szCs w:val="24"/>
                <w:highlight w:val="none"/>
                <w:lang w:val="en-US" w:eastAsia="zh-CN" w:bidi="ar-SA"/>
              </w:rPr>
              <w:t>）全部工作并通</w:t>
            </w:r>
            <w:r>
              <w:rPr>
                <w:rFonts w:hint="eastAsia" w:hAnsi="宋体" w:cs="宋体"/>
                <w:b/>
                <w:bCs/>
                <w:color w:val="auto"/>
                <w:sz w:val="24"/>
                <w:szCs w:val="24"/>
                <w:highlight w:val="none"/>
                <w:lang w:val="en-US" w:eastAsia="zh-CN"/>
              </w:rPr>
              <w:t>过学校验收后支付合同总金额的15%。</w:t>
            </w:r>
          </w:p>
          <w:p w14:paraId="38EE5D56">
            <w:pPr>
              <w:pStyle w:val="43"/>
              <w:numPr>
                <w:ilvl w:val="0"/>
                <w:numId w:val="0"/>
              </w:numPr>
              <w:ind w:leftChars="0"/>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4.完成第三阶</w:t>
            </w:r>
            <w:r>
              <w:rPr>
                <w:rFonts w:hint="eastAsia" w:ascii="宋体" w:hAnsi="宋体" w:eastAsia="宋体" w:cs="宋体"/>
                <w:b/>
                <w:bCs/>
                <w:color w:val="auto"/>
                <w:kern w:val="0"/>
                <w:sz w:val="24"/>
                <w:szCs w:val="24"/>
                <w:highlight w:val="none"/>
                <w:lang w:val="en-US" w:eastAsia="zh-CN" w:bidi="ar-SA"/>
              </w:rPr>
              <w:t>段（</w:t>
            </w:r>
            <w:r>
              <w:rPr>
                <w:rFonts w:hint="default" w:ascii="宋体" w:hAnsi="宋体" w:eastAsia="宋体" w:cs="宋体"/>
                <w:b/>
                <w:bCs/>
                <w:color w:val="auto"/>
                <w:kern w:val="0"/>
                <w:sz w:val="24"/>
                <w:szCs w:val="24"/>
                <w:highlight w:val="none"/>
                <w:lang w:val="en-US" w:eastAsia="zh-CN" w:bidi="ar-SA"/>
              </w:rPr>
              <w:t>自治区专家入校准备阶段</w:t>
            </w:r>
            <w:r>
              <w:rPr>
                <w:rFonts w:hint="eastAsia" w:ascii="宋体" w:hAnsi="宋体" w:eastAsia="宋体" w:cs="宋体"/>
                <w:b/>
                <w:bCs/>
                <w:color w:val="auto"/>
                <w:kern w:val="0"/>
                <w:sz w:val="24"/>
                <w:szCs w:val="24"/>
                <w:highlight w:val="none"/>
                <w:lang w:val="en-US" w:eastAsia="zh-CN" w:bidi="ar-SA"/>
              </w:rPr>
              <w:t>）全部工作</w:t>
            </w:r>
            <w:r>
              <w:rPr>
                <w:rFonts w:hint="eastAsia" w:hAnsi="宋体" w:cs="宋体"/>
                <w:b/>
                <w:bCs/>
                <w:color w:val="auto"/>
                <w:sz w:val="24"/>
                <w:szCs w:val="24"/>
                <w:highlight w:val="none"/>
                <w:lang w:val="en-US" w:eastAsia="zh-CN"/>
              </w:rPr>
              <w:t>并通过学校验收后支付合同总金额的25%。</w:t>
            </w:r>
          </w:p>
          <w:p w14:paraId="353EBBEB">
            <w:pPr>
              <w:pStyle w:val="24"/>
              <w:spacing w:line="360" w:lineRule="auto"/>
              <w:jc w:val="left"/>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5.完成第四阶段（教育部专家入校筹备阶段）全部工作并通过学校验收后，由学校核算总工作量按实际发生费用支付，支付额不超过合同总额的10%。</w:t>
            </w:r>
          </w:p>
          <w:p w14:paraId="1C77B6A3">
            <w:pPr>
              <w:pStyle w:val="24"/>
              <w:spacing w:line="360" w:lineRule="auto"/>
              <w:jc w:val="left"/>
              <w:rPr>
                <w:rFonts w:hint="eastAsia" w:hAnsi="宋体" w:cs="宋体"/>
                <w:color w:val="000000"/>
                <w:sz w:val="24"/>
                <w:szCs w:val="24"/>
                <w:highlight w:val="none"/>
              </w:rPr>
            </w:pPr>
            <w:r>
              <w:rPr>
                <w:rFonts w:hint="eastAsia" w:hAnsi="宋体" w:cs="宋体"/>
                <w:color w:val="000000"/>
                <w:sz w:val="24"/>
                <w:szCs w:val="24"/>
                <w:highlight w:val="none"/>
                <w:lang w:val="en-US" w:eastAsia="zh-CN"/>
              </w:rPr>
              <w:t>若申本工作在任一阶段停止，该阶段付款为最后一笔付款，需经学校审核工作量后，按照实际产生费用支付。</w:t>
            </w:r>
          </w:p>
        </w:tc>
      </w:tr>
      <w:tr w14:paraId="7838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34" w:type="dxa"/>
            <w:vAlign w:val="center"/>
          </w:tcPr>
          <w:p w14:paraId="0D854B5C">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20</w:t>
            </w:r>
          </w:p>
        </w:tc>
        <w:tc>
          <w:tcPr>
            <w:tcW w:w="1537" w:type="dxa"/>
            <w:vAlign w:val="center"/>
          </w:tcPr>
          <w:p w14:paraId="3CD5FE9A">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履约保证金</w:t>
            </w:r>
          </w:p>
        </w:tc>
        <w:tc>
          <w:tcPr>
            <w:tcW w:w="7662" w:type="dxa"/>
            <w:vAlign w:val="center"/>
          </w:tcPr>
          <w:p w14:paraId="1569ACB1">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sym w:font="Wingdings 2" w:char="0052"/>
            </w:r>
            <w:r>
              <w:rPr>
                <w:rFonts w:hint="eastAsia" w:ascii="宋体" w:hAnsi="宋体" w:cs="Courier New"/>
                <w:color w:val="000000"/>
                <w:sz w:val="24"/>
                <w:szCs w:val="24"/>
                <w:highlight w:val="none"/>
              </w:rPr>
              <w:t>不</w:t>
            </w:r>
            <w:r>
              <w:rPr>
                <w:rFonts w:hint="eastAsia" w:ascii="宋体" w:hAnsi="宋体" w:cs="Times New Roman"/>
                <w:color w:val="000000"/>
                <w:sz w:val="24"/>
                <w:szCs w:val="24"/>
                <w:highlight w:val="none"/>
              </w:rPr>
              <w:t>要求提供</w:t>
            </w:r>
          </w:p>
          <w:p w14:paraId="01831D5E">
            <w:pPr>
              <w:spacing w:line="360" w:lineRule="auto"/>
              <w:jc w:val="left"/>
              <w:rPr>
                <w:rFonts w:ascii="宋体" w:hAnsi="宋体" w:cs="Times New Roman"/>
                <w:color w:val="000000"/>
                <w:sz w:val="24"/>
                <w:szCs w:val="24"/>
                <w:highlight w:val="none"/>
              </w:rPr>
            </w:pPr>
            <w:r>
              <w:rPr>
                <w:rFonts w:ascii="宋体" w:hAnsi="宋体" w:cs="Courier New"/>
                <w:color w:val="000000"/>
                <w:sz w:val="24"/>
                <w:szCs w:val="24"/>
                <w:highlight w:val="none"/>
              </w:rPr>
              <w:fldChar w:fldCharType="begin"/>
            </w:r>
            <w:r>
              <w:rPr>
                <w:rFonts w:hint="eastAsia" w:ascii="宋体" w:hAnsi="宋体" w:cs="Courier New"/>
                <w:color w:val="000000"/>
                <w:sz w:val="24"/>
                <w:szCs w:val="24"/>
                <w:highlight w:val="none"/>
              </w:rPr>
              <w:instrText xml:space="preserve">eq \o\ac(□)</w:instrText>
            </w:r>
            <w:r>
              <w:rPr>
                <w:rFonts w:ascii="宋体" w:hAnsi="宋体" w:cs="Courier New"/>
                <w:color w:val="000000"/>
                <w:sz w:val="24"/>
                <w:szCs w:val="24"/>
                <w:highlight w:val="none"/>
              </w:rPr>
              <w:fldChar w:fldCharType="end"/>
            </w:r>
            <w:r>
              <w:rPr>
                <w:rFonts w:hint="eastAsia" w:ascii="宋体" w:hAnsi="宋体" w:cs="Times New Roman"/>
                <w:color w:val="000000"/>
                <w:sz w:val="24"/>
                <w:szCs w:val="24"/>
                <w:highlight w:val="none"/>
              </w:rPr>
              <w:t>要求提供</w:t>
            </w:r>
          </w:p>
        </w:tc>
      </w:tr>
      <w:tr w14:paraId="7560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34" w:type="dxa"/>
            <w:vAlign w:val="center"/>
          </w:tcPr>
          <w:p w14:paraId="619DBBAD">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21</w:t>
            </w:r>
          </w:p>
        </w:tc>
        <w:tc>
          <w:tcPr>
            <w:tcW w:w="1537" w:type="dxa"/>
            <w:vAlign w:val="center"/>
          </w:tcPr>
          <w:p w14:paraId="7621BFEB">
            <w:pPr>
              <w:jc w:val="center"/>
              <w:rPr>
                <w:rFonts w:ascii="宋体" w:hAnsi="宋体" w:cs="Times New Roman"/>
                <w:color w:val="000000"/>
                <w:sz w:val="24"/>
                <w:szCs w:val="24"/>
                <w:highlight w:val="none"/>
              </w:rPr>
            </w:pPr>
            <w:r>
              <w:rPr>
                <w:rFonts w:hint="eastAsia" w:ascii="宋体" w:hAnsi="宋体" w:cs="Courier New"/>
                <w:color w:val="000000"/>
                <w:sz w:val="24"/>
                <w:szCs w:val="24"/>
                <w:highlight w:val="none"/>
              </w:rPr>
              <w:t>招标文件的澄清或修改</w:t>
            </w:r>
          </w:p>
        </w:tc>
        <w:tc>
          <w:tcPr>
            <w:tcW w:w="7662" w:type="dxa"/>
            <w:vAlign w:val="center"/>
          </w:tcPr>
          <w:p w14:paraId="1D3F71B1">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投标截止时间15日前，供应商应留意政采云平台采购项目通知。</w:t>
            </w:r>
          </w:p>
          <w:p w14:paraId="439CB2FB">
            <w:pPr>
              <w:spacing w:line="360" w:lineRule="auto"/>
              <w:jc w:val="left"/>
              <w:rPr>
                <w:rFonts w:ascii="宋体" w:hAnsi="宋体" w:cs="Times New Roman"/>
                <w:color w:val="000000"/>
                <w:sz w:val="24"/>
                <w:szCs w:val="24"/>
                <w:highlight w:val="none"/>
              </w:rPr>
            </w:pPr>
            <w:r>
              <w:rPr>
                <w:rFonts w:hint="eastAsia" w:ascii="宋体" w:hAnsi="宋体" w:cs="Courier New"/>
                <w:color w:val="000000"/>
                <w:kern w:val="0"/>
                <w:sz w:val="24"/>
                <w:szCs w:val="24"/>
                <w:highlight w:val="none"/>
              </w:rPr>
              <w:t>在投标文件递交截止期前的任何时候，无论出于何种原因，采购人均可主动地或在解答供应商提出的澄清问题时对招标进行修改。</w:t>
            </w:r>
          </w:p>
        </w:tc>
      </w:tr>
      <w:tr w14:paraId="50F3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34" w:type="dxa"/>
            <w:vAlign w:val="center"/>
          </w:tcPr>
          <w:p w14:paraId="381EF023">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22</w:t>
            </w:r>
          </w:p>
        </w:tc>
        <w:tc>
          <w:tcPr>
            <w:tcW w:w="1537" w:type="dxa"/>
            <w:vAlign w:val="center"/>
          </w:tcPr>
          <w:p w14:paraId="7C280945">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招标代理服务费</w:t>
            </w:r>
          </w:p>
        </w:tc>
        <w:tc>
          <w:tcPr>
            <w:tcW w:w="7662" w:type="dxa"/>
            <w:vAlign w:val="center"/>
          </w:tcPr>
          <w:p w14:paraId="309DE2C3">
            <w:pPr>
              <w:adjustRightInd w:val="0"/>
              <w:snapToGrid w:val="0"/>
              <w:spacing w:line="440" w:lineRule="exact"/>
              <w:jc w:val="left"/>
              <w:rPr>
                <w:rFonts w:ascii="宋体" w:hAnsi="宋体" w:cs="仿宋"/>
                <w:color w:val="000000"/>
                <w:sz w:val="24"/>
                <w:szCs w:val="24"/>
                <w:highlight w:val="none"/>
              </w:rPr>
            </w:pPr>
            <w:r>
              <w:rPr>
                <w:rFonts w:hint="eastAsia" w:ascii="宋体" w:hAnsi="宋体" w:cs="仿宋"/>
                <w:color w:val="000000"/>
                <w:sz w:val="24"/>
                <w:szCs w:val="24"/>
                <w:highlight w:val="none"/>
              </w:rPr>
              <w:t>1、代理报酬支付方式：</w:t>
            </w:r>
            <w:r>
              <w:rPr>
                <w:rFonts w:hint="eastAsia" w:ascii="宋体" w:hAnsi="宋体" w:cs="仿宋"/>
                <w:color w:val="000000"/>
                <w:sz w:val="24"/>
                <w:szCs w:val="24"/>
                <w:highlight w:val="none"/>
                <w:u w:val="single"/>
              </w:rPr>
              <w:t>由中标人支付。</w:t>
            </w:r>
          </w:p>
          <w:p w14:paraId="561EE887">
            <w:pPr>
              <w:spacing w:line="360" w:lineRule="auto"/>
              <w:jc w:val="left"/>
              <w:rPr>
                <w:rFonts w:ascii="宋体" w:hAnsi="宋体" w:cs="仿宋"/>
                <w:color w:val="000000"/>
                <w:sz w:val="24"/>
                <w:szCs w:val="24"/>
                <w:highlight w:val="none"/>
                <w:u w:val="single"/>
              </w:rPr>
            </w:pPr>
            <w:r>
              <w:rPr>
                <w:rFonts w:hint="eastAsia" w:ascii="宋体" w:hAnsi="宋体" w:cs="仿宋"/>
                <w:color w:val="000000"/>
                <w:sz w:val="24"/>
                <w:szCs w:val="24"/>
                <w:highlight w:val="none"/>
              </w:rPr>
              <w:t>2、代理报酬的支付时间：</w:t>
            </w:r>
            <w:r>
              <w:rPr>
                <w:rFonts w:hint="eastAsia" w:ascii="宋体" w:hAnsi="宋体" w:cs="仿宋"/>
                <w:color w:val="000000"/>
                <w:sz w:val="24"/>
                <w:szCs w:val="24"/>
                <w:highlight w:val="none"/>
                <w:u w:val="single"/>
              </w:rPr>
              <w:t>由中标人领取中标通知书前支付。</w:t>
            </w:r>
          </w:p>
          <w:p w14:paraId="778820DA">
            <w:pPr>
              <w:spacing w:line="360" w:lineRule="auto"/>
              <w:jc w:val="left"/>
              <w:rPr>
                <w:rFonts w:ascii="宋体" w:hAnsi="宋体" w:cs="Times New Roman"/>
                <w:color w:val="000000"/>
                <w:sz w:val="24"/>
                <w:szCs w:val="24"/>
                <w:highlight w:val="none"/>
              </w:rPr>
            </w:pPr>
            <w:r>
              <w:rPr>
                <w:rFonts w:hint="eastAsia" w:ascii="宋体" w:hAnsi="宋体" w:cs="仿宋"/>
                <w:color w:val="000000"/>
                <w:sz w:val="24"/>
                <w:szCs w:val="24"/>
                <w:highlight w:val="none"/>
              </w:rPr>
              <w:t>3、代理服务费收费标准：</w:t>
            </w:r>
            <w:r>
              <w:rPr>
                <w:rFonts w:hint="eastAsia" w:ascii="宋体" w:hAnsi="宋体" w:cs="仿宋"/>
                <w:color w:val="000000"/>
                <w:sz w:val="24"/>
                <w:szCs w:val="24"/>
                <w:highlight w:val="none"/>
                <w:u w:val="single"/>
              </w:rPr>
              <w:t>本项目招标代理服务费参照原国家发展计划委员会文件（计价格[2002]1980号文）、（发改办价格[2003]857号文件）及财库[2018]2号文件所规定标准进行计算下浮60%</w:t>
            </w:r>
            <w:r>
              <w:rPr>
                <w:rFonts w:hint="eastAsia" w:ascii="宋体" w:hAnsi="宋体" w:cs="仿宋"/>
                <w:color w:val="000000"/>
                <w:sz w:val="24"/>
                <w:szCs w:val="24"/>
                <w:highlight w:val="none"/>
                <w:u w:val="single"/>
                <w:lang w:val="en-US" w:eastAsia="zh-CN"/>
              </w:rPr>
              <w:t>计取</w:t>
            </w:r>
            <w:r>
              <w:rPr>
                <w:rFonts w:hint="eastAsia" w:ascii="宋体" w:hAnsi="宋体" w:cs="仿宋"/>
                <w:color w:val="000000"/>
                <w:sz w:val="24"/>
                <w:szCs w:val="24"/>
                <w:highlight w:val="none"/>
                <w:u w:val="single"/>
              </w:rPr>
              <w:t>并由中标人向采购代理机构支付。</w:t>
            </w:r>
          </w:p>
        </w:tc>
      </w:tr>
      <w:tr w14:paraId="2339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34" w:type="dxa"/>
            <w:vAlign w:val="center"/>
          </w:tcPr>
          <w:p w14:paraId="0E7226E6">
            <w:pPr>
              <w:jc w:val="center"/>
              <w:rPr>
                <w:rFonts w:hint="default" w:ascii="宋体" w:hAnsi="宋体" w:eastAsia="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23</w:t>
            </w:r>
          </w:p>
        </w:tc>
        <w:tc>
          <w:tcPr>
            <w:tcW w:w="1537" w:type="dxa"/>
            <w:shd w:val="clear" w:color="auto" w:fill="auto"/>
            <w:vAlign w:val="center"/>
          </w:tcPr>
          <w:p w14:paraId="3C2325EC">
            <w:pPr>
              <w:pStyle w:val="237"/>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质疑</w:t>
            </w:r>
          </w:p>
        </w:tc>
        <w:tc>
          <w:tcPr>
            <w:tcW w:w="7662" w:type="dxa"/>
            <w:shd w:val="clear" w:color="auto" w:fill="auto"/>
            <w:vAlign w:val="center"/>
          </w:tcPr>
          <w:p w14:paraId="4371DE67">
            <w:pPr>
              <w:spacing w:line="360" w:lineRule="auto"/>
              <w:rPr>
                <w:rFonts w:hint="eastAsia" w:ascii="宋体" w:hAnsi="宋体" w:eastAsia="宋体" w:cs="Times New Roman"/>
                <w:color w:val="000000"/>
                <w:kern w:val="0"/>
                <w:sz w:val="24"/>
                <w:szCs w:val="24"/>
                <w:highlight w:val="none"/>
                <w:lang w:val="zh-CN" w:eastAsia="zh-CN"/>
              </w:rPr>
            </w:pPr>
            <w:r>
              <w:rPr>
                <w:rFonts w:hint="eastAsia" w:ascii="宋体" w:hAnsi="宋体" w:eastAsia="宋体" w:cs="Times New Roman"/>
                <w:color w:val="000000"/>
                <w:kern w:val="0"/>
                <w:sz w:val="24"/>
                <w:szCs w:val="24"/>
                <w:highlight w:val="none"/>
                <w:lang w:val="zh-CN" w:eastAsia="zh-CN"/>
              </w:rPr>
              <w:t>递交方式：</w:t>
            </w:r>
            <w:r>
              <w:rPr>
                <w:rFonts w:hint="eastAsia" w:ascii="宋体" w:hAnsi="宋体" w:eastAsia="宋体" w:cs="Times New Roman"/>
                <w:color w:val="000000"/>
                <w:kern w:val="0"/>
                <w:sz w:val="24"/>
                <w:szCs w:val="24"/>
                <w:highlight w:val="none"/>
                <w:lang w:val="en-US" w:eastAsia="zh-CN"/>
              </w:rPr>
              <w:t>纸质版盖章质疑函原件递交至采购代理公司</w:t>
            </w:r>
            <w:r>
              <w:rPr>
                <w:rFonts w:hint="eastAsia" w:ascii="宋体" w:hAnsi="宋体" w:eastAsia="宋体" w:cs="Times New Roman"/>
                <w:color w:val="000000"/>
                <w:kern w:val="0"/>
                <w:sz w:val="24"/>
                <w:szCs w:val="24"/>
                <w:highlight w:val="none"/>
                <w:lang w:val="zh-CN" w:eastAsia="zh-CN"/>
              </w:rPr>
              <w:t xml:space="preserve">              </w:t>
            </w:r>
          </w:p>
          <w:p w14:paraId="001EC319">
            <w:pPr>
              <w:spacing w:line="360" w:lineRule="auto"/>
              <w:rPr>
                <w:rFonts w:hint="eastAsia" w:ascii="宋体" w:hAnsi="宋体" w:eastAsia="宋体" w:cs="Times New Roman"/>
                <w:color w:val="000000"/>
                <w:kern w:val="0"/>
                <w:sz w:val="24"/>
                <w:szCs w:val="24"/>
                <w:highlight w:val="none"/>
                <w:lang w:val="zh-CN" w:eastAsia="zh-CN"/>
              </w:rPr>
            </w:pPr>
            <w:r>
              <w:rPr>
                <w:rFonts w:hint="eastAsia" w:ascii="宋体" w:hAnsi="宋体" w:eastAsia="宋体" w:cs="Times New Roman"/>
                <w:color w:val="000000"/>
                <w:kern w:val="0"/>
                <w:sz w:val="24"/>
                <w:szCs w:val="24"/>
                <w:highlight w:val="none"/>
                <w:lang w:val="zh-CN" w:eastAsia="zh-CN"/>
              </w:rPr>
              <w:t xml:space="preserve">接收部门：新疆中咨建设项目管理有限公司              </w:t>
            </w:r>
          </w:p>
          <w:p w14:paraId="337B5A74">
            <w:pPr>
              <w:spacing w:line="360" w:lineRule="auto"/>
              <w:rPr>
                <w:rFonts w:hint="eastAsia" w:ascii="宋体" w:hAnsi="宋体" w:eastAsia="宋体" w:cs="Times New Roman"/>
                <w:color w:val="000000"/>
                <w:kern w:val="0"/>
                <w:sz w:val="24"/>
                <w:szCs w:val="24"/>
                <w:highlight w:val="none"/>
                <w:lang w:val="zh-CN" w:eastAsia="zh-CN"/>
              </w:rPr>
            </w:pPr>
            <w:r>
              <w:rPr>
                <w:rFonts w:hint="eastAsia" w:ascii="宋体" w:hAnsi="宋体" w:eastAsia="宋体" w:cs="Times New Roman"/>
                <w:color w:val="000000"/>
                <w:kern w:val="0"/>
                <w:sz w:val="24"/>
                <w:szCs w:val="24"/>
                <w:highlight w:val="none"/>
                <w:lang w:val="zh-CN" w:eastAsia="zh-CN"/>
              </w:rPr>
              <w:t>联系电话：</w:t>
            </w:r>
            <w:r>
              <w:rPr>
                <w:rFonts w:hint="eastAsia" w:ascii="宋体" w:hAnsi="宋体" w:eastAsia="宋体" w:cs="Times New Roman"/>
                <w:color w:val="000000"/>
                <w:kern w:val="0"/>
                <w:sz w:val="24"/>
                <w:szCs w:val="24"/>
                <w:highlight w:val="none"/>
                <w:lang w:val="en-US" w:eastAsia="zh-CN"/>
              </w:rPr>
              <w:t>18599343155</w:t>
            </w:r>
            <w:r>
              <w:rPr>
                <w:rFonts w:hint="eastAsia" w:ascii="宋体" w:hAnsi="宋体" w:eastAsia="宋体" w:cs="Times New Roman"/>
                <w:color w:val="000000"/>
                <w:kern w:val="0"/>
                <w:sz w:val="24"/>
                <w:szCs w:val="24"/>
                <w:highlight w:val="none"/>
                <w:lang w:val="zh-CN" w:eastAsia="zh-CN"/>
              </w:rPr>
              <w:t xml:space="preserve">         </w:t>
            </w:r>
          </w:p>
          <w:p w14:paraId="69AFF546">
            <w:pPr>
              <w:spacing w:line="360" w:lineRule="auto"/>
              <w:rPr>
                <w:rFonts w:hint="eastAsia" w:ascii="宋体" w:hAnsi="宋体" w:eastAsia="宋体" w:cs="Times New Roman"/>
                <w:color w:val="000000"/>
                <w:kern w:val="0"/>
                <w:sz w:val="24"/>
                <w:szCs w:val="24"/>
                <w:highlight w:val="none"/>
                <w:lang w:val="zh-CN" w:eastAsia="zh-CN"/>
              </w:rPr>
            </w:pPr>
            <w:r>
              <w:rPr>
                <w:rFonts w:hint="eastAsia" w:ascii="宋体" w:hAnsi="宋体" w:eastAsia="宋体" w:cs="Times New Roman"/>
                <w:color w:val="000000"/>
                <w:kern w:val="0"/>
                <w:sz w:val="24"/>
                <w:szCs w:val="24"/>
                <w:highlight w:val="none"/>
                <w:lang w:val="zh-CN" w:eastAsia="zh-CN"/>
              </w:rPr>
              <w:t>通讯地址：乌鲁木齐水磨沟区会展大道555号星耀天都4号楼B座403</w:t>
            </w:r>
          </w:p>
          <w:p w14:paraId="285DEFD9">
            <w:pPr>
              <w:spacing w:line="360" w:lineRule="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Times New Roman"/>
                <w:color w:val="000000"/>
                <w:kern w:val="0"/>
                <w:sz w:val="24"/>
                <w:szCs w:val="24"/>
                <w:highlight w:val="none"/>
                <w:lang w:val="zh-CN" w:eastAsia="zh-CN"/>
              </w:rPr>
              <w:t>供应商提出质疑时，应提交质疑函和必要的证明材料，供应商在法定质疑期内应一次性提出针对同一采购程序环节的质疑。</w:t>
            </w:r>
          </w:p>
        </w:tc>
      </w:tr>
      <w:tr w14:paraId="2EF4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734" w:type="dxa"/>
            <w:vAlign w:val="center"/>
          </w:tcPr>
          <w:p w14:paraId="1E77CF66">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23</w:t>
            </w:r>
          </w:p>
        </w:tc>
        <w:tc>
          <w:tcPr>
            <w:tcW w:w="1537" w:type="dxa"/>
            <w:vAlign w:val="center"/>
          </w:tcPr>
          <w:p w14:paraId="58CECC43">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政府采购支持政策</w:t>
            </w:r>
          </w:p>
        </w:tc>
        <w:tc>
          <w:tcPr>
            <w:tcW w:w="7662" w:type="dxa"/>
            <w:vAlign w:val="center"/>
          </w:tcPr>
          <w:p w14:paraId="31817D94">
            <w:pPr>
              <w:spacing w:line="400" w:lineRule="exact"/>
              <w:jc w:val="left"/>
              <w:rPr>
                <w:rFonts w:ascii="宋体" w:hAnsi="宋体" w:cs="宋体"/>
                <w:b/>
                <w:bCs/>
                <w:sz w:val="24"/>
                <w:szCs w:val="24"/>
                <w:highlight w:val="none"/>
              </w:rPr>
            </w:pPr>
            <w:r>
              <w:rPr>
                <w:rFonts w:hint="eastAsia" w:ascii="宋体" w:hAnsi="宋体" w:cs="宋体"/>
                <w:b/>
                <w:bCs/>
                <w:sz w:val="24"/>
                <w:szCs w:val="24"/>
                <w:highlight w:val="none"/>
              </w:rPr>
              <w:t>本项目</w:t>
            </w:r>
            <w:r>
              <w:rPr>
                <w:rFonts w:hint="eastAsia" w:ascii="宋体" w:hAnsi="宋体" w:cs="宋体"/>
                <w:b/>
                <w:bCs/>
                <w:sz w:val="24"/>
                <w:szCs w:val="24"/>
                <w:highlight w:val="none"/>
                <w:lang w:val="en-US" w:eastAsia="zh-CN"/>
              </w:rPr>
              <w:t>属于</w:t>
            </w:r>
            <w:r>
              <w:rPr>
                <w:rFonts w:hint="eastAsia" w:ascii="宋体" w:hAnsi="宋体" w:cs="宋体"/>
                <w:b/>
                <w:bCs/>
                <w:sz w:val="24"/>
                <w:szCs w:val="24"/>
                <w:highlight w:val="none"/>
              </w:rPr>
              <w:t>专门面向</w:t>
            </w:r>
            <w:r>
              <w:rPr>
                <w:rFonts w:hint="eastAsia" w:ascii="宋体" w:hAnsi="宋体" w:cs="宋体"/>
                <w:b/>
                <w:bCs/>
                <w:sz w:val="24"/>
                <w:szCs w:val="24"/>
                <w:highlight w:val="none"/>
                <w:lang w:val="en-US" w:eastAsia="zh-CN"/>
              </w:rPr>
              <w:t>中小</w:t>
            </w:r>
            <w:r>
              <w:rPr>
                <w:rFonts w:hint="eastAsia" w:ascii="宋体" w:hAnsi="宋体" w:cs="宋体"/>
                <w:b/>
                <w:bCs/>
                <w:sz w:val="24"/>
                <w:szCs w:val="24"/>
                <w:highlight w:val="none"/>
              </w:rPr>
              <w:t>企业</w:t>
            </w:r>
            <w:r>
              <w:rPr>
                <w:rFonts w:hint="eastAsia" w:ascii="宋体" w:hAnsi="宋体" w:cs="宋体"/>
                <w:b/>
                <w:bCs/>
                <w:sz w:val="24"/>
                <w:szCs w:val="24"/>
                <w:highlight w:val="none"/>
                <w:lang w:val="en-US" w:eastAsia="zh-CN"/>
              </w:rPr>
              <w:t>采购项目</w:t>
            </w:r>
            <w:r>
              <w:rPr>
                <w:rFonts w:hint="eastAsia" w:ascii="宋体" w:hAnsi="宋体" w:cs="宋体"/>
                <w:b/>
                <w:bCs/>
                <w:sz w:val="24"/>
                <w:szCs w:val="24"/>
                <w:highlight w:val="none"/>
              </w:rPr>
              <w:t>，</w:t>
            </w:r>
            <w:r>
              <w:rPr>
                <w:rFonts w:hint="eastAsia" w:hAnsi="宋体" w:cs="宋体"/>
                <w:b/>
                <w:bCs/>
                <w:sz w:val="24"/>
                <w:szCs w:val="24"/>
                <w:highlight w:val="none"/>
              </w:rPr>
              <w:t>计算报价时</w:t>
            </w:r>
            <w:r>
              <w:rPr>
                <w:rFonts w:hint="eastAsia" w:hAnsi="宋体" w:cs="宋体"/>
                <w:b/>
                <w:bCs/>
                <w:sz w:val="24"/>
                <w:szCs w:val="24"/>
                <w:highlight w:val="none"/>
                <w:lang w:val="en-US" w:eastAsia="zh-CN"/>
              </w:rPr>
              <w:t>不</w:t>
            </w:r>
            <w:r>
              <w:rPr>
                <w:rFonts w:hint="eastAsia" w:hAnsi="宋体" w:cs="宋体"/>
                <w:b/>
                <w:bCs/>
                <w:sz w:val="24"/>
                <w:szCs w:val="24"/>
                <w:highlight w:val="none"/>
              </w:rPr>
              <w:t>给予</w:t>
            </w:r>
            <w:r>
              <w:rPr>
                <w:rFonts w:hint="eastAsia" w:hAnsi="宋体" w:cs="宋体"/>
                <w:b/>
                <w:bCs/>
                <w:sz w:val="24"/>
                <w:szCs w:val="24"/>
                <w:highlight w:val="none"/>
                <w:lang w:val="en-US" w:eastAsia="zh-CN"/>
              </w:rPr>
              <w:t>小微企业</w:t>
            </w:r>
            <w:r>
              <w:rPr>
                <w:rFonts w:hint="eastAsia" w:hAnsi="宋体" w:cs="宋体"/>
                <w:b/>
                <w:bCs/>
                <w:sz w:val="24"/>
                <w:szCs w:val="24"/>
                <w:highlight w:val="none"/>
              </w:rPr>
              <w:t>优惠计算。</w:t>
            </w:r>
          </w:p>
          <w:p w14:paraId="75FCCE62">
            <w:pPr>
              <w:spacing w:line="400" w:lineRule="exact"/>
              <w:jc w:val="left"/>
              <w:rPr>
                <w:rFonts w:ascii="宋体" w:hAnsi="宋体" w:cs="宋体"/>
                <w:sz w:val="24"/>
                <w:szCs w:val="24"/>
                <w:highlight w:val="none"/>
              </w:rPr>
            </w:pPr>
            <w:r>
              <w:rPr>
                <w:rFonts w:hint="eastAsia" w:ascii="宋体" w:hAnsi="宋体" w:cs="宋体"/>
                <w:b/>
                <w:bCs/>
                <w:sz w:val="24"/>
                <w:szCs w:val="24"/>
                <w:highlight w:val="none"/>
              </w:rPr>
              <w:t>所属行业：</w:t>
            </w:r>
            <w:r>
              <w:rPr>
                <w:rFonts w:hint="eastAsia" w:ascii="宋体" w:hAnsi="宋体" w:cs="宋体"/>
                <w:sz w:val="24"/>
                <w:szCs w:val="24"/>
                <w:highlight w:val="none"/>
              </w:rPr>
              <w:t>依据工信部联企业〔2011〕300 号，工业和信息化部、统计局、发展改革委、财政部关于印发中小企业划型标准规定的通知：本项目标的所属行业：</w:t>
            </w:r>
            <w:r>
              <w:rPr>
                <w:rFonts w:hint="eastAsia" w:ascii="宋体" w:hAnsi="宋体" w:cs="宋体"/>
                <w:b/>
                <w:bCs/>
                <w:sz w:val="24"/>
                <w:szCs w:val="24"/>
                <w:highlight w:val="none"/>
              </w:rPr>
              <w:t>“</w:t>
            </w:r>
            <w:r>
              <w:rPr>
                <w:rFonts w:hint="eastAsia" w:ascii="宋体" w:hAnsi="宋体" w:cs="宋体"/>
                <w:b/>
                <w:bCs/>
                <w:sz w:val="24"/>
                <w:szCs w:val="24"/>
                <w:highlight w:val="none"/>
                <w:lang w:val="en-US" w:eastAsia="zh-CN"/>
              </w:rPr>
              <w:t>其他未列明行业</w:t>
            </w:r>
            <w:r>
              <w:rPr>
                <w:rFonts w:hint="eastAsia" w:ascii="宋体" w:hAnsi="宋体" w:cs="宋体"/>
                <w:b/>
                <w:bCs/>
                <w:sz w:val="24"/>
                <w:szCs w:val="24"/>
                <w:highlight w:val="none"/>
              </w:rPr>
              <w:t>”</w:t>
            </w:r>
            <w:r>
              <w:rPr>
                <w:rFonts w:hint="eastAsia" w:ascii="宋体" w:hAnsi="宋体" w:cs="宋体"/>
                <w:sz w:val="24"/>
                <w:szCs w:val="24"/>
                <w:highlight w:val="none"/>
              </w:rPr>
              <w:t>。</w:t>
            </w:r>
          </w:p>
          <w:p w14:paraId="61998821">
            <w:pPr>
              <w:spacing w:line="360" w:lineRule="auto"/>
              <w:jc w:val="left"/>
            </w:pPr>
            <w:r>
              <w:rPr>
                <w:rFonts w:hint="eastAsia" w:ascii="宋体" w:hAnsi="宋体" w:eastAsia="宋体" w:cs="Times New Roman"/>
                <w:b w:val="0"/>
                <w:bCs w:val="0"/>
                <w:color w:val="000000" w:themeColor="text1"/>
                <w:sz w:val="24"/>
                <w:szCs w:val="24"/>
                <w:highlight w:val="none"/>
                <w14:textFill>
                  <w14:solidFill>
                    <w14:schemeClr w14:val="tx1"/>
                  </w14:solidFill>
                </w14:textFill>
              </w:rPr>
              <w:t>其他未列明行业。从业人员300人以下的为中小微型企业。其中，从业人员100人及以上的为中型企业；从业人员10人及以上的为小型企业；从业人员10人以下的为微型企业。</w:t>
            </w:r>
          </w:p>
        </w:tc>
      </w:tr>
      <w:tr w14:paraId="67EA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restart"/>
            <w:vAlign w:val="center"/>
          </w:tcPr>
          <w:p w14:paraId="5A4C8D0A">
            <w:pPr>
              <w:jc w:val="center"/>
              <w:rPr>
                <w:rFonts w:hint="default" w:ascii="宋体" w:hAnsi="宋体" w:eastAsia="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24</w:t>
            </w:r>
          </w:p>
        </w:tc>
        <w:tc>
          <w:tcPr>
            <w:tcW w:w="1537" w:type="dxa"/>
            <w:vMerge w:val="restart"/>
            <w:shd w:val="clear" w:color="auto" w:fill="auto"/>
            <w:vAlign w:val="center"/>
          </w:tcPr>
          <w:p w14:paraId="6DB80516">
            <w:pPr>
              <w:jc w:val="center"/>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宋体"/>
                <w:color w:val="auto"/>
                <w:sz w:val="24"/>
                <w:szCs w:val="24"/>
                <w:highlight w:val="none"/>
              </w:rPr>
              <w:t>需要补充的其他内容</w:t>
            </w:r>
          </w:p>
        </w:tc>
        <w:tc>
          <w:tcPr>
            <w:tcW w:w="7662" w:type="dxa"/>
            <w:shd w:val="clear" w:color="auto" w:fill="auto"/>
            <w:vAlign w:val="center"/>
          </w:tcPr>
          <w:p w14:paraId="71D98FE5">
            <w:pPr>
              <w:spacing w:line="360" w:lineRule="auto"/>
              <w:jc w:val="left"/>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rPr>
              <w:t>在开标截止时间后，采购人/采购代理机构将通过信用中国、中国政府采购网查询各供应商的信誉情况，对列入失信被执行人、重大税收违法失信主体、政府采购严重违法失信行为记录名单及其他不符合《中华人民共和国政府采购法》第二十二条规定条件的供应商，其投标文件将被拒绝。</w:t>
            </w:r>
          </w:p>
        </w:tc>
      </w:tr>
      <w:tr w14:paraId="3268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738CDCF7">
            <w:pPr>
              <w:jc w:val="center"/>
              <w:rPr>
                <w:rFonts w:ascii="宋体" w:hAnsi="宋体" w:cs="Times New Roman"/>
                <w:color w:val="000000"/>
                <w:sz w:val="24"/>
                <w:szCs w:val="24"/>
                <w:highlight w:val="none"/>
              </w:rPr>
            </w:pPr>
          </w:p>
        </w:tc>
        <w:tc>
          <w:tcPr>
            <w:tcW w:w="1537" w:type="dxa"/>
            <w:vMerge w:val="continue"/>
            <w:vAlign w:val="center"/>
          </w:tcPr>
          <w:p w14:paraId="08888471">
            <w:pPr>
              <w:jc w:val="center"/>
              <w:rPr>
                <w:rFonts w:ascii="宋体" w:hAnsi="宋体" w:cs="Times New Roman"/>
                <w:color w:val="000000"/>
                <w:sz w:val="24"/>
                <w:szCs w:val="24"/>
                <w:highlight w:val="none"/>
              </w:rPr>
            </w:pPr>
          </w:p>
        </w:tc>
        <w:tc>
          <w:tcPr>
            <w:tcW w:w="7662" w:type="dxa"/>
            <w:vAlign w:val="center"/>
          </w:tcPr>
          <w:p w14:paraId="04747FBB">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异常低价情形认定</w:t>
            </w:r>
          </w:p>
          <w:p w14:paraId="6D005AE0">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投标（响应）供应商出现下列情形之一的，评审委员会将启动异常低价审查程序：</w:t>
            </w:r>
          </w:p>
          <w:p w14:paraId="1EB7F1A2">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①投标（响应）报价低于全部通过符合性审查供应商报价平均值的 50%；</w:t>
            </w:r>
          </w:p>
          <w:p w14:paraId="5A12E0D7">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②投标（响应）报价低于通过符合性审查次低报价的 50%；</w:t>
            </w:r>
          </w:p>
          <w:p w14:paraId="41CB0112">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③投标（响应）报价低于本项目最高限价的 45%；</w:t>
            </w:r>
          </w:p>
          <w:p w14:paraId="1288A9C8">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④评审委员会基于专业判断，认为报价过低可能影响项目履约质量、不能满足采购需求或无法诚信履约的其他情形。</w:t>
            </w:r>
          </w:p>
          <w:p w14:paraId="734D570F">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4.审查要求及处理</w:t>
            </w:r>
          </w:p>
          <w:p w14:paraId="514479BF">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rPr>
              <w:t>被启动审查的供应商，须在合理时间内（不少于 30 分钟），就报价合理性提交书面说明，并提供项目成本测算明细、原材料采购意向协议、人工成本核算依据等可核验的证明材料。</w:t>
            </w:r>
          </w:p>
          <w:p w14:paraId="249FC650">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供应商未按要求提交说明及证明材料，或提交的材料无法有效证明报价合理性的，评审委员会将其投标（响应）作无效处理。</w:t>
            </w:r>
          </w:p>
        </w:tc>
      </w:tr>
      <w:tr w14:paraId="149E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vAlign w:val="center"/>
          </w:tcPr>
          <w:p w14:paraId="528DD17F">
            <w:pPr>
              <w:jc w:val="center"/>
              <w:rPr>
                <w:rFonts w:ascii="宋体" w:hAnsi="宋体" w:cs="Times New Roman"/>
                <w:color w:val="000000"/>
                <w:sz w:val="24"/>
                <w:szCs w:val="24"/>
                <w:highlight w:val="none"/>
              </w:rPr>
            </w:pPr>
          </w:p>
        </w:tc>
        <w:tc>
          <w:tcPr>
            <w:tcW w:w="1537" w:type="dxa"/>
            <w:vMerge w:val="continue"/>
            <w:vAlign w:val="center"/>
          </w:tcPr>
          <w:p w14:paraId="789A2D49">
            <w:pPr>
              <w:jc w:val="center"/>
              <w:rPr>
                <w:rFonts w:ascii="宋体" w:hAnsi="宋体" w:cs="Times New Roman"/>
                <w:color w:val="000000"/>
                <w:sz w:val="24"/>
                <w:szCs w:val="24"/>
                <w:highlight w:val="none"/>
              </w:rPr>
            </w:pPr>
          </w:p>
        </w:tc>
        <w:tc>
          <w:tcPr>
            <w:tcW w:w="7662" w:type="dxa"/>
            <w:vAlign w:val="center"/>
          </w:tcPr>
          <w:p w14:paraId="646AB61E">
            <w:pPr>
              <w:pStyle w:val="237"/>
              <w:numPr>
                <w:ilvl w:val="0"/>
                <w:numId w:val="0"/>
              </w:numPr>
              <w:spacing w:line="240" w:lineRule="auto"/>
              <w:ind w:left="0" w:leftChars="0" w:firstLine="0" w:firstLineChars="0"/>
              <w:rPr>
                <w:rFonts w:hint="eastAsia" w:cs="宋体"/>
                <w:b/>
                <w:bCs/>
                <w:color w:val="auto"/>
                <w:kern w:val="2"/>
                <w:sz w:val="24"/>
                <w:szCs w:val="24"/>
                <w:highlight w:val="none"/>
                <w:lang w:val="en-US" w:eastAsia="zh-CN"/>
              </w:rPr>
            </w:pPr>
            <w:r>
              <w:rPr>
                <w:rFonts w:hint="eastAsia" w:cs="宋体"/>
                <w:b/>
                <w:bCs/>
                <w:color w:val="auto"/>
                <w:kern w:val="2"/>
                <w:sz w:val="24"/>
                <w:szCs w:val="24"/>
                <w:highlight w:val="none"/>
                <w:lang w:val="en-US" w:eastAsia="zh-CN"/>
              </w:rPr>
              <w:t>注意事项：</w:t>
            </w:r>
          </w:p>
          <w:p w14:paraId="6ED62F40">
            <w:pPr>
              <w:pStyle w:val="237"/>
              <w:numPr>
                <w:ilvl w:val="0"/>
                <w:numId w:val="0"/>
              </w:numPr>
              <w:spacing w:line="240" w:lineRule="auto"/>
              <w:ind w:left="0" w:leftChars="0" w:firstLine="0" w:firstLineChars="0"/>
              <w:rPr>
                <w:rFonts w:hint="eastAsia" w:cs="宋体"/>
                <w:b/>
                <w:bCs/>
                <w:color w:val="auto"/>
                <w:kern w:val="2"/>
                <w:sz w:val="24"/>
                <w:szCs w:val="24"/>
                <w:highlight w:val="none"/>
                <w:lang w:val="en-US" w:eastAsia="zh-CN"/>
              </w:rPr>
            </w:pPr>
            <w:r>
              <w:rPr>
                <w:rFonts w:hint="eastAsia" w:cs="宋体"/>
                <w:b/>
                <w:bCs/>
                <w:color w:val="auto"/>
                <w:kern w:val="2"/>
                <w:sz w:val="24"/>
                <w:szCs w:val="24"/>
                <w:highlight w:val="none"/>
                <w:lang w:val="en-US" w:eastAsia="zh-CN"/>
              </w:rPr>
              <w:t>电子标书加盖印章的两种方式:一种为电子章；另一种为纸质版盖章后扫描，两种方式的任意一种在评审时均予认可。</w:t>
            </w:r>
          </w:p>
          <w:p w14:paraId="77C848E0">
            <w:pPr>
              <w:spacing w:line="360" w:lineRule="auto"/>
              <w:jc w:val="left"/>
              <w:rPr>
                <w:rFonts w:hint="eastAsia" w:ascii="宋体" w:hAnsi="宋体" w:cs="Times New Roman"/>
                <w:color w:val="000000"/>
                <w:sz w:val="24"/>
                <w:szCs w:val="24"/>
                <w:highlight w:val="none"/>
              </w:rPr>
            </w:pPr>
            <w:r>
              <w:rPr>
                <w:rFonts w:hint="eastAsia" w:cs="宋体"/>
                <w:b/>
                <w:bCs/>
                <w:color w:val="auto"/>
                <w:kern w:val="2"/>
                <w:sz w:val="24"/>
                <w:szCs w:val="24"/>
                <w:highlight w:val="none"/>
                <w:lang w:val="en-US" w:eastAsia="zh-CN"/>
              </w:rPr>
              <w:t>供应商在上传电子响应文件时，需在“商务技术响应文件”中按响应文件格式要求上传完整的响应文件（从封面开始至最后一页）。</w:t>
            </w:r>
          </w:p>
        </w:tc>
      </w:tr>
    </w:tbl>
    <w:p w14:paraId="226C94D5">
      <w:pPr>
        <w:spacing w:line="360" w:lineRule="auto"/>
        <w:jc w:val="center"/>
        <w:outlineLvl w:val="0"/>
        <w:rPr>
          <w:rFonts w:ascii="宋体" w:hAnsi="宋体" w:cs="Times New Roman"/>
          <w:color w:val="000000"/>
          <w:kern w:val="0"/>
          <w:sz w:val="24"/>
          <w:szCs w:val="24"/>
          <w:highlight w:val="none"/>
        </w:rPr>
      </w:pPr>
      <w:r>
        <w:rPr>
          <w:rFonts w:ascii="宋体" w:hAnsi="宋体" w:cs="Times New Roman"/>
          <w:color w:val="000000"/>
          <w:kern w:val="0"/>
          <w:sz w:val="20"/>
          <w:szCs w:val="21"/>
          <w:highlight w:val="none"/>
        </w:rPr>
        <w:br w:type="page"/>
      </w:r>
      <w:bookmarkStart w:id="11" w:name="_Toc17863"/>
      <w:r>
        <w:rPr>
          <w:rFonts w:hint="eastAsia" w:ascii="宋体" w:hAnsi="宋体" w:cs="Times New Roman"/>
          <w:color w:val="000000"/>
          <w:kern w:val="0"/>
          <w:sz w:val="24"/>
          <w:szCs w:val="24"/>
          <w:highlight w:val="none"/>
        </w:rPr>
        <w:t>供应商须知正文</w:t>
      </w:r>
      <w:bookmarkEnd w:id="11"/>
    </w:p>
    <w:p w14:paraId="7341A4BF">
      <w:pPr>
        <w:spacing w:line="360" w:lineRule="auto"/>
        <w:outlineLvl w:val="0"/>
        <w:rPr>
          <w:rFonts w:ascii="宋体" w:hAnsi="宋体" w:cs="Times New Roman"/>
          <w:b/>
          <w:bCs/>
          <w:color w:val="000000"/>
          <w:kern w:val="0"/>
          <w:sz w:val="24"/>
          <w:szCs w:val="24"/>
          <w:highlight w:val="none"/>
        </w:rPr>
      </w:pPr>
      <w:bookmarkStart w:id="12" w:name="_Toc21339"/>
      <w:r>
        <w:rPr>
          <w:rFonts w:hint="eastAsia" w:ascii="宋体" w:hAnsi="宋体" w:cs="Times New Roman"/>
          <w:b/>
          <w:bCs/>
          <w:color w:val="000000"/>
          <w:kern w:val="0"/>
          <w:sz w:val="24"/>
          <w:szCs w:val="24"/>
          <w:highlight w:val="none"/>
        </w:rPr>
        <w:t>一、总则</w:t>
      </w:r>
      <w:bookmarkEnd w:id="12"/>
    </w:p>
    <w:p w14:paraId="21DF8FC2">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定义</w:t>
      </w:r>
    </w:p>
    <w:p w14:paraId="1F0A5B12">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1.1</w:t>
      </w:r>
      <w:r>
        <w:rPr>
          <w:rFonts w:hint="eastAsia" w:ascii="宋体" w:hAnsi="宋体" w:cs="Times New Roman"/>
          <w:color w:val="000000"/>
          <w:kern w:val="0"/>
          <w:sz w:val="24"/>
          <w:szCs w:val="24"/>
          <w:highlight w:val="none"/>
        </w:rPr>
        <w:t>　“采购人”是指依法进行政府采购的国家机关、事业单位、团体组织。本次政府采购的采购人名称、地址、电话、联系人见供应商须知前附表。</w:t>
      </w:r>
    </w:p>
    <w:p w14:paraId="78E2130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1.2</w:t>
      </w:r>
      <w:r>
        <w:rPr>
          <w:rFonts w:hint="eastAsia" w:ascii="宋体" w:hAnsi="宋体" w:cs="Times New Roman"/>
          <w:color w:val="000000"/>
          <w:kern w:val="0"/>
          <w:sz w:val="24"/>
          <w:szCs w:val="24"/>
          <w:highlight w:val="none"/>
        </w:rPr>
        <w:t>　“采购代理机构”是指集中采购机构和集中采购机构以外的采购代理机构。本次政府采购的采购代理机构名称、地址、电话、联系人见供应商须知前附表。</w:t>
      </w:r>
    </w:p>
    <w:p w14:paraId="6EFC3338">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1.3</w:t>
      </w:r>
      <w:r>
        <w:rPr>
          <w:rFonts w:hint="eastAsia" w:ascii="宋体" w:hAnsi="宋体" w:cs="Times New Roman"/>
          <w:color w:val="000000"/>
          <w:kern w:val="0"/>
          <w:sz w:val="24"/>
          <w:szCs w:val="24"/>
          <w:highlight w:val="none"/>
        </w:rPr>
        <w:t>　“供应商”是响应招标文件并且符合招标文件规定资格条件和参加投标竞争的法人、其他组织或者自然人。</w:t>
      </w:r>
    </w:p>
    <w:p w14:paraId="7C65202D">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4　“评标委员会”是依据《政府采购货物和服务招标投标管理办法》有关规定组建，依法履行评审采购活动职责的评审成员。</w:t>
      </w:r>
    </w:p>
    <w:p w14:paraId="7DC8B7E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5　“货物”是指各种形态和种类的物品，包括原材料、燃料、设备、产品等。</w:t>
      </w:r>
    </w:p>
    <w:p w14:paraId="2FEA512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采购项目预算</w:t>
      </w:r>
    </w:p>
    <w:p w14:paraId="1285AFB1">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2.1</w:t>
      </w:r>
      <w:r>
        <w:rPr>
          <w:rFonts w:hint="eastAsia" w:ascii="宋体" w:hAnsi="宋体" w:cs="Times New Roman"/>
          <w:color w:val="000000"/>
          <w:kern w:val="0"/>
          <w:sz w:val="24"/>
          <w:szCs w:val="24"/>
          <w:highlight w:val="none"/>
        </w:rPr>
        <w:t>　预算金额见供应商须知前附表。</w:t>
      </w:r>
    </w:p>
    <w:p w14:paraId="38509BA7">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供应商的资格要求：见供应商须知前附表。</w:t>
      </w:r>
    </w:p>
    <w:p w14:paraId="2D3ECA37">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　供应商应自行承担所有参与投标的相关费用，不论投标的结果如何，采购人或者采购代理机构均无义务和责任承担这些费用。</w:t>
      </w:r>
    </w:p>
    <w:p w14:paraId="5B879BD3">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授权委托</w:t>
      </w:r>
    </w:p>
    <w:p w14:paraId="40EADD10">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供应商代表不是供应商的法定代表人的，应当持有法定代表人的授权委托书，同时提供供应商代表身份证明。</w:t>
      </w:r>
    </w:p>
    <w:p w14:paraId="7D5354D8">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6.</w:t>
      </w:r>
      <w:r>
        <w:rPr>
          <w:rFonts w:hint="eastAsia" w:ascii="宋体" w:hAnsi="宋体" w:cs="Times New Roman"/>
          <w:color w:val="000000"/>
          <w:kern w:val="0"/>
          <w:sz w:val="24"/>
          <w:szCs w:val="24"/>
          <w:highlight w:val="none"/>
        </w:rPr>
        <w:t>联合体投标</w:t>
      </w:r>
    </w:p>
    <w:p w14:paraId="13D0236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6.1</w:t>
      </w:r>
      <w:r>
        <w:rPr>
          <w:rFonts w:hint="eastAsia" w:ascii="宋体" w:hAnsi="宋体" w:cs="Times New Roman"/>
          <w:color w:val="000000"/>
          <w:kern w:val="0"/>
          <w:sz w:val="24"/>
          <w:szCs w:val="24"/>
          <w:highlight w:val="none"/>
        </w:rPr>
        <w:t>　本项目是否接受联合体形式参与详见供应商须知前附表。</w:t>
      </w:r>
    </w:p>
    <w:p w14:paraId="48189C47">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7.</w:t>
      </w:r>
      <w:r>
        <w:rPr>
          <w:rFonts w:hint="eastAsia" w:ascii="宋体" w:hAnsi="宋体" w:cs="Times New Roman"/>
          <w:color w:val="000000"/>
          <w:kern w:val="0"/>
          <w:sz w:val="24"/>
          <w:szCs w:val="24"/>
          <w:highlight w:val="none"/>
        </w:rPr>
        <w:t>项目现场考察</w:t>
      </w:r>
    </w:p>
    <w:p w14:paraId="137BA648">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7.1</w:t>
      </w:r>
      <w:r>
        <w:rPr>
          <w:rFonts w:hint="eastAsia" w:ascii="宋体" w:hAnsi="宋体" w:cs="Times New Roman"/>
          <w:color w:val="000000"/>
          <w:kern w:val="0"/>
          <w:sz w:val="24"/>
          <w:szCs w:val="24"/>
          <w:highlight w:val="none"/>
        </w:rPr>
        <w:t>　本项目是否组织现场考察详见供应商须知前附表。</w:t>
      </w:r>
    </w:p>
    <w:p w14:paraId="05B0318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7.2</w:t>
      </w:r>
      <w:r>
        <w:rPr>
          <w:rFonts w:hint="eastAsia" w:ascii="宋体" w:hAnsi="宋体" w:cs="Times New Roman"/>
          <w:color w:val="000000"/>
          <w:kern w:val="0"/>
          <w:sz w:val="24"/>
          <w:szCs w:val="24"/>
          <w:highlight w:val="none"/>
        </w:rPr>
        <w:t>　供应商应按供应商须知前附表中规定的时间及地点，对采购项目现场和周围环境进行考察。供应商未在指定时间进行考察的，采购人不再另行组织。</w:t>
      </w:r>
    </w:p>
    <w:p w14:paraId="7BC40742">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7.3</w:t>
      </w:r>
      <w:r>
        <w:rPr>
          <w:rFonts w:hint="eastAsia" w:ascii="宋体" w:hAnsi="宋体" w:cs="Times New Roman"/>
          <w:color w:val="000000"/>
          <w:kern w:val="0"/>
          <w:sz w:val="24"/>
          <w:szCs w:val="24"/>
          <w:highlight w:val="none"/>
        </w:rPr>
        <w:t>　考察现场的费用由供应商自己承担，考察期间所发生的人身伤害及财产损失由供应商自己负责。</w:t>
      </w:r>
    </w:p>
    <w:p w14:paraId="177CAA9C">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8.　采购人不对供应商据此而做出的推论、理解和结论负责。一旦中标，供应商不得以任何借口，提出额外补偿，或延长合同期限的要求。</w:t>
      </w:r>
    </w:p>
    <w:p w14:paraId="5D17B418">
      <w:pPr>
        <w:spacing w:line="360" w:lineRule="auto"/>
        <w:outlineLvl w:val="0"/>
        <w:rPr>
          <w:rFonts w:ascii="宋体" w:hAnsi="宋体" w:cs="Times New Roman"/>
          <w:b/>
          <w:bCs/>
          <w:color w:val="000000"/>
          <w:kern w:val="0"/>
          <w:sz w:val="24"/>
          <w:szCs w:val="24"/>
          <w:highlight w:val="none"/>
        </w:rPr>
      </w:pPr>
      <w:bookmarkStart w:id="13" w:name="_Toc18295"/>
      <w:r>
        <w:rPr>
          <w:rFonts w:hint="eastAsia" w:ascii="宋体" w:hAnsi="宋体" w:cs="Times New Roman"/>
          <w:b/>
          <w:bCs/>
          <w:color w:val="000000"/>
          <w:kern w:val="0"/>
          <w:sz w:val="24"/>
          <w:szCs w:val="24"/>
          <w:highlight w:val="none"/>
        </w:rPr>
        <w:t>二、招标文件</w:t>
      </w:r>
      <w:bookmarkEnd w:id="13"/>
    </w:p>
    <w:p w14:paraId="5B82DDB2">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9</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招标文件的构成</w:t>
      </w:r>
    </w:p>
    <w:p w14:paraId="351224B3">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9</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招标文件各章节的内容如下：</w:t>
      </w:r>
    </w:p>
    <w:p w14:paraId="368D5FCA">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第一章　招标公告</w:t>
      </w:r>
    </w:p>
    <w:p w14:paraId="5A564079">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第二章　供应商须知</w:t>
      </w:r>
    </w:p>
    <w:p w14:paraId="354C690A">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第三章　评标方法及标准</w:t>
      </w:r>
    </w:p>
    <w:p w14:paraId="40851AD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第四章　拟签订的合同文本</w:t>
      </w:r>
    </w:p>
    <w:p w14:paraId="226C31F5">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第五章　投标文件格式</w:t>
      </w:r>
    </w:p>
    <w:p w14:paraId="47A75DAF">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第六章　项目需求</w:t>
      </w:r>
    </w:p>
    <w:p w14:paraId="4637A8BD">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9</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供应商应仔细阅读招标文件的全部内容，按照招标文件要求编制投标文件。任何对招标文件的忽略或误解不能作为投标文件存在缺陷或瑕疵的理由，其风险由供应商承担。供应商对招标文件有疑问的请以书面形式向采购人、采购代理机构提出,提出后，请供应商及时通过政采云平台查看答疑文件或澄清文件。供应商应注意及时政采云发布的澄清或修改通知并下载，因供应商原因未及时获知澄清、修改或补充内容而导致的任何后果将由供应商自行承担。</w:t>
      </w:r>
    </w:p>
    <w:p w14:paraId="5DF15817">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0</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招标文件的澄清与修改</w:t>
      </w:r>
    </w:p>
    <w:p w14:paraId="230F0F09">
      <w:pPr>
        <w:spacing w:line="500" w:lineRule="exact"/>
        <w:rPr>
          <w:rFonts w:ascii="宋体" w:hAnsi="宋体" w:cs="Times New Roman"/>
          <w:color w:val="000000"/>
          <w:sz w:val="24"/>
          <w:szCs w:val="24"/>
          <w:highlight w:val="none"/>
        </w:rPr>
      </w:pPr>
      <w:r>
        <w:rPr>
          <w:rFonts w:ascii="宋体" w:hAnsi="宋体" w:cs="Times New Roman"/>
          <w:color w:val="000000"/>
          <w:sz w:val="24"/>
          <w:szCs w:val="24"/>
          <w:highlight w:val="none"/>
        </w:rPr>
        <w:t>1</w:t>
      </w:r>
      <w:r>
        <w:rPr>
          <w:rFonts w:hint="eastAsia" w:ascii="宋体" w:hAnsi="宋体" w:cs="Times New Roman"/>
          <w:color w:val="000000"/>
          <w:sz w:val="24"/>
          <w:szCs w:val="24"/>
          <w:highlight w:val="none"/>
        </w:rPr>
        <w:t>0</w:t>
      </w:r>
      <w:r>
        <w:rPr>
          <w:rFonts w:ascii="宋体" w:hAnsi="宋体" w:cs="Times New Roman"/>
          <w:color w:val="000000"/>
          <w:sz w:val="24"/>
          <w:szCs w:val="24"/>
          <w:highlight w:val="none"/>
        </w:rPr>
        <w:t>.1</w:t>
      </w:r>
      <w:r>
        <w:rPr>
          <w:rFonts w:hint="eastAsia" w:ascii="宋体" w:hAnsi="宋体" w:cs="Times New Roman"/>
          <w:color w:val="000000"/>
          <w:sz w:val="24"/>
          <w:szCs w:val="24"/>
          <w:highlight w:val="none"/>
        </w:rPr>
        <w:t>　供应商应仔细阅读和检查招标文件的全部内容。供应商若对招标文件有任何疑问，应按照招标文件第二章“供应商须知前附表”第20项规定向采购代理机构提出。提出后，请供应商及时通过政采云平台查看答疑文件或澄清文件。必要时，采购代理机构将组织相关专家召开答疑会，如召开，答疑会安排另行通知。并在政采云平台发布更正公告。</w:t>
      </w:r>
    </w:p>
    <w:p w14:paraId="21F83C0B">
      <w:pPr>
        <w:spacing w:line="500" w:lineRule="exact"/>
        <w:ind w:firstLine="484" w:firstLineChars="202"/>
        <w:rPr>
          <w:rFonts w:ascii="宋体" w:hAnsi="宋体" w:cs="Times New Roman"/>
          <w:color w:val="000000"/>
          <w:sz w:val="24"/>
          <w:szCs w:val="24"/>
          <w:highlight w:val="none"/>
        </w:rPr>
      </w:pPr>
      <w:r>
        <w:rPr>
          <w:rFonts w:hint="eastAsia" w:ascii="宋体" w:hAnsi="宋体" w:cs="Times New Roman"/>
          <w:color w:val="000000"/>
          <w:sz w:val="24"/>
          <w:szCs w:val="24"/>
          <w:highlight w:val="none"/>
        </w:rPr>
        <w:t>供应商在规定的时间内未对招标文件提出疑问或要求澄清的，采购代理机构将视其为同意，对在“答疑接受时间”后就招标文件内容提出的疑问及澄清要求将不予受理。</w:t>
      </w:r>
    </w:p>
    <w:p w14:paraId="798FFF8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0</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如果澄清或者修改时间距本章供应商须知前附表规定的投标截止时间不足</w:t>
      </w:r>
      <w:r>
        <w:rPr>
          <w:rFonts w:ascii="宋体" w:hAnsi="宋体" w:cs="Times New Roman"/>
          <w:color w:val="000000"/>
          <w:kern w:val="0"/>
          <w:sz w:val="24"/>
          <w:szCs w:val="24"/>
          <w:highlight w:val="none"/>
        </w:rPr>
        <w:t>15</w:t>
      </w:r>
      <w:r>
        <w:rPr>
          <w:rFonts w:hint="eastAsia" w:ascii="宋体" w:hAnsi="宋体" w:cs="Times New Roman"/>
          <w:color w:val="000000"/>
          <w:kern w:val="0"/>
          <w:sz w:val="24"/>
          <w:szCs w:val="24"/>
          <w:highlight w:val="none"/>
        </w:rPr>
        <w:t>日，将相应顺延提交投标文件的截止时间，澄清或者修改时间具体见供应商须知前附表。</w:t>
      </w:r>
    </w:p>
    <w:p w14:paraId="649F86F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0</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澄清或者修改内容为招标文件的组成部分，对所有领取了招标文件的潜在供应商均具有约束力。</w:t>
      </w:r>
    </w:p>
    <w:p w14:paraId="60BB8B12">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10.4  供应商应注意及时政采云发布的澄清或修改通知并下载，因供应商原因未及时获知澄清、修改或补充内容而导致的任何后果将由供应商自行承担。</w:t>
      </w:r>
    </w:p>
    <w:p w14:paraId="25B018F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1</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偏离</w:t>
      </w:r>
    </w:p>
    <w:p w14:paraId="3549B6A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1</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本条所称偏离为投标文件对招标文件的偏离，即不满足或不响应招标文件的要求。</w:t>
      </w:r>
    </w:p>
    <w:p w14:paraId="42356082">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1</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除法律法规和规章规定外，招标文件中用“拒绝”“不接受”“无效”“不得”“必须”“应当”等文字规定或标注“★”符号的条款为实质性要求条款</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即重要条款</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，对其中任何一条的偏离，在评标时将其视为无效投标。</w:t>
      </w:r>
    </w:p>
    <w:p w14:paraId="0E4B738B">
      <w:pPr>
        <w:spacing w:line="360" w:lineRule="auto"/>
        <w:outlineLvl w:val="0"/>
        <w:rPr>
          <w:rFonts w:ascii="宋体" w:hAnsi="宋体" w:cs="Times New Roman"/>
          <w:b/>
          <w:bCs/>
          <w:color w:val="000000"/>
          <w:kern w:val="0"/>
          <w:sz w:val="24"/>
          <w:szCs w:val="24"/>
          <w:highlight w:val="none"/>
        </w:rPr>
      </w:pPr>
      <w:bookmarkStart w:id="14" w:name="_Toc31880"/>
      <w:r>
        <w:rPr>
          <w:rFonts w:hint="eastAsia" w:ascii="宋体" w:hAnsi="宋体" w:cs="Times New Roman"/>
          <w:b/>
          <w:bCs/>
          <w:color w:val="000000"/>
          <w:kern w:val="0"/>
          <w:sz w:val="24"/>
          <w:szCs w:val="24"/>
          <w:highlight w:val="none"/>
        </w:rPr>
        <w:t>三、投标文件</w:t>
      </w:r>
      <w:bookmarkEnd w:id="14"/>
    </w:p>
    <w:p w14:paraId="2DBAE8E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　一般要求</w:t>
      </w:r>
    </w:p>
    <w:p w14:paraId="1E77D7A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供应商应仔细阅读招标文件的所有内容，按招标文件的要求编制投标文件，并保证所提供的全部资料的真实性，以使其投标文件对招标文件做出实质性的投标。</w:t>
      </w:r>
    </w:p>
    <w:p w14:paraId="0268A50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供应商提交的投标文件及供应商与采购人或采购代理机构、评标委员会就有关投标的所有来往函电必须使用中文。供应商可以提交其他语言的资料，但应附有中文注释，有差异时以中文为准。</w:t>
      </w:r>
    </w:p>
    <w:p w14:paraId="0838E4D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除技术要求另有规定外，本文件所要求使用的计量单位均采用国家法定的度、量、衡标准单位计量。未列明时亦默认为我国法定计量单位。</w:t>
      </w:r>
    </w:p>
    <w:p w14:paraId="069B752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　供应商应按招标文件中提供的投标文件格式填写。</w:t>
      </w:r>
    </w:p>
    <w:p w14:paraId="34AC4F48">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　投标文件应采用电子形式。</w:t>
      </w:r>
    </w:p>
    <w:p w14:paraId="05A2BF88">
      <w:pPr>
        <w:spacing w:line="500" w:lineRule="exact"/>
        <w:rPr>
          <w:rFonts w:ascii="宋体" w:hAnsi="宋体" w:cs="Times New Roman"/>
          <w:color w:val="000000"/>
          <w:kern w:val="0"/>
          <w:sz w:val="24"/>
          <w:szCs w:val="24"/>
          <w:highlight w:val="none"/>
        </w:rPr>
      </w:pPr>
      <w:r>
        <w:rPr>
          <w:rFonts w:hint="eastAsia" w:ascii="宋体" w:hAnsi="宋体" w:cs="Times New Roman"/>
          <w:color w:val="000000"/>
          <w:sz w:val="24"/>
          <w:szCs w:val="24"/>
          <w:highlight w:val="none"/>
        </w:rPr>
        <w:t>12.6</w:t>
      </w:r>
      <w:r>
        <w:rPr>
          <w:rFonts w:hint="eastAsia" w:ascii="宋体" w:hAnsi="宋体" w:cs="Times New Roman"/>
          <w:color w:val="000000"/>
          <w:kern w:val="0"/>
          <w:sz w:val="24"/>
          <w:szCs w:val="24"/>
          <w:highlight w:val="none"/>
        </w:rPr>
        <w:t>电子投标文件制作时，应按照统一的“投标文件制作工具”和招标文件中明确的投标文件目录和投标技术规格、参数及相关要求格式进行编制，保证目录清晰、内容完整。</w:t>
      </w:r>
    </w:p>
    <w:p w14:paraId="24DE6505">
      <w:pPr>
        <w:spacing w:line="500" w:lineRule="exact"/>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12.7供应商应按照供应商须知前附表要求的份数编制投标文件。</w:t>
      </w:r>
    </w:p>
    <w:p w14:paraId="3965809A">
      <w:pPr>
        <w:spacing w:line="500" w:lineRule="exact"/>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 xml:space="preserve">12.8供应商因自身原因导致电子投标文件无法导入电子评标系统的，该投标文件视为无效文件。 </w:t>
      </w:r>
    </w:p>
    <w:p w14:paraId="046DE414">
      <w:pPr>
        <w:spacing w:line="500" w:lineRule="exact"/>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 xml:space="preserve">12.9电子投标文件具有法律效力,与其他形式的投标文件在内容和格式上等同，若投标文件与招标文件要求不一致，其内容影响成交结果时，责任由供应商自行承担。 </w:t>
      </w:r>
    </w:p>
    <w:p w14:paraId="5270134E">
      <w:pPr>
        <w:spacing w:line="500" w:lineRule="exact"/>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12.10为了保证电子标书的合法性、安全性和完整性，电子投标文件应在规定区域加盖单位和法定代表人CA印章。电子投标文件若无 CA电子签章，则视为无效文件。</w:t>
      </w:r>
    </w:p>
    <w:p w14:paraId="77E286F2">
      <w:pPr>
        <w:spacing w:line="500" w:lineRule="exact"/>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12.11供应商应完整地</w:t>
      </w:r>
      <w:r>
        <w:rPr>
          <w:rFonts w:hint="eastAsia" w:ascii="宋体" w:hAnsi="宋体" w:cs="Times New Roman"/>
          <w:color w:val="000000"/>
          <w:spacing w:val="-6"/>
          <w:sz w:val="24"/>
          <w:szCs w:val="24"/>
          <w:highlight w:val="none"/>
        </w:rPr>
        <w:t>填写</w:t>
      </w:r>
      <w:r>
        <w:rPr>
          <w:rFonts w:hint="eastAsia" w:ascii="宋体" w:hAnsi="宋体" w:cs="Times New Roman"/>
          <w:color w:val="000000"/>
          <w:kern w:val="0"/>
          <w:sz w:val="24"/>
          <w:szCs w:val="24"/>
          <w:highlight w:val="none"/>
        </w:rPr>
        <w:t>招标文件中提供的《</w:t>
      </w:r>
      <w:r>
        <w:rPr>
          <w:rFonts w:hint="eastAsia" w:hAnsi="宋体" w:cs="宋体"/>
          <w:color w:val="000000"/>
          <w:sz w:val="24"/>
          <w:szCs w:val="24"/>
          <w:highlight w:val="none"/>
        </w:rPr>
        <w:t>投标函</w:t>
      </w:r>
      <w:r>
        <w:rPr>
          <w:rFonts w:hint="eastAsia" w:ascii="宋体" w:hAnsi="宋体" w:cs="Times New Roman"/>
          <w:color w:val="000000"/>
          <w:kern w:val="0"/>
          <w:sz w:val="24"/>
          <w:szCs w:val="24"/>
          <w:highlight w:val="none"/>
        </w:rPr>
        <w:t xml:space="preserve">》、《开标一览表》、《明细报价表》等招标文件中规定的所有内容。 </w:t>
      </w:r>
    </w:p>
    <w:p w14:paraId="7053E84B">
      <w:pPr>
        <w:spacing w:line="500" w:lineRule="exact"/>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 xml:space="preserve">12.12供应商必须保证供应商文件所提供的全部资料真实可靠，并接受采购单位对其中任何资料进一步核实的要求。 </w:t>
      </w:r>
    </w:p>
    <w:p w14:paraId="111DA6F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投标文件的组成</w:t>
      </w:r>
    </w:p>
    <w:p w14:paraId="1A57BA0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投标文件包括但不限于下列内容</w:t>
      </w:r>
    </w:p>
    <w:p w14:paraId="610EE8B3">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.1.1</w:t>
      </w:r>
      <w:r>
        <w:rPr>
          <w:rFonts w:hint="eastAsia" w:ascii="宋体" w:hAnsi="宋体" w:cs="Times New Roman"/>
          <w:color w:val="000000"/>
          <w:kern w:val="0"/>
          <w:sz w:val="24"/>
          <w:szCs w:val="24"/>
          <w:highlight w:val="none"/>
        </w:rPr>
        <w:t>　价格及商务部分：</w:t>
      </w:r>
    </w:p>
    <w:p w14:paraId="4F598307">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投标函</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含法定代表人身份证明书和法定代表人授权委托书</w:t>
      </w:r>
      <w:r>
        <w:rPr>
          <w:rFonts w:ascii="宋体" w:hAnsi="宋体" w:cs="Times New Roman"/>
          <w:color w:val="000000"/>
          <w:kern w:val="0"/>
          <w:sz w:val="24"/>
          <w:szCs w:val="24"/>
          <w:highlight w:val="none"/>
        </w:rPr>
        <w:t>)</w:t>
      </w:r>
    </w:p>
    <w:p w14:paraId="793FE5FD">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开标一览表</w:t>
      </w:r>
    </w:p>
    <w:p w14:paraId="2C9188D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3</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商务条款偏离表</w:t>
      </w:r>
    </w:p>
    <w:p w14:paraId="1DC7991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4</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投标保证金</w:t>
      </w:r>
    </w:p>
    <w:p w14:paraId="08CFC2E2">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投标人符合投标人资格条件的证明文件</w:t>
      </w:r>
    </w:p>
    <w:p w14:paraId="14ADEBF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6</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项目负责人简历</w:t>
      </w:r>
    </w:p>
    <w:p w14:paraId="5FA58BFD">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7</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拟配备人员</w:t>
      </w:r>
    </w:p>
    <w:p w14:paraId="1582D87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8</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供应商近年类似项目业绩</w:t>
      </w:r>
    </w:p>
    <w:p w14:paraId="6CDCE68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lang w:val="en-US" w:eastAsia="zh-CN"/>
        </w:rPr>
        <w:t>9</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中小企业声明函</w:t>
      </w:r>
    </w:p>
    <w:p w14:paraId="6D11E17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lang w:val="en-US" w:eastAsia="zh-CN"/>
        </w:rPr>
        <w:t>0</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监狱企业声明函</w:t>
      </w:r>
    </w:p>
    <w:p w14:paraId="30A14AD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lang w:val="en-US" w:eastAsia="zh-CN"/>
        </w:rPr>
        <w:t>1</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残疾人福利性单位声明函</w:t>
      </w:r>
    </w:p>
    <w:p w14:paraId="09E261AD">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.1.2</w:t>
      </w:r>
      <w:r>
        <w:rPr>
          <w:rFonts w:hint="eastAsia" w:ascii="宋体" w:hAnsi="宋体" w:cs="Times New Roman"/>
          <w:color w:val="000000"/>
          <w:kern w:val="0"/>
          <w:sz w:val="24"/>
          <w:szCs w:val="24"/>
          <w:highlight w:val="none"/>
        </w:rPr>
        <w:t>　技术部分</w:t>
      </w:r>
    </w:p>
    <w:p w14:paraId="650FD7F5">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（1）技术响应与偏离表</w:t>
      </w:r>
    </w:p>
    <w:p w14:paraId="5F61DB59">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（2）服务方案</w:t>
      </w:r>
    </w:p>
    <w:p w14:paraId="71A1FA8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（3）投标人认为需要提供的其它资料</w:t>
      </w:r>
    </w:p>
    <w:p w14:paraId="765F109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在投标过程中，供应商根据评标委员会电子形式要求提供的澄清文件是投标文件的有效组成部分。</w:t>
      </w:r>
    </w:p>
    <w:p w14:paraId="1DDB261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14.投标报价</w:t>
      </w:r>
    </w:p>
    <w:p w14:paraId="4C123410">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14.1　供应商应按招标文件规定的服务要求、责任范围和合同条件以人民币形式进行报价。投标报价应为完税价。供应商应在投标报价表中标明其提供的所有货物及其完成本项目相关工作范围内所有费用的总价，采购人不接受有任何选择性报价。供应商漏报的单价或单价中漏报、少报的费用，均视为此项费用已隐含在其他报价中，中标后不予调整。</w:t>
      </w:r>
    </w:p>
    <w:p w14:paraId="3E400EBD">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供应商必须按开标一览表和明细报价表的内容和格式要求填写各项服务的分项价格和总价。供应商在供应商须知前附表规定的投标文件截止之日前修改开标一览表中的报价的，应同时修改其明细报价表中的报价。</w:t>
      </w:r>
    </w:p>
    <w:p w14:paraId="10DFF0AF">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供应商对每种服务只允许有一个报价，不接受可变动性报价、赠送及“零”报价，否则，在评标时将其视为无效投标。</w:t>
      </w:r>
    </w:p>
    <w:p w14:paraId="43B1CAB8">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　项目有特殊要求的见供应商须知前附表。</w:t>
      </w:r>
    </w:p>
    <w:p w14:paraId="1C6CD1B7">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投标保证金</w:t>
      </w:r>
    </w:p>
    <w:p w14:paraId="43CBF96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本项目是否交纳投标保证金见供应商须知前附表。</w:t>
      </w:r>
    </w:p>
    <w:p w14:paraId="5F55366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供应商须知前附表规定交纳投标保证金的，供应商应以支票、汇票、本票或金融机构、担保机构出具的保函等非现金形式，在本章供应商须知前附表规定的投标截止时间前，向采购代理机构提交供应商须知前附表规定的投标保证金。投标保证金有效期应与本章供应商须知前附表规定的投标有效期一致。供应商未按照招标文件要求提交投标保证金的，采购人或采购代理机构应当拒绝接收供应商的投标文件或评标委员会在评标时将其视为无效投标。</w:t>
      </w:r>
    </w:p>
    <w:p w14:paraId="74ACFB4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3　未中标的供应商的投标保证金，将在中标通知书发出后</w:t>
      </w: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个工作日内退还，但因供应商自身原因导致无法及时退还的除外。</w:t>
      </w:r>
    </w:p>
    <w:p w14:paraId="3D87CF28">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16.</w:t>
      </w:r>
      <w:r>
        <w:rPr>
          <w:rFonts w:hint="eastAsia" w:ascii="宋体" w:hAnsi="宋体" w:cs="Times New Roman"/>
          <w:color w:val="000000"/>
          <w:kern w:val="0"/>
          <w:sz w:val="24"/>
          <w:szCs w:val="24"/>
          <w:highlight w:val="none"/>
        </w:rPr>
        <w:t>4　中标的供应商的投标保证金，将在政府采购合同签订后</w:t>
      </w: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个工作日内退还或者转为中标人的履约保证金。</w:t>
      </w:r>
    </w:p>
    <w:p w14:paraId="3A513D7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5　供应商有以下情形之一的，投标保证金可以不予退还：</w:t>
      </w:r>
    </w:p>
    <w:p w14:paraId="30C0030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在供应商须知前附表规定的投标有效期内撤销投标文件。</w:t>
      </w:r>
    </w:p>
    <w:p w14:paraId="1CD6A5AB">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中标后无正当理由不与采购人签订合同的。</w:t>
      </w:r>
    </w:p>
    <w:p w14:paraId="4D3F14E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投标有效期</w:t>
      </w:r>
    </w:p>
    <w:p w14:paraId="095D975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投标有效期见供应商须知前附表，在此期间投标文件对供应商具有法律约束力，以保证采购人有足够的时间完成评标、定标以及签订合同。投标有效期从供应商须知前附表规定的投标截止之日起计算。投标有效期不足的，在评标时将其视为无效投标。</w:t>
      </w:r>
    </w:p>
    <w:p w14:paraId="6DAAFB1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特殊情况需延长投标有效期的，采购人或采购代理机构可于投标有效期届满之前，要求供应商同意延长有效期，采购人或采购代理机构的要求与供应商的答复均应为书面形式。供应商拒绝延长的，其投标在原投标有效期届满后将不再有效，但有权收回其投标保证金；供应商同意延长的，应相应延长其投标保证金的有效期，但不允许修改或撤回投标文件。</w:t>
      </w:r>
    </w:p>
    <w:p w14:paraId="50A4763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7</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投标文件的签署和规定</w:t>
      </w:r>
    </w:p>
    <w:p w14:paraId="316B90B6">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7</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供应商应根据供应商须知前附表规定提交投标文件</w:t>
      </w:r>
    </w:p>
    <w:p w14:paraId="46FF349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7</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供应商应根据供应商须知前附表规定提交投标文件。为了保证电子标书的合法性、安全性和完整性，电子投标文件应在规定区域加盖单位和法定代表人CA印章。电子投标文件若无 CA电子签章，则视为无效文件。</w:t>
      </w:r>
    </w:p>
    <w:p w14:paraId="5B16252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8</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投标文件的密封和标记</w:t>
      </w:r>
    </w:p>
    <w:p w14:paraId="18CA4C15">
      <w:pPr>
        <w:spacing w:line="400" w:lineRule="exact"/>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8</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电子投标文件的内容通过数字证书进行加密并签章。未按要求加密和数字证书认证的投标文件，电子评标系统将无法接受,采购单位不予受理。</w:t>
      </w:r>
    </w:p>
    <w:p w14:paraId="0DEDE705">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19</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投标文件的递交</w:t>
      </w:r>
    </w:p>
    <w:p w14:paraId="289852B7">
      <w:pPr>
        <w:spacing w:line="360" w:lineRule="auto"/>
        <w:rPr>
          <w:rFonts w:ascii="宋体" w:hAnsi="宋体" w:cs="Times New Roman"/>
          <w:color w:val="000000"/>
          <w:kern w:val="0"/>
          <w:sz w:val="24"/>
          <w:szCs w:val="24"/>
          <w:highlight w:val="none"/>
        </w:rPr>
      </w:pPr>
      <w:r>
        <w:rPr>
          <w:rFonts w:hint="eastAsia" w:ascii="宋体" w:hAnsi="宋体"/>
          <w:color w:val="000000"/>
          <w:kern w:val="0"/>
          <w:sz w:val="24"/>
          <w:szCs w:val="24"/>
          <w:highlight w:val="none"/>
        </w:rPr>
        <w:t>本项目采用不见面开标、供应商需要递交电子投标文件，加密的电子投标文件，在投标截止时间前通过政采云平台上传到指定位置。无需递交纸质文件。</w:t>
      </w:r>
    </w:p>
    <w:p w14:paraId="4B7DE276">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0</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投标文件的修改和撤回</w:t>
      </w:r>
    </w:p>
    <w:p w14:paraId="403F9E6A">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20.1　在供应商须知前附表规定的投标截止时间前，供应商可以自行在政采云平台上修改、补充或撤回已递交的投标文件。</w:t>
      </w:r>
    </w:p>
    <w:p w14:paraId="09F95D3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20.2　修改、补充的内容为投标文件的组成部分。</w:t>
      </w:r>
    </w:p>
    <w:p w14:paraId="1FC76F84">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20.3　供应商在投标有效期内不得修改、撤销其投标文件。</w:t>
      </w:r>
    </w:p>
    <w:p w14:paraId="66E9C6B1">
      <w:pPr>
        <w:spacing w:line="360" w:lineRule="auto"/>
        <w:outlineLvl w:val="0"/>
        <w:rPr>
          <w:rFonts w:ascii="宋体" w:hAnsi="宋体" w:cs="Times New Roman"/>
          <w:b/>
          <w:bCs/>
          <w:color w:val="000000"/>
          <w:kern w:val="0"/>
          <w:sz w:val="24"/>
          <w:szCs w:val="24"/>
          <w:highlight w:val="none"/>
        </w:rPr>
      </w:pPr>
      <w:bookmarkStart w:id="15" w:name="_Toc12631"/>
      <w:r>
        <w:rPr>
          <w:rFonts w:hint="eastAsia" w:ascii="宋体" w:hAnsi="宋体" w:cs="Times New Roman"/>
          <w:b/>
          <w:bCs/>
          <w:color w:val="000000"/>
          <w:kern w:val="0"/>
          <w:sz w:val="24"/>
          <w:szCs w:val="24"/>
          <w:highlight w:val="none"/>
        </w:rPr>
        <w:t>四、开标和评标</w:t>
      </w:r>
      <w:bookmarkEnd w:id="15"/>
    </w:p>
    <w:p w14:paraId="32F27FB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1</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开标</w:t>
      </w:r>
    </w:p>
    <w:p w14:paraId="5E0430F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1</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采购人或采购代理机构在供应商须知前附表规定的开标时间和开标地点组织公开开标，邀请供应商参加。评标委员会成员不得参加开标活动。供应商不足</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家的，不得开标。</w:t>
      </w:r>
    </w:p>
    <w:p w14:paraId="451886D7">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资格审查</w:t>
      </w:r>
    </w:p>
    <w:p w14:paraId="1901737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公开招标采购项目开标结束后，采购人或者采购代理机构应当依法对供应商的资格进行审查。合格供应商不足</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家的，不得评标。</w:t>
      </w:r>
    </w:p>
    <w:p w14:paraId="7E55AD1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评审小组</w:t>
      </w:r>
    </w:p>
    <w:p w14:paraId="052B9C0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23.1评审由依法组建的评审小组负责，评审小组由采购人代表和评审专家组成。</w:t>
      </w:r>
      <w:r>
        <w:rPr>
          <w:rFonts w:hint="eastAsia" w:ascii="宋体" w:hAnsi="宋体" w:cs="宋体"/>
          <w:color w:val="000000"/>
          <w:kern w:val="0"/>
          <w:sz w:val="24"/>
          <w:szCs w:val="24"/>
          <w:highlight w:val="none"/>
        </w:rPr>
        <w:t>政府采购评审专家是在</w:t>
      </w:r>
      <w:r>
        <w:rPr>
          <w:rFonts w:hint="eastAsia" w:ascii="宋体" w:hAnsi="宋体" w:cs="宋体"/>
          <w:color w:val="000000"/>
          <w:kern w:val="0"/>
          <w:sz w:val="24"/>
          <w:szCs w:val="24"/>
          <w:highlight w:val="none"/>
          <w:u w:val="single"/>
        </w:rPr>
        <w:t>新疆政采云平台</w:t>
      </w:r>
      <w:r>
        <w:rPr>
          <w:rFonts w:hint="eastAsia" w:ascii="宋体" w:hAnsi="宋体" w:cs="宋体"/>
          <w:color w:val="000000"/>
          <w:kern w:val="0"/>
          <w:sz w:val="24"/>
          <w:szCs w:val="24"/>
          <w:highlight w:val="none"/>
        </w:rPr>
        <w:t>专家库中随机抽取产生。</w:t>
      </w:r>
    </w:p>
    <w:p w14:paraId="22C13F4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评标方法和标准</w:t>
      </w:r>
    </w:p>
    <w:p w14:paraId="4D87E9C2">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本项目评标方法和标准见招标文件第三章。</w:t>
      </w:r>
    </w:p>
    <w:p w14:paraId="47B59A0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评标程序</w:t>
      </w:r>
    </w:p>
    <w:p w14:paraId="217044DD">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投标文件的符合性审查。</w:t>
      </w:r>
    </w:p>
    <w:p w14:paraId="0DE6D2DB">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.1.1</w:t>
      </w:r>
      <w:r>
        <w:rPr>
          <w:rFonts w:hint="eastAsia" w:ascii="宋体" w:hAnsi="宋体" w:cs="Times New Roman"/>
          <w:color w:val="000000"/>
          <w:kern w:val="0"/>
          <w:sz w:val="24"/>
          <w:szCs w:val="24"/>
          <w:highlight w:val="none"/>
        </w:rPr>
        <w:t>评审小组应当对符合资格的供应商的投标文件进行符合性审查，以确定其是否满足招标文件的实质性要求。</w:t>
      </w:r>
    </w:p>
    <w:p w14:paraId="72F0503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.1.2</w:t>
      </w:r>
      <w:r>
        <w:rPr>
          <w:rFonts w:hint="eastAsia" w:ascii="宋体" w:hAnsi="宋体" w:cs="Times New Roman"/>
          <w:color w:val="000000"/>
          <w:kern w:val="0"/>
          <w:sz w:val="24"/>
          <w:szCs w:val="24"/>
          <w:highlight w:val="none"/>
        </w:rPr>
        <w:t>　有下列情形之一的，应在符合性审查时按照无效投标处理：</w:t>
      </w:r>
    </w:p>
    <w:p w14:paraId="0E2A595D">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（1）</w:t>
      </w:r>
      <w:r>
        <w:rPr>
          <w:rFonts w:hint="eastAsia" w:ascii="宋体" w:hAnsi="Courier New" w:cs="Times New Roman"/>
          <w:bCs/>
          <w:color w:val="000000"/>
          <w:kern w:val="0"/>
          <w:sz w:val="24"/>
          <w:szCs w:val="24"/>
          <w:highlight w:val="none"/>
        </w:rPr>
        <w:t>投标文件未按照招标文件规定要求签署及盖章的；</w:t>
      </w:r>
    </w:p>
    <w:p w14:paraId="3DBEA23A">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（2）服务要求不满足招标文件要求的；（采购需求均为不可偏离项）</w:t>
      </w:r>
    </w:p>
    <w:p w14:paraId="25398217">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（3）投标有效期不足的；</w:t>
      </w:r>
    </w:p>
    <w:p w14:paraId="014E6A2C">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（4）服务期限不满足招标文件规定的；</w:t>
      </w:r>
    </w:p>
    <w:p w14:paraId="55BB1F82">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（5）售后服务承诺未提供的；</w:t>
      </w:r>
    </w:p>
    <w:p w14:paraId="36727B93">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（6）投标报价是否在采购预算或最高限价以内；</w:t>
      </w:r>
    </w:p>
    <w:p w14:paraId="37AB51FB">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（7）投标文件不符合招标文件实质性要求的；</w:t>
      </w:r>
    </w:p>
    <w:p w14:paraId="5466C4B8">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（8）不符合法律法规和招标文件规定的其他无效情形的。</w:t>
      </w:r>
    </w:p>
    <w:p w14:paraId="6F578E4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核价原则</w:t>
      </w:r>
    </w:p>
    <w:p w14:paraId="5F73A65B">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投标文件报价出现前后不一致的，除招标文件另有规定外，按照下列规定修正：</w:t>
      </w:r>
    </w:p>
    <w:p w14:paraId="2F9C1F4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投标文件中开标一览表</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报价表</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内容与投标文件中相应内容不一致的，以开标一览表</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报价表</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为准；</w:t>
      </w:r>
    </w:p>
    <w:p w14:paraId="3D9C0BF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大写金额和小写金额不一致的，以大写金额为准；</w:t>
      </w:r>
    </w:p>
    <w:p w14:paraId="5AE9D8F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单价金额小数点或者百分比有明显错位的，以开标一览表的总价为准，并修改单价；</w:t>
      </w:r>
    </w:p>
    <w:p w14:paraId="4DC394EB">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总价金额与按单价汇总金额不一致的，以单价金额计算结果为准。</w:t>
      </w:r>
    </w:p>
    <w:p w14:paraId="59EFC612">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★同时出现两种以上不一致的，按照前款规定的顺序修正。修正后的报价按照上述规定经供应商确认后产生约束力，供应商不确认的，其投标无效。</w:t>
      </w:r>
    </w:p>
    <w:p w14:paraId="1696125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投标文件澄清</w:t>
      </w:r>
    </w:p>
    <w:p w14:paraId="7ADFD2D2">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.3.1</w:t>
      </w:r>
      <w:r>
        <w:rPr>
          <w:rFonts w:hint="eastAsia" w:ascii="宋体" w:hAnsi="宋体" w:cs="Times New Roman"/>
          <w:color w:val="000000"/>
          <w:kern w:val="0"/>
          <w:sz w:val="24"/>
          <w:szCs w:val="24"/>
          <w:highlight w:val="none"/>
        </w:rPr>
        <w:t>　评审小组在对投标文件</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包括首次投标文件、重新提交的投标文件</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的有效性、完整性和对招标文件的投标程度进行审查时，可以要求供应商对投标文件中含义不明确、同类问题表述不一致或者有明显文字和计算错误的内容等作出必要的澄清、说明或者更正。各供应商在项目开标、评标（审）期间应随时保持在线状态，及时查阅消息，并根据消息提醒进行投标文件在线解密等操作。随时通过交易系统接受评审小组发出的询标信息，并在规定时间内作出答复，未能按时答复的，评审小组将视同其放弃澄清。</w:t>
      </w:r>
    </w:p>
    <w:p w14:paraId="1714A2A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　比较与评价</w:t>
      </w:r>
    </w:p>
    <w:p w14:paraId="52ED416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评审小组应当按照招标文件中规定的评标方法和标准，对符合性审查合格的投标文件进行商务和技术评估，综合比较与评价。</w:t>
      </w:r>
    </w:p>
    <w:p w14:paraId="64E6D051">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评审小组认为供应商的报价明显低于其他通过符合性审查供应商的报价，有可能影响服务质量或者不能诚信履约的，应当要求其在评标现场合理的时间内提供说明，必要时提交相关证明材料；供应商不能证明其报价合理性的，评审小组应当将其作为无效投标处理。</w:t>
      </w:r>
    </w:p>
    <w:p w14:paraId="4189550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5　推荐中标候选人名单</w:t>
      </w:r>
    </w:p>
    <w:p w14:paraId="6612CB5B">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1　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CD7707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确定中标供应商</w:t>
      </w:r>
    </w:p>
    <w:p w14:paraId="4416FA31">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采购代理机构应当在评标结束之日起</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个工作日内将评标报告送采购人。</w:t>
      </w:r>
    </w:p>
    <w:p w14:paraId="072841F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采购人应当在收到评标报告之日起</w:t>
      </w: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个工作日内，在评标报告确定的中标候选人名单中按顺序确定中标人。</w:t>
      </w:r>
    </w:p>
    <w:p w14:paraId="6B8AEEE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采购人自行组织招标的，应当在评标结束后</w:t>
      </w: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个工作日内确定中标人。中标候选人并列的，由采购人或者采购人委托评标委员会按照供应商须知前附表规定的方式确定中标人。</w:t>
      </w:r>
    </w:p>
    <w:p w14:paraId="597B5F7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7</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废标</w:t>
      </w:r>
    </w:p>
    <w:p w14:paraId="183B59C6">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有下列情形之一时，招标采购单位应予废标，并将废标理由通知所有供应商：</w:t>
      </w:r>
    </w:p>
    <w:p w14:paraId="249D246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符合专业条件的供应商或者对招标文件作实质性投标的供应商不足三家的；</w:t>
      </w:r>
    </w:p>
    <w:p w14:paraId="0BB92BD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出现影响采购公正的违法、违规行为的；</w:t>
      </w:r>
    </w:p>
    <w:p w14:paraId="727F8A3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供应商的报价均超过了采购预算，采购人不能支付的；</w:t>
      </w:r>
    </w:p>
    <w:p w14:paraId="53A6AC4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因重大变故，采购任务取消的。</w:t>
      </w:r>
    </w:p>
    <w:p w14:paraId="11B44A1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8</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保密</w:t>
      </w:r>
    </w:p>
    <w:p w14:paraId="4AAC06A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评标委员会成员以及与评标工作有关的人员不得泄露评标情况以及评标过程中获悉的国家秘密、商业秘密。</w:t>
      </w:r>
    </w:p>
    <w:p w14:paraId="5852B22F">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★29</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禁止行为</w:t>
      </w:r>
    </w:p>
    <w:p w14:paraId="621D1FF1">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29</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供应商不得与采购人、采购代理机构恶意串通；不得向采购人、采购代理机构或者评审小组成员行贿或者提供其他不正当利益；不得提供虚假材料谋取中标；不得以任何方式干扰、影响采购工作。供应商违反中华人民共和国政府采购法律法规相关规定的，依法追究法律责任。</w:t>
      </w:r>
    </w:p>
    <w:p w14:paraId="675CD40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29</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供应商应当遵循公平竞争的原则，不得恶意串通，不得妨碍其他供应商的竞争行为，不得损害采购人或者其他供应商的合法权益。</w:t>
      </w:r>
    </w:p>
    <w:p w14:paraId="0C711D96">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有下列情形之一的，视为供应商串通投标，其投标无效：</w:t>
      </w:r>
    </w:p>
    <w:p w14:paraId="04E2E012">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不同供应商的投标文件由同一单位或者个人编制；</w:t>
      </w:r>
    </w:p>
    <w:p w14:paraId="7A24ACB6">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不同供应商委托同一单位或者个人办理投标事宜；</w:t>
      </w:r>
    </w:p>
    <w:p w14:paraId="7F81FB2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不同供应商的投标文件载明的项目管理成员或者联系人员为同一人；</w:t>
      </w:r>
    </w:p>
    <w:p w14:paraId="67EC6B41">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不同供应商的投标文件异常一致或者投标报价呈规律性差异；</w:t>
      </w:r>
    </w:p>
    <w:p w14:paraId="1B4A4563">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不同供应商的投标文件相互混装；</w:t>
      </w:r>
    </w:p>
    <w:p w14:paraId="5E3DAA96">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(6)</w:t>
      </w:r>
      <w:r>
        <w:rPr>
          <w:rFonts w:hint="eastAsia" w:ascii="宋体" w:hAnsi="宋体" w:cs="Times New Roman"/>
          <w:color w:val="000000"/>
          <w:kern w:val="0"/>
          <w:sz w:val="24"/>
          <w:szCs w:val="24"/>
          <w:highlight w:val="none"/>
        </w:rPr>
        <w:t>不同供应商的投标保证金从同一单位或者个人的账户转出。</w:t>
      </w:r>
    </w:p>
    <w:p w14:paraId="00DC8554">
      <w:pPr>
        <w:spacing w:line="360" w:lineRule="auto"/>
        <w:outlineLvl w:val="0"/>
        <w:rPr>
          <w:rFonts w:ascii="宋体" w:hAnsi="宋体" w:cs="Times New Roman"/>
          <w:b/>
          <w:bCs/>
          <w:color w:val="000000"/>
          <w:kern w:val="0"/>
          <w:sz w:val="24"/>
          <w:szCs w:val="24"/>
          <w:highlight w:val="none"/>
        </w:rPr>
      </w:pPr>
      <w:bookmarkStart w:id="16" w:name="_Toc15954"/>
      <w:r>
        <w:rPr>
          <w:rFonts w:hint="eastAsia" w:ascii="宋体" w:hAnsi="宋体" w:cs="Times New Roman"/>
          <w:b/>
          <w:bCs/>
          <w:color w:val="000000"/>
          <w:kern w:val="0"/>
          <w:sz w:val="24"/>
          <w:szCs w:val="24"/>
          <w:highlight w:val="none"/>
        </w:rPr>
        <w:t>五、中标信息公告与签订合同</w:t>
      </w:r>
      <w:bookmarkEnd w:id="16"/>
    </w:p>
    <w:p w14:paraId="7920631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0</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中标信息公告</w:t>
      </w:r>
    </w:p>
    <w:p w14:paraId="6F61750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0</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中标人确定之日起</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个工作日内，采购人或者采购代理机构应将中标结果在供应商须知前附表中规定的公告媒体上公布。</w:t>
      </w:r>
    </w:p>
    <w:p w14:paraId="72121EF3">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0</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招标文件随中标结果同时公告。但中标结果公告前招标文件已公告的，不再重复公告。</w:t>
      </w:r>
    </w:p>
    <w:p w14:paraId="12014AB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1</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中标通知</w:t>
      </w:r>
    </w:p>
    <w:p w14:paraId="0FED4384">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采购人或者采购代理机构应当自发布中标公告的同时，发出中标通知书，中标通知书对采购人和中标人具有同等法律效力。</w:t>
      </w:r>
    </w:p>
    <w:p w14:paraId="7C5D12A8">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中标通知书发出后，中标人无正当理由不得放弃中标。</w:t>
      </w:r>
    </w:p>
    <w:p w14:paraId="03157FEE">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履约保证金</w:t>
      </w:r>
    </w:p>
    <w:p w14:paraId="26B0D3FD">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本项目是否缴纳履约保证金见供应商须知前附表。</w:t>
      </w:r>
    </w:p>
    <w:p w14:paraId="13B31F8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供应商须知前附表规定交纳履约保证金的，中标人在签订采购合同前，向采购人提交履约保证金。联合体成交的，履约保证金以联合体各方或联合体中牵头人的名义提交。</w:t>
      </w:r>
    </w:p>
    <w:p w14:paraId="7461E34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2</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中标人没有按照供应商须知前附表的规定提交履约保证金的，视为放弃中标，其投标保证金不予退还。</w:t>
      </w:r>
    </w:p>
    <w:p w14:paraId="668A7BE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签订合同</w:t>
      </w:r>
    </w:p>
    <w:p w14:paraId="5FBCF44B">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招标文件和中标供应商的投标文件均为签订政府采购合同的依据。</w:t>
      </w:r>
    </w:p>
    <w:p w14:paraId="7C2DF16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中标供应商应当在中标通知书发出之日起</w:t>
      </w:r>
      <w:r>
        <w:rPr>
          <w:rFonts w:ascii="宋体" w:hAnsi="宋体" w:cs="Times New Roman"/>
          <w:color w:val="000000"/>
          <w:kern w:val="0"/>
          <w:sz w:val="24"/>
          <w:szCs w:val="24"/>
          <w:highlight w:val="none"/>
        </w:rPr>
        <w:t>30</w:t>
      </w:r>
      <w:r>
        <w:rPr>
          <w:rFonts w:hint="eastAsia" w:ascii="宋体" w:hAnsi="宋体" w:cs="Times New Roman"/>
          <w:color w:val="000000"/>
          <w:kern w:val="0"/>
          <w:sz w:val="24"/>
          <w:szCs w:val="24"/>
          <w:highlight w:val="none"/>
        </w:rPr>
        <w:t>日内，与采购人签订政府采购合同。</w:t>
      </w:r>
    </w:p>
    <w:p w14:paraId="4F09FFA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采购人不得向中标供应商提出超出招标文件以外的任何要求作为签订合同的条件，不得与中标供应商订立背离招标文件确定的合同文本以及采购标的、规格型号、采购金额、采购数量、技术和服务要求等实质性内容的协议。</w:t>
      </w:r>
    </w:p>
    <w:p w14:paraId="7D396226">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3</w:t>
      </w: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　自政府采购合同签订之日起</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个工作日内，本项目政府采购合同在供应商须知前附表规定的媒体上公告，但政府采购合同中涉及国家秘密、商业秘密的内容除外。</w:t>
      </w:r>
    </w:p>
    <w:p w14:paraId="1CBDEB3D">
      <w:pPr>
        <w:spacing w:line="360" w:lineRule="auto"/>
        <w:outlineLvl w:val="0"/>
        <w:rPr>
          <w:rFonts w:ascii="宋体" w:hAnsi="宋体" w:cs="Times New Roman"/>
          <w:b/>
          <w:bCs/>
          <w:color w:val="000000"/>
          <w:kern w:val="0"/>
          <w:sz w:val="24"/>
          <w:szCs w:val="24"/>
          <w:highlight w:val="none"/>
        </w:rPr>
      </w:pPr>
      <w:bookmarkStart w:id="17" w:name="_Toc24284"/>
      <w:r>
        <w:rPr>
          <w:rFonts w:hint="eastAsia" w:ascii="宋体" w:hAnsi="宋体" w:cs="Times New Roman"/>
          <w:b/>
          <w:bCs/>
          <w:color w:val="000000"/>
          <w:kern w:val="0"/>
          <w:sz w:val="24"/>
          <w:szCs w:val="24"/>
          <w:highlight w:val="none"/>
        </w:rPr>
        <w:t>六、其他规定</w:t>
      </w:r>
      <w:bookmarkEnd w:id="17"/>
    </w:p>
    <w:p w14:paraId="613CA991">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招标代理服务费。</w:t>
      </w:r>
    </w:p>
    <w:p w14:paraId="133EC5EB">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4</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中标人是否交纳招标代理服务费及相关要求见供应商须知前附表。</w:t>
      </w:r>
    </w:p>
    <w:p w14:paraId="729F016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询问、质疑、投诉</w:t>
      </w:r>
    </w:p>
    <w:p w14:paraId="63E1AD37">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供应商对政府采购活动事项有疑问的，可以向采购人或采购代理机构提出询问</w:t>
      </w:r>
    </w:p>
    <w:p w14:paraId="4084C81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　供应商认为招标文件、招标过程和中标结果使自己的权益受到损害的，可以在知道或者应知其权益受到损害之日起</w:t>
      </w:r>
      <w:r>
        <w:rPr>
          <w:rFonts w:ascii="宋体" w:hAnsi="宋体" w:cs="Times New Roman"/>
          <w:color w:val="000000"/>
          <w:kern w:val="0"/>
          <w:sz w:val="24"/>
          <w:szCs w:val="24"/>
          <w:highlight w:val="none"/>
        </w:rPr>
        <w:t>7</w:t>
      </w:r>
      <w:r>
        <w:rPr>
          <w:rFonts w:hint="eastAsia" w:ascii="宋体" w:hAnsi="宋体" w:cs="Times New Roman"/>
          <w:color w:val="000000"/>
          <w:kern w:val="0"/>
          <w:sz w:val="24"/>
          <w:szCs w:val="24"/>
          <w:highlight w:val="none"/>
        </w:rPr>
        <w:t>个工作日内，以书面形式向采购人或采购代理机构提出质疑。</w:t>
      </w:r>
    </w:p>
    <w:p w14:paraId="4C22F58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　供应商提出质疑的，应提供质疑书原件。</w:t>
      </w:r>
    </w:p>
    <w:p w14:paraId="1B7C45C0">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　质疑书应当由供应商法定代表人或其授权的投标代表签字并加盖供应商单位章，质疑书由授权的投标代表签字的应附供应商法定代表人委托授权书。</w:t>
      </w:r>
    </w:p>
    <w:p w14:paraId="42EA7691">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5</w:t>
      </w: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　供应商对采购人或采购代理机构的答复不满意，或采购人或采购代理机构未在规定的期限作出答复的，可在答复期满后</w:t>
      </w:r>
      <w:r>
        <w:rPr>
          <w:rFonts w:ascii="宋体" w:hAnsi="宋体" w:cs="Times New Roman"/>
          <w:color w:val="000000"/>
          <w:kern w:val="0"/>
          <w:sz w:val="24"/>
          <w:szCs w:val="24"/>
          <w:highlight w:val="none"/>
        </w:rPr>
        <w:t>15</w:t>
      </w:r>
      <w:r>
        <w:rPr>
          <w:rFonts w:hint="eastAsia" w:ascii="宋体" w:hAnsi="宋体" w:cs="Times New Roman"/>
          <w:color w:val="000000"/>
          <w:kern w:val="0"/>
          <w:sz w:val="24"/>
          <w:szCs w:val="24"/>
          <w:highlight w:val="none"/>
        </w:rPr>
        <w:t>个工作日内，按中华人民共和国政府采购法律法规规定及程序，向财政部提出投诉。</w:t>
      </w:r>
    </w:p>
    <w:p w14:paraId="4BEE5E5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6</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发生下列情况之一，供应商将被列入不良记录名单，在</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年内禁止参加政府采购活动，并予以公告：</w:t>
      </w:r>
    </w:p>
    <w:p w14:paraId="4886891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开标后在投标有效期内，供应商撤回其投标；</w:t>
      </w:r>
    </w:p>
    <w:p w14:paraId="206B7EE3">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中标后无正当理由不与采购人签订政府采购合同；</w:t>
      </w:r>
    </w:p>
    <w:p w14:paraId="2F975BFD">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中标后未按照招标文件和中标供应商的投标文件订立政府采购合同，或者与采购人另行订立背离合同实质性内容的协议的；</w:t>
      </w:r>
    </w:p>
    <w:p w14:paraId="02F1781D">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将中标项目转让给他人，或者在投标文件中未说明，且未经采购招标机构同意，将中标项目分包给他人；</w:t>
      </w:r>
    </w:p>
    <w:p w14:paraId="046A649A">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(5)</w:t>
      </w:r>
      <w:r>
        <w:rPr>
          <w:rFonts w:hint="eastAsia" w:ascii="宋体" w:hAnsi="宋体" w:cs="Times New Roman"/>
          <w:color w:val="000000"/>
          <w:kern w:val="0"/>
          <w:sz w:val="24"/>
          <w:szCs w:val="24"/>
          <w:highlight w:val="none"/>
        </w:rPr>
        <w:t>拒绝履行合同义务的；</w:t>
      </w:r>
    </w:p>
    <w:p w14:paraId="67F04799">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(6)</w:t>
      </w:r>
      <w:r>
        <w:rPr>
          <w:rFonts w:hint="eastAsia" w:ascii="宋体" w:hAnsi="宋体" w:cs="Times New Roman"/>
          <w:color w:val="000000"/>
          <w:kern w:val="0"/>
          <w:sz w:val="24"/>
          <w:szCs w:val="24"/>
          <w:highlight w:val="none"/>
        </w:rPr>
        <w:t>《中华人民共和国政府采购法》第七十七条和《中华人民共和国政府采购法实施条例》第七十二条规定的其他情形；</w:t>
      </w:r>
    </w:p>
    <w:p w14:paraId="3BF84F7B">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(7)</w:t>
      </w:r>
      <w:r>
        <w:rPr>
          <w:rFonts w:hint="eastAsia" w:ascii="宋体" w:hAnsi="宋体" w:cs="Times New Roman"/>
          <w:color w:val="000000"/>
          <w:kern w:val="0"/>
          <w:sz w:val="24"/>
          <w:szCs w:val="24"/>
          <w:highlight w:val="none"/>
        </w:rPr>
        <w:t>其他违反法律法规相关规定的情形。</w:t>
      </w:r>
    </w:p>
    <w:p w14:paraId="62E71B9F">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7</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其他规定。</w:t>
      </w:r>
    </w:p>
    <w:p w14:paraId="35DEF964">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7</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投标文件的其他规定见供应商须知前附表。</w:t>
      </w:r>
    </w:p>
    <w:p w14:paraId="67F3D2FC">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8</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未尽事宜</w:t>
      </w:r>
    </w:p>
    <w:p w14:paraId="3BD70B35">
      <w:pPr>
        <w:spacing w:line="360" w:lineRule="auto"/>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8</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其他未尽事宜按中华人民共和国政府采购法律法规的规定执行。</w:t>
      </w:r>
    </w:p>
    <w:p w14:paraId="335D500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39</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文件解释权</w:t>
      </w:r>
    </w:p>
    <w:p w14:paraId="60055A1F">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39</w:t>
      </w: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　本招标文件的解释权归采购人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或采购代理机构</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所有。</w:t>
      </w:r>
    </w:p>
    <w:p w14:paraId="5314BFA7">
      <w:pPr>
        <w:spacing w:line="360" w:lineRule="auto"/>
        <w:outlineLvl w:val="0"/>
        <w:rPr>
          <w:rFonts w:ascii="宋体" w:hAnsi="宋体" w:cs="宋体"/>
          <w:b/>
          <w:bCs/>
          <w:color w:val="000000"/>
          <w:sz w:val="24"/>
          <w:szCs w:val="24"/>
          <w:highlight w:val="none"/>
        </w:rPr>
      </w:pPr>
      <w:bookmarkStart w:id="18" w:name="_Toc2490"/>
      <w:r>
        <w:rPr>
          <w:rFonts w:hint="eastAsia" w:ascii="宋体" w:hAnsi="宋体" w:cs="宋体"/>
          <w:b/>
          <w:bCs/>
          <w:color w:val="000000"/>
          <w:sz w:val="24"/>
          <w:szCs w:val="24"/>
          <w:highlight w:val="none"/>
        </w:rPr>
        <w:t>七、质疑处理</w:t>
      </w:r>
      <w:bookmarkEnd w:id="18"/>
    </w:p>
    <w:p w14:paraId="5BBA5078">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40.1 提出质疑的供应商应当是参与所质疑项目采购活动的供应商。潜在供应商依法获取其可质疑的采购文件的，可以对采购文件提出质疑。</w:t>
      </w:r>
    </w:p>
    <w:p w14:paraId="6859E06B">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40.2供应商认为采购文件、采购过程和采购结果使自己的权益受到损害的，可以在知道或应知其权益受到损害之日起七个工作日内，以书面形式向代理机构及采购人提出质疑。上述应知其权益受到损害之日，是指：</w:t>
      </w:r>
    </w:p>
    <w:p w14:paraId="4F4294F3">
      <w:pPr>
        <w:adjustRightInd w:val="0"/>
        <w:snapToGrid w:val="0"/>
        <w:spacing w:line="400" w:lineRule="exact"/>
        <w:rPr>
          <w:rFonts w:ascii="Times New Roman" w:hAnsi="宋体" w:cs="宋体"/>
          <w:color w:val="000000"/>
          <w:kern w:val="0"/>
          <w:sz w:val="24"/>
          <w:szCs w:val="24"/>
          <w:highlight w:val="none"/>
        </w:rPr>
      </w:pPr>
      <w:r>
        <w:rPr>
          <w:rFonts w:hint="eastAsia" w:ascii="宋体" w:hAnsi="宋体" w:cs="Times New Roman"/>
          <w:color w:val="000000"/>
          <w:sz w:val="24"/>
          <w:szCs w:val="24"/>
          <w:highlight w:val="none"/>
        </w:rPr>
        <w:t>40.2.1</w:t>
      </w:r>
      <w:r>
        <w:rPr>
          <w:rFonts w:hint="eastAsia" w:ascii="Times New Roman" w:hAnsi="宋体" w:cs="宋体"/>
          <w:color w:val="000000"/>
          <w:kern w:val="0"/>
          <w:sz w:val="24"/>
          <w:szCs w:val="24"/>
          <w:highlight w:val="none"/>
        </w:rPr>
        <w:t>对可以质疑的采购文件提出质疑的，为收到采购文件之日或者采购文件公告期限届满之日；</w:t>
      </w:r>
    </w:p>
    <w:p w14:paraId="3965ABE5">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40.2.2</w:t>
      </w:r>
      <w:r>
        <w:rPr>
          <w:rFonts w:hint="eastAsia" w:ascii="Times New Roman" w:hAnsi="宋体" w:cs="宋体"/>
          <w:color w:val="000000"/>
          <w:kern w:val="0"/>
          <w:sz w:val="24"/>
          <w:szCs w:val="24"/>
          <w:highlight w:val="none"/>
        </w:rPr>
        <w:t>对采购过程提出质疑的，为各采购程序环节结束之日；</w:t>
      </w:r>
    </w:p>
    <w:p w14:paraId="57C10618">
      <w:pPr>
        <w:adjustRightInd w:val="0"/>
        <w:snapToGrid w:val="0"/>
        <w:spacing w:line="400" w:lineRule="exact"/>
        <w:rPr>
          <w:rFonts w:ascii="Times New Roman" w:hAnsi="宋体" w:cs="宋体"/>
          <w:color w:val="000000"/>
          <w:kern w:val="0"/>
          <w:sz w:val="24"/>
          <w:szCs w:val="24"/>
          <w:highlight w:val="none"/>
        </w:rPr>
      </w:pPr>
      <w:r>
        <w:rPr>
          <w:rFonts w:hint="eastAsia" w:ascii="宋体" w:hAnsi="宋体" w:cs="Times New Roman"/>
          <w:color w:val="000000"/>
          <w:sz w:val="24"/>
          <w:szCs w:val="24"/>
          <w:highlight w:val="none"/>
        </w:rPr>
        <w:t>40.2.3</w:t>
      </w:r>
      <w:r>
        <w:rPr>
          <w:rFonts w:hint="eastAsia" w:ascii="Times New Roman" w:hAnsi="宋体" w:cs="宋体"/>
          <w:color w:val="000000"/>
          <w:kern w:val="0"/>
          <w:sz w:val="24"/>
          <w:szCs w:val="24"/>
          <w:highlight w:val="none"/>
        </w:rPr>
        <w:t>对中标或者成交结果提出质疑的，为中标或者成交结果公告期限届满之日。</w:t>
      </w:r>
    </w:p>
    <w:p w14:paraId="2DDDEAC1">
      <w:pPr>
        <w:adjustRightInd w:val="0"/>
        <w:snapToGrid w:val="0"/>
        <w:spacing w:line="400" w:lineRule="exact"/>
        <w:rPr>
          <w:rFonts w:ascii="Times New Roman" w:hAnsi="宋体" w:cs="宋体"/>
          <w:color w:val="000000"/>
          <w:kern w:val="0"/>
          <w:sz w:val="24"/>
          <w:szCs w:val="24"/>
          <w:highlight w:val="none"/>
        </w:rPr>
      </w:pPr>
      <w:r>
        <w:rPr>
          <w:rFonts w:hint="eastAsia" w:ascii="Times New Roman" w:hAnsi="宋体" w:cs="宋体"/>
          <w:color w:val="000000"/>
          <w:kern w:val="0"/>
          <w:sz w:val="24"/>
          <w:szCs w:val="24"/>
          <w:highlight w:val="none"/>
        </w:rPr>
        <w:t>供应商应当在法定质疑期内一次性提出针对同一采购程序环节的质疑。供应商如在法定期限内对同一采购程序环节提出多次质疑的，</w:t>
      </w:r>
      <w:r>
        <w:rPr>
          <w:rFonts w:hint="eastAsia" w:ascii="Times New Roman" w:hAnsi="宋体" w:cs="宋体"/>
          <w:b/>
          <w:color w:val="000000"/>
          <w:kern w:val="0"/>
          <w:sz w:val="24"/>
          <w:szCs w:val="24"/>
          <w:highlight w:val="none"/>
        </w:rPr>
        <w:t>代理机构、采购人将只对供应商第一次质疑作出答复。</w:t>
      </w:r>
    </w:p>
    <w:p w14:paraId="4FA7EB00">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40.3质疑函必须按照本《政府采购质疑和投诉办法》要求的格式和内容进行填写。供应商如组成联合体参加投标，则质疑函中要求签字、盖章、加盖公章之处，联合体各方均须按要求签字、盖章、加盖公章。</w:t>
      </w:r>
    </w:p>
    <w:p w14:paraId="6B40FFB8">
      <w:pPr>
        <w:adjustRightInd w:val="0"/>
        <w:snapToGrid w:val="0"/>
        <w:spacing w:line="400" w:lineRule="exact"/>
        <w:rPr>
          <w:rFonts w:ascii="宋体" w:hAnsi="宋体" w:cs="Times New Roman"/>
          <w:b/>
          <w:color w:val="000000"/>
          <w:sz w:val="24"/>
          <w:szCs w:val="24"/>
          <w:highlight w:val="none"/>
        </w:rPr>
      </w:pPr>
      <w:r>
        <w:rPr>
          <w:rFonts w:hint="eastAsia" w:ascii="宋体" w:hAnsi="宋体" w:cs="Times New Roman"/>
          <w:color w:val="000000"/>
          <w:sz w:val="24"/>
          <w:szCs w:val="24"/>
          <w:highlight w:val="none"/>
        </w:rPr>
        <w:t>40.4 代理机构及采购人只接收以纸质原件形式送达的质疑。</w:t>
      </w:r>
      <w:r>
        <w:rPr>
          <w:rFonts w:hint="eastAsia" w:ascii="宋体" w:hAnsi="宋体" w:cs="Times New Roman"/>
          <w:b/>
          <w:color w:val="000000"/>
          <w:sz w:val="24"/>
          <w:szCs w:val="24"/>
          <w:highlight w:val="none"/>
        </w:rPr>
        <w:t>代理机构质疑接收人为：</w:t>
      </w:r>
      <w:r>
        <w:rPr>
          <w:rFonts w:hint="eastAsia" w:ascii="宋体" w:hAnsi="宋体" w:cs="Times New Roman"/>
          <w:b/>
          <w:color w:val="000000"/>
          <w:sz w:val="24"/>
          <w:szCs w:val="24"/>
          <w:highlight w:val="none"/>
          <w:u w:val="single"/>
        </w:rPr>
        <w:t>王亭懿</w:t>
      </w:r>
      <w:r>
        <w:rPr>
          <w:rFonts w:hint="eastAsia" w:ascii="宋体" w:hAnsi="宋体" w:cs="Times New Roman"/>
          <w:b/>
          <w:color w:val="000000"/>
          <w:sz w:val="24"/>
          <w:szCs w:val="24"/>
          <w:highlight w:val="none"/>
        </w:rPr>
        <w:t>，联系地址：</w:t>
      </w:r>
      <w:r>
        <w:rPr>
          <w:rFonts w:hint="eastAsia" w:ascii="宋体" w:hAnsi="宋体" w:cs="Times New Roman"/>
          <w:b/>
          <w:color w:val="000000"/>
          <w:sz w:val="24"/>
          <w:szCs w:val="24"/>
          <w:highlight w:val="none"/>
          <w:lang w:val="zh-CN" w:eastAsia="zh-CN"/>
        </w:rPr>
        <w:t>乌鲁木齐水磨沟区会展大道555号星耀天都4号楼B座403</w:t>
      </w:r>
      <w:r>
        <w:rPr>
          <w:rFonts w:hint="eastAsia" w:ascii="宋体" w:hAnsi="宋体" w:cs="Times New Roman"/>
          <w:b/>
          <w:color w:val="000000"/>
          <w:sz w:val="24"/>
          <w:szCs w:val="24"/>
          <w:highlight w:val="none"/>
        </w:rPr>
        <w:t>，电话：</w:t>
      </w:r>
      <w:r>
        <w:rPr>
          <w:rFonts w:hint="eastAsia" w:ascii="宋体" w:hAnsi="宋体" w:cs="Times New Roman"/>
          <w:b/>
          <w:color w:val="000000"/>
          <w:sz w:val="24"/>
          <w:szCs w:val="24"/>
          <w:highlight w:val="none"/>
          <w:u w:val="single"/>
        </w:rPr>
        <w:t>18599343155</w:t>
      </w:r>
      <w:r>
        <w:rPr>
          <w:rFonts w:hint="eastAsia" w:ascii="宋体" w:hAnsi="宋体" w:cs="Times New Roman"/>
          <w:b/>
          <w:color w:val="000000"/>
          <w:sz w:val="24"/>
          <w:szCs w:val="24"/>
          <w:highlight w:val="none"/>
        </w:rPr>
        <w:t>。</w:t>
      </w:r>
    </w:p>
    <w:p w14:paraId="33E8328B">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40.5 以下情形的质疑不予受理</w:t>
      </w:r>
    </w:p>
    <w:p w14:paraId="3D3F569A">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40.5.1 内容不符合《政府采购质疑和投诉办法》第十二条规定的质疑。</w:t>
      </w:r>
    </w:p>
    <w:p w14:paraId="5E0F91A9">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40.5.2 超出政府采购法定期限的质疑。</w:t>
      </w:r>
    </w:p>
    <w:p w14:paraId="6C9E0D48">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40.5.3 以传真、电子邮件等方式递交的非原件形式的质疑。</w:t>
      </w:r>
    </w:p>
    <w:p w14:paraId="7487DE18">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40.5.4 未参加投标活动的供应商或在投标活动中自身权益未受到损害的供应商所提出的质疑。</w:t>
      </w:r>
    </w:p>
    <w:p w14:paraId="0A6C98CD">
      <w:pPr>
        <w:adjustRightInd w:val="0"/>
        <w:snapToGrid w:val="0"/>
        <w:spacing w:line="400" w:lineRule="exact"/>
        <w:rPr>
          <w:rFonts w:ascii="宋体" w:hAnsi="宋体" w:cs="Times New Roman"/>
          <w:color w:val="000000"/>
          <w:sz w:val="24"/>
          <w:szCs w:val="24"/>
          <w:highlight w:val="none"/>
        </w:rPr>
      </w:pPr>
      <w:r>
        <w:rPr>
          <w:rFonts w:hint="eastAsia" w:ascii="宋体" w:hAnsi="宋体" w:cs="Times New Roman"/>
          <w:color w:val="000000"/>
          <w:sz w:val="24"/>
          <w:szCs w:val="24"/>
          <w:highlight w:val="none"/>
        </w:rPr>
        <w:t>40.5.5供应商组成联合体参加投标，联合体中任何一方或多方未按要求签字、盖章、加盖公章的质疑。</w:t>
      </w:r>
    </w:p>
    <w:p w14:paraId="3CBA8661">
      <w:pPr>
        <w:adjustRightInd w:val="0"/>
        <w:snapToGrid w:val="0"/>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40.6</w:t>
      </w:r>
      <w:r>
        <w:rPr>
          <w:rFonts w:hint="eastAsia" w:ascii="宋体" w:hAnsi="宋体" w:cs="Times New Roman"/>
          <w:b/>
          <w:color w:val="000000"/>
          <w:kern w:val="0"/>
          <w:sz w:val="24"/>
          <w:szCs w:val="24"/>
          <w:highlight w:val="none"/>
        </w:rPr>
        <w:t>供应商提出书面质疑必须有理、有据，不得捏造事实、提供虚假材料进行恶意质疑。否则，一经查实，代理机构有权依据政府采购的有关规定，报请政府采购监管部门对该供应商进行相应的行政处罚和记录该供应商的失信信息。</w:t>
      </w:r>
    </w:p>
    <w:p w14:paraId="51575CC1">
      <w:pPr>
        <w:rPr>
          <w:rFonts w:cs="Times New Roman"/>
          <w:color w:val="000000"/>
          <w:highlight w:val="none"/>
        </w:rPr>
      </w:pPr>
      <w:r>
        <w:rPr>
          <w:rFonts w:hint="eastAsia" w:cs="Times New Roman"/>
          <w:color w:val="000000"/>
          <w:highlight w:val="none"/>
        </w:rPr>
        <w:br w:type="page"/>
      </w:r>
    </w:p>
    <w:p w14:paraId="27E33BDD">
      <w:pPr>
        <w:pStyle w:val="4"/>
        <w:rPr>
          <w:highlight w:val="none"/>
        </w:rPr>
      </w:pPr>
      <w:bookmarkStart w:id="19" w:name="_Toc21941"/>
      <w:bookmarkStart w:id="20" w:name="_Toc31452"/>
      <w:r>
        <w:rPr>
          <w:rFonts w:hint="eastAsia"/>
          <w:highlight w:val="none"/>
        </w:rPr>
        <w:t>第三章　评标办法及标准</w:t>
      </w:r>
      <w:bookmarkEnd w:id="19"/>
      <w:bookmarkEnd w:id="20"/>
    </w:p>
    <w:p w14:paraId="21F10CCD">
      <w:pPr>
        <w:spacing w:line="360" w:lineRule="auto"/>
        <w:ind w:left="-420" w:leftChars="-200" w:right="-420" w:rightChars="-200" w:firstLine="480" w:firstLineChars="200"/>
        <w:outlineLvl w:val="0"/>
        <w:rPr>
          <w:rFonts w:ascii="宋体" w:hAnsi="宋体" w:cs="Times New Roman"/>
          <w:color w:val="000000"/>
          <w:kern w:val="0"/>
          <w:sz w:val="24"/>
          <w:szCs w:val="24"/>
          <w:highlight w:val="none"/>
        </w:rPr>
      </w:pPr>
      <w:bookmarkStart w:id="21" w:name="_Toc19636"/>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评审方法</w:t>
      </w:r>
      <w:bookmarkEnd w:id="21"/>
    </w:p>
    <w:p w14:paraId="519EC537">
      <w:pPr>
        <w:spacing w:line="360" w:lineRule="auto"/>
        <w:ind w:left="-420" w:leftChars="-200" w:right="-420" w:rightChars="-200"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1.1</w:t>
      </w:r>
      <w:r>
        <w:rPr>
          <w:rFonts w:hint="eastAsia" w:ascii="宋体" w:hAnsi="宋体" w:cs="Times New Roman"/>
          <w:color w:val="000000"/>
          <w:kern w:val="0"/>
          <w:sz w:val="24"/>
          <w:szCs w:val="24"/>
          <w:highlight w:val="none"/>
        </w:rPr>
        <w:t>　评审方法：综合评分法，是指投标文件满足招标文件全部实质性要求，且按评审因素的量化指标评审得分最高的供应商为中标候选人的评审方法。</w:t>
      </w:r>
    </w:p>
    <w:p w14:paraId="6A4F10ED">
      <w:pPr>
        <w:ind w:left="-420" w:leftChars="-200" w:right="-420" w:rightChars="-200" w:firstLine="480" w:firstLineChars="200"/>
        <w:outlineLvl w:val="0"/>
        <w:rPr>
          <w:rFonts w:ascii="宋体" w:hAnsi="宋体" w:cs="Times New Roman"/>
          <w:color w:val="000000"/>
          <w:sz w:val="24"/>
          <w:szCs w:val="24"/>
          <w:highlight w:val="none"/>
        </w:rPr>
      </w:pPr>
      <w:bookmarkStart w:id="22" w:name="_Toc14374"/>
      <w:r>
        <w:rPr>
          <w:rFonts w:hint="eastAsia" w:ascii="宋体" w:hAnsi="宋体" w:cs="Times New Roman"/>
          <w:color w:val="000000"/>
          <w:sz w:val="24"/>
          <w:szCs w:val="24"/>
          <w:highlight w:val="none"/>
        </w:rPr>
        <w:t>2.资格审查</w:t>
      </w:r>
      <w:bookmarkEnd w:id="22"/>
    </w:p>
    <w:tbl>
      <w:tblPr>
        <w:tblStyle w:val="45"/>
        <w:tblW w:w="9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3456"/>
        <w:gridCol w:w="5006"/>
      </w:tblGrid>
      <w:tr w14:paraId="2E20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69" w:type="dxa"/>
            <w:vAlign w:val="center"/>
          </w:tcPr>
          <w:p w14:paraId="7E0BC723">
            <w:pPr>
              <w:pStyle w:val="133"/>
              <w:ind w:firstLine="0" w:firstLineChars="0"/>
              <w:jc w:val="both"/>
              <w:rPr>
                <w:rFonts w:ascii="宋体" w:hAnsi="宋体" w:cs="宋体"/>
                <w:b/>
                <w:color w:val="000000"/>
                <w:spacing w:val="0"/>
                <w:kern w:val="2"/>
                <w:sz w:val="21"/>
                <w:szCs w:val="21"/>
                <w:highlight w:val="none"/>
              </w:rPr>
            </w:pPr>
            <w:r>
              <w:rPr>
                <w:rFonts w:hint="eastAsia" w:ascii="宋体" w:hAnsi="宋体" w:cs="宋体"/>
                <w:b/>
                <w:color w:val="000000"/>
                <w:spacing w:val="0"/>
                <w:kern w:val="2"/>
                <w:sz w:val="21"/>
                <w:szCs w:val="21"/>
                <w:highlight w:val="none"/>
              </w:rPr>
              <w:t>序号</w:t>
            </w:r>
          </w:p>
        </w:tc>
        <w:tc>
          <w:tcPr>
            <w:tcW w:w="3456" w:type="dxa"/>
            <w:vAlign w:val="center"/>
          </w:tcPr>
          <w:p w14:paraId="495B0589">
            <w:pPr>
              <w:pStyle w:val="133"/>
              <w:ind w:firstLine="462"/>
              <w:jc w:val="center"/>
              <w:rPr>
                <w:rFonts w:ascii="宋体" w:hAnsi="宋体" w:cs="宋体"/>
                <w:b/>
                <w:color w:val="000000"/>
                <w:spacing w:val="0"/>
                <w:kern w:val="2"/>
                <w:sz w:val="21"/>
                <w:szCs w:val="21"/>
                <w:highlight w:val="none"/>
              </w:rPr>
            </w:pPr>
            <w:r>
              <w:rPr>
                <w:rFonts w:hint="eastAsia" w:ascii="宋体" w:hAnsi="宋体" w:cs="宋体"/>
                <w:b/>
                <w:color w:val="000000"/>
                <w:sz w:val="21"/>
                <w:szCs w:val="21"/>
                <w:highlight w:val="none"/>
              </w:rPr>
              <w:t>资格条件</w:t>
            </w:r>
          </w:p>
        </w:tc>
        <w:tc>
          <w:tcPr>
            <w:tcW w:w="5006" w:type="dxa"/>
            <w:vAlign w:val="center"/>
          </w:tcPr>
          <w:p w14:paraId="118799BC">
            <w:pPr>
              <w:pStyle w:val="133"/>
              <w:ind w:firstLine="462"/>
              <w:jc w:val="center"/>
              <w:rPr>
                <w:rFonts w:ascii="宋体" w:hAnsi="宋体" w:cs="宋体"/>
                <w:b/>
                <w:color w:val="000000"/>
                <w:spacing w:val="0"/>
                <w:kern w:val="2"/>
                <w:sz w:val="21"/>
                <w:szCs w:val="21"/>
                <w:highlight w:val="none"/>
              </w:rPr>
            </w:pPr>
            <w:r>
              <w:rPr>
                <w:rFonts w:hint="eastAsia" w:ascii="宋体" w:hAnsi="宋体" w:cs="宋体"/>
                <w:b/>
                <w:color w:val="000000"/>
                <w:sz w:val="21"/>
                <w:szCs w:val="21"/>
                <w:highlight w:val="none"/>
              </w:rPr>
              <w:t>审查内容和审查标准</w:t>
            </w:r>
          </w:p>
        </w:tc>
      </w:tr>
      <w:tr w14:paraId="0E52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569" w:type="dxa"/>
            <w:vAlign w:val="center"/>
          </w:tcPr>
          <w:p w14:paraId="6492A706">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1</w:t>
            </w:r>
          </w:p>
        </w:tc>
        <w:tc>
          <w:tcPr>
            <w:tcW w:w="3456" w:type="dxa"/>
            <w:vAlign w:val="center"/>
          </w:tcPr>
          <w:p w14:paraId="293E33C1">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具有独立承担民事责任的能力</w:t>
            </w:r>
          </w:p>
        </w:tc>
        <w:tc>
          <w:tcPr>
            <w:tcW w:w="5006" w:type="dxa"/>
            <w:vAlign w:val="center"/>
          </w:tcPr>
          <w:p w14:paraId="629F3C42">
            <w:pPr>
              <w:pStyle w:val="133"/>
              <w:spacing w:line="360" w:lineRule="exact"/>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须提供在中华人民共和国境内注册的法人或其他组织或自然人的营业执照副本或事业法人登记证或执业许可证或身份证等相关证明扫描件（除身份证外其余证件须加盖电子公章）</w:t>
            </w:r>
          </w:p>
        </w:tc>
      </w:tr>
      <w:tr w14:paraId="19F5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569" w:type="dxa"/>
            <w:vAlign w:val="center"/>
          </w:tcPr>
          <w:p w14:paraId="3ABE5875">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2</w:t>
            </w:r>
          </w:p>
        </w:tc>
        <w:tc>
          <w:tcPr>
            <w:tcW w:w="3456" w:type="dxa"/>
            <w:vAlign w:val="center"/>
          </w:tcPr>
          <w:p w14:paraId="1DD02CD8">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具有良好的商业信誉和健全的财务会计制度</w:t>
            </w:r>
          </w:p>
        </w:tc>
        <w:tc>
          <w:tcPr>
            <w:tcW w:w="5006" w:type="dxa"/>
            <w:vAlign w:val="center"/>
          </w:tcPr>
          <w:p w14:paraId="70758B85">
            <w:pPr>
              <w:pStyle w:val="133"/>
              <w:spacing w:line="360" w:lineRule="exact"/>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须提供本单位上一年度由会计师事务所出具的财务审计报告（当上一年度审计报告未出来时，可提供前一年度审计报告），审计报告须包括资产负债表、利润表、现金流量表、所有者权益变动（如有）及其附注（扫描件并加盖本单位电子公章）。如投标人无法提供上年度审计报告，则需提供开标日前三个月内银行出具的资信证明。银行资信证明可提供原件扫描件加盖电子公章。</w:t>
            </w:r>
          </w:p>
        </w:tc>
      </w:tr>
      <w:tr w14:paraId="5A06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69" w:type="dxa"/>
            <w:vAlign w:val="center"/>
          </w:tcPr>
          <w:p w14:paraId="74D0F996">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3</w:t>
            </w:r>
          </w:p>
        </w:tc>
        <w:tc>
          <w:tcPr>
            <w:tcW w:w="3456" w:type="dxa"/>
            <w:vAlign w:val="center"/>
          </w:tcPr>
          <w:p w14:paraId="76DDE3E7">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具有履行合同所必需的设备和专业技术能力</w:t>
            </w:r>
          </w:p>
        </w:tc>
        <w:tc>
          <w:tcPr>
            <w:tcW w:w="5006" w:type="dxa"/>
            <w:vAlign w:val="center"/>
          </w:tcPr>
          <w:p w14:paraId="6F842834">
            <w:pPr>
              <w:pStyle w:val="133"/>
              <w:spacing w:line="360" w:lineRule="exact"/>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须提供具备履行合同所必需的设备和专业技术能力的证明材料或书面声明原件扫描件</w:t>
            </w:r>
          </w:p>
        </w:tc>
      </w:tr>
      <w:tr w14:paraId="0F35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69" w:type="dxa"/>
            <w:vAlign w:val="center"/>
          </w:tcPr>
          <w:p w14:paraId="5641FB84">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4</w:t>
            </w:r>
          </w:p>
        </w:tc>
        <w:tc>
          <w:tcPr>
            <w:tcW w:w="3456" w:type="dxa"/>
            <w:vAlign w:val="center"/>
          </w:tcPr>
          <w:p w14:paraId="008254E8">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有依法缴纳税收和依法缴纳社会保障资金的记录</w:t>
            </w:r>
          </w:p>
        </w:tc>
        <w:tc>
          <w:tcPr>
            <w:tcW w:w="5006" w:type="dxa"/>
            <w:vAlign w:val="center"/>
          </w:tcPr>
          <w:p w14:paraId="47FD7B90">
            <w:pPr>
              <w:pStyle w:val="133"/>
              <w:spacing w:line="360" w:lineRule="exact"/>
              <w:ind w:firstLine="0" w:firstLineChars="0"/>
              <w:jc w:val="both"/>
              <w:rPr>
                <w:rFonts w:ascii="宋体" w:hAnsi="宋体" w:cs="宋体"/>
                <w:color w:val="000000"/>
                <w:sz w:val="21"/>
                <w:szCs w:val="21"/>
                <w:highlight w:val="none"/>
              </w:rPr>
            </w:pPr>
            <w:r>
              <w:rPr>
                <w:rFonts w:hint="eastAsia" w:ascii="宋体" w:hAnsi="宋体" w:cs="宋体"/>
                <w:color w:val="000000"/>
                <w:sz w:val="21"/>
                <w:szCs w:val="21"/>
                <w:highlight w:val="none"/>
              </w:rPr>
              <w:t>须提供响应文件递交截止日期之前六个月内任何一期的纳税记录或证明文件原件扫描件加盖电子公章（依法免税的应提供相应文件说明）</w:t>
            </w:r>
          </w:p>
          <w:p w14:paraId="630AC3F2">
            <w:pPr>
              <w:pStyle w:val="133"/>
              <w:spacing w:line="360" w:lineRule="exact"/>
              <w:ind w:firstLine="0" w:firstLineChars="0"/>
              <w:jc w:val="both"/>
              <w:rPr>
                <w:rFonts w:ascii="宋体" w:hAnsi="宋体" w:cs="宋体"/>
                <w:color w:val="000000"/>
                <w:sz w:val="21"/>
                <w:szCs w:val="21"/>
                <w:highlight w:val="none"/>
              </w:rPr>
            </w:pPr>
            <w:r>
              <w:rPr>
                <w:rFonts w:hint="eastAsia" w:ascii="宋体" w:hAnsi="宋体" w:cs="宋体"/>
                <w:color w:val="000000"/>
                <w:sz w:val="21"/>
                <w:szCs w:val="21"/>
                <w:highlight w:val="none"/>
              </w:rPr>
              <w:t>须提供响应文件递交截止日期之前六个月内为员工缴纳社会保障资金的证明材料原件扫描件加盖电子公章（任意一个月即可），证明材料是缴纳社会保险的凭据（专用收据或社会保险缴纳清单）（依法不需要缴纳社会保障资金的应提供相应文件说明）</w:t>
            </w:r>
          </w:p>
        </w:tc>
      </w:tr>
      <w:tr w14:paraId="538C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69" w:type="dxa"/>
            <w:vAlign w:val="center"/>
          </w:tcPr>
          <w:p w14:paraId="4C996DB1">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5</w:t>
            </w:r>
          </w:p>
        </w:tc>
        <w:tc>
          <w:tcPr>
            <w:tcW w:w="3456" w:type="dxa"/>
            <w:vAlign w:val="center"/>
          </w:tcPr>
          <w:p w14:paraId="1E10E0F8">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参加政府采购活动前三年内，在经营活动中没有重大违法记录</w:t>
            </w:r>
          </w:p>
        </w:tc>
        <w:tc>
          <w:tcPr>
            <w:tcW w:w="5006" w:type="dxa"/>
            <w:vAlign w:val="center"/>
          </w:tcPr>
          <w:p w14:paraId="2EE04D61">
            <w:pPr>
              <w:pStyle w:val="133"/>
              <w:ind w:firstLine="0" w:firstLineChars="0"/>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须提供声明函原件扫描件</w:t>
            </w:r>
          </w:p>
        </w:tc>
      </w:tr>
      <w:tr w14:paraId="24AF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69" w:type="dxa"/>
            <w:vAlign w:val="center"/>
          </w:tcPr>
          <w:p w14:paraId="6AB788AF">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6</w:t>
            </w:r>
          </w:p>
        </w:tc>
        <w:tc>
          <w:tcPr>
            <w:tcW w:w="3456" w:type="dxa"/>
            <w:vAlign w:val="center"/>
          </w:tcPr>
          <w:p w14:paraId="06155187">
            <w:pPr>
              <w:pStyle w:val="133"/>
              <w:ind w:firstLine="0" w:firstLineChars="0"/>
              <w:jc w:val="both"/>
              <w:rPr>
                <w:kern w:val="2"/>
                <w:sz w:val="21"/>
                <w:szCs w:val="21"/>
                <w:highlight w:val="none"/>
              </w:rPr>
            </w:pPr>
            <w:r>
              <w:rPr>
                <w:rFonts w:hint="eastAsia"/>
                <w:kern w:val="2"/>
                <w:sz w:val="21"/>
                <w:szCs w:val="21"/>
                <w:highlight w:val="none"/>
              </w:rPr>
              <w:t>中华人民共和国政府采购法律法规相关规定的其他条件。</w:t>
            </w:r>
          </w:p>
        </w:tc>
        <w:tc>
          <w:tcPr>
            <w:tcW w:w="5006" w:type="dxa"/>
            <w:vAlign w:val="center"/>
          </w:tcPr>
          <w:p w14:paraId="14B1939C">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sz w:val="21"/>
                <w:szCs w:val="21"/>
                <w:highlight w:val="none"/>
              </w:rPr>
              <w:t>须提供声明函原件</w:t>
            </w:r>
          </w:p>
        </w:tc>
      </w:tr>
      <w:tr w14:paraId="4B39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69" w:type="dxa"/>
            <w:vAlign w:val="center"/>
          </w:tcPr>
          <w:p w14:paraId="0420013E">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7</w:t>
            </w:r>
          </w:p>
        </w:tc>
        <w:tc>
          <w:tcPr>
            <w:tcW w:w="3456" w:type="dxa"/>
            <w:vAlign w:val="center"/>
          </w:tcPr>
          <w:p w14:paraId="06DF70DE">
            <w:pPr>
              <w:pStyle w:val="133"/>
              <w:ind w:firstLine="0" w:firstLineChars="0"/>
              <w:jc w:val="both"/>
              <w:rPr>
                <w:kern w:val="2"/>
                <w:sz w:val="21"/>
                <w:szCs w:val="21"/>
                <w:highlight w:val="none"/>
              </w:rPr>
            </w:pPr>
            <w:r>
              <w:rPr>
                <w:rFonts w:hint="eastAsia"/>
                <w:kern w:val="2"/>
                <w:sz w:val="21"/>
                <w:szCs w:val="21"/>
                <w:highlight w:val="none"/>
              </w:rPr>
              <w:t>供应商近三年如在“信用中国”网站（www.creditchina.gov.cn）、中国政府采购网（www.ccgp.gov.cn）等渠道被列入失信被执行人、重大税收违法失信主体、政府采购严重违法失信行为记录名单及其它不符合《中华人民共和国政府采购法》第二十二条规定条件的投标人，尚在处罚期内的将被拒绝参加本次投标活动。</w:t>
            </w:r>
          </w:p>
        </w:tc>
        <w:tc>
          <w:tcPr>
            <w:tcW w:w="5006" w:type="dxa"/>
            <w:vAlign w:val="center"/>
          </w:tcPr>
          <w:p w14:paraId="60679816">
            <w:pPr>
              <w:pStyle w:val="133"/>
              <w:ind w:firstLine="0" w:firstLineChars="0"/>
              <w:jc w:val="both"/>
              <w:rPr>
                <w:rFonts w:ascii="宋体" w:hAnsi="宋体" w:cs="宋体"/>
                <w:bCs w:val="0"/>
                <w:color w:val="000000"/>
                <w:spacing w:val="0"/>
                <w:kern w:val="2"/>
                <w:sz w:val="21"/>
                <w:szCs w:val="21"/>
                <w:highlight w:val="none"/>
              </w:rPr>
            </w:pPr>
            <w:r>
              <w:rPr>
                <w:rFonts w:hint="eastAsia"/>
                <w:sz w:val="21"/>
                <w:szCs w:val="21"/>
                <w:highlight w:val="none"/>
              </w:rPr>
              <w:t>凡拟参加本次招标项目的供应商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w:t>
            </w:r>
            <w:r>
              <w:rPr>
                <w:rFonts w:hint="eastAsia"/>
                <w:kern w:val="2"/>
                <w:sz w:val="21"/>
                <w:szCs w:val="21"/>
                <w:highlight w:val="none"/>
              </w:rPr>
              <w:t>；</w:t>
            </w:r>
            <w:r>
              <w:rPr>
                <w:rFonts w:hint="eastAsia" w:ascii="宋体" w:hAnsi="宋体" w:cs="宋体"/>
                <w:bCs w:val="0"/>
                <w:color w:val="000000"/>
                <w:spacing w:val="0"/>
                <w:kern w:val="2"/>
                <w:sz w:val="21"/>
                <w:szCs w:val="21"/>
                <w:highlight w:val="none"/>
              </w:rPr>
              <w:t>以采购代理机构在“信用中国”网站及“中国政府采购网”等网站查询结果为准。</w:t>
            </w:r>
          </w:p>
          <w:p w14:paraId="301322BF">
            <w:pPr>
              <w:pStyle w:val="133"/>
              <w:ind w:firstLine="0" w:firstLineChars="0"/>
              <w:jc w:val="both"/>
              <w:rPr>
                <w:rFonts w:ascii="宋体" w:hAnsi="宋体" w:cs="宋体"/>
                <w:sz w:val="21"/>
                <w:szCs w:val="21"/>
                <w:highlight w:val="none"/>
              </w:rPr>
            </w:pPr>
          </w:p>
        </w:tc>
      </w:tr>
      <w:tr w14:paraId="5548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9" w:type="dxa"/>
            <w:vAlign w:val="center"/>
          </w:tcPr>
          <w:p w14:paraId="4423B93E">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bCs w:val="0"/>
                <w:color w:val="000000"/>
                <w:spacing w:val="0"/>
                <w:kern w:val="2"/>
                <w:sz w:val="21"/>
                <w:szCs w:val="21"/>
                <w:highlight w:val="none"/>
              </w:rPr>
              <w:t>8</w:t>
            </w:r>
          </w:p>
        </w:tc>
        <w:tc>
          <w:tcPr>
            <w:tcW w:w="3456" w:type="dxa"/>
            <w:vAlign w:val="center"/>
          </w:tcPr>
          <w:p w14:paraId="438D3756">
            <w:pPr>
              <w:pStyle w:val="133"/>
              <w:spacing w:line="360" w:lineRule="exact"/>
              <w:ind w:firstLine="0" w:firstLineChars="0"/>
              <w:jc w:val="both"/>
              <w:rPr>
                <w:kern w:val="2"/>
                <w:sz w:val="21"/>
                <w:szCs w:val="21"/>
                <w:highlight w:val="none"/>
              </w:rPr>
            </w:pPr>
            <w:r>
              <w:rPr>
                <w:rFonts w:hint="eastAsia"/>
                <w:kern w:val="2"/>
                <w:sz w:val="21"/>
                <w:szCs w:val="21"/>
                <w:highlight w:val="none"/>
              </w:rPr>
              <w:t>（A）与采购人存在利害关系可能影响采购公正性的法人、其他组织或者个人，不得参加本次采购活动。（B）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c>
          <w:tcPr>
            <w:tcW w:w="5006" w:type="dxa"/>
            <w:vAlign w:val="center"/>
          </w:tcPr>
          <w:p w14:paraId="4558BD12">
            <w:pPr>
              <w:pStyle w:val="133"/>
              <w:ind w:firstLine="0" w:firstLineChars="0"/>
              <w:jc w:val="both"/>
              <w:rPr>
                <w:rFonts w:ascii="宋体" w:hAnsi="宋体" w:cs="宋体"/>
                <w:bCs w:val="0"/>
                <w:color w:val="000000"/>
                <w:spacing w:val="0"/>
                <w:kern w:val="2"/>
                <w:sz w:val="21"/>
                <w:szCs w:val="21"/>
                <w:highlight w:val="none"/>
              </w:rPr>
            </w:pPr>
            <w:r>
              <w:rPr>
                <w:rFonts w:hint="eastAsia" w:ascii="宋体" w:hAnsi="宋体" w:cs="宋体"/>
                <w:sz w:val="21"/>
                <w:szCs w:val="21"/>
                <w:highlight w:val="none"/>
              </w:rPr>
              <w:t>须</w:t>
            </w:r>
            <w:r>
              <w:rPr>
                <w:rFonts w:hint="eastAsia" w:hAnsi="宋体" w:cs="宋体"/>
                <w:bCs w:val="0"/>
                <w:spacing w:val="0"/>
                <w:kern w:val="2"/>
                <w:sz w:val="21"/>
                <w:szCs w:val="21"/>
                <w:highlight w:val="none"/>
              </w:rPr>
              <w:t>提供相关内容承诺函</w:t>
            </w:r>
            <w:r>
              <w:rPr>
                <w:rFonts w:hint="eastAsia" w:ascii="宋体" w:hAnsi="宋体" w:cs="宋体"/>
                <w:bCs w:val="0"/>
                <w:color w:val="000000"/>
                <w:spacing w:val="0"/>
                <w:kern w:val="2"/>
                <w:sz w:val="21"/>
                <w:szCs w:val="21"/>
                <w:highlight w:val="none"/>
              </w:rPr>
              <w:t>。</w:t>
            </w:r>
          </w:p>
        </w:tc>
      </w:tr>
      <w:tr w14:paraId="070E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9" w:type="dxa"/>
            <w:vAlign w:val="center"/>
          </w:tcPr>
          <w:p w14:paraId="0966BA75">
            <w:pPr>
              <w:pStyle w:val="133"/>
              <w:ind w:firstLine="0" w:firstLineChars="0"/>
              <w:jc w:val="both"/>
              <w:rPr>
                <w:rFonts w:hint="eastAsia" w:ascii="宋体" w:hAnsi="宋体" w:eastAsia="宋体" w:cs="宋体"/>
                <w:bCs w:val="0"/>
                <w:color w:val="000000"/>
                <w:spacing w:val="0"/>
                <w:kern w:val="2"/>
                <w:sz w:val="21"/>
                <w:szCs w:val="21"/>
                <w:highlight w:val="none"/>
                <w:lang w:val="en-US" w:eastAsia="zh-CN"/>
              </w:rPr>
            </w:pPr>
            <w:bookmarkStart w:id="23" w:name="_Toc8399"/>
            <w:r>
              <w:rPr>
                <w:rFonts w:hint="eastAsia" w:ascii="宋体" w:hAnsi="宋体" w:cs="宋体"/>
                <w:bCs w:val="0"/>
                <w:color w:val="000000"/>
                <w:spacing w:val="0"/>
                <w:kern w:val="2"/>
                <w:sz w:val="21"/>
                <w:szCs w:val="21"/>
                <w:highlight w:val="none"/>
                <w:lang w:val="en-US" w:eastAsia="zh-CN"/>
              </w:rPr>
              <w:t>9</w:t>
            </w:r>
          </w:p>
        </w:tc>
        <w:tc>
          <w:tcPr>
            <w:tcW w:w="3456" w:type="dxa"/>
            <w:vAlign w:val="center"/>
          </w:tcPr>
          <w:p w14:paraId="601F71D7">
            <w:pPr>
              <w:pStyle w:val="133"/>
              <w:spacing w:line="360" w:lineRule="exact"/>
              <w:ind w:firstLine="0" w:firstLineChars="0"/>
              <w:jc w:val="both"/>
              <w:rPr>
                <w:rFonts w:hint="eastAsia"/>
                <w:kern w:val="2"/>
                <w:sz w:val="21"/>
                <w:szCs w:val="21"/>
                <w:highlight w:val="none"/>
              </w:rPr>
            </w:pPr>
            <w:r>
              <w:rPr>
                <w:rFonts w:hint="eastAsia"/>
                <w:kern w:val="2"/>
                <w:sz w:val="21"/>
                <w:szCs w:val="21"/>
                <w:highlight w:val="none"/>
              </w:rPr>
              <w:t>本项目属于专门面向中小企业采购项目</w:t>
            </w:r>
          </w:p>
        </w:tc>
        <w:tc>
          <w:tcPr>
            <w:tcW w:w="5006" w:type="dxa"/>
            <w:vAlign w:val="center"/>
          </w:tcPr>
          <w:p w14:paraId="68E63364">
            <w:pPr>
              <w:pStyle w:val="133"/>
              <w:ind w:firstLine="0" w:firstLineChars="0"/>
              <w:jc w:val="both"/>
              <w:rPr>
                <w:rFonts w:hint="eastAsia" w:ascii="宋体" w:hAnsi="宋体" w:cs="宋体"/>
                <w:sz w:val="21"/>
                <w:szCs w:val="21"/>
                <w:highlight w:val="none"/>
              </w:rPr>
            </w:pPr>
            <w:r>
              <w:rPr>
                <w:rFonts w:hint="eastAsia" w:ascii="宋体" w:hAnsi="宋体" w:cs="宋体"/>
                <w:sz w:val="21"/>
                <w:szCs w:val="21"/>
                <w:highlight w:val="none"/>
              </w:rPr>
              <w:t>须</w:t>
            </w:r>
            <w:r>
              <w:rPr>
                <w:rFonts w:hint="eastAsia" w:ascii="宋体" w:hAnsi="宋体" w:cs="宋体"/>
                <w:sz w:val="21"/>
                <w:szCs w:val="21"/>
                <w:highlight w:val="none"/>
                <w:lang w:val="en-US" w:eastAsia="zh-CN"/>
              </w:rPr>
              <w:t>提供</w:t>
            </w:r>
            <w:r>
              <w:rPr>
                <w:rFonts w:hint="eastAsia" w:ascii="宋体" w:hAnsi="宋体" w:cs="宋体"/>
                <w:sz w:val="21"/>
                <w:szCs w:val="21"/>
                <w:highlight w:val="none"/>
              </w:rPr>
              <w:t>《中小企业声明函》</w:t>
            </w:r>
          </w:p>
        </w:tc>
      </w:tr>
    </w:tbl>
    <w:p w14:paraId="4E04A141">
      <w:pPr>
        <w:spacing w:line="360" w:lineRule="auto"/>
        <w:ind w:right="-420" w:rightChars="-200"/>
        <w:outlineLvl w:val="0"/>
        <w:rPr>
          <w:rFonts w:ascii="宋体" w:hAnsi="宋体" w:cs="Times New Roman"/>
          <w:color w:val="000000"/>
          <w:sz w:val="24"/>
          <w:szCs w:val="24"/>
          <w:highlight w:val="none"/>
        </w:rPr>
      </w:pPr>
      <w:r>
        <w:rPr>
          <w:rFonts w:hint="eastAsia" w:ascii="宋体" w:hAnsi="宋体" w:cs="Times New Roman"/>
          <w:color w:val="000000"/>
          <w:sz w:val="24"/>
          <w:szCs w:val="24"/>
          <w:highlight w:val="none"/>
        </w:rPr>
        <w:t>3.投标文件的符合性审查</w:t>
      </w:r>
      <w:bookmarkEnd w:id="23"/>
    </w:p>
    <w:tbl>
      <w:tblPr>
        <w:tblStyle w:val="45"/>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81"/>
        <w:gridCol w:w="3387"/>
        <w:gridCol w:w="3370"/>
      </w:tblGrid>
      <w:tr w14:paraId="7899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81" w:type="dxa"/>
            <w:vAlign w:val="center"/>
          </w:tcPr>
          <w:p w14:paraId="3BE3C6D7">
            <w:pPr>
              <w:pStyle w:val="29"/>
              <w:jc w:val="center"/>
              <w:rPr>
                <w:rFonts w:ascii="宋体" w:hAnsi="宋体" w:cs="宋体"/>
                <w:b/>
                <w:bCs/>
                <w:color w:val="000000"/>
                <w:sz w:val="21"/>
                <w:szCs w:val="21"/>
                <w:highlight w:val="none"/>
              </w:rPr>
            </w:pPr>
            <w:r>
              <w:rPr>
                <w:rFonts w:hint="eastAsia" w:ascii="宋体" w:hAnsi="宋体" w:cs="宋体"/>
                <w:b/>
                <w:bCs/>
                <w:color w:val="000000"/>
                <w:sz w:val="21"/>
                <w:szCs w:val="21"/>
                <w:highlight w:val="none"/>
              </w:rPr>
              <w:t>序号</w:t>
            </w:r>
          </w:p>
        </w:tc>
        <w:tc>
          <w:tcPr>
            <w:tcW w:w="1481" w:type="dxa"/>
            <w:vAlign w:val="center"/>
          </w:tcPr>
          <w:p w14:paraId="22D6DDBC">
            <w:pPr>
              <w:pStyle w:val="29"/>
              <w:ind w:right="65" w:rightChars="31"/>
              <w:jc w:val="center"/>
              <w:rPr>
                <w:rFonts w:ascii="宋体" w:hAnsi="宋体" w:cs="宋体"/>
                <w:b/>
                <w:bCs/>
                <w:color w:val="000000"/>
                <w:sz w:val="21"/>
                <w:szCs w:val="21"/>
                <w:highlight w:val="none"/>
              </w:rPr>
            </w:pPr>
            <w:r>
              <w:rPr>
                <w:rFonts w:hint="eastAsia" w:ascii="宋体" w:hAnsi="宋体" w:cs="宋体"/>
                <w:b/>
                <w:bCs/>
                <w:color w:val="000000"/>
                <w:sz w:val="21"/>
                <w:szCs w:val="21"/>
                <w:highlight w:val="none"/>
              </w:rPr>
              <w:t>评审因素</w:t>
            </w:r>
          </w:p>
        </w:tc>
        <w:tc>
          <w:tcPr>
            <w:tcW w:w="3387" w:type="dxa"/>
            <w:vAlign w:val="center"/>
          </w:tcPr>
          <w:p w14:paraId="106D1EF2">
            <w:pPr>
              <w:pStyle w:val="29"/>
              <w:ind w:right="-73" w:rightChars="-35"/>
              <w:jc w:val="center"/>
              <w:rPr>
                <w:rFonts w:ascii="宋体" w:hAnsi="宋体" w:cs="宋体"/>
                <w:b/>
                <w:bCs/>
                <w:color w:val="000000"/>
                <w:sz w:val="21"/>
                <w:szCs w:val="21"/>
                <w:highlight w:val="none"/>
              </w:rPr>
            </w:pPr>
            <w:r>
              <w:rPr>
                <w:rFonts w:hint="eastAsia" w:ascii="宋体" w:hAnsi="宋体" w:cs="宋体"/>
                <w:b/>
                <w:bCs/>
                <w:color w:val="000000"/>
                <w:sz w:val="21"/>
                <w:szCs w:val="21"/>
                <w:highlight w:val="none"/>
              </w:rPr>
              <w:t>审查内容和审查标准</w:t>
            </w:r>
          </w:p>
        </w:tc>
        <w:tc>
          <w:tcPr>
            <w:tcW w:w="3370" w:type="dxa"/>
            <w:vAlign w:val="center"/>
          </w:tcPr>
          <w:p w14:paraId="7EAC27AE">
            <w:pPr>
              <w:pStyle w:val="29"/>
              <w:ind w:right="-73" w:rightChars="-35"/>
              <w:jc w:val="center"/>
              <w:rPr>
                <w:rFonts w:ascii="宋体" w:hAnsi="宋体" w:cs="宋体"/>
                <w:b/>
                <w:bCs/>
                <w:color w:val="000000"/>
                <w:sz w:val="21"/>
                <w:szCs w:val="21"/>
                <w:highlight w:val="none"/>
              </w:rPr>
            </w:pPr>
            <w:r>
              <w:rPr>
                <w:rFonts w:hint="eastAsia" w:ascii="宋体" w:hAnsi="宋体" w:cs="宋体"/>
                <w:b/>
                <w:bCs/>
                <w:color w:val="000000"/>
                <w:sz w:val="21"/>
                <w:szCs w:val="21"/>
                <w:highlight w:val="none"/>
              </w:rPr>
              <w:t>合格标准</w:t>
            </w:r>
          </w:p>
        </w:tc>
      </w:tr>
      <w:tr w14:paraId="66E7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81" w:type="dxa"/>
            <w:vAlign w:val="center"/>
          </w:tcPr>
          <w:p w14:paraId="2666E365">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1</w:t>
            </w:r>
          </w:p>
        </w:tc>
        <w:tc>
          <w:tcPr>
            <w:tcW w:w="1481" w:type="dxa"/>
            <w:vAlign w:val="center"/>
          </w:tcPr>
          <w:p w14:paraId="518B99E4">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投标文件签章</w:t>
            </w:r>
          </w:p>
        </w:tc>
        <w:tc>
          <w:tcPr>
            <w:tcW w:w="3387" w:type="dxa"/>
            <w:vAlign w:val="center"/>
          </w:tcPr>
          <w:p w14:paraId="07706B66">
            <w:pPr>
              <w:pStyle w:val="29"/>
              <w:spacing w:line="360" w:lineRule="exact"/>
              <w:ind w:right="-73" w:rightChars="-35"/>
              <w:rPr>
                <w:rFonts w:ascii="宋体" w:hAnsi="宋体" w:cs="宋体"/>
                <w:color w:val="000000"/>
                <w:sz w:val="21"/>
                <w:szCs w:val="21"/>
                <w:highlight w:val="none"/>
              </w:rPr>
            </w:pPr>
            <w:r>
              <w:rPr>
                <w:rFonts w:hint="eastAsia" w:ascii="宋体" w:hAnsi="宋体" w:cs="宋体"/>
                <w:color w:val="000000"/>
                <w:sz w:val="21"/>
                <w:szCs w:val="21"/>
                <w:highlight w:val="none"/>
              </w:rPr>
              <w:t>是否按照规定在应由企业法人或法人授权代表在所有规定签字处逐一盖电子章或签字及加盖单位电子公章</w:t>
            </w:r>
          </w:p>
        </w:tc>
        <w:tc>
          <w:tcPr>
            <w:tcW w:w="3370" w:type="dxa"/>
            <w:vAlign w:val="center"/>
          </w:tcPr>
          <w:p w14:paraId="44514FD3">
            <w:pPr>
              <w:pStyle w:val="29"/>
              <w:spacing w:line="360" w:lineRule="exact"/>
              <w:ind w:right="-73" w:rightChars="-35"/>
              <w:rPr>
                <w:rFonts w:ascii="宋体" w:hAnsi="宋体" w:cs="宋体"/>
                <w:color w:val="000000"/>
                <w:sz w:val="21"/>
                <w:szCs w:val="21"/>
                <w:highlight w:val="none"/>
              </w:rPr>
            </w:pPr>
            <w:r>
              <w:rPr>
                <w:rFonts w:hint="eastAsia" w:ascii="宋体" w:hAnsi="宋体" w:cs="宋体"/>
                <w:color w:val="000000"/>
                <w:sz w:val="21"/>
                <w:szCs w:val="21"/>
                <w:highlight w:val="none"/>
              </w:rPr>
              <w:t>按照规定在应由企业法人或法人授权代表在所有规定签字处逐一盖电子章或签字及加盖单位电子公章</w:t>
            </w:r>
          </w:p>
        </w:tc>
      </w:tr>
      <w:tr w14:paraId="4FAA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81" w:type="dxa"/>
            <w:vAlign w:val="center"/>
          </w:tcPr>
          <w:p w14:paraId="6D89A9E4">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2</w:t>
            </w:r>
          </w:p>
        </w:tc>
        <w:tc>
          <w:tcPr>
            <w:tcW w:w="1481" w:type="dxa"/>
            <w:vAlign w:val="center"/>
          </w:tcPr>
          <w:p w14:paraId="4078B0C6">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报价</w:t>
            </w:r>
          </w:p>
        </w:tc>
        <w:tc>
          <w:tcPr>
            <w:tcW w:w="3387" w:type="dxa"/>
            <w:vAlign w:val="center"/>
          </w:tcPr>
          <w:p w14:paraId="248B1429">
            <w:pPr>
              <w:pStyle w:val="29"/>
              <w:spacing w:line="360" w:lineRule="exact"/>
              <w:ind w:right="-73" w:rightChars="-35"/>
              <w:jc w:val="both"/>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投标</w:t>
            </w:r>
            <w:r>
              <w:rPr>
                <w:rFonts w:hint="eastAsia" w:ascii="宋体" w:hAnsi="宋体" w:cs="宋体"/>
                <w:color w:val="000000"/>
                <w:sz w:val="21"/>
                <w:szCs w:val="21"/>
                <w:highlight w:val="none"/>
              </w:rPr>
              <w:t>文件是否针对同一种</w:t>
            </w:r>
            <w:r>
              <w:rPr>
                <w:rFonts w:hint="eastAsia" w:ascii="宋体" w:hAnsi="宋体" w:cs="宋体"/>
                <w:color w:val="000000"/>
                <w:sz w:val="21"/>
                <w:szCs w:val="21"/>
                <w:highlight w:val="none"/>
                <w:lang w:val="en-US" w:eastAsia="zh-CN"/>
              </w:rPr>
              <w:t>服务</w:t>
            </w:r>
            <w:r>
              <w:rPr>
                <w:rFonts w:hint="eastAsia" w:ascii="宋体" w:hAnsi="宋体" w:cs="宋体"/>
                <w:color w:val="000000"/>
                <w:sz w:val="21"/>
                <w:szCs w:val="21"/>
                <w:highlight w:val="none"/>
              </w:rPr>
              <w:t>出现了两个或两个以上的报价；报价是否超过项目预算或</w:t>
            </w:r>
            <w:r>
              <w:rPr>
                <w:rFonts w:hint="eastAsia" w:ascii="宋体" w:hAnsi="宋体" w:cs="宋体"/>
                <w:b/>
                <w:bCs/>
                <w:color w:val="000000"/>
                <w:sz w:val="21"/>
                <w:szCs w:val="21"/>
                <w:highlight w:val="none"/>
              </w:rPr>
              <w:t>最高限价</w:t>
            </w:r>
            <w:r>
              <w:rPr>
                <w:rFonts w:hint="eastAsia" w:ascii="宋体" w:hAnsi="宋体" w:cs="宋体"/>
                <w:b/>
                <w:bCs/>
                <w:color w:val="000000"/>
                <w:sz w:val="21"/>
                <w:szCs w:val="21"/>
                <w:highlight w:val="none"/>
                <w:lang w:eastAsia="zh-CN"/>
              </w:rPr>
              <w:t>；</w:t>
            </w:r>
            <w:r>
              <w:rPr>
                <w:rFonts w:hint="eastAsia" w:ascii="宋体" w:hAnsi="宋体" w:cs="宋体"/>
                <w:color w:val="000000"/>
                <w:sz w:val="21"/>
                <w:szCs w:val="21"/>
                <w:highlight w:val="none"/>
              </w:rPr>
              <w:t>或</w:t>
            </w:r>
            <w:r>
              <w:rPr>
                <w:sz w:val="21"/>
                <w:szCs w:val="21"/>
                <w:highlight w:val="none"/>
              </w:rPr>
              <w:t>经</w:t>
            </w:r>
            <w:r>
              <w:rPr>
                <w:rFonts w:hint="eastAsia"/>
                <w:sz w:val="21"/>
                <w:szCs w:val="21"/>
                <w:highlight w:val="none"/>
                <w:lang w:val="en-US" w:eastAsia="zh-CN"/>
              </w:rPr>
              <w:t>评审小组</w:t>
            </w:r>
            <w:r>
              <w:rPr>
                <w:sz w:val="21"/>
                <w:szCs w:val="21"/>
                <w:highlight w:val="none"/>
              </w:rPr>
              <w:t>认定</w:t>
            </w:r>
            <w:r>
              <w:rPr>
                <w:rFonts w:hint="eastAsia"/>
                <w:sz w:val="21"/>
                <w:szCs w:val="21"/>
                <w:highlight w:val="none"/>
              </w:rPr>
              <w:t>异常低价投标</w:t>
            </w:r>
            <w:r>
              <w:rPr>
                <w:rFonts w:hint="eastAsia" w:hAnsi="宋体" w:cs="宋体"/>
                <w:kern w:val="2"/>
                <w:sz w:val="21"/>
                <w:highlight w:val="none"/>
              </w:rPr>
              <w:t>（响应）</w:t>
            </w:r>
            <w:r>
              <w:rPr>
                <w:sz w:val="21"/>
                <w:szCs w:val="21"/>
                <w:highlight w:val="none"/>
              </w:rPr>
              <w:t>的</w:t>
            </w:r>
          </w:p>
        </w:tc>
        <w:tc>
          <w:tcPr>
            <w:tcW w:w="3370" w:type="dxa"/>
            <w:vAlign w:val="center"/>
          </w:tcPr>
          <w:p w14:paraId="05F2CEA8">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针对同一种</w:t>
            </w:r>
            <w:r>
              <w:rPr>
                <w:rFonts w:hint="eastAsia" w:ascii="宋体" w:hAnsi="宋体" w:cs="宋体"/>
                <w:color w:val="000000"/>
                <w:sz w:val="21"/>
                <w:szCs w:val="21"/>
                <w:highlight w:val="none"/>
                <w:lang w:val="en-US" w:eastAsia="zh-CN"/>
              </w:rPr>
              <w:t>服务</w:t>
            </w:r>
            <w:r>
              <w:rPr>
                <w:rFonts w:hint="eastAsia" w:ascii="宋体" w:hAnsi="宋体" w:cs="宋体"/>
                <w:color w:val="000000"/>
                <w:sz w:val="21"/>
                <w:szCs w:val="21"/>
                <w:highlight w:val="none"/>
              </w:rPr>
              <w:t>未出现了两个或两个以上的报价；报价未超过项目预算或</w:t>
            </w:r>
            <w:r>
              <w:rPr>
                <w:rFonts w:hint="eastAsia" w:ascii="宋体" w:hAnsi="宋体" w:cs="宋体"/>
                <w:b/>
                <w:bCs/>
                <w:color w:val="000000"/>
                <w:sz w:val="21"/>
                <w:szCs w:val="21"/>
                <w:highlight w:val="none"/>
              </w:rPr>
              <w:t>最高限价</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或</w:t>
            </w:r>
            <w:r>
              <w:rPr>
                <w:sz w:val="21"/>
                <w:szCs w:val="21"/>
                <w:highlight w:val="none"/>
              </w:rPr>
              <w:t>经</w:t>
            </w:r>
            <w:r>
              <w:rPr>
                <w:rFonts w:hint="eastAsia"/>
                <w:sz w:val="21"/>
                <w:szCs w:val="21"/>
                <w:highlight w:val="none"/>
                <w:lang w:val="en-US" w:eastAsia="zh-CN"/>
              </w:rPr>
              <w:t>评审小组</w:t>
            </w:r>
            <w:r>
              <w:rPr>
                <w:sz w:val="21"/>
                <w:szCs w:val="21"/>
                <w:highlight w:val="none"/>
              </w:rPr>
              <w:t>认定</w:t>
            </w:r>
            <w:r>
              <w:rPr>
                <w:rFonts w:hint="eastAsia"/>
                <w:sz w:val="21"/>
                <w:szCs w:val="21"/>
                <w:highlight w:val="none"/>
              </w:rPr>
              <w:t>异常低价投标</w:t>
            </w:r>
            <w:r>
              <w:rPr>
                <w:rFonts w:hint="eastAsia" w:hAnsi="宋体" w:cs="宋体"/>
                <w:kern w:val="2"/>
                <w:sz w:val="21"/>
                <w:highlight w:val="none"/>
              </w:rPr>
              <w:t>（响应）</w:t>
            </w:r>
            <w:r>
              <w:rPr>
                <w:sz w:val="21"/>
                <w:szCs w:val="21"/>
                <w:highlight w:val="none"/>
              </w:rPr>
              <w:t>的</w:t>
            </w:r>
          </w:p>
        </w:tc>
      </w:tr>
      <w:tr w14:paraId="22D6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81" w:type="dxa"/>
            <w:vAlign w:val="center"/>
          </w:tcPr>
          <w:p w14:paraId="7EE9894E">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3</w:t>
            </w:r>
          </w:p>
        </w:tc>
        <w:tc>
          <w:tcPr>
            <w:tcW w:w="1481" w:type="dxa"/>
            <w:vAlign w:val="center"/>
          </w:tcPr>
          <w:p w14:paraId="44A34B99">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投标文件内容</w:t>
            </w:r>
          </w:p>
        </w:tc>
        <w:tc>
          <w:tcPr>
            <w:tcW w:w="3387" w:type="dxa"/>
            <w:vAlign w:val="center"/>
          </w:tcPr>
          <w:p w14:paraId="7A6AA9E6">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是否按照招标文件规定的内容填写</w:t>
            </w:r>
          </w:p>
        </w:tc>
        <w:tc>
          <w:tcPr>
            <w:tcW w:w="3370" w:type="dxa"/>
            <w:vAlign w:val="center"/>
          </w:tcPr>
          <w:p w14:paraId="608A5F9C">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按照招标文件规定的内容填写</w:t>
            </w:r>
          </w:p>
        </w:tc>
      </w:tr>
      <w:tr w14:paraId="1ED1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81" w:type="dxa"/>
            <w:vAlign w:val="center"/>
          </w:tcPr>
          <w:p w14:paraId="40D7BEF5">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4</w:t>
            </w:r>
          </w:p>
        </w:tc>
        <w:tc>
          <w:tcPr>
            <w:tcW w:w="1481" w:type="dxa"/>
            <w:vAlign w:val="center"/>
          </w:tcPr>
          <w:p w14:paraId="6D01F18F">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服务期</w:t>
            </w:r>
          </w:p>
        </w:tc>
        <w:tc>
          <w:tcPr>
            <w:tcW w:w="3387" w:type="dxa"/>
            <w:vAlign w:val="center"/>
          </w:tcPr>
          <w:p w14:paraId="5F624A1A">
            <w:pPr>
              <w:pStyle w:val="29"/>
              <w:spacing w:line="360" w:lineRule="exact"/>
              <w:ind w:right="65" w:rightChars="31"/>
              <w:jc w:val="both"/>
              <w:rPr>
                <w:rFonts w:ascii="宋体" w:hAnsi="宋体" w:cs="宋体"/>
                <w:color w:val="000000"/>
                <w:sz w:val="21"/>
                <w:szCs w:val="21"/>
                <w:highlight w:val="none"/>
              </w:rPr>
            </w:pPr>
            <w:r>
              <w:rPr>
                <w:rFonts w:hint="eastAsia" w:ascii="宋体" w:hAnsi="宋体" w:cs="宋体"/>
                <w:color w:val="000000"/>
                <w:sz w:val="21"/>
                <w:szCs w:val="21"/>
                <w:highlight w:val="none"/>
              </w:rPr>
              <w:t>服务期限是否满足招标文件要求</w:t>
            </w:r>
          </w:p>
        </w:tc>
        <w:tc>
          <w:tcPr>
            <w:tcW w:w="3370" w:type="dxa"/>
            <w:vAlign w:val="center"/>
          </w:tcPr>
          <w:p w14:paraId="3DDDCD39">
            <w:pPr>
              <w:pStyle w:val="29"/>
              <w:spacing w:line="360" w:lineRule="exact"/>
              <w:ind w:right="65" w:rightChars="31"/>
              <w:jc w:val="both"/>
              <w:rPr>
                <w:rFonts w:ascii="宋体" w:hAnsi="宋体" w:cs="宋体"/>
                <w:color w:val="000000"/>
                <w:sz w:val="21"/>
                <w:szCs w:val="21"/>
                <w:highlight w:val="none"/>
              </w:rPr>
            </w:pPr>
            <w:r>
              <w:rPr>
                <w:rFonts w:hint="eastAsia" w:ascii="宋体" w:hAnsi="宋体" w:cs="宋体"/>
                <w:color w:val="000000"/>
                <w:sz w:val="21"/>
                <w:szCs w:val="21"/>
                <w:highlight w:val="none"/>
              </w:rPr>
              <w:t>服务期限满足招标文件要求</w:t>
            </w:r>
          </w:p>
        </w:tc>
      </w:tr>
      <w:tr w14:paraId="3F4A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81" w:type="dxa"/>
            <w:vAlign w:val="center"/>
          </w:tcPr>
          <w:p w14:paraId="299B06C4">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5</w:t>
            </w:r>
          </w:p>
        </w:tc>
        <w:tc>
          <w:tcPr>
            <w:tcW w:w="1481" w:type="dxa"/>
            <w:vAlign w:val="center"/>
          </w:tcPr>
          <w:p w14:paraId="636EE4F9">
            <w:pPr>
              <w:pStyle w:val="29"/>
              <w:ind w:right="65" w:rightChars="31"/>
              <w:jc w:val="center"/>
              <w:rPr>
                <w:rFonts w:ascii="宋体" w:hAnsi="宋体" w:cs="宋体"/>
                <w:color w:val="000000"/>
                <w:sz w:val="21"/>
                <w:szCs w:val="21"/>
                <w:highlight w:val="none"/>
              </w:rPr>
            </w:pPr>
            <w:r>
              <w:rPr>
                <w:rFonts w:hint="eastAsia" w:hAnsi="宋体" w:cs="宋体"/>
                <w:color w:val="000000"/>
                <w:sz w:val="21"/>
                <w:szCs w:val="21"/>
                <w:highlight w:val="none"/>
              </w:rPr>
              <w:t>实质性响应</w:t>
            </w:r>
          </w:p>
        </w:tc>
        <w:tc>
          <w:tcPr>
            <w:tcW w:w="3387" w:type="dxa"/>
            <w:vAlign w:val="center"/>
          </w:tcPr>
          <w:p w14:paraId="58C0DCF3">
            <w:pPr>
              <w:pStyle w:val="29"/>
              <w:spacing w:line="360" w:lineRule="exact"/>
              <w:ind w:right="65" w:rightChars="31"/>
              <w:jc w:val="both"/>
              <w:rPr>
                <w:rFonts w:ascii="宋体" w:hAnsi="宋体" w:cs="宋体"/>
                <w:color w:val="000000"/>
                <w:sz w:val="21"/>
                <w:szCs w:val="21"/>
                <w:highlight w:val="none"/>
              </w:rPr>
            </w:pPr>
            <w:r>
              <w:rPr>
                <w:rFonts w:hAnsi="宋体" w:cs="宋体"/>
                <w:color w:val="000000"/>
                <w:sz w:val="21"/>
                <w:szCs w:val="21"/>
                <w:highlight w:val="none"/>
              </w:rPr>
              <w:t>投标文件是否满足招标文件中实质性条款的要求和明确的商务要求。</w:t>
            </w:r>
            <w:r>
              <w:rPr>
                <w:rFonts w:hint="eastAsia" w:hAnsi="宋体" w:cs="宋体"/>
                <w:color w:val="000000"/>
                <w:sz w:val="21"/>
                <w:szCs w:val="21"/>
                <w:highlight w:val="none"/>
              </w:rPr>
              <w:t>不满足作无效响应处理。</w:t>
            </w:r>
          </w:p>
        </w:tc>
        <w:tc>
          <w:tcPr>
            <w:tcW w:w="3370" w:type="dxa"/>
            <w:vAlign w:val="center"/>
          </w:tcPr>
          <w:p w14:paraId="6B6BCBB3">
            <w:pPr>
              <w:pStyle w:val="29"/>
              <w:spacing w:line="360" w:lineRule="exact"/>
              <w:ind w:right="65" w:rightChars="31"/>
              <w:jc w:val="both"/>
              <w:rPr>
                <w:rFonts w:ascii="宋体" w:hAnsi="宋体" w:cs="宋体"/>
                <w:color w:val="000000"/>
                <w:sz w:val="21"/>
                <w:szCs w:val="21"/>
                <w:highlight w:val="none"/>
              </w:rPr>
            </w:pPr>
            <w:r>
              <w:rPr>
                <w:rFonts w:hAnsi="宋体" w:cs="宋体"/>
                <w:color w:val="000000"/>
                <w:sz w:val="21"/>
                <w:szCs w:val="21"/>
                <w:highlight w:val="none"/>
              </w:rPr>
              <w:t>投标文件满足招标文件中</w:t>
            </w:r>
            <w:r>
              <w:rPr>
                <w:rFonts w:hint="eastAsia" w:hAnsi="宋体" w:cs="宋体"/>
                <w:color w:val="000000"/>
                <w:sz w:val="21"/>
                <w:szCs w:val="21"/>
                <w:highlight w:val="none"/>
              </w:rPr>
              <w:t>*</w:t>
            </w:r>
            <w:r>
              <w:rPr>
                <w:rFonts w:hAnsi="宋体" w:cs="宋体"/>
                <w:color w:val="000000"/>
                <w:sz w:val="21"/>
                <w:szCs w:val="21"/>
                <w:highlight w:val="none"/>
              </w:rPr>
              <w:t>实质性条款的要求和明确的商务要求。</w:t>
            </w:r>
          </w:p>
        </w:tc>
      </w:tr>
      <w:tr w14:paraId="18D3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81" w:type="dxa"/>
            <w:vAlign w:val="center"/>
          </w:tcPr>
          <w:p w14:paraId="5228B0C9">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6</w:t>
            </w:r>
          </w:p>
        </w:tc>
        <w:tc>
          <w:tcPr>
            <w:tcW w:w="1481" w:type="dxa"/>
            <w:vAlign w:val="center"/>
          </w:tcPr>
          <w:p w14:paraId="23AA13B7">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投标保证金</w:t>
            </w:r>
          </w:p>
        </w:tc>
        <w:tc>
          <w:tcPr>
            <w:tcW w:w="3387" w:type="dxa"/>
            <w:vAlign w:val="center"/>
          </w:tcPr>
          <w:p w14:paraId="27DC3D6F">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是否按招标文件规定递交保证金或保函、保证金金额、保证金形式是否符合招标文件规定的</w:t>
            </w:r>
          </w:p>
        </w:tc>
        <w:tc>
          <w:tcPr>
            <w:tcW w:w="3370" w:type="dxa"/>
            <w:vAlign w:val="center"/>
          </w:tcPr>
          <w:p w14:paraId="7593DAC1">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按招标文件规定递交保证金或保函、保证金金额、保证金形式符合招标文件规定的</w:t>
            </w:r>
          </w:p>
        </w:tc>
      </w:tr>
      <w:tr w14:paraId="7CCD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81" w:type="dxa"/>
            <w:vAlign w:val="center"/>
          </w:tcPr>
          <w:p w14:paraId="3186DB5F">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7</w:t>
            </w:r>
          </w:p>
        </w:tc>
        <w:tc>
          <w:tcPr>
            <w:tcW w:w="1481" w:type="dxa"/>
            <w:vAlign w:val="center"/>
          </w:tcPr>
          <w:p w14:paraId="27840D75">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投标有效期</w:t>
            </w:r>
          </w:p>
        </w:tc>
        <w:tc>
          <w:tcPr>
            <w:tcW w:w="3387" w:type="dxa"/>
            <w:vAlign w:val="center"/>
          </w:tcPr>
          <w:p w14:paraId="0B5CEE3D">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投标有效期是否满足招标文件要求</w:t>
            </w:r>
          </w:p>
        </w:tc>
        <w:tc>
          <w:tcPr>
            <w:tcW w:w="3370" w:type="dxa"/>
            <w:vAlign w:val="center"/>
          </w:tcPr>
          <w:p w14:paraId="55A8DA3B">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投标有效期满足招标文件要求</w:t>
            </w:r>
          </w:p>
        </w:tc>
      </w:tr>
      <w:tr w14:paraId="1189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81" w:type="dxa"/>
            <w:vAlign w:val="center"/>
          </w:tcPr>
          <w:p w14:paraId="19FDB67C">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8</w:t>
            </w:r>
          </w:p>
        </w:tc>
        <w:tc>
          <w:tcPr>
            <w:tcW w:w="1481" w:type="dxa"/>
            <w:vAlign w:val="center"/>
          </w:tcPr>
          <w:p w14:paraId="6AB56A8D">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附加条件</w:t>
            </w:r>
          </w:p>
        </w:tc>
        <w:tc>
          <w:tcPr>
            <w:tcW w:w="3387" w:type="dxa"/>
            <w:vAlign w:val="center"/>
          </w:tcPr>
          <w:p w14:paraId="23C0E210">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lang w:val="en-US" w:eastAsia="zh-CN"/>
              </w:rPr>
              <w:t>投标</w:t>
            </w:r>
            <w:r>
              <w:rPr>
                <w:rFonts w:hint="eastAsia" w:ascii="宋体" w:hAnsi="宋体" w:cs="宋体"/>
                <w:color w:val="000000"/>
                <w:sz w:val="21"/>
                <w:szCs w:val="21"/>
                <w:highlight w:val="none"/>
              </w:rPr>
              <w:t>文件是否含有采购人不能接受的附加条件的</w:t>
            </w:r>
          </w:p>
        </w:tc>
        <w:tc>
          <w:tcPr>
            <w:tcW w:w="3370" w:type="dxa"/>
            <w:vAlign w:val="center"/>
          </w:tcPr>
          <w:p w14:paraId="5299EDF8">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投标文件未含有采购人不能接受的附加条件的</w:t>
            </w:r>
          </w:p>
        </w:tc>
      </w:tr>
      <w:tr w14:paraId="1885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81" w:type="dxa"/>
            <w:vAlign w:val="center"/>
          </w:tcPr>
          <w:p w14:paraId="1EEAC3BB">
            <w:pPr>
              <w:pStyle w:val="29"/>
              <w:ind w:right="-71" w:rightChars="-34"/>
              <w:jc w:val="center"/>
              <w:rPr>
                <w:rFonts w:ascii="宋体" w:hAnsi="宋体" w:cs="宋体"/>
                <w:color w:val="000000"/>
                <w:sz w:val="21"/>
                <w:szCs w:val="21"/>
                <w:highlight w:val="none"/>
              </w:rPr>
            </w:pPr>
            <w:r>
              <w:rPr>
                <w:rFonts w:hint="eastAsia" w:ascii="宋体" w:hAnsi="宋体" w:cs="宋体"/>
                <w:color w:val="000000"/>
                <w:sz w:val="21"/>
                <w:szCs w:val="21"/>
                <w:highlight w:val="none"/>
              </w:rPr>
              <w:t>9</w:t>
            </w:r>
          </w:p>
        </w:tc>
        <w:tc>
          <w:tcPr>
            <w:tcW w:w="1481" w:type="dxa"/>
            <w:vAlign w:val="center"/>
          </w:tcPr>
          <w:p w14:paraId="15D38F44">
            <w:pPr>
              <w:pStyle w:val="29"/>
              <w:ind w:right="65" w:rightChars="31"/>
              <w:jc w:val="center"/>
              <w:rPr>
                <w:rFonts w:ascii="宋体" w:hAnsi="宋体" w:cs="宋体"/>
                <w:color w:val="000000"/>
                <w:sz w:val="21"/>
                <w:szCs w:val="21"/>
                <w:highlight w:val="none"/>
              </w:rPr>
            </w:pPr>
            <w:r>
              <w:rPr>
                <w:rFonts w:hint="eastAsia" w:ascii="宋体" w:hAnsi="宋体" w:cs="宋体"/>
                <w:color w:val="000000"/>
                <w:sz w:val="21"/>
                <w:szCs w:val="21"/>
                <w:highlight w:val="none"/>
              </w:rPr>
              <w:t>其他</w:t>
            </w:r>
          </w:p>
        </w:tc>
        <w:tc>
          <w:tcPr>
            <w:tcW w:w="3387" w:type="dxa"/>
            <w:vAlign w:val="center"/>
          </w:tcPr>
          <w:p w14:paraId="1C9073EA">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投标文件中是否存在违反国家法律法规和招标文件规定的其他无效情形</w:t>
            </w:r>
          </w:p>
        </w:tc>
        <w:tc>
          <w:tcPr>
            <w:tcW w:w="3370" w:type="dxa"/>
            <w:vAlign w:val="center"/>
          </w:tcPr>
          <w:p w14:paraId="798C173E">
            <w:pPr>
              <w:pStyle w:val="29"/>
              <w:spacing w:line="360" w:lineRule="exact"/>
              <w:ind w:right="-73" w:rightChars="-35"/>
              <w:jc w:val="both"/>
              <w:rPr>
                <w:rFonts w:ascii="宋体" w:hAnsi="宋体" w:cs="宋体"/>
                <w:color w:val="000000"/>
                <w:sz w:val="21"/>
                <w:szCs w:val="21"/>
                <w:highlight w:val="none"/>
              </w:rPr>
            </w:pPr>
            <w:r>
              <w:rPr>
                <w:rFonts w:hint="eastAsia" w:ascii="宋体" w:hAnsi="宋体" w:cs="宋体"/>
                <w:color w:val="000000"/>
                <w:sz w:val="21"/>
                <w:szCs w:val="21"/>
                <w:highlight w:val="none"/>
              </w:rPr>
              <w:t>投标文件中不存在违反国家法律法规和招标文件规定的其他无效情形</w:t>
            </w:r>
          </w:p>
        </w:tc>
      </w:tr>
    </w:tbl>
    <w:p w14:paraId="325E4640">
      <w:pPr>
        <w:spacing w:line="300" w:lineRule="exact"/>
        <w:rPr>
          <w:rFonts w:ascii="宋体" w:hAnsi="宋体" w:cs="Times New Roman"/>
          <w:color w:val="000000"/>
          <w:kern w:val="0"/>
          <w:sz w:val="24"/>
          <w:szCs w:val="24"/>
          <w:highlight w:val="none"/>
        </w:rPr>
      </w:pPr>
    </w:p>
    <w:p w14:paraId="5BF82CA0">
      <w:pPr>
        <w:spacing w:line="300" w:lineRule="exact"/>
        <w:outlineLvl w:val="0"/>
        <w:rPr>
          <w:rFonts w:ascii="宋体" w:hAnsi="宋体" w:cs="Times New Roman"/>
          <w:color w:val="000000"/>
          <w:kern w:val="0"/>
          <w:sz w:val="20"/>
          <w:szCs w:val="21"/>
          <w:highlight w:val="none"/>
        </w:rPr>
      </w:pPr>
      <w:bookmarkStart w:id="24" w:name="_Toc15365"/>
      <w:r>
        <w:rPr>
          <w:rFonts w:hint="eastAsia" w:ascii="宋体" w:hAnsi="宋体" w:cs="Times New Roman"/>
          <w:color w:val="000000"/>
          <w:kern w:val="0"/>
          <w:sz w:val="24"/>
          <w:szCs w:val="24"/>
          <w:highlight w:val="none"/>
        </w:rPr>
        <w:t>4.评分标准</w:t>
      </w:r>
      <w:bookmarkEnd w:id="24"/>
    </w:p>
    <w:tbl>
      <w:tblPr>
        <w:tblStyle w:val="45"/>
        <w:tblpPr w:leftFromText="180" w:rightFromText="180" w:vertAnchor="text" w:horzAnchor="page" w:tblpX="1553" w:tblpY="302"/>
        <w:tblOverlap w:val="never"/>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529"/>
        <w:gridCol w:w="6126"/>
      </w:tblGrid>
      <w:tr w14:paraId="2698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036" w:type="dxa"/>
            <w:gridSpan w:val="3"/>
          </w:tcPr>
          <w:p w14:paraId="39F92EF7">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评分项</w:t>
            </w:r>
          </w:p>
        </w:tc>
      </w:tr>
      <w:tr w14:paraId="285C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14:paraId="2D9224A9">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价格部分</w:t>
            </w:r>
          </w:p>
          <w:p w14:paraId="1FF31610">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10</w:t>
            </w:r>
            <w:r>
              <w:rPr>
                <w:rFonts w:hint="eastAsia" w:ascii="宋体" w:hAnsi="宋体"/>
                <w:b/>
                <w:bCs/>
                <w:color w:val="auto"/>
                <w:sz w:val="21"/>
                <w:szCs w:val="21"/>
                <w:highlight w:val="none"/>
              </w:rPr>
              <w:t>分）</w:t>
            </w:r>
          </w:p>
        </w:tc>
        <w:tc>
          <w:tcPr>
            <w:tcW w:w="1529" w:type="dxa"/>
            <w:vAlign w:val="center"/>
          </w:tcPr>
          <w:p w14:paraId="6E15D03B">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报价</w:t>
            </w:r>
          </w:p>
          <w:p w14:paraId="0CB2CCB8">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lang w:val="en-US" w:eastAsia="zh-CN"/>
              </w:rPr>
              <w:t>10</w:t>
            </w:r>
            <w:r>
              <w:rPr>
                <w:rFonts w:hint="eastAsia" w:ascii="宋体" w:hAnsi="宋体"/>
                <w:b/>
                <w:bCs/>
                <w:color w:val="auto"/>
                <w:sz w:val="21"/>
                <w:szCs w:val="21"/>
                <w:highlight w:val="none"/>
              </w:rPr>
              <w:t>分</w:t>
            </w:r>
          </w:p>
        </w:tc>
        <w:tc>
          <w:tcPr>
            <w:tcW w:w="6126" w:type="dxa"/>
          </w:tcPr>
          <w:p w14:paraId="305F57E8">
            <w:pPr>
              <w:pStyle w:val="29"/>
              <w:spacing w:line="360" w:lineRule="auto"/>
              <w:ind w:right="-31" w:rightChars="-15"/>
              <w:rPr>
                <w:rFonts w:ascii="宋体" w:hAnsi="宋体" w:cs="宋体"/>
                <w:b/>
                <w:bCs/>
                <w:color w:val="auto"/>
                <w:sz w:val="21"/>
                <w:szCs w:val="21"/>
                <w:highlight w:val="none"/>
              </w:rPr>
            </w:pPr>
            <w:r>
              <w:rPr>
                <w:rFonts w:hint="eastAsia" w:ascii="宋体" w:hAnsi="宋体" w:cs="宋体"/>
                <w:b/>
                <w:bCs/>
                <w:color w:val="auto"/>
                <w:sz w:val="21"/>
                <w:szCs w:val="21"/>
                <w:highlight w:val="none"/>
              </w:rPr>
              <w:t>满足</w:t>
            </w:r>
            <w:r>
              <w:rPr>
                <w:rFonts w:hint="eastAsia" w:ascii="宋体" w:hAnsi="宋体" w:cs="宋体"/>
                <w:b/>
                <w:bCs/>
                <w:color w:val="auto"/>
                <w:sz w:val="21"/>
                <w:szCs w:val="21"/>
                <w:highlight w:val="none"/>
                <w:lang w:val="en-US" w:eastAsia="zh-CN"/>
              </w:rPr>
              <w:t>招标</w:t>
            </w:r>
            <w:r>
              <w:rPr>
                <w:rFonts w:hint="eastAsia" w:ascii="宋体" w:hAnsi="宋体" w:cs="宋体"/>
                <w:b/>
                <w:bCs/>
                <w:color w:val="auto"/>
                <w:sz w:val="21"/>
                <w:szCs w:val="21"/>
                <w:highlight w:val="none"/>
              </w:rPr>
              <w:t>文件要求且投标价格最低的有效投标报价（即除低于成本报价以外的报价）为评标基准价。其他投标人的价格分统一按照下列公式计算：</w:t>
            </w:r>
          </w:p>
          <w:p w14:paraId="3571DDFF">
            <w:pPr>
              <w:pStyle w:val="58"/>
              <w:snapToGrid w:val="0"/>
              <w:spacing w:line="360" w:lineRule="auto"/>
              <w:jc w:val="both"/>
              <w:rPr>
                <w:rFonts w:hAnsi="宋体"/>
                <w:b/>
                <w:bCs/>
                <w:color w:val="auto"/>
                <w:kern w:val="2"/>
                <w:sz w:val="21"/>
                <w:szCs w:val="21"/>
                <w:highlight w:val="none"/>
              </w:rPr>
            </w:pPr>
            <w:r>
              <w:rPr>
                <w:rFonts w:hint="eastAsia" w:ascii="宋体" w:hAnsi="宋体" w:cs="宋体"/>
                <w:b/>
                <w:bCs/>
                <w:color w:val="auto"/>
                <w:sz w:val="21"/>
                <w:szCs w:val="21"/>
                <w:highlight w:val="none"/>
              </w:rPr>
              <w:t>投标报价得分=（评标基准价/投标报价）×价格满分分值</w:t>
            </w:r>
            <w:r>
              <w:rPr>
                <w:rFonts w:hint="eastAsia" w:hAnsi="宋体"/>
                <w:b/>
                <w:bCs/>
                <w:color w:val="auto"/>
                <w:kern w:val="2"/>
                <w:sz w:val="21"/>
                <w:szCs w:val="21"/>
                <w:highlight w:val="none"/>
              </w:rPr>
              <w:t>备注：</w:t>
            </w:r>
          </w:p>
          <w:p w14:paraId="4217CCC4">
            <w:pPr>
              <w:pStyle w:val="58"/>
              <w:snapToGrid w:val="0"/>
              <w:spacing w:line="360" w:lineRule="auto"/>
              <w:jc w:val="both"/>
              <w:rPr>
                <w:rFonts w:hAnsi="宋体"/>
                <w:b/>
                <w:bCs/>
                <w:color w:val="auto"/>
                <w:kern w:val="2"/>
                <w:sz w:val="21"/>
                <w:szCs w:val="21"/>
                <w:highlight w:val="none"/>
              </w:rPr>
            </w:pPr>
            <w:r>
              <w:rPr>
                <w:rFonts w:hint="eastAsia" w:hAnsi="宋体"/>
                <w:b/>
                <w:bCs/>
                <w:color w:val="auto"/>
                <w:kern w:val="2"/>
                <w:sz w:val="21"/>
                <w:szCs w:val="21"/>
                <w:highlight w:val="none"/>
              </w:rPr>
              <w:t>1.投标价格评分采用低价优先法计算；</w:t>
            </w:r>
          </w:p>
          <w:p w14:paraId="47121CF2">
            <w:pPr>
              <w:pStyle w:val="58"/>
              <w:snapToGrid w:val="0"/>
              <w:spacing w:line="360" w:lineRule="auto"/>
              <w:jc w:val="both"/>
              <w:rPr>
                <w:rFonts w:hAnsi="宋体"/>
                <w:b/>
                <w:bCs/>
                <w:color w:val="auto"/>
                <w:sz w:val="21"/>
                <w:szCs w:val="21"/>
                <w:highlight w:val="none"/>
              </w:rPr>
            </w:pPr>
            <w:r>
              <w:rPr>
                <w:rFonts w:hint="eastAsia" w:hAnsi="宋体"/>
                <w:b/>
                <w:bCs/>
                <w:color w:val="auto"/>
                <w:kern w:val="2"/>
                <w:sz w:val="21"/>
                <w:szCs w:val="21"/>
                <w:highlight w:val="none"/>
              </w:rPr>
              <w:t>2.评标基准价：满足招标文件要求且经修正，依据政府采购政策进行价格扣除后的最低报价为评标基准价；（本项目</w:t>
            </w:r>
            <w:r>
              <w:rPr>
                <w:rFonts w:hint="eastAsia" w:hAnsi="宋体"/>
                <w:b/>
                <w:bCs/>
                <w:color w:val="auto"/>
                <w:kern w:val="2"/>
                <w:sz w:val="21"/>
                <w:szCs w:val="21"/>
                <w:highlight w:val="none"/>
                <w:lang w:val="en-US" w:eastAsia="zh-CN"/>
              </w:rPr>
              <w:t>非</w:t>
            </w:r>
            <w:r>
              <w:rPr>
                <w:rFonts w:hint="eastAsia" w:hAnsi="宋体"/>
                <w:b/>
                <w:bCs/>
                <w:color w:val="auto"/>
                <w:kern w:val="2"/>
                <w:sz w:val="21"/>
                <w:szCs w:val="21"/>
                <w:highlight w:val="none"/>
              </w:rPr>
              <w:t>专门面向</w:t>
            </w:r>
            <w:r>
              <w:rPr>
                <w:rFonts w:hint="eastAsia" w:hAnsi="宋体"/>
                <w:b/>
                <w:bCs/>
                <w:color w:val="auto"/>
                <w:kern w:val="2"/>
                <w:sz w:val="21"/>
                <w:szCs w:val="21"/>
                <w:highlight w:val="none"/>
                <w:lang w:val="en-US" w:eastAsia="zh-CN"/>
              </w:rPr>
              <w:t>中小</w:t>
            </w:r>
            <w:r>
              <w:rPr>
                <w:rFonts w:hint="eastAsia" w:hAnsi="宋体"/>
                <w:b/>
                <w:bCs/>
                <w:color w:val="auto"/>
                <w:kern w:val="2"/>
                <w:sz w:val="21"/>
                <w:szCs w:val="21"/>
                <w:highlight w:val="none"/>
              </w:rPr>
              <w:t>企业，计算报价时给</w:t>
            </w:r>
            <w:r>
              <w:rPr>
                <w:rFonts w:hint="eastAsia" w:hAnsi="宋体"/>
                <w:b/>
                <w:bCs/>
                <w:color w:val="auto"/>
                <w:kern w:val="2"/>
                <w:sz w:val="21"/>
                <w:szCs w:val="21"/>
                <w:highlight w:val="none"/>
                <w:lang w:val="en-US" w:eastAsia="zh-CN"/>
              </w:rPr>
              <w:t>小微企业</w:t>
            </w:r>
            <w:r>
              <w:rPr>
                <w:rFonts w:hint="eastAsia" w:hAnsi="宋体"/>
                <w:b/>
                <w:bCs/>
                <w:color w:val="auto"/>
                <w:kern w:val="2"/>
                <w:sz w:val="21"/>
                <w:szCs w:val="21"/>
                <w:highlight w:val="none"/>
              </w:rPr>
              <w:t>予优惠计算。）</w:t>
            </w:r>
          </w:p>
        </w:tc>
      </w:tr>
      <w:tr w14:paraId="2729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restart"/>
            <w:vAlign w:val="center"/>
          </w:tcPr>
          <w:p w14:paraId="0FEF3AB4">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商务部分</w:t>
            </w:r>
          </w:p>
          <w:p w14:paraId="13F762A2">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15</w:t>
            </w:r>
            <w:r>
              <w:rPr>
                <w:rFonts w:hint="eastAsia" w:ascii="宋体" w:hAnsi="宋体"/>
                <w:b/>
                <w:bCs/>
                <w:color w:val="auto"/>
                <w:sz w:val="21"/>
                <w:szCs w:val="21"/>
                <w:highlight w:val="none"/>
              </w:rPr>
              <w:t>分）</w:t>
            </w:r>
          </w:p>
        </w:tc>
        <w:tc>
          <w:tcPr>
            <w:tcW w:w="1529" w:type="dxa"/>
            <w:vAlign w:val="center"/>
          </w:tcPr>
          <w:p w14:paraId="149F634A">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企业业绩</w:t>
            </w:r>
          </w:p>
          <w:p w14:paraId="18CBAD2C">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8</w:t>
            </w:r>
            <w:r>
              <w:rPr>
                <w:rFonts w:hint="eastAsia" w:ascii="宋体" w:hAnsi="宋体"/>
                <w:b/>
                <w:bCs/>
                <w:color w:val="auto"/>
                <w:sz w:val="21"/>
                <w:szCs w:val="21"/>
                <w:highlight w:val="none"/>
              </w:rPr>
              <w:t>分）</w:t>
            </w:r>
          </w:p>
        </w:tc>
        <w:tc>
          <w:tcPr>
            <w:tcW w:w="6126" w:type="dxa"/>
          </w:tcPr>
          <w:p w14:paraId="359B3422">
            <w:pPr>
              <w:pStyle w:val="29"/>
              <w:spacing w:line="360" w:lineRule="auto"/>
              <w:ind w:right="-31" w:rightChars="-15"/>
              <w:rPr>
                <w:rFonts w:ascii="宋体" w:hAnsi="宋体" w:cs="宋体"/>
                <w:b/>
                <w:bCs/>
                <w:color w:val="auto"/>
                <w:sz w:val="21"/>
                <w:szCs w:val="21"/>
                <w:highlight w:val="none"/>
              </w:rPr>
            </w:pPr>
            <w:r>
              <w:rPr>
                <w:rFonts w:hint="eastAsia" w:ascii="宋体" w:hAnsi="宋体" w:cs="宋体"/>
                <w:b w:val="0"/>
                <w:bCs w:val="0"/>
                <w:color w:val="auto"/>
                <w:sz w:val="21"/>
                <w:szCs w:val="21"/>
                <w:highlight w:val="none"/>
              </w:rPr>
              <w:t>投标人近三年（202</w:t>
            </w:r>
            <w:r>
              <w:rPr>
                <w:rFonts w:hint="eastAsia" w:ascii="宋体" w:hAnsi="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rPr>
              <w:t>年</w:t>
            </w: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rPr>
              <w:t>月1日-至今）完成的类似项目业绩，每提供</w:t>
            </w:r>
            <w:r>
              <w:rPr>
                <w:rFonts w:hint="eastAsia" w:ascii="宋体" w:hAnsi="宋体" w:cs="宋体"/>
                <w:b/>
                <w:bCs/>
                <w:color w:val="auto"/>
                <w:sz w:val="21"/>
                <w:szCs w:val="21"/>
                <w:highlight w:val="none"/>
              </w:rPr>
              <w:t>1项得</w:t>
            </w:r>
            <w:r>
              <w:rPr>
                <w:rFonts w:hint="eastAsia" w:ascii="宋体" w:hAnsi="宋体" w:cs="宋体"/>
                <w:b/>
                <w:bCs/>
                <w:color w:val="auto"/>
                <w:sz w:val="21"/>
                <w:szCs w:val="21"/>
                <w:highlight w:val="none"/>
                <w:lang w:val="en-US" w:eastAsia="zh-CN"/>
              </w:rPr>
              <w:t>2</w:t>
            </w:r>
            <w:r>
              <w:rPr>
                <w:rFonts w:hint="eastAsia" w:ascii="宋体" w:hAnsi="宋体" w:cs="宋体"/>
                <w:b/>
                <w:bCs/>
                <w:color w:val="auto"/>
                <w:sz w:val="21"/>
                <w:szCs w:val="21"/>
                <w:highlight w:val="none"/>
              </w:rPr>
              <w:t>分</w:t>
            </w:r>
            <w:r>
              <w:rPr>
                <w:rFonts w:hint="eastAsia"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此项</w:t>
            </w:r>
            <w:r>
              <w:rPr>
                <w:rFonts w:hint="eastAsia" w:ascii="宋体" w:hAnsi="宋体" w:cs="宋体"/>
                <w:b w:val="0"/>
                <w:bCs w:val="0"/>
                <w:color w:val="auto"/>
                <w:sz w:val="21"/>
                <w:szCs w:val="21"/>
                <w:highlight w:val="none"/>
              </w:rPr>
              <w:t>满分</w:t>
            </w:r>
            <w:r>
              <w:rPr>
                <w:rFonts w:hint="eastAsia" w:ascii="宋体" w:hAnsi="宋体" w:cs="宋体"/>
                <w:b w:val="0"/>
                <w:bCs w:val="0"/>
                <w:color w:val="auto"/>
                <w:sz w:val="21"/>
                <w:szCs w:val="21"/>
                <w:highlight w:val="none"/>
                <w:lang w:val="en-US" w:eastAsia="zh-CN"/>
              </w:rPr>
              <w:t>8</w:t>
            </w:r>
            <w:r>
              <w:rPr>
                <w:rFonts w:hint="eastAsia" w:ascii="宋体" w:hAnsi="宋体" w:cs="宋体"/>
                <w:b w:val="0"/>
                <w:bCs w:val="0"/>
                <w:color w:val="auto"/>
                <w:sz w:val="21"/>
                <w:szCs w:val="21"/>
                <w:highlight w:val="none"/>
              </w:rPr>
              <w:t>分；</w:t>
            </w:r>
            <w:r>
              <w:rPr>
                <w:rFonts w:hint="eastAsia" w:ascii="宋体" w:hAnsi="宋体" w:cs="宋体"/>
                <w:b/>
                <w:bCs/>
                <w:color w:val="auto"/>
                <w:sz w:val="21"/>
                <w:szCs w:val="21"/>
                <w:highlight w:val="none"/>
              </w:rPr>
              <w:br w:type="textWrapping"/>
            </w:r>
            <w:r>
              <w:rPr>
                <w:rFonts w:hint="eastAsia" w:ascii="宋体" w:hAnsi="宋体" w:cs="宋体"/>
                <w:b/>
                <w:bCs/>
                <w:color w:val="auto"/>
                <w:sz w:val="21"/>
                <w:szCs w:val="21"/>
                <w:highlight w:val="none"/>
              </w:rPr>
              <w:t>注：1.须提供业绩</w:t>
            </w:r>
            <w:r>
              <w:rPr>
                <w:rFonts w:hint="eastAsia" w:ascii="宋体" w:hAnsi="宋体" w:cs="宋体"/>
                <w:b/>
                <w:bCs/>
                <w:color w:val="auto"/>
                <w:sz w:val="21"/>
                <w:szCs w:val="21"/>
                <w:highlight w:val="none"/>
                <w:lang w:val="en-US" w:eastAsia="zh-CN"/>
              </w:rPr>
              <w:t>合同和验收报告或</w:t>
            </w:r>
            <w:r>
              <w:rPr>
                <w:rFonts w:hint="eastAsia" w:ascii="宋体" w:hAnsi="宋体" w:cs="宋体"/>
                <w:b/>
                <w:bCs/>
                <w:color w:val="auto"/>
                <w:sz w:val="21"/>
                <w:szCs w:val="21"/>
                <w:highlight w:val="none"/>
              </w:rPr>
              <w:t>中标（成交）通知书</w:t>
            </w:r>
            <w:r>
              <w:rPr>
                <w:rFonts w:hint="eastAsia" w:ascii="宋体" w:hAnsi="宋体" w:cs="宋体"/>
                <w:b/>
                <w:bCs/>
                <w:color w:val="auto"/>
                <w:sz w:val="21"/>
                <w:szCs w:val="21"/>
                <w:highlight w:val="none"/>
                <w:lang w:val="en-US" w:eastAsia="zh-CN"/>
              </w:rPr>
              <w:t>和验收报告</w:t>
            </w:r>
            <w:r>
              <w:rPr>
                <w:rFonts w:hint="eastAsia" w:ascii="宋体" w:hAnsi="宋体" w:cs="宋体"/>
                <w:b/>
                <w:bCs/>
                <w:color w:val="auto"/>
                <w:sz w:val="21"/>
                <w:szCs w:val="21"/>
                <w:highlight w:val="none"/>
              </w:rPr>
              <w:t>扫描件加盖公章，经评审小组认定所提供业绩合同</w:t>
            </w:r>
            <w:r>
              <w:rPr>
                <w:rFonts w:hint="eastAsia" w:ascii="宋体" w:hAnsi="宋体" w:cs="宋体"/>
                <w:b/>
                <w:bCs/>
                <w:color w:val="auto"/>
                <w:sz w:val="21"/>
                <w:szCs w:val="21"/>
                <w:highlight w:val="none"/>
                <w:lang w:val="en-US" w:eastAsia="zh-CN"/>
              </w:rPr>
              <w:t>或</w:t>
            </w:r>
            <w:r>
              <w:rPr>
                <w:rFonts w:hint="eastAsia" w:ascii="宋体" w:hAnsi="宋体" w:cs="宋体"/>
                <w:b/>
                <w:bCs/>
                <w:color w:val="auto"/>
                <w:sz w:val="21"/>
                <w:szCs w:val="21"/>
                <w:highlight w:val="none"/>
              </w:rPr>
              <w:t>中标（成交）通知书</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验收报告</w:t>
            </w:r>
            <w:r>
              <w:rPr>
                <w:rFonts w:hint="eastAsia" w:ascii="宋体" w:hAnsi="宋体" w:cs="宋体"/>
                <w:b/>
                <w:bCs/>
                <w:color w:val="auto"/>
                <w:sz w:val="21"/>
                <w:szCs w:val="21"/>
                <w:highlight w:val="none"/>
              </w:rPr>
              <w:t>残缺不全、模糊难辨或未提供的不得分。</w:t>
            </w:r>
          </w:p>
          <w:p w14:paraId="7E3B02B6">
            <w:pPr>
              <w:spacing w:line="360" w:lineRule="auto"/>
              <w:rPr>
                <w:rFonts w:ascii="宋体" w:hAnsi="宋体"/>
                <w:b/>
                <w:bCs/>
                <w:color w:val="auto"/>
                <w:sz w:val="21"/>
                <w:szCs w:val="21"/>
                <w:highlight w:val="none"/>
              </w:rPr>
            </w:pPr>
            <w:r>
              <w:rPr>
                <w:rFonts w:hint="eastAsia" w:ascii="宋体" w:hAnsi="宋体" w:cs="宋体"/>
                <w:b/>
                <w:bCs/>
                <w:color w:val="auto"/>
                <w:sz w:val="21"/>
                <w:szCs w:val="21"/>
                <w:highlight w:val="none"/>
              </w:rPr>
              <w:t>2.投标供应商提供虚假证明材料的，按虚假投标处理。</w:t>
            </w:r>
          </w:p>
        </w:tc>
      </w:tr>
      <w:tr w14:paraId="24A4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vAlign w:val="center"/>
          </w:tcPr>
          <w:p w14:paraId="708CFDC4">
            <w:pPr>
              <w:spacing w:line="360" w:lineRule="auto"/>
              <w:jc w:val="center"/>
              <w:rPr>
                <w:rFonts w:ascii="宋体" w:hAnsi="宋体"/>
                <w:b/>
                <w:bCs/>
                <w:color w:val="auto"/>
                <w:sz w:val="21"/>
                <w:szCs w:val="21"/>
                <w:highlight w:val="none"/>
              </w:rPr>
            </w:pPr>
          </w:p>
        </w:tc>
        <w:tc>
          <w:tcPr>
            <w:tcW w:w="1529" w:type="dxa"/>
            <w:vAlign w:val="center"/>
          </w:tcPr>
          <w:p w14:paraId="29FD8317">
            <w:pPr>
              <w:spacing w:line="360" w:lineRule="auto"/>
              <w:jc w:val="center"/>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rPr>
              <w:t>项目</w:t>
            </w:r>
            <w:r>
              <w:rPr>
                <w:rFonts w:hint="eastAsia" w:ascii="宋体" w:hAnsi="宋体"/>
                <w:b/>
                <w:bCs/>
                <w:color w:val="auto"/>
                <w:sz w:val="21"/>
                <w:szCs w:val="21"/>
                <w:highlight w:val="none"/>
                <w:lang w:val="en-US" w:eastAsia="zh-CN"/>
              </w:rPr>
              <w:t>团队</w:t>
            </w:r>
          </w:p>
          <w:p w14:paraId="7A1AED6B">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7</w:t>
            </w:r>
            <w:r>
              <w:rPr>
                <w:rFonts w:hint="eastAsia" w:ascii="宋体" w:hAnsi="宋体"/>
                <w:b/>
                <w:bCs/>
                <w:color w:val="auto"/>
                <w:sz w:val="21"/>
                <w:szCs w:val="21"/>
                <w:highlight w:val="none"/>
              </w:rPr>
              <w:t>分）</w:t>
            </w:r>
          </w:p>
        </w:tc>
        <w:tc>
          <w:tcPr>
            <w:tcW w:w="6126" w:type="dxa"/>
          </w:tcPr>
          <w:p w14:paraId="60A3C96C">
            <w:pPr>
              <w:pStyle w:val="237"/>
              <w:numPr>
                <w:ilvl w:val="0"/>
                <w:numId w:val="0"/>
              </w:numPr>
              <w:spacing w:line="360" w:lineRule="auto"/>
              <w:rPr>
                <w:rFonts w:ascii="宋体" w:hAnsi="宋体" w:eastAsia="宋体" w:cs="Times New Roman"/>
                <w:b w:val="0"/>
                <w:bCs w:val="0"/>
                <w:caps w:val="0"/>
                <w:smallCaps w:val="0"/>
                <w:color w:val="auto"/>
                <w:sz w:val="21"/>
                <w:szCs w:val="21"/>
                <w:highlight w:val="none"/>
              </w:rPr>
            </w:pPr>
            <w:r>
              <w:rPr>
                <w:rFonts w:hint="eastAsia" w:cs="Times New Roman"/>
                <w:b w:val="0"/>
                <w:bCs w:val="0"/>
                <w:caps w:val="0"/>
                <w:smallCaps w:val="0"/>
                <w:color w:val="auto"/>
                <w:sz w:val="21"/>
                <w:szCs w:val="21"/>
                <w:highlight w:val="none"/>
                <w:lang w:val="en-US" w:eastAsia="zh-CN"/>
              </w:rPr>
              <w:t>1.</w:t>
            </w:r>
            <w:r>
              <w:rPr>
                <w:rFonts w:ascii="宋体" w:hAnsi="宋体" w:eastAsia="宋体" w:cs="Times New Roman"/>
                <w:b w:val="0"/>
                <w:bCs w:val="0"/>
                <w:caps w:val="0"/>
                <w:smallCaps w:val="0"/>
                <w:color w:val="auto"/>
                <w:sz w:val="21"/>
                <w:szCs w:val="21"/>
                <w:highlight w:val="none"/>
              </w:rPr>
              <w:t>项目负责人具有</w:t>
            </w:r>
            <w:r>
              <w:rPr>
                <w:rFonts w:hint="eastAsia" w:cs="Times New Roman"/>
                <w:b w:val="0"/>
                <w:bCs w:val="0"/>
                <w:caps w:val="0"/>
                <w:smallCaps w:val="0"/>
                <w:color w:val="auto"/>
                <w:sz w:val="21"/>
                <w:szCs w:val="21"/>
                <w:highlight w:val="none"/>
                <w:lang w:val="en-US" w:eastAsia="zh-CN"/>
              </w:rPr>
              <w:t>正</w:t>
            </w:r>
            <w:r>
              <w:rPr>
                <w:rFonts w:ascii="宋体" w:hAnsi="宋体" w:eastAsia="宋体" w:cs="Times New Roman"/>
                <w:b w:val="0"/>
                <w:bCs w:val="0"/>
                <w:caps w:val="0"/>
                <w:smallCaps w:val="0"/>
                <w:color w:val="auto"/>
                <w:sz w:val="21"/>
                <w:szCs w:val="21"/>
                <w:highlight w:val="none"/>
              </w:rPr>
              <w:t>高级职称得</w:t>
            </w:r>
            <w:r>
              <w:rPr>
                <w:rFonts w:hint="eastAsia" w:cs="Times New Roman"/>
                <w:b w:val="0"/>
                <w:bCs w:val="0"/>
                <w:caps w:val="0"/>
                <w:smallCaps w:val="0"/>
                <w:color w:val="auto"/>
                <w:sz w:val="21"/>
                <w:szCs w:val="21"/>
                <w:highlight w:val="none"/>
                <w:lang w:val="en-US" w:eastAsia="zh-CN"/>
              </w:rPr>
              <w:t>3</w:t>
            </w:r>
            <w:r>
              <w:rPr>
                <w:rFonts w:ascii="宋体" w:hAnsi="宋体" w:eastAsia="宋体" w:cs="Times New Roman"/>
                <w:b w:val="0"/>
                <w:bCs w:val="0"/>
                <w:caps w:val="0"/>
                <w:smallCaps w:val="0"/>
                <w:color w:val="auto"/>
                <w:sz w:val="21"/>
                <w:szCs w:val="21"/>
                <w:highlight w:val="none"/>
              </w:rPr>
              <w:t>分</w:t>
            </w:r>
            <w:r>
              <w:rPr>
                <w:rFonts w:hint="eastAsia" w:cs="Times New Roman"/>
                <w:b w:val="0"/>
                <w:bCs w:val="0"/>
                <w:caps w:val="0"/>
                <w:smallCaps w:val="0"/>
                <w:color w:val="auto"/>
                <w:sz w:val="21"/>
                <w:szCs w:val="21"/>
                <w:highlight w:val="none"/>
                <w:lang w:eastAsia="zh-CN"/>
              </w:rPr>
              <w:t>；</w:t>
            </w:r>
            <w:r>
              <w:rPr>
                <w:rFonts w:hint="eastAsia" w:cs="Times New Roman"/>
                <w:b w:val="0"/>
                <w:bCs w:val="0"/>
                <w:caps w:val="0"/>
                <w:smallCaps w:val="0"/>
                <w:color w:val="auto"/>
                <w:sz w:val="21"/>
                <w:szCs w:val="21"/>
                <w:highlight w:val="none"/>
                <w:lang w:val="en-US" w:eastAsia="zh-CN"/>
              </w:rPr>
              <w:t>副</w:t>
            </w:r>
            <w:r>
              <w:rPr>
                <w:rFonts w:ascii="宋体" w:hAnsi="宋体" w:eastAsia="宋体" w:cs="Times New Roman"/>
                <w:b w:val="0"/>
                <w:bCs w:val="0"/>
                <w:caps w:val="0"/>
                <w:smallCaps w:val="0"/>
                <w:color w:val="auto"/>
                <w:sz w:val="21"/>
                <w:szCs w:val="21"/>
                <w:highlight w:val="none"/>
              </w:rPr>
              <w:t>高级职称得</w:t>
            </w:r>
            <w:r>
              <w:rPr>
                <w:rFonts w:hint="eastAsia" w:cs="Times New Roman"/>
                <w:b w:val="0"/>
                <w:bCs w:val="0"/>
                <w:caps w:val="0"/>
                <w:smallCaps w:val="0"/>
                <w:color w:val="auto"/>
                <w:sz w:val="21"/>
                <w:szCs w:val="21"/>
                <w:highlight w:val="none"/>
                <w:lang w:val="en-US" w:eastAsia="zh-CN"/>
              </w:rPr>
              <w:t>2</w:t>
            </w:r>
            <w:r>
              <w:rPr>
                <w:rFonts w:ascii="宋体" w:hAnsi="宋体" w:eastAsia="宋体" w:cs="Times New Roman"/>
                <w:b w:val="0"/>
                <w:bCs w:val="0"/>
                <w:caps w:val="0"/>
                <w:smallCaps w:val="0"/>
                <w:color w:val="auto"/>
                <w:sz w:val="21"/>
                <w:szCs w:val="21"/>
                <w:highlight w:val="none"/>
              </w:rPr>
              <w:t>分</w:t>
            </w:r>
            <w:r>
              <w:rPr>
                <w:rFonts w:hint="eastAsia" w:cs="Times New Roman"/>
                <w:b w:val="0"/>
                <w:bCs w:val="0"/>
                <w:caps w:val="0"/>
                <w:smallCaps w:val="0"/>
                <w:color w:val="auto"/>
                <w:sz w:val="21"/>
                <w:szCs w:val="21"/>
                <w:highlight w:val="none"/>
                <w:lang w:eastAsia="zh-CN"/>
              </w:rPr>
              <w:t>；</w:t>
            </w:r>
            <w:r>
              <w:rPr>
                <w:rFonts w:ascii="宋体" w:hAnsi="宋体" w:eastAsia="宋体" w:cs="Times New Roman"/>
                <w:b w:val="0"/>
                <w:bCs w:val="0"/>
                <w:caps w:val="0"/>
                <w:smallCaps w:val="0"/>
                <w:color w:val="auto"/>
                <w:sz w:val="21"/>
                <w:szCs w:val="21"/>
                <w:highlight w:val="none"/>
              </w:rPr>
              <w:t>中级职称得</w:t>
            </w:r>
            <w:r>
              <w:rPr>
                <w:rFonts w:hint="eastAsia" w:cs="Times New Roman"/>
                <w:b w:val="0"/>
                <w:bCs w:val="0"/>
                <w:caps w:val="0"/>
                <w:smallCaps w:val="0"/>
                <w:color w:val="auto"/>
                <w:sz w:val="21"/>
                <w:szCs w:val="21"/>
                <w:highlight w:val="none"/>
                <w:lang w:val="en-US" w:eastAsia="zh-CN"/>
              </w:rPr>
              <w:t>1</w:t>
            </w:r>
            <w:r>
              <w:rPr>
                <w:rFonts w:ascii="宋体" w:hAnsi="宋体" w:eastAsia="宋体" w:cs="Times New Roman"/>
                <w:b w:val="0"/>
                <w:bCs w:val="0"/>
                <w:caps w:val="0"/>
                <w:smallCaps w:val="0"/>
                <w:color w:val="auto"/>
                <w:sz w:val="21"/>
                <w:szCs w:val="21"/>
                <w:highlight w:val="none"/>
              </w:rPr>
              <w:t>分。</w:t>
            </w:r>
          </w:p>
          <w:p w14:paraId="3FBF1739">
            <w:pPr>
              <w:pStyle w:val="237"/>
              <w:numPr>
                <w:ilvl w:val="0"/>
                <w:numId w:val="0"/>
              </w:numPr>
              <w:spacing w:line="360" w:lineRule="auto"/>
              <w:rPr>
                <w:rFonts w:ascii="宋体" w:hAnsi="宋体" w:eastAsia="宋体" w:cs="Times New Roman"/>
                <w:b w:val="0"/>
                <w:bCs w:val="0"/>
                <w:caps w:val="0"/>
                <w:smallCaps w:val="0"/>
                <w:color w:val="auto"/>
                <w:sz w:val="21"/>
                <w:szCs w:val="21"/>
                <w:highlight w:val="none"/>
              </w:rPr>
            </w:pPr>
            <w:r>
              <w:rPr>
                <w:rFonts w:hint="eastAsia" w:cs="Times New Roman"/>
                <w:b w:val="0"/>
                <w:bCs w:val="0"/>
                <w:caps w:val="0"/>
                <w:smallCaps w:val="0"/>
                <w:color w:val="auto"/>
                <w:sz w:val="21"/>
                <w:szCs w:val="21"/>
                <w:highlight w:val="none"/>
                <w:lang w:val="en-US" w:eastAsia="zh-CN"/>
              </w:rPr>
              <w:t>2.</w:t>
            </w:r>
            <w:r>
              <w:rPr>
                <w:rFonts w:ascii="宋体" w:hAnsi="宋体" w:eastAsia="宋体" w:cs="Times New Roman"/>
                <w:b w:val="0"/>
                <w:bCs w:val="0"/>
                <w:caps w:val="0"/>
                <w:smallCaps w:val="0"/>
                <w:color w:val="auto"/>
                <w:sz w:val="21"/>
                <w:szCs w:val="21"/>
                <w:highlight w:val="none"/>
              </w:rPr>
              <w:t>项目团队</w:t>
            </w:r>
            <w:r>
              <w:rPr>
                <w:rFonts w:hint="eastAsia" w:cs="Times New Roman"/>
                <w:b w:val="0"/>
                <w:bCs w:val="0"/>
                <w:caps w:val="0"/>
                <w:smallCaps w:val="0"/>
                <w:color w:val="auto"/>
                <w:sz w:val="21"/>
                <w:szCs w:val="21"/>
                <w:highlight w:val="none"/>
                <w:lang w:val="en-US" w:eastAsia="zh-CN"/>
              </w:rPr>
              <w:t>核心人员</w:t>
            </w:r>
            <w:r>
              <w:rPr>
                <w:rFonts w:ascii="宋体" w:hAnsi="宋体" w:eastAsia="宋体" w:cs="Times New Roman"/>
                <w:b w:val="0"/>
                <w:bCs w:val="0"/>
                <w:caps w:val="0"/>
                <w:smallCaps w:val="0"/>
                <w:color w:val="auto"/>
                <w:sz w:val="21"/>
                <w:szCs w:val="21"/>
                <w:highlight w:val="none"/>
              </w:rPr>
              <w:t>中（项目负责人</w:t>
            </w:r>
            <w:r>
              <w:rPr>
                <w:rFonts w:hint="eastAsia" w:cs="Times New Roman"/>
                <w:b w:val="0"/>
                <w:bCs w:val="0"/>
                <w:caps w:val="0"/>
                <w:smallCaps w:val="0"/>
                <w:color w:val="auto"/>
                <w:sz w:val="21"/>
                <w:szCs w:val="21"/>
                <w:highlight w:val="none"/>
                <w:lang w:val="en-US" w:eastAsia="zh-CN"/>
              </w:rPr>
              <w:t>除外</w:t>
            </w:r>
            <w:r>
              <w:rPr>
                <w:rFonts w:ascii="宋体" w:hAnsi="宋体" w:eastAsia="宋体" w:cs="Times New Roman"/>
                <w:b w:val="0"/>
                <w:bCs w:val="0"/>
                <w:caps w:val="0"/>
                <w:smallCaps w:val="0"/>
                <w:color w:val="auto"/>
                <w:sz w:val="21"/>
                <w:szCs w:val="21"/>
                <w:highlight w:val="none"/>
              </w:rPr>
              <w:t>）具有</w:t>
            </w:r>
            <w:r>
              <w:rPr>
                <w:rFonts w:hint="eastAsia" w:cs="Times New Roman"/>
                <w:b w:val="0"/>
                <w:bCs w:val="0"/>
                <w:caps w:val="0"/>
                <w:smallCaps w:val="0"/>
                <w:color w:val="auto"/>
                <w:sz w:val="21"/>
                <w:szCs w:val="21"/>
                <w:highlight w:val="none"/>
                <w:lang w:val="en-US" w:eastAsia="zh-CN"/>
              </w:rPr>
              <w:t>正</w:t>
            </w:r>
            <w:r>
              <w:rPr>
                <w:rFonts w:ascii="宋体" w:hAnsi="宋体" w:eastAsia="宋体" w:cs="Times New Roman"/>
                <w:b w:val="0"/>
                <w:bCs w:val="0"/>
                <w:caps w:val="0"/>
                <w:smallCaps w:val="0"/>
                <w:color w:val="auto"/>
                <w:sz w:val="21"/>
                <w:szCs w:val="21"/>
                <w:highlight w:val="none"/>
              </w:rPr>
              <w:t>高级职称的，每有1个得</w:t>
            </w:r>
            <w:r>
              <w:rPr>
                <w:rFonts w:hint="eastAsia" w:ascii="宋体" w:hAnsi="宋体" w:eastAsia="宋体" w:cs="Times New Roman"/>
                <w:b w:val="0"/>
                <w:bCs w:val="0"/>
                <w:caps w:val="0"/>
                <w:smallCaps w:val="0"/>
                <w:color w:val="auto"/>
                <w:sz w:val="21"/>
                <w:szCs w:val="21"/>
                <w:highlight w:val="none"/>
                <w:lang w:val="en-US" w:eastAsia="zh-CN"/>
              </w:rPr>
              <w:t>1</w:t>
            </w:r>
            <w:r>
              <w:rPr>
                <w:rFonts w:ascii="宋体" w:hAnsi="宋体" w:eastAsia="宋体" w:cs="Times New Roman"/>
                <w:b w:val="0"/>
                <w:bCs w:val="0"/>
                <w:caps w:val="0"/>
                <w:smallCaps w:val="0"/>
                <w:color w:val="auto"/>
                <w:sz w:val="21"/>
                <w:szCs w:val="21"/>
                <w:highlight w:val="none"/>
              </w:rPr>
              <w:t>分</w:t>
            </w:r>
            <w:r>
              <w:rPr>
                <w:rFonts w:hint="eastAsia" w:ascii="宋体" w:hAnsi="宋体" w:eastAsia="宋体" w:cs="Times New Roman"/>
                <w:b w:val="0"/>
                <w:bCs w:val="0"/>
                <w:caps w:val="0"/>
                <w:smallCaps w:val="0"/>
                <w:color w:val="auto"/>
                <w:sz w:val="21"/>
                <w:szCs w:val="21"/>
                <w:highlight w:val="none"/>
                <w:lang w:eastAsia="zh-CN"/>
              </w:rPr>
              <w:t>，</w:t>
            </w:r>
            <w:r>
              <w:rPr>
                <w:rFonts w:ascii="宋体" w:hAnsi="宋体" w:eastAsia="宋体" w:cs="Times New Roman"/>
                <w:b w:val="0"/>
                <w:bCs w:val="0"/>
                <w:caps w:val="0"/>
                <w:smallCaps w:val="0"/>
                <w:color w:val="auto"/>
                <w:sz w:val="21"/>
                <w:szCs w:val="21"/>
                <w:highlight w:val="none"/>
              </w:rPr>
              <w:t>本项最高得</w:t>
            </w:r>
            <w:r>
              <w:rPr>
                <w:rFonts w:hint="eastAsia" w:cs="Times New Roman"/>
                <w:b w:val="0"/>
                <w:bCs w:val="0"/>
                <w:caps w:val="0"/>
                <w:smallCaps w:val="0"/>
                <w:color w:val="auto"/>
                <w:sz w:val="21"/>
                <w:szCs w:val="21"/>
                <w:highlight w:val="none"/>
                <w:lang w:val="en-US" w:eastAsia="zh-CN"/>
              </w:rPr>
              <w:t>4</w:t>
            </w:r>
            <w:r>
              <w:rPr>
                <w:rFonts w:ascii="宋体" w:hAnsi="宋体" w:eastAsia="宋体" w:cs="Times New Roman"/>
                <w:b w:val="0"/>
                <w:bCs w:val="0"/>
                <w:caps w:val="0"/>
                <w:smallCaps w:val="0"/>
                <w:color w:val="auto"/>
                <w:sz w:val="21"/>
                <w:szCs w:val="21"/>
                <w:highlight w:val="none"/>
              </w:rPr>
              <w:t>分。</w:t>
            </w:r>
          </w:p>
          <w:p w14:paraId="5C88B655">
            <w:pPr>
              <w:spacing w:line="360" w:lineRule="auto"/>
              <w:rPr>
                <w:rFonts w:ascii="宋体" w:hAnsi="宋体" w:cs="宋体"/>
                <w:b/>
                <w:bCs/>
                <w:color w:val="auto"/>
                <w:sz w:val="21"/>
                <w:szCs w:val="21"/>
                <w:highlight w:val="none"/>
              </w:rPr>
            </w:pPr>
            <w:r>
              <w:rPr>
                <w:rFonts w:ascii="宋体" w:hAnsi="宋体" w:eastAsia="宋体" w:cs="Times New Roman"/>
                <w:b/>
                <w:bCs/>
                <w:caps w:val="0"/>
                <w:smallCaps w:val="0"/>
                <w:color w:val="auto"/>
                <w:sz w:val="21"/>
                <w:szCs w:val="21"/>
                <w:highlight w:val="none"/>
              </w:rPr>
              <w:t>注：以上人员须提供身份证、职称证、劳动合同复印件</w:t>
            </w:r>
            <w:r>
              <w:rPr>
                <w:rFonts w:hint="eastAsia" w:cs="Times New Roman"/>
                <w:b/>
                <w:bCs/>
                <w:caps w:val="0"/>
                <w:smallCaps w:val="0"/>
                <w:color w:val="auto"/>
                <w:sz w:val="21"/>
                <w:szCs w:val="21"/>
                <w:highlight w:val="none"/>
                <w:lang w:eastAsia="zh-CN"/>
              </w:rPr>
              <w:t>，</w:t>
            </w:r>
            <w:r>
              <w:rPr>
                <w:rFonts w:ascii="宋体" w:hAnsi="宋体" w:eastAsia="宋体" w:cs="Times New Roman"/>
                <w:b/>
                <w:bCs/>
                <w:caps w:val="0"/>
                <w:smallCaps w:val="0"/>
                <w:color w:val="auto"/>
                <w:sz w:val="21"/>
                <w:szCs w:val="21"/>
                <w:highlight w:val="none"/>
              </w:rPr>
              <w:t>需加盖单位公章，不提供证明材料或材料提供不全的不得分。</w:t>
            </w:r>
          </w:p>
        </w:tc>
      </w:tr>
      <w:tr w14:paraId="3412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restart"/>
            <w:vAlign w:val="center"/>
          </w:tcPr>
          <w:p w14:paraId="1C18A16E">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技术部分</w:t>
            </w:r>
          </w:p>
          <w:p w14:paraId="28B20916">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75</w:t>
            </w:r>
            <w:r>
              <w:rPr>
                <w:rFonts w:hint="eastAsia" w:ascii="宋体" w:hAnsi="宋体"/>
                <w:b/>
                <w:bCs/>
                <w:color w:val="auto"/>
                <w:sz w:val="21"/>
                <w:szCs w:val="21"/>
                <w:highlight w:val="none"/>
              </w:rPr>
              <w:t>分）</w:t>
            </w:r>
          </w:p>
        </w:tc>
        <w:tc>
          <w:tcPr>
            <w:tcW w:w="1529" w:type="dxa"/>
            <w:vAlign w:val="center"/>
          </w:tcPr>
          <w:p w14:paraId="0AD47786">
            <w:pPr>
              <w:spacing w:line="360" w:lineRule="auto"/>
              <w:jc w:val="center"/>
              <w:rPr>
                <w:rFonts w:hint="eastAsia"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技术要求响应程度</w:t>
            </w:r>
          </w:p>
          <w:p w14:paraId="51CA181F">
            <w:pPr>
              <w:spacing w:line="360" w:lineRule="auto"/>
              <w:jc w:val="center"/>
              <w:rPr>
                <w:rFonts w:hint="default" w:ascii="宋体" w:hAnsi="宋体"/>
                <w:b/>
                <w:bCs/>
                <w:color w:val="auto"/>
                <w:sz w:val="21"/>
                <w:szCs w:val="21"/>
                <w:highlight w:val="none"/>
                <w:lang w:val="en-US" w:eastAsia="zh-CN"/>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10.5</w:t>
            </w:r>
            <w:r>
              <w:rPr>
                <w:rFonts w:hint="eastAsia" w:ascii="宋体" w:hAnsi="宋体"/>
                <w:b/>
                <w:bCs/>
                <w:color w:val="auto"/>
                <w:sz w:val="21"/>
                <w:szCs w:val="21"/>
                <w:highlight w:val="none"/>
              </w:rPr>
              <w:t>分）</w:t>
            </w:r>
          </w:p>
        </w:tc>
        <w:tc>
          <w:tcPr>
            <w:tcW w:w="6126" w:type="dxa"/>
          </w:tcPr>
          <w:p w14:paraId="214E2133">
            <w:pPr>
              <w:spacing w:line="360" w:lineRule="auto"/>
              <w:rPr>
                <w:rFonts w:hint="default" w:ascii="宋体" w:hAnsi="宋体" w:cs="Times New Roman"/>
                <w:b w:val="0"/>
                <w:bCs w:val="0"/>
                <w:caps w:val="0"/>
                <w:smallCaps w:val="0"/>
                <w:color w:val="auto"/>
                <w:sz w:val="21"/>
                <w:szCs w:val="21"/>
                <w:highlight w:val="none"/>
                <w:lang w:val="en-US" w:eastAsia="zh-CN"/>
              </w:rPr>
            </w:pPr>
            <w:r>
              <w:rPr>
                <w:rFonts w:hint="eastAsia" w:ascii="宋体" w:hAnsi="宋体" w:cs="Times New Roman"/>
                <w:b w:val="0"/>
                <w:bCs w:val="0"/>
                <w:caps w:val="0"/>
                <w:smallCaps w:val="0"/>
                <w:color w:val="auto"/>
                <w:sz w:val="21"/>
                <w:szCs w:val="21"/>
                <w:highlight w:val="none"/>
                <w:lang w:val="en-US" w:eastAsia="zh-CN"/>
              </w:rPr>
              <w:t>投标人根据第六章项目采购需求第7条采购需求概述（技术要求）进行逐条响应：技术要求共35条，全部响应得10.5分，每有一条负偏离扣0.3分扣完为止。</w:t>
            </w:r>
          </w:p>
          <w:p w14:paraId="78ECDB82">
            <w:pPr>
              <w:spacing w:line="360" w:lineRule="auto"/>
              <w:rPr>
                <w:rFonts w:hint="default" w:ascii="宋体" w:hAnsi="宋体" w:eastAsia="宋体" w:cs="Times New Roman"/>
                <w:b/>
                <w:bCs/>
                <w:caps w:val="0"/>
                <w:smallCaps w:val="0"/>
                <w:color w:val="auto"/>
                <w:sz w:val="21"/>
                <w:szCs w:val="21"/>
                <w:highlight w:val="none"/>
                <w:lang w:val="en-US" w:eastAsia="zh-CN"/>
              </w:rPr>
            </w:pPr>
            <w:r>
              <w:rPr>
                <w:rFonts w:hint="eastAsia" w:ascii="宋体" w:hAnsi="宋体" w:cs="Times New Roman"/>
                <w:b/>
                <w:bCs/>
                <w:caps w:val="0"/>
                <w:smallCaps w:val="0"/>
                <w:color w:val="auto"/>
                <w:sz w:val="21"/>
                <w:szCs w:val="21"/>
                <w:highlight w:val="none"/>
                <w:lang w:val="en-US" w:eastAsia="zh-CN"/>
              </w:rPr>
              <w:t>注：投标人须逐条逐项进行答复、说明和解释，提供技术要求偏离表。采购需求概述（技术要求）中要求证明材料的，以证明材料为准；未要求提供证明材料的，以偏离表为准。</w:t>
            </w:r>
          </w:p>
        </w:tc>
      </w:tr>
      <w:tr w14:paraId="78D5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vAlign w:val="center"/>
          </w:tcPr>
          <w:p w14:paraId="2406A64D">
            <w:pPr>
              <w:spacing w:line="360" w:lineRule="auto"/>
              <w:jc w:val="center"/>
              <w:rPr>
                <w:rFonts w:ascii="宋体" w:hAnsi="宋体"/>
                <w:b/>
                <w:bCs/>
                <w:color w:val="auto"/>
                <w:sz w:val="21"/>
                <w:szCs w:val="21"/>
                <w:highlight w:val="none"/>
              </w:rPr>
            </w:pPr>
          </w:p>
        </w:tc>
        <w:tc>
          <w:tcPr>
            <w:tcW w:w="1529" w:type="dxa"/>
            <w:vAlign w:val="center"/>
          </w:tcPr>
          <w:p w14:paraId="5AF34717">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lang w:val="en-US" w:eastAsia="zh-CN"/>
              </w:rPr>
              <w:t>总体</w:t>
            </w:r>
            <w:r>
              <w:rPr>
                <w:rFonts w:ascii="宋体" w:hAnsi="宋体"/>
                <w:b/>
                <w:bCs/>
                <w:color w:val="auto"/>
                <w:sz w:val="21"/>
                <w:szCs w:val="21"/>
                <w:highlight w:val="none"/>
              </w:rPr>
              <w:t>方案</w:t>
            </w:r>
          </w:p>
          <w:p w14:paraId="16BBDB5B">
            <w:pPr>
              <w:spacing w:line="360" w:lineRule="auto"/>
              <w:jc w:val="center"/>
              <w:rPr>
                <w:rFonts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24</w:t>
            </w:r>
            <w:r>
              <w:rPr>
                <w:rFonts w:hint="eastAsia" w:ascii="宋体" w:hAnsi="宋体"/>
                <w:b/>
                <w:bCs/>
                <w:color w:val="auto"/>
                <w:sz w:val="21"/>
                <w:szCs w:val="21"/>
                <w:highlight w:val="none"/>
              </w:rPr>
              <w:t>分）</w:t>
            </w:r>
          </w:p>
        </w:tc>
        <w:tc>
          <w:tcPr>
            <w:tcW w:w="6126" w:type="dxa"/>
            <w:vAlign w:val="center"/>
          </w:tcPr>
          <w:p w14:paraId="5E9B9014">
            <w:pPr>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针对</w:t>
            </w:r>
            <w:r>
              <w:rPr>
                <w:rFonts w:hint="eastAsia" w:ascii="宋体" w:hAnsi="宋体"/>
                <w:color w:val="auto"/>
                <w:sz w:val="21"/>
                <w:szCs w:val="21"/>
                <w:highlight w:val="none"/>
              </w:rPr>
              <w:t>本</w:t>
            </w:r>
            <w:r>
              <w:rPr>
                <w:rFonts w:hint="eastAsia"/>
                <w:color w:val="auto"/>
                <w:sz w:val="21"/>
                <w:szCs w:val="21"/>
                <w:highlight w:val="none"/>
                <w:lang w:val="en-US" w:eastAsia="zh-CN"/>
              </w:rPr>
              <w:t>项目</w:t>
            </w:r>
            <w:r>
              <w:rPr>
                <w:rFonts w:hint="eastAsia" w:ascii="宋体" w:hAnsi="宋体"/>
                <w:color w:val="auto"/>
                <w:sz w:val="21"/>
                <w:szCs w:val="21"/>
                <w:highlight w:val="none"/>
                <w:lang w:val="en-US" w:eastAsia="zh-CN"/>
              </w:rPr>
              <w:t>提供总体方案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包括但不限于</w:t>
            </w:r>
            <w:r>
              <w:rPr>
                <w:rFonts w:hint="eastAsia" w:ascii="宋体" w:hAnsi="宋体"/>
                <w:color w:val="auto"/>
                <w:sz w:val="21"/>
                <w:szCs w:val="21"/>
                <w:highlight w:val="none"/>
              </w:rPr>
              <w:t>：①学校办学定位分析方案；②学校治理体系分析方案；③学校办学规模分析方案；④学校专业（群）设置分析方案；⑤学校科研工作分析方案；⑥学校社会服务工作分析方案；</w:t>
            </w:r>
            <w:r>
              <w:rPr>
                <w:rFonts w:hint="eastAsia" w:ascii="宋体" w:hAnsi="宋体"/>
                <w:color w:val="auto"/>
                <w:sz w:val="21"/>
                <w:szCs w:val="21"/>
                <w:highlight w:val="none"/>
                <w:lang w:val="en-US" w:eastAsia="zh-CN"/>
              </w:rPr>
              <w:t>⑦十五五规划分析方案：⑧升本全流程分析方案。</w:t>
            </w:r>
            <w:r>
              <w:rPr>
                <w:rFonts w:hint="eastAsia"/>
                <w:color w:val="auto"/>
                <w:sz w:val="21"/>
                <w:szCs w:val="21"/>
                <w:highlight w:val="none"/>
                <w:lang w:val="en-US" w:eastAsia="zh-CN"/>
              </w:rPr>
              <w:t>所提供的方案全面内容可行、切合实际且符合本项目需求、利于项目实施；每有一项完全满足得3分，满分24分，每有一处不足或缺陷的扣1.5分，扣完为止。</w:t>
            </w:r>
          </w:p>
          <w:p w14:paraId="79F65916">
            <w:pPr>
              <w:pStyle w:val="19"/>
              <w:spacing w:line="360" w:lineRule="auto"/>
              <w:rPr>
                <w:rFonts w:hint="eastAsia"/>
                <w:color w:val="auto"/>
                <w:sz w:val="21"/>
                <w:szCs w:val="21"/>
                <w:highlight w:val="none"/>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完全满足是指内容与项目服务需求吻合、层次细化，有具体详细的阐述；阐述从实际出发，切合项目背景、项目需求并提出专业技术建议或者解决方案；内容符合国家、地方、行业标准、行业惯例以及项目特点；内容清楚明了、表述规范、含义准确。】</w:t>
            </w:r>
          </w:p>
          <w:p w14:paraId="27FF71C4">
            <w:pPr>
              <w:spacing w:line="360" w:lineRule="auto"/>
              <w:rPr>
                <w:rFonts w:ascii="宋体" w:hAnsi="宋体"/>
                <w:color w:val="auto"/>
                <w:sz w:val="21"/>
                <w:szCs w:val="21"/>
                <w:highlight w:val="none"/>
              </w:rPr>
            </w:pPr>
            <w:r>
              <w:rPr>
                <w:rFonts w:hint="eastAsia" w:ascii="Times New Roman" w:hAnsi="Times New Roman" w:eastAsia="宋体" w:cs="Times New Roman"/>
                <w:b w:val="0"/>
                <w:bCs/>
                <w:color w:val="auto"/>
                <w:kern w:val="2"/>
                <w:sz w:val="21"/>
                <w:szCs w:val="21"/>
                <w:highlight w:val="none"/>
                <w:lang w:val="en-US" w:eastAsia="zh-CN" w:bidi="ar-SA"/>
              </w:rPr>
              <w:t>【不足是指对应单项中的内容缺失（不完整）、与对应单项的要求缺少重要节点（如仅有框架或标题、单项内容仅有复制招标内容的要求、涉及内容无重点）；缺陷是指：单项方案中出现套用其他项目方案或内容、内容中出现前后描述不一致现象或语言描述出现有错误、内容涉及适用的规范及标准（方法）出现错误等情形。】</w:t>
            </w:r>
          </w:p>
        </w:tc>
      </w:tr>
      <w:tr w14:paraId="751B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vAlign w:val="center"/>
          </w:tcPr>
          <w:p w14:paraId="312C396B">
            <w:pPr>
              <w:spacing w:line="360" w:lineRule="auto"/>
              <w:jc w:val="center"/>
              <w:rPr>
                <w:rFonts w:hint="eastAsia" w:ascii="宋体" w:hAnsi="宋体"/>
                <w:b/>
                <w:bCs/>
                <w:color w:val="auto"/>
                <w:sz w:val="21"/>
                <w:szCs w:val="21"/>
                <w:highlight w:val="none"/>
              </w:rPr>
            </w:pPr>
          </w:p>
        </w:tc>
        <w:tc>
          <w:tcPr>
            <w:tcW w:w="1529" w:type="dxa"/>
            <w:vAlign w:val="center"/>
          </w:tcPr>
          <w:p w14:paraId="2EEBD01F">
            <w:pPr>
              <w:spacing w:line="360" w:lineRule="auto"/>
              <w:jc w:val="center"/>
              <w:rPr>
                <w:rFonts w:hint="eastAsia" w:ascii="宋体" w:hAnsi="宋体"/>
                <w:b/>
                <w:bCs/>
                <w:color w:val="auto"/>
                <w:sz w:val="21"/>
                <w:szCs w:val="21"/>
                <w:highlight w:val="none"/>
              </w:rPr>
            </w:pPr>
            <w:r>
              <w:rPr>
                <w:rFonts w:hint="eastAsia" w:ascii="宋体" w:hAnsi="宋体"/>
                <w:b/>
                <w:bCs/>
                <w:color w:val="auto"/>
                <w:sz w:val="21"/>
                <w:szCs w:val="21"/>
                <w:highlight w:val="none"/>
              </w:rPr>
              <w:t>实施方案</w:t>
            </w:r>
          </w:p>
          <w:p w14:paraId="6515999A">
            <w:pPr>
              <w:spacing w:line="360" w:lineRule="auto"/>
              <w:jc w:val="center"/>
              <w:rPr>
                <w:rFonts w:hint="eastAsia"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9</w:t>
            </w:r>
            <w:r>
              <w:rPr>
                <w:rFonts w:hint="eastAsia" w:ascii="宋体" w:hAnsi="宋体"/>
                <w:b/>
                <w:bCs/>
                <w:color w:val="auto"/>
                <w:sz w:val="21"/>
                <w:szCs w:val="21"/>
                <w:highlight w:val="none"/>
              </w:rPr>
              <w:t>分）</w:t>
            </w:r>
          </w:p>
        </w:tc>
        <w:tc>
          <w:tcPr>
            <w:tcW w:w="6126" w:type="dxa"/>
            <w:vAlign w:val="center"/>
          </w:tcPr>
          <w:p w14:paraId="526E0E8F">
            <w:pPr>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针</w:t>
            </w:r>
            <w:r>
              <w:rPr>
                <w:rFonts w:hint="eastAsia" w:ascii="Times New Roman" w:hAnsi="Times New Roman" w:eastAsia="宋体" w:cs="Times New Roman"/>
                <w:b w:val="0"/>
                <w:bCs/>
                <w:color w:val="auto"/>
                <w:kern w:val="2"/>
                <w:sz w:val="21"/>
                <w:szCs w:val="21"/>
                <w:highlight w:val="none"/>
                <w:lang w:val="en-US" w:eastAsia="zh-CN" w:bidi="ar-SA"/>
              </w:rPr>
              <w:t>对本项目提供实施方案，包括但不限于</w:t>
            </w:r>
            <w:r>
              <w:rPr>
                <w:rFonts w:hint="eastAsia" w:ascii="宋体" w:hAnsi="宋体"/>
                <w:color w:val="auto"/>
                <w:sz w:val="21"/>
                <w:szCs w:val="21"/>
                <w:highlight w:val="none"/>
              </w:rPr>
              <w:t>①</w:t>
            </w:r>
            <w:r>
              <w:rPr>
                <w:rFonts w:hint="eastAsia" w:ascii="Times New Roman" w:hAnsi="Times New Roman" w:eastAsia="宋体" w:cs="Times New Roman"/>
                <w:b w:val="0"/>
                <w:bCs/>
                <w:color w:val="auto"/>
                <w:kern w:val="2"/>
                <w:sz w:val="21"/>
                <w:szCs w:val="21"/>
                <w:highlight w:val="none"/>
                <w:lang w:val="en-US" w:eastAsia="zh-CN" w:bidi="ar-SA"/>
              </w:rPr>
              <w:t>项目组织管理；</w:t>
            </w:r>
            <w:r>
              <w:rPr>
                <w:rFonts w:hint="eastAsia" w:ascii="宋体" w:hAnsi="宋体"/>
                <w:color w:val="auto"/>
                <w:sz w:val="21"/>
                <w:szCs w:val="21"/>
                <w:highlight w:val="none"/>
              </w:rPr>
              <w:t>②</w:t>
            </w:r>
            <w:r>
              <w:rPr>
                <w:rFonts w:hint="eastAsia" w:ascii="Times New Roman" w:hAnsi="Times New Roman" w:eastAsia="宋体" w:cs="Times New Roman"/>
                <w:b w:val="0"/>
                <w:bCs/>
                <w:color w:val="auto"/>
                <w:kern w:val="2"/>
                <w:sz w:val="21"/>
                <w:szCs w:val="21"/>
                <w:highlight w:val="none"/>
                <w:lang w:val="en-US" w:eastAsia="zh-CN" w:bidi="ar-SA"/>
              </w:rPr>
              <w:t>人员管理；</w:t>
            </w:r>
            <w:r>
              <w:rPr>
                <w:rFonts w:hint="eastAsia" w:ascii="宋体" w:hAnsi="宋体"/>
                <w:color w:val="auto"/>
                <w:sz w:val="21"/>
                <w:szCs w:val="21"/>
                <w:highlight w:val="none"/>
              </w:rPr>
              <w:t>③</w:t>
            </w:r>
            <w:r>
              <w:rPr>
                <w:rFonts w:hint="eastAsia" w:ascii="Times New Roman" w:hAnsi="Times New Roman" w:eastAsia="宋体" w:cs="Times New Roman"/>
                <w:b w:val="0"/>
                <w:bCs/>
                <w:color w:val="auto"/>
                <w:kern w:val="2"/>
                <w:sz w:val="21"/>
                <w:szCs w:val="21"/>
                <w:highlight w:val="none"/>
                <w:lang w:val="en-US" w:eastAsia="zh-CN" w:bidi="ar-SA"/>
              </w:rPr>
              <w:t>进度管理。</w:t>
            </w:r>
            <w:r>
              <w:rPr>
                <w:rFonts w:hint="eastAsia"/>
                <w:color w:val="auto"/>
                <w:sz w:val="21"/>
                <w:szCs w:val="21"/>
                <w:highlight w:val="none"/>
                <w:lang w:val="en-US" w:eastAsia="zh-CN"/>
              </w:rPr>
              <w:t>所提供的方案全面内容可行、切合实际且符合本项目需求、利于项目实施；每有一项完全满足得3分，满分9分，每有一处不足或缺陷的扣1.5分，扣完为止。</w:t>
            </w:r>
          </w:p>
          <w:p w14:paraId="7FDDF33A">
            <w:pPr>
              <w:pStyle w:val="19"/>
              <w:spacing w:line="360" w:lineRule="auto"/>
              <w:rPr>
                <w:rFonts w:hint="eastAsia" w:ascii="Times New Roman" w:hAnsi="Times New Roman" w:eastAsia="宋体" w:cs="Times New Roman"/>
                <w:b w:val="0"/>
                <w:bCs/>
                <w:color w:val="auto"/>
                <w:kern w:val="2"/>
                <w:sz w:val="21"/>
                <w:szCs w:val="21"/>
                <w:highlight w:val="none"/>
                <w:lang w:val="en-US" w:eastAsia="zh-CN" w:bidi="ar-SA"/>
              </w:rPr>
            </w:pPr>
          </w:p>
          <w:p w14:paraId="11E3643F">
            <w:pPr>
              <w:pStyle w:val="19"/>
              <w:spacing w:line="360" w:lineRule="auto"/>
              <w:rPr>
                <w:rFonts w:hint="eastAsia"/>
                <w:color w:val="auto"/>
                <w:sz w:val="21"/>
                <w:szCs w:val="21"/>
                <w:highlight w:val="none"/>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完全满足是指内容与项目服务需求吻合、层次细化，有具体详细的阐述；阐述从实际出发，切合项目背景、项目需求并提出专业技术建议或者解决方案；内容符合国家、地方、行业标准、行业惯例以及项目特点；内容清楚明了、表述规范、含义准确。】</w:t>
            </w:r>
          </w:p>
          <w:p w14:paraId="376B6D80">
            <w:pPr>
              <w:spacing w:line="360" w:lineRule="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不足是指对应单项中的内容缺失（不完整）、与对应单项的要求缺少重要节点（如仅有框架或标题、单项内容仅有复制招标内容的要求、涉及内容无重点）；缺陷是指：单项方案中出现套用其他项目方案或内容、内容中出现前后描述不一致现象或语言描述出现有错误、内容涉及适用的规范及标准（方法）出现错误等情形。】</w:t>
            </w:r>
          </w:p>
        </w:tc>
      </w:tr>
      <w:tr w14:paraId="5C5E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tcPr>
          <w:p w14:paraId="101A591A">
            <w:pPr>
              <w:spacing w:line="360" w:lineRule="auto"/>
              <w:rPr>
                <w:rFonts w:ascii="宋体" w:hAnsi="宋体"/>
                <w:color w:val="auto"/>
                <w:sz w:val="21"/>
                <w:szCs w:val="21"/>
                <w:highlight w:val="none"/>
              </w:rPr>
            </w:pPr>
          </w:p>
        </w:tc>
        <w:tc>
          <w:tcPr>
            <w:tcW w:w="1529" w:type="dxa"/>
            <w:vAlign w:val="center"/>
          </w:tcPr>
          <w:p w14:paraId="0F3743C3">
            <w:pPr>
              <w:spacing w:line="360" w:lineRule="auto"/>
              <w:jc w:val="center"/>
              <w:rPr>
                <w:rFonts w:hint="eastAsia" w:ascii="宋体" w:hAnsi="宋体"/>
                <w:b/>
                <w:bCs/>
                <w:color w:val="auto"/>
                <w:sz w:val="21"/>
                <w:szCs w:val="21"/>
                <w:highlight w:val="none"/>
              </w:rPr>
            </w:pPr>
            <w:r>
              <w:rPr>
                <w:rFonts w:hint="eastAsia" w:ascii="宋体" w:hAnsi="宋体"/>
                <w:b/>
                <w:bCs/>
                <w:color w:val="auto"/>
                <w:sz w:val="21"/>
                <w:szCs w:val="21"/>
                <w:highlight w:val="none"/>
              </w:rPr>
              <w:t>项目质量保障措施</w:t>
            </w:r>
          </w:p>
          <w:p w14:paraId="39D52428">
            <w:pPr>
              <w:spacing w:line="360" w:lineRule="auto"/>
              <w:jc w:val="center"/>
              <w:rPr>
                <w:rFonts w:hint="eastAsia"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9</w:t>
            </w:r>
            <w:r>
              <w:rPr>
                <w:rFonts w:hint="eastAsia" w:ascii="宋体" w:hAnsi="宋体"/>
                <w:b/>
                <w:bCs/>
                <w:color w:val="auto"/>
                <w:sz w:val="21"/>
                <w:szCs w:val="21"/>
                <w:highlight w:val="none"/>
              </w:rPr>
              <w:t>分）</w:t>
            </w:r>
          </w:p>
        </w:tc>
        <w:tc>
          <w:tcPr>
            <w:tcW w:w="6126" w:type="dxa"/>
            <w:vAlign w:val="center"/>
          </w:tcPr>
          <w:p w14:paraId="2AB9B395">
            <w:pPr>
              <w:spacing w:line="360" w:lineRule="auto"/>
              <w:rPr>
                <w:rFonts w:hint="eastAsia"/>
                <w:color w:val="auto"/>
                <w:sz w:val="21"/>
                <w:szCs w:val="21"/>
                <w:highlight w:val="none"/>
                <w:lang w:val="en-US" w:eastAsia="zh-CN"/>
              </w:rPr>
            </w:pPr>
            <w:r>
              <w:rPr>
                <w:rFonts w:hint="eastAsia" w:ascii="宋体" w:hAnsi="宋体"/>
                <w:color w:val="auto"/>
                <w:sz w:val="21"/>
                <w:szCs w:val="21"/>
                <w:highlight w:val="none"/>
                <w:lang w:val="en-US" w:eastAsia="zh-CN"/>
              </w:rPr>
              <w:t>针</w:t>
            </w:r>
            <w:r>
              <w:rPr>
                <w:rFonts w:hint="eastAsia" w:ascii="宋体" w:hAnsi="宋体"/>
                <w:color w:val="auto"/>
                <w:sz w:val="21"/>
                <w:szCs w:val="21"/>
                <w:highlight w:val="none"/>
                <w:lang w:val="zh-CN" w:eastAsia="zh-CN"/>
              </w:rPr>
              <w:t>对本项目</w:t>
            </w:r>
            <w:r>
              <w:rPr>
                <w:rFonts w:hint="eastAsia" w:ascii="宋体" w:hAnsi="宋体"/>
                <w:color w:val="auto"/>
                <w:sz w:val="21"/>
                <w:szCs w:val="21"/>
                <w:highlight w:val="none"/>
                <w:lang w:val="en-US" w:eastAsia="zh-CN"/>
              </w:rPr>
              <w:t>提供质量保证措施，包括但不限于</w:t>
            </w:r>
            <w:r>
              <w:rPr>
                <w:rFonts w:hint="eastAsia" w:ascii="宋体" w:hAnsi="宋体"/>
                <w:color w:val="auto"/>
                <w:sz w:val="21"/>
                <w:szCs w:val="21"/>
                <w:highlight w:val="none"/>
              </w:rPr>
              <w:t>①</w:t>
            </w:r>
            <w:r>
              <w:rPr>
                <w:rFonts w:hint="eastAsia" w:ascii="宋体" w:hAnsi="宋体"/>
                <w:color w:val="auto"/>
                <w:sz w:val="21"/>
                <w:szCs w:val="21"/>
                <w:highlight w:val="none"/>
                <w:lang w:val="en-US" w:eastAsia="zh-CN"/>
              </w:rPr>
              <w:t>服务</w:t>
            </w:r>
            <w:r>
              <w:rPr>
                <w:rFonts w:hint="eastAsia" w:ascii="宋体" w:hAnsi="宋体"/>
                <w:color w:val="auto"/>
                <w:sz w:val="21"/>
                <w:szCs w:val="21"/>
                <w:highlight w:val="none"/>
              </w:rPr>
              <w:t>质量保障措施</w:t>
            </w:r>
            <w:r>
              <w:rPr>
                <w:rFonts w:hint="eastAsia" w:ascii="宋体" w:hAnsi="宋体"/>
                <w:color w:val="auto"/>
                <w:sz w:val="21"/>
                <w:szCs w:val="21"/>
                <w:highlight w:val="none"/>
                <w:lang w:eastAsia="zh-CN"/>
              </w:rPr>
              <w:t>；</w:t>
            </w:r>
            <w:r>
              <w:rPr>
                <w:rFonts w:hint="eastAsia" w:ascii="宋体" w:hAnsi="宋体"/>
                <w:color w:val="auto"/>
                <w:sz w:val="21"/>
                <w:szCs w:val="21"/>
                <w:highlight w:val="none"/>
              </w:rPr>
              <w:t>②服务方案</w:t>
            </w:r>
            <w:r>
              <w:rPr>
                <w:rFonts w:hint="eastAsia" w:ascii="宋体" w:hAnsi="宋体"/>
                <w:color w:val="auto"/>
                <w:sz w:val="21"/>
                <w:szCs w:val="21"/>
                <w:highlight w:val="none"/>
                <w:lang w:val="en-US" w:eastAsia="zh-CN"/>
              </w:rPr>
              <w:t>及服务各阶段目标</w:t>
            </w:r>
            <w:r>
              <w:rPr>
                <w:rFonts w:hint="eastAsia" w:ascii="宋体" w:hAnsi="宋体"/>
                <w:color w:val="auto"/>
                <w:sz w:val="21"/>
                <w:szCs w:val="21"/>
                <w:highlight w:val="none"/>
                <w:lang w:eastAsia="zh-CN"/>
              </w:rPr>
              <w:t>；</w:t>
            </w:r>
            <w:r>
              <w:rPr>
                <w:rFonts w:hint="eastAsia" w:ascii="宋体" w:hAnsi="宋体"/>
                <w:color w:val="auto"/>
                <w:sz w:val="21"/>
                <w:szCs w:val="21"/>
                <w:highlight w:val="none"/>
              </w:rPr>
              <w:t>③服务进度保障</w:t>
            </w:r>
            <w:r>
              <w:rPr>
                <w:rFonts w:hint="eastAsia" w:ascii="宋体" w:hAnsi="宋体"/>
                <w:color w:val="auto"/>
                <w:sz w:val="21"/>
                <w:szCs w:val="21"/>
                <w:highlight w:val="none"/>
                <w:lang w:eastAsia="zh-CN"/>
              </w:rPr>
              <w:t>。</w:t>
            </w:r>
            <w:r>
              <w:rPr>
                <w:rFonts w:hint="eastAsia"/>
                <w:color w:val="auto"/>
                <w:sz w:val="21"/>
                <w:szCs w:val="21"/>
                <w:highlight w:val="none"/>
                <w:lang w:val="en-US" w:eastAsia="zh-CN"/>
              </w:rPr>
              <w:t>所提供的方案全面内容可行、切合实际且符合本项目需求、利于项目实施；每有一项完全满足得3分，满分9分，每有一处不足或缺陷的扣1.5分，扣完为止。</w:t>
            </w:r>
          </w:p>
          <w:p w14:paraId="4788A439">
            <w:pPr>
              <w:pStyle w:val="19"/>
              <w:spacing w:line="360" w:lineRule="auto"/>
              <w:rPr>
                <w:rFonts w:hint="eastAsia" w:ascii="Times New Roman" w:hAnsi="Times New Roman" w:eastAsia="宋体" w:cs="Times New Roman"/>
                <w:b w:val="0"/>
                <w:bCs/>
                <w:color w:val="auto"/>
                <w:kern w:val="2"/>
                <w:sz w:val="21"/>
                <w:szCs w:val="21"/>
                <w:highlight w:val="none"/>
                <w:lang w:val="en-US" w:eastAsia="zh-CN" w:bidi="ar-SA"/>
              </w:rPr>
            </w:pPr>
          </w:p>
          <w:p w14:paraId="3B900046">
            <w:pPr>
              <w:pStyle w:val="19"/>
              <w:spacing w:line="360" w:lineRule="auto"/>
              <w:rPr>
                <w:rFonts w:hint="eastAsia"/>
                <w:color w:val="auto"/>
                <w:sz w:val="21"/>
                <w:szCs w:val="21"/>
                <w:highlight w:val="none"/>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完全满足是指内容与项目服务需求吻合、层次细化，有具体详细的阐述；阐述从实际出发，切合项目背景、项目需求并提出专业技术建议或者解决方案；内容符合国家、地方、行业标准、行业惯例以及项目特点；内容清楚明了、表述规范、含义准确。】</w:t>
            </w:r>
          </w:p>
          <w:p w14:paraId="6D1975A2">
            <w:pPr>
              <w:widowControl/>
              <w:spacing w:line="360" w:lineRule="auto"/>
              <w:rPr>
                <w:rFonts w:ascii="宋体" w:hAnsi="宋体"/>
                <w:color w:val="auto"/>
                <w:sz w:val="21"/>
                <w:szCs w:val="21"/>
                <w:highlight w:val="none"/>
              </w:rPr>
            </w:pPr>
            <w:r>
              <w:rPr>
                <w:rFonts w:hint="eastAsia" w:ascii="Times New Roman" w:hAnsi="Times New Roman" w:eastAsia="宋体" w:cs="Times New Roman"/>
                <w:b w:val="0"/>
                <w:bCs/>
                <w:color w:val="auto"/>
                <w:kern w:val="2"/>
                <w:sz w:val="21"/>
                <w:szCs w:val="21"/>
                <w:highlight w:val="none"/>
                <w:lang w:val="en-US" w:eastAsia="zh-CN" w:bidi="ar-SA"/>
              </w:rPr>
              <w:t>【不足是指对应单项中的内容缺失（不完整）、与对应单项的要求缺少重要节点（如仅有框架或标题、单项内容仅有复制招标内容的要求、涉及内容无重点）；缺陷是指：单项方案中出现套用其他项目方案或内容、内容中出现前后描述不一致现象或语言描述出现有错误、内容涉及适用的规范及标准（方法）出现错误等情形。】</w:t>
            </w:r>
          </w:p>
        </w:tc>
      </w:tr>
      <w:tr w14:paraId="19D1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tcPr>
          <w:p w14:paraId="515A2E89">
            <w:pPr>
              <w:spacing w:line="360" w:lineRule="auto"/>
              <w:rPr>
                <w:rFonts w:ascii="宋体" w:hAnsi="宋体"/>
                <w:color w:val="auto"/>
                <w:sz w:val="21"/>
                <w:szCs w:val="21"/>
                <w:highlight w:val="none"/>
              </w:rPr>
            </w:pPr>
          </w:p>
        </w:tc>
        <w:tc>
          <w:tcPr>
            <w:tcW w:w="1529" w:type="dxa"/>
            <w:vAlign w:val="center"/>
          </w:tcPr>
          <w:p w14:paraId="2BDBA42F">
            <w:pPr>
              <w:widowControl/>
              <w:spacing w:line="360" w:lineRule="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申本信息化服务功能</w:t>
            </w:r>
            <w:r>
              <w:rPr>
                <w:rFonts w:hint="eastAsia" w:ascii="Times New Roman" w:hAnsi="Times New Roman" w:cs="Times New Roman"/>
                <w:b w:val="0"/>
                <w:bCs/>
                <w:color w:val="auto"/>
                <w:kern w:val="2"/>
                <w:sz w:val="21"/>
                <w:szCs w:val="21"/>
                <w:highlight w:val="none"/>
                <w:lang w:val="en-US" w:eastAsia="zh-CN" w:bidi="ar-SA"/>
              </w:rPr>
              <w:t>演示</w:t>
            </w:r>
            <w:r>
              <w:rPr>
                <w:rFonts w:hint="eastAsia" w:ascii="Times New Roman" w:hAnsi="Times New Roman" w:eastAsia="宋体" w:cs="Times New Roman"/>
                <w:b w:val="0"/>
                <w:bCs/>
                <w:color w:val="auto"/>
                <w:kern w:val="2"/>
                <w:sz w:val="21"/>
                <w:szCs w:val="21"/>
                <w:highlight w:val="none"/>
                <w:lang w:val="en-US" w:eastAsia="zh-CN" w:bidi="ar-SA"/>
              </w:rPr>
              <w:t>（1</w:t>
            </w:r>
            <w:r>
              <w:rPr>
                <w:rFonts w:hint="eastAsia" w:ascii="Times New Roman" w:hAnsi="Times New Roman" w:cs="Times New Roman"/>
                <w:b w:val="0"/>
                <w:bCs/>
                <w:color w:val="auto"/>
                <w:kern w:val="2"/>
                <w:sz w:val="21"/>
                <w:szCs w:val="21"/>
                <w:highlight w:val="none"/>
                <w:lang w:val="en-US" w:eastAsia="zh-CN" w:bidi="ar-SA"/>
              </w:rPr>
              <w:t>2</w:t>
            </w:r>
            <w:r>
              <w:rPr>
                <w:rFonts w:hint="eastAsia" w:ascii="Times New Roman" w:hAnsi="Times New Roman" w:eastAsia="宋体" w:cs="Times New Roman"/>
                <w:b w:val="0"/>
                <w:bCs/>
                <w:color w:val="auto"/>
                <w:kern w:val="2"/>
                <w:sz w:val="21"/>
                <w:szCs w:val="21"/>
                <w:highlight w:val="none"/>
                <w:lang w:val="en-US" w:eastAsia="zh-CN" w:bidi="ar-SA"/>
              </w:rPr>
              <w:t>分）</w:t>
            </w:r>
          </w:p>
        </w:tc>
        <w:tc>
          <w:tcPr>
            <w:tcW w:w="6126" w:type="dxa"/>
            <w:vAlign w:val="center"/>
          </w:tcPr>
          <w:p w14:paraId="494755C7">
            <w:pPr>
              <w:widowControl/>
              <w:spacing w:line="360" w:lineRule="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投标人对申本信息化服务工作的功能进行演示和解说，如PPT、软件现场演示、视频演示等。演示内容如下：</w:t>
            </w:r>
          </w:p>
          <w:p w14:paraId="2423F40F">
            <w:pPr>
              <w:pStyle w:val="21"/>
              <w:ind w:left="0" w:leftChars="0" w:firstLine="0" w:firstLineChars="0"/>
              <w:rPr>
                <w:rFonts w:hint="eastAsia"/>
                <w:b/>
                <w:bCs/>
                <w:color w:val="auto"/>
                <w:highlight w:val="none"/>
                <w:lang w:val="en-US" w:eastAsia="zh-CN"/>
              </w:rPr>
            </w:pPr>
            <w:r>
              <w:rPr>
                <w:rFonts w:hint="eastAsia" w:ascii="宋体" w:hAnsi="宋体"/>
                <w:b/>
                <w:bCs/>
                <w:color w:val="auto"/>
                <w:sz w:val="21"/>
                <w:szCs w:val="21"/>
                <w:highlight w:val="none"/>
              </w:rPr>
              <w:t>①</w:t>
            </w:r>
            <w:r>
              <w:rPr>
                <w:rFonts w:hint="eastAsia"/>
                <w:b/>
                <w:bCs/>
                <w:color w:val="auto"/>
                <w:highlight w:val="none"/>
                <w:lang w:val="en-US" w:eastAsia="zh-CN"/>
              </w:rPr>
              <w:t>申本各类材料收集：</w:t>
            </w:r>
          </w:p>
          <w:p w14:paraId="52A5EC27">
            <w:pPr>
              <w:pStyle w:val="21"/>
              <w:ind w:left="0" w:leftChars="0" w:firstLine="0" w:firstLineChars="0"/>
              <w:rPr>
                <w:rFonts w:hint="eastAsia"/>
                <w:color w:val="auto"/>
                <w:highlight w:val="none"/>
                <w:lang w:val="en-US" w:eastAsia="zh-CN"/>
              </w:rPr>
            </w:pPr>
            <w:r>
              <w:rPr>
                <w:rFonts w:hint="eastAsia"/>
                <w:color w:val="auto"/>
                <w:highlight w:val="none"/>
                <w:lang w:val="en-US" w:eastAsia="zh-CN"/>
              </w:rPr>
              <w:t>1.材料采集：支持文件上传、在线填报数据，适配升本所需各类佐证材料采集。</w:t>
            </w:r>
          </w:p>
          <w:p w14:paraId="1DF068EB">
            <w:pPr>
              <w:pStyle w:val="21"/>
              <w:ind w:left="0" w:leftChars="0" w:firstLine="0" w:firstLineChars="0"/>
              <w:rPr>
                <w:rFonts w:hint="eastAsia"/>
                <w:color w:val="auto"/>
                <w:highlight w:val="none"/>
                <w:lang w:val="en-US" w:eastAsia="zh-CN"/>
              </w:rPr>
            </w:pPr>
            <w:r>
              <w:rPr>
                <w:rFonts w:hint="eastAsia"/>
                <w:color w:val="auto"/>
                <w:highlight w:val="none"/>
                <w:lang w:val="en-US" w:eastAsia="zh-CN"/>
              </w:rPr>
              <w:t>2.任务化管理：可按指标发布采集任务，指定责任部门、责任人及截止时间，支持任务搜索、按审核状态筛选等。</w:t>
            </w:r>
          </w:p>
          <w:p w14:paraId="4875E848">
            <w:pPr>
              <w:pStyle w:val="21"/>
              <w:ind w:left="0" w:leftChars="0" w:firstLine="0" w:firstLineChars="0"/>
              <w:rPr>
                <w:rFonts w:hint="eastAsia"/>
                <w:color w:val="auto"/>
                <w:highlight w:val="none"/>
                <w:lang w:val="en-US" w:eastAsia="zh-CN"/>
              </w:rPr>
            </w:pPr>
            <w:r>
              <w:rPr>
                <w:rFonts w:hint="eastAsia"/>
                <w:color w:val="auto"/>
                <w:highlight w:val="none"/>
                <w:lang w:val="en-US" w:eastAsia="zh-CN"/>
              </w:rPr>
              <w:t>3.材料汇总导出：支持采集材料汇总，可直接导出下载，无需手动整理。</w:t>
            </w:r>
          </w:p>
          <w:p w14:paraId="2188226D">
            <w:pPr>
              <w:pStyle w:val="21"/>
              <w:ind w:left="0" w:leftChars="0" w:firstLine="0" w:firstLineChars="0"/>
              <w:rPr>
                <w:rFonts w:hint="eastAsia"/>
                <w:color w:val="auto"/>
                <w:highlight w:val="none"/>
                <w:lang w:val="en-US" w:eastAsia="zh-CN"/>
              </w:rPr>
            </w:pPr>
            <w:r>
              <w:rPr>
                <w:rFonts w:hint="eastAsia"/>
                <w:color w:val="auto"/>
                <w:highlight w:val="none"/>
                <w:lang w:val="en-US" w:eastAsia="zh-CN"/>
              </w:rPr>
              <w:t>4.案例库：收录全国成功升本院校的建设资料范例，支持按指标模块/资料类型筛选，提供范例下载、在线预览功能。</w:t>
            </w:r>
          </w:p>
          <w:p w14:paraId="3D781077">
            <w:pPr>
              <w:pStyle w:val="21"/>
              <w:ind w:left="0" w:leftChars="0" w:firstLine="0" w:firstLineChars="0"/>
              <w:rPr>
                <w:rFonts w:hint="eastAsia"/>
                <w:b/>
                <w:bCs/>
                <w:color w:val="auto"/>
                <w:highlight w:val="none"/>
                <w:lang w:val="en-US" w:eastAsia="zh-CN"/>
              </w:rPr>
            </w:pPr>
            <w:r>
              <w:rPr>
                <w:rFonts w:hint="eastAsia" w:ascii="宋体" w:hAnsi="宋体"/>
                <w:b/>
                <w:bCs/>
                <w:color w:val="auto"/>
                <w:sz w:val="21"/>
                <w:szCs w:val="21"/>
                <w:highlight w:val="none"/>
              </w:rPr>
              <w:t>②</w:t>
            </w:r>
            <w:r>
              <w:rPr>
                <w:rFonts w:hint="eastAsia"/>
                <w:b/>
                <w:bCs/>
                <w:color w:val="auto"/>
                <w:highlight w:val="none"/>
                <w:lang w:val="en-US" w:eastAsia="zh-CN"/>
              </w:rPr>
              <w:t>专家评审反馈</w:t>
            </w:r>
          </w:p>
          <w:p w14:paraId="18362E92">
            <w:pPr>
              <w:pStyle w:val="21"/>
              <w:ind w:left="0" w:leftChars="0" w:firstLine="0" w:firstLineChars="0"/>
              <w:rPr>
                <w:rFonts w:hint="eastAsia"/>
                <w:color w:val="auto"/>
                <w:highlight w:val="none"/>
                <w:lang w:val="en-US" w:eastAsia="zh-CN"/>
              </w:rPr>
            </w:pPr>
            <w:r>
              <w:rPr>
                <w:rFonts w:hint="eastAsia"/>
                <w:color w:val="auto"/>
                <w:highlight w:val="none"/>
                <w:lang w:val="en-US" w:eastAsia="zh-CN"/>
              </w:rPr>
              <w:t>1.专家审核：专家可对院校提交的采集材料、整改成果进行专业审核，标注审核意见，明确通过 / 驳回结论，同步展示审核进度统计。</w:t>
            </w:r>
          </w:p>
          <w:p w14:paraId="6F526A24">
            <w:pPr>
              <w:pStyle w:val="21"/>
              <w:ind w:left="0" w:leftChars="0" w:firstLine="0" w:firstLineChars="0"/>
              <w:rPr>
                <w:rFonts w:hint="eastAsia"/>
                <w:color w:val="auto"/>
                <w:highlight w:val="none"/>
                <w:lang w:val="en-US" w:eastAsia="zh-CN"/>
              </w:rPr>
            </w:pPr>
            <w:r>
              <w:rPr>
                <w:rFonts w:hint="eastAsia"/>
                <w:color w:val="auto"/>
                <w:highlight w:val="none"/>
                <w:lang w:val="en-US" w:eastAsia="zh-CN"/>
              </w:rPr>
              <w:t>2.咨询与会议指导：院校可针对未达标指标向专家发起在线咨询（提交文字、资料），预约线上会议指导；专家可接收预约、调整时间，会后添加指导记录，实现精准对接。</w:t>
            </w:r>
          </w:p>
          <w:p w14:paraId="3FC06DB8">
            <w:pPr>
              <w:pStyle w:val="21"/>
              <w:ind w:left="0" w:leftChars="0" w:firstLine="0" w:firstLineChars="0"/>
              <w:rPr>
                <w:rFonts w:hint="eastAsia"/>
                <w:b/>
                <w:bCs/>
                <w:color w:val="auto"/>
                <w:highlight w:val="none"/>
                <w:lang w:val="en-US" w:eastAsia="zh-CN"/>
              </w:rPr>
            </w:pPr>
            <w:r>
              <w:rPr>
                <w:rFonts w:hint="eastAsia" w:ascii="宋体" w:hAnsi="宋体"/>
                <w:b/>
                <w:bCs/>
                <w:color w:val="auto"/>
                <w:sz w:val="21"/>
                <w:szCs w:val="21"/>
                <w:highlight w:val="none"/>
              </w:rPr>
              <w:t>③</w:t>
            </w:r>
            <w:r>
              <w:rPr>
                <w:rFonts w:hint="eastAsia"/>
                <w:b/>
                <w:bCs/>
                <w:color w:val="auto"/>
                <w:highlight w:val="none"/>
                <w:lang w:val="en-US" w:eastAsia="zh-CN"/>
              </w:rPr>
              <w:t>申本指标动态监测：可视化呈现，风险预警</w:t>
            </w:r>
          </w:p>
          <w:p w14:paraId="442689AA">
            <w:pPr>
              <w:pStyle w:val="21"/>
              <w:ind w:left="0" w:leftChars="0" w:firstLine="0" w:firstLineChars="0"/>
              <w:rPr>
                <w:rFonts w:hint="eastAsia"/>
                <w:color w:val="auto"/>
                <w:highlight w:val="none"/>
                <w:lang w:val="en-US" w:eastAsia="zh-CN"/>
              </w:rPr>
            </w:pPr>
            <w:r>
              <w:rPr>
                <w:rFonts w:hint="eastAsia"/>
                <w:color w:val="auto"/>
                <w:highlight w:val="none"/>
                <w:lang w:val="en-US" w:eastAsia="zh-CN"/>
              </w:rPr>
              <w:t>1.指标体系支撑：内置官方评估指标（教育部高等学校设置标准(试行) 2025），支持动态更新、自定义调整，适配院校实际需求。</w:t>
            </w:r>
          </w:p>
          <w:p w14:paraId="65B5C88E">
            <w:pPr>
              <w:pStyle w:val="21"/>
              <w:ind w:left="0" w:leftChars="0" w:firstLine="0" w:firstLineChars="0"/>
              <w:rPr>
                <w:rFonts w:hint="eastAsia"/>
                <w:color w:val="auto"/>
                <w:highlight w:val="none"/>
                <w:lang w:val="en-US" w:eastAsia="zh-CN"/>
              </w:rPr>
            </w:pPr>
            <w:r>
              <w:rPr>
                <w:rFonts w:hint="eastAsia"/>
                <w:color w:val="auto"/>
                <w:highlight w:val="none"/>
                <w:lang w:val="en-US" w:eastAsia="zh-CN"/>
              </w:rPr>
              <w:t>2.实时监测与预警：通过综合看板、雷达图、热力图等可视化形式，展示院校升本建设达标指数、高风险指标、薄弱项，按严重 / 高危级别预警指标异常。</w:t>
            </w:r>
          </w:p>
          <w:p w14:paraId="2A96B2C1">
            <w:pPr>
              <w:pStyle w:val="21"/>
              <w:ind w:left="0" w:leftChars="0" w:firstLine="0" w:firstLineChars="0"/>
              <w:rPr>
                <w:rFonts w:hint="eastAsia"/>
                <w:color w:val="auto"/>
                <w:highlight w:val="none"/>
                <w:lang w:val="en-US" w:eastAsia="zh-CN"/>
              </w:rPr>
            </w:pPr>
            <w:r>
              <w:rPr>
                <w:rFonts w:hint="eastAsia"/>
                <w:color w:val="auto"/>
                <w:highlight w:val="none"/>
                <w:lang w:val="en-US" w:eastAsia="zh-CN"/>
              </w:rPr>
              <w:t>3.多维度对比分析：支持横向（与同类型院校）、纵向（本校历史数据）指标对比，直观呈现建设差距，为决策提供依据。</w:t>
            </w:r>
          </w:p>
          <w:p w14:paraId="767A8B37">
            <w:pPr>
              <w:pStyle w:val="21"/>
              <w:ind w:left="0" w:leftChars="0" w:firstLine="0" w:firstLineChars="0"/>
              <w:rPr>
                <w:rFonts w:hint="eastAsia"/>
                <w:b/>
                <w:bCs/>
                <w:color w:val="auto"/>
                <w:highlight w:val="none"/>
                <w:lang w:val="en-US" w:eastAsia="zh-CN"/>
              </w:rPr>
            </w:pPr>
            <w:r>
              <w:rPr>
                <w:rFonts w:hint="eastAsia" w:ascii="宋体" w:hAnsi="宋体"/>
                <w:b/>
                <w:bCs/>
                <w:color w:val="auto"/>
                <w:sz w:val="21"/>
                <w:szCs w:val="21"/>
                <w:highlight w:val="none"/>
              </w:rPr>
              <w:t>④</w:t>
            </w:r>
            <w:r>
              <w:rPr>
                <w:rFonts w:hint="eastAsia"/>
                <w:b/>
                <w:bCs/>
                <w:color w:val="auto"/>
                <w:highlight w:val="none"/>
                <w:lang w:val="en-US" w:eastAsia="zh-CN"/>
              </w:rPr>
              <w:t>问题整改</w:t>
            </w:r>
          </w:p>
          <w:p w14:paraId="5940246D">
            <w:pPr>
              <w:pStyle w:val="21"/>
              <w:ind w:left="0" w:leftChars="0" w:firstLine="0" w:firstLineChars="0"/>
              <w:rPr>
                <w:rFonts w:hint="eastAsia"/>
                <w:color w:val="auto"/>
                <w:highlight w:val="none"/>
                <w:lang w:val="en-US" w:eastAsia="zh-CN"/>
              </w:rPr>
            </w:pPr>
            <w:r>
              <w:rPr>
                <w:rFonts w:hint="eastAsia"/>
                <w:color w:val="auto"/>
                <w:highlight w:val="none"/>
                <w:lang w:val="en-US" w:eastAsia="zh-CN"/>
              </w:rPr>
              <w:t>1.整改任务管控：针对专家批复意见以及未达标指标创建整改任务，指定责任人、截止时间、优先级，避免重复创建，可视化展示任务总数、进度及各状态分布。</w:t>
            </w:r>
          </w:p>
          <w:p w14:paraId="6EC4503E">
            <w:pPr>
              <w:pStyle w:val="21"/>
              <w:ind w:left="0" w:leftChars="0" w:firstLine="0" w:firstLineChars="0"/>
              <w:rPr>
                <w:rFonts w:hint="eastAsia"/>
                <w:color w:val="auto"/>
                <w:highlight w:val="none"/>
                <w:lang w:val="en-US" w:eastAsia="zh-CN"/>
              </w:rPr>
            </w:pPr>
            <w:r>
              <w:rPr>
                <w:rFonts w:hint="eastAsia"/>
                <w:color w:val="auto"/>
                <w:highlight w:val="none"/>
                <w:lang w:val="en-US" w:eastAsia="zh-CN"/>
              </w:rPr>
              <w:t>2.进度跟踪与审核：实时更新整改状态，可查看整改资料、记录整改过程，支持多级审核（含专家审核），审核人员可预览资料、填写意见。</w:t>
            </w:r>
          </w:p>
          <w:p w14:paraId="782E441A">
            <w:pPr>
              <w:pStyle w:val="21"/>
              <w:ind w:left="0" w:leftChars="0" w:firstLine="0" w:firstLineChars="0"/>
              <w:rPr>
                <w:rFonts w:hint="eastAsia"/>
                <w:color w:val="auto"/>
                <w:highlight w:val="none"/>
                <w:lang w:val="en-US" w:eastAsia="zh-CN"/>
              </w:rPr>
            </w:pPr>
            <w:r>
              <w:rPr>
                <w:rFonts w:hint="eastAsia"/>
                <w:color w:val="auto"/>
                <w:highlight w:val="none"/>
                <w:lang w:val="en-US" w:eastAsia="zh-CN"/>
              </w:rPr>
              <w:t>3.闭环归档：形成 “指标不合格 - 诊断 - 整改 - 审核” 全闭环，自动归档整改资料、审核记录，支持整改情况溯源查询。</w:t>
            </w:r>
          </w:p>
          <w:p w14:paraId="7DA95753">
            <w:pPr>
              <w:widowControl/>
              <w:spacing w:line="360" w:lineRule="auto"/>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以上一共12个演示点，每一个演示点演示功能能够完全满足本项目采购需求得1分，演示内容能够完全满足本项目采购需求的得12分，演示功能不完整的或无法满足本项目采购需求的扣0.5分，扣完为止。未提供演示的不得分。</w:t>
            </w:r>
          </w:p>
          <w:p w14:paraId="41DFD789">
            <w:pPr>
              <w:widowControl/>
              <w:spacing w:line="360" w:lineRule="auto"/>
              <w:rPr>
                <w:rFonts w:hint="eastAsia"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cs="Times New Roman"/>
                <w:b/>
                <w:bCs w:val="0"/>
                <w:color w:val="auto"/>
                <w:kern w:val="2"/>
                <w:sz w:val="21"/>
                <w:szCs w:val="21"/>
                <w:highlight w:val="none"/>
                <w:lang w:val="en-US" w:eastAsia="zh-CN" w:bidi="ar-SA"/>
              </w:rPr>
              <w:t>注：</w:t>
            </w:r>
            <w:r>
              <w:rPr>
                <w:rFonts w:hint="eastAsia" w:ascii="Times New Roman" w:hAnsi="Times New Roman" w:eastAsia="宋体" w:cs="Times New Roman"/>
                <w:b/>
                <w:bCs w:val="0"/>
                <w:color w:val="auto"/>
                <w:kern w:val="2"/>
                <w:sz w:val="21"/>
                <w:szCs w:val="21"/>
                <w:highlight w:val="none"/>
                <w:lang w:val="en-US" w:eastAsia="zh-CN" w:bidi="ar-SA"/>
              </w:rPr>
              <w:t>开标时进入政采云平台线上演示，供应商需提前做好演示准备工作（如</w:t>
            </w:r>
            <w:r>
              <w:rPr>
                <w:rFonts w:hint="eastAsia" w:ascii="Times New Roman" w:hAnsi="Times New Roman" w:cs="Times New Roman"/>
                <w:b/>
                <w:bCs w:val="0"/>
                <w:color w:val="auto"/>
                <w:kern w:val="2"/>
                <w:sz w:val="21"/>
                <w:szCs w:val="21"/>
                <w:highlight w:val="none"/>
                <w:lang w:val="en-US" w:eastAsia="zh-CN" w:bidi="ar-SA"/>
              </w:rPr>
              <w:t>平台</w:t>
            </w:r>
            <w:r>
              <w:rPr>
                <w:rFonts w:hint="eastAsia" w:ascii="Times New Roman" w:hAnsi="Times New Roman" w:eastAsia="宋体" w:cs="Times New Roman"/>
                <w:b/>
                <w:bCs w:val="0"/>
                <w:color w:val="auto"/>
                <w:kern w:val="2"/>
                <w:sz w:val="21"/>
                <w:szCs w:val="21"/>
                <w:highlight w:val="none"/>
                <w:lang w:val="en-US" w:eastAsia="zh-CN" w:bidi="ar-SA"/>
              </w:rPr>
              <w:t>准备、开标电脑调试等），待收到演示提醒后进入视频会议进行线上演示。每个投标单位演示时间不超过</w:t>
            </w:r>
            <w:r>
              <w:rPr>
                <w:rFonts w:hint="eastAsia" w:ascii="Times New Roman" w:hAnsi="Times New Roman" w:cs="Times New Roman"/>
                <w:b/>
                <w:bCs w:val="0"/>
                <w:color w:val="auto"/>
                <w:kern w:val="2"/>
                <w:sz w:val="21"/>
                <w:szCs w:val="21"/>
                <w:highlight w:val="none"/>
                <w:lang w:val="en-US" w:eastAsia="zh-CN" w:bidi="ar-SA"/>
              </w:rPr>
              <w:t>15</w:t>
            </w:r>
            <w:r>
              <w:rPr>
                <w:rFonts w:hint="eastAsia" w:ascii="Times New Roman" w:hAnsi="Times New Roman" w:eastAsia="宋体" w:cs="Times New Roman"/>
                <w:b/>
                <w:bCs w:val="0"/>
                <w:color w:val="auto"/>
                <w:kern w:val="2"/>
                <w:sz w:val="21"/>
                <w:szCs w:val="21"/>
                <w:highlight w:val="none"/>
                <w:lang w:val="en-US" w:eastAsia="zh-CN" w:bidi="ar-SA"/>
              </w:rPr>
              <w:t>分钟。</w:t>
            </w:r>
          </w:p>
          <w:p w14:paraId="0F285FED">
            <w:pPr>
              <w:widowControl/>
              <w:spacing w:line="360" w:lineRule="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bCs w:val="0"/>
                <w:color w:val="auto"/>
                <w:kern w:val="2"/>
                <w:sz w:val="21"/>
                <w:szCs w:val="21"/>
                <w:highlight w:val="none"/>
                <w:lang w:val="en-US" w:eastAsia="zh-CN" w:bidi="ar-SA"/>
              </w:rPr>
              <w:t>备选演示：腾讯会议演示（若因政采云平台无法演示则使用腾讯会议演示） 会议号：</w:t>
            </w:r>
            <w:r>
              <w:rPr>
                <w:rFonts w:hint="eastAsia" w:ascii="Times New Roman" w:hAnsi="Times New Roman" w:cs="Times New Roman"/>
                <w:b/>
                <w:bCs w:val="0"/>
                <w:color w:val="auto"/>
                <w:kern w:val="2"/>
                <w:sz w:val="21"/>
                <w:szCs w:val="21"/>
                <w:highlight w:val="none"/>
                <w:lang w:val="en-US" w:eastAsia="zh-CN" w:bidi="ar-SA"/>
              </w:rPr>
              <w:t>875 057 5956</w:t>
            </w:r>
          </w:p>
        </w:tc>
      </w:tr>
      <w:tr w14:paraId="0137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tcPr>
          <w:p w14:paraId="24152120">
            <w:pPr>
              <w:spacing w:line="360" w:lineRule="auto"/>
              <w:rPr>
                <w:rFonts w:ascii="宋体" w:hAnsi="宋体"/>
                <w:color w:val="auto"/>
                <w:sz w:val="21"/>
                <w:szCs w:val="21"/>
                <w:highlight w:val="none"/>
              </w:rPr>
            </w:pPr>
          </w:p>
        </w:tc>
        <w:tc>
          <w:tcPr>
            <w:tcW w:w="1529" w:type="dxa"/>
            <w:vAlign w:val="center"/>
          </w:tcPr>
          <w:p w14:paraId="64B2D22C">
            <w:pPr>
              <w:spacing w:line="360" w:lineRule="auto"/>
              <w:jc w:val="center"/>
              <w:rPr>
                <w:rFonts w:hint="eastAsia" w:ascii="宋体" w:hAnsi="宋体"/>
                <w:b/>
                <w:bCs/>
                <w:color w:val="auto"/>
                <w:sz w:val="21"/>
                <w:szCs w:val="21"/>
                <w:highlight w:val="none"/>
              </w:rPr>
            </w:pPr>
            <w:r>
              <w:rPr>
                <w:rFonts w:hint="eastAsia" w:ascii="宋体" w:hAnsi="宋体"/>
                <w:b/>
                <w:bCs/>
                <w:color w:val="auto"/>
                <w:sz w:val="21"/>
                <w:szCs w:val="21"/>
                <w:highlight w:val="none"/>
              </w:rPr>
              <w:t>售后服务方案</w:t>
            </w:r>
          </w:p>
          <w:p w14:paraId="227BD8A8">
            <w:pPr>
              <w:spacing w:line="360" w:lineRule="auto"/>
              <w:jc w:val="center"/>
              <w:rPr>
                <w:rFonts w:hint="eastAsia" w:ascii="宋体" w:hAnsi="宋体"/>
                <w:b/>
                <w:bCs/>
                <w:color w:val="auto"/>
                <w:sz w:val="21"/>
                <w:szCs w:val="21"/>
                <w:highlight w:val="none"/>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8</w:t>
            </w:r>
            <w:r>
              <w:rPr>
                <w:rFonts w:hint="eastAsia" w:ascii="宋体" w:hAnsi="宋体"/>
                <w:b/>
                <w:bCs/>
                <w:color w:val="auto"/>
                <w:sz w:val="21"/>
                <w:szCs w:val="21"/>
                <w:highlight w:val="none"/>
              </w:rPr>
              <w:t>分）</w:t>
            </w:r>
          </w:p>
        </w:tc>
        <w:tc>
          <w:tcPr>
            <w:tcW w:w="6126" w:type="dxa"/>
            <w:vAlign w:val="center"/>
          </w:tcPr>
          <w:p w14:paraId="37BFA9C4">
            <w:pPr>
              <w:spacing w:line="360" w:lineRule="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宋体" w:hAnsi="宋体"/>
                <w:b w:val="0"/>
                <w:bCs w:val="0"/>
                <w:color w:val="auto"/>
                <w:sz w:val="21"/>
                <w:szCs w:val="21"/>
                <w:highlight w:val="none"/>
                <w:lang w:val="en-US" w:eastAsia="zh-CN"/>
              </w:rPr>
              <w:t>针</w:t>
            </w:r>
            <w:r>
              <w:rPr>
                <w:rFonts w:hint="eastAsia" w:ascii="宋体" w:hAnsi="宋体"/>
                <w:b w:val="0"/>
                <w:bCs w:val="0"/>
                <w:color w:val="auto"/>
                <w:sz w:val="21"/>
                <w:szCs w:val="21"/>
                <w:highlight w:val="none"/>
                <w:lang w:val="zh-CN" w:eastAsia="zh-CN"/>
              </w:rPr>
              <w:t>对本项目</w:t>
            </w:r>
            <w:r>
              <w:rPr>
                <w:rFonts w:hint="eastAsia" w:ascii="宋体" w:hAnsi="宋体"/>
                <w:b w:val="0"/>
                <w:bCs w:val="0"/>
                <w:color w:val="auto"/>
                <w:sz w:val="21"/>
                <w:szCs w:val="21"/>
                <w:highlight w:val="none"/>
                <w:lang w:val="en-US" w:eastAsia="zh-CN"/>
              </w:rPr>
              <w:t>提供</w:t>
            </w:r>
            <w:r>
              <w:rPr>
                <w:rFonts w:hint="eastAsia" w:ascii="宋体" w:hAnsi="宋体"/>
                <w:b w:val="0"/>
                <w:bCs w:val="0"/>
                <w:color w:val="auto"/>
                <w:sz w:val="21"/>
                <w:szCs w:val="21"/>
                <w:highlight w:val="none"/>
                <w:lang w:val="zh-CN" w:eastAsia="zh-CN"/>
              </w:rPr>
              <w:t>售后服务方案，包括但不限于</w:t>
            </w:r>
            <w:r>
              <w:rPr>
                <w:rFonts w:ascii="宋体" w:hAnsi="宋体" w:eastAsia="宋体" w:cs="宋体"/>
                <w:color w:val="auto"/>
                <w:sz w:val="21"/>
                <w:szCs w:val="21"/>
                <w:highlight w:val="none"/>
              </w:rPr>
              <w:t>本项目供应商须提供完整的售后服务体系，包括</w:t>
            </w:r>
            <w:r>
              <w:rPr>
                <w:rFonts w:hint="eastAsia" w:ascii="宋体" w:hAnsi="宋体" w:cs="宋体"/>
                <w:color w:val="auto"/>
                <w:sz w:val="21"/>
                <w:szCs w:val="21"/>
                <w:highlight w:val="none"/>
                <w:lang w:val="en-US" w:eastAsia="zh-CN"/>
              </w:rPr>
              <w:t>但不限于</w:t>
            </w:r>
            <w:r>
              <w:rPr>
                <w:rFonts w:ascii="宋体" w:hAnsi="宋体" w:eastAsia="宋体" w:cs="宋体"/>
                <w:color w:val="auto"/>
                <w:sz w:val="21"/>
                <w:szCs w:val="21"/>
                <w:highlight w:val="none"/>
              </w:rPr>
              <w:t>：①明确的售后服务承诺；②详实的售后服务内容；③规范的服务响应时间与响应方式；④健全的售后服务机构设置；</w:t>
            </w:r>
            <w:r>
              <w:rPr>
                <w:rFonts w:hint="eastAsia"/>
                <w:color w:val="auto"/>
                <w:sz w:val="21"/>
                <w:szCs w:val="21"/>
                <w:highlight w:val="none"/>
                <w:lang w:val="en-US" w:eastAsia="zh-CN"/>
              </w:rPr>
              <w:t>所提供的方案全</w:t>
            </w:r>
            <w:r>
              <w:rPr>
                <w:rFonts w:hint="eastAsia" w:ascii="宋体" w:hAnsi="宋体" w:eastAsia="宋体" w:cs="宋体"/>
                <w:color w:val="auto"/>
                <w:sz w:val="21"/>
                <w:szCs w:val="21"/>
                <w:highlight w:val="none"/>
                <w:lang w:val="en-US" w:eastAsia="zh-CN"/>
              </w:rPr>
              <w:t>面内容可行、切合实际且符合本项目需求、利于项目实施；每有一项完全满足得2分，满分</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分，每有一处不足或缺陷的扣1，扣完为止。</w:t>
            </w:r>
            <w:r>
              <w:rPr>
                <w:rFonts w:hint="eastAsia" w:ascii="宋体" w:hAnsi="宋体" w:eastAsia="宋体" w:cs="宋体"/>
                <w:color w:val="auto"/>
                <w:sz w:val="21"/>
                <w:szCs w:val="21"/>
                <w:highlight w:val="none"/>
                <w:lang w:val="en-US" w:eastAsia="zh-CN"/>
              </w:rPr>
              <w:br w:type="textWrapping"/>
            </w:r>
          </w:p>
          <w:p w14:paraId="70EFF471">
            <w:pPr>
              <w:pStyle w:val="19"/>
              <w:spacing w:line="360" w:lineRule="auto"/>
              <w:rPr>
                <w:rFonts w:hint="eastAsia"/>
                <w:color w:val="auto"/>
                <w:sz w:val="21"/>
                <w:szCs w:val="21"/>
                <w:highlight w:val="none"/>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完全满足是指内容与项目服务需求吻合、层次细化，有具体详细的阐述；阐述从实际出发，切合项目背景、项目需求并提出专业技术建议或者解决方案；内容符合国家、地方、行业标准、行业惯例以及项目特点；内容清楚明了、表述规范、含义准确。】</w:t>
            </w:r>
          </w:p>
          <w:p w14:paraId="497F361B">
            <w:pPr>
              <w:spacing w:line="360" w:lineRule="auto"/>
              <w:rPr>
                <w:rFonts w:ascii="宋体" w:hAnsi="宋体"/>
                <w:b/>
                <w:bCs/>
                <w:color w:val="auto"/>
                <w:sz w:val="21"/>
                <w:szCs w:val="21"/>
                <w:highlight w:val="none"/>
              </w:rPr>
            </w:pPr>
            <w:r>
              <w:rPr>
                <w:rFonts w:hint="eastAsia" w:ascii="Times New Roman" w:hAnsi="Times New Roman" w:eastAsia="宋体" w:cs="Times New Roman"/>
                <w:b w:val="0"/>
                <w:bCs/>
                <w:color w:val="auto"/>
                <w:kern w:val="2"/>
                <w:sz w:val="21"/>
                <w:szCs w:val="21"/>
                <w:highlight w:val="none"/>
                <w:lang w:val="en-US" w:eastAsia="zh-CN" w:bidi="ar-SA"/>
              </w:rPr>
              <w:t>【不足是指对应单项中的内容缺失（不完整）、与对应单项的要求缺少重要节点（如仅有框架或标题、单项内容仅有复制招标内容的要求、涉及内容无重点）；缺陷是指：单项方案中出现套用其他项目方案或内容、内容中出现前后描述不一致现象或语言描述出现有错误、内容涉及适用的规范及标准（方法）出现错误等情形。】</w:t>
            </w:r>
          </w:p>
        </w:tc>
      </w:tr>
      <w:tr w14:paraId="1E7F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2" w:hRule="atLeast"/>
        </w:trPr>
        <w:tc>
          <w:tcPr>
            <w:tcW w:w="1381" w:type="dxa"/>
            <w:vMerge w:val="continue"/>
          </w:tcPr>
          <w:p w14:paraId="343EF66E">
            <w:pPr>
              <w:spacing w:line="360" w:lineRule="auto"/>
              <w:rPr>
                <w:rFonts w:ascii="宋体" w:hAnsi="宋体"/>
                <w:color w:val="auto"/>
                <w:sz w:val="21"/>
                <w:szCs w:val="21"/>
                <w:highlight w:val="none"/>
              </w:rPr>
            </w:pPr>
          </w:p>
        </w:tc>
        <w:tc>
          <w:tcPr>
            <w:tcW w:w="1529" w:type="dxa"/>
            <w:vAlign w:val="center"/>
          </w:tcPr>
          <w:p w14:paraId="0C5234CE">
            <w:pPr>
              <w:spacing w:line="360" w:lineRule="auto"/>
              <w:jc w:val="center"/>
              <w:rPr>
                <w:rFonts w:hint="eastAsia" w:ascii="宋体" w:hAnsi="宋体"/>
                <w:b/>
                <w:color w:val="auto"/>
                <w:sz w:val="21"/>
                <w:szCs w:val="21"/>
                <w:highlight w:val="none"/>
                <w:lang w:val="en-US" w:eastAsia="zh-CN"/>
              </w:rPr>
            </w:pPr>
            <w:r>
              <w:rPr>
                <w:rFonts w:hint="eastAsia" w:ascii="宋体" w:hAnsi="宋体"/>
                <w:b/>
                <w:color w:val="auto"/>
                <w:sz w:val="21"/>
                <w:szCs w:val="21"/>
                <w:highlight w:val="none"/>
                <w:lang w:val="en-US" w:eastAsia="zh-CN"/>
              </w:rPr>
              <w:t>服务承诺</w:t>
            </w:r>
          </w:p>
          <w:p w14:paraId="0068AF42">
            <w:pPr>
              <w:spacing w:line="360" w:lineRule="auto"/>
              <w:jc w:val="center"/>
              <w:rPr>
                <w:rFonts w:hint="default" w:ascii="宋体" w:hAnsi="宋体" w:eastAsia="宋体"/>
                <w:b/>
                <w:color w:val="auto"/>
                <w:sz w:val="21"/>
                <w:szCs w:val="21"/>
                <w:highlight w:val="none"/>
                <w:lang w:val="en-US" w:eastAsia="zh-CN"/>
              </w:rPr>
            </w:pP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2.5</w:t>
            </w:r>
            <w:r>
              <w:rPr>
                <w:rFonts w:hint="eastAsia" w:ascii="宋体" w:hAnsi="宋体"/>
                <w:b/>
                <w:bCs/>
                <w:color w:val="auto"/>
                <w:sz w:val="21"/>
                <w:szCs w:val="21"/>
                <w:highlight w:val="none"/>
              </w:rPr>
              <w:t>分）</w:t>
            </w:r>
          </w:p>
        </w:tc>
        <w:tc>
          <w:tcPr>
            <w:tcW w:w="6126" w:type="dxa"/>
            <w:vAlign w:val="center"/>
          </w:tcPr>
          <w:p w14:paraId="4FC4C5BA">
            <w:pPr>
              <w:pStyle w:val="8"/>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①驻场服务时间根据项目实际情况及采购人需要，在原有要求不</w:t>
            </w:r>
          </w:p>
          <w:p w14:paraId="1F4CB201">
            <w:pPr>
              <w:pStyle w:val="8"/>
              <w:keepNext/>
              <w:keepLines/>
              <w:pageBreakBefore w:val="0"/>
              <w:widowControl w:val="0"/>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少于10个月的驻场服务的基础上可顺延的承诺书，得1.5分。</w:t>
            </w:r>
          </w:p>
          <w:p w14:paraId="55E60449">
            <w:pPr>
              <w:pStyle w:val="8"/>
              <w:keepNext/>
              <w:keepLines/>
              <w:pageBreakBefore w:val="0"/>
              <w:widowControl w:val="0"/>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②不随意更换项目负责人及团队核心人员的承诺书，得1分。</w:t>
            </w:r>
          </w:p>
          <w:p w14:paraId="59F0F10E">
            <w:pPr>
              <w:pStyle w:val="8"/>
              <w:keepNext/>
              <w:keepLines/>
              <w:pageBreakBefore w:val="0"/>
              <w:widowControl w:val="0"/>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此项满分2.5分。</w:t>
            </w:r>
          </w:p>
          <w:p w14:paraId="2CBF26E4">
            <w:pPr>
              <w:pStyle w:val="8"/>
              <w:keepNext/>
              <w:keepLines/>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olor w:val="auto"/>
                <w:sz w:val="21"/>
                <w:szCs w:val="21"/>
                <w:highlight w:val="none"/>
                <w:lang w:val="en-US" w:eastAsia="zh-CN"/>
              </w:rPr>
            </w:pPr>
            <w:r>
              <w:rPr>
                <w:rFonts w:hint="eastAsia" w:ascii="宋体" w:hAnsi="宋体" w:eastAsia="宋体" w:cs="宋体"/>
                <w:b/>
                <w:bCs/>
                <w:color w:val="auto"/>
                <w:kern w:val="2"/>
                <w:sz w:val="21"/>
                <w:szCs w:val="21"/>
                <w:highlight w:val="none"/>
                <w:lang w:val="en-US" w:eastAsia="zh-CN" w:bidi="ar-SA"/>
              </w:rPr>
              <w:t>注：根据以上内容提供相对应的承诺书，不提供或内容不完善不得分。</w:t>
            </w:r>
          </w:p>
        </w:tc>
      </w:tr>
      <w:tr w14:paraId="7400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6" w:type="dxa"/>
            <w:gridSpan w:val="3"/>
          </w:tcPr>
          <w:p w14:paraId="6A021BFE">
            <w:pPr>
              <w:widowControl/>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合计=</w:t>
            </w:r>
            <w:r>
              <w:rPr>
                <w:rFonts w:hint="eastAsia" w:ascii="宋体" w:hAnsi="宋体" w:cs="宋体"/>
                <w:color w:val="auto"/>
                <w:sz w:val="21"/>
                <w:szCs w:val="21"/>
                <w:highlight w:val="none"/>
                <w:lang w:val="en-US" w:eastAsia="zh-CN"/>
              </w:rPr>
              <w:t>100</w:t>
            </w:r>
            <w:r>
              <w:rPr>
                <w:rFonts w:hint="eastAsia" w:ascii="宋体" w:hAnsi="宋体" w:cs="宋体"/>
                <w:color w:val="auto"/>
                <w:sz w:val="21"/>
                <w:szCs w:val="21"/>
                <w:highlight w:val="none"/>
              </w:rPr>
              <w:t>分</w:t>
            </w:r>
          </w:p>
        </w:tc>
      </w:tr>
    </w:tbl>
    <w:p w14:paraId="1BE2638C">
      <w:pPr>
        <w:rPr>
          <w:rFonts w:ascii="宋体" w:hAnsi="宋体" w:cs="Times New Roman"/>
          <w:color w:val="000000"/>
          <w:kern w:val="0"/>
          <w:sz w:val="20"/>
          <w:szCs w:val="21"/>
          <w:highlight w:val="none"/>
        </w:rPr>
      </w:pPr>
    </w:p>
    <w:p w14:paraId="255E95FC">
      <w:pPr>
        <w:pStyle w:val="4"/>
        <w:rPr>
          <w:rFonts w:ascii="宋体" w:hAnsi="宋体"/>
          <w:color w:val="000000"/>
          <w:kern w:val="0"/>
          <w:szCs w:val="20"/>
          <w:highlight w:val="none"/>
        </w:rPr>
      </w:pPr>
      <w:r>
        <w:rPr>
          <w:rFonts w:hint="eastAsia" w:ascii="Arial" w:hAnsi="Arial" w:eastAsia="黑体"/>
          <w:color w:val="000000"/>
          <w:kern w:val="0"/>
          <w:szCs w:val="20"/>
          <w:highlight w:val="none"/>
        </w:rPr>
        <w:br w:type="page"/>
      </w:r>
      <w:bookmarkStart w:id="25" w:name="_Toc10306"/>
      <w:bookmarkStart w:id="26" w:name="_Toc11588"/>
      <w:r>
        <w:rPr>
          <w:rFonts w:hint="eastAsia"/>
          <w:highlight w:val="none"/>
        </w:rPr>
        <w:t>第四章　拟签订的合同文本</w:t>
      </w:r>
      <w:bookmarkEnd w:id="25"/>
      <w:bookmarkEnd w:id="26"/>
    </w:p>
    <w:p w14:paraId="2399F974">
      <w:pPr>
        <w:rPr>
          <w:rFonts w:ascii="宋体" w:hAnsi="宋体" w:cs="宋体"/>
          <w:b/>
          <w:bCs/>
          <w:color w:val="000000"/>
          <w:sz w:val="32"/>
          <w:szCs w:val="32"/>
          <w:highlight w:val="none"/>
        </w:rPr>
      </w:pPr>
      <w:bookmarkStart w:id="27" w:name="OLE_LINK4"/>
      <w:bookmarkStart w:id="28" w:name="OLE_LINK1"/>
      <w:r>
        <w:rPr>
          <w:rFonts w:hint="eastAsia" w:ascii="宋体" w:hAnsi="宋体" w:cs="宋体"/>
          <w:b/>
          <w:bCs/>
          <w:color w:val="000000"/>
          <w:sz w:val="32"/>
          <w:szCs w:val="32"/>
          <w:highlight w:val="none"/>
        </w:rPr>
        <w:t>（此合同模板仅供参考，具体以最终实际签订的合同为准）</w:t>
      </w:r>
      <w:bookmarkEnd w:id="27"/>
    </w:p>
    <w:p w14:paraId="70D622A0">
      <w:pPr>
        <w:rPr>
          <w:rFonts w:hint="default" w:ascii="Times New Roman" w:hAnsi="Times New Roman" w:eastAsia="方正仿宋_GBK" w:cs="Times New Roman"/>
          <w:color w:val="auto"/>
          <w:sz w:val="30"/>
          <w:szCs w:val="30"/>
          <w:highlight w:val="none"/>
          <w:lang w:val="en-US" w:eastAsia="zh-CN"/>
        </w:rPr>
      </w:pPr>
      <w:r>
        <w:rPr>
          <w:rFonts w:hint="default" w:ascii="Times New Roman" w:hAnsi="Times New Roman" w:eastAsia="方正仿宋_GBK" w:cs="Times New Roman"/>
          <w:color w:val="auto"/>
          <w:sz w:val="30"/>
          <w:szCs w:val="30"/>
          <w:highlight w:val="none"/>
          <w:lang w:val="en-US" w:eastAsia="zh-CN"/>
        </w:rPr>
        <w:t>合同编号：</w:t>
      </w:r>
      <w:r>
        <w:rPr>
          <w:rFonts w:hint="eastAsia" w:ascii="Times New Roman" w:hAnsi="Times New Roman" w:eastAsia="方正仿宋_GBK" w:cs="Times New Roman"/>
          <w:color w:val="auto"/>
          <w:sz w:val="30"/>
          <w:szCs w:val="30"/>
          <w:highlight w:val="none"/>
          <w:lang w:val="en-US" w:eastAsia="zh-CN"/>
        </w:rPr>
        <w:t xml:space="preserve"> </w:t>
      </w:r>
    </w:p>
    <w:p w14:paraId="6664C671">
      <w:pPr>
        <w:jc w:val="center"/>
        <w:rPr>
          <w:rFonts w:hint="eastAsia" w:ascii="Times New Roman" w:hAnsi="Times New Roman" w:eastAsia="方正小标宋简体" w:cs="Times New Roman"/>
          <w:color w:val="auto"/>
          <w:sz w:val="44"/>
          <w:szCs w:val="44"/>
          <w:highlight w:val="none"/>
          <w:lang w:val="en-US" w:eastAsia="zh-CN"/>
        </w:rPr>
      </w:pPr>
      <w:r>
        <w:rPr>
          <w:rFonts w:hint="eastAsia" w:ascii="Times New Roman" w:hAnsi="Times New Roman" w:eastAsia="方正小标宋简体" w:cs="Times New Roman"/>
          <w:color w:val="auto"/>
          <w:sz w:val="44"/>
          <w:szCs w:val="44"/>
          <w:highlight w:val="none"/>
          <w:lang w:val="en-US" w:eastAsia="zh-CN"/>
        </w:rPr>
        <w:t>新疆职业大学申本本科职业院校全过程</w:t>
      </w:r>
    </w:p>
    <w:p w14:paraId="2809A84D">
      <w:pPr>
        <w:jc w:val="center"/>
        <w:rPr>
          <w:rFonts w:hint="default" w:ascii="Times New Roman" w:hAnsi="Times New Roman" w:eastAsia="方正小标宋简体" w:cs="Times New Roman"/>
          <w:color w:val="auto"/>
          <w:sz w:val="44"/>
          <w:szCs w:val="44"/>
          <w:highlight w:val="none"/>
          <w:lang w:val="en-US" w:eastAsia="zh-CN"/>
        </w:rPr>
      </w:pPr>
      <w:r>
        <w:rPr>
          <w:rFonts w:hint="eastAsia" w:ascii="Times New Roman" w:hAnsi="Times New Roman" w:eastAsia="方正小标宋简体" w:cs="Times New Roman"/>
          <w:color w:val="auto"/>
          <w:sz w:val="44"/>
          <w:szCs w:val="44"/>
          <w:highlight w:val="none"/>
          <w:lang w:val="en-US" w:eastAsia="zh-CN"/>
        </w:rPr>
        <w:t>辅助管理服务</w:t>
      </w:r>
      <w:r>
        <w:rPr>
          <w:rFonts w:hint="default" w:ascii="Times New Roman" w:hAnsi="Times New Roman" w:eastAsia="方正小标宋简体" w:cs="Times New Roman"/>
          <w:color w:val="auto"/>
          <w:sz w:val="44"/>
          <w:szCs w:val="44"/>
          <w:highlight w:val="none"/>
          <w:lang w:val="en-US" w:eastAsia="zh-CN"/>
        </w:rPr>
        <w:t>合同</w:t>
      </w:r>
    </w:p>
    <w:p w14:paraId="37AEC49D">
      <w:pPr>
        <w:rPr>
          <w:rFonts w:hint="default" w:ascii="Times New Roman" w:hAnsi="Times New Roman" w:eastAsia="方正仿宋_GBK" w:cs="Times New Roman"/>
          <w:color w:val="auto"/>
          <w:sz w:val="28"/>
          <w:szCs w:val="28"/>
          <w:highlight w:val="none"/>
          <w:u w:val="single"/>
          <w:lang w:eastAsia="zh-CN"/>
        </w:rPr>
      </w:pPr>
      <w:r>
        <w:rPr>
          <w:rFonts w:hint="default" w:ascii="Times New Roman" w:hAnsi="Times New Roman" w:eastAsia="方正仿宋_GBK" w:cs="Times New Roman"/>
          <w:color w:val="auto"/>
          <w:sz w:val="28"/>
          <w:szCs w:val="28"/>
          <w:highlight w:val="none"/>
          <w:lang w:val="en-US" w:eastAsia="zh-CN"/>
        </w:rPr>
        <w:t>甲方：</w:t>
      </w:r>
      <w:r>
        <w:rPr>
          <w:rFonts w:hint="eastAsia" w:ascii="Times New Roman" w:hAnsi="Times New Roman" w:eastAsia="方正仿宋_GBK" w:cs="Times New Roman"/>
          <w:color w:val="auto"/>
          <w:sz w:val="28"/>
          <w:szCs w:val="28"/>
          <w:highlight w:val="none"/>
          <w:u w:val="single"/>
          <w:lang w:val="en-US" w:eastAsia="zh-CN"/>
        </w:rPr>
        <w:t xml:space="preserve">                                        </w:t>
      </w:r>
    </w:p>
    <w:p w14:paraId="10F27928">
      <w:pP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乙方：</w:t>
      </w:r>
      <w:r>
        <w:rPr>
          <w:rFonts w:hint="eastAsia" w:ascii="Times New Roman" w:hAnsi="Times New Roman" w:eastAsia="方正仿宋_GBK" w:cs="Times New Roman"/>
          <w:color w:val="auto"/>
          <w:sz w:val="28"/>
          <w:szCs w:val="28"/>
          <w:highlight w:val="none"/>
          <w:u w:val="single"/>
          <w:lang w:val="en-US" w:eastAsia="zh-CN"/>
        </w:rPr>
        <w:t xml:space="preserve">                                        </w:t>
      </w:r>
    </w:p>
    <w:p w14:paraId="361EE0CD">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甲方委托乙方</w:t>
      </w:r>
      <w:r>
        <w:rPr>
          <w:rFonts w:hint="eastAsia" w:ascii="Times New Roman" w:hAnsi="Times New Roman" w:eastAsia="方正仿宋_GBK" w:cs="Times New Roman"/>
          <w:color w:val="auto"/>
          <w:sz w:val="28"/>
          <w:szCs w:val="28"/>
          <w:highlight w:val="none"/>
          <w:lang w:val="en-US" w:eastAsia="zh-CN"/>
        </w:rPr>
        <w:t>开展申办本科职业院校全过程辅助管理服务</w:t>
      </w:r>
      <w:r>
        <w:rPr>
          <w:rFonts w:hint="default" w:ascii="Times New Roman" w:hAnsi="Times New Roman" w:eastAsia="方正仿宋_GBK" w:cs="Times New Roman"/>
          <w:color w:val="auto"/>
          <w:sz w:val="28"/>
          <w:szCs w:val="28"/>
          <w:highlight w:val="none"/>
          <w:lang w:val="en-US" w:eastAsia="zh-CN"/>
        </w:rPr>
        <w:t>。</w:t>
      </w:r>
    </w:p>
    <w:p w14:paraId="0403B2D9">
      <w:pPr>
        <w:jc w:val="left"/>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根据《中华人民共和国民法典》及相关法律、行政法规的规定，结合本项目的具体情况，为明确双方责任，</w:t>
      </w:r>
      <w:r>
        <w:rPr>
          <w:rFonts w:hint="eastAsia" w:ascii="Times New Roman" w:hAnsi="Times New Roman" w:eastAsia="方正仿宋_GBK" w:cs="Times New Roman"/>
          <w:color w:val="auto"/>
          <w:sz w:val="28"/>
          <w:szCs w:val="28"/>
          <w:highlight w:val="none"/>
          <w:lang w:val="en-US" w:eastAsia="zh-CN"/>
        </w:rPr>
        <w:t>便于</w:t>
      </w:r>
      <w:r>
        <w:rPr>
          <w:rFonts w:hint="default" w:ascii="Times New Roman" w:hAnsi="Times New Roman" w:eastAsia="方正仿宋_GBK" w:cs="Times New Roman"/>
          <w:color w:val="auto"/>
          <w:sz w:val="28"/>
          <w:szCs w:val="28"/>
          <w:highlight w:val="none"/>
          <w:lang w:val="en-US" w:eastAsia="zh-CN"/>
        </w:rPr>
        <w:t>协作配合，确保本项目的建设质量，经双方协商一致，甲方委托乙方开展</w:t>
      </w:r>
      <w:r>
        <w:rPr>
          <w:rFonts w:hint="eastAsia" w:ascii="Times New Roman" w:hAnsi="Times New Roman" w:eastAsia="方正仿宋_GBK" w:cs="Times New Roman"/>
          <w:color w:val="auto"/>
          <w:sz w:val="28"/>
          <w:szCs w:val="28"/>
          <w:highlight w:val="none"/>
          <w:lang w:val="en-US" w:eastAsia="zh-CN"/>
        </w:rPr>
        <w:t>申办本科职业院校全过程辅助管理服务工作</w:t>
      </w:r>
      <w:r>
        <w:rPr>
          <w:rFonts w:hint="default" w:ascii="Times New Roman" w:hAnsi="Times New Roman" w:eastAsia="方正仿宋_GBK" w:cs="Times New Roman"/>
          <w:color w:val="auto"/>
          <w:sz w:val="28"/>
          <w:szCs w:val="28"/>
          <w:highlight w:val="none"/>
          <w:lang w:val="en-US" w:eastAsia="zh-CN"/>
        </w:rPr>
        <w:t>，并签订本合同，双方共同遵守。</w:t>
      </w:r>
    </w:p>
    <w:p w14:paraId="23D761A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黑体" w:cs="Times New Roman"/>
          <w:color w:val="auto"/>
          <w:sz w:val="28"/>
          <w:szCs w:val="28"/>
          <w:highlight w:val="none"/>
          <w:lang w:val="en-US" w:eastAsia="zh-CN"/>
        </w:rPr>
      </w:pPr>
      <w:r>
        <w:rPr>
          <w:rFonts w:hint="default" w:ascii="Times New Roman" w:hAnsi="Times New Roman" w:eastAsia="黑体" w:cs="Times New Roman"/>
          <w:color w:val="auto"/>
          <w:sz w:val="28"/>
          <w:szCs w:val="28"/>
          <w:highlight w:val="none"/>
          <w:lang w:val="en-US" w:eastAsia="zh-CN"/>
        </w:rPr>
        <w:t>一 、项目概况</w:t>
      </w:r>
    </w:p>
    <w:p w14:paraId="174AD195">
      <w:pPr>
        <w:numPr>
          <w:ilvl w:val="0"/>
          <w:numId w:val="4"/>
        </w:numPr>
        <w:ind w:firstLineChars="200"/>
        <w:jc w:val="left"/>
        <w:rPr>
          <w:rFonts w:hint="eastAsia"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项目名称：</w:t>
      </w:r>
      <w:r>
        <w:rPr>
          <w:rFonts w:hint="eastAsia" w:ascii="Times New Roman" w:hAnsi="Times New Roman" w:eastAsia="方正仿宋_GBK" w:cs="Times New Roman"/>
          <w:color w:val="auto"/>
          <w:sz w:val="28"/>
          <w:szCs w:val="28"/>
          <w:highlight w:val="none"/>
          <w:lang w:val="en-US" w:eastAsia="zh-CN"/>
        </w:rPr>
        <w:t>新疆职业大学申办本科职业院校全过程辅助管理服务。</w:t>
      </w:r>
    </w:p>
    <w:p w14:paraId="73FA1250">
      <w:pPr>
        <w:numPr>
          <w:ilvl w:val="0"/>
          <w:numId w:val="4"/>
        </w:numPr>
        <w:ind w:firstLineChars="200"/>
        <w:jc w:val="left"/>
        <w:rPr>
          <w:rFonts w:hint="eastAsia"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项目地点：</w:t>
      </w:r>
      <w:r>
        <w:rPr>
          <w:rFonts w:hint="eastAsia" w:ascii="Times New Roman" w:hAnsi="Times New Roman" w:eastAsia="方正仿宋_GBK" w:cs="Times New Roman"/>
          <w:color w:val="auto"/>
          <w:sz w:val="28"/>
          <w:szCs w:val="28"/>
          <w:highlight w:val="none"/>
          <w:lang w:val="en-US" w:eastAsia="zh-CN"/>
        </w:rPr>
        <w:t>乌鲁木齐市达坂城区文达路1号。</w:t>
      </w:r>
    </w:p>
    <w:p w14:paraId="593E18FB">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lang w:val="en-US" w:eastAsia="zh-CN"/>
        </w:rPr>
        <w:t>.</w:t>
      </w:r>
      <w:r>
        <w:rPr>
          <w:rFonts w:hint="eastAsia" w:ascii="Times New Roman" w:hAnsi="Times New Roman" w:eastAsia="方正仿宋_GBK" w:cs="Times New Roman"/>
          <w:color w:val="auto"/>
          <w:sz w:val="28"/>
          <w:szCs w:val="28"/>
          <w:highlight w:val="none"/>
          <w:lang w:val="en-US" w:eastAsia="zh-CN"/>
        </w:rPr>
        <w:t>项目</w:t>
      </w:r>
      <w:r>
        <w:rPr>
          <w:rFonts w:hint="default" w:ascii="Times New Roman" w:hAnsi="Times New Roman" w:eastAsia="方正仿宋_GBK" w:cs="Times New Roman"/>
          <w:color w:val="auto"/>
          <w:sz w:val="28"/>
          <w:szCs w:val="28"/>
          <w:highlight w:val="none"/>
          <w:lang w:val="en-US" w:eastAsia="zh-CN"/>
        </w:rPr>
        <w:t>时间：</w:t>
      </w:r>
      <w:r>
        <w:rPr>
          <w:rFonts w:hint="eastAsia" w:ascii="Times New Roman" w:hAnsi="Times New Roman" w:eastAsia="方正仿宋_GBK" w:cs="Times New Roman"/>
          <w:color w:val="auto"/>
          <w:spacing w:val="-6"/>
          <w:sz w:val="28"/>
          <w:szCs w:val="28"/>
          <w:highlight w:val="none"/>
          <w:lang w:val="en-US" w:eastAsia="zh-CN"/>
        </w:rPr>
        <w:t>自合同签订之日起致至</w:t>
      </w:r>
      <w:r>
        <w:rPr>
          <w:rFonts w:hint="eastAsia" w:ascii="Times New Roman" w:hAnsi="Times New Roman" w:eastAsia="方正仿宋_GBK" w:cs="Times New Roman"/>
          <w:color w:val="auto"/>
          <w:sz w:val="28"/>
          <w:szCs w:val="28"/>
          <w:highlight w:val="none"/>
          <w:lang w:val="en-US" w:eastAsia="zh-CN"/>
        </w:rPr>
        <w:t>成功申办本科层次职业大学止</w:t>
      </w:r>
      <w:r>
        <w:rPr>
          <w:rFonts w:hint="default" w:ascii="Times New Roman" w:hAnsi="Times New Roman" w:eastAsia="方正仿宋_GBK" w:cs="Times New Roman"/>
          <w:color w:val="auto"/>
          <w:sz w:val="28"/>
          <w:szCs w:val="28"/>
          <w:highlight w:val="none"/>
          <w:lang w:val="en-US" w:eastAsia="zh-CN"/>
        </w:rPr>
        <w:t>。</w:t>
      </w:r>
    </w:p>
    <w:p w14:paraId="5258F756">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textAlignment w:val="auto"/>
        <w:rPr>
          <w:rFonts w:hint="eastAsia" w:ascii="Times New Roman" w:hAnsi="Times New Roman" w:eastAsia="黑体" w:cs="Times New Roman"/>
          <w:color w:val="auto"/>
          <w:sz w:val="28"/>
          <w:szCs w:val="28"/>
          <w:highlight w:val="none"/>
          <w:lang w:val="en-US" w:eastAsia="zh-CN"/>
        </w:rPr>
      </w:pPr>
      <w:r>
        <w:rPr>
          <w:rFonts w:hint="default" w:ascii="Times New Roman" w:hAnsi="Times New Roman" w:eastAsia="黑体" w:cs="Times New Roman"/>
          <w:color w:val="auto"/>
          <w:sz w:val="28"/>
          <w:szCs w:val="28"/>
          <w:highlight w:val="none"/>
          <w:lang w:val="en-US" w:eastAsia="zh-CN"/>
        </w:rPr>
        <w:t>工作</w:t>
      </w:r>
      <w:r>
        <w:rPr>
          <w:rFonts w:hint="eastAsia" w:ascii="Times New Roman" w:hAnsi="Times New Roman" w:eastAsia="黑体" w:cs="Times New Roman"/>
          <w:color w:val="auto"/>
          <w:sz w:val="28"/>
          <w:szCs w:val="28"/>
          <w:highlight w:val="none"/>
          <w:lang w:val="en-US" w:eastAsia="zh-CN"/>
        </w:rPr>
        <w:t>内容</w:t>
      </w:r>
    </w:p>
    <w:p w14:paraId="4E70B7B7">
      <w:pPr>
        <w:pStyle w:val="43"/>
        <w:numPr>
          <w:ilvl w:val="0"/>
          <w:numId w:val="0"/>
        </w:numPr>
        <w:ind w:leftChars="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sz w:val="28"/>
          <w:szCs w:val="28"/>
          <w:highlight w:val="none"/>
          <w:lang w:val="en-US" w:eastAsia="zh-CN"/>
        </w:rPr>
        <w:t xml:space="preserve"> </w:t>
      </w:r>
      <w:r>
        <w:rPr>
          <w:rFonts w:hint="eastAsia" w:ascii="Times New Roman" w:hAnsi="Times New Roman" w:eastAsia="方正仿宋_GBK" w:cs="Times New Roman"/>
          <w:color w:val="auto"/>
          <w:kern w:val="2"/>
          <w:sz w:val="28"/>
          <w:szCs w:val="28"/>
          <w:highlight w:val="none"/>
          <w:lang w:val="en-US" w:eastAsia="zh-CN" w:bidi="ar-SA"/>
        </w:rPr>
        <w:t xml:space="preserve"> </w:t>
      </w:r>
      <w:r>
        <w:rPr>
          <w:rFonts w:hint="default" w:ascii="Times New Roman" w:hAnsi="Times New Roman" w:eastAsia="方正仿宋_GBK" w:cs="Times New Roman"/>
          <w:color w:val="auto"/>
          <w:kern w:val="2"/>
          <w:sz w:val="28"/>
          <w:szCs w:val="28"/>
          <w:highlight w:val="none"/>
          <w:lang w:val="en-US" w:eastAsia="zh-CN" w:bidi="ar-SA"/>
        </w:rPr>
        <w:t>（一）入规前筹备阶段</w:t>
      </w:r>
    </w:p>
    <w:p w14:paraId="6C5BF45E">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1.组建入规专项工作组，制定全周期筹备工作方案。协助学校成立由主要领导牵头的</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升本工作领导小组</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和工作专班，明确任务分工与时间节点</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制定包含政策解读、指标对标、任务分解、经费预算在内的《职业本科学校设置筹备工作实施方案》，建立定期调度机制。</w:t>
      </w:r>
    </w:p>
    <w:p w14:paraId="414164EC">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2.供应商签订合同后应在7日内到校进行启动工作，并驻校指导开展工作。需连续驻校指导不低于30个日历日进行指导工作，供应商应提供承诺函。</w:t>
      </w:r>
    </w:p>
    <w:p w14:paraId="525B30C6">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3</w:t>
      </w:r>
      <w:r>
        <w:rPr>
          <w:rFonts w:hint="default" w:ascii="Times New Roman" w:hAnsi="Times New Roman" w:eastAsia="方正仿宋_GBK" w:cs="Times New Roman"/>
          <w:color w:val="auto"/>
          <w:kern w:val="2"/>
          <w:sz w:val="28"/>
          <w:szCs w:val="28"/>
          <w:highlight w:val="none"/>
          <w:lang w:val="en-US" w:eastAsia="zh-CN" w:bidi="ar-SA"/>
        </w:rPr>
        <w:t>.辅导与协助</w:t>
      </w:r>
      <w:r>
        <w:rPr>
          <w:rFonts w:hint="eastAsia" w:ascii="Times New Roman" w:hAnsi="Times New Roman" w:eastAsia="方正仿宋_GBK" w:cs="Times New Roman"/>
          <w:color w:val="auto"/>
          <w:kern w:val="2"/>
          <w:sz w:val="28"/>
          <w:szCs w:val="28"/>
          <w:highlight w:val="none"/>
          <w:lang w:val="en-US" w:eastAsia="zh-CN" w:bidi="ar-SA"/>
        </w:rPr>
        <w:t>学校</w:t>
      </w:r>
      <w:r>
        <w:rPr>
          <w:rFonts w:hint="default" w:ascii="Times New Roman" w:hAnsi="Times New Roman" w:eastAsia="方正仿宋_GBK" w:cs="Times New Roman"/>
          <w:color w:val="auto"/>
          <w:kern w:val="2"/>
          <w:sz w:val="28"/>
          <w:szCs w:val="28"/>
          <w:highlight w:val="none"/>
          <w:lang w:val="en-US" w:eastAsia="zh-CN" w:bidi="ar-SA"/>
        </w:rPr>
        <w:t>完成</w:t>
      </w:r>
      <w:r>
        <w:rPr>
          <w:rFonts w:hint="eastAsia" w:ascii="Times New Roman" w:hAnsi="Times New Roman" w:eastAsia="方正仿宋_GBK" w:cs="Times New Roman"/>
          <w:color w:val="auto"/>
          <w:kern w:val="2"/>
          <w:sz w:val="28"/>
          <w:szCs w:val="28"/>
          <w:highlight w:val="none"/>
          <w:lang w:val="en-US" w:eastAsia="zh-CN" w:bidi="ar-SA"/>
        </w:rPr>
        <w:t>《学校设置论证报告》并开展可行性研究</w:t>
      </w:r>
      <w:r>
        <w:rPr>
          <w:rFonts w:hint="default" w:ascii="Times New Roman" w:hAnsi="Times New Roman" w:eastAsia="方正仿宋_GBK" w:cs="Times New Roman"/>
          <w:color w:val="auto"/>
          <w:kern w:val="2"/>
          <w:sz w:val="28"/>
          <w:szCs w:val="28"/>
          <w:highlight w:val="none"/>
          <w:lang w:val="en-US" w:eastAsia="zh-CN" w:bidi="ar-SA"/>
        </w:rPr>
        <w:t>。围绕区域产业需求、学校办学基础、必要性与可行性进行深入调研；重点论证服务地方经济的能力与特色，撰写《关于设立职业</w:t>
      </w:r>
      <w:r>
        <w:rPr>
          <w:rFonts w:hint="eastAsia" w:ascii="Times New Roman" w:hAnsi="Times New Roman" w:eastAsia="方正仿宋_GBK" w:cs="Times New Roman"/>
          <w:color w:val="auto"/>
          <w:kern w:val="2"/>
          <w:sz w:val="28"/>
          <w:szCs w:val="28"/>
          <w:highlight w:val="none"/>
          <w:lang w:val="en-US" w:eastAsia="zh-CN" w:bidi="ar-SA"/>
        </w:rPr>
        <w:t>大学</w:t>
      </w:r>
      <w:r>
        <w:rPr>
          <w:rFonts w:hint="default" w:ascii="Times New Roman" w:hAnsi="Times New Roman" w:eastAsia="方正仿宋_GBK" w:cs="Times New Roman"/>
          <w:color w:val="auto"/>
          <w:kern w:val="2"/>
          <w:sz w:val="28"/>
          <w:szCs w:val="28"/>
          <w:highlight w:val="none"/>
          <w:lang w:val="en-US" w:eastAsia="zh-CN" w:bidi="ar-SA"/>
        </w:rPr>
        <w:t>的论证报告》，确保办学定位精准、数据翔实、逻辑严密。</w:t>
      </w:r>
    </w:p>
    <w:p w14:paraId="29A0965F">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4</w:t>
      </w:r>
      <w:r>
        <w:rPr>
          <w:rFonts w:hint="default" w:ascii="Times New Roman" w:hAnsi="Times New Roman" w:eastAsia="方正仿宋_GBK" w:cs="Times New Roman"/>
          <w:color w:val="auto"/>
          <w:kern w:val="2"/>
          <w:sz w:val="28"/>
          <w:szCs w:val="28"/>
          <w:highlight w:val="none"/>
          <w:lang w:val="en-US" w:eastAsia="zh-CN" w:bidi="ar-SA"/>
        </w:rPr>
        <w:t>.辅导与协助编制学校</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十五五</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事业发展规划</w:t>
      </w:r>
      <w:r>
        <w:rPr>
          <w:rFonts w:hint="eastAsia" w:ascii="Times New Roman" w:hAnsi="Times New Roman" w:eastAsia="方正仿宋_GBK" w:cs="Times New Roman"/>
          <w:color w:val="auto"/>
          <w:kern w:val="2"/>
          <w:sz w:val="28"/>
          <w:szCs w:val="28"/>
          <w:highlight w:val="none"/>
          <w:lang w:val="en-US" w:eastAsia="zh-CN" w:bidi="ar-SA"/>
        </w:rPr>
        <w:t>及大学发展规划</w:t>
      </w:r>
      <w:r>
        <w:rPr>
          <w:rFonts w:hint="default" w:ascii="Times New Roman" w:hAnsi="Times New Roman" w:eastAsia="方正仿宋_GBK" w:cs="Times New Roman"/>
          <w:color w:val="auto"/>
          <w:kern w:val="2"/>
          <w:sz w:val="28"/>
          <w:szCs w:val="28"/>
          <w:highlight w:val="none"/>
          <w:lang w:val="en-US" w:eastAsia="zh-CN" w:bidi="ar-SA"/>
        </w:rPr>
        <w:t>。 对接国家及地方教育规划与产业规划，明确学校未来五年的发展目标、学科专业布局、师资建设、校园建设等核心内容</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确保规划具有前瞻性、科学性和可操作性，并与升本指标相衔接</w:t>
      </w:r>
      <w:r>
        <w:rPr>
          <w:rFonts w:hint="eastAsia" w:ascii="Times New Roman" w:hAnsi="Times New Roman" w:eastAsia="方正仿宋_GBK" w:cs="Times New Roman"/>
          <w:color w:val="auto"/>
          <w:kern w:val="2"/>
          <w:sz w:val="28"/>
          <w:szCs w:val="28"/>
          <w:highlight w:val="none"/>
          <w:lang w:val="en-US" w:eastAsia="zh-CN" w:bidi="ar-SA"/>
        </w:rPr>
        <w:t>。</w:t>
      </w:r>
    </w:p>
    <w:p w14:paraId="73CDC049">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5</w:t>
      </w:r>
      <w:r>
        <w:rPr>
          <w:rFonts w:hint="default" w:ascii="Times New Roman" w:hAnsi="Times New Roman" w:eastAsia="方正仿宋_GBK" w:cs="Times New Roman"/>
          <w:color w:val="auto"/>
          <w:kern w:val="2"/>
          <w:sz w:val="28"/>
          <w:szCs w:val="28"/>
          <w:highlight w:val="none"/>
          <w:lang w:val="en-US" w:eastAsia="zh-CN" w:bidi="ar-SA"/>
        </w:rPr>
        <w:t>.辅导与协助</w:t>
      </w:r>
      <w:r>
        <w:rPr>
          <w:rFonts w:hint="eastAsia" w:ascii="Times New Roman" w:hAnsi="Times New Roman" w:eastAsia="方正仿宋_GBK" w:cs="Times New Roman"/>
          <w:color w:val="auto"/>
          <w:kern w:val="2"/>
          <w:sz w:val="28"/>
          <w:szCs w:val="28"/>
          <w:highlight w:val="none"/>
          <w:lang w:val="en-US" w:eastAsia="zh-CN" w:bidi="ar-SA"/>
        </w:rPr>
        <w:t>学校完成</w:t>
      </w:r>
      <w:r>
        <w:rPr>
          <w:rFonts w:hint="default" w:ascii="Times New Roman" w:hAnsi="Times New Roman" w:eastAsia="方正仿宋_GBK" w:cs="Times New Roman"/>
          <w:color w:val="auto"/>
          <w:kern w:val="2"/>
          <w:sz w:val="28"/>
          <w:szCs w:val="28"/>
          <w:highlight w:val="none"/>
          <w:lang w:val="en-US" w:eastAsia="zh-CN" w:bidi="ar-SA"/>
        </w:rPr>
        <w:t>《大学章程》及现代大学制度体系建设</w:t>
      </w:r>
      <w:r>
        <w:rPr>
          <w:rFonts w:hint="eastAsia" w:ascii="Times New Roman" w:hAnsi="Times New Roman" w:eastAsia="方正仿宋_GBK" w:cs="Times New Roman"/>
          <w:color w:val="auto"/>
          <w:kern w:val="2"/>
          <w:sz w:val="28"/>
          <w:szCs w:val="28"/>
          <w:highlight w:val="none"/>
          <w:lang w:val="en-US" w:eastAsia="zh-CN" w:bidi="ar-SA"/>
        </w:rPr>
        <w:t>方案</w:t>
      </w:r>
      <w:r>
        <w:rPr>
          <w:rFonts w:hint="default" w:ascii="Times New Roman" w:hAnsi="Times New Roman" w:eastAsia="方正仿宋_GBK" w:cs="Times New Roman"/>
          <w:color w:val="auto"/>
          <w:kern w:val="2"/>
          <w:sz w:val="28"/>
          <w:szCs w:val="28"/>
          <w:highlight w:val="none"/>
          <w:lang w:val="en-US" w:eastAsia="zh-CN" w:bidi="ar-SA"/>
        </w:rPr>
        <w:t>。依据《高等教育法》《职业教育法》及相关政策要求，完善以章程为核心的现代大学制度</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梳理教学、科研、人事、学生管理、产教融合等内部治理制度文件，完善内部治理结构。</w:t>
      </w:r>
    </w:p>
    <w:p w14:paraId="0AC6931B">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6</w:t>
      </w:r>
      <w:r>
        <w:rPr>
          <w:rFonts w:hint="default" w:ascii="Times New Roman" w:hAnsi="Times New Roman" w:eastAsia="方正仿宋_GBK" w:cs="Times New Roman"/>
          <w:color w:val="auto"/>
          <w:kern w:val="2"/>
          <w:sz w:val="28"/>
          <w:szCs w:val="28"/>
          <w:highlight w:val="none"/>
          <w:lang w:val="en-US" w:eastAsia="zh-CN" w:bidi="ar-SA"/>
        </w:rPr>
        <w:t>.辅导与协助完成首批拟设置本科专业论证报告。针对拟首批设置的每个本科专业，开展行业企业深度调研，撰写《专业设置可行性论证报告》，重点分析产业链岗位需求、就业前景以及设置本科层次的必要性。</w:t>
      </w:r>
    </w:p>
    <w:p w14:paraId="68DEE6E6">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eastAsia"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7</w:t>
      </w:r>
      <w:r>
        <w:rPr>
          <w:rFonts w:hint="default" w:ascii="Times New Roman" w:hAnsi="Times New Roman" w:eastAsia="方正仿宋_GBK" w:cs="Times New Roman"/>
          <w:color w:val="auto"/>
          <w:kern w:val="2"/>
          <w:sz w:val="28"/>
          <w:szCs w:val="28"/>
          <w:highlight w:val="none"/>
          <w:lang w:val="en-US" w:eastAsia="zh-CN" w:bidi="ar-SA"/>
        </w:rPr>
        <w:t>.辅导与协助制定首批本科专业人才培养方案。 遵循</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高层次技术技能人才</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培养定位，校企共同制定人才培养方案</w:t>
      </w:r>
      <w:r>
        <w:rPr>
          <w:rFonts w:hint="eastAsia" w:ascii="Times New Roman" w:hAnsi="Times New Roman" w:eastAsia="方正仿宋_GBK" w:cs="Times New Roman"/>
          <w:color w:val="auto"/>
          <w:kern w:val="2"/>
          <w:sz w:val="28"/>
          <w:szCs w:val="28"/>
          <w:highlight w:val="none"/>
          <w:lang w:val="en-US" w:eastAsia="zh-CN" w:bidi="ar-SA"/>
        </w:rPr>
        <w:t>。</w:t>
      </w:r>
    </w:p>
    <w:p w14:paraId="2BCFEAEA">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eastAsia"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8</w:t>
      </w:r>
      <w:r>
        <w:rPr>
          <w:rFonts w:hint="default" w:ascii="Times New Roman" w:hAnsi="Times New Roman" w:eastAsia="方正仿宋_GBK" w:cs="Times New Roman"/>
          <w:color w:val="auto"/>
          <w:kern w:val="2"/>
          <w:sz w:val="28"/>
          <w:szCs w:val="28"/>
          <w:highlight w:val="none"/>
          <w:lang w:val="en-US" w:eastAsia="zh-CN" w:bidi="ar-SA"/>
        </w:rPr>
        <w:t>.组织权威专家对核心申报材料进行多轮审核与修改。邀请评估专家、职教本科实践校长、行业企业领军人物等组成</w:t>
      </w:r>
      <w:r>
        <w:rPr>
          <w:rFonts w:hint="eastAsia" w:ascii="Times New Roman" w:hAnsi="Times New Roman" w:eastAsia="方正仿宋_GBK" w:cs="Times New Roman"/>
          <w:color w:val="auto"/>
          <w:kern w:val="2"/>
          <w:sz w:val="28"/>
          <w:szCs w:val="28"/>
          <w:highlight w:val="none"/>
          <w:lang w:val="en-US" w:eastAsia="zh-CN" w:bidi="ar-SA"/>
        </w:rPr>
        <w:t>专家</w:t>
      </w:r>
      <w:r>
        <w:rPr>
          <w:rFonts w:hint="default" w:ascii="Times New Roman" w:hAnsi="Times New Roman" w:eastAsia="方正仿宋_GBK" w:cs="Times New Roman"/>
          <w:color w:val="auto"/>
          <w:kern w:val="2"/>
          <w:sz w:val="28"/>
          <w:szCs w:val="28"/>
          <w:highlight w:val="none"/>
          <w:lang w:val="en-US" w:eastAsia="zh-CN" w:bidi="ar-SA"/>
        </w:rPr>
        <w:t>团队，对论证报告、章程、规划等材料进行</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预审</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反馈</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修改</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复审</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的闭环打磨</w:t>
      </w:r>
      <w:r>
        <w:rPr>
          <w:rFonts w:hint="eastAsia" w:ascii="Times New Roman" w:hAnsi="Times New Roman" w:eastAsia="方正仿宋_GBK" w:cs="Times New Roman"/>
          <w:color w:val="auto"/>
          <w:kern w:val="2"/>
          <w:sz w:val="28"/>
          <w:szCs w:val="28"/>
          <w:highlight w:val="none"/>
          <w:lang w:val="en-US" w:eastAsia="zh-CN" w:bidi="ar-SA"/>
        </w:rPr>
        <w:t>。</w:t>
      </w:r>
    </w:p>
    <w:p w14:paraId="742F7980">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eastAsia"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9</w:t>
      </w:r>
      <w:r>
        <w:rPr>
          <w:rFonts w:hint="default" w:ascii="Times New Roman" w:hAnsi="Times New Roman" w:eastAsia="方正仿宋_GBK" w:cs="Times New Roman"/>
          <w:color w:val="auto"/>
          <w:kern w:val="2"/>
          <w:sz w:val="28"/>
          <w:szCs w:val="28"/>
          <w:highlight w:val="none"/>
          <w:lang w:val="en-US" w:eastAsia="zh-CN" w:bidi="ar-SA"/>
        </w:rPr>
        <w:t>.</w:t>
      </w:r>
      <w:r>
        <w:rPr>
          <w:rFonts w:hint="eastAsia" w:ascii="Times New Roman" w:hAnsi="Times New Roman" w:eastAsia="方正仿宋_GBK" w:cs="Times New Roman"/>
          <w:color w:val="auto"/>
          <w:kern w:val="2"/>
          <w:sz w:val="28"/>
          <w:szCs w:val="28"/>
          <w:highlight w:val="none"/>
          <w:lang w:val="en-US" w:eastAsia="zh-CN" w:bidi="ar-SA"/>
        </w:rPr>
        <w:t>协助学校</w:t>
      </w:r>
      <w:r>
        <w:rPr>
          <w:rFonts w:hint="default" w:ascii="Times New Roman" w:hAnsi="Times New Roman" w:eastAsia="方正仿宋_GBK" w:cs="Times New Roman"/>
          <w:color w:val="auto"/>
          <w:kern w:val="2"/>
          <w:sz w:val="28"/>
          <w:szCs w:val="28"/>
          <w:highlight w:val="none"/>
          <w:lang w:val="en-US" w:eastAsia="zh-CN" w:bidi="ar-SA"/>
        </w:rPr>
        <w:t>根据专家意见完善材料，形成入规申报定稿。全面梳理和吸纳专家意见，对文本进行精细化润色与数据校核</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同步整理支撑材料（如获奖证书、校企合作协议、师资证明、资产证明等），汇编成册，确保佐证充分</w:t>
      </w:r>
      <w:r>
        <w:rPr>
          <w:rFonts w:hint="eastAsia" w:ascii="Times New Roman" w:hAnsi="Times New Roman" w:eastAsia="方正仿宋_GBK" w:cs="Times New Roman"/>
          <w:color w:val="auto"/>
          <w:kern w:val="2"/>
          <w:sz w:val="28"/>
          <w:szCs w:val="28"/>
          <w:highlight w:val="none"/>
          <w:lang w:val="en-US" w:eastAsia="zh-CN" w:bidi="ar-SA"/>
        </w:rPr>
        <w:t>。</w:t>
      </w:r>
    </w:p>
    <w:p w14:paraId="2B2C3FF4">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10</w:t>
      </w:r>
      <w:r>
        <w:rPr>
          <w:rFonts w:hint="default" w:ascii="Times New Roman" w:hAnsi="Times New Roman" w:eastAsia="方正仿宋_GBK" w:cs="Times New Roman"/>
          <w:color w:val="auto"/>
          <w:kern w:val="2"/>
          <w:sz w:val="28"/>
          <w:szCs w:val="28"/>
          <w:highlight w:val="none"/>
          <w:lang w:val="en-US" w:eastAsia="zh-CN" w:bidi="ar-SA"/>
        </w:rPr>
        <w:t>.</w:t>
      </w:r>
      <w:r>
        <w:rPr>
          <w:rFonts w:hint="eastAsia" w:ascii="Times New Roman" w:hAnsi="Times New Roman" w:eastAsia="方正仿宋_GBK" w:cs="Times New Roman"/>
          <w:color w:val="auto"/>
          <w:kern w:val="2"/>
          <w:sz w:val="28"/>
          <w:szCs w:val="28"/>
          <w:highlight w:val="none"/>
          <w:lang w:val="en-US" w:eastAsia="zh-CN" w:bidi="ar-SA"/>
        </w:rPr>
        <w:t>协助学校</w:t>
      </w:r>
      <w:r>
        <w:rPr>
          <w:rFonts w:hint="default" w:ascii="Times New Roman" w:hAnsi="Times New Roman" w:eastAsia="方正仿宋_GBK" w:cs="Times New Roman"/>
          <w:color w:val="auto"/>
          <w:kern w:val="2"/>
          <w:sz w:val="28"/>
          <w:szCs w:val="28"/>
          <w:highlight w:val="none"/>
          <w:lang w:val="en-US" w:eastAsia="zh-CN" w:bidi="ar-SA"/>
        </w:rPr>
        <w:t>完成</w:t>
      </w:r>
      <w:r>
        <w:rPr>
          <w:rFonts w:hint="eastAsia" w:ascii="Times New Roman" w:hAnsi="Times New Roman" w:eastAsia="方正仿宋_GBK" w:cs="Times New Roman"/>
          <w:color w:val="auto"/>
          <w:kern w:val="2"/>
          <w:sz w:val="28"/>
          <w:szCs w:val="28"/>
          <w:highlight w:val="none"/>
          <w:lang w:val="en-US" w:eastAsia="zh-CN" w:bidi="ar-SA"/>
        </w:rPr>
        <w:t>入规</w:t>
      </w:r>
      <w:r>
        <w:rPr>
          <w:rFonts w:hint="default" w:ascii="Times New Roman" w:hAnsi="Times New Roman" w:eastAsia="方正仿宋_GBK" w:cs="Times New Roman"/>
          <w:color w:val="auto"/>
          <w:kern w:val="2"/>
          <w:sz w:val="28"/>
          <w:szCs w:val="28"/>
          <w:highlight w:val="none"/>
          <w:lang w:val="en-US" w:eastAsia="zh-CN" w:bidi="ar-SA"/>
        </w:rPr>
        <w:t>申报材料的专业化排版设计与印制。对入规请示、论证报告、章程、规划、专业材料等全套文件进行统一设计、专业排版、校对和精装印制，形成规范的申报</w:t>
      </w:r>
      <w:r>
        <w:rPr>
          <w:rFonts w:hint="eastAsia" w:ascii="Times New Roman" w:hAnsi="Times New Roman" w:eastAsia="方正仿宋_GBK" w:cs="Times New Roman"/>
          <w:color w:val="auto"/>
          <w:kern w:val="2"/>
          <w:sz w:val="28"/>
          <w:szCs w:val="28"/>
          <w:highlight w:val="none"/>
          <w:lang w:val="en-US" w:eastAsia="zh-CN" w:bidi="ar-SA"/>
        </w:rPr>
        <w:t>纸质版材料。</w:t>
      </w:r>
    </w:p>
    <w:p w14:paraId="21C4B259">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11</w:t>
      </w:r>
      <w:r>
        <w:rPr>
          <w:rFonts w:hint="default" w:ascii="Times New Roman" w:hAnsi="Times New Roman" w:eastAsia="方正仿宋_GBK" w:cs="Times New Roman"/>
          <w:color w:val="auto"/>
          <w:kern w:val="2"/>
          <w:sz w:val="28"/>
          <w:szCs w:val="28"/>
          <w:highlight w:val="none"/>
          <w:lang w:val="en-US" w:eastAsia="zh-CN" w:bidi="ar-SA"/>
        </w:rPr>
        <w:t>.</w:t>
      </w:r>
      <w:r>
        <w:rPr>
          <w:rFonts w:hint="eastAsia" w:ascii="Times New Roman" w:hAnsi="Times New Roman" w:eastAsia="方正仿宋_GBK" w:cs="Times New Roman"/>
          <w:color w:val="auto"/>
          <w:kern w:val="2"/>
          <w:sz w:val="28"/>
          <w:szCs w:val="28"/>
          <w:highlight w:val="none"/>
          <w:lang w:val="en-US" w:eastAsia="zh-CN" w:bidi="ar-SA"/>
        </w:rPr>
        <w:t>按照招标需求完成</w:t>
      </w:r>
      <w:r>
        <w:rPr>
          <w:rFonts w:hint="default" w:ascii="Times New Roman" w:hAnsi="Times New Roman" w:eastAsia="方正仿宋_GBK" w:cs="Times New Roman"/>
          <w:color w:val="auto"/>
          <w:kern w:val="2"/>
          <w:sz w:val="28"/>
          <w:szCs w:val="28"/>
          <w:highlight w:val="none"/>
          <w:lang w:val="en-US" w:eastAsia="zh-CN" w:bidi="ar-SA"/>
        </w:rPr>
        <w:t>校升本建设过程</w:t>
      </w:r>
      <w:r>
        <w:rPr>
          <w:rFonts w:hint="eastAsia" w:ascii="Times New Roman" w:hAnsi="Times New Roman" w:eastAsia="方正仿宋_GBK" w:cs="Times New Roman"/>
          <w:color w:val="auto"/>
          <w:kern w:val="2"/>
          <w:sz w:val="28"/>
          <w:szCs w:val="28"/>
          <w:highlight w:val="none"/>
          <w:lang w:val="en-US" w:eastAsia="zh-CN" w:bidi="ar-SA"/>
        </w:rPr>
        <w:t>信息化服务工作。</w:t>
      </w:r>
    </w:p>
    <w:p w14:paraId="485C18E9">
      <w:pPr>
        <w:pStyle w:val="43"/>
        <w:numPr>
          <w:ilvl w:val="0"/>
          <w:numId w:val="0"/>
        </w:numPr>
        <w:ind w:leftChars="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（二）入规后建设阶段</w:t>
      </w:r>
    </w:p>
    <w:p w14:paraId="3D4C4417">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1.辅导与协助学校完成论证报告、学校</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十五五</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规划、大学章程、专业设置等核心申报材料的修订完善。结合教育厅</w:t>
      </w:r>
      <w:r>
        <w:rPr>
          <w:rFonts w:hint="eastAsia" w:ascii="Times New Roman" w:hAnsi="Times New Roman" w:eastAsia="方正仿宋_GBK" w:cs="Times New Roman"/>
          <w:color w:val="auto"/>
          <w:kern w:val="2"/>
          <w:sz w:val="28"/>
          <w:szCs w:val="28"/>
          <w:highlight w:val="none"/>
          <w:lang w:val="en-US" w:eastAsia="zh-CN" w:bidi="ar-SA"/>
        </w:rPr>
        <w:t>及</w:t>
      </w:r>
      <w:r>
        <w:rPr>
          <w:rFonts w:hint="default" w:ascii="Times New Roman" w:hAnsi="Times New Roman" w:eastAsia="方正仿宋_GBK" w:cs="Times New Roman"/>
          <w:color w:val="auto"/>
          <w:kern w:val="2"/>
          <w:sz w:val="28"/>
          <w:szCs w:val="28"/>
          <w:highlight w:val="none"/>
          <w:lang w:val="en-US" w:eastAsia="zh-CN" w:bidi="ar-SA"/>
        </w:rPr>
        <w:t>专家组的入规反馈意见，对论证报告、章程、规划、首批本科专业设置材料等进行针对性修改与数据更新。</w:t>
      </w:r>
    </w:p>
    <w:p w14:paraId="2B89221B">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2.辅导与协助学校制定总体核查材料目录及佐证材料体系设计。</w:t>
      </w:r>
    </w:p>
    <w:p w14:paraId="0744E1EF">
      <w:pPr>
        <w:pStyle w:val="4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对照相关指标要求，系统梳理办学条件（师资、校舍、设备、图书等）、经费保障、产教融合、人才培养等模块，编制佐证材料总目录，明确每一指标的佐证路径、责任部门及材料规范。</w:t>
      </w:r>
    </w:p>
    <w:p w14:paraId="0DA68189">
      <w:pPr>
        <w:pStyle w:val="43"/>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辅导与协助学校开展办学条件达标动态监测与整改提升。对生师比、具有研究生学位教师占比、生均教学科研仪器设备值、生均图书等重点指标进行动态跟踪</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针对</w:t>
      </w:r>
      <w:r>
        <w:rPr>
          <w:rFonts w:hint="eastAsia" w:ascii="Times New Roman" w:hAnsi="Times New Roman" w:eastAsia="方正仿宋_GBK" w:cs="Times New Roman"/>
          <w:color w:val="auto"/>
          <w:kern w:val="2"/>
          <w:sz w:val="28"/>
          <w:szCs w:val="28"/>
          <w:highlight w:val="none"/>
          <w:lang w:val="en-US" w:eastAsia="zh-CN" w:bidi="ar-SA"/>
        </w:rPr>
        <w:t>不达标项</w:t>
      </w:r>
      <w:r>
        <w:rPr>
          <w:rFonts w:hint="default" w:ascii="Times New Roman" w:hAnsi="Times New Roman" w:eastAsia="方正仿宋_GBK" w:cs="Times New Roman"/>
          <w:color w:val="auto"/>
          <w:kern w:val="2"/>
          <w:sz w:val="28"/>
          <w:szCs w:val="28"/>
          <w:highlight w:val="none"/>
          <w:lang w:val="en-US" w:eastAsia="zh-CN" w:bidi="ar-SA"/>
        </w:rPr>
        <w:t>提出整改</w:t>
      </w:r>
      <w:r>
        <w:rPr>
          <w:rFonts w:hint="eastAsia" w:ascii="Times New Roman" w:hAnsi="Times New Roman" w:eastAsia="方正仿宋_GBK" w:cs="Times New Roman"/>
          <w:color w:val="auto"/>
          <w:kern w:val="2"/>
          <w:sz w:val="28"/>
          <w:szCs w:val="28"/>
          <w:highlight w:val="none"/>
          <w:lang w:val="en-US" w:eastAsia="zh-CN" w:bidi="ar-SA"/>
        </w:rPr>
        <w:t>建设</w:t>
      </w:r>
      <w:r>
        <w:rPr>
          <w:rFonts w:hint="default" w:ascii="Times New Roman" w:hAnsi="Times New Roman" w:eastAsia="方正仿宋_GBK" w:cs="Times New Roman"/>
          <w:color w:val="auto"/>
          <w:kern w:val="2"/>
          <w:sz w:val="28"/>
          <w:szCs w:val="28"/>
          <w:highlight w:val="none"/>
          <w:lang w:val="en-US" w:eastAsia="zh-CN" w:bidi="ar-SA"/>
        </w:rPr>
        <w:t>方案。</w:t>
      </w:r>
    </w:p>
    <w:p w14:paraId="3877CB2D">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4.组织专家开展阶段性建设评估与预考察指导。邀请具有职业本科评估经验的专家，对照设置标准对学校建设进展进行中期评估。开展至少1次全流程预考察（含听取汇报、查阅材料、实地走访、师生座谈），出具评估报告及整改建议，以评促建。</w:t>
      </w:r>
    </w:p>
    <w:p w14:paraId="0C7710C3">
      <w:pPr>
        <w:pStyle w:val="43"/>
        <w:numPr>
          <w:ilvl w:val="0"/>
          <w:numId w:val="0"/>
        </w:numPr>
        <w:ind w:leftChars="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（三）自治区专家入校准备阶段</w:t>
      </w:r>
    </w:p>
    <w:p w14:paraId="6051B261">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1.辅导与协助学校完成论证报告、学校“十五五”规划、大学章程、专业设置等申报材料的最终定稿。在吸收</w:t>
      </w:r>
      <w:r>
        <w:rPr>
          <w:rFonts w:hint="eastAsia" w:ascii="Times New Roman" w:hAnsi="Times New Roman" w:eastAsia="方正仿宋_GBK" w:cs="Times New Roman"/>
          <w:color w:val="auto"/>
          <w:kern w:val="2"/>
          <w:sz w:val="28"/>
          <w:szCs w:val="28"/>
          <w:highlight w:val="none"/>
          <w:lang w:val="en-US" w:eastAsia="zh-CN" w:bidi="ar-SA"/>
        </w:rPr>
        <w:t>自治区专家</w:t>
      </w:r>
      <w:r>
        <w:rPr>
          <w:rFonts w:hint="default" w:ascii="Times New Roman" w:hAnsi="Times New Roman" w:eastAsia="方正仿宋_GBK" w:cs="Times New Roman"/>
          <w:color w:val="auto"/>
          <w:kern w:val="2"/>
          <w:sz w:val="28"/>
          <w:szCs w:val="28"/>
          <w:highlight w:val="none"/>
          <w:lang w:val="en-US" w:eastAsia="zh-CN" w:bidi="ar-SA"/>
        </w:rPr>
        <w:t>预审意见基础上，对全套核心申报材料进行审核、校核与润色，确保文本无差错、逻辑自洽、数据闭合，形成提交</w:t>
      </w:r>
      <w:r>
        <w:rPr>
          <w:rFonts w:hint="eastAsia" w:ascii="Times New Roman" w:hAnsi="Times New Roman" w:eastAsia="方正仿宋_GBK" w:cs="Times New Roman"/>
          <w:color w:val="auto"/>
          <w:kern w:val="2"/>
          <w:sz w:val="28"/>
          <w:szCs w:val="28"/>
          <w:highlight w:val="none"/>
          <w:lang w:val="en-US" w:eastAsia="zh-CN" w:bidi="ar-SA"/>
        </w:rPr>
        <w:t>自治区</w:t>
      </w:r>
      <w:r>
        <w:rPr>
          <w:rFonts w:hint="default" w:ascii="Times New Roman" w:hAnsi="Times New Roman" w:eastAsia="方正仿宋_GBK" w:cs="Times New Roman"/>
          <w:color w:val="auto"/>
          <w:kern w:val="2"/>
          <w:sz w:val="28"/>
          <w:szCs w:val="28"/>
          <w:highlight w:val="none"/>
          <w:lang w:val="en-US" w:eastAsia="zh-CN" w:bidi="ar-SA"/>
        </w:rPr>
        <w:t>专家组的正式印刷版。</w:t>
      </w:r>
    </w:p>
    <w:p w14:paraId="11D7F15B">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2.</w:t>
      </w:r>
      <w:r>
        <w:rPr>
          <w:rFonts w:hint="default" w:ascii="Times New Roman" w:hAnsi="Times New Roman" w:eastAsia="方正仿宋_GBK" w:cs="Times New Roman"/>
          <w:color w:val="auto"/>
          <w:kern w:val="2"/>
          <w:sz w:val="28"/>
          <w:szCs w:val="28"/>
          <w:highlight w:val="none"/>
          <w:lang w:val="en-US" w:eastAsia="zh-CN" w:bidi="ar-SA"/>
        </w:rPr>
        <w:t>辅导与协助学校对照</w:t>
      </w:r>
      <w:r>
        <w:rPr>
          <w:rFonts w:hint="eastAsia" w:ascii="Times New Roman" w:hAnsi="Times New Roman" w:eastAsia="方正仿宋_GBK" w:cs="Times New Roman"/>
          <w:color w:val="auto"/>
          <w:kern w:val="2"/>
          <w:sz w:val="28"/>
          <w:szCs w:val="28"/>
          <w:highlight w:val="none"/>
          <w:lang w:val="en-US" w:eastAsia="zh-CN" w:bidi="ar-SA"/>
        </w:rPr>
        <w:t>自治区</w:t>
      </w:r>
      <w:r>
        <w:rPr>
          <w:rFonts w:hint="default" w:ascii="Times New Roman" w:hAnsi="Times New Roman" w:eastAsia="方正仿宋_GBK" w:cs="Times New Roman"/>
          <w:color w:val="auto"/>
          <w:kern w:val="2"/>
          <w:sz w:val="28"/>
          <w:szCs w:val="28"/>
          <w:highlight w:val="none"/>
          <w:lang w:val="en-US" w:eastAsia="zh-CN" w:bidi="ar-SA"/>
        </w:rPr>
        <w:t>专家入校要件清单，逐项完成佐证材料的诊断与补充。依据</w:t>
      </w:r>
      <w:r>
        <w:rPr>
          <w:rFonts w:hint="eastAsia" w:ascii="Times New Roman" w:hAnsi="Times New Roman" w:eastAsia="方正仿宋_GBK" w:cs="Times New Roman"/>
          <w:color w:val="auto"/>
          <w:kern w:val="2"/>
          <w:sz w:val="28"/>
          <w:szCs w:val="28"/>
          <w:highlight w:val="none"/>
          <w:lang w:val="en-US" w:eastAsia="zh-CN" w:bidi="ar-SA"/>
        </w:rPr>
        <w:t>自治区</w:t>
      </w:r>
      <w:r>
        <w:rPr>
          <w:rFonts w:hint="default" w:ascii="Times New Roman" w:hAnsi="Times New Roman" w:eastAsia="方正仿宋_GBK" w:cs="Times New Roman"/>
          <w:color w:val="auto"/>
          <w:kern w:val="2"/>
          <w:sz w:val="28"/>
          <w:szCs w:val="28"/>
          <w:highlight w:val="none"/>
          <w:lang w:val="en-US" w:eastAsia="zh-CN" w:bidi="ar-SA"/>
        </w:rPr>
        <w:t>教育厅下发的入校考察要件清单（含基本办学条件、经费保障、师资队伍、实训条件、产教融合等模块），开展全面自查与整改，确保佐证完整、规范、可溯。</w:t>
      </w:r>
    </w:p>
    <w:p w14:paraId="32E0F6B0">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3.</w:t>
      </w:r>
      <w:r>
        <w:rPr>
          <w:rFonts w:hint="default" w:ascii="Times New Roman" w:hAnsi="Times New Roman" w:eastAsia="方正仿宋_GBK" w:cs="Times New Roman"/>
          <w:color w:val="auto"/>
          <w:kern w:val="2"/>
          <w:sz w:val="28"/>
          <w:szCs w:val="28"/>
          <w:highlight w:val="none"/>
          <w:lang w:val="en-US" w:eastAsia="zh-CN" w:bidi="ar-SA"/>
        </w:rPr>
        <w:t>辅导与协助学校完成佐证材料的系统化整理、编目与定稿。对全部佐证材料进行统一编号、分类装盒，编制《佐证材料总目录》制作电子检索版与纸质备查版双套体系，便于专家现场快速调阅。</w:t>
      </w:r>
    </w:p>
    <w:p w14:paraId="2AF69546">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4.</w:t>
      </w:r>
      <w:r>
        <w:rPr>
          <w:rFonts w:hint="default" w:ascii="Times New Roman" w:hAnsi="Times New Roman" w:eastAsia="方正仿宋_GBK" w:cs="Times New Roman"/>
          <w:color w:val="auto"/>
          <w:kern w:val="2"/>
          <w:sz w:val="28"/>
          <w:szCs w:val="28"/>
          <w:highlight w:val="none"/>
          <w:lang w:val="en-US" w:eastAsia="zh-CN" w:bidi="ar-SA"/>
        </w:rPr>
        <w:t>辅导与协助学校完成考察点位科学设置与内涵提升。结合学校办学特色与优势，合理规划考察路线及点位（如校史馆、产教融合实训基地、智慧教室、图书馆、学生社区、合作企业等），对每个点位进行解说词打磨、展示内容优化及环境布置。</w:t>
      </w:r>
    </w:p>
    <w:p w14:paraId="6A0C821B">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5.</w:t>
      </w:r>
      <w:r>
        <w:rPr>
          <w:rFonts w:hint="default" w:ascii="Times New Roman" w:hAnsi="Times New Roman" w:eastAsia="方正仿宋_GBK" w:cs="Times New Roman"/>
          <w:color w:val="auto"/>
          <w:kern w:val="2"/>
          <w:sz w:val="28"/>
          <w:szCs w:val="28"/>
          <w:highlight w:val="none"/>
          <w:lang w:val="en-US" w:eastAsia="zh-CN" w:bidi="ar-SA"/>
        </w:rPr>
        <w:t>组织开展校级领导、中层干部、教师代表的分层分类访谈与座谈会专项辅导。针对专家访谈环节，分别设计校领导座谈会、教学管理人员座谈会、专任教师座谈会、学生代表座谈会的常见问题库，开展模拟问答与应答技巧训练，提升访谈表现力。</w:t>
      </w:r>
    </w:p>
    <w:p w14:paraId="2A79E8B7">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6.</w:t>
      </w:r>
      <w:r>
        <w:rPr>
          <w:rFonts w:hint="default" w:ascii="Times New Roman" w:hAnsi="Times New Roman" w:eastAsia="方正仿宋_GBK" w:cs="Times New Roman"/>
          <w:color w:val="auto"/>
          <w:kern w:val="2"/>
          <w:sz w:val="28"/>
          <w:szCs w:val="28"/>
          <w:highlight w:val="none"/>
          <w:lang w:val="en-US" w:eastAsia="zh-CN" w:bidi="ar-SA"/>
        </w:rPr>
        <w:t>组织开展学生群体的迎评动员与访谈辅导。面向在校生（尤其是首批拟设置本科专业学生）开展升本政策宣讲、校园文明礼仪教育及模拟访谈训练，引导学生了解学校办学定位、专业培养目标，展现良好精神风貌。</w:t>
      </w:r>
    </w:p>
    <w:p w14:paraId="2C281BCD">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7.</w:t>
      </w:r>
      <w:r>
        <w:rPr>
          <w:rFonts w:hint="default" w:ascii="Times New Roman" w:hAnsi="Times New Roman" w:eastAsia="方正仿宋_GBK" w:cs="Times New Roman"/>
          <w:color w:val="auto"/>
          <w:kern w:val="2"/>
          <w:sz w:val="28"/>
          <w:szCs w:val="28"/>
          <w:highlight w:val="none"/>
          <w:lang w:val="en-US" w:eastAsia="zh-CN" w:bidi="ar-SA"/>
        </w:rPr>
        <w:t>辅导与协助学校编制《省级专家入校考察工作手册》。统筹编制涵盖学校概况、日程安排、专家名单、陪同人员、点位介绍、服务指南、应急预案等内容的工作手册，做到内容详实、印制规范、便于使用。</w:t>
      </w:r>
    </w:p>
    <w:p w14:paraId="393FFD81">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8.协助学校</w:t>
      </w:r>
      <w:r>
        <w:rPr>
          <w:rFonts w:hint="default" w:ascii="Times New Roman" w:hAnsi="Times New Roman" w:eastAsia="方正仿宋_GBK" w:cs="Times New Roman"/>
          <w:color w:val="auto"/>
          <w:kern w:val="2"/>
          <w:sz w:val="28"/>
          <w:szCs w:val="28"/>
          <w:highlight w:val="none"/>
          <w:lang w:val="en-US" w:eastAsia="zh-CN" w:bidi="ar-SA"/>
        </w:rPr>
        <w:t>组织开展全流程、全要素的省级专家入校考察模拟演练。按照正式入校流程，至少开展2轮全真模拟演练（含专家见面会、实地考察、资料查阅、听课看课、座谈会、意见反馈会），检验各环节衔接及应急响应能力。</w:t>
      </w:r>
    </w:p>
    <w:p w14:paraId="71D46ADE">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9.协助学校</w:t>
      </w:r>
      <w:r>
        <w:rPr>
          <w:rFonts w:hint="default" w:ascii="Times New Roman" w:hAnsi="Times New Roman" w:eastAsia="方正仿宋_GBK" w:cs="Times New Roman"/>
          <w:color w:val="auto"/>
          <w:kern w:val="2"/>
          <w:sz w:val="28"/>
          <w:szCs w:val="28"/>
          <w:highlight w:val="none"/>
          <w:lang w:val="en-US" w:eastAsia="zh-CN" w:bidi="ar-SA"/>
        </w:rPr>
        <w:t>完成考察期间会场布置、设备调试及接待服务保障工作。对专家见面会、反馈会等核心会场进行规范化布置（席卡、材料、投影、话筒等），调试多媒体设备，制定接待方案（交通、食宿、引导、医疗保障），确保万无一失。</w:t>
      </w:r>
    </w:p>
    <w:p w14:paraId="616A8D09">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10.协助学校</w:t>
      </w:r>
      <w:r>
        <w:rPr>
          <w:rFonts w:hint="default" w:ascii="Times New Roman" w:hAnsi="Times New Roman" w:eastAsia="方正仿宋_GBK" w:cs="Times New Roman"/>
          <w:color w:val="auto"/>
          <w:kern w:val="2"/>
          <w:sz w:val="28"/>
          <w:szCs w:val="28"/>
          <w:highlight w:val="none"/>
          <w:lang w:val="en-US" w:eastAsia="zh-CN" w:bidi="ar-SA"/>
        </w:rPr>
        <w:t>完成</w:t>
      </w:r>
      <w:r>
        <w:rPr>
          <w:rFonts w:hint="eastAsia" w:ascii="Times New Roman" w:hAnsi="Times New Roman" w:eastAsia="方正仿宋_GBK" w:cs="Times New Roman"/>
          <w:color w:val="auto"/>
          <w:kern w:val="2"/>
          <w:sz w:val="28"/>
          <w:szCs w:val="28"/>
          <w:highlight w:val="none"/>
          <w:lang w:val="en-US" w:eastAsia="zh-CN" w:bidi="ar-SA"/>
        </w:rPr>
        <w:t>自治区高评委</w:t>
      </w:r>
      <w:r>
        <w:rPr>
          <w:rFonts w:hint="default" w:ascii="Times New Roman" w:hAnsi="Times New Roman" w:eastAsia="方正仿宋_GBK" w:cs="Times New Roman"/>
          <w:color w:val="auto"/>
          <w:kern w:val="2"/>
          <w:sz w:val="28"/>
          <w:szCs w:val="28"/>
          <w:highlight w:val="none"/>
          <w:lang w:val="en-US" w:eastAsia="zh-CN" w:bidi="ar-SA"/>
        </w:rPr>
        <w:t>入校阶段全套申报材料及工作手册的专业排版与印制。对定稿后的论证报告、章程、规划、专业材料及入校工作手册进行统一设计排版、高标准印刷及装订，按专家人数准备若干套装，确保规格统一、品质精良。</w:t>
      </w:r>
    </w:p>
    <w:p w14:paraId="462107B7">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11.协助学校</w:t>
      </w:r>
      <w:r>
        <w:rPr>
          <w:rFonts w:hint="default" w:ascii="Times New Roman" w:hAnsi="Times New Roman" w:eastAsia="方正仿宋_GBK" w:cs="Times New Roman"/>
          <w:color w:val="auto"/>
          <w:kern w:val="2"/>
          <w:sz w:val="28"/>
          <w:szCs w:val="28"/>
          <w:highlight w:val="none"/>
          <w:lang w:val="en-US" w:eastAsia="zh-CN" w:bidi="ar-SA"/>
        </w:rPr>
        <w:t>组织开展迎评冲刺阶段的办学理念与评估实务系列讲座。面向全校教职工开展迎评最后冲刺培训，内容涵盖职业本科设置标准解读、专家考察关注重点、应答技巧、校园礼仪等，进一步凝聚共识、提振士气。</w:t>
      </w:r>
    </w:p>
    <w:p w14:paraId="1E334BB5">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12.</w:t>
      </w:r>
      <w:r>
        <w:rPr>
          <w:rFonts w:hint="default" w:ascii="Times New Roman" w:hAnsi="Times New Roman" w:eastAsia="方正仿宋_GBK" w:cs="Times New Roman"/>
          <w:color w:val="auto"/>
          <w:kern w:val="2"/>
          <w:sz w:val="28"/>
          <w:szCs w:val="28"/>
          <w:highlight w:val="none"/>
          <w:lang w:val="en-US" w:eastAsia="zh-CN" w:bidi="ar-SA"/>
        </w:rPr>
        <w:t>协助学校制定</w:t>
      </w:r>
      <w:r>
        <w:rPr>
          <w:rFonts w:hint="eastAsia" w:ascii="Times New Roman" w:hAnsi="Times New Roman" w:eastAsia="方正仿宋_GBK" w:cs="Times New Roman"/>
          <w:color w:val="auto"/>
          <w:kern w:val="2"/>
          <w:sz w:val="28"/>
          <w:szCs w:val="28"/>
          <w:highlight w:val="none"/>
          <w:lang w:val="en-US" w:eastAsia="zh-CN" w:bidi="ar-SA"/>
        </w:rPr>
        <w:t>自治区高评委</w:t>
      </w:r>
      <w:r>
        <w:rPr>
          <w:rFonts w:hint="default" w:ascii="Times New Roman" w:hAnsi="Times New Roman" w:eastAsia="方正仿宋_GBK" w:cs="Times New Roman"/>
          <w:color w:val="auto"/>
          <w:kern w:val="2"/>
          <w:sz w:val="28"/>
          <w:szCs w:val="28"/>
          <w:highlight w:val="none"/>
          <w:lang w:val="en-US" w:eastAsia="zh-CN" w:bidi="ar-SA"/>
        </w:rPr>
        <w:t>入校考察应急预案及问题整改清零清单。针对可能出现的突发情况（如专家临时调整线路、设备故障、数据质疑等）制定应对预案</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同时梳理前期自查及模拟演练中发现的问题，形成整改清零台账，确保入校前全部闭环销号</w:t>
      </w:r>
      <w:r>
        <w:rPr>
          <w:rFonts w:hint="eastAsia" w:ascii="Times New Roman" w:hAnsi="Times New Roman" w:eastAsia="方正仿宋_GBK" w:cs="Times New Roman"/>
          <w:color w:val="auto"/>
          <w:kern w:val="2"/>
          <w:sz w:val="28"/>
          <w:szCs w:val="28"/>
          <w:highlight w:val="none"/>
          <w:lang w:val="en-US" w:eastAsia="zh-CN" w:bidi="ar-SA"/>
        </w:rPr>
        <w:t>。</w:t>
      </w:r>
    </w:p>
    <w:p w14:paraId="31BC99D3">
      <w:pPr>
        <w:pStyle w:val="43"/>
        <w:numPr>
          <w:ilvl w:val="0"/>
          <w:numId w:val="0"/>
        </w:numPr>
        <w:ind w:leftChars="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（四）教育部专家入校筹备阶段</w:t>
      </w:r>
    </w:p>
    <w:p w14:paraId="3435F8F0">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1.组织邀请全国知名专家对论证报告、学校</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十五五</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规划、大学章程、专业设置等核心申报材料进行审议，并按照修改意见修改形成最终定稿。邀请具有职业本科评估或设置经验的全国知名专家（含教育部高评委成员），对全套申报材料进行终审把关，重点审视办学定位、类型特色、条件达标情况等，根据专家意见逐条修改完善，形成上报教育部的正式定稿版本。</w:t>
      </w:r>
    </w:p>
    <w:p w14:paraId="104A90B4">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2.</w:t>
      </w:r>
      <w:r>
        <w:rPr>
          <w:rFonts w:hint="default" w:ascii="Times New Roman" w:hAnsi="Times New Roman" w:eastAsia="方正仿宋_GBK" w:cs="Times New Roman"/>
          <w:color w:val="auto"/>
          <w:kern w:val="2"/>
          <w:sz w:val="28"/>
          <w:szCs w:val="28"/>
          <w:highlight w:val="none"/>
          <w:lang w:val="en-US" w:eastAsia="zh-CN" w:bidi="ar-SA"/>
        </w:rPr>
        <w:t>辅导与协助学校完成教育部专家入校考察要件清单及佐证材料的最终核查与定稿。对照教育部高评委专家组入校考察的标准化要件清单，逐项核查办学条件、师资队伍、经费保障、实训条件、产教融合等佐证材料，确保数据闭合、逻辑自洽，形成最终电子版与纸质版备查体系。</w:t>
      </w:r>
    </w:p>
    <w:p w14:paraId="4CAF1678">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3.</w:t>
      </w:r>
      <w:r>
        <w:rPr>
          <w:rFonts w:hint="default" w:ascii="Times New Roman" w:hAnsi="Times New Roman" w:eastAsia="方正仿宋_GBK" w:cs="Times New Roman"/>
          <w:color w:val="auto"/>
          <w:kern w:val="2"/>
          <w:sz w:val="28"/>
          <w:szCs w:val="28"/>
          <w:highlight w:val="none"/>
          <w:lang w:val="en-US" w:eastAsia="zh-CN" w:bidi="ar-SA"/>
        </w:rPr>
        <w:t>辅导与协助完成教育部专家入校考察工作手册及考察方案编制。统筹编制涵盖学校概况、日程安排、专家名单及分工、考察点位路线、听课看课安排、座谈会议程、企业走访方案、接待服务指南、应急预案等内容的《教育部专家入校考察工作手册》，确保内容规范、信息精准、便于专家使用。</w:t>
      </w:r>
    </w:p>
    <w:p w14:paraId="0006BD9B">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4.</w:t>
      </w:r>
      <w:r>
        <w:rPr>
          <w:rFonts w:hint="default" w:ascii="Times New Roman" w:hAnsi="Times New Roman" w:eastAsia="方正仿宋_GBK" w:cs="Times New Roman"/>
          <w:color w:val="auto"/>
          <w:kern w:val="2"/>
          <w:sz w:val="28"/>
          <w:szCs w:val="28"/>
          <w:highlight w:val="none"/>
          <w:lang w:val="en-US" w:eastAsia="zh-CN" w:bidi="ar-SA"/>
        </w:rPr>
        <w:t>辅导与协助完成考察期间会议材料、接待方案及要件清单的统筹准备。系统准备专家见面会、汇报会、反馈会等环节的全套会议材料（含汇报PPT、学校简介、材料索引等）</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制定精细化接待方案（交通、食宿、引导、医疗保障等）</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梳理专家现场查阅的要件清单，确保材料即调即有。</w:t>
      </w:r>
    </w:p>
    <w:p w14:paraId="5906E9B2">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5.</w:t>
      </w:r>
      <w:r>
        <w:rPr>
          <w:rFonts w:hint="default" w:ascii="Times New Roman" w:hAnsi="Times New Roman" w:eastAsia="方正仿宋_GBK" w:cs="Times New Roman"/>
          <w:color w:val="auto"/>
          <w:kern w:val="2"/>
          <w:sz w:val="28"/>
          <w:szCs w:val="28"/>
          <w:highlight w:val="none"/>
          <w:lang w:val="en-US" w:eastAsia="zh-CN" w:bidi="ar-SA"/>
        </w:rPr>
        <w:t>组织开展教育部专家入校考察全流程模拟演练。按照正式入校考察的完整流程，至少开展2轮全真模拟演练，检验各环节衔接流畅度、应答质量及应急处理能力。</w:t>
      </w:r>
    </w:p>
    <w:p w14:paraId="06C19639">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6.</w:t>
      </w:r>
      <w:r>
        <w:rPr>
          <w:rFonts w:hint="default" w:ascii="Times New Roman" w:hAnsi="Times New Roman" w:eastAsia="方正仿宋_GBK" w:cs="Times New Roman"/>
          <w:color w:val="auto"/>
          <w:kern w:val="2"/>
          <w:sz w:val="28"/>
          <w:szCs w:val="28"/>
          <w:highlight w:val="none"/>
          <w:lang w:val="en-US" w:eastAsia="zh-CN" w:bidi="ar-SA"/>
        </w:rPr>
        <w:t>辅导与协助完成专业申报材料的现场核查与专业负责人专项辅导。针对首批拟设置本科专业的申报材料（专业论证报告、人才培养方案、课程标准等），进行逐项复核</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对专业带头人、教研室主任开展专项辅导，确保其能清晰阐述专业建设思路、人才培养特色及产教融合成果。</w:t>
      </w:r>
    </w:p>
    <w:p w14:paraId="738A1D53">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7.</w:t>
      </w:r>
      <w:r>
        <w:rPr>
          <w:rFonts w:hint="default" w:ascii="Times New Roman" w:hAnsi="Times New Roman" w:eastAsia="方正仿宋_GBK" w:cs="Times New Roman"/>
          <w:color w:val="auto"/>
          <w:kern w:val="2"/>
          <w:sz w:val="28"/>
          <w:szCs w:val="28"/>
          <w:highlight w:val="none"/>
          <w:lang w:val="en-US" w:eastAsia="zh-CN" w:bidi="ar-SA"/>
        </w:rPr>
        <w:t>组织开展各级各类座谈会专项辅导与模拟演练。针对校领导座谈会、教学管理人员座谈会、专任教师座谈会、学生代表座谈会、企业代表座谈会等不同场景，分别设计问题库，开展多轮模拟问答训练，提升应答的一致性与专业性。</w:t>
      </w:r>
    </w:p>
    <w:p w14:paraId="63AA5BB4">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8.</w:t>
      </w:r>
      <w:r>
        <w:rPr>
          <w:rFonts w:hint="default" w:ascii="Times New Roman" w:hAnsi="Times New Roman" w:eastAsia="方正仿宋_GBK" w:cs="Times New Roman"/>
          <w:color w:val="auto"/>
          <w:kern w:val="2"/>
          <w:sz w:val="28"/>
          <w:szCs w:val="28"/>
          <w:highlight w:val="none"/>
          <w:lang w:val="en-US" w:eastAsia="zh-CN" w:bidi="ar-SA"/>
        </w:rPr>
        <w:t>辅导与协助完成企业走访及合作企业座谈指导与模拟演练。筛选具有代表性的深度合作企业作为走访点位，协助企业准备汇报材料、参观路线及座谈内容</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开展校企双方联合模拟演练，确保企业方能够清晰表达校企合作模式、学生实习实训成效及就业质量。</w:t>
      </w:r>
    </w:p>
    <w:p w14:paraId="651D2D1E">
      <w:pPr>
        <w:pStyle w:val="43"/>
        <w:numPr>
          <w:ilvl w:val="0"/>
          <w:numId w:val="0"/>
        </w:numPr>
        <w:ind w:leftChars="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（五）其他要求</w:t>
      </w:r>
    </w:p>
    <w:p w14:paraId="22094809">
      <w:pPr>
        <w:pStyle w:val="43"/>
        <w:numPr>
          <w:ilvl w:val="0"/>
          <w:numId w:val="0"/>
        </w:numPr>
        <w:ind w:leftChars="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1.组织不少于5人的核心团队人员，提供不少于10个月的驻场服务。</w:t>
      </w:r>
    </w:p>
    <w:p w14:paraId="114EF1CE">
      <w:pPr>
        <w:pStyle w:val="14"/>
        <w:pageBreakBefore w:val="0"/>
        <w:numPr>
          <w:ilvl w:val="0"/>
          <w:numId w:val="0"/>
        </w:numPr>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2.本次采购包含与申办本科层次</w:t>
      </w:r>
      <w:r>
        <w:rPr>
          <w:rFonts w:hint="eastAsia" w:ascii="Times New Roman" w:hAnsi="Times New Roman" w:eastAsia="方正仿宋_GBK" w:cs="Times New Roman"/>
          <w:color w:val="auto"/>
          <w:kern w:val="2"/>
          <w:sz w:val="28"/>
          <w:szCs w:val="28"/>
          <w:highlight w:val="none"/>
          <w:lang w:val="en-US" w:eastAsia="zh-CN" w:bidi="ar-SA"/>
        </w:rPr>
        <w:t>职业</w:t>
      </w:r>
      <w:r>
        <w:rPr>
          <w:rFonts w:hint="default" w:ascii="Times New Roman" w:hAnsi="Times New Roman" w:eastAsia="方正仿宋_GBK" w:cs="Times New Roman"/>
          <w:color w:val="auto"/>
          <w:kern w:val="2"/>
          <w:sz w:val="28"/>
          <w:szCs w:val="28"/>
          <w:highlight w:val="none"/>
          <w:lang w:val="en-US" w:eastAsia="zh-CN" w:bidi="ar-SA"/>
        </w:rPr>
        <w:t>学校相关的其他所有事项。</w:t>
      </w:r>
    </w:p>
    <w:p w14:paraId="1D982831">
      <w:pPr>
        <w:pStyle w:val="14"/>
        <w:pageBreakBefore w:val="0"/>
        <w:numPr>
          <w:ilvl w:val="0"/>
          <w:numId w:val="0"/>
        </w:numPr>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方正仿宋_GBK" w:cs="Times New Roman"/>
          <w:color w:val="auto"/>
          <w:kern w:val="2"/>
          <w:sz w:val="28"/>
          <w:szCs w:val="28"/>
          <w:highlight w:val="none"/>
          <w:lang w:val="en-US" w:eastAsia="zh-CN" w:bidi="ar-SA"/>
        </w:rPr>
      </w:pPr>
    </w:p>
    <w:p w14:paraId="3F669FE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color w:val="auto"/>
          <w:sz w:val="28"/>
          <w:szCs w:val="28"/>
          <w:highlight w:val="none"/>
          <w:lang w:val="en-US" w:eastAsia="zh-CN"/>
        </w:rPr>
      </w:pPr>
      <w:r>
        <w:rPr>
          <w:rFonts w:hint="default" w:ascii="Times New Roman" w:hAnsi="Times New Roman" w:eastAsia="黑体" w:cs="Times New Roman"/>
          <w:color w:val="auto"/>
          <w:sz w:val="28"/>
          <w:szCs w:val="28"/>
          <w:highlight w:val="none"/>
          <w:lang w:val="en-US" w:eastAsia="zh-CN"/>
        </w:rPr>
        <w:t>三、工作成果</w:t>
      </w:r>
    </w:p>
    <w:p w14:paraId="41D7FEF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乙方应按照甲方的要求</w:t>
      </w:r>
      <w:r>
        <w:rPr>
          <w:rFonts w:hint="eastAsia" w:ascii="Times New Roman" w:hAnsi="Times New Roman" w:eastAsia="方正仿宋_GBK" w:cs="Times New Roman"/>
          <w:color w:val="auto"/>
          <w:sz w:val="28"/>
          <w:szCs w:val="28"/>
          <w:highlight w:val="none"/>
          <w:lang w:val="en-US" w:eastAsia="zh-CN"/>
        </w:rPr>
        <w:t>开展</w:t>
      </w:r>
      <w:r>
        <w:rPr>
          <w:rFonts w:hint="default" w:ascii="Times New Roman" w:hAnsi="Times New Roman" w:eastAsia="方正仿宋_GBK" w:cs="Times New Roman"/>
          <w:color w:val="auto"/>
          <w:sz w:val="28"/>
          <w:szCs w:val="28"/>
          <w:highlight w:val="none"/>
          <w:lang w:val="en-US" w:eastAsia="zh-CN"/>
        </w:rPr>
        <w:t>各阶段咨询</w:t>
      </w:r>
      <w:r>
        <w:rPr>
          <w:rFonts w:hint="eastAsia" w:ascii="Times New Roman" w:hAnsi="Times New Roman" w:eastAsia="方正仿宋_GBK" w:cs="Times New Roman"/>
          <w:color w:val="auto"/>
          <w:sz w:val="28"/>
          <w:szCs w:val="28"/>
          <w:highlight w:val="none"/>
          <w:lang w:val="en-US" w:eastAsia="zh-CN"/>
        </w:rPr>
        <w:t>服务</w:t>
      </w:r>
      <w:r>
        <w:rPr>
          <w:rFonts w:hint="default" w:ascii="Times New Roman" w:hAnsi="Times New Roman" w:eastAsia="方正仿宋_GBK" w:cs="Times New Roman"/>
          <w:color w:val="auto"/>
          <w:sz w:val="28"/>
          <w:szCs w:val="28"/>
          <w:highlight w:val="none"/>
          <w:lang w:val="en-US" w:eastAsia="zh-CN"/>
        </w:rPr>
        <w:t>，完成相应正式工作成果的提交，其成果所有权归甲方所有。</w:t>
      </w:r>
    </w:p>
    <w:p w14:paraId="7429D10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黑体" w:cs="Times New Roman"/>
          <w:color w:val="auto"/>
          <w:sz w:val="28"/>
          <w:szCs w:val="28"/>
          <w:highlight w:val="none"/>
          <w:lang w:val="en-US" w:eastAsia="zh-CN"/>
        </w:rPr>
      </w:pPr>
      <w:r>
        <w:rPr>
          <w:rFonts w:hint="default" w:ascii="Times New Roman" w:hAnsi="Times New Roman" w:eastAsia="黑体" w:cs="Times New Roman"/>
          <w:color w:val="auto"/>
          <w:sz w:val="28"/>
          <w:szCs w:val="28"/>
          <w:highlight w:val="none"/>
          <w:lang w:val="en-US" w:eastAsia="zh-CN"/>
        </w:rPr>
        <w:t>四、费用及支付方式</w:t>
      </w:r>
    </w:p>
    <w:p w14:paraId="4F5418B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default" w:ascii="Times New Roman" w:hAnsi="Times New Roman" w:eastAsia="方正仿宋_GBK" w:cs="Times New Roman"/>
          <w:color w:val="auto"/>
          <w:sz w:val="28"/>
          <w:szCs w:val="28"/>
          <w:highlight w:val="none"/>
          <w:lang w:val="en-US" w:eastAsia="zh-CN"/>
        </w:rPr>
        <w:t>根据乙方协议专题研究工作内容及工作量，经双方友好协商确认，甲方支付乙方咨询指导费用（含税费）人民币：</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ascii="Times New Roman" w:hAnsi="Times New Roman" w:eastAsia="方正仿宋_GBK" w:cs="Times New Roman"/>
          <w:color w:val="auto"/>
          <w:sz w:val="28"/>
          <w:szCs w:val="28"/>
          <w:highlight w:val="none"/>
          <w:u w:val="single"/>
          <w:lang w:val="en-US" w:eastAsia="zh-CN"/>
        </w:rPr>
        <w:t xml:space="preserve">        元，</w:t>
      </w:r>
      <w:r>
        <w:rPr>
          <w:rFonts w:hint="default" w:ascii="Times New Roman" w:hAnsi="Times New Roman" w:eastAsia="方正仿宋_GBK" w:cs="Times New Roman"/>
          <w:color w:val="auto"/>
          <w:sz w:val="28"/>
          <w:szCs w:val="28"/>
          <w:highlight w:val="none"/>
          <w:u w:val="single"/>
          <w:lang w:val="en-US" w:eastAsia="zh-CN"/>
        </w:rPr>
        <w:t>（大写）</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w:t>
      </w:r>
    </w:p>
    <w:p w14:paraId="68EB3BA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付款分为四个阶段：</w:t>
      </w:r>
    </w:p>
    <w:p w14:paraId="7CBDA33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eastAsia" w:ascii="Times New Roman" w:hAnsi="Times New Roman" w:eastAsia="方正仿宋_GBK" w:cs="Times New Roman"/>
          <w:color w:val="auto"/>
          <w:sz w:val="28"/>
          <w:szCs w:val="28"/>
          <w:highlight w:val="none"/>
          <w:lang w:val="en-US" w:eastAsia="zh-CN"/>
        </w:rPr>
        <w:t>阶段一占中标总金额的50%。自合同签订后之日起14日内支付合同总金额的的30%</w:t>
      </w:r>
      <w:r>
        <w:rPr>
          <w:rFonts w:hint="eastAsia" w:ascii="Times New Roman" w:hAnsi="Times New Roman" w:eastAsia="方正仿宋_GBK" w:cs="Times New Roman"/>
          <w:color w:val="auto"/>
          <w:sz w:val="28"/>
          <w:szCs w:val="28"/>
          <w:highlight w:val="none"/>
          <w:u w:val="single"/>
          <w:lang w:val="en-US" w:eastAsia="zh-CN"/>
        </w:rPr>
        <w:t xml:space="preserve">        元，</w:t>
      </w:r>
      <w:r>
        <w:rPr>
          <w:rFonts w:hint="default" w:ascii="Times New Roman" w:hAnsi="Times New Roman" w:eastAsia="方正仿宋_GBK" w:cs="Times New Roman"/>
          <w:color w:val="auto"/>
          <w:sz w:val="28"/>
          <w:szCs w:val="28"/>
          <w:highlight w:val="none"/>
          <w:u w:val="single"/>
          <w:lang w:val="en-US" w:eastAsia="zh-CN"/>
        </w:rPr>
        <w:t>（大写）</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eastAsia" w:ascii="Times New Roman" w:hAnsi="Times New Roman" w:eastAsia="方正仿宋_GBK" w:cs="Times New Roman"/>
          <w:color w:val="auto"/>
          <w:sz w:val="28"/>
          <w:szCs w:val="28"/>
          <w:highlight w:val="none"/>
          <w:lang w:val="en-US" w:eastAsia="zh-CN"/>
        </w:rPr>
        <w:t>；完成第一阶段全部工作并纳入自治区十五五高校设置规划后支付合同总金额的20%</w:t>
      </w:r>
      <w:r>
        <w:rPr>
          <w:rFonts w:hint="eastAsia" w:ascii="Times New Roman" w:hAnsi="Times New Roman" w:eastAsia="方正仿宋_GBK" w:cs="Times New Roman"/>
          <w:color w:val="auto"/>
          <w:sz w:val="28"/>
          <w:szCs w:val="28"/>
          <w:highlight w:val="none"/>
          <w:u w:val="single"/>
          <w:lang w:val="en-US" w:eastAsia="zh-CN"/>
        </w:rPr>
        <w:t xml:space="preserve">        元，</w:t>
      </w:r>
      <w:r>
        <w:rPr>
          <w:rFonts w:hint="default" w:ascii="Times New Roman" w:hAnsi="Times New Roman" w:eastAsia="方正仿宋_GBK" w:cs="Times New Roman"/>
          <w:color w:val="auto"/>
          <w:sz w:val="28"/>
          <w:szCs w:val="28"/>
          <w:highlight w:val="none"/>
          <w:u w:val="single"/>
          <w:lang w:val="en-US" w:eastAsia="zh-CN"/>
        </w:rPr>
        <w:t>（大写）</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w:t>
      </w:r>
    </w:p>
    <w:p w14:paraId="1590D31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eastAsia" w:ascii="Times New Roman" w:hAnsi="Times New Roman" w:eastAsia="方正仿宋_GBK" w:cs="Times New Roman"/>
          <w:color w:val="auto"/>
          <w:sz w:val="28"/>
          <w:szCs w:val="28"/>
          <w:highlight w:val="none"/>
          <w:lang w:val="en-US" w:eastAsia="zh-CN"/>
        </w:rPr>
        <w:t>阶段二占中标总金额的15%。完成第二阶段全部工作并通过验收后一次性支付</w:t>
      </w:r>
      <w:r>
        <w:rPr>
          <w:rFonts w:hint="eastAsia" w:ascii="Times New Roman" w:hAnsi="Times New Roman" w:eastAsia="方正仿宋_GBK" w:cs="Times New Roman"/>
          <w:color w:val="auto"/>
          <w:sz w:val="28"/>
          <w:szCs w:val="28"/>
          <w:highlight w:val="none"/>
          <w:u w:val="single"/>
          <w:lang w:val="en-US" w:eastAsia="zh-CN"/>
        </w:rPr>
        <w:t xml:space="preserve">        元，</w:t>
      </w:r>
      <w:r>
        <w:rPr>
          <w:rFonts w:hint="default" w:ascii="Times New Roman" w:hAnsi="Times New Roman" w:eastAsia="方正仿宋_GBK" w:cs="Times New Roman"/>
          <w:color w:val="auto"/>
          <w:sz w:val="28"/>
          <w:szCs w:val="28"/>
          <w:highlight w:val="none"/>
          <w:u w:val="single"/>
          <w:lang w:val="en-US" w:eastAsia="zh-CN"/>
        </w:rPr>
        <w:t>（大写）</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w:t>
      </w:r>
    </w:p>
    <w:p w14:paraId="50922E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eastAsia" w:ascii="Times New Roman" w:hAnsi="Times New Roman" w:eastAsia="方正仿宋_GBK" w:cs="Times New Roman"/>
          <w:color w:val="auto"/>
          <w:sz w:val="28"/>
          <w:szCs w:val="28"/>
          <w:highlight w:val="none"/>
          <w:lang w:val="en-US" w:eastAsia="zh-CN"/>
        </w:rPr>
        <w:t>阶段三占中标总金额的25%。完成第三阶段全部工作并通过验收后一次性支付</w:t>
      </w:r>
      <w:r>
        <w:rPr>
          <w:rFonts w:hint="eastAsia" w:ascii="Times New Roman" w:hAnsi="Times New Roman" w:eastAsia="方正仿宋_GBK" w:cs="Times New Roman"/>
          <w:color w:val="auto"/>
          <w:sz w:val="28"/>
          <w:szCs w:val="28"/>
          <w:highlight w:val="none"/>
          <w:u w:val="single"/>
          <w:lang w:val="en-US" w:eastAsia="zh-CN"/>
        </w:rPr>
        <w:t xml:space="preserve">        元，</w:t>
      </w:r>
      <w:r>
        <w:rPr>
          <w:rFonts w:hint="default" w:ascii="Times New Roman" w:hAnsi="Times New Roman" w:eastAsia="方正仿宋_GBK" w:cs="Times New Roman"/>
          <w:color w:val="auto"/>
          <w:sz w:val="28"/>
          <w:szCs w:val="28"/>
          <w:highlight w:val="none"/>
          <w:u w:val="single"/>
          <w:lang w:val="en-US" w:eastAsia="zh-CN"/>
        </w:rPr>
        <w:t>（大写）</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w:t>
      </w:r>
    </w:p>
    <w:p w14:paraId="2B70406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eastAsia" w:ascii="Times New Roman" w:hAnsi="Times New Roman" w:eastAsia="方正仿宋_GBK" w:cs="Times New Roman"/>
          <w:color w:val="auto"/>
          <w:sz w:val="28"/>
          <w:szCs w:val="28"/>
          <w:highlight w:val="none"/>
          <w:lang w:val="en-US" w:eastAsia="zh-CN"/>
        </w:rPr>
        <w:t>阶段四占中标总金额的10%。完成第四阶段全部工作并公示后由学校核算总工作量按实际发生费用支付</w:t>
      </w:r>
      <w:r>
        <w:rPr>
          <w:rFonts w:hint="eastAsia" w:ascii="Times New Roman" w:hAnsi="Times New Roman" w:eastAsia="方正仿宋_GBK" w:cs="Times New Roman"/>
          <w:color w:val="auto"/>
          <w:sz w:val="28"/>
          <w:szCs w:val="28"/>
          <w:highlight w:val="none"/>
          <w:u w:val="single"/>
          <w:lang w:val="en-US" w:eastAsia="zh-CN"/>
        </w:rPr>
        <w:t xml:space="preserve">        元，</w:t>
      </w:r>
      <w:r>
        <w:rPr>
          <w:rFonts w:hint="default" w:ascii="Times New Roman" w:hAnsi="Times New Roman" w:eastAsia="方正仿宋_GBK" w:cs="Times New Roman"/>
          <w:color w:val="auto"/>
          <w:sz w:val="28"/>
          <w:szCs w:val="28"/>
          <w:highlight w:val="none"/>
          <w:u w:val="single"/>
          <w:lang w:val="en-US" w:eastAsia="zh-CN"/>
        </w:rPr>
        <w:t>（大写）</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w:t>
      </w:r>
    </w:p>
    <w:p w14:paraId="7908A8EB">
      <w:pPr>
        <w:pStyle w:val="2"/>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若申本工作在任一阶段停止，该阶段付款为最后一笔付款，需经学校审核工作量后，按照实际产生费用支付。</w:t>
      </w:r>
    </w:p>
    <w:p w14:paraId="0C06542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lang w:val="en-US" w:eastAsia="zh-CN"/>
        </w:rPr>
        <w:t>乙方应</w:t>
      </w:r>
      <w:r>
        <w:rPr>
          <w:rFonts w:hint="default" w:ascii="Times New Roman" w:hAnsi="Times New Roman" w:eastAsia="方正仿宋_GBK" w:cs="Times New Roman"/>
          <w:color w:val="auto"/>
          <w:sz w:val="28"/>
          <w:szCs w:val="28"/>
          <w:highlight w:val="none"/>
          <w:u w:val="none"/>
          <w:lang w:val="en-US" w:eastAsia="zh-CN"/>
        </w:rPr>
        <w:t>在收款前开具正规增值税专用发票，所有费用均汇入乙方开户银行账户。</w:t>
      </w:r>
      <w:r>
        <w:rPr>
          <w:rFonts w:hint="eastAsia" w:ascii="Times New Roman" w:hAnsi="Times New Roman" w:eastAsia="方正仿宋_GBK" w:cs="Times New Roman"/>
          <w:color w:val="auto"/>
          <w:sz w:val="28"/>
          <w:szCs w:val="28"/>
          <w:highlight w:val="none"/>
          <w:u w:val="none"/>
          <w:lang w:val="en-US" w:eastAsia="zh-CN"/>
        </w:rPr>
        <w:t>如乙方未开具发票的，甲方有权逾期付款，且不承担逾期付款的违约责任。</w:t>
      </w:r>
    </w:p>
    <w:p w14:paraId="5B9407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黑体" w:cs="Times New Roman"/>
          <w:color w:val="auto"/>
          <w:sz w:val="28"/>
          <w:szCs w:val="28"/>
          <w:highlight w:val="none"/>
          <w:u w:val="none"/>
          <w:lang w:val="en-US" w:eastAsia="zh-CN"/>
        </w:rPr>
      </w:pPr>
      <w:r>
        <w:rPr>
          <w:rFonts w:hint="eastAsia" w:ascii="Times New Roman" w:hAnsi="Times New Roman" w:eastAsia="黑体" w:cs="Times New Roman"/>
          <w:color w:val="auto"/>
          <w:sz w:val="28"/>
          <w:szCs w:val="28"/>
          <w:highlight w:val="none"/>
          <w:u w:val="none"/>
          <w:lang w:val="en-US" w:eastAsia="zh-CN"/>
        </w:rPr>
        <w:t>四</w:t>
      </w:r>
      <w:r>
        <w:rPr>
          <w:rFonts w:hint="default" w:ascii="Times New Roman" w:hAnsi="Times New Roman" w:eastAsia="黑体" w:cs="Times New Roman"/>
          <w:color w:val="auto"/>
          <w:sz w:val="28"/>
          <w:szCs w:val="28"/>
          <w:highlight w:val="none"/>
          <w:u w:val="none"/>
          <w:lang w:val="en-US" w:eastAsia="zh-CN"/>
        </w:rPr>
        <w:t>、双方的权利和义务</w:t>
      </w:r>
    </w:p>
    <w:p w14:paraId="4C5D72FE">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方正仿宋_GBK" w:cs="Times New Roman"/>
          <w:b/>
          <w:bCs/>
          <w:color w:val="auto"/>
          <w:sz w:val="28"/>
          <w:szCs w:val="28"/>
          <w:highlight w:val="none"/>
          <w:u w:val="none"/>
          <w:lang w:val="en-US" w:eastAsia="zh-CN"/>
        </w:rPr>
      </w:pPr>
      <w:r>
        <w:rPr>
          <w:rFonts w:hint="default" w:ascii="Times New Roman" w:hAnsi="Times New Roman" w:eastAsia="方正仿宋_GBK" w:cs="Times New Roman"/>
          <w:b/>
          <w:bCs/>
          <w:color w:val="auto"/>
          <w:sz w:val="28"/>
          <w:szCs w:val="28"/>
          <w:highlight w:val="none"/>
          <w:u w:val="none"/>
          <w:lang w:val="en-US" w:eastAsia="zh-CN"/>
        </w:rPr>
        <w:t>（一）甲方的权利和义务</w:t>
      </w:r>
    </w:p>
    <w:p w14:paraId="2FA98C2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1.甲方应按照合同约定及时支付费用。</w:t>
      </w:r>
    </w:p>
    <w:p w14:paraId="50A95A8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2</w:t>
      </w:r>
      <w:r>
        <w:rPr>
          <w:rFonts w:hint="default" w:ascii="Times New Roman" w:hAnsi="Times New Roman" w:eastAsia="方正仿宋_GBK" w:cs="Times New Roman"/>
          <w:color w:val="auto"/>
          <w:sz w:val="28"/>
          <w:szCs w:val="28"/>
          <w:highlight w:val="none"/>
          <w:u w:val="none"/>
          <w:lang w:val="en-US" w:eastAsia="zh-CN"/>
        </w:rPr>
        <w:t>.</w:t>
      </w:r>
      <w:r>
        <w:rPr>
          <w:rFonts w:hint="default" w:ascii="Times New Roman" w:hAnsi="Times New Roman" w:eastAsia="方正仿宋_GBK" w:cs="Times New Roman"/>
          <w:color w:val="auto"/>
          <w:spacing w:val="-6"/>
          <w:sz w:val="28"/>
          <w:szCs w:val="28"/>
          <w:highlight w:val="none"/>
          <w:u w:val="none"/>
          <w:lang w:val="en-US" w:eastAsia="zh-CN"/>
        </w:rPr>
        <w:t>甲方积极配合乙方</w:t>
      </w:r>
      <w:r>
        <w:rPr>
          <w:rFonts w:hint="eastAsia" w:ascii="Times New Roman" w:hAnsi="Times New Roman" w:eastAsia="方正仿宋_GBK" w:cs="Times New Roman"/>
          <w:color w:val="auto"/>
          <w:spacing w:val="-6"/>
          <w:sz w:val="28"/>
          <w:szCs w:val="28"/>
          <w:highlight w:val="none"/>
          <w:u w:val="none"/>
          <w:lang w:val="en-US" w:eastAsia="zh-CN"/>
        </w:rPr>
        <w:t>的</w:t>
      </w:r>
      <w:r>
        <w:rPr>
          <w:rFonts w:hint="default" w:ascii="Times New Roman" w:hAnsi="Times New Roman" w:eastAsia="方正仿宋_GBK" w:cs="Times New Roman"/>
          <w:color w:val="auto"/>
          <w:spacing w:val="-6"/>
          <w:sz w:val="28"/>
          <w:szCs w:val="28"/>
          <w:highlight w:val="none"/>
          <w:u w:val="none"/>
          <w:lang w:val="en-US" w:eastAsia="zh-CN"/>
        </w:rPr>
        <w:t>咨询指导工作，并及时提供乙方所需材料。</w:t>
      </w:r>
    </w:p>
    <w:p w14:paraId="1ED09F5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3</w:t>
      </w:r>
      <w:r>
        <w:rPr>
          <w:rFonts w:hint="default" w:ascii="Times New Roman" w:hAnsi="Times New Roman" w:eastAsia="方正仿宋_GBK" w:cs="Times New Roman"/>
          <w:color w:val="auto"/>
          <w:sz w:val="28"/>
          <w:szCs w:val="28"/>
          <w:highlight w:val="none"/>
          <w:u w:val="none"/>
          <w:lang w:val="en-US" w:eastAsia="zh-CN"/>
        </w:rPr>
        <w:t>.甲方调整工作内容或工作量，应及时与乙方沟通，并与乙方协商咨询指导费用调整。</w:t>
      </w:r>
    </w:p>
    <w:p w14:paraId="32E58145">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方正仿宋_GBK" w:cs="Times New Roman"/>
          <w:b/>
          <w:bCs/>
          <w:color w:val="auto"/>
          <w:sz w:val="28"/>
          <w:szCs w:val="28"/>
          <w:highlight w:val="none"/>
          <w:u w:val="none"/>
          <w:lang w:val="en-US" w:eastAsia="zh-CN"/>
        </w:rPr>
      </w:pPr>
      <w:r>
        <w:rPr>
          <w:rFonts w:hint="default" w:ascii="Times New Roman" w:hAnsi="Times New Roman" w:eastAsia="方正仿宋_GBK" w:cs="Times New Roman"/>
          <w:b/>
          <w:bCs/>
          <w:color w:val="auto"/>
          <w:sz w:val="28"/>
          <w:szCs w:val="28"/>
          <w:highlight w:val="none"/>
          <w:u w:val="none"/>
          <w:lang w:val="en-US" w:eastAsia="zh-CN"/>
        </w:rPr>
        <w:t>（二）乙方的权利和义务</w:t>
      </w:r>
    </w:p>
    <w:p w14:paraId="7E608CD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1.乙方提供的咨询服务应符合国家相关法律法规、行业标准以及甲方的要求，确保服务的专业性、准确性和完整性。乙方应作好事先技术指导，中间检查、事后审核验收等工作，应协助</w:t>
      </w:r>
      <w:r>
        <w:rPr>
          <w:rFonts w:hint="eastAsia" w:ascii="Times New Roman" w:hAnsi="Times New Roman" w:eastAsia="方正仿宋_GBK" w:cs="Times New Roman"/>
          <w:color w:val="auto"/>
          <w:sz w:val="28"/>
          <w:szCs w:val="28"/>
          <w:highlight w:val="none"/>
          <w:u w:val="none"/>
          <w:lang w:val="en-US" w:eastAsia="zh-CN"/>
        </w:rPr>
        <w:t>甲方</w:t>
      </w:r>
      <w:r>
        <w:rPr>
          <w:rFonts w:hint="default" w:ascii="Times New Roman" w:hAnsi="Times New Roman" w:eastAsia="方正仿宋_GBK" w:cs="Times New Roman"/>
          <w:color w:val="auto"/>
          <w:sz w:val="28"/>
          <w:szCs w:val="28"/>
          <w:highlight w:val="none"/>
          <w:u w:val="none"/>
          <w:lang w:val="en-US" w:eastAsia="zh-CN"/>
        </w:rPr>
        <w:t>解决项目建设过程中遇到的有关问题。</w:t>
      </w:r>
    </w:p>
    <w:p w14:paraId="4E2276F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2.乙方应保证其选派参与建设的指导人员具有履行本合同所需的专业技术资格、经验和技能，并按照各项约定内容的方案设计并组建团队专题指导。</w:t>
      </w:r>
    </w:p>
    <w:p w14:paraId="5395DD8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3.乙方应服从甲方的工作安排，按照甲方的进度、保密要求进行指导工作。</w:t>
      </w:r>
      <w:r>
        <w:rPr>
          <w:rFonts w:hint="eastAsia" w:ascii="Times New Roman" w:hAnsi="Times New Roman" w:eastAsia="方正仿宋_GBK" w:cs="Times New Roman"/>
          <w:color w:val="auto"/>
          <w:sz w:val="28"/>
          <w:szCs w:val="28"/>
          <w:highlight w:val="none"/>
          <w:u w:val="none"/>
          <w:lang w:val="en-US" w:eastAsia="zh-CN"/>
        </w:rPr>
        <w:t>乙方应</w:t>
      </w:r>
      <w:r>
        <w:rPr>
          <w:rFonts w:hint="default" w:ascii="Times New Roman" w:hAnsi="Times New Roman" w:eastAsia="方正仿宋_GBK" w:cs="Times New Roman"/>
          <w:color w:val="auto"/>
          <w:sz w:val="28"/>
          <w:szCs w:val="28"/>
          <w:highlight w:val="none"/>
          <w:u w:val="none"/>
          <w:lang w:val="en-US" w:eastAsia="zh-CN"/>
        </w:rPr>
        <w:t>对甲方提供的资料和信息以及在服务过程中知悉的甲方商业秘密、技术秘密等予以保密，未经甲方书面同意，不得向任何第三方披露或使用。</w:t>
      </w:r>
      <w:r>
        <w:rPr>
          <w:rFonts w:hint="eastAsia" w:ascii="Times New Roman" w:hAnsi="Times New Roman" w:eastAsia="方正仿宋_GBK" w:cs="Times New Roman"/>
          <w:color w:val="auto"/>
          <w:sz w:val="28"/>
          <w:szCs w:val="28"/>
          <w:highlight w:val="none"/>
          <w:u w:val="none"/>
          <w:lang w:val="en-US" w:eastAsia="zh-CN"/>
        </w:rPr>
        <w:t>如有违反，乙方应赔偿甲方因此受到的一切损失。</w:t>
      </w:r>
    </w:p>
    <w:p w14:paraId="53178BE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4.乙方必须确保建设内容后续服务工作的质量，若后续服务工作未履行或服务不到位导致甲方损失的，否则承担违约责任。</w:t>
      </w:r>
      <w:r>
        <w:rPr>
          <w:rFonts w:hint="eastAsia" w:ascii="Times New Roman" w:hAnsi="Times New Roman" w:eastAsia="方正仿宋_GBK" w:cs="Times New Roman"/>
          <w:color w:val="auto"/>
          <w:sz w:val="28"/>
          <w:szCs w:val="28"/>
          <w:highlight w:val="none"/>
          <w:u w:val="none"/>
          <w:lang w:val="en-US" w:eastAsia="zh-CN"/>
        </w:rPr>
        <w:t>乙方应确保咨询服务成果能够持续满足甲方的需求。</w:t>
      </w:r>
    </w:p>
    <w:p w14:paraId="73221E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5.乙方原因造成工作质量不符合甲方要求的，乙方应立即无条件自费返工。</w:t>
      </w:r>
    </w:p>
    <w:p w14:paraId="6E2C390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6.乙方未经甲方同意委托第三人处理委托事务。因此造成甲方损失的，承担违约责任。</w:t>
      </w:r>
    </w:p>
    <w:p w14:paraId="552C790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黑体" w:cs="Times New Roman"/>
          <w:color w:val="auto"/>
          <w:sz w:val="28"/>
          <w:szCs w:val="28"/>
          <w:highlight w:val="none"/>
          <w:u w:val="none"/>
          <w:lang w:val="en-US" w:eastAsia="zh-CN"/>
        </w:rPr>
      </w:pPr>
      <w:r>
        <w:rPr>
          <w:rFonts w:hint="default" w:ascii="Times New Roman" w:hAnsi="Times New Roman" w:eastAsia="黑体" w:cs="Times New Roman"/>
          <w:color w:val="auto"/>
          <w:sz w:val="28"/>
          <w:szCs w:val="28"/>
          <w:highlight w:val="none"/>
          <w:u w:val="none"/>
          <w:lang w:val="en-US" w:eastAsia="zh-CN"/>
        </w:rPr>
        <w:t>六、违约责任</w:t>
      </w:r>
    </w:p>
    <w:p w14:paraId="7B0EF9C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1、若乙方未按照合同约定的时间节点提供咨询服务或提供的</w:t>
      </w:r>
      <w:r>
        <w:rPr>
          <w:rFonts w:hint="default" w:ascii="Times New Roman" w:hAnsi="Times New Roman" w:eastAsia="方正仿宋_GBK" w:cs="Times New Roman"/>
          <w:color w:val="auto"/>
          <w:sz w:val="28"/>
          <w:szCs w:val="28"/>
          <w:highlight w:val="none"/>
          <w:u w:val="none"/>
          <w:lang w:val="en-US" w:eastAsia="zh-CN"/>
        </w:rPr>
        <w:t>服务不符合合同约定的标准，每逾期一日，应按照服务费用总额的万分之三向甲方支付违约金；逾期超过10日仍无法</w:t>
      </w:r>
      <w:r>
        <w:rPr>
          <w:rFonts w:hint="eastAsia" w:ascii="Times New Roman" w:hAnsi="Times New Roman" w:eastAsia="方正仿宋_GBK" w:cs="Times New Roman"/>
          <w:color w:val="auto"/>
          <w:sz w:val="28"/>
          <w:szCs w:val="28"/>
          <w:highlight w:val="none"/>
          <w:u w:val="none"/>
          <w:lang w:val="en-US" w:eastAsia="zh-CN"/>
        </w:rPr>
        <w:t>交付工作</w:t>
      </w:r>
      <w:r>
        <w:rPr>
          <w:rFonts w:hint="default" w:ascii="Times New Roman" w:hAnsi="Times New Roman" w:eastAsia="方正仿宋_GBK" w:cs="Times New Roman"/>
          <w:color w:val="auto"/>
          <w:sz w:val="28"/>
          <w:szCs w:val="28"/>
          <w:highlight w:val="none"/>
          <w:u w:val="none"/>
          <w:lang w:val="en-US" w:eastAsia="zh-CN"/>
        </w:rPr>
        <w:t>，甲方有权解除合同，乙方应返还甲方已支付的全部费用，并按照服务费用总额的 10%向甲方支付违约金，同时乙方应承担甲方因此遭受的全部损失。</w:t>
      </w:r>
    </w:p>
    <w:p w14:paraId="391C6DE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2、乙方声明并保证其对本合同履行过程中所提供的技术、软件、资料或物品等不存在任何权利瑕疵或潜在缺陷，不存在法律的禁止规定，甲方不会因为使用而产生侵犯任何人权利或违反任何法律规定的后果。如果甲方因上述侵权或违法行为遭到索赔或追诉，乙方应当处理该索赔或追诉并向第三方承担由此而引起的一切法律和经济责任。若甲方因此受到损失的，乙方应赔偿由此给甲方或第三方造成的一切损失（损失包括但不限于直接损失、律师费、交通费、差旅费等），并按照合同总价款5%的标准承担违约责任。且甲方有权单方解除合同，并不承担任何责任。若甲方因此承担责任，甲方有权向乙方追偿。</w:t>
      </w:r>
    </w:p>
    <w:p w14:paraId="1DA2D57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3、 如乙方未按照本合同约定履行自身义务的，甲方均有权解除本合同。因乙方原因导致合同解除的，乙方应在合同解除后5日内退还甲方已支付的全部款项。逾期未退还的，每逾期一日，按照应退金额的千分之五承担违约责任，并计算至实际返还全部款项之日止。</w:t>
      </w:r>
    </w:p>
    <w:p w14:paraId="1BBA584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4、乙方如无正当理由提前终止协议履行的，应在三个工作日内退还甲方已付的全部款项，并按照本合同总额的5%承担违约责任。</w:t>
      </w:r>
    </w:p>
    <w:p w14:paraId="0BB5FFA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5.如因因乙方未按合同约定的时间节点和质量标准完成各阶段工作</w:t>
      </w:r>
      <w:r>
        <w:rPr>
          <w:rFonts w:hint="default" w:ascii="Times New Roman" w:hAnsi="Times New Roman" w:eastAsia="方正仿宋_GBK" w:cs="Times New Roman"/>
          <w:color w:val="auto"/>
          <w:sz w:val="28"/>
          <w:szCs w:val="28"/>
          <w:highlight w:val="none"/>
          <w:u w:val="none"/>
          <w:lang w:val="en-US" w:eastAsia="zh-CN"/>
        </w:rPr>
        <w:t>任务，经甲方催告后仍未整改完成，导致甲方未能成功申办本科层次职业大学，乙方应在接到甲方通知后三个工作日内退还甲方已付的全部款项，并按照本合同总额的 10%承担违约责任。违约金不足以弥补甲方损失的，甲方有权要求乙方承担全部损失。</w:t>
      </w:r>
    </w:p>
    <w:p w14:paraId="4218F9D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黑体" w:cs="Times New Roman"/>
          <w:color w:val="auto"/>
          <w:sz w:val="28"/>
          <w:szCs w:val="28"/>
          <w:highlight w:val="none"/>
          <w:u w:val="none"/>
          <w:lang w:val="en-US" w:eastAsia="zh-CN"/>
        </w:rPr>
      </w:pPr>
      <w:r>
        <w:rPr>
          <w:rFonts w:hint="default" w:ascii="Times New Roman" w:hAnsi="Times New Roman" w:eastAsia="黑体" w:cs="Times New Roman"/>
          <w:color w:val="auto"/>
          <w:sz w:val="28"/>
          <w:szCs w:val="28"/>
          <w:highlight w:val="none"/>
          <w:u w:val="none"/>
          <w:lang w:val="en-US" w:eastAsia="zh-CN"/>
        </w:rPr>
        <w:t>七、其他</w:t>
      </w:r>
    </w:p>
    <w:p w14:paraId="243333F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1、本合同的签订、履行、解释及争议解决均适用中华人民共和国法律。双方在履行本合同过程中如发生争议，应首先通过友好协商解决；协商不成的，任何一方均有权向甲方所在地有管辖权的人民法院提起诉讼。由此产生的包括但不限于律师费、诉讼费均由违约方承担。</w:t>
      </w:r>
    </w:p>
    <w:p w14:paraId="2B9F1AE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2、</w:t>
      </w:r>
      <w:r>
        <w:rPr>
          <w:rFonts w:hint="default" w:ascii="Times New Roman" w:hAnsi="Times New Roman" w:eastAsia="方正仿宋_GBK" w:cs="Times New Roman"/>
          <w:color w:val="auto"/>
          <w:sz w:val="28"/>
          <w:szCs w:val="28"/>
          <w:highlight w:val="none"/>
          <w:u w:val="none"/>
          <w:lang w:val="en-US" w:eastAsia="zh-CN"/>
        </w:rPr>
        <w:t>本合同自双方签字、盖章后生效，一式陆份</w:t>
      </w:r>
      <w:r>
        <w:rPr>
          <w:rFonts w:hint="eastAsia" w:ascii="Times New Roman" w:hAnsi="Times New Roman" w:eastAsia="方正仿宋_GBK" w:cs="Times New Roman"/>
          <w:color w:val="auto"/>
          <w:sz w:val="28"/>
          <w:szCs w:val="28"/>
          <w:highlight w:val="none"/>
          <w:u w:val="none"/>
          <w:lang w:val="en-US" w:eastAsia="zh-CN"/>
        </w:rPr>
        <w:t>，</w:t>
      </w:r>
      <w:r>
        <w:rPr>
          <w:rFonts w:hint="default" w:ascii="Times New Roman" w:hAnsi="Times New Roman" w:eastAsia="方正仿宋_GBK" w:cs="Times New Roman"/>
          <w:color w:val="auto"/>
          <w:sz w:val="28"/>
          <w:szCs w:val="28"/>
          <w:highlight w:val="none"/>
          <w:u w:val="none"/>
          <w:lang w:val="en-US" w:eastAsia="zh-CN"/>
        </w:rPr>
        <w:t>具有同等法律效力，甲乙双方各执叁份。</w:t>
      </w:r>
    </w:p>
    <w:p w14:paraId="16F958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3、</w:t>
      </w:r>
      <w:r>
        <w:rPr>
          <w:rFonts w:hint="default" w:ascii="Times New Roman" w:hAnsi="Times New Roman" w:eastAsia="方正仿宋_GBK" w:cs="Times New Roman"/>
          <w:color w:val="auto"/>
          <w:sz w:val="28"/>
          <w:szCs w:val="28"/>
          <w:highlight w:val="none"/>
          <w:u w:val="none"/>
          <w:lang w:val="en-US" w:eastAsia="zh-CN"/>
        </w:rPr>
        <w:t>本合同未尽事宜，可由双方另行签订补充协议。补充协议与本合同具有同等法律效力。补充协议内容与本合同不一致的，以补充协议为准。</w:t>
      </w:r>
    </w:p>
    <w:p w14:paraId="792A3C0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eastAsia" w:ascii="Times New Roman" w:hAnsi="Times New Roman" w:eastAsia="方正仿宋_GBK" w:cs="Times New Roman"/>
          <w:color w:val="auto"/>
          <w:sz w:val="28"/>
          <w:szCs w:val="28"/>
          <w:highlight w:val="none"/>
          <w:u w:val="none"/>
          <w:lang w:val="en-US" w:eastAsia="zh-CN"/>
        </w:rPr>
        <w:t>4、</w:t>
      </w:r>
      <w:r>
        <w:rPr>
          <w:rFonts w:hint="default" w:ascii="Times New Roman" w:hAnsi="Times New Roman" w:eastAsia="方正仿宋_GBK" w:cs="Times New Roman"/>
          <w:color w:val="auto"/>
          <w:sz w:val="28"/>
          <w:szCs w:val="28"/>
          <w:highlight w:val="none"/>
          <w:u w:val="none"/>
          <w:lang w:val="en-US" w:eastAsia="zh-CN"/>
        </w:rPr>
        <w:t>本合同尾部载明的双方地址、电话等信息，系双方有效联系方式，如发生变更，应提前书面通知另一方，否则依该联系方式送达相关文书的，视为送达成功。</w:t>
      </w:r>
    </w:p>
    <w:p w14:paraId="00D072E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p>
    <w:p w14:paraId="422CC68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p>
    <w:p w14:paraId="5BAF40D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甲方（单位盖章）            乙方（单位盖章）</w:t>
      </w:r>
    </w:p>
    <w:p w14:paraId="114B9B5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p>
    <w:p w14:paraId="0C97AB7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甲方代表（签名）            乙方代表（签名）</w:t>
      </w:r>
    </w:p>
    <w:p w14:paraId="26AE678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联系电话：                  联系电话：</w:t>
      </w:r>
    </w:p>
    <w:p w14:paraId="10C4F7F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方正仿宋_GBK" w:cs="Times New Roman"/>
          <w:color w:val="auto"/>
          <w:sz w:val="28"/>
          <w:szCs w:val="28"/>
          <w:highlight w:val="none"/>
          <w:u w:val="none"/>
          <w:lang w:val="en-US" w:eastAsia="zh-CN"/>
        </w:rPr>
      </w:pPr>
      <w:r>
        <w:rPr>
          <w:rFonts w:hint="default" w:ascii="Times New Roman" w:hAnsi="Times New Roman" w:eastAsia="方正仿宋_GBK" w:cs="Times New Roman"/>
          <w:color w:val="auto"/>
          <w:sz w:val="28"/>
          <w:szCs w:val="28"/>
          <w:highlight w:val="none"/>
          <w:u w:val="none"/>
          <w:lang w:val="en-US" w:eastAsia="zh-CN"/>
        </w:rPr>
        <w:t>日期：                      日期：</w:t>
      </w:r>
    </w:p>
    <w:p w14:paraId="6D581DCF">
      <w:pPr>
        <w:jc w:val="center"/>
        <w:rPr>
          <w:rFonts w:ascii="宋体" w:hAnsi="宋体" w:cs="Times New Roman"/>
          <w:b/>
          <w:bCs/>
          <w:color w:val="000000"/>
          <w:sz w:val="32"/>
          <w:szCs w:val="32"/>
          <w:highlight w:val="none"/>
        </w:rPr>
      </w:pPr>
    </w:p>
    <w:p w14:paraId="35841411">
      <w:pPr>
        <w:rPr>
          <w:rFonts w:hint="eastAsia"/>
          <w:highlight w:val="none"/>
        </w:rPr>
      </w:pPr>
      <w:r>
        <w:rPr>
          <w:rFonts w:hint="eastAsia"/>
          <w:highlight w:val="none"/>
        </w:rPr>
        <w:br w:type="page"/>
      </w:r>
    </w:p>
    <w:p w14:paraId="1F4FC9CB">
      <w:pPr>
        <w:pStyle w:val="14"/>
        <w:pageBreakBefore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方正仿宋_GBK" w:cs="Times New Roman"/>
          <w:color w:val="auto"/>
          <w:kern w:val="2"/>
          <w:sz w:val="28"/>
          <w:szCs w:val="28"/>
          <w:highlight w:val="none"/>
          <w:lang w:val="en-US" w:eastAsia="zh-CN" w:bidi="ar-SA"/>
        </w:rPr>
        <w:sectPr>
          <w:footerReference r:id="rId5" w:type="default"/>
          <w:pgSz w:w="11906" w:h="16838"/>
          <w:pgMar w:top="1440" w:right="1800" w:bottom="1440" w:left="1800" w:header="851" w:footer="992" w:gutter="0"/>
          <w:pgNumType w:fmt="decimal" w:start="1"/>
          <w:cols w:space="720" w:num="1"/>
          <w:docGrid w:type="lines" w:linePitch="312" w:charSpace="0"/>
        </w:sectPr>
      </w:pPr>
    </w:p>
    <w:bookmarkEnd w:id="28"/>
    <w:p w14:paraId="3F38074F">
      <w:pPr>
        <w:pStyle w:val="4"/>
        <w:numPr>
          <w:ilvl w:val="0"/>
          <w:numId w:val="6"/>
        </w:numPr>
        <w:rPr>
          <w:rFonts w:hint="eastAsia"/>
          <w:highlight w:val="none"/>
        </w:rPr>
      </w:pPr>
      <w:bookmarkStart w:id="29" w:name="_Toc17791"/>
      <w:bookmarkStart w:id="30" w:name="_Toc16583"/>
      <w:r>
        <w:rPr>
          <w:rFonts w:hint="eastAsia"/>
          <w:highlight w:val="none"/>
        </w:rPr>
        <w:t>投标文件组成</w:t>
      </w:r>
      <w:bookmarkEnd w:id="29"/>
      <w:bookmarkEnd w:id="30"/>
    </w:p>
    <w:p w14:paraId="4C3D3433">
      <w:pPr>
        <w:numPr>
          <w:ilvl w:val="0"/>
          <w:numId w:val="0"/>
        </w:numPr>
        <w:rPr>
          <w:highlight w:val="none"/>
        </w:rPr>
      </w:pPr>
    </w:p>
    <w:p w14:paraId="4EA7597A">
      <w:pPr>
        <w:ind w:firstLine="400" w:firstLineChars="200"/>
        <w:rPr>
          <w:rFonts w:ascii="宋体" w:hAnsi="宋体" w:cs="Times New Roman"/>
          <w:color w:val="000000"/>
          <w:kern w:val="0"/>
          <w:sz w:val="20"/>
          <w:szCs w:val="21"/>
          <w:highlight w:val="none"/>
        </w:rPr>
      </w:pPr>
      <w:r>
        <w:rPr>
          <w:rFonts w:ascii="宋体" w:hAnsi="宋体" w:cs="Times New Roman"/>
          <w:color w:val="000000"/>
          <w:kern w:val="0"/>
          <w:sz w:val="20"/>
          <w:szCs w:val="21"/>
          <w:highlight w:val="none"/>
        </w:rPr>
        <w:br w:type="page"/>
      </w:r>
    </w:p>
    <w:p w14:paraId="24A496CA">
      <w:pPr>
        <w:ind w:firstLine="880" w:firstLineChars="200"/>
        <w:jc w:val="center"/>
        <w:rPr>
          <w:rFonts w:ascii="宋体" w:hAnsi="Courier New" w:cs="Times New Roman"/>
          <w:b/>
          <w:bCs/>
          <w:color w:val="000000"/>
          <w:kern w:val="0"/>
          <w:sz w:val="44"/>
          <w:szCs w:val="44"/>
          <w:highlight w:val="none"/>
        </w:rPr>
      </w:pPr>
    </w:p>
    <w:p w14:paraId="51EE1DC8">
      <w:pPr>
        <w:jc w:val="center"/>
        <w:rPr>
          <w:rFonts w:ascii="宋体" w:hAnsi="Courier New" w:cs="Times New Roman"/>
          <w:b/>
          <w:bCs/>
          <w:color w:val="000000"/>
          <w:kern w:val="0"/>
          <w:sz w:val="44"/>
          <w:szCs w:val="44"/>
          <w:highlight w:val="none"/>
        </w:rPr>
      </w:pPr>
    </w:p>
    <w:p w14:paraId="5A1A60A6">
      <w:pPr>
        <w:jc w:val="center"/>
        <w:rPr>
          <w:rFonts w:ascii="宋体" w:hAnsi="宋体" w:cs="Times New Roman"/>
          <w:color w:val="000000"/>
          <w:kern w:val="0"/>
          <w:sz w:val="44"/>
          <w:szCs w:val="44"/>
          <w:highlight w:val="none"/>
        </w:rPr>
      </w:pPr>
      <w:r>
        <w:rPr>
          <w:rFonts w:hint="eastAsia" w:ascii="宋体" w:hAnsi="Courier New" w:cs="Times New Roman"/>
          <w:b/>
          <w:bCs/>
          <w:color w:val="000000"/>
          <w:kern w:val="0"/>
          <w:sz w:val="44"/>
          <w:szCs w:val="44"/>
          <w:highlight w:val="none"/>
        </w:rPr>
        <w:t>投标文件</w:t>
      </w:r>
    </w:p>
    <w:p w14:paraId="4D7EEDCC">
      <w:pPr>
        <w:ind w:firstLine="400" w:firstLineChars="200"/>
        <w:rPr>
          <w:rFonts w:ascii="宋体" w:hAnsi="宋体" w:cs="Times New Roman"/>
          <w:color w:val="000000"/>
          <w:kern w:val="0"/>
          <w:sz w:val="20"/>
          <w:szCs w:val="21"/>
          <w:highlight w:val="none"/>
        </w:rPr>
      </w:pPr>
    </w:p>
    <w:p w14:paraId="2F5D6C16">
      <w:pPr>
        <w:ind w:firstLine="400" w:firstLineChars="200"/>
        <w:rPr>
          <w:rFonts w:ascii="宋体" w:hAnsi="宋体" w:cs="Times New Roman"/>
          <w:color w:val="000000"/>
          <w:kern w:val="0"/>
          <w:sz w:val="20"/>
          <w:szCs w:val="21"/>
          <w:highlight w:val="none"/>
        </w:rPr>
      </w:pPr>
    </w:p>
    <w:p w14:paraId="472EEFD6">
      <w:pPr>
        <w:ind w:firstLine="400" w:firstLineChars="200"/>
        <w:rPr>
          <w:rFonts w:ascii="宋体" w:hAnsi="宋体" w:cs="Times New Roman"/>
          <w:color w:val="000000"/>
          <w:kern w:val="0"/>
          <w:sz w:val="20"/>
          <w:szCs w:val="21"/>
          <w:highlight w:val="none"/>
        </w:rPr>
      </w:pPr>
    </w:p>
    <w:p w14:paraId="317FA672">
      <w:pPr>
        <w:ind w:firstLine="400" w:firstLineChars="200"/>
        <w:rPr>
          <w:rFonts w:ascii="宋体" w:hAnsi="宋体" w:cs="Times New Roman"/>
          <w:color w:val="000000"/>
          <w:kern w:val="0"/>
          <w:sz w:val="20"/>
          <w:szCs w:val="21"/>
          <w:highlight w:val="none"/>
        </w:rPr>
      </w:pPr>
    </w:p>
    <w:p w14:paraId="53FAFDC4">
      <w:pPr>
        <w:ind w:firstLine="400" w:firstLineChars="200"/>
        <w:rPr>
          <w:rFonts w:ascii="宋体" w:hAnsi="宋体" w:cs="Times New Roman"/>
          <w:color w:val="000000"/>
          <w:kern w:val="0"/>
          <w:sz w:val="20"/>
          <w:szCs w:val="21"/>
          <w:highlight w:val="none"/>
        </w:rPr>
      </w:pPr>
    </w:p>
    <w:p w14:paraId="79C7B8C0">
      <w:pPr>
        <w:ind w:firstLine="400" w:firstLineChars="200"/>
        <w:rPr>
          <w:rFonts w:ascii="宋体" w:hAnsi="宋体" w:cs="Times New Roman"/>
          <w:color w:val="000000"/>
          <w:kern w:val="0"/>
          <w:sz w:val="20"/>
          <w:szCs w:val="21"/>
          <w:highlight w:val="none"/>
        </w:rPr>
      </w:pPr>
    </w:p>
    <w:p w14:paraId="6470851B">
      <w:pPr>
        <w:ind w:firstLine="400" w:firstLineChars="200"/>
        <w:rPr>
          <w:rFonts w:ascii="宋体" w:hAnsi="宋体" w:cs="Times New Roman"/>
          <w:color w:val="000000"/>
          <w:kern w:val="0"/>
          <w:sz w:val="20"/>
          <w:szCs w:val="21"/>
          <w:highlight w:val="none"/>
        </w:rPr>
      </w:pPr>
    </w:p>
    <w:p w14:paraId="5ED6F790">
      <w:pPr>
        <w:ind w:firstLine="400" w:firstLineChars="200"/>
        <w:jc w:val="center"/>
        <w:rPr>
          <w:rFonts w:ascii="宋体" w:hAnsi="宋体" w:cs="Times New Roman"/>
          <w:color w:val="000000"/>
          <w:kern w:val="0"/>
          <w:sz w:val="20"/>
          <w:szCs w:val="21"/>
          <w:highlight w:val="none"/>
        </w:rPr>
      </w:pPr>
    </w:p>
    <w:p w14:paraId="4C19078D">
      <w:pPr>
        <w:ind w:firstLine="400" w:firstLineChars="200"/>
        <w:jc w:val="center"/>
        <w:rPr>
          <w:rFonts w:ascii="宋体" w:hAnsi="宋体" w:cs="Times New Roman"/>
          <w:color w:val="000000"/>
          <w:kern w:val="0"/>
          <w:sz w:val="20"/>
          <w:szCs w:val="21"/>
          <w:highlight w:val="none"/>
        </w:rPr>
      </w:pPr>
    </w:p>
    <w:p w14:paraId="6EB77D4E">
      <w:pPr>
        <w:ind w:firstLine="400" w:firstLineChars="200"/>
        <w:jc w:val="center"/>
        <w:rPr>
          <w:rFonts w:ascii="宋体" w:hAnsi="宋体" w:cs="Times New Roman"/>
          <w:color w:val="000000"/>
          <w:kern w:val="0"/>
          <w:sz w:val="20"/>
          <w:szCs w:val="21"/>
          <w:highlight w:val="none"/>
        </w:rPr>
      </w:pPr>
    </w:p>
    <w:p w14:paraId="28733C9B">
      <w:pPr>
        <w:ind w:firstLine="400" w:firstLineChars="200"/>
        <w:jc w:val="center"/>
        <w:rPr>
          <w:rFonts w:ascii="宋体" w:hAnsi="宋体" w:cs="Times New Roman"/>
          <w:color w:val="000000"/>
          <w:kern w:val="0"/>
          <w:sz w:val="20"/>
          <w:szCs w:val="21"/>
          <w:highlight w:val="none"/>
        </w:rPr>
      </w:pPr>
    </w:p>
    <w:p w14:paraId="6ED3AB60">
      <w:pPr>
        <w:ind w:firstLine="400" w:firstLineChars="200"/>
        <w:jc w:val="center"/>
        <w:rPr>
          <w:rFonts w:ascii="宋体" w:hAnsi="宋体" w:cs="Times New Roman"/>
          <w:color w:val="000000"/>
          <w:kern w:val="0"/>
          <w:sz w:val="20"/>
          <w:szCs w:val="21"/>
          <w:highlight w:val="none"/>
        </w:rPr>
      </w:pPr>
    </w:p>
    <w:p w14:paraId="4CBD5563">
      <w:pPr>
        <w:ind w:firstLine="400" w:firstLineChars="200"/>
        <w:jc w:val="center"/>
        <w:rPr>
          <w:rFonts w:ascii="宋体" w:hAnsi="宋体" w:cs="Times New Roman"/>
          <w:color w:val="000000"/>
          <w:kern w:val="0"/>
          <w:sz w:val="20"/>
          <w:szCs w:val="21"/>
          <w:highlight w:val="none"/>
        </w:rPr>
      </w:pPr>
    </w:p>
    <w:p w14:paraId="04666182">
      <w:pPr>
        <w:ind w:firstLine="400" w:firstLineChars="200"/>
        <w:jc w:val="center"/>
        <w:rPr>
          <w:rFonts w:ascii="宋体" w:hAnsi="宋体" w:cs="Times New Roman"/>
          <w:color w:val="000000"/>
          <w:kern w:val="0"/>
          <w:sz w:val="20"/>
          <w:szCs w:val="21"/>
          <w:highlight w:val="none"/>
        </w:rPr>
      </w:pPr>
    </w:p>
    <w:p w14:paraId="066404CF">
      <w:pPr>
        <w:ind w:firstLine="400" w:firstLineChars="200"/>
        <w:jc w:val="center"/>
        <w:rPr>
          <w:rFonts w:ascii="宋体" w:hAnsi="宋体" w:cs="Times New Roman"/>
          <w:color w:val="000000"/>
          <w:kern w:val="0"/>
          <w:sz w:val="20"/>
          <w:szCs w:val="21"/>
          <w:highlight w:val="none"/>
        </w:rPr>
      </w:pPr>
    </w:p>
    <w:p w14:paraId="7545ADEB">
      <w:pPr>
        <w:ind w:firstLine="1440" w:firstLineChars="6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项目名称：</w:t>
      </w:r>
      <w:r>
        <w:rPr>
          <w:rFonts w:ascii="宋体" w:hAnsi="宋体" w:cs="Times New Roman"/>
          <w:color w:val="000000"/>
          <w:kern w:val="0"/>
          <w:sz w:val="24"/>
          <w:szCs w:val="24"/>
          <w:highlight w:val="none"/>
        </w:rPr>
        <w:t>____________________</w:t>
      </w:r>
    </w:p>
    <w:p w14:paraId="14DC0182">
      <w:pPr>
        <w:ind w:firstLine="480" w:firstLineChars="200"/>
        <w:jc w:val="center"/>
        <w:rPr>
          <w:rFonts w:ascii="宋体" w:hAnsi="宋体" w:cs="Times New Roman"/>
          <w:color w:val="000000"/>
          <w:kern w:val="0"/>
          <w:sz w:val="24"/>
          <w:szCs w:val="24"/>
          <w:highlight w:val="none"/>
        </w:rPr>
      </w:pPr>
    </w:p>
    <w:p w14:paraId="06BAE1AA">
      <w:pPr>
        <w:rPr>
          <w:rFonts w:ascii="宋体" w:hAnsi="宋体" w:cs="Times New Roman"/>
          <w:color w:val="000000"/>
          <w:kern w:val="0"/>
          <w:sz w:val="24"/>
          <w:szCs w:val="24"/>
          <w:highlight w:val="none"/>
        </w:rPr>
      </w:pPr>
    </w:p>
    <w:p w14:paraId="3AB55333">
      <w:pPr>
        <w:ind w:firstLine="1440" w:firstLineChars="6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项目编号：</w:t>
      </w:r>
      <w:r>
        <w:rPr>
          <w:rFonts w:ascii="宋体" w:hAnsi="宋体" w:cs="Times New Roman"/>
          <w:color w:val="000000"/>
          <w:kern w:val="0"/>
          <w:sz w:val="24"/>
          <w:szCs w:val="24"/>
          <w:highlight w:val="none"/>
        </w:rPr>
        <w:t>____________________</w:t>
      </w:r>
    </w:p>
    <w:p w14:paraId="6105E537">
      <w:pPr>
        <w:rPr>
          <w:rFonts w:ascii="宋体" w:hAnsi="宋体" w:cs="Times New Roman"/>
          <w:color w:val="000000"/>
          <w:kern w:val="0"/>
          <w:sz w:val="24"/>
          <w:szCs w:val="24"/>
          <w:highlight w:val="none"/>
        </w:rPr>
      </w:pPr>
    </w:p>
    <w:p w14:paraId="5EE91CED">
      <w:pPr>
        <w:ind w:firstLine="480" w:firstLineChars="200"/>
        <w:jc w:val="center"/>
        <w:rPr>
          <w:rFonts w:ascii="宋体" w:hAnsi="宋体" w:cs="Times New Roman"/>
          <w:color w:val="000000"/>
          <w:kern w:val="0"/>
          <w:sz w:val="24"/>
          <w:szCs w:val="24"/>
          <w:highlight w:val="none"/>
        </w:rPr>
      </w:pPr>
    </w:p>
    <w:p w14:paraId="28A1CA4C">
      <w:pPr>
        <w:ind w:firstLine="1440" w:firstLineChars="6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供应商名称：</w:t>
      </w:r>
      <w:r>
        <w:rPr>
          <w:rFonts w:ascii="宋体" w:hAnsi="宋体" w:cs="Times New Roman"/>
          <w:color w:val="000000"/>
          <w:kern w:val="0"/>
          <w:sz w:val="24"/>
          <w:szCs w:val="24"/>
          <w:highlight w:val="none"/>
        </w:rPr>
        <w:t>__________________</w:t>
      </w:r>
      <w:r>
        <w:rPr>
          <w:rFonts w:hint="eastAsia" w:ascii="宋体" w:hAnsi="宋体" w:cs="Times New Roman"/>
          <w:color w:val="000000"/>
          <w:kern w:val="0"/>
          <w:sz w:val="24"/>
          <w:szCs w:val="24"/>
          <w:highlight w:val="none"/>
        </w:rPr>
        <w:t>（电子签章）</w:t>
      </w:r>
    </w:p>
    <w:p w14:paraId="53D54582">
      <w:pPr>
        <w:ind w:firstLine="400" w:firstLineChars="200"/>
        <w:jc w:val="center"/>
        <w:rPr>
          <w:rFonts w:ascii="宋体" w:hAnsi="宋体" w:cs="Times New Roman"/>
          <w:color w:val="000000"/>
          <w:kern w:val="0"/>
          <w:sz w:val="20"/>
          <w:szCs w:val="21"/>
          <w:highlight w:val="none"/>
        </w:rPr>
      </w:pPr>
    </w:p>
    <w:p w14:paraId="4E1B63DF">
      <w:pPr>
        <w:ind w:firstLine="400" w:firstLineChars="200"/>
        <w:rPr>
          <w:rFonts w:ascii="宋体" w:hAnsi="宋体" w:cs="Times New Roman"/>
          <w:color w:val="000000"/>
          <w:kern w:val="0"/>
          <w:sz w:val="20"/>
          <w:szCs w:val="21"/>
          <w:highlight w:val="none"/>
        </w:rPr>
      </w:pPr>
    </w:p>
    <w:p w14:paraId="4B69AC90">
      <w:pPr>
        <w:ind w:firstLine="400" w:firstLineChars="200"/>
        <w:rPr>
          <w:rFonts w:ascii="宋体" w:hAnsi="宋体" w:cs="Times New Roman"/>
          <w:color w:val="000000"/>
          <w:kern w:val="0"/>
          <w:sz w:val="20"/>
          <w:szCs w:val="21"/>
          <w:highlight w:val="none"/>
        </w:rPr>
      </w:pPr>
    </w:p>
    <w:p w14:paraId="18A55DE2">
      <w:pPr>
        <w:ind w:firstLine="400" w:firstLineChars="200"/>
        <w:rPr>
          <w:rFonts w:ascii="宋体" w:hAnsi="宋体" w:cs="Times New Roman"/>
          <w:color w:val="000000"/>
          <w:kern w:val="0"/>
          <w:sz w:val="20"/>
          <w:szCs w:val="21"/>
          <w:highlight w:val="none"/>
        </w:rPr>
      </w:pPr>
    </w:p>
    <w:p w14:paraId="70764948">
      <w:pPr>
        <w:ind w:firstLine="400" w:firstLineChars="200"/>
        <w:rPr>
          <w:rFonts w:ascii="宋体" w:hAnsi="宋体" w:cs="Times New Roman"/>
          <w:color w:val="000000"/>
          <w:kern w:val="0"/>
          <w:sz w:val="20"/>
          <w:szCs w:val="21"/>
          <w:highlight w:val="none"/>
        </w:rPr>
      </w:pPr>
    </w:p>
    <w:p w14:paraId="2AF2D804">
      <w:pPr>
        <w:ind w:firstLine="400" w:firstLineChars="200"/>
        <w:rPr>
          <w:rFonts w:ascii="宋体" w:hAnsi="宋体" w:cs="Times New Roman"/>
          <w:color w:val="000000"/>
          <w:kern w:val="0"/>
          <w:sz w:val="20"/>
          <w:szCs w:val="21"/>
          <w:highlight w:val="none"/>
        </w:rPr>
      </w:pPr>
    </w:p>
    <w:p w14:paraId="558F556D">
      <w:pPr>
        <w:ind w:firstLine="400" w:firstLineChars="200"/>
        <w:rPr>
          <w:rFonts w:ascii="宋体" w:hAnsi="宋体" w:cs="Times New Roman"/>
          <w:color w:val="000000"/>
          <w:kern w:val="0"/>
          <w:sz w:val="20"/>
          <w:szCs w:val="21"/>
          <w:highlight w:val="none"/>
        </w:rPr>
      </w:pPr>
    </w:p>
    <w:p w14:paraId="6076B55F">
      <w:pPr>
        <w:rPr>
          <w:rFonts w:ascii="宋体" w:hAnsi="宋体" w:cs="Times New Roman"/>
          <w:color w:val="000000"/>
          <w:kern w:val="0"/>
          <w:sz w:val="20"/>
          <w:szCs w:val="21"/>
          <w:highlight w:val="none"/>
        </w:rPr>
      </w:pPr>
    </w:p>
    <w:p w14:paraId="31ED2F1C">
      <w:pPr>
        <w:ind w:firstLine="400" w:firstLineChars="200"/>
        <w:jc w:val="center"/>
        <w:rPr>
          <w:rFonts w:ascii="宋体" w:hAnsi="宋体" w:cs="Times New Roman"/>
          <w:color w:val="000000"/>
          <w:kern w:val="0"/>
          <w:sz w:val="20"/>
          <w:szCs w:val="21"/>
          <w:highlight w:val="none"/>
        </w:rPr>
      </w:pPr>
      <w:r>
        <w:rPr>
          <w:rFonts w:ascii="宋体" w:hAnsi="宋体" w:cs="Times New Roman"/>
          <w:color w:val="000000"/>
          <w:kern w:val="0"/>
          <w:sz w:val="20"/>
          <w:szCs w:val="21"/>
          <w:highlight w:val="none"/>
        </w:rPr>
        <w:t>______</w:t>
      </w:r>
      <w:r>
        <w:rPr>
          <w:rFonts w:hint="eastAsia" w:ascii="宋体" w:hAnsi="宋体" w:cs="Times New Roman"/>
          <w:color w:val="000000"/>
          <w:kern w:val="0"/>
          <w:sz w:val="20"/>
          <w:szCs w:val="21"/>
          <w:highlight w:val="none"/>
        </w:rPr>
        <w:t>年</w:t>
      </w:r>
      <w:r>
        <w:rPr>
          <w:rFonts w:ascii="宋体" w:hAnsi="宋体" w:cs="Times New Roman"/>
          <w:color w:val="000000"/>
          <w:kern w:val="0"/>
          <w:sz w:val="20"/>
          <w:szCs w:val="21"/>
          <w:highlight w:val="none"/>
        </w:rPr>
        <w:t>____</w:t>
      </w:r>
      <w:r>
        <w:rPr>
          <w:rFonts w:hint="eastAsia" w:ascii="宋体" w:hAnsi="宋体" w:cs="Times New Roman"/>
          <w:color w:val="000000"/>
          <w:kern w:val="0"/>
          <w:sz w:val="20"/>
          <w:szCs w:val="21"/>
          <w:highlight w:val="none"/>
        </w:rPr>
        <w:t>月</w:t>
      </w:r>
      <w:r>
        <w:rPr>
          <w:rFonts w:ascii="宋体" w:hAnsi="宋体" w:cs="Times New Roman"/>
          <w:color w:val="000000"/>
          <w:kern w:val="0"/>
          <w:sz w:val="20"/>
          <w:szCs w:val="21"/>
          <w:highlight w:val="none"/>
        </w:rPr>
        <w:t>____</w:t>
      </w:r>
      <w:r>
        <w:rPr>
          <w:rFonts w:hint="eastAsia" w:ascii="宋体" w:hAnsi="宋体" w:cs="Times New Roman"/>
          <w:color w:val="000000"/>
          <w:kern w:val="0"/>
          <w:sz w:val="20"/>
          <w:szCs w:val="21"/>
          <w:highlight w:val="none"/>
        </w:rPr>
        <w:t>日</w:t>
      </w:r>
    </w:p>
    <w:p w14:paraId="23A985BE">
      <w:pPr>
        <w:spacing w:before="91"/>
        <w:ind w:left="360"/>
        <w:jc w:val="center"/>
        <w:outlineLvl w:val="0"/>
        <w:rPr>
          <w:rFonts w:ascii="宋体" w:hAnsi="宋体" w:cs="仿宋"/>
          <w:b/>
          <w:sz w:val="28"/>
          <w:szCs w:val="28"/>
          <w:highlight w:val="none"/>
        </w:rPr>
      </w:pPr>
      <w:r>
        <w:rPr>
          <w:rFonts w:ascii="宋体" w:hAnsi="宋体" w:cs="Times New Roman"/>
          <w:color w:val="000000"/>
          <w:kern w:val="0"/>
          <w:sz w:val="20"/>
          <w:szCs w:val="21"/>
          <w:highlight w:val="none"/>
        </w:rPr>
        <w:br w:type="page"/>
      </w:r>
      <w:bookmarkStart w:id="31" w:name="_Toc21908"/>
      <w:bookmarkStart w:id="32" w:name="_Toc12156"/>
      <w:bookmarkStart w:id="33" w:name="_Toc31589"/>
      <w:r>
        <w:rPr>
          <w:rFonts w:hint="eastAsia" w:ascii="宋体" w:hAnsi="宋体" w:cs="仿宋"/>
          <w:b/>
          <w:sz w:val="28"/>
          <w:szCs w:val="28"/>
          <w:highlight w:val="none"/>
        </w:rPr>
        <w:t>投标文件目录及索引</w:t>
      </w:r>
      <w:bookmarkEnd w:id="31"/>
      <w:bookmarkEnd w:id="32"/>
      <w:bookmarkEnd w:id="33"/>
    </w:p>
    <w:p w14:paraId="042F8CC3">
      <w:pPr>
        <w:pStyle w:val="19"/>
        <w:spacing w:before="9"/>
        <w:rPr>
          <w:rFonts w:ascii="宋体" w:hAnsi="宋体" w:cs="仿宋"/>
          <w:b/>
          <w:sz w:val="10"/>
          <w:highlight w:val="none"/>
        </w:rPr>
      </w:pPr>
    </w:p>
    <w:p w14:paraId="6637C39B">
      <w:pPr>
        <w:spacing w:before="1"/>
        <w:ind w:left="360" w:right="449" w:rightChars="214"/>
        <w:rPr>
          <w:rFonts w:ascii="宋体" w:hAnsi="宋体" w:cs="仿宋"/>
          <w:sz w:val="28"/>
          <w:szCs w:val="28"/>
          <w:highlight w:val="none"/>
        </w:rPr>
      </w:pPr>
      <w:r>
        <w:rPr>
          <w:rFonts w:hint="eastAsia" w:ascii="宋体" w:hAnsi="宋体" w:cs="仿宋"/>
          <w:b/>
          <w:highlight w:val="none"/>
        </w:rPr>
        <w:t>注：</w:t>
      </w:r>
      <w:r>
        <w:rPr>
          <w:rFonts w:hint="eastAsia" w:ascii="宋体" w:hAnsi="宋体" w:cs="仿宋"/>
          <w:spacing w:val="-1"/>
          <w:highlight w:val="none"/>
        </w:rPr>
        <w:t>该目录为方便评审小组查找相关证明文件及评审条件，投标人应编制投标文件目录，尽可能的详细、清晰，投标人可根据</w:t>
      </w:r>
      <w:r>
        <w:rPr>
          <w:rFonts w:hint="eastAsia" w:ascii="宋体" w:hAnsi="宋体" w:cs="仿宋"/>
          <w:spacing w:val="-3"/>
          <w:highlight w:val="none"/>
        </w:rPr>
        <w:t>自身情况补充完善；</w:t>
      </w:r>
      <w:r>
        <w:rPr>
          <w:rFonts w:hint="eastAsia" w:ascii="宋体" w:hAnsi="宋体" w:cs="仿宋"/>
          <w:spacing w:val="-7"/>
          <w:highlight w:val="none"/>
        </w:rPr>
        <w:t>投标文件的编制顺序应投标文件给定的顺序，并连续编排页码(扫描或复印件可以采用页码机加盖页码)。</w:t>
      </w:r>
    </w:p>
    <w:p w14:paraId="0AE5560E">
      <w:pPr>
        <w:rPr>
          <w:rFonts w:ascii="宋体" w:hAnsi="宋体" w:cs="Times New Roman"/>
          <w:color w:val="000000"/>
          <w:kern w:val="0"/>
          <w:sz w:val="20"/>
          <w:szCs w:val="21"/>
          <w:highlight w:val="none"/>
        </w:rPr>
      </w:pPr>
      <w:r>
        <w:rPr>
          <w:rFonts w:ascii="宋体" w:hAnsi="宋体" w:cs="Times New Roman"/>
          <w:color w:val="000000"/>
          <w:kern w:val="0"/>
          <w:sz w:val="20"/>
          <w:szCs w:val="21"/>
          <w:highlight w:val="none"/>
        </w:rPr>
        <w:br w:type="page"/>
      </w:r>
    </w:p>
    <w:p w14:paraId="4D941CED">
      <w:pPr>
        <w:spacing w:line="360" w:lineRule="auto"/>
        <w:ind w:firstLine="400" w:firstLineChars="200"/>
        <w:rPr>
          <w:rFonts w:ascii="宋体" w:hAnsi="宋体" w:cs="Times New Roman"/>
          <w:color w:val="000000"/>
          <w:kern w:val="0"/>
          <w:sz w:val="20"/>
          <w:szCs w:val="21"/>
          <w:highlight w:val="none"/>
        </w:rPr>
      </w:pPr>
      <w:r>
        <w:rPr>
          <w:rFonts w:hint="eastAsia" w:ascii="宋体" w:hAnsi="宋体" w:cs="Times New Roman"/>
          <w:color w:val="000000"/>
          <w:kern w:val="0"/>
          <w:sz w:val="20"/>
          <w:szCs w:val="21"/>
          <w:highlight w:val="none"/>
        </w:rPr>
        <w:t>一、投标函</w:t>
      </w:r>
    </w:p>
    <w:p w14:paraId="509A8C4E">
      <w:pPr>
        <w:keepNext/>
        <w:keepLines/>
        <w:spacing w:before="260" w:after="260" w:line="413" w:lineRule="auto"/>
        <w:jc w:val="center"/>
        <w:rPr>
          <w:rFonts w:cs="Times New Roman"/>
          <w:b/>
          <w:color w:val="000000"/>
          <w:kern w:val="0"/>
          <w:sz w:val="24"/>
          <w:szCs w:val="20"/>
          <w:highlight w:val="none"/>
        </w:rPr>
      </w:pPr>
      <w:bookmarkStart w:id="34" w:name="_Toc25739"/>
      <w:r>
        <w:rPr>
          <w:rFonts w:hint="eastAsia" w:cs="Times New Roman"/>
          <w:b/>
          <w:color w:val="000000"/>
          <w:kern w:val="0"/>
          <w:sz w:val="24"/>
          <w:szCs w:val="20"/>
          <w:highlight w:val="none"/>
        </w:rPr>
        <w:t>一、投　标　函</w:t>
      </w:r>
      <w:bookmarkEnd w:id="34"/>
    </w:p>
    <w:p w14:paraId="7D4EF810">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致</w:t>
      </w:r>
      <w:r>
        <w:rPr>
          <w:rFonts w:ascii="宋体" w:hAnsi="宋体" w:cs="Times New Roman"/>
          <w:color w:val="000000"/>
          <w:kern w:val="0"/>
          <w:sz w:val="24"/>
          <w:szCs w:val="24"/>
          <w:highlight w:val="none"/>
        </w:rPr>
        <w:t>____________(</w:t>
      </w:r>
      <w:r>
        <w:rPr>
          <w:rFonts w:hint="eastAsia" w:ascii="宋体" w:hAnsi="宋体" w:cs="Times New Roman"/>
          <w:color w:val="000000"/>
          <w:kern w:val="0"/>
          <w:sz w:val="24"/>
          <w:szCs w:val="24"/>
          <w:highlight w:val="none"/>
        </w:rPr>
        <w:t>采购人或采购代理机构</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p>
    <w:p w14:paraId="094F0FF5">
      <w:pPr>
        <w:spacing w:line="360" w:lineRule="auto"/>
        <w:ind w:firstLine="480" w:firstLineChars="200"/>
        <w:rPr>
          <w:rFonts w:ascii="宋体" w:hAnsi="宋体"/>
          <w:sz w:val="24"/>
          <w:szCs w:val="24"/>
          <w:highlight w:val="none"/>
        </w:rPr>
      </w:pPr>
      <w:r>
        <w:rPr>
          <w:rFonts w:hint="eastAsia" w:ascii="宋体" w:hAnsi="宋体" w:cs="Times New Roman"/>
          <w:color w:val="000000"/>
          <w:kern w:val="0"/>
          <w:sz w:val="24"/>
          <w:szCs w:val="24"/>
          <w:highlight w:val="none"/>
        </w:rPr>
        <w:t>根据</w:t>
      </w:r>
      <w:r>
        <w:rPr>
          <w:rFonts w:ascii="宋体" w:hAnsi="宋体" w:cs="Times New Roman"/>
          <w:color w:val="000000"/>
          <w:kern w:val="0"/>
          <w:sz w:val="24"/>
          <w:szCs w:val="24"/>
          <w:highlight w:val="none"/>
        </w:rPr>
        <w:t>________(</w:t>
      </w:r>
      <w:r>
        <w:rPr>
          <w:rFonts w:hint="eastAsia" w:ascii="宋体" w:hAnsi="宋体" w:cs="Times New Roman"/>
          <w:color w:val="000000"/>
          <w:kern w:val="0"/>
          <w:sz w:val="24"/>
          <w:szCs w:val="24"/>
          <w:highlight w:val="none"/>
        </w:rPr>
        <w:t>项目名称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项目编号：</w:t>
      </w:r>
      <w:r>
        <w:rPr>
          <w:rFonts w:ascii="宋体" w:hAnsi="宋体" w:cs="Times New Roman"/>
          <w:color w:val="000000"/>
          <w:kern w:val="0"/>
          <w:sz w:val="24"/>
          <w:szCs w:val="24"/>
          <w:highlight w:val="none"/>
        </w:rPr>
        <w:t>________)</w:t>
      </w:r>
      <w:r>
        <w:rPr>
          <w:rFonts w:hint="eastAsia" w:ascii="宋体" w:hAnsi="宋体" w:cs="Times New Roman"/>
          <w:color w:val="000000"/>
          <w:kern w:val="0"/>
          <w:sz w:val="24"/>
          <w:szCs w:val="24"/>
          <w:highlight w:val="none"/>
        </w:rPr>
        <w:t>的投标邀请，</w:t>
      </w:r>
      <w:r>
        <w:rPr>
          <w:rFonts w:ascii="宋体" w:hAnsi="宋体" w:cs="Times New Roman"/>
          <w:color w:val="000000"/>
          <w:kern w:val="0"/>
          <w:sz w:val="24"/>
          <w:szCs w:val="24"/>
          <w:highlight w:val="none"/>
        </w:rPr>
        <w:t>________(</w:t>
      </w:r>
      <w:r>
        <w:rPr>
          <w:rFonts w:hint="eastAsia" w:ascii="宋体" w:hAnsi="宋体" w:cs="Times New Roman"/>
          <w:color w:val="000000"/>
          <w:kern w:val="0"/>
          <w:sz w:val="24"/>
          <w:szCs w:val="24"/>
          <w:highlight w:val="none"/>
        </w:rPr>
        <w:t>姓名、职务</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代表供应商</w:t>
      </w:r>
      <w:r>
        <w:rPr>
          <w:rFonts w:ascii="宋体" w:hAnsi="宋体" w:cs="Times New Roman"/>
          <w:color w:val="000000"/>
          <w:kern w:val="0"/>
          <w:sz w:val="24"/>
          <w:szCs w:val="24"/>
          <w:highlight w:val="none"/>
        </w:rPr>
        <w:t>________(</w:t>
      </w:r>
      <w:r>
        <w:rPr>
          <w:rFonts w:hint="eastAsia" w:ascii="宋体" w:hAnsi="宋体" w:cs="Times New Roman"/>
          <w:color w:val="000000"/>
          <w:kern w:val="0"/>
          <w:sz w:val="24"/>
          <w:szCs w:val="24"/>
          <w:highlight w:val="none"/>
        </w:rPr>
        <w:t>供应商名称、地址</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参加本项目招标的有关活动。据此函，作如下承诺：</w:t>
      </w:r>
    </w:p>
    <w:p w14:paraId="6F462D40">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1、我方同意在本项目采购文件中规定的投标有效期内遵守本投标文件中的承诺且在此期限期满之前均具有约束力。</w:t>
      </w:r>
    </w:p>
    <w:p w14:paraId="26ED2555">
      <w:pPr>
        <w:pStyle w:val="137"/>
        <w:spacing w:line="440" w:lineRule="exact"/>
        <w:ind w:firstLine="480" w:firstLineChars="200"/>
        <w:rPr>
          <w:rFonts w:ascii="宋体" w:hAnsi="宋体" w:eastAsia="宋体"/>
          <w:b w:val="0"/>
          <w:bCs/>
          <w:sz w:val="24"/>
          <w:highlight w:val="none"/>
        </w:rPr>
      </w:pPr>
      <w:r>
        <w:rPr>
          <w:rFonts w:hint="eastAsia" w:ascii="宋体" w:hAnsi="宋体" w:eastAsia="宋体"/>
          <w:b w:val="0"/>
          <w:bCs/>
          <w:sz w:val="24"/>
          <w:highlight w:val="none"/>
        </w:rPr>
        <w:t>2、我单位(本人)自愿参加本次政府采购活动，严格遵守《中华人民共和国政 府采购法》及相关法律法规，依法诚信经营，无条件遵守本次政府采购活动的各项 规定。我单位(本人)郑重承诺，我单位(本人)符合《中华人民共和国政府采购法》第二十二条规定和采购文件中规定的参加政府采购活动的投标供应商应当具备的条件：</w:t>
      </w:r>
    </w:p>
    <w:p w14:paraId="465106E8">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1）具有独立承担民事责任的能力；</w:t>
      </w:r>
    </w:p>
    <w:p w14:paraId="5ED3957D">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2）具有良好的商业信誉和健全的财务会计制度；</w:t>
      </w:r>
    </w:p>
    <w:p w14:paraId="37B81D6C">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3）具有履行合同所必需的设备和专业技术能力；</w:t>
      </w:r>
    </w:p>
    <w:p w14:paraId="77CAD39B">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4）有依法缴纳税收和社会保障资金的良好记录；</w:t>
      </w:r>
    </w:p>
    <w:p w14:paraId="348D566B">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5）参加此项采购活动前三年内，在经营活动中没有重大违法记录；</w:t>
      </w:r>
    </w:p>
    <w:p w14:paraId="5BCCE5BF">
      <w:pPr>
        <w:pStyle w:val="91"/>
        <w:spacing w:line="48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6）法律、行政法规规定的其他条件。</w:t>
      </w:r>
    </w:p>
    <w:p w14:paraId="38A87F25">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3、提供投标供应商须知规定的全部投标文件，包括在新疆政府采购网上传加密电子投标文件一份。</w:t>
      </w:r>
    </w:p>
    <w:p w14:paraId="53B093C7">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4、按采购文件要求提供交付服务的投标报价详见开标一览表。</w:t>
      </w:r>
    </w:p>
    <w:p w14:paraId="24685B77">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5、保证忠实地执行双方所签订的合同，并承担合同规定的责任和义务。</w:t>
      </w:r>
    </w:p>
    <w:p w14:paraId="729A0099">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6、我方承诺完全满足和响应招标文件中的各项技术和服务要求，若有偏差，已在投标文件偏离表中予以明确特别说明。</w:t>
      </w:r>
    </w:p>
    <w:p w14:paraId="1189ABCF">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7、我方承诺：完全理解投标报价若超过项目预算时，投标将被拒绝。</w:t>
      </w:r>
    </w:p>
    <w:p w14:paraId="59C0EAA4">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8、如果在开标后规定的投标有效期内撤回投标，我方的投标保证金可被贵方没收。</w:t>
      </w:r>
    </w:p>
    <w:p w14:paraId="78F6A3BE">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9、我方完全理解贵方不一定接受最低价的投标或收到的任何投标。</w:t>
      </w:r>
    </w:p>
    <w:p w14:paraId="48E98F42">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10、我方承诺：投标文件所提供的一切资料及新疆政府采购网申报资料均真实、及时、有效。由于我方提供资料不实而造成的责任和后果由我方承担。我方同意按照贵方提出的要求，向贵方提供任何与本项投标有关的数据、情况和技术资料。若贵方需要，我方愿意提供我方做出的一切承诺的证明材料。</w:t>
      </w:r>
    </w:p>
    <w:p w14:paraId="213CD20B">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11、我方已详细审核全部投标文件，包括投标文件修改书（如有的话）、参考资料及有关附件，确认无误。</w:t>
      </w:r>
    </w:p>
    <w:p w14:paraId="1813AB85">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12、我方承诺：采购人若需追加采购本项目招标文件所列相关服务的，在不改变合同其他实质性条款的前提下，按相同或更优惠的折扣率保证服务。</w:t>
      </w:r>
    </w:p>
    <w:p w14:paraId="152C2672">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13、我方承诺：接受招标文件中的全部条款且无任何异议，保证遵守招标文件的规定。</w:t>
      </w:r>
    </w:p>
    <w:p w14:paraId="3E238189">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14、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8F51909">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1）提供虚假材料谋取中标、成交的；</w:t>
      </w:r>
    </w:p>
    <w:p w14:paraId="1CDB1AA6">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2）采取不正当手段诋毁、排挤其他投标供应商的；</w:t>
      </w:r>
    </w:p>
    <w:p w14:paraId="5A8F0CC4">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3）与采购人、其他投标供应商或者采购代理机构工作人员恶意串通的；</w:t>
      </w:r>
    </w:p>
    <w:p w14:paraId="29FE22C2">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4）向采购人、采购代理机构工作人员行贿或者提供其他不正当利益的；</w:t>
      </w:r>
    </w:p>
    <w:p w14:paraId="5970723C">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5）在采购过程中与采购人进行协商谈判的；</w:t>
      </w:r>
    </w:p>
    <w:p w14:paraId="239982F4">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6）拒绝有关部门监督检查或提供虚假情况的。</w:t>
      </w:r>
    </w:p>
    <w:p w14:paraId="5AA1DAD1">
      <w:pPr>
        <w:pStyle w:val="91"/>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15、</w:t>
      </w:r>
      <w:r>
        <w:rPr>
          <w:rFonts w:ascii="宋体" w:hAnsi="宋体" w:eastAsia="宋体" w:cs="宋体"/>
          <w:color w:val="000000"/>
          <w:sz w:val="24"/>
          <w:szCs w:val="24"/>
          <w:highlight w:val="none"/>
        </w:rPr>
        <w:t>若我方中标，我方承诺领取中标通知书同时缴纳招标代理服务费。</w:t>
      </w:r>
    </w:p>
    <w:p w14:paraId="27D1A289">
      <w:pPr>
        <w:pStyle w:val="91"/>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16、与本投标有关的一切往来通讯请寄：</w:t>
      </w:r>
    </w:p>
    <w:p w14:paraId="7C6A786A">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地址：____________________________________________________</w:t>
      </w:r>
    </w:p>
    <w:p w14:paraId="1B75F7F2">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邮编：____________　</w:t>
      </w:r>
    </w:p>
    <w:p w14:paraId="121A1A4F">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电话：____________　</w:t>
      </w:r>
    </w:p>
    <w:p w14:paraId="74B5F7BA">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sz w:val="24"/>
          <w:highlight w:val="none"/>
        </w:rPr>
        <w:t>传真：____________</w:t>
      </w:r>
    </w:p>
    <w:p w14:paraId="5339C35A">
      <w:pPr>
        <w:pStyle w:val="136"/>
        <w:widowControl/>
        <w:spacing w:line="480" w:lineRule="exact"/>
        <w:ind w:left="0" w:leftChars="0" w:firstLine="480" w:firstLineChars="200"/>
        <w:rPr>
          <w:rFonts w:ascii="宋体" w:hAnsi="宋体" w:eastAsia="宋体"/>
          <w:sz w:val="24"/>
          <w:highlight w:val="none"/>
        </w:rPr>
      </w:pPr>
      <w:r>
        <w:rPr>
          <w:rFonts w:hint="eastAsia" w:ascii="宋体" w:hAnsi="宋体" w:eastAsia="宋体"/>
          <w:bCs/>
          <w:color w:val="000000"/>
          <w:sz w:val="24"/>
          <w:highlight w:val="none"/>
        </w:rPr>
        <w:t>投标人</w:t>
      </w:r>
      <w:r>
        <w:rPr>
          <w:rFonts w:hint="eastAsia" w:ascii="宋体" w:hAnsi="宋体" w:eastAsia="宋体"/>
          <w:sz w:val="24"/>
          <w:highlight w:val="none"/>
        </w:rPr>
        <w:t>法定代表人或授权代理人联系电话，e-mail：</w:t>
      </w:r>
    </w:p>
    <w:p w14:paraId="22D82B3D">
      <w:pPr>
        <w:pStyle w:val="136"/>
        <w:widowControl/>
        <w:spacing w:line="480" w:lineRule="exact"/>
        <w:ind w:left="0" w:leftChars="0" w:firstLine="0" w:firstLineChars="0"/>
        <w:rPr>
          <w:rFonts w:hint="eastAsia" w:ascii="宋体" w:hAnsi="宋体" w:eastAsia="宋体"/>
          <w:b/>
          <w:sz w:val="24"/>
          <w:highlight w:val="none"/>
        </w:rPr>
      </w:pPr>
      <w:r>
        <w:rPr>
          <w:rFonts w:hint="eastAsia" w:ascii="宋体" w:hAnsi="宋体" w:eastAsia="宋体"/>
          <w:b/>
          <w:sz w:val="24"/>
          <w:highlight w:val="none"/>
        </w:rPr>
        <w:t>投标人</w:t>
      </w:r>
      <w:r>
        <w:rPr>
          <w:rFonts w:hint="eastAsia" w:ascii="宋体" w:hAnsi="宋体" w:eastAsia="宋体"/>
          <w:b/>
          <w:sz w:val="24"/>
          <w:highlight w:val="none"/>
          <w:lang w:eastAsia="zh-CN"/>
        </w:rPr>
        <w:t>（</w:t>
      </w:r>
      <w:r>
        <w:rPr>
          <w:rFonts w:hint="eastAsia" w:ascii="宋体" w:hAnsi="宋体" w:eastAsia="宋体"/>
          <w:b/>
          <w:sz w:val="24"/>
          <w:highlight w:val="none"/>
          <w:lang w:val="en-US" w:eastAsia="zh-CN"/>
        </w:rPr>
        <w:t>盖章）</w:t>
      </w:r>
      <w:r>
        <w:rPr>
          <w:rFonts w:hint="eastAsia" w:ascii="宋体" w:hAnsi="宋体" w:eastAsia="宋体"/>
          <w:b/>
          <w:sz w:val="24"/>
          <w:highlight w:val="none"/>
        </w:rPr>
        <w:t>：</w:t>
      </w:r>
    </w:p>
    <w:p w14:paraId="27CC6B08">
      <w:pPr>
        <w:pStyle w:val="136"/>
        <w:widowControl/>
        <w:spacing w:line="480" w:lineRule="exact"/>
        <w:ind w:left="0" w:leftChars="0" w:firstLine="0" w:firstLineChars="0"/>
        <w:rPr>
          <w:rFonts w:ascii="宋体" w:hAnsi="宋体" w:eastAsia="宋体"/>
          <w:b/>
          <w:sz w:val="24"/>
          <w:highlight w:val="none"/>
        </w:rPr>
      </w:pPr>
      <w:r>
        <w:rPr>
          <w:rFonts w:hint="eastAsia" w:ascii="宋体" w:hAnsi="宋体" w:eastAsia="宋体"/>
          <w:b/>
          <w:sz w:val="24"/>
          <w:highlight w:val="none"/>
        </w:rPr>
        <w:t>法定代表人</w:t>
      </w:r>
      <w:r>
        <w:rPr>
          <w:rFonts w:hint="eastAsia" w:ascii="宋体" w:hAnsi="宋体" w:eastAsia="宋体"/>
          <w:b/>
          <w:sz w:val="24"/>
          <w:highlight w:val="none"/>
          <w:lang w:eastAsia="zh-CN"/>
        </w:rPr>
        <w:t>（</w:t>
      </w:r>
      <w:r>
        <w:rPr>
          <w:rFonts w:hint="eastAsia" w:ascii="宋体" w:hAnsi="宋体" w:eastAsia="宋体"/>
          <w:b/>
          <w:sz w:val="24"/>
          <w:highlight w:val="none"/>
          <w:lang w:val="en-US" w:eastAsia="zh-CN"/>
        </w:rPr>
        <w:t>盖章）</w:t>
      </w:r>
      <w:r>
        <w:rPr>
          <w:rFonts w:hint="eastAsia" w:ascii="宋体" w:hAnsi="宋体" w:eastAsia="宋体"/>
          <w:b/>
          <w:sz w:val="24"/>
          <w:highlight w:val="none"/>
        </w:rPr>
        <w:t>：</w:t>
      </w:r>
    </w:p>
    <w:p w14:paraId="537E35B1">
      <w:pPr>
        <w:pStyle w:val="136"/>
        <w:widowControl/>
        <w:spacing w:line="480" w:lineRule="exact"/>
        <w:ind w:left="0" w:leftChars="0"/>
        <w:rPr>
          <w:rFonts w:ascii="宋体" w:hAnsi="宋体" w:eastAsia="宋体"/>
          <w:sz w:val="24"/>
          <w:highlight w:val="none"/>
        </w:rPr>
      </w:pPr>
      <w:r>
        <w:rPr>
          <w:rFonts w:hint="eastAsia" w:ascii="宋体" w:hAnsi="宋体" w:eastAsia="宋体"/>
          <w:sz w:val="24"/>
          <w:highlight w:val="none"/>
        </w:rPr>
        <w:tab/>
      </w:r>
      <w:r>
        <w:rPr>
          <w:rFonts w:hint="eastAsia" w:ascii="宋体" w:hAnsi="宋体" w:eastAsia="宋体"/>
          <w:sz w:val="24"/>
          <w:highlight w:val="none"/>
        </w:rPr>
        <w:t xml:space="preserve"> 日　期：</w:t>
      </w:r>
    </w:p>
    <w:p w14:paraId="30113546">
      <w:pPr>
        <w:spacing w:line="300" w:lineRule="exact"/>
        <w:ind w:firstLine="480" w:firstLineChars="200"/>
        <w:rPr>
          <w:rFonts w:ascii="宋体" w:hAnsi="宋体" w:cs="Times New Roman"/>
          <w:color w:val="000000"/>
          <w:kern w:val="0"/>
          <w:sz w:val="24"/>
          <w:szCs w:val="24"/>
          <w:highlight w:val="none"/>
        </w:rPr>
      </w:pPr>
      <w:r>
        <w:rPr>
          <w:rFonts w:hint="eastAsia" w:ascii="宋体" w:hAnsi="宋体"/>
          <w:b/>
          <w:sz w:val="24"/>
          <w:szCs w:val="24"/>
          <w:highlight w:val="none"/>
        </w:rPr>
        <w:t>说明：除可填报项目外，对本投标函的任何修改将被视为非实质性响应投标，从而导致该投标被拒绝。</w:t>
      </w:r>
      <w:r>
        <w:rPr>
          <w:rFonts w:ascii="宋体" w:hAnsi="宋体" w:cs="Times New Roman"/>
          <w:color w:val="000000"/>
          <w:kern w:val="0"/>
          <w:sz w:val="20"/>
          <w:szCs w:val="21"/>
          <w:highlight w:val="none"/>
        </w:rPr>
        <w:br w:type="page"/>
      </w:r>
      <w:r>
        <w:rPr>
          <w:rFonts w:hint="eastAsia" w:ascii="宋体" w:hAnsi="宋体" w:cs="Times New Roman"/>
          <w:b/>
          <w:bCs/>
          <w:color w:val="000000"/>
          <w:kern w:val="0"/>
          <w:sz w:val="24"/>
          <w:szCs w:val="24"/>
          <w:highlight w:val="none"/>
        </w:rPr>
        <w:t>附件</w:t>
      </w:r>
      <w:r>
        <w:rPr>
          <w:rFonts w:ascii="宋体" w:hAnsi="宋体" w:cs="Times New Roman"/>
          <w:b/>
          <w:bCs/>
          <w:color w:val="000000"/>
          <w:kern w:val="0"/>
          <w:sz w:val="24"/>
          <w:szCs w:val="24"/>
          <w:highlight w:val="none"/>
        </w:rPr>
        <w:t>1</w:t>
      </w:r>
      <w:r>
        <w:rPr>
          <w:rFonts w:hint="eastAsia" w:ascii="宋体" w:hAnsi="宋体" w:cs="Times New Roman"/>
          <w:b/>
          <w:bCs/>
          <w:color w:val="000000"/>
          <w:kern w:val="0"/>
          <w:sz w:val="24"/>
          <w:szCs w:val="24"/>
          <w:highlight w:val="none"/>
        </w:rPr>
        <w:t>－</w:t>
      </w:r>
      <w:r>
        <w:rPr>
          <w:rFonts w:ascii="宋体" w:hAnsi="宋体" w:cs="Times New Roman"/>
          <w:b/>
          <w:bCs/>
          <w:color w:val="000000"/>
          <w:kern w:val="0"/>
          <w:sz w:val="24"/>
          <w:szCs w:val="24"/>
          <w:highlight w:val="none"/>
        </w:rPr>
        <w:t>1</w:t>
      </w:r>
      <w:r>
        <w:rPr>
          <w:rFonts w:hint="eastAsia" w:ascii="宋体" w:hAnsi="宋体" w:cs="Times New Roman"/>
          <w:b/>
          <w:bCs/>
          <w:color w:val="000000"/>
          <w:kern w:val="0"/>
          <w:sz w:val="24"/>
          <w:szCs w:val="24"/>
          <w:highlight w:val="none"/>
        </w:rPr>
        <w:t>　法定代表人身份证明复印件</w:t>
      </w:r>
    </w:p>
    <w:p w14:paraId="40FD4E46">
      <w:pPr>
        <w:spacing w:beforeLines="50" w:afterLines="50" w:line="360" w:lineRule="auto"/>
        <w:ind w:left="546" w:leftChars="260"/>
        <w:rPr>
          <w:rFonts w:ascii="宋体" w:hAnsi="宋体" w:cs="宋体"/>
          <w:color w:val="000000"/>
          <w:sz w:val="24"/>
          <w:szCs w:val="24"/>
          <w:highlight w:val="none"/>
          <w:u w:val="single"/>
        </w:rPr>
      </w:pPr>
      <w:r>
        <w:rPr>
          <w:rFonts w:hint="eastAsia" w:ascii="宋体" w:hAnsi="宋体" w:cs="宋体"/>
          <w:color w:val="000000"/>
          <w:sz w:val="24"/>
          <w:szCs w:val="24"/>
          <w:highlight w:val="none"/>
        </w:rPr>
        <w:t>单位名称：</w:t>
      </w:r>
    </w:p>
    <w:p w14:paraId="2DBCA7B2">
      <w:pPr>
        <w:spacing w:beforeLines="50" w:afterLines="50" w:line="360" w:lineRule="auto"/>
        <w:ind w:left="546" w:leftChars="260"/>
        <w:rPr>
          <w:rFonts w:ascii="宋体" w:hAnsi="宋体" w:cs="宋体"/>
          <w:color w:val="000000"/>
          <w:sz w:val="24"/>
          <w:szCs w:val="24"/>
          <w:highlight w:val="none"/>
          <w:u w:val="single"/>
        </w:rPr>
      </w:pPr>
      <w:r>
        <w:rPr>
          <w:rFonts w:hint="eastAsia" w:ascii="宋体" w:hAnsi="宋体" w:cs="宋体"/>
          <w:color w:val="000000"/>
          <w:sz w:val="24"/>
          <w:szCs w:val="24"/>
          <w:highlight w:val="none"/>
        </w:rPr>
        <w:t>单位性质：</w:t>
      </w:r>
    </w:p>
    <w:p w14:paraId="36432270">
      <w:pPr>
        <w:spacing w:beforeLines="50" w:afterLines="50" w:line="360" w:lineRule="auto"/>
        <w:ind w:left="546" w:leftChars="260"/>
        <w:rPr>
          <w:rFonts w:ascii="宋体" w:hAnsi="宋体" w:cs="宋体"/>
          <w:color w:val="000000"/>
          <w:sz w:val="24"/>
          <w:szCs w:val="24"/>
          <w:highlight w:val="none"/>
        </w:rPr>
      </w:pPr>
      <w:r>
        <w:rPr>
          <w:rFonts w:hint="eastAsia" w:ascii="宋体" w:hAnsi="宋体" w:cs="宋体"/>
          <w:color w:val="000000"/>
          <w:sz w:val="24"/>
          <w:szCs w:val="24"/>
          <w:highlight w:val="none"/>
        </w:rPr>
        <w:t>地址：</w:t>
      </w:r>
    </w:p>
    <w:p w14:paraId="473765BF">
      <w:pPr>
        <w:spacing w:beforeLines="50" w:afterLines="50" w:line="360" w:lineRule="auto"/>
        <w:ind w:left="546" w:leftChars="260"/>
        <w:rPr>
          <w:rFonts w:ascii="宋体" w:hAnsi="宋体" w:cs="宋体"/>
          <w:color w:val="000000"/>
          <w:sz w:val="24"/>
          <w:szCs w:val="24"/>
          <w:highlight w:val="none"/>
          <w:u w:val="single"/>
        </w:rPr>
      </w:pPr>
      <w:r>
        <w:rPr>
          <w:rFonts w:hint="eastAsia" w:ascii="宋体" w:hAnsi="宋体" w:cs="宋体"/>
          <w:color w:val="000000"/>
          <w:sz w:val="24"/>
          <w:szCs w:val="24"/>
          <w:highlight w:val="none"/>
        </w:rPr>
        <w:t>成立时间：</w:t>
      </w:r>
    </w:p>
    <w:p w14:paraId="420F1FE3">
      <w:pPr>
        <w:spacing w:beforeLines="50" w:afterLines="50" w:line="360" w:lineRule="auto"/>
        <w:ind w:left="546" w:leftChars="260"/>
        <w:rPr>
          <w:rFonts w:ascii="宋体" w:hAnsi="宋体" w:cs="宋体"/>
          <w:color w:val="000000"/>
          <w:sz w:val="24"/>
          <w:szCs w:val="24"/>
          <w:highlight w:val="none"/>
        </w:rPr>
      </w:pPr>
      <w:r>
        <w:rPr>
          <w:rFonts w:hint="eastAsia" w:ascii="宋体" w:hAnsi="宋体" w:cs="宋体"/>
          <w:color w:val="000000"/>
          <w:sz w:val="24"/>
          <w:szCs w:val="24"/>
          <w:highlight w:val="none"/>
        </w:rPr>
        <w:t>经营期限：</w:t>
      </w:r>
    </w:p>
    <w:p w14:paraId="2B96BF59">
      <w:pPr>
        <w:spacing w:beforeLines="50" w:afterLines="50" w:line="360" w:lineRule="auto"/>
        <w:ind w:left="546" w:leftChars="260"/>
        <w:rPr>
          <w:rFonts w:ascii="宋体" w:hAnsi="宋体" w:cs="宋体"/>
          <w:color w:val="000000"/>
          <w:sz w:val="24"/>
          <w:szCs w:val="24"/>
          <w:highlight w:val="none"/>
        </w:rPr>
      </w:pPr>
      <w:r>
        <w:rPr>
          <w:rFonts w:hint="eastAsia" w:ascii="宋体" w:hAnsi="宋体" w:cs="宋体"/>
          <w:color w:val="000000"/>
          <w:sz w:val="24"/>
          <w:szCs w:val="24"/>
          <w:highlight w:val="none"/>
        </w:rPr>
        <w:t>姓名：性别：年龄：职务：</w:t>
      </w:r>
    </w:p>
    <w:p w14:paraId="3D0389D3">
      <w:pPr>
        <w:spacing w:beforeLines="50" w:afterLines="5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系</w:t>
      </w:r>
      <w:r>
        <w:rPr>
          <w:rFonts w:hint="eastAsia" w:ascii="宋体" w:hAnsi="宋体" w:cs="宋体"/>
          <w:color w:val="000000"/>
          <w:sz w:val="24"/>
          <w:szCs w:val="24"/>
          <w:highlight w:val="none"/>
          <w:u w:val="single"/>
        </w:rPr>
        <w:t>（投标人）</w:t>
      </w:r>
      <w:r>
        <w:rPr>
          <w:rFonts w:hint="eastAsia" w:ascii="宋体" w:hAnsi="宋体" w:cs="宋体"/>
          <w:color w:val="000000"/>
          <w:sz w:val="24"/>
          <w:szCs w:val="24"/>
          <w:highlight w:val="none"/>
        </w:rPr>
        <w:t>的法定代表人。</w:t>
      </w:r>
      <w:r>
        <w:rPr>
          <w:rFonts w:hint="eastAsia" w:ascii="宋体" w:hAnsi="宋体" w:cs="宋体"/>
          <w:color w:val="000000"/>
          <w:sz w:val="24"/>
          <w:szCs w:val="24"/>
          <w:highlight w:val="none"/>
        </w:rPr>
        <w:cr/>
      </w:r>
    </w:p>
    <w:p w14:paraId="41B837FE">
      <w:pPr>
        <w:spacing w:beforeLines="50" w:afterLines="5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特此证明。</w:t>
      </w:r>
    </w:p>
    <w:p w14:paraId="308E6766">
      <w:pPr>
        <w:ind w:firstLine="480" w:firstLineChars="200"/>
        <w:rPr>
          <w:rFonts w:ascii="宋体" w:hAnsi="宋体" w:cs="Times New Roman"/>
          <w:color w:val="000000"/>
          <w:kern w:val="0"/>
          <w:sz w:val="24"/>
          <w:szCs w:val="24"/>
          <w:highlight w:val="none"/>
        </w:rPr>
      </w:pPr>
    </w:p>
    <w:tbl>
      <w:tblPr>
        <w:tblStyle w:val="45"/>
        <w:tblW w:w="51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118"/>
      </w:tblGrid>
      <w:tr w14:paraId="0A864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5118" w:type="dxa"/>
            <w:tcBorders>
              <w:top w:val="single" w:color="auto" w:sz="4" w:space="0"/>
              <w:bottom w:val="single" w:color="auto" w:sz="4" w:space="0"/>
            </w:tcBorders>
            <w:vAlign w:val="center"/>
          </w:tcPr>
          <w:p w14:paraId="6DA43374">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法定代表人身份证明扫描件</w:t>
            </w:r>
          </w:p>
        </w:tc>
      </w:tr>
    </w:tbl>
    <w:p w14:paraId="22576541">
      <w:pPr>
        <w:ind w:firstLine="480" w:firstLineChars="200"/>
        <w:rPr>
          <w:rFonts w:ascii="宋体" w:hAnsi="宋体" w:cs="Times New Roman"/>
          <w:color w:val="000000"/>
          <w:kern w:val="0"/>
          <w:sz w:val="24"/>
          <w:szCs w:val="24"/>
          <w:highlight w:val="none"/>
        </w:rPr>
      </w:pPr>
    </w:p>
    <w:p w14:paraId="3B66E46D">
      <w:pPr>
        <w:ind w:firstLine="480" w:firstLineChars="200"/>
        <w:rPr>
          <w:rFonts w:ascii="宋体" w:hAnsi="宋体" w:cs="Times New Roman"/>
          <w:color w:val="000000"/>
          <w:kern w:val="0"/>
          <w:sz w:val="24"/>
          <w:szCs w:val="24"/>
          <w:highlight w:val="none"/>
        </w:rPr>
      </w:pPr>
    </w:p>
    <w:p w14:paraId="767F3E4D">
      <w:pPr>
        <w:ind w:firstLine="480" w:firstLineChars="200"/>
        <w:rPr>
          <w:rFonts w:ascii="宋体" w:hAnsi="宋体" w:cs="Times New Roman"/>
          <w:color w:val="000000"/>
          <w:kern w:val="0"/>
          <w:sz w:val="24"/>
          <w:szCs w:val="24"/>
          <w:highlight w:val="none"/>
        </w:rPr>
      </w:pPr>
    </w:p>
    <w:p w14:paraId="4B0E7BA1">
      <w:pPr>
        <w:ind w:firstLine="480" w:firstLineChars="200"/>
        <w:rPr>
          <w:rFonts w:ascii="宋体" w:hAnsi="宋体" w:cs="Times New Roman"/>
          <w:color w:val="000000"/>
          <w:kern w:val="0"/>
          <w:sz w:val="24"/>
          <w:szCs w:val="24"/>
          <w:highlight w:val="none"/>
        </w:rPr>
      </w:pPr>
    </w:p>
    <w:p w14:paraId="39A770C6">
      <w:pPr>
        <w:ind w:firstLine="480" w:firstLineChars="200"/>
        <w:rPr>
          <w:rFonts w:ascii="宋体" w:hAnsi="宋体" w:cs="Times New Roman"/>
          <w:color w:val="000000"/>
          <w:kern w:val="0"/>
          <w:sz w:val="24"/>
          <w:szCs w:val="24"/>
          <w:highlight w:val="none"/>
        </w:rPr>
      </w:pPr>
    </w:p>
    <w:p w14:paraId="3AE77D83">
      <w:pPr>
        <w:ind w:firstLine="480" w:firstLineChars="200"/>
        <w:rPr>
          <w:rFonts w:ascii="宋体" w:hAnsi="宋体" w:cs="Times New Roman"/>
          <w:color w:val="000000"/>
          <w:kern w:val="0"/>
          <w:sz w:val="24"/>
          <w:szCs w:val="24"/>
          <w:highlight w:val="none"/>
        </w:rPr>
      </w:pPr>
    </w:p>
    <w:p w14:paraId="25B757A6">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投标人名称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05FDBDA3">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40686605">
      <w:pPr>
        <w:spacing w:line="360" w:lineRule="auto"/>
        <w:ind w:firstLine="480" w:firstLineChars="200"/>
        <w:jc w:val="right"/>
        <w:rPr>
          <w:rFonts w:ascii="宋体" w:hAnsi="宋体" w:cs="Times New Roman"/>
          <w:color w:val="000000"/>
          <w:kern w:val="0"/>
          <w:sz w:val="24"/>
          <w:szCs w:val="24"/>
          <w:highlight w:val="none"/>
        </w:rPr>
      </w:pPr>
    </w:p>
    <w:p w14:paraId="3F04F284">
      <w:pPr>
        <w:spacing w:line="360" w:lineRule="auto"/>
        <w:ind w:firstLine="480" w:firstLineChars="200"/>
        <w:jc w:val="right"/>
        <w:rPr>
          <w:rFonts w:ascii="宋体" w:hAnsi="宋体" w:cs="Times New Roman"/>
          <w:color w:val="000000"/>
          <w:kern w:val="0"/>
          <w:sz w:val="24"/>
          <w:szCs w:val="24"/>
          <w:highlight w:val="none"/>
        </w:rPr>
      </w:pPr>
    </w:p>
    <w:p w14:paraId="37AC28B9">
      <w:pPr>
        <w:spacing w:line="360" w:lineRule="auto"/>
        <w:ind w:firstLine="480" w:firstLineChars="200"/>
        <w:jc w:val="right"/>
        <w:rPr>
          <w:rFonts w:ascii="宋体" w:hAnsi="宋体" w:cs="Times New Roman"/>
          <w:color w:val="000000"/>
          <w:kern w:val="0"/>
          <w:sz w:val="24"/>
          <w:szCs w:val="24"/>
          <w:highlight w:val="none"/>
        </w:rPr>
      </w:pPr>
    </w:p>
    <w:p w14:paraId="551B876D">
      <w:pPr>
        <w:spacing w:line="360" w:lineRule="auto"/>
        <w:ind w:firstLine="480" w:firstLineChars="200"/>
        <w:jc w:val="right"/>
        <w:rPr>
          <w:rFonts w:ascii="宋体" w:hAnsi="宋体" w:cs="Times New Roman"/>
          <w:color w:val="000000"/>
          <w:kern w:val="0"/>
          <w:sz w:val="24"/>
          <w:szCs w:val="24"/>
          <w:highlight w:val="none"/>
        </w:rPr>
      </w:pPr>
    </w:p>
    <w:p w14:paraId="620B760E">
      <w:pPr>
        <w:spacing w:line="360" w:lineRule="auto"/>
        <w:ind w:firstLine="480" w:firstLineChars="200"/>
        <w:jc w:val="right"/>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561D8002">
      <w:pPr>
        <w:ind w:firstLine="480" w:firstLineChars="200"/>
        <w:rPr>
          <w:rFonts w:ascii="宋体" w:hAnsi="宋体" w:cs="Times New Roman"/>
          <w:color w:val="000000"/>
          <w:kern w:val="0"/>
          <w:sz w:val="24"/>
          <w:szCs w:val="24"/>
          <w:highlight w:val="none"/>
        </w:rPr>
      </w:pPr>
    </w:p>
    <w:p w14:paraId="7BA3C370">
      <w:pPr>
        <w:spacing w:line="360" w:lineRule="auto"/>
        <w:ind w:firstLine="480" w:firstLineChars="200"/>
        <w:rPr>
          <w:rFonts w:ascii="宋体" w:hAnsi="宋体" w:cs="Times New Roman"/>
          <w:color w:val="000000"/>
          <w:kern w:val="0"/>
          <w:sz w:val="24"/>
          <w:szCs w:val="24"/>
          <w:highlight w:val="none"/>
        </w:rPr>
      </w:pPr>
    </w:p>
    <w:p w14:paraId="276A0138">
      <w:pPr>
        <w:spacing w:line="360" w:lineRule="auto"/>
        <w:ind w:firstLine="480" w:firstLineChars="200"/>
        <w:rPr>
          <w:rFonts w:ascii="宋体" w:hAnsi="宋体" w:cs="Times New Roman"/>
          <w:b/>
          <w:bCs/>
          <w:color w:val="000000"/>
          <w:kern w:val="0"/>
          <w:sz w:val="24"/>
          <w:szCs w:val="24"/>
          <w:highlight w:val="none"/>
        </w:rPr>
      </w:pPr>
      <w:r>
        <w:rPr>
          <w:rFonts w:hint="eastAsia" w:ascii="宋体" w:hAnsi="宋体" w:cs="Times New Roman"/>
          <w:b/>
          <w:bCs/>
          <w:color w:val="000000"/>
          <w:kern w:val="0"/>
          <w:sz w:val="24"/>
          <w:szCs w:val="24"/>
          <w:highlight w:val="none"/>
        </w:rPr>
        <w:t>附件</w:t>
      </w:r>
      <w:r>
        <w:rPr>
          <w:rFonts w:ascii="宋体" w:hAnsi="宋体" w:cs="Times New Roman"/>
          <w:b/>
          <w:bCs/>
          <w:color w:val="000000"/>
          <w:kern w:val="0"/>
          <w:sz w:val="24"/>
          <w:szCs w:val="24"/>
          <w:highlight w:val="none"/>
        </w:rPr>
        <w:t>1</w:t>
      </w:r>
      <w:r>
        <w:rPr>
          <w:rFonts w:hint="eastAsia" w:ascii="宋体" w:hAnsi="宋体" w:cs="Times New Roman"/>
          <w:b/>
          <w:bCs/>
          <w:color w:val="000000"/>
          <w:kern w:val="0"/>
          <w:sz w:val="24"/>
          <w:szCs w:val="24"/>
          <w:highlight w:val="none"/>
        </w:rPr>
        <w:t>－</w:t>
      </w:r>
      <w:r>
        <w:rPr>
          <w:rFonts w:ascii="宋体" w:hAnsi="宋体" w:cs="Times New Roman"/>
          <w:b/>
          <w:bCs/>
          <w:color w:val="000000"/>
          <w:kern w:val="0"/>
          <w:sz w:val="24"/>
          <w:szCs w:val="24"/>
          <w:highlight w:val="none"/>
        </w:rPr>
        <w:t>2</w:t>
      </w:r>
      <w:r>
        <w:rPr>
          <w:rFonts w:hint="eastAsia" w:ascii="宋体" w:hAnsi="宋体" w:cs="Times New Roman"/>
          <w:b/>
          <w:bCs/>
          <w:color w:val="000000"/>
          <w:kern w:val="0"/>
          <w:sz w:val="24"/>
          <w:szCs w:val="24"/>
          <w:highlight w:val="none"/>
        </w:rPr>
        <w:t>　法定代表人授权委托书</w:t>
      </w:r>
    </w:p>
    <w:p w14:paraId="64FE742F">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____________(</w:t>
      </w:r>
      <w:r>
        <w:rPr>
          <w:rFonts w:hint="eastAsia" w:ascii="宋体" w:hAnsi="宋体" w:cs="Times New Roman"/>
          <w:color w:val="000000"/>
          <w:kern w:val="0"/>
          <w:sz w:val="24"/>
          <w:szCs w:val="24"/>
          <w:highlight w:val="none"/>
        </w:rPr>
        <w:t>供应商名称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的法定代表人</w:t>
      </w:r>
      <w:r>
        <w:rPr>
          <w:rFonts w:ascii="宋体" w:hAnsi="宋体" w:cs="Times New Roman"/>
          <w:color w:val="000000"/>
          <w:kern w:val="0"/>
          <w:sz w:val="24"/>
          <w:szCs w:val="24"/>
          <w:highlight w:val="none"/>
        </w:rPr>
        <w:t>________(</w:t>
      </w:r>
      <w:r>
        <w:rPr>
          <w:rFonts w:hint="eastAsia" w:ascii="宋体" w:hAnsi="宋体" w:cs="Times New Roman"/>
          <w:color w:val="000000"/>
          <w:kern w:val="0"/>
          <w:sz w:val="24"/>
          <w:szCs w:val="24"/>
          <w:highlight w:val="none"/>
        </w:rPr>
        <w:t>姓名、职务</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授权</w:t>
      </w:r>
      <w:r>
        <w:rPr>
          <w:rFonts w:ascii="宋体" w:hAnsi="宋体" w:cs="Times New Roman"/>
          <w:color w:val="000000"/>
          <w:kern w:val="0"/>
          <w:sz w:val="24"/>
          <w:szCs w:val="24"/>
          <w:highlight w:val="none"/>
        </w:rPr>
        <w:t>________(</w:t>
      </w:r>
      <w:r>
        <w:rPr>
          <w:rFonts w:hint="eastAsia" w:ascii="宋体" w:hAnsi="宋体" w:cs="Times New Roman"/>
          <w:color w:val="000000"/>
          <w:kern w:val="0"/>
          <w:sz w:val="24"/>
          <w:szCs w:val="24"/>
          <w:highlight w:val="none"/>
        </w:rPr>
        <w:t>供应商代表姓名、职务</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为本公司的供应商代表，就</w:t>
      </w:r>
      <w:r>
        <w:rPr>
          <w:rFonts w:ascii="宋体" w:hAnsi="宋体" w:cs="Times New Roman"/>
          <w:color w:val="000000"/>
          <w:kern w:val="0"/>
          <w:sz w:val="24"/>
          <w:szCs w:val="24"/>
          <w:highlight w:val="none"/>
        </w:rPr>
        <w:t>________(</w:t>
      </w:r>
      <w:r>
        <w:rPr>
          <w:rFonts w:hint="eastAsia" w:ascii="宋体" w:hAnsi="宋体" w:cs="Times New Roman"/>
          <w:color w:val="000000"/>
          <w:kern w:val="0"/>
          <w:sz w:val="24"/>
          <w:szCs w:val="24"/>
          <w:highlight w:val="none"/>
        </w:rPr>
        <w:t>项目名称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投标及相关事务代表本公司处理与之有关的一切事务。</w:t>
      </w:r>
    </w:p>
    <w:p w14:paraId="35BD3F1A">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委托期限：</w:t>
      </w:r>
      <w:r>
        <w:rPr>
          <w:rFonts w:ascii="宋体" w:hAnsi="宋体" w:cs="Times New Roman"/>
          <w:color w:val="000000"/>
          <w:kern w:val="0"/>
          <w:sz w:val="24"/>
          <w:szCs w:val="24"/>
          <w:highlight w:val="none"/>
        </w:rPr>
        <w:t>____________________</w:t>
      </w:r>
      <w:r>
        <w:rPr>
          <w:rFonts w:hint="eastAsia" w:ascii="宋体" w:hAnsi="宋体" w:cs="Times New Roman"/>
          <w:color w:val="000000"/>
          <w:kern w:val="0"/>
          <w:sz w:val="24"/>
          <w:szCs w:val="24"/>
          <w:highlight w:val="none"/>
        </w:rPr>
        <w:t>。</w:t>
      </w:r>
    </w:p>
    <w:p w14:paraId="61AC9577">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代理人无转委托权。</w:t>
      </w:r>
    </w:p>
    <w:p w14:paraId="37473078">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本授权书于</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日签字生效，特此声明。</w:t>
      </w:r>
    </w:p>
    <w:p w14:paraId="79D29A6B">
      <w:pPr>
        <w:ind w:firstLine="480" w:firstLineChars="200"/>
        <w:rPr>
          <w:rFonts w:ascii="宋体" w:hAnsi="宋体" w:cs="Times New Roman"/>
          <w:color w:val="000000"/>
          <w:kern w:val="0"/>
          <w:sz w:val="24"/>
          <w:szCs w:val="24"/>
          <w:highlight w:val="none"/>
        </w:rPr>
      </w:pPr>
    </w:p>
    <w:tbl>
      <w:tblPr>
        <w:tblStyle w:val="45"/>
        <w:tblW w:w="52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223"/>
      </w:tblGrid>
      <w:tr w14:paraId="3AB54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5223" w:type="dxa"/>
            <w:tcBorders>
              <w:top w:val="single" w:color="auto" w:sz="4" w:space="0"/>
              <w:bottom w:val="single" w:color="auto" w:sz="4" w:space="0"/>
            </w:tcBorders>
            <w:vAlign w:val="center"/>
          </w:tcPr>
          <w:p w14:paraId="3BA4516A">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法定代表人身份证明扫描件</w:t>
            </w:r>
          </w:p>
        </w:tc>
      </w:tr>
    </w:tbl>
    <w:p w14:paraId="20AEC8F2">
      <w:pPr>
        <w:ind w:firstLine="480" w:firstLineChars="200"/>
        <w:rPr>
          <w:rFonts w:ascii="宋体" w:hAnsi="宋体" w:cs="Times New Roman"/>
          <w:color w:val="000000"/>
          <w:kern w:val="0"/>
          <w:sz w:val="24"/>
          <w:szCs w:val="24"/>
          <w:highlight w:val="none"/>
        </w:rPr>
      </w:pPr>
    </w:p>
    <w:tbl>
      <w:tblPr>
        <w:tblStyle w:val="45"/>
        <w:tblW w:w="52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223"/>
      </w:tblGrid>
      <w:tr w14:paraId="1A19F4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5223" w:type="dxa"/>
            <w:tcBorders>
              <w:top w:val="single" w:color="auto" w:sz="4" w:space="0"/>
              <w:bottom w:val="single" w:color="auto" w:sz="4" w:space="0"/>
            </w:tcBorders>
            <w:vAlign w:val="center"/>
          </w:tcPr>
          <w:p w14:paraId="566D41E5">
            <w:pPr>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被授权人身份证明扫描件</w:t>
            </w:r>
          </w:p>
        </w:tc>
      </w:tr>
    </w:tbl>
    <w:p w14:paraId="5ADBB413">
      <w:pPr>
        <w:spacing w:line="360" w:lineRule="auto"/>
        <w:ind w:firstLine="480" w:firstLineChars="200"/>
        <w:rPr>
          <w:rFonts w:ascii="宋体" w:hAnsi="宋体" w:cs="Times New Roman"/>
          <w:color w:val="000000"/>
          <w:kern w:val="0"/>
          <w:sz w:val="24"/>
          <w:szCs w:val="24"/>
          <w:highlight w:val="none"/>
        </w:rPr>
      </w:pPr>
    </w:p>
    <w:p w14:paraId="6D4623E8">
      <w:pPr>
        <w:spacing w:line="360" w:lineRule="auto"/>
        <w:ind w:firstLine="480" w:firstLineChars="200"/>
        <w:rPr>
          <w:rFonts w:ascii="宋体" w:hAnsi="宋体" w:cs="Times New Roman"/>
          <w:color w:val="000000"/>
          <w:kern w:val="0"/>
          <w:sz w:val="24"/>
          <w:szCs w:val="24"/>
          <w:highlight w:val="none"/>
        </w:rPr>
      </w:pPr>
    </w:p>
    <w:p w14:paraId="25C6D130">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bCs/>
          <w:color w:val="000000"/>
          <w:sz w:val="24"/>
          <w:szCs w:val="24"/>
          <w:highlight w:val="none"/>
        </w:rPr>
        <w:t>投标人</w:t>
      </w:r>
      <w:r>
        <w:rPr>
          <w:rFonts w:hint="eastAsia" w:ascii="宋体" w:hAnsi="宋体" w:cs="Times New Roman"/>
          <w:color w:val="000000"/>
          <w:kern w:val="0"/>
          <w:sz w:val="24"/>
          <w:szCs w:val="24"/>
          <w:highlight w:val="none"/>
        </w:rPr>
        <w:t>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595E3E12">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29A924D3">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授权代表</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7D4F2D70">
      <w:pPr>
        <w:spacing w:line="360" w:lineRule="auto"/>
        <w:ind w:firstLine="480" w:firstLineChars="200"/>
        <w:jc w:val="right"/>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1704AB8A">
      <w:pPr>
        <w:spacing w:line="360" w:lineRule="auto"/>
        <w:ind w:firstLine="400" w:firstLineChars="200"/>
        <w:rPr>
          <w:rFonts w:ascii="宋体" w:hAnsi="宋体" w:cs="Times New Roman"/>
          <w:color w:val="000000"/>
          <w:kern w:val="0"/>
          <w:sz w:val="20"/>
          <w:szCs w:val="21"/>
          <w:highlight w:val="none"/>
        </w:rPr>
      </w:pPr>
      <w:r>
        <w:rPr>
          <w:rFonts w:ascii="宋体" w:hAnsi="宋体" w:cs="Times New Roman"/>
          <w:color w:val="000000"/>
          <w:kern w:val="0"/>
          <w:sz w:val="20"/>
          <w:szCs w:val="21"/>
          <w:highlight w:val="none"/>
        </w:rPr>
        <w:br w:type="page"/>
      </w:r>
    </w:p>
    <w:p w14:paraId="5A528437">
      <w:pPr>
        <w:numPr>
          <w:ilvl w:val="0"/>
          <w:numId w:val="7"/>
        </w:numPr>
        <w:spacing w:line="360" w:lineRule="auto"/>
        <w:jc w:val="center"/>
        <w:rPr>
          <w:rFonts w:ascii="宋体" w:hAnsi="宋体" w:cs="Times New Roman"/>
          <w:b/>
          <w:bCs/>
          <w:color w:val="000000"/>
          <w:kern w:val="0"/>
          <w:sz w:val="24"/>
          <w:szCs w:val="24"/>
          <w:highlight w:val="none"/>
        </w:rPr>
      </w:pPr>
      <w:r>
        <w:rPr>
          <w:rFonts w:hint="eastAsia" w:ascii="宋体" w:hAnsi="宋体" w:cs="Times New Roman"/>
          <w:b/>
          <w:bCs/>
          <w:color w:val="000000"/>
          <w:kern w:val="0"/>
          <w:sz w:val="24"/>
          <w:szCs w:val="24"/>
          <w:highlight w:val="none"/>
        </w:rPr>
        <w:t>开标一览表</w:t>
      </w:r>
    </w:p>
    <w:p w14:paraId="037155A7">
      <w:pPr>
        <w:spacing w:line="360" w:lineRule="auto"/>
        <w:rPr>
          <w:rFonts w:ascii="宋体" w:hAnsi="宋体" w:cs="Times New Roman"/>
          <w:b/>
          <w:bCs/>
          <w:color w:val="000000"/>
          <w:kern w:val="0"/>
          <w:sz w:val="24"/>
          <w:szCs w:val="24"/>
          <w:highlight w:val="none"/>
        </w:rPr>
      </w:pPr>
    </w:p>
    <w:tbl>
      <w:tblPr>
        <w:tblStyle w:val="45"/>
        <w:tblW w:w="8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5"/>
        <w:gridCol w:w="5400"/>
      </w:tblGrid>
      <w:tr w14:paraId="45A4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85" w:type="dxa"/>
            <w:vAlign w:val="center"/>
          </w:tcPr>
          <w:p w14:paraId="7BC209D1">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项目名称</w:t>
            </w:r>
          </w:p>
        </w:tc>
        <w:tc>
          <w:tcPr>
            <w:tcW w:w="5400" w:type="dxa"/>
            <w:vAlign w:val="center"/>
          </w:tcPr>
          <w:p w14:paraId="78F30914">
            <w:pPr>
              <w:spacing w:line="360" w:lineRule="auto"/>
              <w:jc w:val="center"/>
              <w:rPr>
                <w:rFonts w:ascii="宋体" w:hAnsi="宋体" w:cs="MingLiU_HKSCS"/>
                <w:color w:val="000000"/>
                <w:sz w:val="24"/>
                <w:szCs w:val="24"/>
                <w:highlight w:val="none"/>
              </w:rPr>
            </w:pPr>
          </w:p>
        </w:tc>
      </w:tr>
      <w:tr w14:paraId="715B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85" w:type="dxa"/>
            <w:vAlign w:val="center"/>
          </w:tcPr>
          <w:p w14:paraId="04AC2C17">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项目编号</w:t>
            </w:r>
          </w:p>
        </w:tc>
        <w:tc>
          <w:tcPr>
            <w:tcW w:w="5400" w:type="dxa"/>
            <w:vAlign w:val="center"/>
          </w:tcPr>
          <w:p w14:paraId="76FEA830">
            <w:pPr>
              <w:spacing w:line="360" w:lineRule="auto"/>
              <w:jc w:val="center"/>
              <w:rPr>
                <w:rFonts w:ascii="宋体" w:hAnsi="宋体" w:cs="MingLiU_HKSCS"/>
                <w:color w:val="000000"/>
                <w:sz w:val="24"/>
                <w:szCs w:val="24"/>
                <w:highlight w:val="none"/>
              </w:rPr>
            </w:pPr>
          </w:p>
        </w:tc>
      </w:tr>
      <w:tr w14:paraId="4B86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685" w:type="dxa"/>
            <w:vAlign w:val="center"/>
          </w:tcPr>
          <w:p w14:paraId="5798A3A9">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投标报价（</w:t>
            </w:r>
            <w:r>
              <w:rPr>
                <w:rFonts w:hint="eastAsia" w:ascii="宋体" w:hAnsi="宋体" w:cs="Times New Roman"/>
                <w:color w:val="000000"/>
                <w:sz w:val="24"/>
                <w:szCs w:val="24"/>
                <w:highlight w:val="none"/>
                <w:lang w:val="en-US" w:eastAsia="zh-CN"/>
              </w:rPr>
              <w:t>元</w:t>
            </w:r>
            <w:r>
              <w:rPr>
                <w:rFonts w:hint="eastAsia" w:ascii="宋体" w:hAnsi="宋体" w:cs="Times New Roman"/>
                <w:color w:val="000000"/>
                <w:sz w:val="24"/>
                <w:szCs w:val="24"/>
                <w:highlight w:val="none"/>
              </w:rPr>
              <w:t>）</w:t>
            </w:r>
          </w:p>
        </w:tc>
        <w:tc>
          <w:tcPr>
            <w:tcW w:w="5400" w:type="dxa"/>
            <w:vAlign w:val="center"/>
          </w:tcPr>
          <w:p w14:paraId="380A9F09">
            <w:pPr>
              <w:spacing w:line="360" w:lineRule="auto"/>
              <w:jc w:val="left"/>
              <w:rPr>
                <w:rFonts w:hint="eastAsia"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大写：</w:t>
            </w:r>
          </w:p>
          <w:p w14:paraId="0B211933">
            <w:pPr>
              <w:spacing w:line="360" w:lineRule="auto"/>
              <w:jc w:val="left"/>
              <w:rPr>
                <w:rFonts w:hint="default"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小写：</w:t>
            </w:r>
          </w:p>
        </w:tc>
      </w:tr>
      <w:tr w14:paraId="0A4E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2685" w:type="dxa"/>
            <w:vAlign w:val="center"/>
          </w:tcPr>
          <w:p w14:paraId="4D85AD57">
            <w:pPr>
              <w:pStyle w:val="24"/>
              <w:spacing w:line="360" w:lineRule="auto"/>
              <w:jc w:val="center"/>
              <w:rPr>
                <w:rFonts w:hAnsi="宋体"/>
                <w:color w:val="000000"/>
                <w:sz w:val="24"/>
                <w:szCs w:val="24"/>
                <w:highlight w:val="none"/>
              </w:rPr>
            </w:pPr>
            <w:r>
              <w:rPr>
                <w:rFonts w:hint="eastAsia" w:hAnsi="宋体"/>
                <w:color w:val="000000"/>
                <w:sz w:val="24"/>
                <w:szCs w:val="24"/>
                <w:highlight w:val="none"/>
              </w:rPr>
              <w:t>服务期限</w:t>
            </w:r>
          </w:p>
        </w:tc>
        <w:tc>
          <w:tcPr>
            <w:tcW w:w="5400" w:type="dxa"/>
            <w:vAlign w:val="center"/>
          </w:tcPr>
          <w:p w14:paraId="34CF024C">
            <w:pPr>
              <w:spacing w:line="360" w:lineRule="auto"/>
              <w:jc w:val="left"/>
              <w:rPr>
                <w:rFonts w:ascii="宋体" w:hAnsi="宋体" w:cs="Times New Roman"/>
                <w:color w:val="000000"/>
                <w:sz w:val="24"/>
                <w:szCs w:val="24"/>
                <w:highlight w:val="none"/>
              </w:rPr>
            </w:pPr>
          </w:p>
        </w:tc>
      </w:tr>
      <w:tr w14:paraId="55D7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685" w:type="dxa"/>
            <w:vAlign w:val="center"/>
          </w:tcPr>
          <w:p w14:paraId="5852154A">
            <w:pPr>
              <w:pStyle w:val="24"/>
              <w:spacing w:line="360" w:lineRule="auto"/>
              <w:jc w:val="center"/>
              <w:rPr>
                <w:rFonts w:hAnsi="宋体"/>
                <w:color w:val="000000"/>
                <w:sz w:val="24"/>
                <w:szCs w:val="24"/>
                <w:highlight w:val="none"/>
              </w:rPr>
            </w:pPr>
            <w:r>
              <w:rPr>
                <w:rFonts w:hint="eastAsia" w:hAnsi="宋体"/>
                <w:color w:val="000000"/>
                <w:sz w:val="24"/>
                <w:szCs w:val="24"/>
                <w:highlight w:val="none"/>
              </w:rPr>
              <w:t>项目负责人及联系方式</w:t>
            </w:r>
          </w:p>
        </w:tc>
        <w:tc>
          <w:tcPr>
            <w:tcW w:w="5400" w:type="dxa"/>
            <w:vAlign w:val="center"/>
          </w:tcPr>
          <w:p w14:paraId="1EBC5455">
            <w:pPr>
              <w:spacing w:line="360" w:lineRule="auto"/>
              <w:jc w:val="center"/>
              <w:rPr>
                <w:rFonts w:ascii="宋体" w:hAnsi="宋体" w:cs="Times New Roman"/>
                <w:color w:val="000000"/>
                <w:sz w:val="24"/>
                <w:szCs w:val="24"/>
                <w:highlight w:val="none"/>
              </w:rPr>
            </w:pPr>
          </w:p>
        </w:tc>
      </w:tr>
      <w:tr w14:paraId="24F9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685" w:type="dxa"/>
            <w:vAlign w:val="center"/>
          </w:tcPr>
          <w:p w14:paraId="6FD380EA">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备注</w:t>
            </w:r>
          </w:p>
        </w:tc>
        <w:tc>
          <w:tcPr>
            <w:tcW w:w="5400" w:type="dxa"/>
            <w:vAlign w:val="center"/>
          </w:tcPr>
          <w:p w14:paraId="381381A6">
            <w:pPr>
              <w:spacing w:line="360" w:lineRule="auto"/>
              <w:jc w:val="center"/>
              <w:rPr>
                <w:rFonts w:ascii="宋体" w:hAnsi="宋体" w:cs="Times New Roman"/>
                <w:color w:val="000000"/>
                <w:sz w:val="24"/>
                <w:szCs w:val="24"/>
                <w:highlight w:val="none"/>
              </w:rPr>
            </w:pPr>
          </w:p>
        </w:tc>
      </w:tr>
    </w:tbl>
    <w:p w14:paraId="1862972D">
      <w:pPr>
        <w:autoSpaceDE w:val="0"/>
        <w:autoSpaceDN w:val="0"/>
        <w:adjustRightInd w:val="0"/>
        <w:jc w:val="left"/>
        <w:rPr>
          <w:rFonts w:hint="default" w:ascii="宋体" w:hAnsi="宋体" w:eastAsia="宋体" w:cs="宋体"/>
          <w:color w:val="000000"/>
          <w:sz w:val="24"/>
          <w:szCs w:val="24"/>
          <w:highlight w:val="none"/>
          <w:lang w:val="en-US" w:eastAsia="zh-CN"/>
        </w:rPr>
      </w:pPr>
      <w:r>
        <w:rPr>
          <w:rFonts w:ascii="宋体" w:hAnsi="宋体" w:cs="宋体"/>
          <w:color w:val="000000"/>
          <w:sz w:val="24"/>
          <w:szCs w:val="24"/>
          <w:highlight w:val="none"/>
        </w:rPr>
        <w:t>说明：1、本表格式不得更改，投标人严格按照规定的格式填写。</w:t>
      </w:r>
      <w:r>
        <w:rPr>
          <w:rFonts w:hint="eastAsia" w:ascii="宋体" w:hAnsi="宋体" w:cs="宋体"/>
          <w:color w:val="000000"/>
          <w:sz w:val="24"/>
          <w:szCs w:val="24"/>
          <w:highlight w:val="none"/>
        </w:rPr>
        <w:t>投标</w:t>
      </w:r>
      <w:r>
        <w:rPr>
          <w:rFonts w:ascii="宋体" w:hAnsi="宋体" w:cs="宋体"/>
          <w:color w:val="000000"/>
          <w:sz w:val="24"/>
          <w:szCs w:val="24"/>
          <w:highlight w:val="none"/>
        </w:rPr>
        <w:t>报价为优惠后报价，并作为评审及定标的依据。 2、任何有选择或有条件的投标</w:t>
      </w:r>
      <w:r>
        <w:rPr>
          <w:rFonts w:hint="eastAsia" w:ascii="宋体" w:hAnsi="宋体" w:cs="宋体"/>
          <w:color w:val="000000"/>
          <w:sz w:val="24"/>
          <w:szCs w:val="24"/>
          <w:highlight w:val="none"/>
        </w:rPr>
        <w:t>报</w:t>
      </w:r>
      <w:r>
        <w:rPr>
          <w:rFonts w:ascii="宋体" w:hAnsi="宋体" w:cs="宋体"/>
          <w:color w:val="000000"/>
          <w:sz w:val="24"/>
          <w:szCs w:val="24"/>
          <w:highlight w:val="none"/>
        </w:rPr>
        <w:t>价或表中填写多个报价，均将导致投标被拒绝。</w:t>
      </w:r>
      <w:r>
        <w:rPr>
          <w:rFonts w:hint="eastAsia" w:ascii="宋体" w:hAnsi="宋体" w:cs="宋体"/>
          <w:color w:val="000000"/>
          <w:sz w:val="24"/>
          <w:szCs w:val="24"/>
          <w:highlight w:val="none"/>
          <w:lang w:val="en-US" w:eastAsia="zh-CN"/>
        </w:rPr>
        <w:t>3、投标报价应为所确定的招标范围内的全部工作内容的价格体现。</w:t>
      </w:r>
    </w:p>
    <w:p w14:paraId="3B46FED8">
      <w:pPr>
        <w:autoSpaceDE w:val="0"/>
        <w:autoSpaceDN w:val="0"/>
        <w:adjustRightInd w:val="0"/>
        <w:spacing w:line="440" w:lineRule="exact"/>
        <w:jc w:val="left"/>
        <w:rPr>
          <w:rFonts w:ascii="宋体" w:hAnsi="宋体" w:cs="Times New Roman"/>
          <w:color w:val="000000"/>
          <w:kern w:val="0"/>
          <w:highlight w:val="none"/>
        </w:rPr>
      </w:pPr>
    </w:p>
    <w:p w14:paraId="1169E998">
      <w:pPr>
        <w:spacing w:line="440" w:lineRule="exact"/>
        <w:rPr>
          <w:rFonts w:ascii="宋体" w:hAnsi="宋体" w:cs="Times New Roman"/>
          <w:bCs/>
          <w:color w:val="000000"/>
          <w:sz w:val="24"/>
          <w:szCs w:val="24"/>
          <w:highlight w:val="none"/>
        </w:rPr>
      </w:pPr>
    </w:p>
    <w:p w14:paraId="50ED3EF8">
      <w:pPr>
        <w:spacing w:line="440" w:lineRule="exact"/>
        <w:rPr>
          <w:rFonts w:ascii="宋体" w:hAnsi="宋体" w:cs="Times New Roman"/>
          <w:bCs/>
          <w:color w:val="000000"/>
          <w:sz w:val="24"/>
          <w:szCs w:val="24"/>
          <w:highlight w:val="none"/>
        </w:rPr>
      </w:pPr>
    </w:p>
    <w:p w14:paraId="770AF399">
      <w:pPr>
        <w:spacing w:line="440" w:lineRule="exact"/>
        <w:rPr>
          <w:rFonts w:ascii="宋体" w:hAnsi="宋体" w:cs="Times New Roman"/>
          <w:bCs/>
          <w:color w:val="000000"/>
          <w:sz w:val="24"/>
          <w:szCs w:val="24"/>
          <w:highlight w:val="none"/>
        </w:rPr>
      </w:pPr>
    </w:p>
    <w:p w14:paraId="721F7153">
      <w:pPr>
        <w:spacing w:line="440" w:lineRule="exact"/>
        <w:rPr>
          <w:rFonts w:ascii="宋体" w:hAnsi="宋体" w:cs="Times New Roman"/>
          <w:bCs/>
          <w:color w:val="000000"/>
          <w:sz w:val="24"/>
          <w:szCs w:val="24"/>
          <w:highlight w:val="none"/>
        </w:rPr>
      </w:pPr>
      <w:r>
        <w:rPr>
          <w:rFonts w:hint="eastAsia" w:ascii="宋体" w:hAnsi="宋体" w:cs="Times New Roman"/>
          <w:bCs/>
          <w:color w:val="000000"/>
          <w:sz w:val="24"/>
          <w:szCs w:val="24"/>
          <w:highlight w:val="none"/>
        </w:rPr>
        <w:t>投标人名称（加盖公章）：</w:t>
      </w:r>
      <w:r>
        <w:rPr>
          <w:rFonts w:ascii="宋体" w:hAnsi="宋体" w:cs="Times New Roman"/>
          <w:color w:val="000000"/>
          <w:kern w:val="0"/>
          <w:sz w:val="24"/>
          <w:szCs w:val="24"/>
          <w:highlight w:val="none"/>
        </w:rPr>
        <w:t>____________________</w:t>
      </w:r>
    </w:p>
    <w:p w14:paraId="5A3F62D3">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15AB2F25">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授权代表</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3C1E02D7">
      <w:pPr>
        <w:spacing w:line="440" w:lineRule="exact"/>
        <w:rPr>
          <w:rFonts w:ascii="宋体" w:hAnsi="宋体" w:cs="Times New Roman"/>
          <w:bCs/>
          <w:color w:val="000000"/>
          <w:sz w:val="24"/>
          <w:szCs w:val="24"/>
          <w:highlight w:val="none"/>
        </w:rPr>
      </w:pPr>
      <w:r>
        <w:rPr>
          <w:rFonts w:hint="eastAsia" w:ascii="宋体" w:hAnsi="宋体" w:cs="Times New Roman"/>
          <w:bCs/>
          <w:color w:val="000000"/>
          <w:sz w:val="24"/>
          <w:szCs w:val="24"/>
          <w:highlight w:val="none"/>
        </w:rPr>
        <w:t>日期：</w:t>
      </w:r>
      <w:r>
        <w:rPr>
          <w:rFonts w:ascii="宋体" w:hAnsi="宋体" w:cs="Times New Roman"/>
          <w:color w:val="000000"/>
          <w:kern w:val="0"/>
          <w:sz w:val="24"/>
          <w:szCs w:val="24"/>
          <w:highlight w:val="none"/>
        </w:rPr>
        <w:t>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3C84CDBE">
      <w:pPr>
        <w:spacing w:line="460" w:lineRule="atLeast"/>
        <w:rPr>
          <w:rFonts w:ascii="宋体" w:hAnsi="宋体" w:cs="Times New Roman"/>
          <w:color w:val="000000"/>
          <w:sz w:val="24"/>
          <w:highlight w:val="none"/>
        </w:rPr>
      </w:pPr>
    </w:p>
    <w:p w14:paraId="50579078">
      <w:pPr>
        <w:spacing w:line="460" w:lineRule="atLeast"/>
        <w:rPr>
          <w:rFonts w:ascii="宋体" w:hAnsi="宋体" w:cs="Times New Roman"/>
          <w:color w:val="000000"/>
          <w:sz w:val="24"/>
          <w:highlight w:val="none"/>
        </w:rPr>
      </w:pPr>
    </w:p>
    <w:p w14:paraId="3D5AD1B4">
      <w:pPr>
        <w:rPr>
          <w:rFonts w:cs="Times New Roman"/>
          <w:b/>
          <w:color w:val="000000"/>
          <w:kern w:val="0"/>
          <w:sz w:val="24"/>
          <w:szCs w:val="20"/>
          <w:highlight w:val="none"/>
        </w:rPr>
      </w:pPr>
      <w:r>
        <w:rPr>
          <w:rFonts w:hint="eastAsia" w:cs="Times New Roman"/>
          <w:b/>
          <w:color w:val="000000"/>
          <w:sz w:val="24"/>
          <w:highlight w:val="none"/>
        </w:rPr>
        <w:br w:type="page"/>
      </w:r>
      <w:bookmarkStart w:id="35" w:name="_Toc30080"/>
    </w:p>
    <w:p w14:paraId="7DBCC77E">
      <w:pPr>
        <w:keepNext/>
        <w:keepLines/>
        <w:spacing w:before="260" w:after="260" w:line="413" w:lineRule="auto"/>
        <w:jc w:val="center"/>
        <w:rPr>
          <w:rFonts w:cs="Times New Roman"/>
          <w:b/>
          <w:color w:val="000000"/>
          <w:kern w:val="0"/>
          <w:sz w:val="24"/>
          <w:szCs w:val="20"/>
          <w:highlight w:val="none"/>
        </w:rPr>
      </w:pPr>
      <w:r>
        <w:rPr>
          <w:rFonts w:hint="eastAsia" w:cs="Times New Roman"/>
          <w:b/>
          <w:color w:val="000000"/>
          <w:kern w:val="0"/>
          <w:sz w:val="24"/>
          <w:szCs w:val="20"/>
          <w:highlight w:val="none"/>
          <w:lang w:val="en-US" w:eastAsia="zh-CN"/>
        </w:rPr>
        <w:t>三</w:t>
      </w:r>
      <w:r>
        <w:rPr>
          <w:rFonts w:hint="eastAsia" w:cs="Times New Roman"/>
          <w:b/>
          <w:color w:val="000000"/>
          <w:kern w:val="0"/>
          <w:sz w:val="24"/>
          <w:szCs w:val="20"/>
          <w:highlight w:val="none"/>
        </w:rPr>
        <w:t>、商务条款偏离表</w:t>
      </w:r>
      <w:bookmarkEnd w:id="35"/>
    </w:p>
    <w:p w14:paraId="35E78B1E">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项目名称：</w:t>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hint="eastAsia" w:ascii="宋体" w:hAnsi="宋体" w:cs="Times New Roman"/>
          <w:color w:val="000000"/>
          <w:kern w:val="0"/>
          <w:sz w:val="24"/>
          <w:szCs w:val="24"/>
          <w:highlight w:val="none"/>
        </w:rPr>
        <w:t>项目编号：</w:t>
      </w:r>
    </w:p>
    <w:tbl>
      <w:tblPr>
        <w:tblStyle w:val="45"/>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43"/>
        <w:gridCol w:w="3303"/>
        <w:gridCol w:w="1091"/>
        <w:gridCol w:w="745"/>
        <w:gridCol w:w="816"/>
      </w:tblGrid>
      <w:tr w14:paraId="340B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DC26002">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序号</w:t>
            </w:r>
          </w:p>
        </w:tc>
        <w:tc>
          <w:tcPr>
            <w:tcW w:w="1843" w:type="dxa"/>
            <w:vAlign w:val="center"/>
          </w:tcPr>
          <w:p w14:paraId="73A4D04E">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招标文件条目号</w:t>
            </w:r>
          </w:p>
        </w:tc>
        <w:tc>
          <w:tcPr>
            <w:tcW w:w="3303" w:type="dxa"/>
            <w:vAlign w:val="center"/>
          </w:tcPr>
          <w:p w14:paraId="300BDA89">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招标文件的商务条款</w:t>
            </w:r>
          </w:p>
        </w:tc>
        <w:tc>
          <w:tcPr>
            <w:tcW w:w="1091" w:type="dxa"/>
            <w:vAlign w:val="center"/>
          </w:tcPr>
          <w:p w14:paraId="390630AD">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投标文件的商务条款</w:t>
            </w:r>
          </w:p>
        </w:tc>
        <w:tc>
          <w:tcPr>
            <w:tcW w:w="745" w:type="dxa"/>
            <w:vAlign w:val="center"/>
          </w:tcPr>
          <w:p w14:paraId="0EEED19E">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偏离</w:t>
            </w:r>
          </w:p>
        </w:tc>
        <w:tc>
          <w:tcPr>
            <w:tcW w:w="816" w:type="dxa"/>
            <w:vAlign w:val="center"/>
          </w:tcPr>
          <w:p w14:paraId="5C41E645">
            <w:pPr>
              <w:spacing w:line="360" w:lineRule="auto"/>
              <w:jc w:val="center"/>
              <w:rPr>
                <w:rFonts w:ascii="宋体" w:hAnsi="宋体" w:cs="MingLiU_HKSCS"/>
                <w:color w:val="000000"/>
                <w:sz w:val="24"/>
                <w:szCs w:val="24"/>
                <w:highlight w:val="none"/>
              </w:rPr>
            </w:pPr>
            <w:r>
              <w:rPr>
                <w:rFonts w:hint="eastAsia" w:ascii="宋体" w:hAnsi="宋体" w:cs="Times New Roman"/>
                <w:color w:val="000000"/>
                <w:sz w:val="24"/>
                <w:szCs w:val="24"/>
                <w:highlight w:val="none"/>
              </w:rPr>
              <w:t>说明</w:t>
            </w:r>
          </w:p>
        </w:tc>
      </w:tr>
      <w:tr w14:paraId="0862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61DFB8F">
            <w:pPr>
              <w:spacing w:line="360" w:lineRule="auto"/>
              <w:jc w:val="center"/>
              <w:rPr>
                <w:rFonts w:ascii="宋体" w:hAnsi="宋体" w:cs="Times New Roman"/>
                <w:color w:val="000000"/>
                <w:sz w:val="24"/>
                <w:szCs w:val="24"/>
                <w:highlight w:val="none"/>
              </w:rPr>
            </w:pPr>
          </w:p>
        </w:tc>
        <w:tc>
          <w:tcPr>
            <w:tcW w:w="1843" w:type="dxa"/>
            <w:vAlign w:val="center"/>
          </w:tcPr>
          <w:p w14:paraId="7F86F799">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投标有效期</w:t>
            </w:r>
          </w:p>
        </w:tc>
        <w:tc>
          <w:tcPr>
            <w:tcW w:w="3303" w:type="dxa"/>
            <w:vAlign w:val="center"/>
          </w:tcPr>
          <w:p w14:paraId="543D7C5E">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自投标文件截止时间起90日</w:t>
            </w:r>
            <w:r>
              <w:rPr>
                <w:rFonts w:ascii="宋体" w:hAnsi="宋体" w:cs="Times New Roman"/>
                <w:color w:val="000000"/>
                <w:sz w:val="24"/>
                <w:szCs w:val="24"/>
                <w:highlight w:val="none"/>
              </w:rPr>
              <w:t>(</w:t>
            </w:r>
            <w:r>
              <w:rPr>
                <w:rFonts w:hint="eastAsia" w:ascii="宋体" w:hAnsi="宋体" w:cs="Times New Roman"/>
                <w:color w:val="000000"/>
                <w:sz w:val="24"/>
                <w:szCs w:val="24"/>
                <w:highlight w:val="none"/>
              </w:rPr>
              <w:t>日历日</w:t>
            </w:r>
            <w:r>
              <w:rPr>
                <w:rFonts w:ascii="宋体" w:hAnsi="宋体" w:cs="Times New Roman"/>
                <w:color w:val="000000"/>
                <w:sz w:val="24"/>
                <w:szCs w:val="24"/>
                <w:highlight w:val="none"/>
              </w:rPr>
              <w:t>)</w:t>
            </w:r>
          </w:p>
        </w:tc>
        <w:tc>
          <w:tcPr>
            <w:tcW w:w="1091" w:type="dxa"/>
            <w:vAlign w:val="center"/>
          </w:tcPr>
          <w:p w14:paraId="567DF749">
            <w:pPr>
              <w:spacing w:line="360" w:lineRule="auto"/>
              <w:jc w:val="center"/>
              <w:rPr>
                <w:rFonts w:ascii="宋体" w:hAnsi="宋体" w:cs="Times New Roman"/>
                <w:color w:val="000000"/>
                <w:sz w:val="24"/>
                <w:szCs w:val="24"/>
                <w:highlight w:val="none"/>
              </w:rPr>
            </w:pPr>
          </w:p>
        </w:tc>
        <w:tc>
          <w:tcPr>
            <w:tcW w:w="745" w:type="dxa"/>
            <w:vAlign w:val="center"/>
          </w:tcPr>
          <w:p w14:paraId="0BCD13C7">
            <w:pPr>
              <w:spacing w:line="360" w:lineRule="auto"/>
              <w:jc w:val="center"/>
              <w:rPr>
                <w:rFonts w:ascii="宋体" w:hAnsi="宋体" w:cs="Times New Roman"/>
                <w:color w:val="000000"/>
                <w:sz w:val="24"/>
                <w:szCs w:val="24"/>
                <w:highlight w:val="none"/>
              </w:rPr>
            </w:pPr>
          </w:p>
        </w:tc>
        <w:tc>
          <w:tcPr>
            <w:tcW w:w="816" w:type="dxa"/>
            <w:vAlign w:val="center"/>
          </w:tcPr>
          <w:p w14:paraId="1B50E5C7">
            <w:pPr>
              <w:spacing w:line="360" w:lineRule="auto"/>
              <w:jc w:val="center"/>
              <w:rPr>
                <w:rFonts w:ascii="宋体" w:hAnsi="宋体" w:cs="Times New Roman"/>
                <w:color w:val="000000"/>
                <w:sz w:val="24"/>
                <w:szCs w:val="24"/>
                <w:highlight w:val="none"/>
              </w:rPr>
            </w:pPr>
          </w:p>
        </w:tc>
      </w:tr>
      <w:tr w14:paraId="1898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F4D7AE4">
            <w:pPr>
              <w:spacing w:line="360" w:lineRule="auto"/>
              <w:jc w:val="center"/>
              <w:rPr>
                <w:rFonts w:ascii="宋体" w:hAnsi="宋体" w:cs="Times New Roman"/>
                <w:color w:val="000000"/>
                <w:sz w:val="24"/>
                <w:szCs w:val="24"/>
                <w:highlight w:val="none"/>
              </w:rPr>
            </w:pPr>
          </w:p>
        </w:tc>
        <w:tc>
          <w:tcPr>
            <w:tcW w:w="1843" w:type="dxa"/>
            <w:vAlign w:val="center"/>
          </w:tcPr>
          <w:p w14:paraId="127BB4B6">
            <w:pPr>
              <w:spacing w:line="360" w:lineRule="auto"/>
              <w:jc w:val="center"/>
              <w:rPr>
                <w:rFonts w:hint="default" w:ascii="宋体" w:hAnsi="宋体" w:eastAsia="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投标保证金</w:t>
            </w:r>
          </w:p>
        </w:tc>
        <w:tc>
          <w:tcPr>
            <w:tcW w:w="3303" w:type="dxa"/>
            <w:vAlign w:val="center"/>
          </w:tcPr>
          <w:p w14:paraId="667D2576">
            <w:pPr>
              <w:spacing w:line="360" w:lineRule="auto"/>
              <w:jc w:val="left"/>
              <w:rPr>
                <w:rFonts w:hint="eastAsia" w:ascii="宋体" w:hAnsi="宋体" w:cs="Times New Roman"/>
                <w:color w:val="000000"/>
                <w:sz w:val="24"/>
                <w:szCs w:val="24"/>
                <w:highlight w:val="none"/>
              </w:rPr>
            </w:pPr>
            <w:r>
              <w:rPr>
                <w:rFonts w:hint="eastAsia" w:ascii="宋体" w:hAnsi="宋体" w:cs="Times New Roman"/>
                <w:color w:val="000000"/>
                <w:sz w:val="24"/>
                <w:szCs w:val="24"/>
                <w:highlight w:val="none"/>
                <w:lang w:val="en-US" w:eastAsia="zh-CN"/>
              </w:rPr>
              <w:t>20000.00元（贰万元整）</w:t>
            </w:r>
          </w:p>
        </w:tc>
        <w:tc>
          <w:tcPr>
            <w:tcW w:w="1091" w:type="dxa"/>
            <w:vAlign w:val="center"/>
          </w:tcPr>
          <w:p w14:paraId="3BDCF6E8">
            <w:pPr>
              <w:spacing w:line="360" w:lineRule="auto"/>
              <w:jc w:val="center"/>
              <w:rPr>
                <w:rFonts w:ascii="宋体" w:hAnsi="宋体" w:cs="Times New Roman"/>
                <w:color w:val="000000"/>
                <w:sz w:val="24"/>
                <w:szCs w:val="24"/>
                <w:highlight w:val="none"/>
              </w:rPr>
            </w:pPr>
          </w:p>
        </w:tc>
        <w:tc>
          <w:tcPr>
            <w:tcW w:w="745" w:type="dxa"/>
            <w:vAlign w:val="center"/>
          </w:tcPr>
          <w:p w14:paraId="7332ABE1">
            <w:pPr>
              <w:spacing w:line="360" w:lineRule="auto"/>
              <w:jc w:val="center"/>
              <w:rPr>
                <w:rFonts w:ascii="宋体" w:hAnsi="宋体" w:cs="Times New Roman"/>
                <w:color w:val="000000"/>
                <w:sz w:val="24"/>
                <w:szCs w:val="24"/>
                <w:highlight w:val="none"/>
              </w:rPr>
            </w:pPr>
          </w:p>
        </w:tc>
        <w:tc>
          <w:tcPr>
            <w:tcW w:w="816" w:type="dxa"/>
            <w:vAlign w:val="center"/>
          </w:tcPr>
          <w:p w14:paraId="6971FEDD">
            <w:pPr>
              <w:spacing w:line="360" w:lineRule="auto"/>
              <w:jc w:val="center"/>
              <w:rPr>
                <w:rFonts w:ascii="宋体" w:hAnsi="宋体" w:cs="Times New Roman"/>
                <w:color w:val="000000"/>
                <w:sz w:val="24"/>
                <w:szCs w:val="24"/>
                <w:highlight w:val="none"/>
              </w:rPr>
            </w:pPr>
          </w:p>
        </w:tc>
      </w:tr>
      <w:tr w14:paraId="7613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06331F7">
            <w:pPr>
              <w:spacing w:line="360" w:lineRule="auto"/>
              <w:jc w:val="center"/>
              <w:rPr>
                <w:rFonts w:ascii="宋体" w:hAnsi="宋体" w:cs="Times New Roman"/>
                <w:color w:val="000000"/>
                <w:sz w:val="24"/>
                <w:szCs w:val="24"/>
                <w:highlight w:val="none"/>
              </w:rPr>
            </w:pPr>
          </w:p>
        </w:tc>
        <w:tc>
          <w:tcPr>
            <w:tcW w:w="1843" w:type="dxa"/>
            <w:vAlign w:val="center"/>
          </w:tcPr>
          <w:p w14:paraId="2CE6B1B9">
            <w:pPr>
              <w:spacing w:line="360" w:lineRule="auto"/>
              <w:jc w:val="center"/>
              <w:rPr>
                <w:rFonts w:ascii="宋体" w:hAnsi="宋体" w:cs="Times New Roman"/>
                <w:color w:val="000000"/>
                <w:sz w:val="24"/>
                <w:szCs w:val="24"/>
                <w:highlight w:val="none"/>
              </w:rPr>
            </w:pPr>
            <w:r>
              <w:rPr>
                <w:rFonts w:hint="default" w:ascii="宋体" w:hAnsi="宋体" w:cs="Times New Roman"/>
                <w:color w:val="000000"/>
                <w:sz w:val="24"/>
                <w:szCs w:val="24"/>
                <w:highlight w:val="none"/>
                <w:lang w:val="en-US" w:eastAsia="zh-CN"/>
              </w:rPr>
              <w:t>合同履约期限</w:t>
            </w:r>
          </w:p>
        </w:tc>
        <w:tc>
          <w:tcPr>
            <w:tcW w:w="3303" w:type="dxa"/>
            <w:vAlign w:val="center"/>
          </w:tcPr>
          <w:p w14:paraId="136D6890">
            <w:pPr>
              <w:spacing w:line="360" w:lineRule="auto"/>
              <w:jc w:val="left"/>
              <w:rPr>
                <w:rFonts w:ascii="宋体" w:hAnsi="宋体" w:cs="Times New Roman"/>
                <w:color w:val="000000"/>
                <w:sz w:val="24"/>
                <w:szCs w:val="24"/>
                <w:highlight w:val="none"/>
              </w:rPr>
            </w:pPr>
            <w:r>
              <w:rPr>
                <w:rFonts w:hint="default" w:ascii="宋体" w:hAnsi="宋体" w:cs="Times New Roman"/>
                <w:color w:val="000000"/>
                <w:kern w:val="0"/>
                <w:sz w:val="24"/>
                <w:szCs w:val="24"/>
                <w:highlight w:val="none"/>
                <w:lang w:val="en-US" w:eastAsia="zh-CN"/>
              </w:rPr>
              <w:t>自合同签订之日起至通过教育部高校设置评审结束。</w:t>
            </w:r>
            <w:r>
              <w:rPr>
                <w:rFonts w:hint="eastAsia" w:ascii="宋体" w:hAnsi="宋体" w:cs="Times New Roman"/>
                <w:color w:val="000000"/>
                <w:kern w:val="0"/>
                <w:sz w:val="24"/>
                <w:szCs w:val="24"/>
                <w:highlight w:val="none"/>
                <w:lang w:val="en-US" w:eastAsia="zh-CN"/>
              </w:rPr>
              <w:t>（</w:t>
            </w:r>
            <w:r>
              <w:rPr>
                <w:rFonts w:hint="default" w:ascii="宋体" w:hAnsi="宋体" w:cs="Times New Roman"/>
                <w:color w:val="000000"/>
                <w:kern w:val="0"/>
                <w:sz w:val="24"/>
                <w:szCs w:val="24"/>
                <w:highlight w:val="none"/>
                <w:lang w:val="en-US" w:eastAsia="zh-CN"/>
              </w:rPr>
              <w:t>若学校未纳入自治区“十五五”高校设置规划，合同终止。付款方式根据服务内容分阶段支付。</w:t>
            </w:r>
            <w:r>
              <w:rPr>
                <w:rFonts w:hint="eastAsia" w:ascii="宋体" w:hAnsi="宋体" w:cs="Times New Roman"/>
                <w:color w:val="000000"/>
                <w:kern w:val="0"/>
                <w:sz w:val="24"/>
                <w:szCs w:val="24"/>
                <w:highlight w:val="none"/>
                <w:lang w:val="en-US" w:eastAsia="zh-CN"/>
              </w:rPr>
              <w:t>）</w:t>
            </w:r>
          </w:p>
        </w:tc>
        <w:tc>
          <w:tcPr>
            <w:tcW w:w="1091" w:type="dxa"/>
            <w:vAlign w:val="center"/>
          </w:tcPr>
          <w:p w14:paraId="6769434C">
            <w:pPr>
              <w:spacing w:line="360" w:lineRule="auto"/>
              <w:jc w:val="center"/>
              <w:rPr>
                <w:rFonts w:ascii="宋体" w:hAnsi="宋体" w:cs="Times New Roman"/>
                <w:color w:val="000000"/>
                <w:sz w:val="24"/>
                <w:szCs w:val="24"/>
                <w:highlight w:val="none"/>
              </w:rPr>
            </w:pPr>
          </w:p>
        </w:tc>
        <w:tc>
          <w:tcPr>
            <w:tcW w:w="745" w:type="dxa"/>
            <w:vAlign w:val="center"/>
          </w:tcPr>
          <w:p w14:paraId="1CFEE532">
            <w:pPr>
              <w:spacing w:line="360" w:lineRule="auto"/>
              <w:jc w:val="center"/>
              <w:rPr>
                <w:rFonts w:ascii="宋体" w:hAnsi="宋体" w:cs="Times New Roman"/>
                <w:color w:val="000000"/>
                <w:sz w:val="24"/>
                <w:szCs w:val="24"/>
                <w:highlight w:val="none"/>
              </w:rPr>
            </w:pPr>
          </w:p>
        </w:tc>
        <w:tc>
          <w:tcPr>
            <w:tcW w:w="816" w:type="dxa"/>
            <w:vAlign w:val="center"/>
          </w:tcPr>
          <w:p w14:paraId="1F18EE47">
            <w:pPr>
              <w:spacing w:line="360" w:lineRule="auto"/>
              <w:jc w:val="center"/>
              <w:rPr>
                <w:rFonts w:ascii="宋体" w:hAnsi="宋体" w:cs="Times New Roman"/>
                <w:color w:val="000000"/>
                <w:sz w:val="24"/>
                <w:szCs w:val="24"/>
                <w:highlight w:val="none"/>
              </w:rPr>
            </w:pPr>
          </w:p>
        </w:tc>
      </w:tr>
      <w:tr w14:paraId="0353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Align w:val="center"/>
          </w:tcPr>
          <w:p w14:paraId="635CF856">
            <w:pPr>
              <w:spacing w:line="360" w:lineRule="auto"/>
              <w:jc w:val="center"/>
              <w:rPr>
                <w:rFonts w:ascii="宋体" w:hAnsi="宋体" w:cs="Times New Roman"/>
                <w:color w:val="000000"/>
                <w:sz w:val="24"/>
                <w:szCs w:val="24"/>
                <w:highlight w:val="none"/>
              </w:rPr>
            </w:pPr>
          </w:p>
        </w:tc>
        <w:tc>
          <w:tcPr>
            <w:tcW w:w="1843" w:type="dxa"/>
            <w:vAlign w:val="center"/>
          </w:tcPr>
          <w:p w14:paraId="63AB1EC2">
            <w:pPr>
              <w:spacing w:line="360" w:lineRule="auto"/>
              <w:jc w:val="center"/>
              <w:rPr>
                <w:rFonts w:ascii="宋体" w:hAnsi="宋体" w:cs="Times New Roman"/>
                <w:color w:val="000000"/>
                <w:sz w:val="24"/>
                <w:szCs w:val="24"/>
                <w:highlight w:val="none"/>
              </w:rPr>
            </w:pPr>
            <w:r>
              <w:rPr>
                <w:rFonts w:hint="default" w:ascii="宋体" w:hAnsi="宋体" w:cs="Times New Roman"/>
                <w:color w:val="000000"/>
                <w:sz w:val="24"/>
                <w:szCs w:val="24"/>
                <w:highlight w:val="none"/>
                <w:lang w:val="en-US" w:eastAsia="zh-CN"/>
              </w:rPr>
              <w:t>交付/实施时间</w:t>
            </w:r>
          </w:p>
        </w:tc>
        <w:tc>
          <w:tcPr>
            <w:tcW w:w="3303" w:type="dxa"/>
            <w:vAlign w:val="center"/>
          </w:tcPr>
          <w:p w14:paraId="79840F4A">
            <w:pPr>
              <w:pStyle w:val="14"/>
              <w:numPr>
                <w:ilvl w:val="0"/>
                <w:numId w:val="0"/>
              </w:numP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1.自合同签订之日起</w:t>
            </w:r>
            <w:r>
              <w:rPr>
                <w:rFonts w:hint="eastAsia" w:ascii="宋体" w:hAnsi="宋体" w:cs="Times New Roman"/>
                <w:color w:val="000000"/>
                <w:kern w:val="0"/>
                <w:sz w:val="24"/>
                <w:szCs w:val="24"/>
                <w:highlight w:val="none"/>
                <w:lang w:val="en-US" w:eastAsia="zh-CN" w:bidi="ar-SA"/>
              </w:rPr>
              <w:t>20</w:t>
            </w:r>
            <w:r>
              <w:rPr>
                <w:rFonts w:hint="eastAsia" w:ascii="宋体" w:hAnsi="宋体" w:eastAsia="宋体" w:cs="Times New Roman"/>
                <w:color w:val="000000"/>
                <w:kern w:val="0"/>
                <w:sz w:val="24"/>
                <w:szCs w:val="24"/>
                <w:highlight w:val="none"/>
                <w:lang w:val="en-US" w:eastAsia="zh-CN" w:bidi="ar-SA"/>
              </w:rPr>
              <w:t>天内</w:t>
            </w:r>
            <w:r>
              <w:rPr>
                <w:rFonts w:hint="eastAsia" w:ascii="宋体" w:hAnsi="宋体" w:cs="Times New Roman"/>
                <w:color w:val="000000"/>
                <w:kern w:val="0"/>
                <w:sz w:val="24"/>
                <w:szCs w:val="24"/>
                <w:highlight w:val="none"/>
                <w:lang w:val="en-US" w:eastAsia="zh-CN" w:bidi="ar-SA"/>
              </w:rPr>
              <w:t>实现</w:t>
            </w:r>
            <w:r>
              <w:rPr>
                <w:rFonts w:hint="eastAsia" w:ascii="宋体" w:hAnsi="宋体" w:eastAsia="宋体" w:cs="Times New Roman"/>
                <w:color w:val="000000"/>
                <w:kern w:val="0"/>
                <w:sz w:val="24"/>
                <w:szCs w:val="24"/>
                <w:highlight w:val="none"/>
                <w:lang w:val="en-US" w:eastAsia="zh-CN" w:bidi="ar-SA"/>
              </w:rPr>
              <w:t>申本</w:t>
            </w:r>
            <w:r>
              <w:rPr>
                <w:rFonts w:hint="eastAsia" w:ascii="宋体" w:hAnsi="宋体" w:cs="Times New Roman"/>
                <w:color w:val="000000"/>
                <w:kern w:val="0"/>
                <w:sz w:val="24"/>
                <w:szCs w:val="24"/>
                <w:highlight w:val="none"/>
                <w:lang w:val="en-US" w:eastAsia="zh-CN" w:bidi="ar-SA"/>
              </w:rPr>
              <w:t>信息化服务所需的功能</w:t>
            </w:r>
          </w:p>
          <w:p w14:paraId="051D534C">
            <w:pPr>
              <w:pStyle w:val="14"/>
              <w:numPr>
                <w:ilvl w:val="0"/>
                <w:numId w:val="0"/>
              </w:numPr>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2.自合同签订之日起</w:t>
            </w:r>
            <w:r>
              <w:rPr>
                <w:rFonts w:hint="eastAsia" w:ascii="宋体" w:hAnsi="宋体" w:cs="Times New Roman"/>
                <w:color w:val="000000"/>
                <w:kern w:val="0"/>
                <w:sz w:val="24"/>
                <w:szCs w:val="24"/>
                <w:highlight w:val="none"/>
                <w:lang w:val="en-US" w:eastAsia="zh-CN" w:bidi="ar-SA"/>
              </w:rPr>
              <w:t>30</w:t>
            </w:r>
            <w:r>
              <w:rPr>
                <w:rFonts w:hint="eastAsia" w:ascii="宋体" w:hAnsi="宋体" w:eastAsia="宋体" w:cs="Times New Roman"/>
                <w:color w:val="000000"/>
                <w:kern w:val="0"/>
                <w:sz w:val="24"/>
                <w:szCs w:val="24"/>
                <w:highlight w:val="none"/>
                <w:lang w:val="en-US" w:eastAsia="zh-CN" w:bidi="ar-SA"/>
              </w:rPr>
              <w:t>天内完成申本论证报告</w:t>
            </w:r>
          </w:p>
          <w:p w14:paraId="0CBC20E2">
            <w:pPr>
              <w:pStyle w:val="14"/>
              <w:ind w:left="0" w:leftChars="0" w:firstLine="0" w:firstLineChars="0"/>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3.在2026年12月前，协助学校完成自治区入规评估和纳入设置工作。</w:t>
            </w:r>
          </w:p>
          <w:p w14:paraId="49DE54C7">
            <w:pPr>
              <w:pStyle w:val="14"/>
              <w:ind w:left="0" w:leftChars="0" w:firstLine="0" w:firstLineChars="0"/>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4.在2027年6月前，协助学校完成教育部高评委入校</w:t>
            </w:r>
            <w:r>
              <w:rPr>
                <w:rFonts w:hint="eastAsia" w:ascii="宋体" w:hAnsi="宋体" w:cs="Times New Roman"/>
                <w:color w:val="000000"/>
                <w:kern w:val="0"/>
                <w:sz w:val="24"/>
                <w:szCs w:val="24"/>
                <w:highlight w:val="none"/>
                <w:lang w:val="en-US" w:eastAsia="zh-CN" w:bidi="ar-SA"/>
              </w:rPr>
              <w:t>考察</w:t>
            </w:r>
            <w:r>
              <w:rPr>
                <w:rFonts w:hint="eastAsia" w:ascii="宋体" w:hAnsi="宋体" w:eastAsia="宋体" w:cs="Times New Roman"/>
                <w:color w:val="000000"/>
                <w:kern w:val="0"/>
                <w:sz w:val="24"/>
                <w:szCs w:val="24"/>
                <w:highlight w:val="none"/>
                <w:lang w:val="en-US" w:eastAsia="zh-CN" w:bidi="ar-SA"/>
              </w:rPr>
              <w:t>工作。</w:t>
            </w:r>
          </w:p>
          <w:p w14:paraId="68FEF7C3">
            <w:pPr>
              <w:pStyle w:val="14"/>
              <w:ind w:left="0" w:leftChars="0" w:firstLine="0" w:firstLineChars="0"/>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（如遇自治区和国家本科层次职业学校设置政策调整等不可抗力因素，交付时间可顺延，按照自治区和教育部相关通知安排进行相应调整）</w:t>
            </w:r>
          </w:p>
          <w:p w14:paraId="4B54C0F7">
            <w:pPr>
              <w:pStyle w:val="14"/>
              <w:ind w:left="0" w:leftChars="0" w:firstLine="0" w:firstLineChars="0"/>
              <w:rPr>
                <w:rFonts w:ascii="宋体" w:hAnsi="宋体" w:cs="Times New Roman"/>
                <w:color w:val="000000"/>
                <w:sz w:val="24"/>
                <w:szCs w:val="24"/>
                <w:highlight w:val="none"/>
              </w:rPr>
            </w:pPr>
          </w:p>
        </w:tc>
        <w:tc>
          <w:tcPr>
            <w:tcW w:w="1091" w:type="dxa"/>
            <w:vAlign w:val="center"/>
          </w:tcPr>
          <w:p w14:paraId="5EBDC4AE">
            <w:pPr>
              <w:spacing w:line="360" w:lineRule="auto"/>
              <w:jc w:val="center"/>
              <w:rPr>
                <w:rFonts w:ascii="宋体" w:hAnsi="宋体" w:cs="Times New Roman"/>
                <w:color w:val="000000"/>
                <w:sz w:val="24"/>
                <w:szCs w:val="24"/>
                <w:highlight w:val="none"/>
              </w:rPr>
            </w:pPr>
          </w:p>
        </w:tc>
        <w:tc>
          <w:tcPr>
            <w:tcW w:w="745" w:type="dxa"/>
            <w:vAlign w:val="center"/>
          </w:tcPr>
          <w:p w14:paraId="4F08212E">
            <w:pPr>
              <w:spacing w:line="360" w:lineRule="auto"/>
              <w:jc w:val="center"/>
              <w:rPr>
                <w:rFonts w:ascii="宋体" w:hAnsi="宋体" w:cs="Times New Roman"/>
                <w:color w:val="000000"/>
                <w:sz w:val="24"/>
                <w:szCs w:val="24"/>
                <w:highlight w:val="none"/>
              </w:rPr>
            </w:pPr>
          </w:p>
        </w:tc>
        <w:tc>
          <w:tcPr>
            <w:tcW w:w="816" w:type="dxa"/>
            <w:vAlign w:val="center"/>
          </w:tcPr>
          <w:p w14:paraId="6563BFB6">
            <w:pPr>
              <w:spacing w:line="360" w:lineRule="auto"/>
              <w:jc w:val="center"/>
              <w:rPr>
                <w:rFonts w:ascii="宋体" w:hAnsi="宋体" w:cs="Times New Roman"/>
                <w:color w:val="000000"/>
                <w:sz w:val="24"/>
                <w:szCs w:val="24"/>
                <w:highlight w:val="none"/>
              </w:rPr>
            </w:pPr>
          </w:p>
        </w:tc>
      </w:tr>
      <w:tr w14:paraId="7B05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9FE82BE">
            <w:pPr>
              <w:spacing w:line="360" w:lineRule="auto"/>
              <w:jc w:val="center"/>
              <w:rPr>
                <w:rFonts w:ascii="宋体" w:hAnsi="宋体" w:cs="Times New Roman"/>
                <w:color w:val="000000"/>
                <w:sz w:val="24"/>
                <w:szCs w:val="24"/>
                <w:highlight w:val="none"/>
              </w:rPr>
            </w:pPr>
          </w:p>
        </w:tc>
        <w:tc>
          <w:tcPr>
            <w:tcW w:w="1843" w:type="dxa"/>
            <w:vAlign w:val="center"/>
          </w:tcPr>
          <w:p w14:paraId="0B06EB81">
            <w:pPr>
              <w:spacing w:line="360" w:lineRule="auto"/>
              <w:jc w:val="center"/>
              <w:rPr>
                <w:rFonts w:ascii="宋体" w:hAnsi="宋体" w:cs="Times New Roman"/>
                <w:color w:val="000000"/>
                <w:sz w:val="24"/>
                <w:szCs w:val="24"/>
                <w:highlight w:val="none"/>
              </w:rPr>
            </w:pPr>
            <w:r>
              <w:rPr>
                <w:rFonts w:hint="default" w:ascii="宋体" w:hAnsi="宋体" w:cs="Times New Roman"/>
                <w:color w:val="000000"/>
                <w:sz w:val="24"/>
                <w:szCs w:val="24"/>
                <w:highlight w:val="none"/>
                <w:lang w:val="en-US" w:eastAsia="zh-CN"/>
              </w:rPr>
              <w:t>付款方式</w:t>
            </w:r>
          </w:p>
        </w:tc>
        <w:tc>
          <w:tcPr>
            <w:tcW w:w="3303" w:type="dxa"/>
            <w:vAlign w:val="center"/>
          </w:tcPr>
          <w:p w14:paraId="167D5904">
            <w:pPr>
              <w:spacing w:line="360" w:lineRule="auto"/>
              <w:jc w:val="left"/>
              <w:rPr>
                <w:rFonts w:hint="eastAsia"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按阶段分次付款：</w:t>
            </w:r>
          </w:p>
          <w:p w14:paraId="60EC0BE4">
            <w:pPr>
              <w:spacing w:line="360" w:lineRule="auto"/>
              <w:jc w:val="left"/>
              <w:rPr>
                <w:rFonts w:hint="eastAsia" w:ascii="宋体" w:hAnsi="宋体" w:cs="Times New Roman"/>
                <w:color w:val="000000"/>
                <w:sz w:val="24"/>
                <w:szCs w:val="24"/>
                <w:highlight w:val="none"/>
                <w:lang w:val="en-US" w:eastAsia="zh"/>
              </w:rPr>
            </w:pPr>
            <w:r>
              <w:rPr>
                <w:rFonts w:hint="eastAsia" w:ascii="宋体" w:hAnsi="宋体" w:cs="Times New Roman"/>
                <w:color w:val="000000"/>
                <w:sz w:val="24"/>
                <w:szCs w:val="24"/>
                <w:highlight w:val="none"/>
                <w:lang w:val="en-US" w:eastAsia="zh-CN"/>
              </w:rPr>
              <w:t>1.自合同签订后之日起14日内支付合同总金额的30%。</w:t>
            </w:r>
          </w:p>
          <w:p w14:paraId="0F6F79E0">
            <w:pPr>
              <w:spacing w:line="360" w:lineRule="auto"/>
              <w:jc w:val="left"/>
              <w:rPr>
                <w:rFonts w:hint="eastAsia"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2.完成第一阶段（纳入自治区十五五高校设置规划）全部工作后支付合同总金额的20%。</w:t>
            </w:r>
          </w:p>
          <w:p w14:paraId="55B2C460">
            <w:pPr>
              <w:spacing w:line="360" w:lineRule="auto"/>
              <w:jc w:val="left"/>
              <w:rPr>
                <w:rFonts w:hint="eastAsia"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3.完成第二阶段（</w:t>
            </w:r>
            <w:r>
              <w:rPr>
                <w:rFonts w:hint="default" w:ascii="宋体" w:hAnsi="宋体" w:cs="Times New Roman"/>
                <w:color w:val="000000"/>
                <w:sz w:val="24"/>
                <w:szCs w:val="24"/>
                <w:highlight w:val="none"/>
                <w:lang w:val="en-US" w:eastAsia="zh-CN"/>
              </w:rPr>
              <w:t>入规后建设阶段</w:t>
            </w:r>
            <w:r>
              <w:rPr>
                <w:rFonts w:hint="eastAsia" w:ascii="宋体" w:hAnsi="宋体" w:cs="Times New Roman"/>
                <w:color w:val="000000"/>
                <w:sz w:val="24"/>
                <w:szCs w:val="24"/>
                <w:highlight w:val="none"/>
                <w:lang w:val="en-US" w:eastAsia="zh-CN"/>
              </w:rPr>
              <w:t>）全部工作并通过学校验收后支付合同总金额的15%。</w:t>
            </w:r>
          </w:p>
          <w:p w14:paraId="63700E4A">
            <w:pPr>
              <w:spacing w:line="360" w:lineRule="auto"/>
              <w:jc w:val="left"/>
              <w:rPr>
                <w:rFonts w:hint="eastAsia"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4.完成第三阶段（</w:t>
            </w:r>
            <w:r>
              <w:rPr>
                <w:rFonts w:hint="default" w:ascii="宋体" w:hAnsi="宋体" w:cs="Times New Roman"/>
                <w:color w:val="000000"/>
                <w:sz w:val="24"/>
                <w:szCs w:val="24"/>
                <w:highlight w:val="none"/>
                <w:lang w:val="en-US" w:eastAsia="zh-CN"/>
              </w:rPr>
              <w:t>自治区专家入校准备阶段</w:t>
            </w:r>
            <w:r>
              <w:rPr>
                <w:rFonts w:hint="eastAsia" w:ascii="宋体" w:hAnsi="宋体" w:cs="Times New Roman"/>
                <w:color w:val="000000"/>
                <w:sz w:val="24"/>
                <w:szCs w:val="24"/>
                <w:highlight w:val="none"/>
                <w:lang w:val="en-US" w:eastAsia="zh-CN"/>
              </w:rPr>
              <w:t>）全部工作并通过学校验收后支付合同总金额的25%。</w:t>
            </w:r>
          </w:p>
          <w:p w14:paraId="222D287B">
            <w:pPr>
              <w:spacing w:line="360" w:lineRule="auto"/>
              <w:jc w:val="left"/>
              <w:rPr>
                <w:rFonts w:hint="eastAsia"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5.完成第四阶段（教育部专家入校筹备阶段）全部工作并通过学校验收后，由学校核算总工作量按实际发生费用支付，支付额不超过合同总额的10%。</w:t>
            </w:r>
          </w:p>
          <w:p w14:paraId="2CF4D1F2">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lang w:val="en-US" w:eastAsia="zh-CN"/>
              </w:rPr>
              <w:t>若申本工作在任一阶段停止，该阶段付款为最后一笔付款，需经学校审核工作量后，按照实际产生费用支付。</w:t>
            </w:r>
          </w:p>
        </w:tc>
        <w:tc>
          <w:tcPr>
            <w:tcW w:w="1091" w:type="dxa"/>
            <w:vAlign w:val="center"/>
          </w:tcPr>
          <w:p w14:paraId="2CFEE22B">
            <w:pPr>
              <w:spacing w:line="360" w:lineRule="auto"/>
              <w:jc w:val="center"/>
              <w:rPr>
                <w:rFonts w:ascii="宋体" w:hAnsi="宋体" w:cs="Times New Roman"/>
                <w:color w:val="000000"/>
                <w:sz w:val="24"/>
                <w:szCs w:val="24"/>
                <w:highlight w:val="none"/>
              </w:rPr>
            </w:pPr>
          </w:p>
        </w:tc>
        <w:tc>
          <w:tcPr>
            <w:tcW w:w="745" w:type="dxa"/>
            <w:vAlign w:val="center"/>
          </w:tcPr>
          <w:p w14:paraId="19D15A90">
            <w:pPr>
              <w:spacing w:line="360" w:lineRule="auto"/>
              <w:jc w:val="center"/>
              <w:rPr>
                <w:rFonts w:ascii="宋体" w:hAnsi="宋体" w:cs="Times New Roman"/>
                <w:color w:val="000000"/>
                <w:sz w:val="24"/>
                <w:szCs w:val="24"/>
                <w:highlight w:val="none"/>
              </w:rPr>
            </w:pPr>
          </w:p>
        </w:tc>
        <w:tc>
          <w:tcPr>
            <w:tcW w:w="816" w:type="dxa"/>
            <w:vAlign w:val="center"/>
          </w:tcPr>
          <w:p w14:paraId="780126FE">
            <w:pPr>
              <w:spacing w:line="360" w:lineRule="auto"/>
              <w:jc w:val="center"/>
              <w:rPr>
                <w:rFonts w:ascii="宋体" w:hAnsi="宋体" w:cs="Times New Roman"/>
                <w:color w:val="000000"/>
                <w:sz w:val="24"/>
                <w:szCs w:val="24"/>
                <w:highlight w:val="none"/>
              </w:rPr>
            </w:pPr>
          </w:p>
        </w:tc>
      </w:tr>
      <w:tr w14:paraId="05D8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9F97020">
            <w:pPr>
              <w:spacing w:line="360" w:lineRule="auto"/>
              <w:jc w:val="center"/>
              <w:rPr>
                <w:rFonts w:ascii="宋体" w:hAnsi="宋体" w:cs="Times New Roman"/>
                <w:color w:val="000000"/>
                <w:sz w:val="24"/>
                <w:szCs w:val="24"/>
                <w:highlight w:val="none"/>
              </w:rPr>
            </w:pPr>
          </w:p>
        </w:tc>
        <w:tc>
          <w:tcPr>
            <w:tcW w:w="1843" w:type="dxa"/>
            <w:vAlign w:val="center"/>
          </w:tcPr>
          <w:p w14:paraId="1D2F68E2">
            <w:pPr>
              <w:spacing w:line="360" w:lineRule="auto"/>
              <w:jc w:val="center"/>
              <w:rPr>
                <w:rFonts w:ascii="宋体" w:hAnsi="宋体" w:cs="Times New Roman"/>
                <w:color w:val="000000"/>
                <w:sz w:val="24"/>
                <w:szCs w:val="24"/>
                <w:highlight w:val="none"/>
              </w:rPr>
            </w:pPr>
            <w:r>
              <w:rPr>
                <w:rFonts w:hint="default" w:ascii="宋体" w:hAnsi="宋体" w:cs="Times New Roman"/>
                <w:color w:val="000000"/>
                <w:sz w:val="24"/>
                <w:szCs w:val="24"/>
                <w:highlight w:val="none"/>
                <w:lang w:val="en-US" w:eastAsia="zh-CN"/>
              </w:rPr>
              <w:t>验收标准</w:t>
            </w:r>
          </w:p>
        </w:tc>
        <w:tc>
          <w:tcPr>
            <w:tcW w:w="3303" w:type="dxa"/>
            <w:vAlign w:val="center"/>
          </w:tcPr>
          <w:p w14:paraId="442F059B">
            <w:pPr>
              <w:spacing w:line="360" w:lineRule="auto"/>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lang w:val="en-US" w:eastAsia="zh-CN"/>
              </w:rPr>
              <w:t>通过自治区教育厅、教育部、全国高校设置评议委员会评委专家审核。</w:t>
            </w:r>
          </w:p>
        </w:tc>
        <w:tc>
          <w:tcPr>
            <w:tcW w:w="1091" w:type="dxa"/>
            <w:vAlign w:val="center"/>
          </w:tcPr>
          <w:p w14:paraId="182F8978">
            <w:pPr>
              <w:spacing w:line="360" w:lineRule="auto"/>
              <w:jc w:val="center"/>
              <w:rPr>
                <w:rFonts w:ascii="宋体" w:hAnsi="宋体" w:cs="Times New Roman"/>
                <w:color w:val="000000"/>
                <w:sz w:val="24"/>
                <w:szCs w:val="24"/>
                <w:highlight w:val="none"/>
              </w:rPr>
            </w:pPr>
          </w:p>
        </w:tc>
        <w:tc>
          <w:tcPr>
            <w:tcW w:w="745" w:type="dxa"/>
            <w:vAlign w:val="center"/>
          </w:tcPr>
          <w:p w14:paraId="1B257291">
            <w:pPr>
              <w:spacing w:line="360" w:lineRule="auto"/>
              <w:jc w:val="center"/>
              <w:rPr>
                <w:rFonts w:ascii="宋体" w:hAnsi="宋体" w:cs="Times New Roman"/>
                <w:color w:val="000000"/>
                <w:sz w:val="24"/>
                <w:szCs w:val="24"/>
                <w:highlight w:val="none"/>
              </w:rPr>
            </w:pPr>
          </w:p>
        </w:tc>
        <w:tc>
          <w:tcPr>
            <w:tcW w:w="816" w:type="dxa"/>
            <w:vAlign w:val="center"/>
          </w:tcPr>
          <w:p w14:paraId="16DD067C">
            <w:pPr>
              <w:spacing w:line="360" w:lineRule="auto"/>
              <w:jc w:val="center"/>
              <w:rPr>
                <w:rFonts w:ascii="宋体" w:hAnsi="宋体" w:cs="Times New Roman"/>
                <w:color w:val="000000"/>
                <w:sz w:val="24"/>
                <w:szCs w:val="24"/>
                <w:highlight w:val="none"/>
              </w:rPr>
            </w:pPr>
          </w:p>
        </w:tc>
      </w:tr>
      <w:tr w14:paraId="1575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79122D6">
            <w:pPr>
              <w:spacing w:line="360" w:lineRule="auto"/>
              <w:jc w:val="center"/>
              <w:rPr>
                <w:rFonts w:ascii="宋体" w:hAnsi="宋体" w:cs="Times New Roman"/>
                <w:color w:val="000000"/>
                <w:sz w:val="24"/>
                <w:szCs w:val="24"/>
                <w:highlight w:val="none"/>
              </w:rPr>
            </w:pPr>
          </w:p>
        </w:tc>
        <w:tc>
          <w:tcPr>
            <w:tcW w:w="1843" w:type="dxa"/>
            <w:vAlign w:val="center"/>
          </w:tcPr>
          <w:p w14:paraId="61FA6D08">
            <w:pPr>
              <w:spacing w:line="360" w:lineRule="auto"/>
              <w:jc w:val="center"/>
              <w:rPr>
                <w:rFonts w:hint="default" w:ascii="宋体" w:hAnsi="宋体" w:eastAsia="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服务地点</w:t>
            </w:r>
          </w:p>
        </w:tc>
        <w:tc>
          <w:tcPr>
            <w:tcW w:w="3303" w:type="dxa"/>
            <w:vAlign w:val="center"/>
          </w:tcPr>
          <w:p w14:paraId="576C156B">
            <w:pPr>
              <w:spacing w:line="360" w:lineRule="auto"/>
              <w:jc w:val="left"/>
              <w:rPr>
                <w:rFonts w:ascii="宋体" w:hAnsi="宋体" w:cs="Times New Roman"/>
                <w:color w:val="000000"/>
                <w:sz w:val="24"/>
                <w:szCs w:val="24"/>
                <w:highlight w:val="none"/>
              </w:rPr>
            </w:pPr>
            <w:r>
              <w:rPr>
                <w:rFonts w:hint="eastAsia" w:ascii="宋体" w:hAnsi="宋体" w:cs="Courier New"/>
                <w:color w:val="000000"/>
                <w:kern w:val="0"/>
                <w:sz w:val="24"/>
                <w:szCs w:val="24"/>
                <w:highlight w:val="none"/>
              </w:rPr>
              <w:t>新疆</w:t>
            </w:r>
            <w:r>
              <w:rPr>
                <w:rFonts w:hint="eastAsia" w:ascii="宋体" w:hAnsi="宋体" w:cs="Arial"/>
                <w:color w:val="000000"/>
                <w:kern w:val="0"/>
                <w:sz w:val="24"/>
                <w:szCs w:val="24"/>
                <w:highlight w:val="none"/>
              </w:rPr>
              <w:t>乌鲁木齐市达坂城区</w:t>
            </w:r>
            <w:r>
              <w:rPr>
                <w:rFonts w:hint="eastAsia" w:ascii="宋体" w:hAnsi="宋体" w:cs="Courier New"/>
                <w:color w:val="000000"/>
                <w:kern w:val="0"/>
                <w:sz w:val="24"/>
                <w:szCs w:val="24"/>
                <w:highlight w:val="none"/>
              </w:rPr>
              <w:t>新疆职业大学</w:t>
            </w:r>
          </w:p>
        </w:tc>
        <w:tc>
          <w:tcPr>
            <w:tcW w:w="1091" w:type="dxa"/>
            <w:vAlign w:val="center"/>
          </w:tcPr>
          <w:p w14:paraId="60531C0D">
            <w:pPr>
              <w:spacing w:line="360" w:lineRule="auto"/>
              <w:jc w:val="center"/>
              <w:rPr>
                <w:rFonts w:ascii="宋体" w:hAnsi="宋体" w:cs="Times New Roman"/>
                <w:color w:val="000000"/>
                <w:sz w:val="24"/>
                <w:szCs w:val="24"/>
                <w:highlight w:val="none"/>
              </w:rPr>
            </w:pPr>
          </w:p>
        </w:tc>
        <w:tc>
          <w:tcPr>
            <w:tcW w:w="745" w:type="dxa"/>
            <w:vAlign w:val="center"/>
          </w:tcPr>
          <w:p w14:paraId="593F56EA">
            <w:pPr>
              <w:spacing w:line="360" w:lineRule="auto"/>
              <w:jc w:val="center"/>
              <w:rPr>
                <w:rFonts w:ascii="宋体" w:hAnsi="宋体" w:cs="Times New Roman"/>
                <w:color w:val="000000"/>
                <w:sz w:val="24"/>
                <w:szCs w:val="24"/>
                <w:highlight w:val="none"/>
              </w:rPr>
            </w:pPr>
          </w:p>
        </w:tc>
        <w:tc>
          <w:tcPr>
            <w:tcW w:w="816" w:type="dxa"/>
            <w:vAlign w:val="center"/>
          </w:tcPr>
          <w:p w14:paraId="2B979261">
            <w:pPr>
              <w:spacing w:line="360" w:lineRule="auto"/>
              <w:jc w:val="center"/>
              <w:rPr>
                <w:rFonts w:ascii="宋体" w:hAnsi="宋体" w:cs="Times New Roman"/>
                <w:color w:val="000000"/>
                <w:sz w:val="24"/>
                <w:szCs w:val="24"/>
                <w:highlight w:val="none"/>
              </w:rPr>
            </w:pPr>
          </w:p>
        </w:tc>
      </w:tr>
      <w:tr w14:paraId="6E27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45D80D8">
            <w:pPr>
              <w:spacing w:line="360" w:lineRule="auto"/>
              <w:jc w:val="center"/>
              <w:rPr>
                <w:rFonts w:ascii="宋体" w:hAnsi="宋体" w:cs="Times New Roman"/>
                <w:color w:val="000000"/>
                <w:sz w:val="24"/>
                <w:szCs w:val="24"/>
                <w:highlight w:val="none"/>
              </w:rPr>
            </w:pPr>
          </w:p>
        </w:tc>
        <w:tc>
          <w:tcPr>
            <w:tcW w:w="1843" w:type="dxa"/>
            <w:vAlign w:val="center"/>
          </w:tcPr>
          <w:p w14:paraId="547A976E">
            <w:pPr>
              <w:spacing w:line="360" w:lineRule="auto"/>
              <w:jc w:val="center"/>
              <w:rPr>
                <w:rFonts w:hint="default" w:ascii="宋体" w:hAnsi="宋体" w:cs="Times New Roman"/>
                <w:color w:val="000000"/>
                <w:sz w:val="24"/>
                <w:szCs w:val="24"/>
                <w:highlight w:val="none"/>
                <w:lang w:val="en-US" w:eastAsia="zh-CN"/>
              </w:rPr>
            </w:pPr>
            <w:r>
              <w:rPr>
                <w:rFonts w:hint="eastAsia" w:ascii="宋体" w:hAnsi="宋体" w:cs="Times New Roman"/>
                <w:color w:val="000000"/>
                <w:sz w:val="24"/>
                <w:szCs w:val="24"/>
                <w:highlight w:val="none"/>
                <w:lang w:val="en-US" w:eastAsia="zh-CN"/>
              </w:rPr>
              <w:t>.....</w:t>
            </w:r>
          </w:p>
        </w:tc>
        <w:tc>
          <w:tcPr>
            <w:tcW w:w="3303" w:type="dxa"/>
            <w:vAlign w:val="center"/>
          </w:tcPr>
          <w:p w14:paraId="5753580E">
            <w:pPr>
              <w:spacing w:line="360" w:lineRule="auto"/>
              <w:jc w:val="center"/>
              <w:rPr>
                <w:rFonts w:hint="eastAsia" w:ascii="宋体" w:hAnsi="宋体" w:cs="Courier New"/>
                <w:color w:val="000000"/>
                <w:kern w:val="0"/>
                <w:sz w:val="24"/>
                <w:szCs w:val="24"/>
                <w:highlight w:val="none"/>
              </w:rPr>
            </w:pPr>
          </w:p>
        </w:tc>
        <w:tc>
          <w:tcPr>
            <w:tcW w:w="1091" w:type="dxa"/>
            <w:vAlign w:val="center"/>
          </w:tcPr>
          <w:p w14:paraId="46282176">
            <w:pPr>
              <w:spacing w:line="360" w:lineRule="auto"/>
              <w:jc w:val="center"/>
              <w:rPr>
                <w:rFonts w:ascii="宋体" w:hAnsi="宋体" w:cs="Times New Roman"/>
                <w:color w:val="000000"/>
                <w:sz w:val="24"/>
                <w:szCs w:val="24"/>
                <w:highlight w:val="none"/>
              </w:rPr>
            </w:pPr>
          </w:p>
        </w:tc>
        <w:tc>
          <w:tcPr>
            <w:tcW w:w="745" w:type="dxa"/>
            <w:vAlign w:val="center"/>
          </w:tcPr>
          <w:p w14:paraId="192954FB">
            <w:pPr>
              <w:spacing w:line="360" w:lineRule="auto"/>
              <w:jc w:val="center"/>
              <w:rPr>
                <w:rFonts w:ascii="宋体" w:hAnsi="宋体" w:cs="Times New Roman"/>
                <w:color w:val="000000"/>
                <w:sz w:val="24"/>
                <w:szCs w:val="24"/>
                <w:highlight w:val="none"/>
              </w:rPr>
            </w:pPr>
          </w:p>
        </w:tc>
        <w:tc>
          <w:tcPr>
            <w:tcW w:w="816" w:type="dxa"/>
            <w:vAlign w:val="center"/>
          </w:tcPr>
          <w:p w14:paraId="7763E1EA">
            <w:pPr>
              <w:spacing w:line="360" w:lineRule="auto"/>
              <w:jc w:val="center"/>
              <w:rPr>
                <w:rFonts w:ascii="宋体" w:hAnsi="宋体" w:cs="Times New Roman"/>
                <w:color w:val="000000"/>
                <w:sz w:val="24"/>
                <w:szCs w:val="24"/>
                <w:highlight w:val="none"/>
              </w:rPr>
            </w:pPr>
          </w:p>
        </w:tc>
      </w:tr>
    </w:tbl>
    <w:p w14:paraId="6362D5C3">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说明：如有偏离，则必须注明“偏离”；未注明偏离的，视为完全投标。</w:t>
      </w:r>
    </w:p>
    <w:p w14:paraId="19CFB1A1">
      <w:pPr>
        <w:spacing w:line="360" w:lineRule="auto"/>
        <w:ind w:firstLine="480" w:firstLineChars="200"/>
        <w:rPr>
          <w:rFonts w:ascii="宋体" w:hAnsi="宋体" w:cs="Times New Roman"/>
          <w:color w:val="000000"/>
          <w:kern w:val="0"/>
          <w:sz w:val="24"/>
          <w:szCs w:val="24"/>
          <w:highlight w:val="none"/>
        </w:rPr>
      </w:pPr>
    </w:p>
    <w:p w14:paraId="66D50EFE">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bCs/>
          <w:color w:val="000000"/>
          <w:sz w:val="24"/>
          <w:szCs w:val="24"/>
          <w:highlight w:val="none"/>
        </w:rPr>
        <w:t>投标人</w:t>
      </w:r>
      <w:r>
        <w:rPr>
          <w:rFonts w:hint="eastAsia" w:ascii="宋体" w:hAnsi="宋体" w:cs="Times New Roman"/>
          <w:color w:val="000000"/>
          <w:kern w:val="0"/>
          <w:sz w:val="24"/>
          <w:szCs w:val="24"/>
          <w:highlight w:val="none"/>
        </w:rPr>
        <w:t>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11FFB548">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2FBB58B1">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日期：</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283937A5">
      <w:pPr>
        <w:keepNext/>
        <w:keepLines/>
        <w:spacing w:before="260" w:after="260" w:line="413" w:lineRule="auto"/>
        <w:jc w:val="center"/>
        <w:rPr>
          <w:rFonts w:cs="Times New Roman"/>
          <w:b/>
          <w:color w:val="000000"/>
          <w:kern w:val="0"/>
          <w:sz w:val="24"/>
          <w:szCs w:val="20"/>
          <w:highlight w:val="none"/>
        </w:rPr>
      </w:pPr>
      <w:r>
        <w:rPr>
          <w:rFonts w:hint="eastAsia" w:cs="Times New Roman"/>
          <w:b/>
          <w:color w:val="000000"/>
          <w:sz w:val="24"/>
          <w:highlight w:val="none"/>
        </w:rPr>
        <w:br w:type="page"/>
      </w:r>
      <w:bookmarkStart w:id="36" w:name="_Toc7599"/>
      <w:r>
        <w:rPr>
          <w:rFonts w:hint="eastAsia" w:cs="Times New Roman"/>
          <w:b/>
          <w:color w:val="000000"/>
          <w:kern w:val="0"/>
          <w:sz w:val="24"/>
          <w:szCs w:val="20"/>
          <w:highlight w:val="none"/>
          <w:lang w:val="en-US" w:eastAsia="zh-CN"/>
        </w:rPr>
        <w:t>四</w:t>
      </w:r>
      <w:r>
        <w:rPr>
          <w:rFonts w:hint="eastAsia" w:cs="Times New Roman"/>
          <w:b/>
          <w:color w:val="000000"/>
          <w:kern w:val="0"/>
          <w:sz w:val="24"/>
          <w:szCs w:val="20"/>
          <w:highlight w:val="none"/>
        </w:rPr>
        <w:t>、投标保证金</w:t>
      </w:r>
      <w:bookmarkEnd w:id="36"/>
    </w:p>
    <w:p w14:paraId="4E8928FB">
      <w:pPr>
        <w:spacing w:line="360" w:lineRule="auto"/>
        <w:ind w:firstLine="480" w:firstLineChars="200"/>
        <w:rPr>
          <w:rFonts w:ascii="宋体" w:hAnsi="宋体" w:cs="Times New Roman"/>
          <w:color w:val="000000"/>
          <w:kern w:val="0"/>
          <w:sz w:val="20"/>
          <w:szCs w:val="21"/>
          <w:highlight w:val="none"/>
        </w:rPr>
      </w:pPr>
      <w:r>
        <w:rPr>
          <w:rFonts w:hint="eastAsia" w:ascii="宋体" w:hAnsi="宋体" w:cs="Times New Roman"/>
          <w:color w:val="000000"/>
          <w:kern w:val="0"/>
          <w:sz w:val="24"/>
          <w:szCs w:val="24"/>
          <w:highlight w:val="none"/>
        </w:rPr>
        <w:t>说明：提供汇款单或转账凭证复印件或保函</w:t>
      </w:r>
    </w:p>
    <w:p w14:paraId="513CAC77">
      <w:pPr>
        <w:keepNext/>
        <w:keepLines/>
        <w:spacing w:before="260" w:after="260" w:line="413" w:lineRule="auto"/>
        <w:jc w:val="center"/>
        <w:rPr>
          <w:rFonts w:cs="Times New Roman"/>
          <w:b/>
          <w:color w:val="000000"/>
          <w:kern w:val="0"/>
          <w:sz w:val="24"/>
          <w:szCs w:val="20"/>
          <w:highlight w:val="none"/>
        </w:rPr>
      </w:pPr>
      <w:r>
        <w:rPr>
          <w:rFonts w:hint="eastAsia" w:cs="Times New Roman"/>
          <w:b/>
          <w:color w:val="000000"/>
          <w:sz w:val="24"/>
          <w:highlight w:val="none"/>
        </w:rPr>
        <w:br w:type="page"/>
      </w:r>
      <w:bookmarkStart w:id="37" w:name="_Toc7486"/>
      <w:r>
        <w:rPr>
          <w:rFonts w:hint="eastAsia" w:cs="Times New Roman"/>
          <w:b/>
          <w:color w:val="000000"/>
          <w:kern w:val="0"/>
          <w:sz w:val="24"/>
          <w:szCs w:val="20"/>
          <w:highlight w:val="none"/>
          <w:lang w:val="en-US" w:eastAsia="zh-CN"/>
        </w:rPr>
        <w:t>五</w:t>
      </w:r>
      <w:r>
        <w:rPr>
          <w:rFonts w:hint="eastAsia" w:cs="Times New Roman"/>
          <w:b/>
          <w:color w:val="000000"/>
          <w:kern w:val="0"/>
          <w:sz w:val="24"/>
          <w:szCs w:val="20"/>
          <w:highlight w:val="none"/>
        </w:rPr>
        <w:t>、</w:t>
      </w:r>
      <w:r>
        <w:rPr>
          <w:rFonts w:hint="eastAsia" w:cs="Times New Roman"/>
          <w:b/>
          <w:color w:val="000000"/>
          <w:kern w:val="0"/>
          <w:sz w:val="24"/>
          <w:szCs w:val="20"/>
          <w:highlight w:val="none"/>
          <w:lang w:val="en-US" w:eastAsia="zh-CN"/>
        </w:rPr>
        <w:t>投标人</w:t>
      </w:r>
      <w:r>
        <w:rPr>
          <w:rFonts w:hint="eastAsia" w:cs="Times New Roman"/>
          <w:b/>
          <w:color w:val="000000"/>
          <w:kern w:val="0"/>
          <w:sz w:val="24"/>
          <w:szCs w:val="20"/>
          <w:highlight w:val="none"/>
        </w:rPr>
        <w:t>具备投标资格的证明文件</w:t>
      </w:r>
      <w:bookmarkEnd w:id="37"/>
    </w:p>
    <w:p w14:paraId="414F9422">
      <w:pPr>
        <w:keepNext/>
        <w:keepLines/>
        <w:spacing w:before="280" w:after="290" w:line="376" w:lineRule="auto"/>
        <w:jc w:val="center"/>
        <w:rPr>
          <w:rFonts w:ascii="宋体" w:hAnsi="宋体" w:cs="Times New Roman"/>
          <w:b/>
          <w:bCs/>
          <w:color w:val="000000"/>
          <w:kern w:val="0"/>
          <w:sz w:val="24"/>
          <w:szCs w:val="24"/>
          <w:highlight w:val="none"/>
        </w:rPr>
      </w:pPr>
      <w:bookmarkStart w:id="38" w:name="_Toc6445"/>
      <w:r>
        <w:rPr>
          <w:rFonts w:hint="eastAsia" w:ascii="Calibri Light" w:hAnsi="Calibri Light" w:cs="Times New Roman"/>
          <w:b/>
          <w:bCs/>
          <w:color w:val="000000"/>
          <w:kern w:val="0"/>
          <w:sz w:val="24"/>
          <w:szCs w:val="28"/>
          <w:highlight w:val="none"/>
        </w:rPr>
        <w:t>附件</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w:t>
      </w:r>
      <w:r>
        <w:rPr>
          <w:rFonts w:ascii="Calibri Light" w:hAnsi="Calibri Light" w:cs="Times New Roman"/>
          <w:b/>
          <w:bCs/>
          <w:color w:val="000000"/>
          <w:kern w:val="0"/>
          <w:sz w:val="24"/>
          <w:szCs w:val="28"/>
          <w:highlight w:val="none"/>
        </w:rPr>
        <w:t>1</w:t>
      </w:r>
      <w:bookmarkEnd w:id="38"/>
    </w:p>
    <w:p w14:paraId="6811EFFA">
      <w:pPr>
        <w:spacing w:line="360" w:lineRule="auto"/>
        <w:ind w:firstLine="480" w:firstLineChars="200"/>
        <w:jc w:val="center"/>
        <w:rPr>
          <w:rFonts w:ascii="宋体" w:hAnsi="宋体" w:cs="MingLiU_HKSCS"/>
          <w:color w:val="000000"/>
          <w:kern w:val="0"/>
          <w:sz w:val="24"/>
          <w:szCs w:val="24"/>
          <w:highlight w:val="none"/>
        </w:rPr>
      </w:pPr>
      <w:r>
        <w:rPr>
          <w:rFonts w:hint="eastAsia" w:ascii="宋体" w:hAnsi="宋体" w:cs="Times New Roman"/>
          <w:color w:val="000000"/>
          <w:kern w:val="0"/>
          <w:sz w:val="24"/>
          <w:szCs w:val="24"/>
          <w:highlight w:val="none"/>
          <w:lang w:val="en-US" w:eastAsia="zh-CN"/>
        </w:rPr>
        <w:t>投标人</w:t>
      </w:r>
      <w:r>
        <w:rPr>
          <w:rFonts w:hint="eastAsia" w:ascii="宋体" w:hAnsi="宋体" w:cs="Times New Roman"/>
          <w:color w:val="000000"/>
          <w:kern w:val="0"/>
          <w:sz w:val="24"/>
          <w:szCs w:val="24"/>
          <w:highlight w:val="none"/>
        </w:rPr>
        <w:t>基本情况表</w:t>
      </w:r>
    </w:p>
    <w:p w14:paraId="08C854FB">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lang w:val="en-US" w:eastAsia="zh-CN"/>
        </w:rPr>
        <w:t>投标人</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公章</w:t>
      </w:r>
      <w:r>
        <w:rPr>
          <w:rFonts w:ascii="宋体" w:hAnsi="宋体" w:cs="Times New Roman"/>
          <w:color w:val="000000"/>
          <w:kern w:val="0"/>
          <w:sz w:val="24"/>
          <w:szCs w:val="24"/>
          <w:highlight w:val="none"/>
        </w:rPr>
        <w:t>)</w:t>
      </w:r>
    </w:p>
    <w:tbl>
      <w:tblPr>
        <w:tblStyle w:val="45"/>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4"/>
        <w:gridCol w:w="2019"/>
        <w:gridCol w:w="2185"/>
        <w:gridCol w:w="1550"/>
      </w:tblGrid>
      <w:tr w14:paraId="166E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27C93B6E">
            <w:pPr>
              <w:spacing w:line="360" w:lineRule="auto"/>
              <w:jc w:val="center"/>
              <w:rPr>
                <w:rFonts w:ascii="宋体" w:hAnsi="宋体" w:cs="Times New Roman"/>
                <w:color w:val="000000"/>
                <w:sz w:val="24"/>
                <w:szCs w:val="24"/>
                <w:highlight w:val="none"/>
              </w:rPr>
            </w:pPr>
            <w:r>
              <w:rPr>
                <w:rFonts w:hint="eastAsia" w:ascii="宋体" w:hAnsi="宋体" w:cs="Times New Roman"/>
                <w:color w:val="000000"/>
                <w:kern w:val="0"/>
                <w:sz w:val="24"/>
                <w:szCs w:val="24"/>
                <w:highlight w:val="none"/>
                <w:lang w:val="en-US" w:eastAsia="zh-CN"/>
              </w:rPr>
              <w:t>投标人</w:t>
            </w:r>
            <w:r>
              <w:rPr>
                <w:rFonts w:hint="eastAsia" w:ascii="宋体" w:hAnsi="宋体" w:cs="Times New Roman"/>
                <w:color w:val="000000"/>
                <w:sz w:val="24"/>
                <w:szCs w:val="24"/>
                <w:highlight w:val="none"/>
              </w:rPr>
              <w:t>名称</w:t>
            </w:r>
          </w:p>
        </w:tc>
        <w:tc>
          <w:tcPr>
            <w:tcW w:w="2019" w:type="dxa"/>
            <w:vAlign w:val="center"/>
          </w:tcPr>
          <w:p w14:paraId="3428C5C9">
            <w:pPr>
              <w:spacing w:line="360" w:lineRule="auto"/>
              <w:jc w:val="center"/>
              <w:rPr>
                <w:rFonts w:ascii="宋体" w:hAnsi="宋体" w:cs="Times New Roman"/>
                <w:color w:val="000000"/>
                <w:sz w:val="24"/>
                <w:szCs w:val="24"/>
                <w:highlight w:val="none"/>
              </w:rPr>
            </w:pPr>
          </w:p>
        </w:tc>
        <w:tc>
          <w:tcPr>
            <w:tcW w:w="2185" w:type="dxa"/>
            <w:vAlign w:val="center"/>
          </w:tcPr>
          <w:p w14:paraId="38AA4C9B">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法定代表人</w:t>
            </w:r>
          </w:p>
        </w:tc>
        <w:tc>
          <w:tcPr>
            <w:tcW w:w="1550" w:type="dxa"/>
            <w:vAlign w:val="center"/>
          </w:tcPr>
          <w:p w14:paraId="628CA282">
            <w:pPr>
              <w:spacing w:line="360" w:lineRule="auto"/>
              <w:jc w:val="center"/>
              <w:rPr>
                <w:rFonts w:ascii="宋体" w:hAnsi="宋体" w:cs="MingLiU_HKSCS"/>
                <w:color w:val="000000"/>
                <w:sz w:val="24"/>
                <w:szCs w:val="24"/>
                <w:highlight w:val="none"/>
              </w:rPr>
            </w:pPr>
          </w:p>
        </w:tc>
      </w:tr>
      <w:tr w14:paraId="2F28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427CDAEB">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统一社会信用代码</w:t>
            </w:r>
          </w:p>
        </w:tc>
        <w:tc>
          <w:tcPr>
            <w:tcW w:w="2019" w:type="dxa"/>
            <w:vAlign w:val="center"/>
          </w:tcPr>
          <w:p w14:paraId="4F5738DE">
            <w:pPr>
              <w:spacing w:line="360" w:lineRule="auto"/>
              <w:jc w:val="center"/>
              <w:rPr>
                <w:rFonts w:ascii="宋体" w:hAnsi="宋体" w:cs="Times New Roman"/>
                <w:color w:val="000000"/>
                <w:sz w:val="24"/>
                <w:szCs w:val="24"/>
                <w:highlight w:val="none"/>
              </w:rPr>
            </w:pPr>
          </w:p>
        </w:tc>
        <w:tc>
          <w:tcPr>
            <w:tcW w:w="2185" w:type="dxa"/>
            <w:vAlign w:val="center"/>
          </w:tcPr>
          <w:p w14:paraId="29E23F20">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邮政编码</w:t>
            </w:r>
          </w:p>
        </w:tc>
        <w:tc>
          <w:tcPr>
            <w:tcW w:w="1550" w:type="dxa"/>
            <w:vAlign w:val="center"/>
          </w:tcPr>
          <w:p w14:paraId="0A4E073A">
            <w:pPr>
              <w:spacing w:line="360" w:lineRule="auto"/>
              <w:jc w:val="center"/>
              <w:rPr>
                <w:rFonts w:ascii="宋体" w:hAnsi="宋体" w:cs="Times New Roman"/>
                <w:color w:val="000000"/>
                <w:sz w:val="24"/>
                <w:szCs w:val="24"/>
                <w:highlight w:val="none"/>
              </w:rPr>
            </w:pPr>
          </w:p>
        </w:tc>
      </w:tr>
      <w:tr w14:paraId="2CB4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13EE1335">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授权代表</w:t>
            </w:r>
          </w:p>
        </w:tc>
        <w:tc>
          <w:tcPr>
            <w:tcW w:w="2019" w:type="dxa"/>
            <w:vAlign w:val="center"/>
          </w:tcPr>
          <w:p w14:paraId="1E6F020B">
            <w:pPr>
              <w:spacing w:line="360" w:lineRule="auto"/>
              <w:jc w:val="center"/>
              <w:rPr>
                <w:rFonts w:ascii="宋体" w:hAnsi="宋体" w:cs="Times New Roman"/>
                <w:color w:val="000000"/>
                <w:sz w:val="24"/>
                <w:szCs w:val="24"/>
                <w:highlight w:val="none"/>
              </w:rPr>
            </w:pPr>
          </w:p>
        </w:tc>
        <w:tc>
          <w:tcPr>
            <w:tcW w:w="2185" w:type="dxa"/>
            <w:vAlign w:val="center"/>
          </w:tcPr>
          <w:p w14:paraId="0155D1C1">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联系电话</w:t>
            </w:r>
          </w:p>
        </w:tc>
        <w:tc>
          <w:tcPr>
            <w:tcW w:w="1550" w:type="dxa"/>
            <w:vAlign w:val="center"/>
          </w:tcPr>
          <w:p w14:paraId="02A79F6A">
            <w:pPr>
              <w:spacing w:line="360" w:lineRule="auto"/>
              <w:jc w:val="center"/>
              <w:rPr>
                <w:rFonts w:ascii="宋体" w:hAnsi="宋体" w:cs="Times New Roman"/>
                <w:color w:val="000000"/>
                <w:sz w:val="24"/>
                <w:szCs w:val="24"/>
                <w:highlight w:val="none"/>
              </w:rPr>
            </w:pPr>
          </w:p>
        </w:tc>
      </w:tr>
      <w:tr w14:paraId="713B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690B230F">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电子邮箱</w:t>
            </w:r>
          </w:p>
        </w:tc>
        <w:tc>
          <w:tcPr>
            <w:tcW w:w="2019" w:type="dxa"/>
            <w:vAlign w:val="center"/>
          </w:tcPr>
          <w:p w14:paraId="129E7198">
            <w:pPr>
              <w:spacing w:line="360" w:lineRule="auto"/>
              <w:jc w:val="center"/>
              <w:rPr>
                <w:rFonts w:ascii="宋体" w:hAnsi="宋体" w:cs="Times New Roman"/>
                <w:color w:val="000000"/>
                <w:sz w:val="24"/>
                <w:szCs w:val="24"/>
                <w:highlight w:val="none"/>
              </w:rPr>
            </w:pPr>
          </w:p>
        </w:tc>
        <w:tc>
          <w:tcPr>
            <w:tcW w:w="2185" w:type="dxa"/>
            <w:vAlign w:val="center"/>
          </w:tcPr>
          <w:p w14:paraId="2B15137F">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传真</w:t>
            </w:r>
          </w:p>
        </w:tc>
        <w:tc>
          <w:tcPr>
            <w:tcW w:w="1550" w:type="dxa"/>
            <w:vAlign w:val="center"/>
          </w:tcPr>
          <w:p w14:paraId="5FF983B7">
            <w:pPr>
              <w:spacing w:line="360" w:lineRule="auto"/>
              <w:jc w:val="center"/>
              <w:rPr>
                <w:rFonts w:ascii="宋体" w:hAnsi="宋体" w:cs="Times New Roman"/>
                <w:color w:val="000000"/>
                <w:sz w:val="24"/>
                <w:szCs w:val="24"/>
                <w:highlight w:val="none"/>
              </w:rPr>
            </w:pPr>
          </w:p>
        </w:tc>
      </w:tr>
      <w:tr w14:paraId="5E8C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30B9AEB8">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上年营业收入</w:t>
            </w:r>
          </w:p>
        </w:tc>
        <w:tc>
          <w:tcPr>
            <w:tcW w:w="2019" w:type="dxa"/>
            <w:vAlign w:val="center"/>
          </w:tcPr>
          <w:p w14:paraId="02F6DF52">
            <w:pPr>
              <w:spacing w:line="360" w:lineRule="auto"/>
              <w:jc w:val="center"/>
              <w:rPr>
                <w:rFonts w:ascii="宋体" w:hAnsi="宋体" w:cs="Times New Roman"/>
                <w:color w:val="000000"/>
                <w:sz w:val="24"/>
                <w:szCs w:val="24"/>
                <w:highlight w:val="none"/>
              </w:rPr>
            </w:pPr>
          </w:p>
        </w:tc>
        <w:tc>
          <w:tcPr>
            <w:tcW w:w="2185" w:type="dxa"/>
            <w:vAlign w:val="center"/>
          </w:tcPr>
          <w:p w14:paraId="00EE4FAA">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员工总人数</w:t>
            </w:r>
          </w:p>
        </w:tc>
        <w:tc>
          <w:tcPr>
            <w:tcW w:w="1550" w:type="dxa"/>
            <w:vAlign w:val="center"/>
          </w:tcPr>
          <w:p w14:paraId="339862D0">
            <w:pPr>
              <w:spacing w:line="360" w:lineRule="auto"/>
              <w:jc w:val="center"/>
              <w:rPr>
                <w:rFonts w:ascii="宋体" w:hAnsi="宋体" w:cs="MingLiU_HKSCS"/>
                <w:color w:val="000000"/>
                <w:sz w:val="24"/>
                <w:szCs w:val="24"/>
                <w:highlight w:val="none"/>
              </w:rPr>
            </w:pPr>
          </w:p>
        </w:tc>
      </w:tr>
      <w:tr w14:paraId="10A5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0BE9C573">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基本账户开户行及账号</w:t>
            </w:r>
          </w:p>
        </w:tc>
        <w:tc>
          <w:tcPr>
            <w:tcW w:w="2019" w:type="dxa"/>
            <w:vAlign w:val="center"/>
          </w:tcPr>
          <w:p w14:paraId="54E71D0B">
            <w:pPr>
              <w:spacing w:line="360" w:lineRule="auto"/>
              <w:jc w:val="center"/>
              <w:rPr>
                <w:rFonts w:ascii="宋体" w:hAnsi="宋体" w:cs="Times New Roman"/>
                <w:color w:val="000000"/>
                <w:sz w:val="24"/>
                <w:szCs w:val="24"/>
                <w:highlight w:val="none"/>
              </w:rPr>
            </w:pPr>
          </w:p>
        </w:tc>
        <w:tc>
          <w:tcPr>
            <w:tcW w:w="2185" w:type="dxa"/>
            <w:vAlign w:val="center"/>
          </w:tcPr>
          <w:p w14:paraId="025705D8">
            <w:pPr>
              <w:spacing w:line="360" w:lineRule="auto"/>
              <w:jc w:val="center"/>
              <w:rPr>
                <w:rFonts w:ascii="宋体" w:hAnsi="宋体" w:cs="Times New Roman"/>
                <w:color w:val="000000"/>
                <w:sz w:val="24"/>
                <w:szCs w:val="24"/>
                <w:highlight w:val="none"/>
              </w:rPr>
            </w:pPr>
          </w:p>
        </w:tc>
        <w:tc>
          <w:tcPr>
            <w:tcW w:w="1550" w:type="dxa"/>
            <w:vAlign w:val="center"/>
          </w:tcPr>
          <w:p w14:paraId="284CF96D">
            <w:pPr>
              <w:spacing w:line="360" w:lineRule="auto"/>
              <w:jc w:val="center"/>
              <w:rPr>
                <w:rFonts w:ascii="宋体" w:hAnsi="宋体" w:cs="Times New Roman"/>
                <w:color w:val="000000"/>
                <w:sz w:val="24"/>
                <w:szCs w:val="24"/>
                <w:highlight w:val="none"/>
              </w:rPr>
            </w:pPr>
          </w:p>
        </w:tc>
      </w:tr>
      <w:tr w14:paraId="4E93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44DADFED">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税务登记机关</w:t>
            </w:r>
          </w:p>
        </w:tc>
        <w:tc>
          <w:tcPr>
            <w:tcW w:w="2019" w:type="dxa"/>
            <w:vAlign w:val="center"/>
          </w:tcPr>
          <w:p w14:paraId="00650D20">
            <w:pPr>
              <w:spacing w:line="360" w:lineRule="auto"/>
              <w:jc w:val="center"/>
              <w:rPr>
                <w:rFonts w:ascii="宋体" w:hAnsi="宋体" w:cs="MingLiU_HKSCS"/>
                <w:color w:val="000000"/>
                <w:sz w:val="24"/>
                <w:szCs w:val="24"/>
                <w:highlight w:val="none"/>
              </w:rPr>
            </w:pPr>
          </w:p>
        </w:tc>
        <w:tc>
          <w:tcPr>
            <w:tcW w:w="2185" w:type="dxa"/>
            <w:vAlign w:val="center"/>
          </w:tcPr>
          <w:p w14:paraId="5E84197B">
            <w:pPr>
              <w:spacing w:line="360" w:lineRule="auto"/>
              <w:jc w:val="center"/>
              <w:rPr>
                <w:rFonts w:ascii="宋体" w:hAnsi="宋体" w:cs="MingLiU_HKSCS"/>
                <w:color w:val="000000"/>
                <w:sz w:val="24"/>
                <w:szCs w:val="24"/>
                <w:highlight w:val="none"/>
              </w:rPr>
            </w:pPr>
          </w:p>
        </w:tc>
        <w:tc>
          <w:tcPr>
            <w:tcW w:w="1550" w:type="dxa"/>
            <w:vAlign w:val="center"/>
          </w:tcPr>
          <w:p w14:paraId="7CD7D14F">
            <w:pPr>
              <w:spacing w:line="360" w:lineRule="auto"/>
              <w:jc w:val="center"/>
              <w:rPr>
                <w:rFonts w:ascii="宋体" w:hAnsi="宋体" w:cs="MingLiU_HKSCS"/>
                <w:color w:val="000000"/>
                <w:sz w:val="24"/>
                <w:szCs w:val="24"/>
                <w:highlight w:val="none"/>
              </w:rPr>
            </w:pPr>
          </w:p>
        </w:tc>
      </w:tr>
      <w:tr w14:paraId="5324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3974823F">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资质名称</w:t>
            </w:r>
          </w:p>
        </w:tc>
        <w:tc>
          <w:tcPr>
            <w:tcW w:w="2019" w:type="dxa"/>
            <w:vAlign w:val="center"/>
          </w:tcPr>
          <w:p w14:paraId="2949DED6">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等级</w:t>
            </w:r>
          </w:p>
        </w:tc>
        <w:tc>
          <w:tcPr>
            <w:tcW w:w="2185" w:type="dxa"/>
            <w:vAlign w:val="center"/>
          </w:tcPr>
          <w:p w14:paraId="3B47CC50">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发证机关</w:t>
            </w:r>
          </w:p>
        </w:tc>
        <w:tc>
          <w:tcPr>
            <w:tcW w:w="1550" w:type="dxa"/>
            <w:vAlign w:val="center"/>
          </w:tcPr>
          <w:p w14:paraId="5BD0F09D">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有效期</w:t>
            </w:r>
          </w:p>
        </w:tc>
      </w:tr>
      <w:tr w14:paraId="5393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76F4A39E">
            <w:pPr>
              <w:spacing w:line="360" w:lineRule="auto"/>
              <w:jc w:val="center"/>
              <w:rPr>
                <w:rFonts w:ascii="宋体" w:hAnsi="宋体" w:cs="Times New Roman"/>
                <w:color w:val="000000"/>
                <w:sz w:val="24"/>
                <w:szCs w:val="24"/>
                <w:highlight w:val="none"/>
              </w:rPr>
            </w:pPr>
          </w:p>
        </w:tc>
        <w:tc>
          <w:tcPr>
            <w:tcW w:w="2019" w:type="dxa"/>
            <w:vAlign w:val="center"/>
          </w:tcPr>
          <w:p w14:paraId="55C368C4">
            <w:pPr>
              <w:spacing w:line="360" w:lineRule="auto"/>
              <w:jc w:val="center"/>
              <w:rPr>
                <w:rFonts w:ascii="宋体" w:hAnsi="宋体" w:cs="Times New Roman"/>
                <w:color w:val="000000"/>
                <w:sz w:val="24"/>
                <w:szCs w:val="24"/>
                <w:highlight w:val="none"/>
              </w:rPr>
            </w:pPr>
          </w:p>
        </w:tc>
        <w:tc>
          <w:tcPr>
            <w:tcW w:w="2185" w:type="dxa"/>
            <w:vAlign w:val="center"/>
          </w:tcPr>
          <w:p w14:paraId="6D64F7D0">
            <w:pPr>
              <w:spacing w:line="360" w:lineRule="auto"/>
              <w:jc w:val="center"/>
              <w:rPr>
                <w:rFonts w:ascii="宋体" w:hAnsi="宋体" w:cs="Times New Roman"/>
                <w:color w:val="000000"/>
                <w:sz w:val="24"/>
                <w:szCs w:val="24"/>
                <w:highlight w:val="none"/>
              </w:rPr>
            </w:pPr>
          </w:p>
        </w:tc>
        <w:tc>
          <w:tcPr>
            <w:tcW w:w="1550" w:type="dxa"/>
            <w:vAlign w:val="center"/>
          </w:tcPr>
          <w:p w14:paraId="35D1C609">
            <w:pPr>
              <w:spacing w:line="360" w:lineRule="auto"/>
              <w:jc w:val="center"/>
              <w:rPr>
                <w:rFonts w:ascii="宋体" w:hAnsi="宋体" w:cs="Times New Roman"/>
                <w:color w:val="000000"/>
                <w:sz w:val="24"/>
                <w:szCs w:val="24"/>
                <w:highlight w:val="none"/>
              </w:rPr>
            </w:pPr>
          </w:p>
        </w:tc>
      </w:tr>
      <w:tr w14:paraId="7AF2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84" w:type="dxa"/>
            <w:vAlign w:val="center"/>
          </w:tcPr>
          <w:p w14:paraId="18C03FEE">
            <w:pPr>
              <w:spacing w:line="360" w:lineRule="auto"/>
              <w:jc w:val="center"/>
              <w:rPr>
                <w:rFonts w:ascii="宋体" w:hAnsi="宋体" w:cs="Times New Roman"/>
                <w:color w:val="000000"/>
                <w:sz w:val="24"/>
                <w:szCs w:val="24"/>
                <w:highlight w:val="none"/>
              </w:rPr>
            </w:pPr>
          </w:p>
        </w:tc>
        <w:tc>
          <w:tcPr>
            <w:tcW w:w="2019" w:type="dxa"/>
            <w:vAlign w:val="center"/>
          </w:tcPr>
          <w:p w14:paraId="3D36391A">
            <w:pPr>
              <w:spacing w:line="360" w:lineRule="auto"/>
              <w:jc w:val="center"/>
              <w:rPr>
                <w:rFonts w:ascii="宋体" w:hAnsi="宋体" w:cs="Times New Roman"/>
                <w:color w:val="000000"/>
                <w:sz w:val="24"/>
                <w:szCs w:val="24"/>
                <w:highlight w:val="none"/>
              </w:rPr>
            </w:pPr>
          </w:p>
        </w:tc>
        <w:tc>
          <w:tcPr>
            <w:tcW w:w="2185" w:type="dxa"/>
            <w:vAlign w:val="center"/>
          </w:tcPr>
          <w:p w14:paraId="2EEEBE74">
            <w:pPr>
              <w:spacing w:line="360" w:lineRule="auto"/>
              <w:jc w:val="center"/>
              <w:rPr>
                <w:rFonts w:ascii="宋体" w:hAnsi="宋体" w:cs="Times New Roman"/>
                <w:color w:val="000000"/>
                <w:sz w:val="24"/>
                <w:szCs w:val="24"/>
                <w:highlight w:val="none"/>
              </w:rPr>
            </w:pPr>
          </w:p>
        </w:tc>
        <w:tc>
          <w:tcPr>
            <w:tcW w:w="1550" w:type="dxa"/>
            <w:vAlign w:val="center"/>
          </w:tcPr>
          <w:p w14:paraId="630DDC57">
            <w:pPr>
              <w:spacing w:line="360" w:lineRule="auto"/>
              <w:jc w:val="center"/>
              <w:rPr>
                <w:rFonts w:ascii="宋体" w:hAnsi="宋体" w:cs="MingLiU_HKSCS"/>
                <w:color w:val="000000"/>
                <w:sz w:val="24"/>
                <w:szCs w:val="24"/>
                <w:highlight w:val="none"/>
              </w:rPr>
            </w:pPr>
          </w:p>
        </w:tc>
      </w:tr>
      <w:tr w14:paraId="054D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984" w:type="dxa"/>
            <w:vAlign w:val="center"/>
          </w:tcPr>
          <w:p w14:paraId="6B582686">
            <w:pPr>
              <w:spacing w:line="360" w:lineRule="auto"/>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备注</w:t>
            </w:r>
          </w:p>
        </w:tc>
        <w:tc>
          <w:tcPr>
            <w:tcW w:w="2019" w:type="dxa"/>
            <w:vAlign w:val="center"/>
          </w:tcPr>
          <w:p w14:paraId="51335CB4">
            <w:pPr>
              <w:spacing w:line="360" w:lineRule="auto"/>
              <w:jc w:val="center"/>
              <w:rPr>
                <w:rFonts w:ascii="宋体" w:hAnsi="宋体" w:cs="Times New Roman"/>
                <w:color w:val="000000"/>
                <w:sz w:val="24"/>
                <w:szCs w:val="24"/>
                <w:highlight w:val="none"/>
              </w:rPr>
            </w:pPr>
          </w:p>
        </w:tc>
        <w:tc>
          <w:tcPr>
            <w:tcW w:w="2185" w:type="dxa"/>
            <w:vAlign w:val="center"/>
          </w:tcPr>
          <w:p w14:paraId="3BFEBCF7">
            <w:pPr>
              <w:spacing w:line="360" w:lineRule="auto"/>
              <w:jc w:val="center"/>
              <w:rPr>
                <w:rFonts w:ascii="宋体" w:hAnsi="宋体" w:cs="Times New Roman"/>
                <w:color w:val="000000"/>
                <w:sz w:val="24"/>
                <w:szCs w:val="24"/>
                <w:highlight w:val="none"/>
              </w:rPr>
            </w:pPr>
          </w:p>
        </w:tc>
        <w:tc>
          <w:tcPr>
            <w:tcW w:w="1550" w:type="dxa"/>
            <w:vAlign w:val="center"/>
          </w:tcPr>
          <w:p w14:paraId="342D399E">
            <w:pPr>
              <w:spacing w:line="360" w:lineRule="auto"/>
              <w:jc w:val="center"/>
              <w:rPr>
                <w:rFonts w:ascii="宋体" w:hAnsi="宋体" w:cs="Times New Roman"/>
                <w:color w:val="000000"/>
                <w:sz w:val="24"/>
                <w:szCs w:val="24"/>
                <w:highlight w:val="none"/>
              </w:rPr>
            </w:pPr>
          </w:p>
        </w:tc>
      </w:tr>
    </w:tbl>
    <w:p w14:paraId="0EFDE19A">
      <w:pPr>
        <w:rPr>
          <w:rFonts w:hint="eastAsia" w:ascii="Calibri Light" w:hAnsi="Calibri Light" w:cs="Times New Roman"/>
          <w:b/>
          <w:bCs/>
          <w:color w:val="000000"/>
          <w:kern w:val="0"/>
          <w:sz w:val="24"/>
          <w:szCs w:val="28"/>
          <w:highlight w:val="none"/>
        </w:rPr>
      </w:pPr>
      <w:bookmarkStart w:id="39" w:name="_Toc19644"/>
      <w:r>
        <w:rPr>
          <w:rFonts w:hint="eastAsia" w:ascii="Calibri Light" w:hAnsi="Calibri Light" w:cs="Times New Roman"/>
          <w:b/>
          <w:bCs/>
          <w:color w:val="000000"/>
          <w:kern w:val="0"/>
          <w:sz w:val="24"/>
          <w:szCs w:val="28"/>
          <w:highlight w:val="none"/>
        </w:rPr>
        <w:br w:type="page"/>
      </w:r>
    </w:p>
    <w:p w14:paraId="35B550D3">
      <w:pPr>
        <w:keepNext/>
        <w:keepLines/>
        <w:spacing w:before="280" w:after="290" w:line="376" w:lineRule="auto"/>
        <w:jc w:val="center"/>
        <w:rPr>
          <w:rFonts w:ascii="Calibri Light" w:hAnsi="Calibri Light" w:cs="Times New Roman"/>
          <w:b/>
          <w:bCs/>
          <w:color w:val="000000"/>
          <w:kern w:val="0"/>
          <w:sz w:val="24"/>
          <w:szCs w:val="28"/>
          <w:highlight w:val="none"/>
        </w:rPr>
      </w:pPr>
      <w:r>
        <w:rPr>
          <w:rFonts w:hint="eastAsia" w:ascii="Calibri Light" w:hAnsi="Calibri Light" w:cs="Times New Roman"/>
          <w:b/>
          <w:bCs/>
          <w:color w:val="000000"/>
          <w:kern w:val="0"/>
          <w:sz w:val="24"/>
          <w:szCs w:val="28"/>
          <w:highlight w:val="none"/>
        </w:rPr>
        <w:t>★附件</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w:t>
      </w:r>
      <w:r>
        <w:rPr>
          <w:rFonts w:ascii="Calibri Light" w:hAnsi="Calibri Light" w:cs="Times New Roman"/>
          <w:b/>
          <w:bCs/>
          <w:color w:val="000000"/>
          <w:kern w:val="0"/>
          <w:sz w:val="24"/>
          <w:szCs w:val="28"/>
          <w:highlight w:val="none"/>
        </w:rPr>
        <w:t>2</w:t>
      </w:r>
      <w:r>
        <w:rPr>
          <w:rFonts w:hint="eastAsia" w:ascii="Calibri Light" w:hAnsi="Calibri Light" w:cs="Times New Roman"/>
          <w:b/>
          <w:bCs/>
          <w:color w:val="000000"/>
          <w:kern w:val="0"/>
          <w:sz w:val="24"/>
          <w:szCs w:val="28"/>
          <w:highlight w:val="none"/>
        </w:rPr>
        <w:t>　具有独立承担民事责任的能力的证明材料</w:t>
      </w:r>
      <w:bookmarkEnd w:id="39"/>
    </w:p>
    <w:p w14:paraId="57B93925">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备注：须提供法人或其他组织或自然人的营业执照副本或事业法人登记证或执业许可证或身份证等相关证明复印件（除身份证外其余证件须加盖公章）</w:t>
      </w:r>
    </w:p>
    <w:p w14:paraId="5E79AE82">
      <w:pPr>
        <w:tabs>
          <w:tab w:val="left" w:pos="3075"/>
        </w:tabs>
        <w:adjustRightInd w:val="0"/>
        <w:snapToGrid w:val="0"/>
        <w:spacing w:line="420" w:lineRule="exact"/>
        <w:ind w:firstLine="440" w:firstLineChars="200"/>
        <w:rPr>
          <w:rFonts w:ascii="仿宋_GB2312" w:hAnsi="华文中宋" w:eastAsia="仿宋_GB2312" w:cs="Times New Roman"/>
          <w:bCs/>
          <w:color w:val="000000"/>
          <w:spacing w:val="-10"/>
          <w:sz w:val="24"/>
          <w:szCs w:val="24"/>
          <w:highlight w:val="none"/>
        </w:rPr>
      </w:pPr>
    </w:p>
    <w:p w14:paraId="22C5276B">
      <w:pPr>
        <w:rPr>
          <w:rFonts w:hint="eastAsia" w:ascii="Calibri Light" w:hAnsi="Calibri Light" w:cs="Times New Roman"/>
          <w:b/>
          <w:bCs/>
          <w:color w:val="000000"/>
          <w:kern w:val="0"/>
          <w:sz w:val="24"/>
          <w:szCs w:val="28"/>
          <w:highlight w:val="none"/>
        </w:rPr>
      </w:pPr>
      <w:bookmarkStart w:id="40" w:name="_Toc13932"/>
      <w:r>
        <w:rPr>
          <w:rFonts w:hint="eastAsia" w:ascii="Calibri Light" w:hAnsi="Calibri Light" w:cs="Times New Roman"/>
          <w:b/>
          <w:bCs/>
          <w:color w:val="000000"/>
          <w:kern w:val="0"/>
          <w:sz w:val="24"/>
          <w:szCs w:val="28"/>
          <w:highlight w:val="none"/>
        </w:rPr>
        <w:br w:type="page"/>
      </w:r>
    </w:p>
    <w:p w14:paraId="0B42B702">
      <w:pPr>
        <w:keepNext/>
        <w:keepLines/>
        <w:spacing w:before="280" w:after="290" w:line="376" w:lineRule="auto"/>
        <w:jc w:val="center"/>
        <w:rPr>
          <w:rFonts w:ascii="Calibri Light" w:hAnsi="Calibri Light" w:cs="Times New Roman"/>
          <w:b/>
          <w:bCs/>
          <w:color w:val="000000"/>
          <w:kern w:val="0"/>
          <w:sz w:val="24"/>
          <w:szCs w:val="28"/>
          <w:highlight w:val="none"/>
        </w:rPr>
      </w:pPr>
      <w:r>
        <w:rPr>
          <w:rFonts w:hint="eastAsia" w:ascii="Calibri Light" w:hAnsi="Calibri Light" w:cs="Times New Roman"/>
          <w:b/>
          <w:bCs/>
          <w:color w:val="000000"/>
          <w:kern w:val="0"/>
          <w:sz w:val="24"/>
          <w:szCs w:val="28"/>
          <w:highlight w:val="none"/>
        </w:rPr>
        <w:t>★附件</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w:t>
      </w:r>
      <w:r>
        <w:rPr>
          <w:rFonts w:hint="eastAsia" w:ascii="Calibri Light" w:hAnsi="Calibri Light" w:cs="Times New Roman"/>
          <w:b/>
          <w:bCs/>
          <w:color w:val="000000"/>
          <w:kern w:val="0"/>
          <w:sz w:val="24"/>
          <w:szCs w:val="28"/>
          <w:highlight w:val="none"/>
          <w:lang w:val="en-US" w:eastAsia="zh-CN"/>
        </w:rPr>
        <w:t>3</w:t>
      </w:r>
      <w:r>
        <w:rPr>
          <w:rFonts w:hint="eastAsia" w:ascii="Calibri Light" w:hAnsi="Calibri Light" w:cs="Times New Roman"/>
          <w:b/>
          <w:bCs/>
          <w:color w:val="000000"/>
          <w:kern w:val="0"/>
          <w:sz w:val="24"/>
          <w:szCs w:val="28"/>
          <w:highlight w:val="none"/>
        </w:rPr>
        <w:t>　具有良好的商业信誉和健全的财务会计制度的证明材料</w:t>
      </w:r>
      <w:bookmarkEnd w:id="40"/>
    </w:p>
    <w:p w14:paraId="403F81A1">
      <w:pPr>
        <w:adjustRightInd w:val="0"/>
        <w:spacing w:line="360" w:lineRule="auto"/>
        <w:ind w:firstLine="480" w:firstLineChars="200"/>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供应商提供本单位上一年度经会计师事务所出具的审计报告复印件并加盖供应商公章。如供应商无法提供上一年度审计报告，则需提供银行出具的资信证明或具有良好的商业信誉和健全的财务会计制度的承诺函（承诺函格式自拟）。</w:t>
      </w:r>
    </w:p>
    <w:p w14:paraId="119F793B">
      <w:pPr>
        <w:spacing w:line="360" w:lineRule="auto"/>
        <w:ind w:firstLine="480" w:firstLineChars="200"/>
        <w:rPr>
          <w:rFonts w:ascii="宋体" w:hAnsi="宋体" w:cs="Times New Roman"/>
          <w:color w:val="000000"/>
          <w:sz w:val="24"/>
          <w:szCs w:val="24"/>
          <w:highlight w:val="none"/>
        </w:rPr>
      </w:pPr>
      <w:r>
        <w:rPr>
          <w:rFonts w:hint="eastAsia" w:ascii="宋体" w:hAnsi="宋体" w:cs="Times New Roman"/>
          <w:color w:val="000000"/>
          <w:sz w:val="24"/>
          <w:szCs w:val="24"/>
          <w:highlight w:val="none"/>
        </w:rPr>
        <w:t>说明：</w:t>
      </w:r>
    </w:p>
    <w:p w14:paraId="6E3AE80F">
      <w:pPr>
        <w:spacing w:line="360" w:lineRule="auto"/>
        <w:ind w:firstLine="480" w:firstLineChars="200"/>
        <w:rPr>
          <w:rFonts w:ascii="宋体" w:hAnsi="宋体" w:cs="Times New Roman"/>
          <w:color w:val="000000"/>
          <w:sz w:val="24"/>
          <w:szCs w:val="24"/>
          <w:highlight w:val="none"/>
        </w:rPr>
      </w:pPr>
      <w:r>
        <w:rPr>
          <w:rFonts w:hint="eastAsia" w:ascii="宋体" w:hAnsi="宋体" w:cs="Times New Roman"/>
          <w:color w:val="000000"/>
          <w:sz w:val="24"/>
          <w:szCs w:val="24"/>
          <w:highlight w:val="none"/>
        </w:rPr>
        <w:t>1、审计报告复印件至少应包括资产负债表、利润表、现金流量表及其附注、加盖会计师事务所公章页。</w:t>
      </w:r>
    </w:p>
    <w:p w14:paraId="0D6DA86A">
      <w:pPr>
        <w:tabs>
          <w:tab w:val="left" w:pos="780"/>
          <w:tab w:val="left" w:pos="1680"/>
        </w:tabs>
        <w:spacing w:line="360" w:lineRule="auto"/>
        <w:ind w:firstLine="480" w:firstLineChars="200"/>
        <w:rPr>
          <w:rFonts w:ascii="宋体" w:hAnsi="宋体" w:cs="宋体"/>
          <w:color w:val="000000"/>
          <w:sz w:val="24"/>
          <w:highlight w:val="none"/>
          <w:shd w:val="clear" w:color="auto" w:fill="FFFFFF"/>
        </w:rPr>
      </w:pPr>
      <w:r>
        <w:rPr>
          <w:rFonts w:hint="eastAsia" w:ascii="宋体" w:hAnsi="宋体" w:cs="Times New Roman"/>
          <w:color w:val="000000"/>
          <w:sz w:val="24"/>
          <w:szCs w:val="24"/>
          <w:highlight w:val="none"/>
        </w:rPr>
        <w:t>2、银行资信证明是指供应商参加本次招标截止日前三个月内开立基本账户的银行开具的资信证明（成立一年内的公司可提交当年验资证明复印件并加盖公</w:t>
      </w:r>
      <w:r>
        <w:rPr>
          <w:rFonts w:hint="eastAsia" w:ascii="宋体" w:hAnsi="宋体" w:cs="宋体"/>
          <w:color w:val="000000"/>
          <w:sz w:val="24"/>
          <w:highlight w:val="none"/>
          <w:shd w:val="clear" w:color="auto" w:fill="FFFFFF"/>
        </w:rPr>
        <w:t>章），且无收受人和项目的限制，但开具银行有限制规定的除外。</w:t>
      </w:r>
    </w:p>
    <w:p w14:paraId="29E80728">
      <w:pPr>
        <w:tabs>
          <w:tab w:val="left" w:pos="780"/>
          <w:tab w:val="left" w:pos="1680"/>
        </w:tabs>
        <w:spacing w:line="360" w:lineRule="auto"/>
        <w:ind w:firstLine="480" w:firstLineChars="200"/>
        <w:rPr>
          <w:rFonts w:ascii="宋体" w:hAnsi="宋体" w:cs="宋体"/>
          <w:color w:val="000000"/>
          <w:sz w:val="24"/>
          <w:highlight w:val="none"/>
          <w:shd w:val="clear" w:color="auto" w:fill="FFFFFF"/>
        </w:rPr>
      </w:pPr>
      <w:r>
        <w:rPr>
          <w:rFonts w:hint="eastAsia" w:ascii="宋体" w:hAnsi="宋体" w:cs="宋体"/>
          <w:color w:val="000000"/>
          <w:sz w:val="24"/>
          <w:highlight w:val="none"/>
          <w:shd w:val="clear" w:color="auto" w:fill="FFFFFF"/>
        </w:rPr>
        <w:t>3、银行资信证明可以是复印件并加盖供应商公章，招标小组保留审核原件的权利。</w:t>
      </w:r>
      <w:r>
        <w:rPr>
          <w:rFonts w:hint="eastAsia" w:ascii="宋体" w:hAnsi="宋体" w:cs="宋体"/>
          <w:b/>
          <w:color w:val="000000"/>
          <w:sz w:val="24"/>
          <w:highlight w:val="none"/>
          <w:shd w:val="clear" w:color="auto" w:fill="FFFFFF"/>
        </w:rPr>
        <w:t>但开具银行明确规定复印件无效的，须提交原件。</w:t>
      </w:r>
    </w:p>
    <w:p w14:paraId="5FC20077">
      <w:pPr>
        <w:spacing w:line="360" w:lineRule="auto"/>
        <w:ind w:firstLine="480" w:firstLineChars="200"/>
        <w:rPr>
          <w:rFonts w:ascii="宋体" w:hAnsi="宋体" w:cs="宋体"/>
          <w:color w:val="000000"/>
          <w:sz w:val="24"/>
          <w:highlight w:val="none"/>
          <w:shd w:val="clear" w:color="auto" w:fill="FFFFFF"/>
        </w:rPr>
      </w:pPr>
      <w:r>
        <w:rPr>
          <w:rFonts w:hint="eastAsia" w:ascii="宋体" w:hAnsi="宋体" w:cs="宋体"/>
          <w:color w:val="000000"/>
          <w:sz w:val="24"/>
          <w:highlight w:val="none"/>
          <w:shd w:val="clear" w:color="auto" w:fill="FFFFFF"/>
        </w:rPr>
        <w:t>4、银行资信证明应能说明该供应商与银行之间业务往来正常，无不良记录，企业信誉良好等。银行出具的存款证明不能作为银行资信证明。</w:t>
      </w:r>
    </w:p>
    <w:p w14:paraId="4D10AE3E">
      <w:pPr>
        <w:spacing w:line="360" w:lineRule="auto"/>
        <w:ind w:firstLine="480" w:firstLineChars="200"/>
        <w:rPr>
          <w:rFonts w:ascii="宋体" w:hAnsi="宋体" w:cs="Times New Roman"/>
          <w:color w:val="000000"/>
          <w:sz w:val="24"/>
          <w:szCs w:val="24"/>
          <w:highlight w:val="none"/>
        </w:rPr>
      </w:pPr>
      <w:r>
        <w:rPr>
          <w:rFonts w:hint="eastAsia" w:ascii="宋体" w:hAnsi="宋体" w:cs="宋体"/>
          <w:color w:val="000000"/>
          <w:sz w:val="24"/>
          <w:highlight w:val="none"/>
          <w:shd w:val="clear" w:color="auto" w:fill="FFFFFF"/>
        </w:rPr>
        <w:t>5、</w:t>
      </w:r>
      <w:r>
        <w:rPr>
          <w:rFonts w:hint="eastAsia" w:ascii="宋体" w:hAnsi="宋体" w:cs="宋体"/>
          <w:color w:val="000000"/>
          <w:sz w:val="24"/>
          <w:szCs w:val="24"/>
          <w:highlight w:val="none"/>
        </w:rPr>
        <w:t>当月新成立公司不需要提供。</w:t>
      </w:r>
    </w:p>
    <w:p w14:paraId="6DB5A01D">
      <w:pPr>
        <w:rPr>
          <w:rFonts w:hint="eastAsia" w:ascii="Calibri Light" w:hAnsi="Calibri Light" w:cs="Times New Roman"/>
          <w:b/>
          <w:bCs/>
          <w:color w:val="000000"/>
          <w:kern w:val="0"/>
          <w:sz w:val="24"/>
          <w:szCs w:val="28"/>
          <w:highlight w:val="none"/>
        </w:rPr>
      </w:pPr>
      <w:bookmarkStart w:id="41" w:name="_Toc15606"/>
      <w:r>
        <w:rPr>
          <w:rFonts w:hint="eastAsia" w:ascii="Calibri Light" w:hAnsi="Calibri Light" w:cs="Times New Roman"/>
          <w:b/>
          <w:bCs/>
          <w:color w:val="000000"/>
          <w:kern w:val="0"/>
          <w:sz w:val="24"/>
          <w:szCs w:val="28"/>
          <w:highlight w:val="none"/>
        </w:rPr>
        <w:br w:type="page"/>
      </w:r>
    </w:p>
    <w:p w14:paraId="7BBF0355">
      <w:pPr>
        <w:keepNext/>
        <w:keepLines/>
        <w:spacing w:before="280" w:after="290" w:line="376" w:lineRule="auto"/>
        <w:jc w:val="center"/>
        <w:rPr>
          <w:rFonts w:ascii="Calibri Light" w:hAnsi="Calibri Light" w:cs="Times New Roman"/>
          <w:b/>
          <w:bCs/>
          <w:color w:val="000000"/>
          <w:kern w:val="0"/>
          <w:sz w:val="24"/>
          <w:szCs w:val="28"/>
          <w:highlight w:val="none"/>
        </w:rPr>
      </w:pPr>
      <w:r>
        <w:rPr>
          <w:rFonts w:hint="eastAsia" w:ascii="Calibri Light" w:hAnsi="Calibri Light" w:cs="Times New Roman"/>
          <w:b/>
          <w:bCs/>
          <w:color w:val="000000"/>
          <w:kern w:val="0"/>
          <w:sz w:val="24"/>
          <w:szCs w:val="28"/>
          <w:highlight w:val="none"/>
        </w:rPr>
        <w:t>★附件</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w:t>
      </w:r>
      <w:r>
        <w:rPr>
          <w:rFonts w:hint="eastAsia" w:ascii="Calibri Light" w:hAnsi="Calibri Light" w:cs="Times New Roman"/>
          <w:b/>
          <w:bCs/>
          <w:color w:val="000000"/>
          <w:kern w:val="0"/>
          <w:sz w:val="24"/>
          <w:szCs w:val="28"/>
          <w:highlight w:val="none"/>
          <w:lang w:val="en-US" w:eastAsia="zh-CN"/>
        </w:rPr>
        <w:t>4</w:t>
      </w:r>
      <w:r>
        <w:rPr>
          <w:rFonts w:hint="eastAsia" w:ascii="Calibri Light" w:hAnsi="Calibri Light" w:cs="Times New Roman"/>
          <w:b/>
          <w:bCs/>
          <w:color w:val="000000"/>
          <w:kern w:val="0"/>
          <w:sz w:val="24"/>
          <w:szCs w:val="28"/>
          <w:highlight w:val="none"/>
        </w:rPr>
        <w:t>具备履行合同所必需的设备和专业技术能力的证明材料</w:t>
      </w:r>
      <w:bookmarkEnd w:id="41"/>
    </w:p>
    <w:p w14:paraId="6D67A56E">
      <w:pPr>
        <w:spacing w:line="360" w:lineRule="auto"/>
        <w:ind w:firstLine="480" w:firstLineChars="200"/>
        <w:rPr>
          <w:rFonts w:ascii="宋体" w:hAnsi="宋体" w:cs="宋体"/>
          <w:b/>
          <w:bCs/>
          <w:color w:val="000000"/>
          <w:kern w:val="0"/>
          <w:sz w:val="24"/>
          <w:szCs w:val="24"/>
          <w:highlight w:val="none"/>
        </w:rPr>
      </w:pPr>
      <w:r>
        <w:rPr>
          <w:rFonts w:hint="eastAsia" w:ascii="宋体" w:hAnsi="宋体" w:cs="宋体"/>
          <w:color w:val="000000"/>
          <w:sz w:val="24"/>
          <w:highlight w:val="none"/>
        </w:rPr>
        <w:t>说明：供应商提供书面声明或相关证明材料（例如：相关设备的购置发票或相关人员的职称证书、用工合同等），证明材料可以是文字描述、图纸或数据等，能够说明供应商已具有履行本项目合同所必需的设备和专业技术能力。</w:t>
      </w:r>
    </w:p>
    <w:p w14:paraId="53026F0F">
      <w:pPr>
        <w:rPr>
          <w:rFonts w:cs="Times New Roman"/>
          <w:color w:val="000000"/>
          <w:highlight w:val="none"/>
        </w:rPr>
      </w:pPr>
    </w:p>
    <w:p w14:paraId="67D39AE8">
      <w:pPr>
        <w:rPr>
          <w:rFonts w:hint="eastAsia" w:ascii="Calibri Light" w:hAnsi="Calibri Light" w:cs="Times New Roman"/>
          <w:b/>
          <w:bCs/>
          <w:color w:val="000000"/>
          <w:kern w:val="0"/>
          <w:sz w:val="24"/>
          <w:szCs w:val="28"/>
          <w:highlight w:val="none"/>
        </w:rPr>
      </w:pPr>
      <w:bookmarkStart w:id="42" w:name="_Toc11384"/>
      <w:r>
        <w:rPr>
          <w:rFonts w:hint="eastAsia" w:ascii="Calibri Light" w:hAnsi="Calibri Light" w:cs="Times New Roman"/>
          <w:b/>
          <w:bCs/>
          <w:color w:val="000000"/>
          <w:kern w:val="0"/>
          <w:sz w:val="24"/>
          <w:szCs w:val="28"/>
          <w:highlight w:val="none"/>
        </w:rPr>
        <w:br w:type="page"/>
      </w:r>
    </w:p>
    <w:p w14:paraId="6C5A794C">
      <w:pPr>
        <w:keepNext/>
        <w:keepLines/>
        <w:spacing w:before="280" w:after="290" w:line="376" w:lineRule="auto"/>
        <w:jc w:val="center"/>
        <w:rPr>
          <w:rFonts w:ascii="Calibri Light" w:hAnsi="Calibri Light" w:cs="Times New Roman"/>
          <w:b/>
          <w:bCs/>
          <w:color w:val="000000"/>
          <w:kern w:val="0"/>
          <w:sz w:val="24"/>
          <w:szCs w:val="28"/>
          <w:highlight w:val="none"/>
        </w:rPr>
      </w:pPr>
      <w:r>
        <w:rPr>
          <w:rFonts w:hint="eastAsia" w:ascii="Calibri Light" w:hAnsi="Calibri Light" w:cs="Times New Roman"/>
          <w:b/>
          <w:bCs/>
          <w:color w:val="000000"/>
          <w:kern w:val="0"/>
          <w:sz w:val="24"/>
          <w:szCs w:val="28"/>
          <w:highlight w:val="none"/>
        </w:rPr>
        <w:t>★附件</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有依法缴纳税收和社会保障资金的良好记录的证明材料</w:t>
      </w:r>
      <w:bookmarkEnd w:id="42"/>
    </w:p>
    <w:p w14:paraId="13AB7FC3">
      <w:pPr>
        <w:pStyle w:val="133"/>
        <w:spacing w:line="360" w:lineRule="exact"/>
        <w:ind w:firstLine="0" w:firstLineChars="0"/>
        <w:jc w:val="both"/>
        <w:rPr>
          <w:rFonts w:hint="eastAsia" w:ascii="宋体" w:hAnsi="宋体" w:eastAsia="宋体" w:cs="宋体"/>
          <w:bCs w:val="0"/>
          <w:color w:val="000000"/>
          <w:spacing w:val="0"/>
          <w:kern w:val="2"/>
          <w:sz w:val="24"/>
          <w:szCs w:val="22"/>
          <w:highlight w:val="none"/>
          <w:lang w:val="en-US" w:eastAsia="zh-CN" w:bidi="ar-SA"/>
        </w:rPr>
      </w:pPr>
      <w:r>
        <w:rPr>
          <w:rFonts w:hint="eastAsia" w:ascii="宋体" w:hAnsi="宋体" w:cs="宋体"/>
          <w:bCs w:val="0"/>
          <w:color w:val="000000"/>
          <w:spacing w:val="0"/>
          <w:kern w:val="2"/>
          <w:sz w:val="24"/>
          <w:szCs w:val="22"/>
          <w:highlight w:val="none"/>
          <w:lang w:val="en-US" w:eastAsia="zh-CN" w:bidi="ar-SA"/>
        </w:rPr>
        <w:t>1.</w:t>
      </w:r>
      <w:r>
        <w:rPr>
          <w:rFonts w:hint="eastAsia" w:ascii="宋体" w:hAnsi="宋体" w:eastAsia="宋体" w:cs="宋体"/>
          <w:bCs w:val="0"/>
          <w:color w:val="000000"/>
          <w:spacing w:val="0"/>
          <w:kern w:val="2"/>
          <w:sz w:val="24"/>
          <w:szCs w:val="22"/>
          <w:highlight w:val="none"/>
          <w:lang w:val="en-US" w:eastAsia="zh-CN" w:bidi="ar-SA"/>
        </w:rPr>
        <w:t>须提供响应文件递交截止日期之前六个月内任何一期的纳税记录或证明文件原件扫描件加盖电子公章（依法免税的应提供相应文件说明）</w:t>
      </w:r>
    </w:p>
    <w:p w14:paraId="6DE6F232">
      <w:pPr>
        <w:keepNext/>
        <w:keepLines/>
        <w:spacing w:before="280" w:after="290" w:line="376" w:lineRule="auto"/>
        <w:jc w:val="left"/>
        <w:rPr>
          <w:rFonts w:hint="eastAsia" w:ascii="宋体" w:hAnsi="宋体" w:eastAsia="宋体" w:cs="Times New Roman"/>
          <w:bCs/>
          <w:color w:val="000000"/>
          <w:kern w:val="0"/>
          <w:sz w:val="24"/>
          <w:szCs w:val="24"/>
          <w:highlight w:val="none"/>
          <w:lang w:eastAsia="zh-CN"/>
        </w:rPr>
      </w:pPr>
      <w:r>
        <w:rPr>
          <w:rFonts w:hint="eastAsia" w:ascii="宋体" w:hAnsi="宋体" w:cs="宋体"/>
          <w:bCs w:val="0"/>
          <w:color w:val="000000"/>
          <w:spacing w:val="0"/>
          <w:kern w:val="2"/>
          <w:sz w:val="24"/>
          <w:szCs w:val="22"/>
          <w:highlight w:val="none"/>
          <w:lang w:val="en-US" w:eastAsia="zh-CN" w:bidi="ar-SA"/>
        </w:rPr>
        <w:t>2.</w:t>
      </w:r>
      <w:r>
        <w:rPr>
          <w:rFonts w:hint="eastAsia" w:ascii="宋体" w:hAnsi="宋体" w:eastAsia="宋体" w:cs="宋体"/>
          <w:bCs w:val="0"/>
          <w:color w:val="000000"/>
          <w:spacing w:val="0"/>
          <w:kern w:val="2"/>
          <w:sz w:val="24"/>
          <w:szCs w:val="22"/>
          <w:highlight w:val="none"/>
          <w:lang w:val="en-US" w:eastAsia="zh-CN" w:bidi="ar-SA"/>
        </w:rPr>
        <w:t>须提供响应文件递交截止日期之前六个月内为员工缴纳社会保障资金的证明材料原件扫描件加盖电子公章（任意一个月即可），证明材料是缴纳社会保险的凭据（专用收据或社会保险缴纳清单）（依法不需要缴纳社会保障资金的应提供相应文件说明</w:t>
      </w:r>
      <w:bookmarkStart w:id="57" w:name="_GoBack"/>
      <w:bookmarkEnd w:id="57"/>
      <w:r>
        <w:rPr>
          <w:rFonts w:hint="eastAsia" w:ascii="宋体" w:hAnsi="宋体" w:cs="宋体"/>
          <w:color w:val="000000"/>
          <w:sz w:val="21"/>
          <w:szCs w:val="21"/>
          <w:highlight w:val="none"/>
        </w:rPr>
        <w:t>）</w:t>
      </w:r>
      <w:r>
        <w:rPr>
          <w:rFonts w:ascii="宋体" w:hAnsi="宋体" w:cs="Times New Roman"/>
          <w:b/>
          <w:bCs/>
          <w:color w:val="000000"/>
          <w:kern w:val="0"/>
          <w:sz w:val="24"/>
          <w:szCs w:val="28"/>
          <w:highlight w:val="none"/>
        </w:rPr>
        <w:br w:type="page"/>
      </w:r>
      <w:bookmarkStart w:id="43" w:name="_Toc10946"/>
      <w:r>
        <w:rPr>
          <w:rFonts w:hint="eastAsia" w:ascii="Calibri Light" w:hAnsi="Calibri Light" w:cs="Times New Roman"/>
          <w:b/>
          <w:bCs/>
          <w:color w:val="000000"/>
          <w:kern w:val="0"/>
          <w:sz w:val="24"/>
          <w:szCs w:val="28"/>
          <w:highlight w:val="none"/>
        </w:rPr>
        <w:t>★附件</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w:t>
      </w:r>
      <w:bookmarkEnd w:id="43"/>
      <w:r>
        <w:rPr>
          <w:rFonts w:hint="eastAsia" w:ascii="Calibri Light" w:hAnsi="Calibri Light" w:cs="Times New Roman"/>
          <w:b/>
          <w:bCs/>
          <w:color w:val="000000"/>
          <w:kern w:val="0"/>
          <w:sz w:val="24"/>
          <w:szCs w:val="28"/>
          <w:highlight w:val="none"/>
          <w:lang w:val="en-US" w:eastAsia="zh-CN"/>
        </w:rPr>
        <w:t>6</w:t>
      </w:r>
    </w:p>
    <w:p w14:paraId="3D730996">
      <w:pPr>
        <w:jc w:val="center"/>
        <w:rPr>
          <w:rFonts w:cs="Times New Roman"/>
          <w:b/>
          <w:color w:val="000000"/>
          <w:sz w:val="24"/>
          <w:szCs w:val="24"/>
          <w:highlight w:val="none"/>
        </w:rPr>
      </w:pPr>
      <w:r>
        <w:rPr>
          <w:rFonts w:hint="eastAsia" w:cs="Times New Roman"/>
          <w:b/>
          <w:color w:val="000000"/>
          <w:sz w:val="24"/>
          <w:szCs w:val="24"/>
          <w:highlight w:val="none"/>
        </w:rPr>
        <w:t>参加政府采购活动近三年内在经营活动中</w:t>
      </w:r>
    </w:p>
    <w:p w14:paraId="2B3E48BE">
      <w:pPr>
        <w:jc w:val="center"/>
        <w:rPr>
          <w:rFonts w:ascii="宋体" w:hAnsi="宋体" w:cs="Times New Roman"/>
          <w:b/>
          <w:color w:val="000000"/>
          <w:sz w:val="24"/>
          <w:szCs w:val="24"/>
          <w:highlight w:val="none"/>
        </w:rPr>
      </w:pPr>
      <w:r>
        <w:rPr>
          <w:rFonts w:hint="eastAsia" w:cs="Times New Roman"/>
          <w:b/>
          <w:color w:val="000000"/>
          <w:sz w:val="24"/>
          <w:szCs w:val="24"/>
          <w:highlight w:val="none"/>
        </w:rPr>
        <w:t>没有重大违法记录的书面声明</w:t>
      </w:r>
    </w:p>
    <w:p w14:paraId="14ED7AF0">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本单位郑重声明：</w:t>
      </w:r>
    </w:p>
    <w:p w14:paraId="1F9B09A5">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我单位在参加采购活动前三年内在经营活动中没有《中华人民共和国政府采购法》第二十二条第一款第</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五</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项所称重大违法记录，包括：</w:t>
      </w:r>
    </w:p>
    <w:p w14:paraId="293DE539">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我单位或者其法定代表人、董事、监事、高级管理人员未因经营活动中的违法行为受到刑事处罚或者责令停产停业、吊销许可证或者执照、较大数额罚款等行政处罚。</w:t>
      </w:r>
    </w:p>
    <w:p w14:paraId="7D5B4CA0">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特此声明！</w:t>
      </w:r>
    </w:p>
    <w:p w14:paraId="383700D8">
      <w:pPr>
        <w:spacing w:line="360" w:lineRule="auto"/>
        <w:ind w:firstLine="480" w:firstLineChars="200"/>
        <w:rPr>
          <w:rFonts w:ascii="宋体" w:hAnsi="宋体" w:cs="Times New Roman"/>
          <w:color w:val="000000"/>
          <w:kern w:val="0"/>
          <w:sz w:val="24"/>
          <w:szCs w:val="24"/>
          <w:highlight w:val="none"/>
        </w:rPr>
      </w:pPr>
    </w:p>
    <w:p w14:paraId="2DA1888A">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投标人名称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4EF46EDD">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0CAE7888">
      <w:pPr>
        <w:spacing w:line="360" w:lineRule="auto"/>
        <w:ind w:firstLine="480" w:firstLineChars="200"/>
        <w:rPr>
          <w:rFonts w:ascii="宋体" w:hAnsi="宋体" w:cs="Times New Roman"/>
          <w:color w:val="000000"/>
          <w:kern w:val="0"/>
          <w:sz w:val="20"/>
          <w:szCs w:val="21"/>
          <w:highlight w:val="none"/>
        </w:rPr>
      </w:pPr>
      <w:r>
        <w:rPr>
          <w:rFonts w:hint="eastAsia" w:ascii="宋体" w:hAnsi="宋体" w:cs="Times New Roman"/>
          <w:color w:val="000000"/>
          <w:kern w:val="0"/>
          <w:sz w:val="24"/>
          <w:szCs w:val="24"/>
          <w:highlight w:val="none"/>
        </w:rPr>
        <w:t>日期：</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6F0BAFB7">
      <w:pPr>
        <w:ind w:firstLine="400" w:firstLineChars="200"/>
        <w:rPr>
          <w:rFonts w:ascii="宋体" w:hAnsi="宋体" w:cs="Times New Roman"/>
          <w:color w:val="000000"/>
          <w:kern w:val="0"/>
          <w:sz w:val="20"/>
          <w:szCs w:val="21"/>
          <w:highlight w:val="none"/>
        </w:rPr>
      </w:pPr>
    </w:p>
    <w:p w14:paraId="0B480205">
      <w:pPr>
        <w:ind w:firstLine="400" w:firstLineChars="200"/>
        <w:rPr>
          <w:rFonts w:ascii="宋体" w:hAnsi="宋体" w:cs="Times New Roman"/>
          <w:color w:val="000000"/>
          <w:kern w:val="0"/>
          <w:sz w:val="20"/>
          <w:szCs w:val="21"/>
          <w:highlight w:val="none"/>
        </w:rPr>
      </w:pPr>
    </w:p>
    <w:p w14:paraId="6F3C6F78">
      <w:pPr>
        <w:ind w:firstLine="400" w:firstLineChars="200"/>
        <w:rPr>
          <w:rFonts w:ascii="宋体" w:hAnsi="宋体" w:cs="Times New Roman"/>
          <w:color w:val="000000"/>
          <w:kern w:val="0"/>
          <w:sz w:val="20"/>
          <w:szCs w:val="21"/>
          <w:highlight w:val="none"/>
        </w:rPr>
      </w:pPr>
    </w:p>
    <w:p w14:paraId="0D350A80">
      <w:pPr>
        <w:ind w:firstLine="400" w:firstLineChars="200"/>
        <w:rPr>
          <w:rFonts w:ascii="宋体" w:hAnsi="宋体" w:cs="Times New Roman"/>
          <w:color w:val="000000"/>
          <w:kern w:val="0"/>
          <w:sz w:val="20"/>
          <w:szCs w:val="21"/>
          <w:highlight w:val="none"/>
        </w:rPr>
      </w:pPr>
    </w:p>
    <w:p w14:paraId="461864EC">
      <w:pPr>
        <w:ind w:firstLine="400" w:firstLineChars="200"/>
        <w:rPr>
          <w:rFonts w:ascii="宋体" w:hAnsi="宋体" w:cs="Times New Roman"/>
          <w:color w:val="000000"/>
          <w:kern w:val="0"/>
          <w:sz w:val="20"/>
          <w:szCs w:val="21"/>
          <w:highlight w:val="none"/>
        </w:rPr>
      </w:pPr>
    </w:p>
    <w:p w14:paraId="13FC3D13">
      <w:pPr>
        <w:ind w:firstLine="400" w:firstLineChars="200"/>
        <w:rPr>
          <w:rFonts w:ascii="宋体" w:hAnsi="宋体" w:cs="Times New Roman"/>
          <w:color w:val="000000"/>
          <w:kern w:val="0"/>
          <w:sz w:val="20"/>
          <w:szCs w:val="21"/>
          <w:highlight w:val="none"/>
        </w:rPr>
      </w:pPr>
    </w:p>
    <w:p w14:paraId="47F0E94A">
      <w:pPr>
        <w:ind w:firstLine="400" w:firstLineChars="200"/>
        <w:rPr>
          <w:rFonts w:ascii="宋体" w:hAnsi="宋体" w:cs="Times New Roman"/>
          <w:color w:val="000000"/>
          <w:kern w:val="0"/>
          <w:sz w:val="20"/>
          <w:szCs w:val="21"/>
          <w:highlight w:val="none"/>
        </w:rPr>
      </w:pPr>
    </w:p>
    <w:p w14:paraId="5058519F">
      <w:pPr>
        <w:ind w:firstLine="400" w:firstLineChars="200"/>
        <w:rPr>
          <w:rFonts w:ascii="宋体" w:hAnsi="宋体" w:cs="Times New Roman"/>
          <w:color w:val="000000"/>
          <w:kern w:val="0"/>
          <w:sz w:val="20"/>
          <w:szCs w:val="21"/>
          <w:highlight w:val="none"/>
        </w:rPr>
      </w:pPr>
    </w:p>
    <w:p w14:paraId="3E63E619">
      <w:pPr>
        <w:ind w:firstLine="400" w:firstLineChars="200"/>
        <w:rPr>
          <w:rFonts w:ascii="宋体" w:hAnsi="宋体" w:cs="Times New Roman"/>
          <w:color w:val="000000"/>
          <w:kern w:val="0"/>
          <w:sz w:val="20"/>
          <w:szCs w:val="21"/>
          <w:highlight w:val="none"/>
        </w:rPr>
      </w:pPr>
    </w:p>
    <w:p w14:paraId="7D35AB57">
      <w:pPr>
        <w:ind w:firstLine="400" w:firstLineChars="200"/>
        <w:rPr>
          <w:rFonts w:ascii="宋体" w:hAnsi="宋体" w:cs="Times New Roman"/>
          <w:color w:val="000000"/>
          <w:kern w:val="0"/>
          <w:sz w:val="20"/>
          <w:szCs w:val="21"/>
          <w:highlight w:val="none"/>
        </w:rPr>
      </w:pPr>
    </w:p>
    <w:p w14:paraId="7083ECBF">
      <w:pPr>
        <w:ind w:firstLine="400" w:firstLineChars="200"/>
        <w:rPr>
          <w:rFonts w:ascii="宋体" w:hAnsi="宋体" w:cs="Times New Roman"/>
          <w:color w:val="000000"/>
          <w:kern w:val="0"/>
          <w:sz w:val="20"/>
          <w:szCs w:val="21"/>
          <w:highlight w:val="none"/>
        </w:rPr>
      </w:pPr>
    </w:p>
    <w:p w14:paraId="31B24BE3">
      <w:pPr>
        <w:ind w:firstLine="400" w:firstLineChars="200"/>
        <w:rPr>
          <w:rFonts w:ascii="宋体" w:hAnsi="宋体" w:cs="Times New Roman"/>
          <w:color w:val="000000"/>
          <w:kern w:val="0"/>
          <w:sz w:val="20"/>
          <w:szCs w:val="21"/>
          <w:highlight w:val="none"/>
        </w:rPr>
      </w:pPr>
    </w:p>
    <w:p w14:paraId="5CB7E355">
      <w:pPr>
        <w:ind w:firstLine="400" w:firstLineChars="200"/>
        <w:rPr>
          <w:rFonts w:ascii="宋体" w:hAnsi="宋体" w:cs="Times New Roman"/>
          <w:color w:val="000000"/>
          <w:kern w:val="0"/>
          <w:sz w:val="20"/>
          <w:szCs w:val="21"/>
          <w:highlight w:val="none"/>
        </w:rPr>
      </w:pPr>
    </w:p>
    <w:p w14:paraId="4144FC72">
      <w:pPr>
        <w:ind w:firstLine="400" w:firstLineChars="200"/>
        <w:rPr>
          <w:rFonts w:ascii="宋体" w:hAnsi="宋体" w:cs="Times New Roman"/>
          <w:color w:val="000000"/>
          <w:kern w:val="0"/>
          <w:sz w:val="20"/>
          <w:szCs w:val="21"/>
          <w:highlight w:val="none"/>
        </w:rPr>
      </w:pPr>
    </w:p>
    <w:p w14:paraId="638F9A81">
      <w:pPr>
        <w:ind w:firstLine="400" w:firstLineChars="200"/>
        <w:rPr>
          <w:rFonts w:ascii="宋体" w:hAnsi="宋体" w:cs="Times New Roman"/>
          <w:color w:val="000000"/>
          <w:kern w:val="0"/>
          <w:sz w:val="20"/>
          <w:szCs w:val="21"/>
          <w:highlight w:val="none"/>
        </w:rPr>
      </w:pPr>
    </w:p>
    <w:p w14:paraId="23EBBF91">
      <w:pPr>
        <w:ind w:firstLine="400" w:firstLineChars="200"/>
        <w:rPr>
          <w:rFonts w:ascii="宋体" w:hAnsi="宋体" w:cs="Times New Roman"/>
          <w:color w:val="000000"/>
          <w:kern w:val="0"/>
          <w:sz w:val="20"/>
          <w:szCs w:val="21"/>
          <w:highlight w:val="none"/>
        </w:rPr>
      </w:pPr>
    </w:p>
    <w:p w14:paraId="05689537">
      <w:pPr>
        <w:ind w:firstLine="400" w:firstLineChars="200"/>
        <w:rPr>
          <w:rFonts w:ascii="宋体" w:hAnsi="宋体" w:cs="Times New Roman"/>
          <w:color w:val="000000"/>
          <w:kern w:val="0"/>
          <w:sz w:val="20"/>
          <w:szCs w:val="21"/>
          <w:highlight w:val="none"/>
        </w:rPr>
      </w:pPr>
    </w:p>
    <w:p w14:paraId="1AC1D62A">
      <w:pPr>
        <w:ind w:firstLine="400" w:firstLineChars="200"/>
        <w:rPr>
          <w:rFonts w:ascii="宋体" w:hAnsi="宋体" w:cs="Times New Roman"/>
          <w:color w:val="000000"/>
          <w:kern w:val="0"/>
          <w:sz w:val="20"/>
          <w:szCs w:val="21"/>
          <w:highlight w:val="none"/>
        </w:rPr>
      </w:pPr>
    </w:p>
    <w:p w14:paraId="6BC9932A">
      <w:pPr>
        <w:ind w:firstLine="400" w:firstLineChars="200"/>
        <w:rPr>
          <w:rFonts w:ascii="宋体" w:hAnsi="宋体" w:cs="Times New Roman"/>
          <w:color w:val="000000"/>
          <w:kern w:val="0"/>
          <w:sz w:val="20"/>
          <w:szCs w:val="21"/>
          <w:highlight w:val="none"/>
        </w:rPr>
      </w:pPr>
    </w:p>
    <w:p w14:paraId="14A4BD44">
      <w:pPr>
        <w:ind w:firstLine="400" w:firstLineChars="200"/>
        <w:rPr>
          <w:rFonts w:ascii="宋体" w:hAnsi="宋体" w:cs="Times New Roman"/>
          <w:color w:val="000000"/>
          <w:kern w:val="0"/>
          <w:sz w:val="20"/>
          <w:szCs w:val="21"/>
          <w:highlight w:val="none"/>
        </w:rPr>
      </w:pPr>
    </w:p>
    <w:p w14:paraId="6AB1E739">
      <w:pPr>
        <w:ind w:firstLine="400" w:firstLineChars="200"/>
        <w:rPr>
          <w:rFonts w:ascii="宋体" w:hAnsi="宋体" w:cs="Times New Roman"/>
          <w:color w:val="000000"/>
          <w:kern w:val="0"/>
          <w:sz w:val="20"/>
          <w:szCs w:val="21"/>
          <w:highlight w:val="none"/>
        </w:rPr>
      </w:pPr>
    </w:p>
    <w:p w14:paraId="6D6035D5">
      <w:pPr>
        <w:ind w:firstLine="400" w:firstLineChars="200"/>
        <w:rPr>
          <w:rFonts w:ascii="宋体" w:hAnsi="宋体" w:cs="Times New Roman"/>
          <w:color w:val="000000"/>
          <w:kern w:val="0"/>
          <w:sz w:val="20"/>
          <w:szCs w:val="21"/>
          <w:highlight w:val="none"/>
        </w:rPr>
      </w:pPr>
    </w:p>
    <w:p w14:paraId="5323A9E9">
      <w:pPr>
        <w:ind w:firstLine="400" w:firstLineChars="200"/>
        <w:rPr>
          <w:rFonts w:ascii="宋体" w:hAnsi="宋体" w:cs="Times New Roman"/>
          <w:color w:val="000000"/>
          <w:kern w:val="0"/>
          <w:sz w:val="20"/>
          <w:szCs w:val="21"/>
          <w:highlight w:val="none"/>
        </w:rPr>
      </w:pPr>
    </w:p>
    <w:p w14:paraId="542054A6">
      <w:pPr>
        <w:keepNext/>
        <w:keepLines/>
        <w:spacing w:before="280" w:after="290" w:line="376" w:lineRule="auto"/>
        <w:jc w:val="left"/>
        <w:rPr>
          <w:rFonts w:hint="eastAsia" w:ascii="Calibri Light" w:hAnsi="Calibri Light" w:eastAsia="宋体" w:cs="Times New Roman"/>
          <w:b/>
          <w:bCs/>
          <w:color w:val="000000"/>
          <w:kern w:val="0"/>
          <w:sz w:val="24"/>
          <w:szCs w:val="28"/>
          <w:highlight w:val="none"/>
          <w:lang w:val="en-US" w:eastAsia="zh-CN"/>
        </w:rPr>
      </w:pPr>
      <w:bookmarkStart w:id="44" w:name="_Toc1763"/>
      <w:r>
        <w:rPr>
          <w:rFonts w:hint="eastAsia" w:ascii="Calibri Light" w:hAnsi="Calibri Light" w:cs="Times New Roman"/>
          <w:b/>
          <w:bCs/>
          <w:color w:val="000000"/>
          <w:kern w:val="0"/>
          <w:sz w:val="24"/>
          <w:szCs w:val="28"/>
          <w:highlight w:val="none"/>
        </w:rPr>
        <w:t>★附件</w:t>
      </w:r>
      <w:r>
        <w:rPr>
          <w:rFonts w:hint="eastAsia" w:ascii="Calibri Light" w:hAnsi="Calibri Light" w:cs="Times New Roman"/>
          <w:b/>
          <w:bCs/>
          <w:color w:val="000000"/>
          <w:kern w:val="0"/>
          <w:sz w:val="24"/>
          <w:szCs w:val="28"/>
          <w:highlight w:val="none"/>
          <w:lang w:val="en-US" w:eastAsia="zh-CN"/>
        </w:rPr>
        <w:t>5</w:t>
      </w:r>
      <w:r>
        <w:rPr>
          <w:rFonts w:hint="eastAsia" w:ascii="Calibri Light" w:hAnsi="Calibri Light" w:cs="Times New Roman"/>
          <w:b/>
          <w:bCs/>
          <w:color w:val="000000"/>
          <w:kern w:val="0"/>
          <w:sz w:val="24"/>
          <w:szCs w:val="28"/>
          <w:highlight w:val="none"/>
        </w:rPr>
        <w:t>－</w:t>
      </w:r>
      <w:bookmarkEnd w:id="44"/>
      <w:r>
        <w:rPr>
          <w:rFonts w:hint="eastAsia" w:ascii="Calibri Light" w:hAnsi="Calibri Light" w:cs="Times New Roman"/>
          <w:b/>
          <w:bCs/>
          <w:color w:val="000000"/>
          <w:kern w:val="0"/>
          <w:sz w:val="24"/>
          <w:szCs w:val="28"/>
          <w:highlight w:val="none"/>
          <w:lang w:val="en-US" w:eastAsia="zh-CN"/>
        </w:rPr>
        <w:t>7</w:t>
      </w:r>
    </w:p>
    <w:p w14:paraId="7FEF8CC8">
      <w:pPr>
        <w:jc w:val="center"/>
        <w:rPr>
          <w:rFonts w:ascii="宋体" w:hAnsi="宋体" w:cs="Times New Roman"/>
          <w:b/>
          <w:color w:val="000000"/>
          <w:sz w:val="24"/>
          <w:szCs w:val="24"/>
          <w:highlight w:val="none"/>
        </w:rPr>
      </w:pPr>
      <w:r>
        <w:rPr>
          <w:rFonts w:hint="eastAsia" w:ascii="宋体" w:hAnsi="宋体" w:cs="Times New Roman"/>
          <w:b/>
          <w:color w:val="000000"/>
          <w:sz w:val="24"/>
          <w:szCs w:val="24"/>
          <w:highlight w:val="none"/>
        </w:rPr>
        <w:t>无不良信用记录承诺函</w:t>
      </w:r>
      <w:r>
        <w:rPr>
          <w:rFonts w:ascii="宋体" w:hAnsi="宋体" w:cs="Times New Roman"/>
          <w:b/>
          <w:color w:val="000000"/>
          <w:sz w:val="24"/>
          <w:szCs w:val="24"/>
          <w:highlight w:val="none"/>
        </w:rPr>
        <w:t>(</w:t>
      </w:r>
      <w:r>
        <w:rPr>
          <w:rFonts w:hint="eastAsia" w:ascii="宋体" w:hAnsi="宋体" w:cs="Times New Roman"/>
          <w:b/>
          <w:color w:val="000000"/>
          <w:sz w:val="24"/>
          <w:szCs w:val="24"/>
          <w:highlight w:val="none"/>
        </w:rPr>
        <w:t>供应商自行查询适用</w:t>
      </w:r>
      <w:r>
        <w:rPr>
          <w:rFonts w:ascii="宋体" w:hAnsi="宋体" w:cs="Times New Roman"/>
          <w:b/>
          <w:color w:val="000000"/>
          <w:sz w:val="24"/>
          <w:szCs w:val="24"/>
          <w:highlight w:val="none"/>
        </w:rPr>
        <w:t>)</w:t>
      </w:r>
    </w:p>
    <w:p w14:paraId="4B715883">
      <w:pPr>
        <w:spacing w:line="360" w:lineRule="auto"/>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致</w:t>
      </w:r>
      <w:r>
        <w:rPr>
          <w:rFonts w:ascii="宋体" w:hAnsi="宋体" w:cs="Times New Roman"/>
          <w:color w:val="000000"/>
          <w:kern w:val="0"/>
          <w:sz w:val="24"/>
          <w:szCs w:val="24"/>
          <w:highlight w:val="none"/>
        </w:rPr>
        <w:t>____________(</w:t>
      </w:r>
      <w:r>
        <w:rPr>
          <w:rFonts w:hint="eastAsia" w:ascii="宋体" w:hAnsi="宋体" w:cs="Times New Roman"/>
          <w:color w:val="000000"/>
          <w:kern w:val="0"/>
          <w:sz w:val="24"/>
          <w:szCs w:val="24"/>
          <w:highlight w:val="none"/>
        </w:rPr>
        <w:t>采购人或采购代理机构</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p>
    <w:p w14:paraId="2B437D04">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本单位郑重承诺，我单位无以下不良信用记录情形：</w:t>
      </w:r>
    </w:p>
    <w:p w14:paraId="17750539">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1.</w:t>
      </w:r>
      <w:r>
        <w:rPr>
          <w:rFonts w:hint="eastAsia" w:ascii="宋体" w:hAnsi="宋体" w:cs="Times New Roman"/>
          <w:color w:val="000000"/>
          <w:kern w:val="0"/>
          <w:sz w:val="24"/>
          <w:szCs w:val="24"/>
          <w:highlight w:val="none"/>
        </w:rPr>
        <w:t>被人民法院列入失信被执行人；</w:t>
      </w:r>
    </w:p>
    <w:p w14:paraId="64EA05F0">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2.</w:t>
      </w:r>
      <w:r>
        <w:rPr>
          <w:rFonts w:hint="eastAsia" w:ascii="宋体" w:hAnsi="宋体" w:cs="Times New Roman"/>
          <w:color w:val="000000"/>
          <w:kern w:val="0"/>
          <w:sz w:val="24"/>
          <w:szCs w:val="24"/>
          <w:highlight w:val="none"/>
        </w:rPr>
        <w:t>被税务部门列入重大税收违法失信主体；</w:t>
      </w:r>
    </w:p>
    <w:p w14:paraId="6709526F">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3.</w:t>
      </w:r>
      <w:r>
        <w:rPr>
          <w:rFonts w:hint="eastAsia" w:ascii="宋体" w:hAnsi="宋体" w:cs="Times New Roman"/>
          <w:color w:val="000000"/>
          <w:kern w:val="0"/>
          <w:sz w:val="24"/>
          <w:szCs w:val="24"/>
          <w:highlight w:val="none"/>
        </w:rPr>
        <w:t>被政府采购监管部门列入政府采购严重违法失信行为记录名单；</w:t>
      </w:r>
    </w:p>
    <w:p w14:paraId="7C680CD9">
      <w:pPr>
        <w:spacing w:line="360" w:lineRule="auto"/>
        <w:ind w:firstLine="480" w:firstLineChars="200"/>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t>4.</w:t>
      </w:r>
      <w:r>
        <w:rPr>
          <w:rFonts w:hint="eastAsia" w:ascii="宋体" w:hAnsi="宋体" w:cs="Times New Roman"/>
          <w:color w:val="000000"/>
          <w:kern w:val="0"/>
          <w:sz w:val="24"/>
          <w:szCs w:val="24"/>
          <w:highlight w:val="none"/>
        </w:rPr>
        <w:t>不符合《中华人民共和国政府采购法》第二十二条规定的条件。</w:t>
      </w:r>
    </w:p>
    <w:p w14:paraId="0AD720A1">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我单位已就上述不良信用行为按照招标文件中供应商须知前附表规定进行了查询。我单位承诺：合同签订前，若我单位具有不良信用记录情形，贵方可取消我单位中标资格或者不授予合同，所有责任由我单位自行承担。同时，我单位愿意无条件接受监管部门的调查处理。</w:t>
      </w:r>
    </w:p>
    <w:p w14:paraId="31A4E2E2">
      <w:pPr>
        <w:spacing w:line="360" w:lineRule="auto"/>
        <w:ind w:firstLine="480" w:firstLineChars="200"/>
        <w:rPr>
          <w:rFonts w:ascii="宋体" w:hAnsi="宋体" w:cs="Times New Roman"/>
          <w:color w:val="000000"/>
          <w:kern w:val="0"/>
          <w:sz w:val="24"/>
          <w:szCs w:val="24"/>
          <w:highlight w:val="none"/>
        </w:rPr>
      </w:pPr>
    </w:p>
    <w:p w14:paraId="666864AC">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投标人名称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盖公章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434189FA">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12EDCDEB">
      <w:pPr>
        <w:spacing w:line="360" w:lineRule="auto"/>
        <w:ind w:firstLine="480" w:firstLineChars="200"/>
        <w:rPr>
          <w:rFonts w:ascii="宋体" w:hAnsi="宋体" w:cs="Times New Roman"/>
          <w:color w:val="000000"/>
          <w:kern w:val="0"/>
          <w:sz w:val="20"/>
          <w:szCs w:val="21"/>
          <w:highlight w:val="none"/>
        </w:rPr>
      </w:pPr>
      <w:r>
        <w:rPr>
          <w:rFonts w:hint="eastAsia" w:ascii="宋体" w:hAnsi="宋体" w:cs="Times New Roman"/>
          <w:color w:val="000000"/>
          <w:kern w:val="0"/>
          <w:sz w:val="24"/>
          <w:szCs w:val="24"/>
          <w:highlight w:val="none"/>
        </w:rPr>
        <w:t>日期：</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32685E36">
      <w:pPr>
        <w:ind w:firstLine="400" w:firstLineChars="200"/>
        <w:rPr>
          <w:rFonts w:ascii="宋体" w:hAnsi="宋体" w:cs="Times New Roman"/>
          <w:color w:val="000000"/>
          <w:kern w:val="0"/>
          <w:sz w:val="20"/>
          <w:szCs w:val="21"/>
          <w:highlight w:val="none"/>
        </w:rPr>
      </w:pPr>
      <w:r>
        <w:rPr>
          <w:rFonts w:ascii="宋体" w:hAnsi="宋体" w:cs="Times New Roman"/>
          <w:color w:val="000000"/>
          <w:kern w:val="0"/>
          <w:sz w:val="20"/>
          <w:szCs w:val="21"/>
          <w:highlight w:val="none"/>
        </w:rPr>
        <w:br w:type="page"/>
      </w:r>
    </w:p>
    <w:p w14:paraId="2F816CBB">
      <w:pPr>
        <w:spacing w:line="360" w:lineRule="auto"/>
        <w:rPr>
          <w:rFonts w:hint="default" w:ascii="宋体" w:hAnsi="宋体" w:eastAsia="宋体" w:cs="宋体"/>
          <w:b/>
          <w:bCs/>
          <w:color w:val="000000"/>
          <w:kern w:val="0"/>
          <w:sz w:val="24"/>
          <w:szCs w:val="24"/>
          <w:highlight w:val="none"/>
          <w:lang w:val="en-US" w:eastAsia="zh-CN"/>
        </w:rPr>
      </w:pPr>
      <w:bookmarkStart w:id="45" w:name="_Toc30003"/>
      <w:r>
        <w:rPr>
          <w:rFonts w:hint="eastAsia" w:ascii="宋体" w:hAnsi="宋体" w:cs="宋体"/>
          <w:b/>
          <w:bCs/>
          <w:color w:val="000000"/>
          <w:kern w:val="0"/>
          <w:sz w:val="24"/>
          <w:szCs w:val="24"/>
          <w:highlight w:val="none"/>
        </w:rPr>
        <w:t>★附件</w:t>
      </w:r>
      <w:bookmarkEnd w:id="45"/>
      <w:r>
        <w:rPr>
          <w:rFonts w:hint="eastAsia" w:ascii="宋体" w:hAnsi="宋体" w:cs="宋体"/>
          <w:b/>
          <w:bCs/>
          <w:color w:val="000000"/>
          <w:kern w:val="0"/>
          <w:sz w:val="24"/>
          <w:szCs w:val="24"/>
          <w:highlight w:val="none"/>
          <w:lang w:val="en-US" w:eastAsia="zh-CN"/>
        </w:rPr>
        <w:t>5-8</w:t>
      </w:r>
    </w:p>
    <w:p w14:paraId="6D5485BF">
      <w:pPr>
        <w:spacing w:line="360" w:lineRule="auto"/>
        <w:rPr>
          <w:rFonts w:hint="eastAsia" w:ascii="宋体" w:hAnsi="宋体" w:cs="宋体"/>
          <w:color w:val="000000"/>
          <w:kern w:val="0"/>
          <w:sz w:val="24"/>
          <w:szCs w:val="24"/>
          <w:highlight w:val="none"/>
        </w:rPr>
      </w:pPr>
    </w:p>
    <w:p w14:paraId="455BDF04">
      <w:pPr>
        <w:spacing w:line="360" w:lineRule="auto"/>
        <w:jc w:val="center"/>
        <w:rPr>
          <w:rFonts w:hint="default" w:ascii="宋体" w:hAnsi="宋体" w:eastAsia="宋体" w:cs="宋体"/>
          <w:b/>
          <w:bCs/>
          <w:color w:val="000000"/>
          <w:sz w:val="28"/>
          <w:szCs w:val="28"/>
          <w:highlight w:val="none"/>
          <w:lang w:val="en-US" w:eastAsia="zh-CN"/>
        </w:rPr>
      </w:pPr>
      <w:r>
        <w:rPr>
          <w:rFonts w:hint="eastAsia" w:ascii="宋体" w:hAnsi="宋体" w:cs="宋体"/>
          <w:b/>
          <w:bCs/>
          <w:color w:val="000000"/>
          <w:sz w:val="28"/>
          <w:szCs w:val="28"/>
          <w:highlight w:val="none"/>
          <w:lang w:val="en-US" w:eastAsia="zh-CN"/>
        </w:rPr>
        <w:t>其他情况说明</w:t>
      </w:r>
    </w:p>
    <w:p w14:paraId="28934BD4">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新疆职业大学：</w:t>
      </w:r>
    </w:p>
    <w:p w14:paraId="5F9656CC">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我单位负责人</w:t>
      </w:r>
      <w:r>
        <w:rPr>
          <w:rFonts w:hint="eastAsia" w:ascii="宋体" w:hAnsi="宋体" w:cs="宋体"/>
          <w:color w:val="000000"/>
          <w:sz w:val="24"/>
          <w:szCs w:val="24"/>
          <w:highlight w:val="none"/>
          <w:u w:val="single"/>
        </w:rPr>
        <w:t>（负责人姓名、身份证号）</w:t>
      </w:r>
      <w:r>
        <w:rPr>
          <w:rFonts w:hint="eastAsia" w:ascii="宋体" w:hAnsi="宋体" w:cs="宋体"/>
          <w:color w:val="000000"/>
          <w:sz w:val="24"/>
          <w:szCs w:val="24"/>
          <w:highlight w:val="none"/>
        </w:rPr>
        <w:t>，不存在与我单位负责人为同一人的不同供应商同时参加本项目同一包投标的情形。</w:t>
      </w:r>
    </w:p>
    <w:p w14:paraId="2BC694E9">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与我单位存在直接控股、管理关系的单位</w:t>
      </w:r>
      <w:r>
        <w:rPr>
          <w:rFonts w:hint="eastAsia" w:ascii="宋体" w:hAnsi="宋体" w:cs="宋体"/>
          <w:color w:val="000000"/>
          <w:sz w:val="24"/>
          <w:szCs w:val="24"/>
          <w:highlight w:val="none"/>
          <w:u w:val="single"/>
        </w:rPr>
        <w:t>（单位名称，如没有填“无”）</w:t>
      </w:r>
      <w:r>
        <w:rPr>
          <w:rFonts w:hint="eastAsia" w:ascii="宋体" w:hAnsi="宋体" w:cs="宋体"/>
          <w:color w:val="000000"/>
          <w:sz w:val="24"/>
          <w:szCs w:val="24"/>
          <w:highlight w:val="none"/>
        </w:rPr>
        <w:t>，不存在与我单位存在直接控股、管理的不同供应商同时参加本项目同一包投标的情形。</w:t>
      </w:r>
    </w:p>
    <w:p w14:paraId="630644F3">
      <w:pPr>
        <w:spacing w:after="120"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我单位不为本项目某包提供整体设计、规范编制或者项目管理、监理、检测等服务的供应商。</w:t>
      </w:r>
    </w:p>
    <w:p w14:paraId="1BF8445A">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我单位确认本声明是真实的、正确的，如有虚假，相应后果和法律责任均由我单位</w:t>
      </w:r>
      <w:r>
        <w:rPr>
          <w:rFonts w:hint="eastAsia" w:ascii="宋体" w:hAnsi="宋体" w:cs="宋体"/>
          <w:color w:val="000000"/>
          <w:sz w:val="24"/>
          <w:highlight w:val="none"/>
        </w:rPr>
        <w:t>承担</w:t>
      </w:r>
      <w:r>
        <w:rPr>
          <w:rFonts w:hint="eastAsia" w:ascii="宋体" w:hAnsi="宋体" w:cs="宋体"/>
          <w:color w:val="000000"/>
          <w:sz w:val="24"/>
          <w:szCs w:val="24"/>
          <w:highlight w:val="none"/>
        </w:rPr>
        <w:t>。</w:t>
      </w:r>
    </w:p>
    <w:p w14:paraId="322F2BA6">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特此声明。</w:t>
      </w:r>
    </w:p>
    <w:p w14:paraId="01AB6B59">
      <w:pPr>
        <w:spacing w:after="120" w:line="360" w:lineRule="auto"/>
        <w:ind w:firstLine="440"/>
        <w:rPr>
          <w:rFonts w:ascii="宋体" w:hAnsi="宋体" w:cs="宋体"/>
          <w:color w:val="000000"/>
          <w:szCs w:val="24"/>
          <w:highlight w:val="none"/>
        </w:rPr>
      </w:pPr>
    </w:p>
    <w:p w14:paraId="7AAEDFC2">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投标人名称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盖公章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3EBC0FA5">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4D14A5F4">
      <w:pPr>
        <w:spacing w:line="360" w:lineRule="auto"/>
        <w:ind w:firstLine="480" w:firstLineChars="200"/>
        <w:rPr>
          <w:rFonts w:ascii="宋体" w:hAnsi="宋体" w:cs="Times New Roman"/>
          <w:color w:val="000000"/>
          <w:kern w:val="0"/>
          <w:sz w:val="20"/>
          <w:szCs w:val="21"/>
          <w:highlight w:val="none"/>
        </w:rPr>
      </w:pPr>
      <w:r>
        <w:rPr>
          <w:rFonts w:hint="eastAsia" w:ascii="宋体" w:hAnsi="宋体" w:cs="Times New Roman"/>
          <w:color w:val="000000"/>
          <w:kern w:val="0"/>
          <w:sz w:val="24"/>
          <w:szCs w:val="24"/>
          <w:highlight w:val="none"/>
        </w:rPr>
        <w:t>日期：</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6BCF1788">
      <w:pPr>
        <w:spacing w:line="360" w:lineRule="auto"/>
        <w:ind w:firstLine="480" w:firstLineChars="200"/>
        <w:rPr>
          <w:rFonts w:ascii="宋体" w:hAnsi="宋体" w:cs="Times New Roman"/>
          <w:color w:val="000000"/>
          <w:kern w:val="0"/>
          <w:sz w:val="24"/>
          <w:szCs w:val="24"/>
          <w:highlight w:val="none"/>
        </w:rPr>
      </w:pPr>
    </w:p>
    <w:p w14:paraId="607FB489">
      <w:pPr>
        <w:spacing w:line="360" w:lineRule="auto"/>
        <w:ind w:firstLine="480" w:firstLineChars="200"/>
        <w:rPr>
          <w:rFonts w:ascii="宋体" w:hAnsi="宋体" w:cs="Times New Roman"/>
          <w:color w:val="000000"/>
          <w:kern w:val="0"/>
          <w:sz w:val="24"/>
          <w:szCs w:val="24"/>
          <w:highlight w:val="none"/>
        </w:rPr>
      </w:pPr>
    </w:p>
    <w:p w14:paraId="1390C1D4">
      <w:pPr>
        <w:spacing w:line="360" w:lineRule="auto"/>
        <w:ind w:firstLine="480" w:firstLineChars="200"/>
        <w:rPr>
          <w:rFonts w:ascii="宋体" w:hAnsi="宋体" w:cs="Times New Roman"/>
          <w:color w:val="000000"/>
          <w:kern w:val="0"/>
          <w:sz w:val="24"/>
          <w:szCs w:val="24"/>
          <w:highlight w:val="none"/>
        </w:rPr>
      </w:pPr>
    </w:p>
    <w:p w14:paraId="6C8FC9E2">
      <w:pPr>
        <w:spacing w:line="360" w:lineRule="auto"/>
        <w:ind w:firstLine="480" w:firstLineChars="200"/>
        <w:rPr>
          <w:rFonts w:ascii="宋体" w:hAnsi="宋体" w:cs="Times New Roman"/>
          <w:color w:val="000000"/>
          <w:kern w:val="0"/>
          <w:sz w:val="24"/>
          <w:szCs w:val="24"/>
          <w:highlight w:val="none"/>
        </w:rPr>
      </w:pPr>
    </w:p>
    <w:p w14:paraId="7517DBF2">
      <w:pPr>
        <w:spacing w:line="360" w:lineRule="auto"/>
        <w:ind w:firstLine="480" w:firstLineChars="200"/>
        <w:rPr>
          <w:rFonts w:ascii="宋体" w:hAnsi="宋体" w:cs="Times New Roman"/>
          <w:color w:val="000000"/>
          <w:kern w:val="0"/>
          <w:sz w:val="24"/>
          <w:szCs w:val="24"/>
          <w:highlight w:val="none"/>
        </w:rPr>
      </w:pPr>
    </w:p>
    <w:p w14:paraId="48801352">
      <w:pPr>
        <w:spacing w:line="360" w:lineRule="auto"/>
        <w:ind w:firstLine="480" w:firstLineChars="200"/>
        <w:rPr>
          <w:rFonts w:ascii="宋体" w:hAnsi="宋体" w:cs="Times New Roman"/>
          <w:color w:val="000000"/>
          <w:kern w:val="0"/>
          <w:sz w:val="24"/>
          <w:szCs w:val="24"/>
          <w:highlight w:val="none"/>
        </w:rPr>
      </w:pPr>
    </w:p>
    <w:p w14:paraId="2D267C91">
      <w:pPr>
        <w:spacing w:line="360" w:lineRule="auto"/>
        <w:ind w:firstLine="480" w:firstLineChars="200"/>
        <w:rPr>
          <w:rFonts w:ascii="宋体" w:hAnsi="宋体" w:cs="Times New Roman"/>
          <w:color w:val="000000"/>
          <w:kern w:val="0"/>
          <w:sz w:val="24"/>
          <w:szCs w:val="24"/>
          <w:highlight w:val="none"/>
        </w:rPr>
      </w:pPr>
    </w:p>
    <w:p w14:paraId="526ADDED">
      <w:pPr>
        <w:spacing w:line="360" w:lineRule="auto"/>
        <w:ind w:firstLine="480" w:firstLineChars="200"/>
        <w:rPr>
          <w:rFonts w:ascii="宋体" w:hAnsi="宋体" w:cs="Times New Roman"/>
          <w:color w:val="000000"/>
          <w:kern w:val="0"/>
          <w:sz w:val="24"/>
          <w:szCs w:val="24"/>
          <w:highlight w:val="none"/>
        </w:rPr>
      </w:pPr>
    </w:p>
    <w:p w14:paraId="6A68CA83">
      <w:pPr>
        <w:spacing w:line="360" w:lineRule="auto"/>
        <w:ind w:firstLine="480" w:firstLineChars="200"/>
        <w:rPr>
          <w:rFonts w:ascii="宋体" w:hAnsi="宋体" w:cs="Times New Roman"/>
          <w:color w:val="000000"/>
          <w:kern w:val="0"/>
          <w:sz w:val="24"/>
          <w:szCs w:val="24"/>
          <w:highlight w:val="none"/>
        </w:rPr>
      </w:pPr>
    </w:p>
    <w:p w14:paraId="6F191DDD">
      <w:pPr>
        <w:rPr>
          <w:rFonts w:cs="Times New Roman"/>
          <w:b/>
          <w:color w:val="000000"/>
          <w:kern w:val="0"/>
          <w:sz w:val="24"/>
          <w:szCs w:val="20"/>
          <w:highlight w:val="none"/>
        </w:rPr>
      </w:pPr>
      <w:bookmarkStart w:id="46" w:name="_Toc19219"/>
      <w:r>
        <w:rPr>
          <w:rFonts w:hint="eastAsia" w:cs="Times New Roman"/>
          <w:b/>
          <w:color w:val="000000"/>
          <w:kern w:val="0"/>
          <w:sz w:val="24"/>
          <w:szCs w:val="20"/>
          <w:highlight w:val="none"/>
        </w:rPr>
        <w:br w:type="page"/>
      </w:r>
    </w:p>
    <w:p w14:paraId="3A09F12E">
      <w:pPr>
        <w:spacing w:line="360" w:lineRule="auto"/>
        <w:rPr>
          <w:rFonts w:hint="eastAsia" w:ascii="宋体" w:hAnsi="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rPr>
        <w:t>★附件</w:t>
      </w:r>
      <w:r>
        <w:rPr>
          <w:rFonts w:hint="eastAsia" w:ascii="宋体" w:hAnsi="宋体" w:cs="宋体"/>
          <w:b/>
          <w:bCs/>
          <w:color w:val="000000"/>
          <w:kern w:val="0"/>
          <w:sz w:val="24"/>
          <w:szCs w:val="24"/>
          <w:highlight w:val="none"/>
          <w:lang w:val="en-US" w:eastAsia="zh-CN"/>
        </w:rPr>
        <w:t>5-9</w:t>
      </w:r>
    </w:p>
    <w:p w14:paraId="193AA4A8">
      <w:pPr>
        <w:jc w:val="center"/>
        <w:rPr>
          <w:rFonts w:hint="eastAsia" w:cstheme="majorBidi"/>
          <w:b/>
          <w:bCs/>
          <w:color w:val="auto"/>
          <w:kern w:val="2"/>
          <w:sz w:val="32"/>
          <w:szCs w:val="32"/>
          <w:highlight w:val="none"/>
          <w:lang w:val="en-US" w:eastAsia="zh-CN" w:bidi="ar-SA"/>
        </w:rPr>
      </w:pPr>
    </w:p>
    <w:p w14:paraId="00408D4E">
      <w:pPr>
        <w:spacing w:line="360" w:lineRule="auto"/>
        <w:jc w:val="center"/>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28"/>
          <w:szCs w:val="28"/>
          <w:highlight w:val="none"/>
          <w:lang w:val="en-US" w:eastAsia="zh-CN"/>
        </w:rPr>
        <w:t>不参与围标串标承诺书</w:t>
      </w:r>
    </w:p>
    <w:p w14:paraId="6AC7193F">
      <w:pPr>
        <w:rPr>
          <w:rFonts w:hint="eastAsia"/>
          <w:color w:val="auto"/>
          <w:highlight w:val="none"/>
          <w:lang w:val="en-US" w:eastAsia="zh-CN"/>
        </w:rPr>
      </w:pPr>
      <w:r>
        <w:rPr>
          <w:rFonts w:hint="eastAsia"/>
          <w:color w:val="auto"/>
          <w:highlight w:val="none"/>
          <w:lang w:val="en-US" w:eastAsia="zh-CN"/>
        </w:rPr>
        <w:t>  </w:t>
      </w:r>
    </w:p>
    <w:p w14:paraId="7E386241">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本人作为经授权的投标人代表,清楚知晓我单位本项目投标活动,对以下事项作出承诺：</w:t>
      </w:r>
    </w:p>
    <w:p w14:paraId="57AF0C1B">
      <w:pPr>
        <w:spacing w:line="360" w:lineRule="auto"/>
        <w:ind w:firstLine="480" w:firstLineChars="200"/>
        <w:rPr>
          <w:rFonts w:hint="eastAsia" w:ascii="宋体" w:hAnsi="宋体" w:eastAsia="宋体" w:cs="宋体"/>
          <w:color w:val="000000"/>
          <w:sz w:val="24"/>
          <w:szCs w:val="24"/>
          <w:highlight w:val="none"/>
          <w:lang w:val="en-US" w:eastAsia="zh-CN"/>
        </w:rPr>
      </w:pPr>
    </w:p>
    <w:p w14:paraId="5D0A1BCB">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一、我单位和我本人遵循公开透明、公平竞争、公正和诚实信用的原则,依法依规参与本项目竞标。</w:t>
      </w:r>
    </w:p>
    <w:p w14:paraId="2323B560">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二、我单位和我本人在本项目政府采购投标活动中,未参与围标串标。</w:t>
      </w:r>
    </w:p>
    <w:p w14:paraId="4DE990F7">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4C2BBDCC">
      <w:pPr>
        <w:pStyle w:val="19"/>
        <w:rPr>
          <w:rFonts w:hint="eastAsia"/>
          <w:color w:val="auto"/>
          <w:sz w:val="24"/>
          <w:szCs w:val="24"/>
          <w:highlight w:val="none"/>
          <w:lang w:val="en-US" w:eastAsia="zh-CN"/>
        </w:rPr>
      </w:pPr>
    </w:p>
    <w:p w14:paraId="2E8F134A">
      <w:pPr>
        <w:spacing w:line="560" w:lineRule="exact"/>
        <w:rPr>
          <w:rFonts w:hint="eastAsia" w:ascii="宋体" w:hAnsi="宋体" w:eastAsia="宋体" w:cs="宋体"/>
          <w:color w:val="auto"/>
          <w:kern w:val="0"/>
          <w:sz w:val="24"/>
          <w:szCs w:val="24"/>
          <w:highlight w:val="none"/>
        </w:rPr>
      </w:pPr>
    </w:p>
    <w:p w14:paraId="0D755A59">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投标人名称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盖公章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6D0330D4">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2C8447C0">
      <w:pPr>
        <w:spacing w:line="360" w:lineRule="auto"/>
        <w:ind w:firstLine="480" w:firstLineChars="200"/>
        <w:rPr>
          <w:rFonts w:ascii="宋体" w:hAnsi="宋体" w:cs="Times New Roman"/>
          <w:color w:val="000000"/>
          <w:kern w:val="0"/>
          <w:sz w:val="20"/>
          <w:szCs w:val="21"/>
          <w:highlight w:val="none"/>
        </w:rPr>
      </w:pPr>
      <w:r>
        <w:rPr>
          <w:rFonts w:hint="eastAsia" w:ascii="宋体" w:hAnsi="宋体" w:cs="Times New Roman"/>
          <w:color w:val="000000"/>
          <w:kern w:val="0"/>
          <w:sz w:val="24"/>
          <w:szCs w:val="24"/>
          <w:highlight w:val="none"/>
        </w:rPr>
        <w:t>日期：</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76FBD610">
      <w:pPr>
        <w:pStyle w:val="14"/>
        <w:rPr>
          <w:rFonts w:hint="default"/>
          <w:highlight w:val="none"/>
          <w:lang w:val="en-US" w:eastAsia="zh-CN"/>
        </w:rPr>
      </w:pPr>
    </w:p>
    <w:p w14:paraId="1AB8C26E">
      <w:pPr>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br w:type="page"/>
      </w:r>
    </w:p>
    <w:p w14:paraId="5B236129">
      <w:pPr>
        <w:spacing w:line="360" w:lineRule="auto"/>
        <w:rPr>
          <w:rFonts w:hint="eastAsia" w:ascii="宋体" w:hAnsi="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rPr>
        <w:t>★附件</w:t>
      </w:r>
      <w:r>
        <w:rPr>
          <w:rFonts w:hint="eastAsia" w:ascii="宋体" w:hAnsi="宋体" w:cs="宋体"/>
          <w:b/>
          <w:bCs/>
          <w:color w:val="000000"/>
          <w:kern w:val="0"/>
          <w:sz w:val="24"/>
          <w:szCs w:val="24"/>
          <w:highlight w:val="none"/>
          <w:lang w:val="en-US" w:eastAsia="zh-CN"/>
        </w:rPr>
        <w:t>5-10</w:t>
      </w:r>
    </w:p>
    <w:p w14:paraId="113D437E">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r>
        <w:rPr>
          <w:rFonts w:hint="eastAsia" w:eastAsia="宋体" w:asciiTheme="majorHAnsi" w:hAnsiTheme="majorHAnsi" w:cstheme="majorBidi"/>
          <w:b/>
          <w:bCs/>
          <w:color w:val="auto"/>
          <w:kern w:val="2"/>
          <w:sz w:val="28"/>
          <w:szCs w:val="28"/>
          <w:highlight w:val="none"/>
          <w:lang w:val="zh-CN" w:eastAsia="zh-CN" w:bidi="ar-SA"/>
        </w:rPr>
        <w:t>其他资格证明文件</w:t>
      </w:r>
    </w:p>
    <w:p w14:paraId="4E74719B">
      <w:pPr>
        <w:pStyle w:val="239"/>
        <w:rPr>
          <w:rFonts w:hint="eastAsia"/>
          <w:color w:val="auto"/>
          <w:highlight w:val="none"/>
        </w:rPr>
      </w:pPr>
      <w:r>
        <w:rPr>
          <w:rFonts w:hint="eastAsia" w:cs="Courier New"/>
          <w:color w:val="auto"/>
          <w:szCs w:val="24"/>
          <w:highlight w:val="none"/>
        </w:rPr>
        <w:t>投标人认为需提供的其它相关资格证明材料</w:t>
      </w:r>
    </w:p>
    <w:p w14:paraId="2D10DF2E">
      <w:pPr>
        <w:pStyle w:val="14"/>
        <w:rPr>
          <w:rFonts w:hint="default"/>
          <w:highlight w:val="none"/>
          <w:lang w:val="en-US" w:eastAsia="zh-CN"/>
        </w:rPr>
      </w:pPr>
    </w:p>
    <w:p w14:paraId="07D48504">
      <w:pPr>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br w:type="page"/>
      </w:r>
    </w:p>
    <w:p w14:paraId="342F6915">
      <w:pPr>
        <w:autoSpaceDE w:val="0"/>
        <w:autoSpaceDN w:val="0"/>
        <w:adjustRightInd w:val="0"/>
        <w:spacing w:line="360" w:lineRule="auto"/>
        <w:ind w:firstLine="480" w:firstLineChars="200"/>
        <w:jc w:val="center"/>
        <w:rPr>
          <w:rFonts w:ascii="宋体" w:hAnsi="宋体" w:cs="宋体"/>
          <w:b/>
          <w:bCs/>
          <w:sz w:val="24"/>
          <w:szCs w:val="24"/>
          <w:highlight w:val="none"/>
          <w:lang w:val="zh-CN"/>
        </w:rPr>
      </w:pPr>
      <w:r>
        <w:rPr>
          <w:rFonts w:hint="eastAsia" w:ascii="宋体" w:hAnsi="宋体" w:cs="宋体"/>
          <w:b/>
          <w:bCs/>
          <w:sz w:val="24"/>
          <w:szCs w:val="24"/>
          <w:highlight w:val="none"/>
          <w:lang w:val="en-US" w:eastAsia="zh-CN"/>
        </w:rPr>
        <w:t>六</w:t>
      </w:r>
      <w:r>
        <w:rPr>
          <w:rFonts w:hint="eastAsia" w:ascii="宋体" w:hAnsi="宋体" w:cs="宋体"/>
          <w:b/>
          <w:bCs/>
          <w:sz w:val="24"/>
          <w:szCs w:val="24"/>
          <w:highlight w:val="none"/>
        </w:rPr>
        <w:t>、</w:t>
      </w:r>
      <w:r>
        <w:rPr>
          <w:rFonts w:hint="eastAsia" w:ascii="宋体" w:hAnsi="宋体" w:cs="宋体"/>
          <w:b/>
          <w:bCs/>
          <w:sz w:val="24"/>
          <w:szCs w:val="24"/>
          <w:highlight w:val="none"/>
          <w:lang w:val="zh-CN"/>
        </w:rPr>
        <w:t>项目负责人简历</w:t>
      </w:r>
    </w:p>
    <w:p w14:paraId="7E304C41">
      <w:pPr>
        <w:autoSpaceDE w:val="0"/>
        <w:autoSpaceDN w:val="0"/>
        <w:adjustRightInd w:val="0"/>
        <w:rPr>
          <w:rFonts w:ascii="宋体" w:hAnsi="宋体" w:cs="宋体"/>
          <w:sz w:val="24"/>
          <w:szCs w:val="24"/>
          <w:highlight w:val="none"/>
          <w:lang w:val="zh-CN"/>
        </w:rPr>
      </w:pPr>
    </w:p>
    <w:tbl>
      <w:tblPr>
        <w:tblStyle w:val="45"/>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54"/>
        <w:gridCol w:w="1542"/>
        <w:gridCol w:w="1134"/>
        <w:gridCol w:w="768"/>
        <w:gridCol w:w="507"/>
        <w:gridCol w:w="1526"/>
        <w:gridCol w:w="2443"/>
      </w:tblGrid>
      <w:tr w14:paraId="07E5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14:paraId="33EA58D0">
            <w:pPr>
              <w:pStyle w:val="138"/>
              <w:jc w:val="center"/>
              <w:rPr>
                <w:rFonts w:ascii="宋体" w:hAnsi="宋体" w:cs="宋体"/>
                <w:sz w:val="24"/>
                <w:highlight w:val="none"/>
              </w:rPr>
            </w:pPr>
            <w:r>
              <w:rPr>
                <w:rFonts w:hint="eastAsia" w:ascii="宋体" w:hAnsi="宋体" w:cs="宋体"/>
                <w:sz w:val="24"/>
                <w:highlight w:val="none"/>
              </w:rPr>
              <w:t>姓  名</w:t>
            </w:r>
          </w:p>
        </w:tc>
        <w:tc>
          <w:tcPr>
            <w:tcW w:w="1596" w:type="dxa"/>
            <w:gridSpan w:val="2"/>
            <w:vAlign w:val="center"/>
          </w:tcPr>
          <w:p w14:paraId="7EDD5AE6">
            <w:pPr>
              <w:pStyle w:val="138"/>
              <w:jc w:val="center"/>
              <w:rPr>
                <w:rFonts w:ascii="宋体" w:hAnsi="宋体" w:cs="宋体"/>
                <w:sz w:val="24"/>
                <w:highlight w:val="none"/>
              </w:rPr>
            </w:pPr>
          </w:p>
        </w:tc>
        <w:tc>
          <w:tcPr>
            <w:tcW w:w="1134" w:type="dxa"/>
            <w:vAlign w:val="center"/>
          </w:tcPr>
          <w:p w14:paraId="3339D0FD">
            <w:pPr>
              <w:pStyle w:val="138"/>
              <w:jc w:val="center"/>
              <w:rPr>
                <w:rFonts w:ascii="宋体" w:hAnsi="宋体" w:cs="宋体"/>
                <w:sz w:val="24"/>
                <w:highlight w:val="none"/>
              </w:rPr>
            </w:pPr>
            <w:r>
              <w:rPr>
                <w:rFonts w:hint="eastAsia" w:ascii="宋体" w:hAnsi="宋体" w:cs="宋体"/>
                <w:sz w:val="24"/>
                <w:highlight w:val="none"/>
              </w:rPr>
              <w:t>年  龄</w:t>
            </w:r>
          </w:p>
        </w:tc>
        <w:tc>
          <w:tcPr>
            <w:tcW w:w="1275" w:type="dxa"/>
            <w:gridSpan w:val="2"/>
            <w:vAlign w:val="center"/>
          </w:tcPr>
          <w:p w14:paraId="7F9740A4">
            <w:pPr>
              <w:pStyle w:val="138"/>
              <w:jc w:val="center"/>
              <w:rPr>
                <w:rFonts w:ascii="宋体" w:hAnsi="宋体" w:cs="宋体"/>
                <w:sz w:val="24"/>
                <w:highlight w:val="none"/>
              </w:rPr>
            </w:pPr>
          </w:p>
        </w:tc>
        <w:tc>
          <w:tcPr>
            <w:tcW w:w="1526" w:type="dxa"/>
            <w:vAlign w:val="center"/>
          </w:tcPr>
          <w:p w14:paraId="70F0901B">
            <w:pPr>
              <w:pStyle w:val="138"/>
              <w:jc w:val="center"/>
              <w:rPr>
                <w:rFonts w:ascii="宋体" w:hAnsi="宋体" w:cs="宋体"/>
                <w:sz w:val="24"/>
                <w:highlight w:val="none"/>
              </w:rPr>
            </w:pPr>
            <w:r>
              <w:rPr>
                <w:rFonts w:hint="eastAsia" w:ascii="宋体" w:hAnsi="宋体" w:cs="宋体"/>
                <w:sz w:val="24"/>
                <w:highlight w:val="none"/>
              </w:rPr>
              <w:t>学历</w:t>
            </w:r>
          </w:p>
        </w:tc>
        <w:tc>
          <w:tcPr>
            <w:tcW w:w="2443" w:type="dxa"/>
            <w:vAlign w:val="center"/>
          </w:tcPr>
          <w:p w14:paraId="32B1F083">
            <w:pPr>
              <w:pStyle w:val="138"/>
              <w:jc w:val="center"/>
              <w:rPr>
                <w:rFonts w:ascii="宋体" w:hAnsi="宋体" w:cs="宋体"/>
                <w:sz w:val="24"/>
                <w:highlight w:val="none"/>
              </w:rPr>
            </w:pPr>
          </w:p>
        </w:tc>
      </w:tr>
      <w:tr w14:paraId="13AF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1" w:type="dxa"/>
            <w:vAlign w:val="center"/>
          </w:tcPr>
          <w:p w14:paraId="51AC2F06">
            <w:pPr>
              <w:pStyle w:val="138"/>
              <w:jc w:val="center"/>
              <w:rPr>
                <w:rFonts w:ascii="宋体" w:hAnsi="宋体" w:cs="宋体"/>
                <w:sz w:val="24"/>
                <w:highlight w:val="none"/>
              </w:rPr>
            </w:pPr>
            <w:r>
              <w:rPr>
                <w:rFonts w:hint="eastAsia" w:ascii="宋体" w:hAnsi="宋体" w:cs="宋体"/>
                <w:sz w:val="24"/>
                <w:highlight w:val="none"/>
              </w:rPr>
              <w:t>职  称</w:t>
            </w:r>
          </w:p>
        </w:tc>
        <w:tc>
          <w:tcPr>
            <w:tcW w:w="1596" w:type="dxa"/>
            <w:gridSpan w:val="2"/>
            <w:vAlign w:val="center"/>
          </w:tcPr>
          <w:p w14:paraId="0C6AF8C1">
            <w:pPr>
              <w:pStyle w:val="138"/>
              <w:jc w:val="center"/>
              <w:rPr>
                <w:rFonts w:ascii="宋体" w:hAnsi="宋体" w:cs="宋体"/>
                <w:sz w:val="24"/>
                <w:highlight w:val="none"/>
              </w:rPr>
            </w:pPr>
          </w:p>
        </w:tc>
        <w:tc>
          <w:tcPr>
            <w:tcW w:w="1134" w:type="dxa"/>
            <w:vAlign w:val="center"/>
          </w:tcPr>
          <w:p w14:paraId="038F0C88">
            <w:pPr>
              <w:pStyle w:val="138"/>
              <w:jc w:val="center"/>
              <w:rPr>
                <w:rFonts w:ascii="宋体" w:hAnsi="宋体" w:cs="宋体"/>
                <w:sz w:val="24"/>
                <w:highlight w:val="none"/>
              </w:rPr>
            </w:pPr>
            <w:r>
              <w:rPr>
                <w:rFonts w:hint="eastAsia" w:ascii="宋体" w:hAnsi="宋体" w:cs="宋体"/>
                <w:sz w:val="24"/>
                <w:highlight w:val="none"/>
              </w:rPr>
              <w:t>职  务</w:t>
            </w:r>
          </w:p>
        </w:tc>
        <w:tc>
          <w:tcPr>
            <w:tcW w:w="1275" w:type="dxa"/>
            <w:gridSpan w:val="2"/>
            <w:vAlign w:val="center"/>
          </w:tcPr>
          <w:p w14:paraId="31DC221B">
            <w:pPr>
              <w:pStyle w:val="138"/>
              <w:jc w:val="center"/>
              <w:rPr>
                <w:rFonts w:ascii="宋体" w:hAnsi="宋体" w:cs="宋体"/>
                <w:sz w:val="24"/>
                <w:highlight w:val="none"/>
              </w:rPr>
            </w:pPr>
          </w:p>
        </w:tc>
        <w:tc>
          <w:tcPr>
            <w:tcW w:w="1526" w:type="dxa"/>
            <w:vAlign w:val="center"/>
          </w:tcPr>
          <w:p w14:paraId="16DEE68D">
            <w:pPr>
              <w:pStyle w:val="138"/>
              <w:jc w:val="center"/>
              <w:rPr>
                <w:rFonts w:ascii="宋体" w:hAnsi="宋体" w:cs="宋体"/>
                <w:sz w:val="24"/>
                <w:highlight w:val="none"/>
              </w:rPr>
            </w:pPr>
            <w:r>
              <w:rPr>
                <w:rFonts w:hint="eastAsia" w:ascii="宋体" w:hAnsi="宋体" w:cs="宋体"/>
                <w:sz w:val="24"/>
                <w:highlight w:val="none"/>
              </w:rPr>
              <w:t>拟在本工程任职</w:t>
            </w:r>
          </w:p>
        </w:tc>
        <w:tc>
          <w:tcPr>
            <w:tcW w:w="2443" w:type="dxa"/>
            <w:vAlign w:val="center"/>
          </w:tcPr>
          <w:p w14:paraId="01DC395C">
            <w:pPr>
              <w:pStyle w:val="138"/>
              <w:jc w:val="center"/>
              <w:rPr>
                <w:rFonts w:ascii="宋体" w:hAnsi="宋体" w:cs="宋体"/>
                <w:sz w:val="24"/>
                <w:highlight w:val="none"/>
              </w:rPr>
            </w:pPr>
            <w:r>
              <w:rPr>
                <w:rFonts w:hint="eastAsia" w:ascii="宋体" w:hAnsi="宋体" w:cs="宋体"/>
                <w:sz w:val="24"/>
                <w:highlight w:val="none"/>
              </w:rPr>
              <w:t>项目负责人</w:t>
            </w:r>
          </w:p>
        </w:tc>
      </w:tr>
      <w:tr w14:paraId="152E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7" w:type="dxa"/>
            <w:gridSpan w:val="3"/>
            <w:vAlign w:val="center"/>
          </w:tcPr>
          <w:p w14:paraId="217429EB">
            <w:pPr>
              <w:pStyle w:val="138"/>
              <w:jc w:val="center"/>
              <w:rPr>
                <w:rFonts w:ascii="宋体" w:hAnsi="宋体" w:cs="宋体"/>
                <w:sz w:val="24"/>
                <w:highlight w:val="none"/>
              </w:rPr>
            </w:pPr>
            <w:r>
              <w:rPr>
                <w:rFonts w:hint="eastAsia" w:ascii="宋体" w:hAnsi="宋体" w:cs="宋体"/>
                <w:sz w:val="24"/>
                <w:highlight w:val="none"/>
              </w:rPr>
              <w:t>注册执业资格等级</w:t>
            </w:r>
          </w:p>
        </w:tc>
        <w:tc>
          <w:tcPr>
            <w:tcW w:w="6378" w:type="dxa"/>
            <w:gridSpan w:val="5"/>
            <w:vAlign w:val="center"/>
          </w:tcPr>
          <w:p w14:paraId="493E57B3">
            <w:pPr>
              <w:pStyle w:val="138"/>
              <w:jc w:val="center"/>
              <w:rPr>
                <w:rFonts w:ascii="宋体" w:hAnsi="宋体" w:cs="宋体"/>
                <w:sz w:val="24"/>
                <w:highlight w:val="none"/>
              </w:rPr>
            </w:pPr>
          </w:p>
        </w:tc>
      </w:tr>
      <w:tr w14:paraId="1EE9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7" w:type="dxa"/>
            <w:gridSpan w:val="3"/>
            <w:vAlign w:val="center"/>
          </w:tcPr>
          <w:p w14:paraId="177D6A20">
            <w:pPr>
              <w:pStyle w:val="138"/>
              <w:jc w:val="center"/>
              <w:rPr>
                <w:rFonts w:ascii="宋体" w:hAnsi="宋体" w:cs="宋体"/>
                <w:sz w:val="24"/>
                <w:highlight w:val="none"/>
              </w:rPr>
            </w:pPr>
            <w:r>
              <w:rPr>
                <w:rFonts w:hint="eastAsia" w:ascii="宋体" w:hAnsi="宋体" w:cs="宋体"/>
                <w:sz w:val="24"/>
                <w:highlight w:val="none"/>
              </w:rPr>
              <w:t>注册证号</w:t>
            </w:r>
          </w:p>
        </w:tc>
        <w:tc>
          <w:tcPr>
            <w:tcW w:w="6378" w:type="dxa"/>
            <w:gridSpan w:val="5"/>
            <w:vAlign w:val="center"/>
          </w:tcPr>
          <w:p w14:paraId="5E349026">
            <w:pPr>
              <w:pStyle w:val="138"/>
              <w:jc w:val="center"/>
              <w:rPr>
                <w:rFonts w:ascii="宋体" w:hAnsi="宋体" w:cs="宋体"/>
                <w:sz w:val="24"/>
                <w:highlight w:val="none"/>
              </w:rPr>
            </w:pPr>
          </w:p>
        </w:tc>
      </w:tr>
      <w:tr w14:paraId="1DEF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5" w:type="dxa"/>
            <w:gridSpan w:val="2"/>
            <w:vAlign w:val="center"/>
          </w:tcPr>
          <w:p w14:paraId="6132A40B">
            <w:pPr>
              <w:pStyle w:val="138"/>
              <w:jc w:val="center"/>
              <w:rPr>
                <w:rFonts w:ascii="宋体" w:hAnsi="宋体" w:cs="宋体"/>
                <w:sz w:val="24"/>
                <w:highlight w:val="none"/>
              </w:rPr>
            </w:pPr>
            <w:r>
              <w:rPr>
                <w:rFonts w:hint="eastAsia" w:ascii="宋体" w:hAnsi="宋体" w:cs="宋体"/>
                <w:sz w:val="24"/>
                <w:highlight w:val="none"/>
              </w:rPr>
              <w:t>毕业学校</w:t>
            </w:r>
          </w:p>
        </w:tc>
        <w:tc>
          <w:tcPr>
            <w:tcW w:w="7920" w:type="dxa"/>
            <w:gridSpan w:val="6"/>
            <w:vAlign w:val="center"/>
          </w:tcPr>
          <w:p w14:paraId="25F6DF97">
            <w:pPr>
              <w:pStyle w:val="138"/>
              <w:jc w:val="center"/>
              <w:rPr>
                <w:rFonts w:ascii="宋体" w:hAnsi="宋体" w:cs="宋体"/>
                <w:sz w:val="24"/>
                <w:highlight w:val="none"/>
              </w:rPr>
            </w:pPr>
            <w:r>
              <w:rPr>
                <w:rFonts w:hint="eastAsia" w:ascii="宋体" w:hAnsi="宋体" w:cs="宋体"/>
                <w:sz w:val="24"/>
                <w:highlight w:val="none"/>
              </w:rPr>
              <w:t>年毕业于                  学校            专业</w:t>
            </w:r>
          </w:p>
        </w:tc>
      </w:tr>
      <w:tr w14:paraId="4C6F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75" w:type="dxa"/>
            <w:gridSpan w:val="8"/>
            <w:vAlign w:val="center"/>
          </w:tcPr>
          <w:p w14:paraId="56F03916">
            <w:pPr>
              <w:pStyle w:val="138"/>
              <w:jc w:val="center"/>
              <w:rPr>
                <w:rFonts w:ascii="宋体" w:hAnsi="宋体" w:cs="宋体"/>
                <w:sz w:val="24"/>
                <w:highlight w:val="none"/>
              </w:rPr>
            </w:pPr>
            <w:r>
              <w:rPr>
                <w:rFonts w:hint="eastAsia" w:ascii="宋体" w:hAnsi="宋体" w:cs="宋体"/>
                <w:sz w:val="24"/>
                <w:highlight w:val="none"/>
              </w:rPr>
              <w:t>类似业绩</w:t>
            </w:r>
          </w:p>
        </w:tc>
      </w:tr>
      <w:tr w14:paraId="6815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5" w:type="dxa"/>
            <w:gridSpan w:val="2"/>
            <w:vAlign w:val="center"/>
          </w:tcPr>
          <w:p w14:paraId="42099507">
            <w:pPr>
              <w:pStyle w:val="138"/>
              <w:jc w:val="center"/>
              <w:rPr>
                <w:rFonts w:ascii="宋体" w:hAnsi="宋体" w:cs="宋体"/>
                <w:sz w:val="24"/>
                <w:highlight w:val="none"/>
              </w:rPr>
            </w:pPr>
            <w:r>
              <w:rPr>
                <w:rFonts w:hint="eastAsia" w:ascii="宋体" w:hAnsi="宋体" w:cs="宋体"/>
                <w:sz w:val="24"/>
                <w:highlight w:val="none"/>
              </w:rPr>
              <w:t>时  间</w:t>
            </w:r>
          </w:p>
        </w:tc>
        <w:tc>
          <w:tcPr>
            <w:tcW w:w="3444" w:type="dxa"/>
            <w:gridSpan w:val="3"/>
            <w:vAlign w:val="center"/>
          </w:tcPr>
          <w:p w14:paraId="678B2FD3">
            <w:pPr>
              <w:pStyle w:val="138"/>
              <w:jc w:val="center"/>
              <w:rPr>
                <w:rFonts w:ascii="宋体" w:hAnsi="宋体" w:cs="宋体"/>
                <w:sz w:val="24"/>
                <w:highlight w:val="none"/>
              </w:rPr>
            </w:pPr>
            <w:r>
              <w:rPr>
                <w:rFonts w:hint="eastAsia" w:ascii="宋体" w:hAnsi="宋体" w:cs="宋体"/>
                <w:sz w:val="24"/>
                <w:highlight w:val="none"/>
              </w:rPr>
              <w:t>项目名称</w:t>
            </w:r>
          </w:p>
        </w:tc>
        <w:tc>
          <w:tcPr>
            <w:tcW w:w="2033" w:type="dxa"/>
            <w:gridSpan w:val="2"/>
            <w:vAlign w:val="center"/>
          </w:tcPr>
          <w:p w14:paraId="42941878">
            <w:pPr>
              <w:pStyle w:val="138"/>
              <w:jc w:val="center"/>
              <w:rPr>
                <w:rFonts w:ascii="宋体" w:hAnsi="宋体" w:cs="宋体"/>
                <w:sz w:val="24"/>
                <w:highlight w:val="none"/>
              </w:rPr>
            </w:pPr>
            <w:r>
              <w:rPr>
                <w:rFonts w:hint="eastAsia" w:ascii="宋体" w:hAnsi="宋体" w:cs="宋体"/>
                <w:sz w:val="24"/>
                <w:highlight w:val="none"/>
              </w:rPr>
              <w:t>合同（或中标）金额</w:t>
            </w:r>
          </w:p>
        </w:tc>
        <w:tc>
          <w:tcPr>
            <w:tcW w:w="2443" w:type="dxa"/>
            <w:vAlign w:val="center"/>
          </w:tcPr>
          <w:p w14:paraId="0A770708">
            <w:pPr>
              <w:pStyle w:val="138"/>
              <w:jc w:val="center"/>
              <w:rPr>
                <w:rFonts w:ascii="宋体" w:hAnsi="宋体" w:cs="宋体"/>
                <w:sz w:val="24"/>
                <w:highlight w:val="none"/>
              </w:rPr>
            </w:pPr>
            <w:r>
              <w:rPr>
                <w:rFonts w:hint="eastAsia" w:ascii="宋体" w:hAnsi="宋体" w:cs="宋体"/>
                <w:sz w:val="24"/>
                <w:highlight w:val="none"/>
              </w:rPr>
              <w:t>发包联系人及联系方式</w:t>
            </w:r>
          </w:p>
        </w:tc>
      </w:tr>
      <w:tr w14:paraId="7A6C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55" w:type="dxa"/>
            <w:gridSpan w:val="2"/>
            <w:vAlign w:val="center"/>
          </w:tcPr>
          <w:p w14:paraId="03525971">
            <w:pPr>
              <w:pStyle w:val="138"/>
              <w:jc w:val="center"/>
              <w:rPr>
                <w:rFonts w:ascii="宋体" w:hAnsi="宋体" w:cs="宋体"/>
                <w:sz w:val="24"/>
                <w:highlight w:val="none"/>
              </w:rPr>
            </w:pPr>
          </w:p>
        </w:tc>
        <w:tc>
          <w:tcPr>
            <w:tcW w:w="3444" w:type="dxa"/>
            <w:gridSpan w:val="3"/>
            <w:vAlign w:val="center"/>
          </w:tcPr>
          <w:p w14:paraId="79EE18F8">
            <w:pPr>
              <w:pStyle w:val="138"/>
              <w:jc w:val="center"/>
              <w:rPr>
                <w:rFonts w:ascii="宋体" w:hAnsi="宋体" w:cs="宋体"/>
                <w:sz w:val="24"/>
                <w:highlight w:val="none"/>
              </w:rPr>
            </w:pPr>
          </w:p>
        </w:tc>
        <w:tc>
          <w:tcPr>
            <w:tcW w:w="2033" w:type="dxa"/>
            <w:gridSpan w:val="2"/>
            <w:vAlign w:val="center"/>
          </w:tcPr>
          <w:p w14:paraId="3AFF3ABE">
            <w:pPr>
              <w:pStyle w:val="138"/>
              <w:jc w:val="center"/>
              <w:rPr>
                <w:rFonts w:ascii="宋体" w:hAnsi="宋体" w:cs="宋体"/>
                <w:sz w:val="24"/>
                <w:highlight w:val="none"/>
              </w:rPr>
            </w:pPr>
          </w:p>
        </w:tc>
        <w:tc>
          <w:tcPr>
            <w:tcW w:w="2443" w:type="dxa"/>
            <w:vAlign w:val="center"/>
          </w:tcPr>
          <w:p w14:paraId="22113395">
            <w:pPr>
              <w:pStyle w:val="138"/>
              <w:jc w:val="center"/>
              <w:rPr>
                <w:rFonts w:ascii="宋体" w:hAnsi="宋体" w:cs="宋体"/>
                <w:sz w:val="24"/>
                <w:highlight w:val="none"/>
              </w:rPr>
            </w:pPr>
          </w:p>
        </w:tc>
      </w:tr>
      <w:tr w14:paraId="7103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755" w:type="dxa"/>
            <w:gridSpan w:val="2"/>
            <w:vAlign w:val="center"/>
          </w:tcPr>
          <w:p w14:paraId="54322192">
            <w:pPr>
              <w:pStyle w:val="138"/>
              <w:jc w:val="center"/>
              <w:rPr>
                <w:rFonts w:ascii="宋体" w:hAnsi="宋体" w:cs="宋体"/>
                <w:sz w:val="24"/>
                <w:highlight w:val="none"/>
              </w:rPr>
            </w:pPr>
          </w:p>
        </w:tc>
        <w:tc>
          <w:tcPr>
            <w:tcW w:w="3444" w:type="dxa"/>
            <w:gridSpan w:val="3"/>
            <w:vAlign w:val="center"/>
          </w:tcPr>
          <w:p w14:paraId="015B5595">
            <w:pPr>
              <w:pStyle w:val="138"/>
              <w:jc w:val="center"/>
              <w:rPr>
                <w:rFonts w:ascii="宋体" w:hAnsi="宋体" w:cs="宋体"/>
                <w:sz w:val="24"/>
                <w:highlight w:val="none"/>
              </w:rPr>
            </w:pPr>
          </w:p>
        </w:tc>
        <w:tc>
          <w:tcPr>
            <w:tcW w:w="2033" w:type="dxa"/>
            <w:gridSpan w:val="2"/>
            <w:vAlign w:val="center"/>
          </w:tcPr>
          <w:p w14:paraId="674F29FD">
            <w:pPr>
              <w:pStyle w:val="138"/>
              <w:jc w:val="center"/>
              <w:rPr>
                <w:rFonts w:ascii="宋体" w:hAnsi="宋体" w:cs="宋体"/>
                <w:sz w:val="24"/>
                <w:highlight w:val="none"/>
              </w:rPr>
            </w:pPr>
          </w:p>
        </w:tc>
        <w:tc>
          <w:tcPr>
            <w:tcW w:w="2443" w:type="dxa"/>
            <w:vAlign w:val="center"/>
          </w:tcPr>
          <w:p w14:paraId="50BDEEB1">
            <w:pPr>
              <w:pStyle w:val="138"/>
              <w:jc w:val="center"/>
              <w:rPr>
                <w:rFonts w:ascii="宋体" w:hAnsi="宋体" w:cs="宋体"/>
                <w:sz w:val="24"/>
                <w:highlight w:val="none"/>
              </w:rPr>
            </w:pPr>
          </w:p>
        </w:tc>
      </w:tr>
      <w:tr w14:paraId="5D6D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55" w:type="dxa"/>
            <w:gridSpan w:val="2"/>
            <w:vAlign w:val="center"/>
          </w:tcPr>
          <w:p w14:paraId="54C73A69">
            <w:pPr>
              <w:pStyle w:val="138"/>
              <w:jc w:val="center"/>
              <w:rPr>
                <w:rFonts w:ascii="宋体" w:hAnsi="宋体" w:cs="宋体"/>
                <w:sz w:val="24"/>
                <w:highlight w:val="none"/>
              </w:rPr>
            </w:pPr>
          </w:p>
        </w:tc>
        <w:tc>
          <w:tcPr>
            <w:tcW w:w="3444" w:type="dxa"/>
            <w:gridSpan w:val="3"/>
            <w:vAlign w:val="center"/>
          </w:tcPr>
          <w:p w14:paraId="693C5107">
            <w:pPr>
              <w:pStyle w:val="138"/>
              <w:jc w:val="center"/>
              <w:rPr>
                <w:rFonts w:ascii="宋体" w:hAnsi="宋体" w:cs="宋体"/>
                <w:sz w:val="24"/>
                <w:highlight w:val="none"/>
              </w:rPr>
            </w:pPr>
          </w:p>
        </w:tc>
        <w:tc>
          <w:tcPr>
            <w:tcW w:w="2033" w:type="dxa"/>
            <w:gridSpan w:val="2"/>
            <w:vAlign w:val="center"/>
          </w:tcPr>
          <w:p w14:paraId="49AC3E56">
            <w:pPr>
              <w:pStyle w:val="138"/>
              <w:jc w:val="center"/>
              <w:rPr>
                <w:rFonts w:ascii="宋体" w:hAnsi="宋体" w:cs="宋体"/>
                <w:sz w:val="24"/>
                <w:highlight w:val="none"/>
              </w:rPr>
            </w:pPr>
          </w:p>
        </w:tc>
        <w:tc>
          <w:tcPr>
            <w:tcW w:w="2443" w:type="dxa"/>
            <w:vAlign w:val="center"/>
          </w:tcPr>
          <w:p w14:paraId="0457D499">
            <w:pPr>
              <w:pStyle w:val="138"/>
              <w:jc w:val="center"/>
              <w:rPr>
                <w:rFonts w:ascii="宋体" w:hAnsi="宋体" w:cs="宋体"/>
                <w:sz w:val="24"/>
                <w:highlight w:val="none"/>
              </w:rPr>
            </w:pPr>
          </w:p>
        </w:tc>
      </w:tr>
      <w:tr w14:paraId="0508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55" w:type="dxa"/>
            <w:gridSpan w:val="2"/>
            <w:vAlign w:val="center"/>
          </w:tcPr>
          <w:p w14:paraId="25D244E8">
            <w:pPr>
              <w:pStyle w:val="138"/>
              <w:jc w:val="center"/>
              <w:rPr>
                <w:rFonts w:ascii="宋体" w:hAnsi="宋体" w:cs="宋体"/>
                <w:sz w:val="24"/>
                <w:highlight w:val="none"/>
              </w:rPr>
            </w:pPr>
          </w:p>
        </w:tc>
        <w:tc>
          <w:tcPr>
            <w:tcW w:w="3444" w:type="dxa"/>
            <w:gridSpan w:val="3"/>
            <w:vAlign w:val="center"/>
          </w:tcPr>
          <w:p w14:paraId="51F1A76B">
            <w:pPr>
              <w:pStyle w:val="138"/>
              <w:jc w:val="center"/>
              <w:rPr>
                <w:rFonts w:ascii="宋体" w:hAnsi="宋体" w:cs="宋体"/>
                <w:sz w:val="24"/>
                <w:highlight w:val="none"/>
              </w:rPr>
            </w:pPr>
          </w:p>
        </w:tc>
        <w:tc>
          <w:tcPr>
            <w:tcW w:w="2033" w:type="dxa"/>
            <w:gridSpan w:val="2"/>
            <w:vAlign w:val="center"/>
          </w:tcPr>
          <w:p w14:paraId="06C3C194">
            <w:pPr>
              <w:pStyle w:val="138"/>
              <w:jc w:val="center"/>
              <w:rPr>
                <w:rFonts w:ascii="宋体" w:hAnsi="宋体" w:cs="宋体"/>
                <w:sz w:val="24"/>
                <w:highlight w:val="none"/>
              </w:rPr>
            </w:pPr>
          </w:p>
        </w:tc>
        <w:tc>
          <w:tcPr>
            <w:tcW w:w="2443" w:type="dxa"/>
            <w:vAlign w:val="center"/>
          </w:tcPr>
          <w:p w14:paraId="468E4D58">
            <w:pPr>
              <w:pStyle w:val="138"/>
              <w:jc w:val="center"/>
              <w:rPr>
                <w:rFonts w:ascii="宋体" w:hAnsi="宋体" w:cs="宋体"/>
                <w:sz w:val="24"/>
                <w:highlight w:val="none"/>
              </w:rPr>
            </w:pPr>
          </w:p>
        </w:tc>
      </w:tr>
      <w:tr w14:paraId="5D9C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55" w:type="dxa"/>
            <w:gridSpan w:val="2"/>
            <w:vAlign w:val="center"/>
          </w:tcPr>
          <w:p w14:paraId="41BE4E04">
            <w:pPr>
              <w:pStyle w:val="138"/>
              <w:jc w:val="center"/>
              <w:rPr>
                <w:rFonts w:ascii="宋体" w:hAnsi="宋体" w:cs="宋体"/>
                <w:sz w:val="24"/>
                <w:highlight w:val="none"/>
              </w:rPr>
            </w:pPr>
          </w:p>
        </w:tc>
        <w:tc>
          <w:tcPr>
            <w:tcW w:w="3444" w:type="dxa"/>
            <w:gridSpan w:val="3"/>
            <w:vAlign w:val="center"/>
          </w:tcPr>
          <w:p w14:paraId="3B1959A5">
            <w:pPr>
              <w:pStyle w:val="138"/>
              <w:jc w:val="center"/>
              <w:rPr>
                <w:rFonts w:ascii="宋体" w:hAnsi="宋体" w:cs="宋体"/>
                <w:sz w:val="24"/>
                <w:highlight w:val="none"/>
              </w:rPr>
            </w:pPr>
          </w:p>
        </w:tc>
        <w:tc>
          <w:tcPr>
            <w:tcW w:w="2033" w:type="dxa"/>
            <w:gridSpan w:val="2"/>
            <w:vAlign w:val="center"/>
          </w:tcPr>
          <w:p w14:paraId="52687F19">
            <w:pPr>
              <w:pStyle w:val="138"/>
              <w:jc w:val="center"/>
              <w:rPr>
                <w:rFonts w:ascii="宋体" w:hAnsi="宋体" w:cs="宋体"/>
                <w:sz w:val="24"/>
                <w:highlight w:val="none"/>
              </w:rPr>
            </w:pPr>
          </w:p>
        </w:tc>
        <w:tc>
          <w:tcPr>
            <w:tcW w:w="2443" w:type="dxa"/>
            <w:vAlign w:val="center"/>
          </w:tcPr>
          <w:p w14:paraId="1CAFE3C5">
            <w:pPr>
              <w:pStyle w:val="138"/>
              <w:jc w:val="center"/>
              <w:rPr>
                <w:rFonts w:ascii="宋体" w:hAnsi="宋体" w:cs="宋体"/>
                <w:sz w:val="24"/>
                <w:highlight w:val="none"/>
              </w:rPr>
            </w:pPr>
          </w:p>
        </w:tc>
      </w:tr>
      <w:tr w14:paraId="2C7A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55" w:type="dxa"/>
            <w:gridSpan w:val="2"/>
            <w:vAlign w:val="center"/>
          </w:tcPr>
          <w:p w14:paraId="4CAAF892">
            <w:pPr>
              <w:pStyle w:val="138"/>
              <w:jc w:val="center"/>
              <w:rPr>
                <w:rFonts w:ascii="宋体" w:hAnsi="宋体" w:cs="宋体"/>
                <w:sz w:val="24"/>
                <w:highlight w:val="none"/>
              </w:rPr>
            </w:pPr>
          </w:p>
        </w:tc>
        <w:tc>
          <w:tcPr>
            <w:tcW w:w="3444" w:type="dxa"/>
            <w:gridSpan w:val="3"/>
            <w:vAlign w:val="center"/>
          </w:tcPr>
          <w:p w14:paraId="3AF6058D">
            <w:pPr>
              <w:pStyle w:val="138"/>
              <w:jc w:val="center"/>
              <w:rPr>
                <w:rFonts w:ascii="宋体" w:hAnsi="宋体" w:cs="宋体"/>
                <w:sz w:val="24"/>
                <w:highlight w:val="none"/>
              </w:rPr>
            </w:pPr>
          </w:p>
        </w:tc>
        <w:tc>
          <w:tcPr>
            <w:tcW w:w="2033" w:type="dxa"/>
            <w:gridSpan w:val="2"/>
            <w:vAlign w:val="center"/>
          </w:tcPr>
          <w:p w14:paraId="7ED47C9C">
            <w:pPr>
              <w:pStyle w:val="138"/>
              <w:jc w:val="center"/>
              <w:rPr>
                <w:rFonts w:ascii="宋体" w:hAnsi="宋体" w:cs="宋体"/>
                <w:sz w:val="24"/>
                <w:highlight w:val="none"/>
              </w:rPr>
            </w:pPr>
          </w:p>
        </w:tc>
        <w:tc>
          <w:tcPr>
            <w:tcW w:w="2443" w:type="dxa"/>
            <w:vAlign w:val="center"/>
          </w:tcPr>
          <w:p w14:paraId="671D80F3">
            <w:pPr>
              <w:pStyle w:val="138"/>
              <w:jc w:val="center"/>
              <w:rPr>
                <w:rFonts w:ascii="宋体" w:hAnsi="宋体" w:cs="宋体"/>
                <w:sz w:val="24"/>
                <w:highlight w:val="none"/>
              </w:rPr>
            </w:pPr>
          </w:p>
        </w:tc>
      </w:tr>
      <w:tr w14:paraId="6309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55" w:type="dxa"/>
            <w:gridSpan w:val="2"/>
            <w:vAlign w:val="center"/>
          </w:tcPr>
          <w:p w14:paraId="3526CB13">
            <w:pPr>
              <w:pStyle w:val="138"/>
              <w:jc w:val="center"/>
              <w:rPr>
                <w:rFonts w:ascii="宋体" w:hAnsi="宋体" w:cs="宋体"/>
                <w:sz w:val="24"/>
                <w:highlight w:val="none"/>
              </w:rPr>
            </w:pPr>
          </w:p>
        </w:tc>
        <w:tc>
          <w:tcPr>
            <w:tcW w:w="3444" w:type="dxa"/>
            <w:gridSpan w:val="3"/>
            <w:vAlign w:val="center"/>
          </w:tcPr>
          <w:p w14:paraId="5ECB61DC">
            <w:pPr>
              <w:pStyle w:val="138"/>
              <w:jc w:val="center"/>
              <w:rPr>
                <w:rFonts w:ascii="宋体" w:hAnsi="宋体" w:cs="宋体"/>
                <w:sz w:val="24"/>
                <w:highlight w:val="none"/>
              </w:rPr>
            </w:pPr>
          </w:p>
        </w:tc>
        <w:tc>
          <w:tcPr>
            <w:tcW w:w="2033" w:type="dxa"/>
            <w:gridSpan w:val="2"/>
            <w:vAlign w:val="center"/>
          </w:tcPr>
          <w:p w14:paraId="04D0EC78">
            <w:pPr>
              <w:pStyle w:val="138"/>
              <w:jc w:val="center"/>
              <w:rPr>
                <w:rFonts w:ascii="宋体" w:hAnsi="宋体" w:cs="宋体"/>
                <w:sz w:val="24"/>
                <w:highlight w:val="none"/>
              </w:rPr>
            </w:pPr>
          </w:p>
        </w:tc>
        <w:tc>
          <w:tcPr>
            <w:tcW w:w="2443" w:type="dxa"/>
            <w:vAlign w:val="center"/>
          </w:tcPr>
          <w:p w14:paraId="25DE4E66">
            <w:pPr>
              <w:pStyle w:val="138"/>
              <w:jc w:val="center"/>
              <w:rPr>
                <w:rFonts w:ascii="宋体" w:hAnsi="宋体" w:cs="宋体"/>
                <w:sz w:val="24"/>
                <w:highlight w:val="none"/>
              </w:rPr>
            </w:pPr>
          </w:p>
        </w:tc>
      </w:tr>
    </w:tbl>
    <w:p w14:paraId="1B70CB6F">
      <w:pPr>
        <w:pStyle w:val="38"/>
        <w:spacing w:line="240" w:lineRule="auto"/>
        <w:ind w:firstLine="480" w:firstLineChars="200"/>
        <w:rPr>
          <w:rFonts w:ascii="宋体" w:hAnsi="宋体" w:cs="宋体"/>
          <w:b/>
          <w:bCs/>
          <w:sz w:val="24"/>
          <w:szCs w:val="24"/>
          <w:highlight w:val="none"/>
        </w:rPr>
      </w:pPr>
      <w:r>
        <w:rPr>
          <w:rFonts w:hint="eastAsia" w:ascii="宋体" w:hAnsi="宋体" w:cs="宋体"/>
          <w:b/>
          <w:bCs/>
          <w:sz w:val="24"/>
          <w:szCs w:val="24"/>
          <w:highlight w:val="none"/>
        </w:rPr>
        <w:t>备注：投标人根据评审内容提供相关证明材料。</w:t>
      </w:r>
    </w:p>
    <w:p w14:paraId="041DBC26">
      <w:pPr>
        <w:spacing w:line="440" w:lineRule="exact"/>
        <w:rPr>
          <w:rFonts w:ascii="宋体" w:hAnsi="宋体" w:cs="宋体"/>
          <w:b/>
          <w:bCs/>
          <w:sz w:val="24"/>
          <w:szCs w:val="24"/>
          <w:highlight w:val="none"/>
        </w:rPr>
      </w:pPr>
    </w:p>
    <w:p w14:paraId="0AF6C9EB">
      <w:pPr>
        <w:rPr>
          <w:rFonts w:cs="Times New Roman"/>
          <w:b/>
          <w:color w:val="000000"/>
          <w:kern w:val="0"/>
          <w:sz w:val="24"/>
          <w:szCs w:val="20"/>
          <w:highlight w:val="none"/>
        </w:rPr>
      </w:pPr>
      <w:r>
        <w:rPr>
          <w:rFonts w:hint="eastAsia" w:cs="Times New Roman"/>
          <w:b/>
          <w:color w:val="000000"/>
          <w:kern w:val="0"/>
          <w:sz w:val="24"/>
          <w:szCs w:val="20"/>
          <w:highlight w:val="none"/>
        </w:rPr>
        <w:br w:type="page"/>
      </w:r>
    </w:p>
    <w:p w14:paraId="2DB0A2D2">
      <w:pPr>
        <w:numPr>
          <w:ilvl w:val="0"/>
          <w:numId w:val="0"/>
        </w:numPr>
        <w:jc w:val="center"/>
        <w:rPr>
          <w:rFonts w:cs="Times New Roman"/>
          <w:b/>
          <w:color w:val="000000"/>
          <w:kern w:val="0"/>
          <w:sz w:val="24"/>
          <w:szCs w:val="20"/>
          <w:highlight w:val="none"/>
        </w:rPr>
      </w:pPr>
      <w:r>
        <w:rPr>
          <w:rFonts w:hint="eastAsia" w:cs="Times New Roman"/>
          <w:b/>
          <w:color w:val="000000"/>
          <w:kern w:val="0"/>
          <w:sz w:val="24"/>
          <w:szCs w:val="20"/>
          <w:highlight w:val="none"/>
          <w:lang w:val="en-US" w:eastAsia="zh-CN"/>
        </w:rPr>
        <w:t>七、</w:t>
      </w:r>
      <w:r>
        <w:rPr>
          <w:rFonts w:hint="eastAsia" w:cs="Times New Roman"/>
          <w:b/>
          <w:color w:val="000000"/>
          <w:kern w:val="0"/>
          <w:sz w:val="24"/>
          <w:szCs w:val="20"/>
          <w:highlight w:val="none"/>
        </w:rPr>
        <w:t>拟配备人员</w:t>
      </w:r>
    </w:p>
    <w:p w14:paraId="54656295">
      <w:pPr>
        <w:rPr>
          <w:rFonts w:cs="Times New Roman"/>
          <w:b/>
          <w:color w:val="000000"/>
          <w:kern w:val="0"/>
          <w:sz w:val="24"/>
          <w:szCs w:val="20"/>
          <w:highlight w:val="none"/>
        </w:rPr>
      </w:pPr>
    </w:p>
    <w:tbl>
      <w:tblPr>
        <w:tblStyle w:val="45"/>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566"/>
        <w:gridCol w:w="896"/>
        <w:gridCol w:w="1035"/>
        <w:gridCol w:w="1102"/>
        <w:gridCol w:w="1093"/>
        <w:gridCol w:w="1108"/>
        <w:gridCol w:w="1181"/>
        <w:gridCol w:w="843"/>
      </w:tblGrid>
      <w:tr w14:paraId="0F7F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6" w:type="dxa"/>
            <w:vMerge w:val="restart"/>
            <w:vAlign w:val="center"/>
          </w:tcPr>
          <w:p w14:paraId="7E5AE47D">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序号</w:t>
            </w:r>
          </w:p>
        </w:tc>
        <w:tc>
          <w:tcPr>
            <w:tcW w:w="1566" w:type="dxa"/>
            <w:vMerge w:val="restart"/>
            <w:vAlign w:val="center"/>
          </w:tcPr>
          <w:p w14:paraId="25E5CFF4">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职务</w:t>
            </w:r>
          </w:p>
        </w:tc>
        <w:tc>
          <w:tcPr>
            <w:tcW w:w="896" w:type="dxa"/>
            <w:vMerge w:val="restart"/>
            <w:vAlign w:val="center"/>
          </w:tcPr>
          <w:p w14:paraId="040EB803">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姓名</w:t>
            </w:r>
          </w:p>
        </w:tc>
        <w:tc>
          <w:tcPr>
            <w:tcW w:w="3230" w:type="dxa"/>
            <w:gridSpan w:val="3"/>
            <w:vAlign w:val="center"/>
          </w:tcPr>
          <w:p w14:paraId="27D498EE">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执业或职业资格证明</w:t>
            </w:r>
          </w:p>
        </w:tc>
        <w:tc>
          <w:tcPr>
            <w:tcW w:w="2289" w:type="dxa"/>
            <w:gridSpan w:val="2"/>
            <w:vAlign w:val="center"/>
          </w:tcPr>
          <w:p w14:paraId="0A364BA3">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职称</w:t>
            </w:r>
          </w:p>
        </w:tc>
        <w:tc>
          <w:tcPr>
            <w:tcW w:w="843" w:type="dxa"/>
            <w:vAlign w:val="center"/>
          </w:tcPr>
          <w:p w14:paraId="7E2EA92F">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备注</w:t>
            </w:r>
          </w:p>
        </w:tc>
      </w:tr>
      <w:tr w14:paraId="55BE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616" w:type="dxa"/>
            <w:vMerge w:val="continue"/>
            <w:vAlign w:val="center"/>
          </w:tcPr>
          <w:p w14:paraId="514581BE">
            <w:pPr>
              <w:pStyle w:val="139"/>
              <w:spacing w:line="360" w:lineRule="auto"/>
              <w:jc w:val="center"/>
              <w:rPr>
                <w:rFonts w:ascii="宋体" w:hAnsi="宋体" w:eastAsia="宋体" w:cs="宋体"/>
                <w:sz w:val="24"/>
                <w:highlight w:val="none"/>
              </w:rPr>
            </w:pPr>
          </w:p>
        </w:tc>
        <w:tc>
          <w:tcPr>
            <w:tcW w:w="1566" w:type="dxa"/>
            <w:vMerge w:val="continue"/>
            <w:vAlign w:val="center"/>
          </w:tcPr>
          <w:p w14:paraId="32F57B46">
            <w:pPr>
              <w:pStyle w:val="139"/>
              <w:spacing w:line="360" w:lineRule="auto"/>
              <w:jc w:val="center"/>
              <w:rPr>
                <w:rFonts w:ascii="宋体" w:hAnsi="宋体" w:eastAsia="宋体" w:cs="宋体"/>
                <w:sz w:val="24"/>
                <w:highlight w:val="none"/>
              </w:rPr>
            </w:pPr>
          </w:p>
        </w:tc>
        <w:tc>
          <w:tcPr>
            <w:tcW w:w="896" w:type="dxa"/>
            <w:vMerge w:val="continue"/>
            <w:vAlign w:val="center"/>
          </w:tcPr>
          <w:p w14:paraId="69D72A5D">
            <w:pPr>
              <w:pStyle w:val="139"/>
              <w:spacing w:line="360" w:lineRule="auto"/>
              <w:jc w:val="center"/>
              <w:rPr>
                <w:rFonts w:ascii="宋体" w:hAnsi="宋体" w:eastAsia="宋体" w:cs="宋体"/>
                <w:sz w:val="24"/>
                <w:highlight w:val="none"/>
              </w:rPr>
            </w:pPr>
          </w:p>
        </w:tc>
        <w:tc>
          <w:tcPr>
            <w:tcW w:w="1035" w:type="dxa"/>
            <w:vAlign w:val="center"/>
          </w:tcPr>
          <w:p w14:paraId="6EF227ED">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证书</w:t>
            </w:r>
          </w:p>
          <w:p w14:paraId="50314012">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名称</w:t>
            </w:r>
          </w:p>
        </w:tc>
        <w:tc>
          <w:tcPr>
            <w:tcW w:w="1102" w:type="dxa"/>
            <w:vAlign w:val="center"/>
          </w:tcPr>
          <w:p w14:paraId="12ED0DD6">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级别</w:t>
            </w:r>
          </w:p>
        </w:tc>
        <w:tc>
          <w:tcPr>
            <w:tcW w:w="1093" w:type="dxa"/>
            <w:vAlign w:val="center"/>
          </w:tcPr>
          <w:p w14:paraId="7E69F2A6">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证书</w:t>
            </w:r>
          </w:p>
          <w:p w14:paraId="2EDA2825">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编号</w:t>
            </w:r>
          </w:p>
        </w:tc>
        <w:tc>
          <w:tcPr>
            <w:tcW w:w="1108" w:type="dxa"/>
            <w:vAlign w:val="center"/>
          </w:tcPr>
          <w:p w14:paraId="1C3689E5">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职称</w:t>
            </w:r>
          </w:p>
          <w:p w14:paraId="0A60B7EF">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专业</w:t>
            </w:r>
          </w:p>
        </w:tc>
        <w:tc>
          <w:tcPr>
            <w:tcW w:w="1181" w:type="dxa"/>
            <w:vAlign w:val="center"/>
          </w:tcPr>
          <w:p w14:paraId="25112AC7">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级别</w:t>
            </w:r>
          </w:p>
        </w:tc>
        <w:tc>
          <w:tcPr>
            <w:tcW w:w="843" w:type="dxa"/>
            <w:vAlign w:val="center"/>
          </w:tcPr>
          <w:p w14:paraId="4F982C4E">
            <w:pPr>
              <w:pStyle w:val="139"/>
              <w:spacing w:line="360" w:lineRule="auto"/>
              <w:jc w:val="center"/>
              <w:rPr>
                <w:rFonts w:ascii="宋体" w:hAnsi="宋体" w:eastAsia="宋体" w:cs="宋体"/>
                <w:sz w:val="24"/>
                <w:highlight w:val="none"/>
              </w:rPr>
            </w:pPr>
          </w:p>
        </w:tc>
      </w:tr>
      <w:tr w14:paraId="4E32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616" w:type="dxa"/>
            <w:vAlign w:val="center"/>
          </w:tcPr>
          <w:p w14:paraId="31FF3748">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1566" w:type="dxa"/>
            <w:vAlign w:val="center"/>
          </w:tcPr>
          <w:p w14:paraId="65B90DDD">
            <w:pPr>
              <w:pStyle w:val="139"/>
              <w:spacing w:line="360" w:lineRule="auto"/>
              <w:jc w:val="center"/>
              <w:rPr>
                <w:rFonts w:ascii="宋体" w:hAnsi="宋体" w:eastAsia="宋体" w:cs="宋体"/>
                <w:sz w:val="24"/>
                <w:highlight w:val="none"/>
              </w:rPr>
            </w:pPr>
          </w:p>
        </w:tc>
        <w:tc>
          <w:tcPr>
            <w:tcW w:w="896" w:type="dxa"/>
            <w:vAlign w:val="center"/>
          </w:tcPr>
          <w:p w14:paraId="5CCEC918">
            <w:pPr>
              <w:pStyle w:val="139"/>
              <w:spacing w:line="360" w:lineRule="auto"/>
              <w:jc w:val="center"/>
              <w:rPr>
                <w:rFonts w:ascii="宋体" w:hAnsi="宋体" w:eastAsia="宋体" w:cs="宋体"/>
                <w:sz w:val="24"/>
                <w:highlight w:val="none"/>
              </w:rPr>
            </w:pPr>
          </w:p>
        </w:tc>
        <w:tc>
          <w:tcPr>
            <w:tcW w:w="1035" w:type="dxa"/>
            <w:vAlign w:val="center"/>
          </w:tcPr>
          <w:p w14:paraId="7B3CE4EC">
            <w:pPr>
              <w:pStyle w:val="139"/>
              <w:spacing w:line="360" w:lineRule="auto"/>
              <w:jc w:val="center"/>
              <w:rPr>
                <w:rFonts w:ascii="宋体" w:hAnsi="宋体" w:eastAsia="宋体" w:cs="宋体"/>
                <w:sz w:val="24"/>
                <w:highlight w:val="none"/>
              </w:rPr>
            </w:pPr>
          </w:p>
        </w:tc>
        <w:tc>
          <w:tcPr>
            <w:tcW w:w="1102" w:type="dxa"/>
            <w:vAlign w:val="center"/>
          </w:tcPr>
          <w:p w14:paraId="3B73317A">
            <w:pPr>
              <w:pStyle w:val="139"/>
              <w:spacing w:line="360" w:lineRule="auto"/>
              <w:jc w:val="center"/>
              <w:rPr>
                <w:rFonts w:ascii="宋体" w:hAnsi="宋体" w:eastAsia="宋体" w:cs="宋体"/>
                <w:sz w:val="24"/>
                <w:highlight w:val="none"/>
              </w:rPr>
            </w:pPr>
          </w:p>
        </w:tc>
        <w:tc>
          <w:tcPr>
            <w:tcW w:w="1093" w:type="dxa"/>
            <w:vAlign w:val="center"/>
          </w:tcPr>
          <w:p w14:paraId="690D451C">
            <w:pPr>
              <w:pStyle w:val="139"/>
              <w:spacing w:line="360" w:lineRule="auto"/>
              <w:jc w:val="center"/>
              <w:rPr>
                <w:rFonts w:ascii="宋体" w:hAnsi="宋体" w:eastAsia="宋体" w:cs="宋体"/>
                <w:sz w:val="24"/>
                <w:highlight w:val="none"/>
              </w:rPr>
            </w:pPr>
          </w:p>
        </w:tc>
        <w:tc>
          <w:tcPr>
            <w:tcW w:w="1108" w:type="dxa"/>
            <w:vAlign w:val="center"/>
          </w:tcPr>
          <w:p w14:paraId="3C3A80A7">
            <w:pPr>
              <w:pStyle w:val="139"/>
              <w:spacing w:line="360" w:lineRule="auto"/>
              <w:jc w:val="center"/>
              <w:rPr>
                <w:rFonts w:ascii="宋体" w:hAnsi="宋体" w:eastAsia="宋体" w:cs="宋体"/>
                <w:sz w:val="24"/>
                <w:highlight w:val="none"/>
              </w:rPr>
            </w:pPr>
          </w:p>
        </w:tc>
        <w:tc>
          <w:tcPr>
            <w:tcW w:w="1181" w:type="dxa"/>
            <w:vAlign w:val="center"/>
          </w:tcPr>
          <w:p w14:paraId="61B8A69B">
            <w:pPr>
              <w:pStyle w:val="139"/>
              <w:spacing w:line="360" w:lineRule="auto"/>
              <w:jc w:val="center"/>
              <w:rPr>
                <w:rFonts w:ascii="宋体" w:hAnsi="宋体" w:eastAsia="宋体" w:cs="宋体"/>
                <w:sz w:val="24"/>
                <w:highlight w:val="none"/>
              </w:rPr>
            </w:pPr>
          </w:p>
        </w:tc>
        <w:tc>
          <w:tcPr>
            <w:tcW w:w="843" w:type="dxa"/>
            <w:vAlign w:val="center"/>
          </w:tcPr>
          <w:p w14:paraId="11769BAE">
            <w:pPr>
              <w:pStyle w:val="139"/>
              <w:spacing w:line="360" w:lineRule="auto"/>
              <w:jc w:val="center"/>
              <w:rPr>
                <w:rFonts w:ascii="宋体" w:hAnsi="宋体" w:eastAsia="宋体" w:cs="宋体"/>
                <w:sz w:val="24"/>
                <w:highlight w:val="none"/>
              </w:rPr>
            </w:pPr>
          </w:p>
        </w:tc>
      </w:tr>
      <w:tr w14:paraId="68D2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6" w:type="dxa"/>
          </w:tcPr>
          <w:p w14:paraId="43DFA7DD">
            <w:pPr>
              <w:pStyle w:val="139"/>
              <w:spacing w:line="360" w:lineRule="auto"/>
              <w:jc w:val="center"/>
              <w:rPr>
                <w:rFonts w:ascii="宋体" w:hAnsi="宋体" w:eastAsia="宋体" w:cs="宋体"/>
                <w:sz w:val="24"/>
                <w:highlight w:val="none"/>
              </w:rPr>
            </w:pPr>
          </w:p>
        </w:tc>
        <w:tc>
          <w:tcPr>
            <w:tcW w:w="1566" w:type="dxa"/>
          </w:tcPr>
          <w:p w14:paraId="2FB60714">
            <w:pPr>
              <w:pStyle w:val="139"/>
              <w:spacing w:line="360" w:lineRule="auto"/>
              <w:jc w:val="center"/>
              <w:rPr>
                <w:rFonts w:ascii="宋体" w:hAnsi="宋体" w:eastAsia="宋体" w:cs="宋体"/>
                <w:sz w:val="24"/>
                <w:highlight w:val="none"/>
              </w:rPr>
            </w:pPr>
          </w:p>
        </w:tc>
        <w:tc>
          <w:tcPr>
            <w:tcW w:w="896" w:type="dxa"/>
          </w:tcPr>
          <w:p w14:paraId="0594A8E3">
            <w:pPr>
              <w:pStyle w:val="139"/>
              <w:spacing w:line="360" w:lineRule="auto"/>
              <w:jc w:val="center"/>
              <w:rPr>
                <w:rFonts w:ascii="宋体" w:hAnsi="宋体" w:eastAsia="宋体" w:cs="宋体"/>
                <w:sz w:val="24"/>
                <w:highlight w:val="none"/>
              </w:rPr>
            </w:pPr>
          </w:p>
        </w:tc>
        <w:tc>
          <w:tcPr>
            <w:tcW w:w="1035" w:type="dxa"/>
          </w:tcPr>
          <w:p w14:paraId="16D01E81">
            <w:pPr>
              <w:pStyle w:val="139"/>
              <w:spacing w:line="360" w:lineRule="auto"/>
              <w:jc w:val="center"/>
              <w:rPr>
                <w:rFonts w:ascii="宋体" w:hAnsi="宋体" w:eastAsia="宋体" w:cs="宋体"/>
                <w:sz w:val="24"/>
                <w:highlight w:val="none"/>
              </w:rPr>
            </w:pPr>
          </w:p>
        </w:tc>
        <w:tc>
          <w:tcPr>
            <w:tcW w:w="1102" w:type="dxa"/>
          </w:tcPr>
          <w:p w14:paraId="0D81BF89">
            <w:pPr>
              <w:pStyle w:val="139"/>
              <w:spacing w:line="360" w:lineRule="auto"/>
              <w:jc w:val="center"/>
              <w:rPr>
                <w:rFonts w:ascii="宋体" w:hAnsi="宋体" w:eastAsia="宋体" w:cs="宋体"/>
                <w:sz w:val="24"/>
                <w:highlight w:val="none"/>
              </w:rPr>
            </w:pPr>
          </w:p>
        </w:tc>
        <w:tc>
          <w:tcPr>
            <w:tcW w:w="1093" w:type="dxa"/>
          </w:tcPr>
          <w:p w14:paraId="4B6A9DDB">
            <w:pPr>
              <w:pStyle w:val="139"/>
              <w:spacing w:line="360" w:lineRule="auto"/>
              <w:jc w:val="center"/>
              <w:rPr>
                <w:rFonts w:ascii="宋体" w:hAnsi="宋体" w:eastAsia="宋体" w:cs="宋体"/>
                <w:sz w:val="24"/>
                <w:highlight w:val="none"/>
              </w:rPr>
            </w:pPr>
          </w:p>
        </w:tc>
        <w:tc>
          <w:tcPr>
            <w:tcW w:w="1108" w:type="dxa"/>
          </w:tcPr>
          <w:p w14:paraId="1A8F3572">
            <w:pPr>
              <w:pStyle w:val="139"/>
              <w:spacing w:line="360" w:lineRule="auto"/>
              <w:jc w:val="center"/>
              <w:rPr>
                <w:rFonts w:ascii="宋体" w:hAnsi="宋体" w:eastAsia="宋体" w:cs="宋体"/>
                <w:sz w:val="24"/>
                <w:highlight w:val="none"/>
              </w:rPr>
            </w:pPr>
          </w:p>
        </w:tc>
        <w:tc>
          <w:tcPr>
            <w:tcW w:w="1181" w:type="dxa"/>
          </w:tcPr>
          <w:p w14:paraId="7F947335">
            <w:pPr>
              <w:pStyle w:val="139"/>
              <w:spacing w:line="360" w:lineRule="auto"/>
              <w:jc w:val="center"/>
              <w:rPr>
                <w:rFonts w:ascii="宋体" w:hAnsi="宋体" w:eastAsia="宋体" w:cs="宋体"/>
                <w:sz w:val="24"/>
                <w:highlight w:val="none"/>
              </w:rPr>
            </w:pPr>
          </w:p>
        </w:tc>
        <w:tc>
          <w:tcPr>
            <w:tcW w:w="843" w:type="dxa"/>
          </w:tcPr>
          <w:p w14:paraId="339BE92E">
            <w:pPr>
              <w:pStyle w:val="139"/>
              <w:spacing w:line="360" w:lineRule="auto"/>
              <w:jc w:val="center"/>
              <w:rPr>
                <w:rFonts w:ascii="宋体" w:hAnsi="宋体" w:eastAsia="宋体" w:cs="宋体"/>
                <w:sz w:val="24"/>
                <w:highlight w:val="none"/>
              </w:rPr>
            </w:pPr>
          </w:p>
        </w:tc>
      </w:tr>
      <w:tr w14:paraId="4601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6" w:type="dxa"/>
          </w:tcPr>
          <w:p w14:paraId="6E1AF588">
            <w:pPr>
              <w:pStyle w:val="139"/>
              <w:spacing w:line="360" w:lineRule="auto"/>
              <w:jc w:val="center"/>
              <w:rPr>
                <w:rFonts w:ascii="宋体" w:hAnsi="宋体" w:eastAsia="宋体" w:cs="宋体"/>
                <w:sz w:val="24"/>
                <w:highlight w:val="none"/>
              </w:rPr>
            </w:pPr>
          </w:p>
        </w:tc>
        <w:tc>
          <w:tcPr>
            <w:tcW w:w="1566" w:type="dxa"/>
          </w:tcPr>
          <w:p w14:paraId="02420028">
            <w:pPr>
              <w:pStyle w:val="139"/>
              <w:spacing w:line="360" w:lineRule="auto"/>
              <w:jc w:val="center"/>
              <w:rPr>
                <w:rFonts w:ascii="宋体" w:hAnsi="宋体" w:eastAsia="宋体" w:cs="宋体"/>
                <w:sz w:val="24"/>
                <w:highlight w:val="none"/>
              </w:rPr>
            </w:pPr>
          </w:p>
        </w:tc>
        <w:tc>
          <w:tcPr>
            <w:tcW w:w="896" w:type="dxa"/>
          </w:tcPr>
          <w:p w14:paraId="694B6B73">
            <w:pPr>
              <w:pStyle w:val="139"/>
              <w:spacing w:line="360" w:lineRule="auto"/>
              <w:jc w:val="center"/>
              <w:rPr>
                <w:rFonts w:ascii="宋体" w:hAnsi="宋体" w:eastAsia="宋体" w:cs="宋体"/>
                <w:sz w:val="24"/>
                <w:highlight w:val="none"/>
              </w:rPr>
            </w:pPr>
          </w:p>
        </w:tc>
        <w:tc>
          <w:tcPr>
            <w:tcW w:w="1035" w:type="dxa"/>
          </w:tcPr>
          <w:p w14:paraId="36997270">
            <w:pPr>
              <w:pStyle w:val="139"/>
              <w:spacing w:line="360" w:lineRule="auto"/>
              <w:jc w:val="center"/>
              <w:rPr>
                <w:rFonts w:ascii="宋体" w:hAnsi="宋体" w:eastAsia="宋体" w:cs="宋体"/>
                <w:sz w:val="24"/>
                <w:highlight w:val="none"/>
              </w:rPr>
            </w:pPr>
          </w:p>
        </w:tc>
        <w:tc>
          <w:tcPr>
            <w:tcW w:w="1102" w:type="dxa"/>
          </w:tcPr>
          <w:p w14:paraId="07CCED14">
            <w:pPr>
              <w:pStyle w:val="139"/>
              <w:spacing w:line="360" w:lineRule="auto"/>
              <w:jc w:val="center"/>
              <w:rPr>
                <w:rFonts w:ascii="宋体" w:hAnsi="宋体" w:eastAsia="宋体" w:cs="宋体"/>
                <w:sz w:val="24"/>
                <w:highlight w:val="none"/>
              </w:rPr>
            </w:pPr>
          </w:p>
        </w:tc>
        <w:tc>
          <w:tcPr>
            <w:tcW w:w="1093" w:type="dxa"/>
          </w:tcPr>
          <w:p w14:paraId="197F887E">
            <w:pPr>
              <w:pStyle w:val="139"/>
              <w:spacing w:line="360" w:lineRule="auto"/>
              <w:jc w:val="center"/>
              <w:rPr>
                <w:rFonts w:ascii="宋体" w:hAnsi="宋体" w:eastAsia="宋体" w:cs="宋体"/>
                <w:sz w:val="24"/>
                <w:highlight w:val="none"/>
              </w:rPr>
            </w:pPr>
          </w:p>
        </w:tc>
        <w:tc>
          <w:tcPr>
            <w:tcW w:w="1108" w:type="dxa"/>
          </w:tcPr>
          <w:p w14:paraId="2498602A">
            <w:pPr>
              <w:pStyle w:val="139"/>
              <w:spacing w:line="360" w:lineRule="auto"/>
              <w:jc w:val="center"/>
              <w:rPr>
                <w:rFonts w:ascii="宋体" w:hAnsi="宋体" w:eastAsia="宋体" w:cs="宋体"/>
                <w:sz w:val="24"/>
                <w:highlight w:val="none"/>
              </w:rPr>
            </w:pPr>
          </w:p>
        </w:tc>
        <w:tc>
          <w:tcPr>
            <w:tcW w:w="1181" w:type="dxa"/>
          </w:tcPr>
          <w:p w14:paraId="17AC99D9">
            <w:pPr>
              <w:pStyle w:val="139"/>
              <w:spacing w:line="360" w:lineRule="auto"/>
              <w:jc w:val="center"/>
              <w:rPr>
                <w:rFonts w:ascii="宋体" w:hAnsi="宋体" w:eastAsia="宋体" w:cs="宋体"/>
                <w:sz w:val="24"/>
                <w:highlight w:val="none"/>
              </w:rPr>
            </w:pPr>
          </w:p>
        </w:tc>
        <w:tc>
          <w:tcPr>
            <w:tcW w:w="843" w:type="dxa"/>
          </w:tcPr>
          <w:p w14:paraId="542E4E16">
            <w:pPr>
              <w:pStyle w:val="139"/>
              <w:spacing w:line="360" w:lineRule="auto"/>
              <w:jc w:val="center"/>
              <w:rPr>
                <w:rFonts w:ascii="宋体" w:hAnsi="宋体" w:eastAsia="宋体" w:cs="宋体"/>
                <w:sz w:val="24"/>
                <w:highlight w:val="none"/>
              </w:rPr>
            </w:pPr>
          </w:p>
        </w:tc>
      </w:tr>
      <w:tr w14:paraId="45EA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6" w:type="dxa"/>
          </w:tcPr>
          <w:p w14:paraId="7CBF68F8">
            <w:pPr>
              <w:pStyle w:val="139"/>
              <w:spacing w:line="360" w:lineRule="auto"/>
              <w:jc w:val="center"/>
              <w:rPr>
                <w:rFonts w:ascii="宋体" w:hAnsi="宋体" w:eastAsia="宋体" w:cs="宋体"/>
                <w:sz w:val="24"/>
                <w:highlight w:val="none"/>
              </w:rPr>
            </w:pPr>
          </w:p>
        </w:tc>
        <w:tc>
          <w:tcPr>
            <w:tcW w:w="1566" w:type="dxa"/>
          </w:tcPr>
          <w:p w14:paraId="049C436C">
            <w:pPr>
              <w:pStyle w:val="139"/>
              <w:spacing w:line="360" w:lineRule="auto"/>
              <w:jc w:val="center"/>
              <w:rPr>
                <w:rFonts w:ascii="宋体" w:hAnsi="宋体" w:eastAsia="宋体" w:cs="宋体"/>
                <w:sz w:val="24"/>
                <w:highlight w:val="none"/>
              </w:rPr>
            </w:pPr>
          </w:p>
        </w:tc>
        <w:tc>
          <w:tcPr>
            <w:tcW w:w="896" w:type="dxa"/>
          </w:tcPr>
          <w:p w14:paraId="207C0833">
            <w:pPr>
              <w:pStyle w:val="139"/>
              <w:spacing w:line="360" w:lineRule="auto"/>
              <w:jc w:val="center"/>
              <w:rPr>
                <w:rFonts w:ascii="宋体" w:hAnsi="宋体" w:eastAsia="宋体" w:cs="宋体"/>
                <w:sz w:val="24"/>
                <w:highlight w:val="none"/>
              </w:rPr>
            </w:pPr>
          </w:p>
        </w:tc>
        <w:tc>
          <w:tcPr>
            <w:tcW w:w="1035" w:type="dxa"/>
          </w:tcPr>
          <w:p w14:paraId="72C5ACF9">
            <w:pPr>
              <w:pStyle w:val="139"/>
              <w:spacing w:line="360" w:lineRule="auto"/>
              <w:jc w:val="center"/>
              <w:rPr>
                <w:rFonts w:ascii="宋体" w:hAnsi="宋体" w:eastAsia="宋体" w:cs="宋体"/>
                <w:sz w:val="24"/>
                <w:highlight w:val="none"/>
              </w:rPr>
            </w:pPr>
          </w:p>
        </w:tc>
        <w:tc>
          <w:tcPr>
            <w:tcW w:w="1102" w:type="dxa"/>
          </w:tcPr>
          <w:p w14:paraId="6F51EBC4">
            <w:pPr>
              <w:pStyle w:val="139"/>
              <w:spacing w:line="360" w:lineRule="auto"/>
              <w:jc w:val="center"/>
              <w:rPr>
                <w:rFonts w:ascii="宋体" w:hAnsi="宋体" w:eastAsia="宋体" w:cs="宋体"/>
                <w:sz w:val="24"/>
                <w:highlight w:val="none"/>
              </w:rPr>
            </w:pPr>
          </w:p>
        </w:tc>
        <w:tc>
          <w:tcPr>
            <w:tcW w:w="1093" w:type="dxa"/>
          </w:tcPr>
          <w:p w14:paraId="59D3A711">
            <w:pPr>
              <w:pStyle w:val="139"/>
              <w:spacing w:line="360" w:lineRule="auto"/>
              <w:jc w:val="center"/>
              <w:rPr>
                <w:rFonts w:ascii="宋体" w:hAnsi="宋体" w:eastAsia="宋体" w:cs="宋体"/>
                <w:sz w:val="24"/>
                <w:highlight w:val="none"/>
              </w:rPr>
            </w:pPr>
          </w:p>
        </w:tc>
        <w:tc>
          <w:tcPr>
            <w:tcW w:w="1108" w:type="dxa"/>
          </w:tcPr>
          <w:p w14:paraId="22C93A70">
            <w:pPr>
              <w:pStyle w:val="139"/>
              <w:spacing w:line="360" w:lineRule="auto"/>
              <w:jc w:val="center"/>
              <w:rPr>
                <w:rFonts w:ascii="宋体" w:hAnsi="宋体" w:eastAsia="宋体" w:cs="宋体"/>
                <w:sz w:val="24"/>
                <w:highlight w:val="none"/>
              </w:rPr>
            </w:pPr>
          </w:p>
        </w:tc>
        <w:tc>
          <w:tcPr>
            <w:tcW w:w="1181" w:type="dxa"/>
          </w:tcPr>
          <w:p w14:paraId="723AA860">
            <w:pPr>
              <w:pStyle w:val="139"/>
              <w:spacing w:line="360" w:lineRule="auto"/>
              <w:jc w:val="center"/>
              <w:rPr>
                <w:rFonts w:ascii="宋体" w:hAnsi="宋体" w:eastAsia="宋体" w:cs="宋体"/>
                <w:sz w:val="24"/>
                <w:highlight w:val="none"/>
              </w:rPr>
            </w:pPr>
          </w:p>
        </w:tc>
        <w:tc>
          <w:tcPr>
            <w:tcW w:w="843" w:type="dxa"/>
          </w:tcPr>
          <w:p w14:paraId="4EB3837A">
            <w:pPr>
              <w:pStyle w:val="139"/>
              <w:spacing w:line="360" w:lineRule="auto"/>
              <w:jc w:val="center"/>
              <w:rPr>
                <w:rFonts w:ascii="宋体" w:hAnsi="宋体" w:eastAsia="宋体" w:cs="宋体"/>
                <w:sz w:val="24"/>
                <w:highlight w:val="none"/>
              </w:rPr>
            </w:pPr>
          </w:p>
        </w:tc>
      </w:tr>
      <w:tr w14:paraId="4538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616" w:type="dxa"/>
          </w:tcPr>
          <w:p w14:paraId="097CC5F0">
            <w:pPr>
              <w:pStyle w:val="139"/>
              <w:spacing w:line="360" w:lineRule="auto"/>
              <w:jc w:val="center"/>
              <w:rPr>
                <w:rFonts w:ascii="宋体" w:hAnsi="宋体" w:eastAsia="宋体" w:cs="宋体"/>
                <w:sz w:val="24"/>
                <w:highlight w:val="none"/>
              </w:rPr>
            </w:pPr>
          </w:p>
        </w:tc>
        <w:tc>
          <w:tcPr>
            <w:tcW w:w="1566" w:type="dxa"/>
          </w:tcPr>
          <w:p w14:paraId="649DD8DB">
            <w:pPr>
              <w:pStyle w:val="139"/>
              <w:spacing w:line="360" w:lineRule="auto"/>
              <w:jc w:val="center"/>
              <w:rPr>
                <w:rFonts w:ascii="宋体" w:hAnsi="宋体" w:eastAsia="宋体" w:cs="宋体"/>
                <w:sz w:val="24"/>
                <w:highlight w:val="none"/>
              </w:rPr>
            </w:pPr>
          </w:p>
        </w:tc>
        <w:tc>
          <w:tcPr>
            <w:tcW w:w="896" w:type="dxa"/>
          </w:tcPr>
          <w:p w14:paraId="31BE2F41">
            <w:pPr>
              <w:pStyle w:val="139"/>
              <w:spacing w:line="360" w:lineRule="auto"/>
              <w:jc w:val="center"/>
              <w:rPr>
                <w:rFonts w:ascii="宋体" w:hAnsi="宋体" w:eastAsia="宋体" w:cs="宋体"/>
                <w:sz w:val="24"/>
                <w:highlight w:val="none"/>
              </w:rPr>
            </w:pPr>
          </w:p>
        </w:tc>
        <w:tc>
          <w:tcPr>
            <w:tcW w:w="1035" w:type="dxa"/>
          </w:tcPr>
          <w:p w14:paraId="58A15441">
            <w:pPr>
              <w:pStyle w:val="139"/>
              <w:spacing w:line="360" w:lineRule="auto"/>
              <w:jc w:val="center"/>
              <w:rPr>
                <w:rFonts w:ascii="宋体" w:hAnsi="宋体" w:eastAsia="宋体" w:cs="宋体"/>
                <w:sz w:val="24"/>
                <w:highlight w:val="none"/>
              </w:rPr>
            </w:pPr>
          </w:p>
        </w:tc>
        <w:tc>
          <w:tcPr>
            <w:tcW w:w="1102" w:type="dxa"/>
          </w:tcPr>
          <w:p w14:paraId="291FDD29">
            <w:pPr>
              <w:pStyle w:val="139"/>
              <w:spacing w:line="360" w:lineRule="auto"/>
              <w:jc w:val="center"/>
              <w:rPr>
                <w:rFonts w:ascii="宋体" w:hAnsi="宋体" w:eastAsia="宋体" w:cs="宋体"/>
                <w:sz w:val="24"/>
                <w:highlight w:val="none"/>
              </w:rPr>
            </w:pPr>
          </w:p>
        </w:tc>
        <w:tc>
          <w:tcPr>
            <w:tcW w:w="1093" w:type="dxa"/>
          </w:tcPr>
          <w:p w14:paraId="1C44DCF1">
            <w:pPr>
              <w:pStyle w:val="139"/>
              <w:spacing w:line="360" w:lineRule="auto"/>
              <w:jc w:val="center"/>
              <w:rPr>
                <w:rFonts w:ascii="宋体" w:hAnsi="宋体" w:eastAsia="宋体" w:cs="宋体"/>
                <w:sz w:val="24"/>
                <w:highlight w:val="none"/>
              </w:rPr>
            </w:pPr>
          </w:p>
        </w:tc>
        <w:tc>
          <w:tcPr>
            <w:tcW w:w="1108" w:type="dxa"/>
          </w:tcPr>
          <w:p w14:paraId="6E29D17D">
            <w:pPr>
              <w:pStyle w:val="139"/>
              <w:spacing w:line="360" w:lineRule="auto"/>
              <w:jc w:val="center"/>
              <w:rPr>
                <w:rFonts w:ascii="宋体" w:hAnsi="宋体" w:eastAsia="宋体" w:cs="宋体"/>
                <w:sz w:val="24"/>
                <w:highlight w:val="none"/>
              </w:rPr>
            </w:pPr>
          </w:p>
        </w:tc>
        <w:tc>
          <w:tcPr>
            <w:tcW w:w="1181" w:type="dxa"/>
          </w:tcPr>
          <w:p w14:paraId="4FE4D468">
            <w:pPr>
              <w:pStyle w:val="139"/>
              <w:spacing w:line="360" w:lineRule="auto"/>
              <w:jc w:val="center"/>
              <w:rPr>
                <w:rFonts w:ascii="宋体" w:hAnsi="宋体" w:eastAsia="宋体" w:cs="宋体"/>
                <w:sz w:val="24"/>
                <w:highlight w:val="none"/>
              </w:rPr>
            </w:pPr>
          </w:p>
        </w:tc>
        <w:tc>
          <w:tcPr>
            <w:tcW w:w="843" w:type="dxa"/>
          </w:tcPr>
          <w:p w14:paraId="66F8D577">
            <w:pPr>
              <w:pStyle w:val="139"/>
              <w:spacing w:line="360" w:lineRule="auto"/>
              <w:jc w:val="center"/>
              <w:rPr>
                <w:rFonts w:ascii="宋体" w:hAnsi="宋体" w:eastAsia="宋体" w:cs="宋体"/>
                <w:sz w:val="24"/>
                <w:highlight w:val="none"/>
              </w:rPr>
            </w:pPr>
          </w:p>
        </w:tc>
      </w:tr>
      <w:tr w14:paraId="014B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6" w:type="dxa"/>
          </w:tcPr>
          <w:p w14:paraId="6BECE592">
            <w:pPr>
              <w:pStyle w:val="139"/>
              <w:spacing w:line="360" w:lineRule="auto"/>
              <w:jc w:val="center"/>
              <w:rPr>
                <w:rFonts w:ascii="宋体" w:hAnsi="宋体" w:eastAsia="宋体" w:cs="宋体"/>
                <w:sz w:val="24"/>
                <w:highlight w:val="none"/>
              </w:rPr>
            </w:pPr>
          </w:p>
        </w:tc>
        <w:tc>
          <w:tcPr>
            <w:tcW w:w="1566" w:type="dxa"/>
          </w:tcPr>
          <w:p w14:paraId="04D390CA">
            <w:pPr>
              <w:pStyle w:val="139"/>
              <w:spacing w:line="360" w:lineRule="auto"/>
              <w:jc w:val="center"/>
              <w:rPr>
                <w:rFonts w:ascii="宋体" w:hAnsi="宋体" w:eastAsia="宋体" w:cs="宋体"/>
                <w:sz w:val="24"/>
                <w:highlight w:val="none"/>
              </w:rPr>
            </w:pPr>
          </w:p>
        </w:tc>
        <w:tc>
          <w:tcPr>
            <w:tcW w:w="896" w:type="dxa"/>
          </w:tcPr>
          <w:p w14:paraId="77043202">
            <w:pPr>
              <w:pStyle w:val="139"/>
              <w:spacing w:line="360" w:lineRule="auto"/>
              <w:jc w:val="center"/>
              <w:rPr>
                <w:rFonts w:ascii="宋体" w:hAnsi="宋体" w:eastAsia="宋体" w:cs="宋体"/>
                <w:sz w:val="24"/>
                <w:highlight w:val="none"/>
              </w:rPr>
            </w:pPr>
          </w:p>
        </w:tc>
        <w:tc>
          <w:tcPr>
            <w:tcW w:w="1035" w:type="dxa"/>
          </w:tcPr>
          <w:p w14:paraId="2FFC37DA">
            <w:pPr>
              <w:pStyle w:val="139"/>
              <w:spacing w:line="360" w:lineRule="auto"/>
              <w:jc w:val="center"/>
              <w:rPr>
                <w:rFonts w:ascii="宋体" w:hAnsi="宋体" w:eastAsia="宋体" w:cs="宋体"/>
                <w:sz w:val="24"/>
                <w:highlight w:val="none"/>
              </w:rPr>
            </w:pPr>
          </w:p>
        </w:tc>
        <w:tc>
          <w:tcPr>
            <w:tcW w:w="1102" w:type="dxa"/>
          </w:tcPr>
          <w:p w14:paraId="0D103B09">
            <w:pPr>
              <w:pStyle w:val="139"/>
              <w:spacing w:line="360" w:lineRule="auto"/>
              <w:jc w:val="center"/>
              <w:rPr>
                <w:rFonts w:ascii="宋体" w:hAnsi="宋体" w:eastAsia="宋体" w:cs="宋体"/>
                <w:sz w:val="24"/>
                <w:highlight w:val="none"/>
              </w:rPr>
            </w:pPr>
          </w:p>
        </w:tc>
        <w:tc>
          <w:tcPr>
            <w:tcW w:w="1093" w:type="dxa"/>
          </w:tcPr>
          <w:p w14:paraId="342A5CA6">
            <w:pPr>
              <w:pStyle w:val="139"/>
              <w:spacing w:line="360" w:lineRule="auto"/>
              <w:jc w:val="center"/>
              <w:rPr>
                <w:rFonts w:ascii="宋体" w:hAnsi="宋体" w:eastAsia="宋体" w:cs="宋体"/>
                <w:sz w:val="24"/>
                <w:highlight w:val="none"/>
              </w:rPr>
            </w:pPr>
          </w:p>
        </w:tc>
        <w:tc>
          <w:tcPr>
            <w:tcW w:w="1108" w:type="dxa"/>
          </w:tcPr>
          <w:p w14:paraId="1D2257E2">
            <w:pPr>
              <w:pStyle w:val="139"/>
              <w:spacing w:line="360" w:lineRule="auto"/>
              <w:jc w:val="center"/>
              <w:rPr>
                <w:rFonts w:ascii="宋体" w:hAnsi="宋体" w:eastAsia="宋体" w:cs="宋体"/>
                <w:sz w:val="24"/>
                <w:highlight w:val="none"/>
              </w:rPr>
            </w:pPr>
          </w:p>
        </w:tc>
        <w:tc>
          <w:tcPr>
            <w:tcW w:w="1181" w:type="dxa"/>
          </w:tcPr>
          <w:p w14:paraId="03E121A0">
            <w:pPr>
              <w:pStyle w:val="139"/>
              <w:spacing w:line="360" w:lineRule="auto"/>
              <w:jc w:val="center"/>
              <w:rPr>
                <w:rFonts w:ascii="宋体" w:hAnsi="宋体" w:eastAsia="宋体" w:cs="宋体"/>
                <w:sz w:val="24"/>
                <w:highlight w:val="none"/>
              </w:rPr>
            </w:pPr>
          </w:p>
        </w:tc>
        <w:tc>
          <w:tcPr>
            <w:tcW w:w="843" w:type="dxa"/>
          </w:tcPr>
          <w:p w14:paraId="1F040694">
            <w:pPr>
              <w:pStyle w:val="139"/>
              <w:spacing w:line="360" w:lineRule="auto"/>
              <w:jc w:val="center"/>
              <w:rPr>
                <w:rFonts w:ascii="宋体" w:hAnsi="宋体" w:eastAsia="宋体" w:cs="宋体"/>
                <w:sz w:val="24"/>
                <w:highlight w:val="none"/>
              </w:rPr>
            </w:pPr>
          </w:p>
        </w:tc>
      </w:tr>
      <w:tr w14:paraId="2082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6" w:type="dxa"/>
          </w:tcPr>
          <w:p w14:paraId="71662819">
            <w:pPr>
              <w:pStyle w:val="139"/>
              <w:spacing w:line="360" w:lineRule="auto"/>
              <w:jc w:val="center"/>
              <w:rPr>
                <w:rFonts w:ascii="宋体" w:hAnsi="宋体" w:eastAsia="宋体" w:cs="宋体"/>
                <w:sz w:val="24"/>
                <w:highlight w:val="none"/>
              </w:rPr>
            </w:pPr>
          </w:p>
        </w:tc>
        <w:tc>
          <w:tcPr>
            <w:tcW w:w="1566" w:type="dxa"/>
          </w:tcPr>
          <w:p w14:paraId="674DA775">
            <w:pPr>
              <w:pStyle w:val="139"/>
              <w:spacing w:line="360" w:lineRule="auto"/>
              <w:jc w:val="center"/>
              <w:rPr>
                <w:rFonts w:ascii="宋体" w:hAnsi="宋体" w:eastAsia="宋体" w:cs="宋体"/>
                <w:sz w:val="24"/>
                <w:highlight w:val="none"/>
              </w:rPr>
            </w:pPr>
          </w:p>
        </w:tc>
        <w:tc>
          <w:tcPr>
            <w:tcW w:w="896" w:type="dxa"/>
          </w:tcPr>
          <w:p w14:paraId="0E8CBEF8">
            <w:pPr>
              <w:pStyle w:val="139"/>
              <w:spacing w:line="360" w:lineRule="auto"/>
              <w:jc w:val="center"/>
              <w:rPr>
                <w:rFonts w:ascii="宋体" w:hAnsi="宋体" w:eastAsia="宋体" w:cs="宋体"/>
                <w:sz w:val="24"/>
                <w:highlight w:val="none"/>
              </w:rPr>
            </w:pPr>
          </w:p>
        </w:tc>
        <w:tc>
          <w:tcPr>
            <w:tcW w:w="1035" w:type="dxa"/>
          </w:tcPr>
          <w:p w14:paraId="024C3ED7">
            <w:pPr>
              <w:pStyle w:val="139"/>
              <w:spacing w:line="360" w:lineRule="auto"/>
              <w:jc w:val="center"/>
              <w:rPr>
                <w:rFonts w:ascii="宋体" w:hAnsi="宋体" w:eastAsia="宋体" w:cs="宋体"/>
                <w:sz w:val="24"/>
                <w:highlight w:val="none"/>
              </w:rPr>
            </w:pPr>
          </w:p>
        </w:tc>
        <w:tc>
          <w:tcPr>
            <w:tcW w:w="1102" w:type="dxa"/>
          </w:tcPr>
          <w:p w14:paraId="6E647445">
            <w:pPr>
              <w:pStyle w:val="139"/>
              <w:spacing w:line="360" w:lineRule="auto"/>
              <w:jc w:val="center"/>
              <w:rPr>
                <w:rFonts w:ascii="宋体" w:hAnsi="宋体" w:eastAsia="宋体" w:cs="宋体"/>
                <w:sz w:val="24"/>
                <w:highlight w:val="none"/>
              </w:rPr>
            </w:pPr>
          </w:p>
        </w:tc>
        <w:tc>
          <w:tcPr>
            <w:tcW w:w="1093" w:type="dxa"/>
          </w:tcPr>
          <w:p w14:paraId="1C67194E">
            <w:pPr>
              <w:pStyle w:val="139"/>
              <w:spacing w:line="360" w:lineRule="auto"/>
              <w:jc w:val="center"/>
              <w:rPr>
                <w:rFonts w:ascii="宋体" w:hAnsi="宋体" w:eastAsia="宋体" w:cs="宋体"/>
                <w:sz w:val="24"/>
                <w:highlight w:val="none"/>
              </w:rPr>
            </w:pPr>
          </w:p>
        </w:tc>
        <w:tc>
          <w:tcPr>
            <w:tcW w:w="1108" w:type="dxa"/>
          </w:tcPr>
          <w:p w14:paraId="614CE173">
            <w:pPr>
              <w:pStyle w:val="139"/>
              <w:spacing w:line="360" w:lineRule="auto"/>
              <w:jc w:val="center"/>
              <w:rPr>
                <w:rFonts w:ascii="宋体" w:hAnsi="宋体" w:eastAsia="宋体" w:cs="宋体"/>
                <w:sz w:val="24"/>
                <w:highlight w:val="none"/>
              </w:rPr>
            </w:pPr>
          </w:p>
        </w:tc>
        <w:tc>
          <w:tcPr>
            <w:tcW w:w="1181" w:type="dxa"/>
          </w:tcPr>
          <w:p w14:paraId="3C64FEE4">
            <w:pPr>
              <w:pStyle w:val="139"/>
              <w:spacing w:line="360" w:lineRule="auto"/>
              <w:jc w:val="center"/>
              <w:rPr>
                <w:rFonts w:ascii="宋体" w:hAnsi="宋体" w:eastAsia="宋体" w:cs="宋体"/>
                <w:sz w:val="24"/>
                <w:highlight w:val="none"/>
              </w:rPr>
            </w:pPr>
          </w:p>
        </w:tc>
        <w:tc>
          <w:tcPr>
            <w:tcW w:w="843" w:type="dxa"/>
          </w:tcPr>
          <w:p w14:paraId="2557C08A">
            <w:pPr>
              <w:pStyle w:val="139"/>
              <w:spacing w:line="360" w:lineRule="auto"/>
              <w:jc w:val="center"/>
              <w:rPr>
                <w:rFonts w:ascii="宋体" w:hAnsi="宋体" w:eastAsia="宋体" w:cs="宋体"/>
                <w:sz w:val="24"/>
                <w:highlight w:val="none"/>
              </w:rPr>
            </w:pPr>
          </w:p>
        </w:tc>
      </w:tr>
      <w:tr w14:paraId="0017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6" w:type="dxa"/>
          </w:tcPr>
          <w:p w14:paraId="053373EA">
            <w:pPr>
              <w:pStyle w:val="139"/>
              <w:spacing w:line="360" w:lineRule="auto"/>
              <w:jc w:val="center"/>
              <w:rPr>
                <w:rFonts w:ascii="宋体" w:hAnsi="宋体" w:eastAsia="宋体" w:cs="宋体"/>
                <w:sz w:val="24"/>
                <w:highlight w:val="none"/>
              </w:rPr>
            </w:pPr>
          </w:p>
        </w:tc>
        <w:tc>
          <w:tcPr>
            <w:tcW w:w="1566" w:type="dxa"/>
          </w:tcPr>
          <w:p w14:paraId="158F752D">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w:t>
            </w:r>
          </w:p>
        </w:tc>
        <w:tc>
          <w:tcPr>
            <w:tcW w:w="896" w:type="dxa"/>
          </w:tcPr>
          <w:p w14:paraId="5EABB701">
            <w:pPr>
              <w:pStyle w:val="139"/>
              <w:spacing w:line="360" w:lineRule="auto"/>
              <w:jc w:val="center"/>
              <w:rPr>
                <w:rFonts w:ascii="宋体" w:hAnsi="宋体" w:eastAsia="宋体" w:cs="宋体"/>
                <w:sz w:val="24"/>
                <w:highlight w:val="none"/>
              </w:rPr>
            </w:pPr>
          </w:p>
        </w:tc>
        <w:tc>
          <w:tcPr>
            <w:tcW w:w="1035" w:type="dxa"/>
          </w:tcPr>
          <w:p w14:paraId="3C3859EF">
            <w:pPr>
              <w:pStyle w:val="139"/>
              <w:spacing w:line="360" w:lineRule="auto"/>
              <w:jc w:val="center"/>
              <w:rPr>
                <w:rFonts w:ascii="宋体" w:hAnsi="宋体" w:eastAsia="宋体" w:cs="宋体"/>
                <w:sz w:val="24"/>
                <w:highlight w:val="none"/>
              </w:rPr>
            </w:pPr>
          </w:p>
        </w:tc>
        <w:tc>
          <w:tcPr>
            <w:tcW w:w="1102" w:type="dxa"/>
          </w:tcPr>
          <w:p w14:paraId="2B699BBC">
            <w:pPr>
              <w:pStyle w:val="139"/>
              <w:spacing w:line="360" w:lineRule="auto"/>
              <w:jc w:val="center"/>
              <w:rPr>
                <w:rFonts w:ascii="宋体" w:hAnsi="宋体" w:eastAsia="宋体" w:cs="宋体"/>
                <w:sz w:val="24"/>
                <w:highlight w:val="none"/>
              </w:rPr>
            </w:pPr>
          </w:p>
        </w:tc>
        <w:tc>
          <w:tcPr>
            <w:tcW w:w="1093" w:type="dxa"/>
          </w:tcPr>
          <w:p w14:paraId="485CBC79">
            <w:pPr>
              <w:pStyle w:val="139"/>
              <w:spacing w:line="360" w:lineRule="auto"/>
              <w:jc w:val="center"/>
              <w:rPr>
                <w:rFonts w:ascii="宋体" w:hAnsi="宋体" w:eastAsia="宋体" w:cs="宋体"/>
                <w:sz w:val="24"/>
                <w:highlight w:val="none"/>
              </w:rPr>
            </w:pPr>
          </w:p>
        </w:tc>
        <w:tc>
          <w:tcPr>
            <w:tcW w:w="1108" w:type="dxa"/>
          </w:tcPr>
          <w:p w14:paraId="516D8F23">
            <w:pPr>
              <w:pStyle w:val="139"/>
              <w:spacing w:line="360" w:lineRule="auto"/>
              <w:jc w:val="center"/>
              <w:rPr>
                <w:rFonts w:ascii="宋体" w:hAnsi="宋体" w:eastAsia="宋体" w:cs="宋体"/>
                <w:sz w:val="24"/>
                <w:highlight w:val="none"/>
              </w:rPr>
            </w:pPr>
          </w:p>
        </w:tc>
        <w:tc>
          <w:tcPr>
            <w:tcW w:w="1181" w:type="dxa"/>
          </w:tcPr>
          <w:p w14:paraId="78494F68">
            <w:pPr>
              <w:pStyle w:val="139"/>
              <w:spacing w:line="360" w:lineRule="auto"/>
              <w:jc w:val="center"/>
              <w:rPr>
                <w:rFonts w:ascii="宋体" w:hAnsi="宋体" w:eastAsia="宋体" w:cs="宋体"/>
                <w:sz w:val="24"/>
                <w:highlight w:val="none"/>
              </w:rPr>
            </w:pPr>
          </w:p>
        </w:tc>
        <w:tc>
          <w:tcPr>
            <w:tcW w:w="843" w:type="dxa"/>
          </w:tcPr>
          <w:p w14:paraId="7C8E1AE5">
            <w:pPr>
              <w:pStyle w:val="139"/>
              <w:spacing w:line="360" w:lineRule="auto"/>
              <w:jc w:val="center"/>
              <w:rPr>
                <w:rFonts w:ascii="宋体" w:hAnsi="宋体" w:eastAsia="宋体" w:cs="宋体"/>
                <w:sz w:val="24"/>
                <w:highlight w:val="none"/>
              </w:rPr>
            </w:pPr>
          </w:p>
        </w:tc>
      </w:tr>
      <w:tr w14:paraId="1543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16" w:type="dxa"/>
          </w:tcPr>
          <w:p w14:paraId="7A35EE15">
            <w:pPr>
              <w:pStyle w:val="139"/>
              <w:spacing w:line="360" w:lineRule="auto"/>
              <w:jc w:val="center"/>
              <w:rPr>
                <w:rFonts w:ascii="宋体" w:hAnsi="宋体" w:eastAsia="宋体" w:cs="宋体"/>
                <w:sz w:val="24"/>
                <w:highlight w:val="none"/>
              </w:rPr>
            </w:pPr>
          </w:p>
        </w:tc>
        <w:tc>
          <w:tcPr>
            <w:tcW w:w="1566" w:type="dxa"/>
          </w:tcPr>
          <w:p w14:paraId="6C37B8DE">
            <w:pPr>
              <w:pStyle w:val="139"/>
              <w:spacing w:line="360" w:lineRule="auto"/>
              <w:jc w:val="center"/>
              <w:rPr>
                <w:rFonts w:ascii="宋体" w:hAnsi="宋体" w:eastAsia="宋体" w:cs="宋体"/>
                <w:sz w:val="24"/>
                <w:highlight w:val="none"/>
              </w:rPr>
            </w:pPr>
            <w:r>
              <w:rPr>
                <w:rFonts w:hint="eastAsia" w:ascii="宋体" w:hAnsi="宋体" w:eastAsia="宋体" w:cs="宋体"/>
                <w:sz w:val="24"/>
                <w:highlight w:val="none"/>
              </w:rPr>
              <w:t>……</w:t>
            </w:r>
          </w:p>
        </w:tc>
        <w:tc>
          <w:tcPr>
            <w:tcW w:w="896" w:type="dxa"/>
          </w:tcPr>
          <w:p w14:paraId="5346BD57">
            <w:pPr>
              <w:pStyle w:val="139"/>
              <w:spacing w:line="360" w:lineRule="auto"/>
              <w:jc w:val="center"/>
              <w:rPr>
                <w:rFonts w:ascii="宋体" w:hAnsi="宋体" w:eastAsia="宋体" w:cs="宋体"/>
                <w:sz w:val="24"/>
                <w:highlight w:val="none"/>
              </w:rPr>
            </w:pPr>
          </w:p>
        </w:tc>
        <w:tc>
          <w:tcPr>
            <w:tcW w:w="1035" w:type="dxa"/>
          </w:tcPr>
          <w:p w14:paraId="0DEBCA95">
            <w:pPr>
              <w:pStyle w:val="139"/>
              <w:spacing w:line="360" w:lineRule="auto"/>
              <w:jc w:val="center"/>
              <w:rPr>
                <w:rFonts w:ascii="宋体" w:hAnsi="宋体" w:eastAsia="宋体" w:cs="宋体"/>
                <w:sz w:val="24"/>
                <w:highlight w:val="none"/>
              </w:rPr>
            </w:pPr>
          </w:p>
        </w:tc>
        <w:tc>
          <w:tcPr>
            <w:tcW w:w="1102" w:type="dxa"/>
          </w:tcPr>
          <w:p w14:paraId="3AB48906">
            <w:pPr>
              <w:pStyle w:val="139"/>
              <w:spacing w:line="360" w:lineRule="auto"/>
              <w:jc w:val="center"/>
              <w:rPr>
                <w:rFonts w:ascii="宋体" w:hAnsi="宋体" w:eastAsia="宋体" w:cs="宋体"/>
                <w:sz w:val="24"/>
                <w:highlight w:val="none"/>
              </w:rPr>
            </w:pPr>
          </w:p>
        </w:tc>
        <w:tc>
          <w:tcPr>
            <w:tcW w:w="1093" w:type="dxa"/>
          </w:tcPr>
          <w:p w14:paraId="0304E7C8">
            <w:pPr>
              <w:pStyle w:val="139"/>
              <w:spacing w:line="360" w:lineRule="auto"/>
              <w:jc w:val="center"/>
              <w:rPr>
                <w:rFonts w:ascii="宋体" w:hAnsi="宋体" w:eastAsia="宋体" w:cs="宋体"/>
                <w:sz w:val="24"/>
                <w:highlight w:val="none"/>
              </w:rPr>
            </w:pPr>
          </w:p>
        </w:tc>
        <w:tc>
          <w:tcPr>
            <w:tcW w:w="1108" w:type="dxa"/>
          </w:tcPr>
          <w:p w14:paraId="65741515">
            <w:pPr>
              <w:pStyle w:val="139"/>
              <w:spacing w:line="360" w:lineRule="auto"/>
              <w:jc w:val="center"/>
              <w:rPr>
                <w:rFonts w:ascii="宋体" w:hAnsi="宋体" w:eastAsia="宋体" w:cs="宋体"/>
                <w:sz w:val="24"/>
                <w:highlight w:val="none"/>
              </w:rPr>
            </w:pPr>
          </w:p>
        </w:tc>
        <w:tc>
          <w:tcPr>
            <w:tcW w:w="1181" w:type="dxa"/>
          </w:tcPr>
          <w:p w14:paraId="27DA3714">
            <w:pPr>
              <w:pStyle w:val="139"/>
              <w:spacing w:line="360" w:lineRule="auto"/>
              <w:jc w:val="center"/>
              <w:rPr>
                <w:rFonts w:ascii="宋体" w:hAnsi="宋体" w:eastAsia="宋体" w:cs="宋体"/>
                <w:sz w:val="24"/>
                <w:highlight w:val="none"/>
              </w:rPr>
            </w:pPr>
          </w:p>
        </w:tc>
        <w:tc>
          <w:tcPr>
            <w:tcW w:w="843" w:type="dxa"/>
          </w:tcPr>
          <w:p w14:paraId="0C2F1C19">
            <w:pPr>
              <w:pStyle w:val="139"/>
              <w:spacing w:line="360" w:lineRule="auto"/>
              <w:jc w:val="center"/>
              <w:rPr>
                <w:rFonts w:ascii="宋体" w:hAnsi="宋体" w:eastAsia="宋体" w:cs="宋体"/>
                <w:sz w:val="24"/>
                <w:highlight w:val="none"/>
              </w:rPr>
            </w:pPr>
          </w:p>
        </w:tc>
      </w:tr>
    </w:tbl>
    <w:p w14:paraId="648C4B3F">
      <w:pPr>
        <w:pStyle w:val="38"/>
        <w:spacing w:line="240" w:lineRule="auto"/>
        <w:rPr>
          <w:rFonts w:ascii="宋体" w:hAnsi="宋体" w:cs="宋体"/>
          <w:b/>
          <w:bCs/>
          <w:sz w:val="24"/>
          <w:szCs w:val="24"/>
          <w:highlight w:val="none"/>
        </w:rPr>
      </w:pPr>
      <w:r>
        <w:rPr>
          <w:rFonts w:hint="eastAsia" w:ascii="宋体" w:hAnsi="宋体" w:cs="宋体"/>
          <w:b/>
          <w:bCs/>
          <w:sz w:val="24"/>
          <w:szCs w:val="24"/>
          <w:highlight w:val="none"/>
        </w:rPr>
        <w:t>注：（1）此表可自行增减。</w:t>
      </w:r>
    </w:p>
    <w:p w14:paraId="5674B194">
      <w:pPr>
        <w:pStyle w:val="38"/>
        <w:spacing w:line="240" w:lineRule="auto"/>
        <w:ind w:firstLine="480" w:firstLineChars="200"/>
        <w:rPr>
          <w:rFonts w:ascii="宋体" w:hAnsi="宋体" w:cs="宋体"/>
          <w:b/>
          <w:bCs/>
          <w:sz w:val="24"/>
          <w:szCs w:val="24"/>
          <w:highlight w:val="none"/>
        </w:rPr>
      </w:pPr>
      <w:r>
        <w:rPr>
          <w:rFonts w:hint="eastAsia" w:ascii="宋体" w:hAnsi="宋体" w:cs="宋体"/>
          <w:b/>
          <w:bCs/>
          <w:sz w:val="24"/>
          <w:szCs w:val="24"/>
          <w:highlight w:val="none"/>
        </w:rPr>
        <w:t>（2）本表列出拟参与本项目人员，投标人根据评审内容提供相关证明材料。</w:t>
      </w:r>
    </w:p>
    <w:p w14:paraId="7F1D0E78">
      <w:pPr>
        <w:ind w:firstLine="480" w:firstLineChars="200"/>
        <w:rPr>
          <w:rFonts w:cs="Times New Roman"/>
          <w:b/>
          <w:color w:val="000000"/>
          <w:kern w:val="0"/>
          <w:sz w:val="24"/>
          <w:szCs w:val="20"/>
          <w:highlight w:val="none"/>
        </w:rPr>
      </w:pPr>
      <w:r>
        <w:rPr>
          <w:rFonts w:hint="eastAsia" w:ascii="宋体" w:hAnsi="宋体" w:cs="宋体"/>
          <w:b/>
          <w:bCs/>
          <w:sz w:val="24"/>
          <w:szCs w:val="24"/>
          <w:highlight w:val="none"/>
        </w:rPr>
        <w:t>（3）供应商承诺：项目周期内实施服务人员保持稳定，项目核心人员不发生变动。</w:t>
      </w:r>
      <w:r>
        <w:rPr>
          <w:rFonts w:hint="eastAsia" w:cs="Times New Roman"/>
          <w:b/>
          <w:color w:val="000000"/>
          <w:kern w:val="0"/>
          <w:sz w:val="24"/>
          <w:szCs w:val="20"/>
          <w:highlight w:val="none"/>
        </w:rPr>
        <w:br w:type="page"/>
      </w:r>
    </w:p>
    <w:p w14:paraId="3749E678">
      <w:pPr>
        <w:keepNext/>
        <w:keepLines/>
        <w:spacing w:before="260" w:after="260" w:line="413" w:lineRule="auto"/>
        <w:jc w:val="center"/>
        <w:rPr>
          <w:rFonts w:cs="Times New Roman"/>
          <w:b/>
          <w:color w:val="000000"/>
          <w:kern w:val="0"/>
          <w:sz w:val="24"/>
          <w:szCs w:val="20"/>
          <w:highlight w:val="none"/>
        </w:rPr>
      </w:pPr>
      <w:r>
        <w:rPr>
          <w:rFonts w:hint="eastAsia" w:cs="Times New Roman"/>
          <w:b/>
          <w:color w:val="000000"/>
          <w:kern w:val="0"/>
          <w:sz w:val="24"/>
          <w:szCs w:val="20"/>
          <w:highlight w:val="none"/>
          <w:lang w:val="en-US" w:eastAsia="zh-CN"/>
        </w:rPr>
        <w:t>八</w:t>
      </w:r>
      <w:r>
        <w:rPr>
          <w:rFonts w:hint="eastAsia" w:cs="Times New Roman"/>
          <w:b/>
          <w:color w:val="000000"/>
          <w:kern w:val="0"/>
          <w:sz w:val="24"/>
          <w:szCs w:val="20"/>
          <w:highlight w:val="none"/>
        </w:rPr>
        <w:t>、供应商近年类似项目业绩</w:t>
      </w:r>
      <w:bookmarkEnd w:id="46"/>
    </w:p>
    <w:tbl>
      <w:tblPr>
        <w:tblStyle w:val="45"/>
        <w:tblW w:w="8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85"/>
        <w:gridCol w:w="1530"/>
        <w:gridCol w:w="1652"/>
        <w:gridCol w:w="1395"/>
        <w:gridCol w:w="1843"/>
      </w:tblGrid>
      <w:tr w14:paraId="3928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97" w:type="dxa"/>
          </w:tcPr>
          <w:p w14:paraId="0E807334">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序号</w:t>
            </w:r>
          </w:p>
        </w:tc>
        <w:tc>
          <w:tcPr>
            <w:tcW w:w="1485" w:type="dxa"/>
          </w:tcPr>
          <w:p w14:paraId="68962AD7">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发包人</w:t>
            </w:r>
          </w:p>
        </w:tc>
        <w:tc>
          <w:tcPr>
            <w:tcW w:w="1530" w:type="dxa"/>
          </w:tcPr>
          <w:p w14:paraId="7726F0F8">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项目名称</w:t>
            </w:r>
          </w:p>
        </w:tc>
        <w:tc>
          <w:tcPr>
            <w:tcW w:w="1652" w:type="dxa"/>
          </w:tcPr>
          <w:p w14:paraId="557D584F">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合同（或中标）金额</w:t>
            </w:r>
          </w:p>
        </w:tc>
        <w:tc>
          <w:tcPr>
            <w:tcW w:w="1395" w:type="dxa"/>
          </w:tcPr>
          <w:p w14:paraId="400DDBC1">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签约及完成时间</w:t>
            </w:r>
          </w:p>
        </w:tc>
        <w:tc>
          <w:tcPr>
            <w:tcW w:w="1843" w:type="dxa"/>
          </w:tcPr>
          <w:p w14:paraId="3A77550B">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发包联系人及联系方式</w:t>
            </w:r>
          </w:p>
        </w:tc>
      </w:tr>
      <w:tr w14:paraId="5698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97" w:type="dxa"/>
          </w:tcPr>
          <w:p w14:paraId="62248035">
            <w:pPr>
              <w:spacing w:line="440" w:lineRule="exact"/>
              <w:jc w:val="center"/>
              <w:rPr>
                <w:rFonts w:ascii="宋体" w:hAnsi="宋体" w:cs="Times New Roman"/>
                <w:color w:val="000000"/>
                <w:sz w:val="24"/>
                <w:szCs w:val="24"/>
                <w:highlight w:val="none"/>
              </w:rPr>
            </w:pPr>
          </w:p>
          <w:p w14:paraId="16559EDA">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1</w:t>
            </w:r>
          </w:p>
        </w:tc>
        <w:tc>
          <w:tcPr>
            <w:tcW w:w="1485" w:type="dxa"/>
          </w:tcPr>
          <w:p w14:paraId="1D5B5C5C">
            <w:pPr>
              <w:spacing w:line="440" w:lineRule="exact"/>
              <w:jc w:val="center"/>
              <w:rPr>
                <w:rFonts w:ascii="宋体" w:hAnsi="宋体" w:cs="Times New Roman"/>
                <w:color w:val="000000"/>
                <w:sz w:val="24"/>
                <w:szCs w:val="24"/>
                <w:highlight w:val="none"/>
              </w:rPr>
            </w:pPr>
          </w:p>
        </w:tc>
        <w:tc>
          <w:tcPr>
            <w:tcW w:w="1530" w:type="dxa"/>
          </w:tcPr>
          <w:p w14:paraId="42394BC3">
            <w:pPr>
              <w:spacing w:line="440" w:lineRule="exact"/>
              <w:jc w:val="left"/>
              <w:rPr>
                <w:rFonts w:ascii="宋体" w:hAnsi="宋体" w:cs="Times New Roman"/>
                <w:color w:val="000000"/>
                <w:sz w:val="24"/>
                <w:szCs w:val="24"/>
                <w:highlight w:val="none"/>
              </w:rPr>
            </w:pPr>
          </w:p>
        </w:tc>
        <w:tc>
          <w:tcPr>
            <w:tcW w:w="1652" w:type="dxa"/>
          </w:tcPr>
          <w:p w14:paraId="198FD327">
            <w:pPr>
              <w:spacing w:line="440" w:lineRule="exact"/>
              <w:jc w:val="center"/>
              <w:rPr>
                <w:rFonts w:ascii="宋体" w:hAnsi="宋体" w:cs="Times New Roman"/>
                <w:color w:val="000000"/>
                <w:sz w:val="24"/>
                <w:szCs w:val="24"/>
                <w:highlight w:val="none"/>
              </w:rPr>
            </w:pPr>
          </w:p>
        </w:tc>
        <w:tc>
          <w:tcPr>
            <w:tcW w:w="1395" w:type="dxa"/>
          </w:tcPr>
          <w:p w14:paraId="68D877D6">
            <w:pPr>
              <w:spacing w:line="440" w:lineRule="exact"/>
              <w:jc w:val="center"/>
              <w:rPr>
                <w:rFonts w:ascii="宋体" w:hAnsi="宋体" w:cs="Times New Roman"/>
                <w:color w:val="000000"/>
                <w:sz w:val="24"/>
                <w:szCs w:val="24"/>
                <w:highlight w:val="none"/>
              </w:rPr>
            </w:pPr>
          </w:p>
        </w:tc>
        <w:tc>
          <w:tcPr>
            <w:tcW w:w="1843" w:type="dxa"/>
          </w:tcPr>
          <w:p w14:paraId="6F272850">
            <w:pPr>
              <w:spacing w:line="440" w:lineRule="exact"/>
              <w:jc w:val="center"/>
              <w:rPr>
                <w:rFonts w:ascii="宋体" w:hAnsi="宋体" w:cs="Times New Roman"/>
                <w:color w:val="000000"/>
                <w:sz w:val="24"/>
                <w:szCs w:val="24"/>
                <w:highlight w:val="none"/>
              </w:rPr>
            </w:pPr>
          </w:p>
        </w:tc>
      </w:tr>
      <w:tr w14:paraId="6B44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7" w:type="dxa"/>
          </w:tcPr>
          <w:p w14:paraId="1E1D9C77">
            <w:pPr>
              <w:spacing w:line="440" w:lineRule="exact"/>
              <w:jc w:val="center"/>
              <w:rPr>
                <w:rFonts w:ascii="宋体" w:hAnsi="宋体" w:cs="Times New Roman"/>
                <w:color w:val="000000"/>
                <w:sz w:val="24"/>
                <w:szCs w:val="24"/>
                <w:highlight w:val="none"/>
              </w:rPr>
            </w:pPr>
          </w:p>
          <w:p w14:paraId="1A6EEE26">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2</w:t>
            </w:r>
          </w:p>
        </w:tc>
        <w:tc>
          <w:tcPr>
            <w:tcW w:w="1485" w:type="dxa"/>
          </w:tcPr>
          <w:p w14:paraId="03E8E846">
            <w:pPr>
              <w:spacing w:line="440" w:lineRule="exact"/>
              <w:jc w:val="center"/>
              <w:rPr>
                <w:rFonts w:ascii="宋体" w:hAnsi="宋体" w:cs="Times New Roman"/>
                <w:color w:val="000000"/>
                <w:sz w:val="24"/>
                <w:szCs w:val="24"/>
                <w:highlight w:val="none"/>
              </w:rPr>
            </w:pPr>
          </w:p>
        </w:tc>
        <w:tc>
          <w:tcPr>
            <w:tcW w:w="1530" w:type="dxa"/>
          </w:tcPr>
          <w:p w14:paraId="4D73CB93">
            <w:pPr>
              <w:spacing w:line="440" w:lineRule="exact"/>
              <w:jc w:val="left"/>
              <w:rPr>
                <w:rFonts w:ascii="宋体" w:hAnsi="宋体" w:cs="Times New Roman"/>
                <w:color w:val="000000"/>
                <w:sz w:val="24"/>
                <w:szCs w:val="24"/>
                <w:highlight w:val="none"/>
              </w:rPr>
            </w:pPr>
          </w:p>
        </w:tc>
        <w:tc>
          <w:tcPr>
            <w:tcW w:w="1652" w:type="dxa"/>
          </w:tcPr>
          <w:p w14:paraId="1FBD7E56">
            <w:pPr>
              <w:spacing w:line="440" w:lineRule="exact"/>
              <w:jc w:val="center"/>
              <w:rPr>
                <w:rFonts w:ascii="宋体" w:hAnsi="宋体" w:cs="Times New Roman"/>
                <w:color w:val="000000"/>
                <w:sz w:val="24"/>
                <w:szCs w:val="24"/>
                <w:highlight w:val="none"/>
              </w:rPr>
            </w:pPr>
          </w:p>
        </w:tc>
        <w:tc>
          <w:tcPr>
            <w:tcW w:w="1395" w:type="dxa"/>
          </w:tcPr>
          <w:p w14:paraId="5482CB24">
            <w:pPr>
              <w:spacing w:line="440" w:lineRule="exact"/>
              <w:jc w:val="center"/>
              <w:rPr>
                <w:rFonts w:ascii="宋体" w:hAnsi="宋体" w:cs="Times New Roman"/>
                <w:color w:val="000000"/>
                <w:sz w:val="24"/>
                <w:szCs w:val="24"/>
                <w:highlight w:val="none"/>
              </w:rPr>
            </w:pPr>
          </w:p>
        </w:tc>
        <w:tc>
          <w:tcPr>
            <w:tcW w:w="1843" w:type="dxa"/>
          </w:tcPr>
          <w:p w14:paraId="2087BC32">
            <w:pPr>
              <w:spacing w:line="440" w:lineRule="exact"/>
              <w:jc w:val="center"/>
              <w:rPr>
                <w:rFonts w:ascii="宋体" w:hAnsi="宋体" w:cs="Times New Roman"/>
                <w:color w:val="000000"/>
                <w:sz w:val="24"/>
                <w:szCs w:val="24"/>
                <w:highlight w:val="none"/>
              </w:rPr>
            </w:pPr>
          </w:p>
        </w:tc>
      </w:tr>
      <w:tr w14:paraId="3609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7" w:type="dxa"/>
          </w:tcPr>
          <w:p w14:paraId="54D51C83">
            <w:pPr>
              <w:spacing w:line="440" w:lineRule="exact"/>
              <w:jc w:val="center"/>
              <w:rPr>
                <w:rFonts w:ascii="宋体" w:hAnsi="宋体" w:cs="Times New Roman"/>
                <w:color w:val="000000"/>
                <w:sz w:val="24"/>
                <w:szCs w:val="24"/>
                <w:highlight w:val="none"/>
              </w:rPr>
            </w:pPr>
          </w:p>
          <w:p w14:paraId="5AB1FD91">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3</w:t>
            </w:r>
          </w:p>
        </w:tc>
        <w:tc>
          <w:tcPr>
            <w:tcW w:w="1485" w:type="dxa"/>
          </w:tcPr>
          <w:p w14:paraId="2E7F913E">
            <w:pPr>
              <w:spacing w:line="440" w:lineRule="exact"/>
              <w:jc w:val="center"/>
              <w:rPr>
                <w:rFonts w:ascii="宋体" w:hAnsi="宋体" w:cs="Times New Roman"/>
                <w:color w:val="000000"/>
                <w:sz w:val="24"/>
                <w:szCs w:val="24"/>
                <w:highlight w:val="none"/>
              </w:rPr>
            </w:pPr>
          </w:p>
        </w:tc>
        <w:tc>
          <w:tcPr>
            <w:tcW w:w="1530" w:type="dxa"/>
          </w:tcPr>
          <w:p w14:paraId="0C5392A3">
            <w:pPr>
              <w:spacing w:line="440" w:lineRule="exact"/>
              <w:jc w:val="left"/>
              <w:rPr>
                <w:rFonts w:ascii="宋体" w:hAnsi="宋体" w:cs="Times New Roman"/>
                <w:color w:val="000000"/>
                <w:sz w:val="24"/>
                <w:szCs w:val="24"/>
                <w:highlight w:val="none"/>
              </w:rPr>
            </w:pPr>
          </w:p>
        </w:tc>
        <w:tc>
          <w:tcPr>
            <w:tcW w:w="1652" w:type="dxa"/>
          </w:tcPr>
          <w:p w14:paraId="0E3DC29A">
            <w:pPr>
              <w:spacing w:line="440" w:lineRule="exact"/>
              <w:jc w:val="center"/>
              <w:rPr>
                <w:rFonts w:ascii="宋体" w:hAnsi="宋体" w:cs="Times New Roman"/>
                <w:color w:val="000000"/>
                <w:sz w:val="24"/>
                <w:szCs w:val="24"/>
                <w:highlight w:val="none"/>
              </w:rPr>
            </w:pPr>
          </w:p>
        </w:tc>
        <w:tc>
          <w:tcPr>
            <w:tcW w:w="1395" w:type="dxa"/>
          </w:tcPr>
          <w:p w14:paraId="3D5A60B4">
            <w:pPr>
              <w:spacing w:line="440" w:lineRule="exact"/>
              <w:jc w:val="center"/>
              <w:rPr>
                <w:rFonts w:ascii="宋体" w:hAnsi="宋体" w:cs="Times New Roman"/>
                <w:color w:val="000000"/>
                <w:sz w:val="24"/>
                <w:szCs w:val="24"/>
                <w:highlight w:val="none"/>
              </w:rPr>
            </w:pPr>
          </w:p>
        </w:tc>
        <w:tc>
          <w:tcPr>
            <w:tcW w:w="1843" w:type="dxa"/>
          </w:tcPr>
          <w:p w14:paraId="1C5416D1">
            <w:pPr>
              <w:spacing w:line="440" w:lineRule="exact"/>
              <w:jc w:val="center"/>
              <w:rPr>
                <w:rFonts w:ascii="宋体" w:hAnsi="宋体" w:cs="Times New Roman"/>
                <w:color w:val="000000"/>
                <w:sz w:val="24"/>
                <w:szCs w:val="24"/>
                <w:highlight w:val="none"/>
              </w:rPr>
            </w:pPr>
          </w:p>
        </w:tc>
      </w:tr>
      <w:tr w14:paraId="76EF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7" w:type="dxa"/>
          </w:tcPr>
          <w:p w14:paraId="6C3B6420">
            <w:pPr>
              <w:spacing w:line="440" w:lineRule="exact"/>
              <w:jc w:val="center"/>
              <w:rPr>
                <w:rFonts w:ascii="宋体" w:hAnsi="宋体" w:cs="Times New Roman"/>
                <w:color w:val="000000"/>
                <w:sz w:val="24"/>
                <w:szCs w:val="24"/>
                <w:highlight w:val="none"/>
              </w:rPr>
            </w:pPr>
          </w:p>
          <w:p w14:paraId="34714D8B">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4</w:t>
            </w:r>
          </w:p>
        </w:tc>
        <w:tc>
          <w:tcPr>
            <w:tcW w:w="1485" w:type="dxa"/>
          </w:tcPr>
          <w:p w14:paraId="2A730985">
            <w:pPr>
              <w:spacing w:line="440" w:lineRule="exact"/>
              <w:jc w:val="center"/>
              <w:rPr>
                <w:rFonts w:ascii="宋体" w:hAnsi="宋体" w:cs="Times New Roman"/>
                <w:color w:val="000000"/>
                <w:sz w:val="24"/>
                <w:szCs w:val="24"/>
                <w:highlight w:val="none"/>
              </w:rPr>
            </w:pPr>
          </w:p>
        </w:tc>
        <w:tc>
          <w:tcPr>
            <w:tcW w:w="1530" w:type="dxa"/>
          </w:tcPr>
          <w:p w14:paraId="6BD7EFD5">
            <w:pPr>
              <w:spacing w:line="440" w:lineRule="exact"/>
              <w:jc w:val="left"/>
              <w:rPr>
                <w:rFonts w:ascii="宋体" w:hAnsi="宋体" w:cs="Times New Roman"/>
                <w:color w:val="000000"/>
                <w:sz w:val="24"/>
                <w:szCs w:val="24"/>
                <w:highlight w:val="none"/>
              </w:rPr>
            </w:pPr>
          </w:p>
        </w:tc>
        <w:tc>
          <w:tcPr>
            <w:tcW w:w="1652" w:type="dxa"/>
          </w:tcPr>
          <w:p w14:paraId="7671AEE2">
            <w:pPr>
              <w:spacing w:line="440" w:lineRule="exact"/>
              <w:jc w:val="center"/>
              <w:rPr>
                <w:rFonts w:ascii="宋体" w:hAnsi="宋体" w:cs="Times New Roman"/>
                <w:color w:val="000000"/>
                <w:sz w:val="24"/>
                <w:szCs w:val="24"/>
                <w:highlight w:val="none"/>
              </w:rPr>
            </w:pPr>
          </w:p>
          <w:p w14:paraId="55F153AD">
            <w:pPr>
              <w:spacing w:line="440" w:lineRule="exact"/>
              <w:jc w:val="center"/>
              <w:rPr>
                <w:rFonts w:ascii="宋体" w:hAnsi="宋体" w:cs="Times New Roman"/>
                <w:color w:val="000000"/>
                <w:sz w:val="24"/>
                <w:szCs w:val="24"/>
                <w:highlight w:val="none"/>
              </w:rPr>
            </w:pPr>
          </w:p>
        </w:tc>
        <w:tc>
          <w:tcPr>
            <w:tcW w:w="1395" w:type="dxa"/>
          </w:tcPr>
          <w:p w14:paraId="4D683168">
            <w:pPr>
              <w:spacing w:line="440" w:lineRule="exact"/>
              <w:jc w:val="center"/>
              <w:rPr>
                <w:rFonts w:ascii="宋体" w:hAnsi="宋体" w:cs="Times New Roman"/>
                <w:color w:val="000000"/>
                <w:sz w:val="24"/>
                <w:szCs w:val="24"/>
                <w:highlight w:val="none"/>
              </w:rPr>
            </w:pPr>
          </w:p>
        </w:tc>
        <w:tc>
          <w:tcPr>
            <w:tcW w:w="1843" w:type="dxa"/>
          </w:tcPr>
          <w:p w14:paraId="51316359">
            <w:pPr>
              <w:spacing w:line="440" w:lineRule="exact"/>
              <w:jc w:val="center"/>
              <w:rPr>
                <w:rFonts w:ascii="宋体" w:hAnsi="宋体" w:cs="Times New Roman"/>
                <w:color w:val="000000"/>
                <w:sz w:val="24"/>
                <w:szCs w:val="24"/>
                <w:highlight w:val="none"/>
              </w:rPr>
            </w:pPr>
          </w:p>
        </w:tc>
      </w:tr>
      <w:tr w14:paraId="6F7A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97" w:type="dxa"/>
          </w:tcPr>
          <w:p w14:paraId="2425276A">
            <w:pPr>
              <w:spacing w:line="440" w:lineRule="exact"/>
              <w:jc w:val="center"/>
              <w:rPr>
                <w:rFonts w:ascii="宋体" w:hAnsi="宋体" w:cs="Times New Roman"/>
                <w:color w:val="000000"/>
                <w:sz w:val="24"/>
                <w:szCs w:val="24"/>
                <w:highlight w:val="none"/>
              </w:rPr>
            </w:pPr>
          </w:p>
          <w:p w14:paraId="0142DCE5">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4</w:t>
            </w:r>
          </w:p>
        </w:tc>
        <w:tc>
          <w:tcPr>
            <w:tcW w:w="1485" w:type="dxa"/>
          </w:tcPr>
          <w:p w14:paraId="067D24FB">
            <w:pPr>
              <w:spacing w:line="440" w:lineRule="exact"/>
              <w:jc w:val="center"/>
              <w:rPr>
                <w:rFonts w:ascii="宋体" w:hAnsi="宋体" w:cs="Times New Roman"/>
                <w:color w:val="000000"/>
                <w:sz w:val="24"/>
                <w:szCs w:val="24"/>
                <w:highlight w:val="none"/>
              </w:rPr>
            </w:pPr>
          </w:p>
        </w:tc>
        <w:tc>
          <w:tcPr>
            <w:tcW w:w="1530" w:type="dxa"/>
          </w:tcPr>
          <w:p w14:paraId="7CD7406C">
            <w:pPr>
              <w:spacing w:line="440" w:lineRule="exact"/>
              <w:jc w:val="center"/>
              <w:rPr>
                <w:rFonts w:ascii="宋体" w:hAnsi="宋体" w:cs="Times New Roman"/>
                <w:color w:val="000000"/>
                <w:sz w:val="24"/>
                <w:szCs w:val="24"/>
                <w:highlight w:val="none"/>
              </w:rPr>
            </w:pPr>
          </w:p>
        </w:tc>
        <w:tc>
          <w:tcPr>
            <w:tcW w:w="1652" w:type="dxa"/>
          </w:tcPr>
          <w:p w14:paraId="0A35F0E9">
            <w:pPr>
              <w:spacing w:line="440" w:lineRule="exact"/>
              <w:jc w:val="center"/>
              <w:rPr>
                <w:rFonts w:ascii="宋体" w:hAnsi="宋体" w:cs="Times New Roman"/>
                <w:color w:val="000000"/>
                <w:sz w:val="24"/>
                <w:szCs w:val="24"/>
                <w:highlight w:val="none"/>
              </w:rPr>
            </w:pPr>
          </w:p>
        </w:tc>
        <w:tc>
          <w:tcPr>
            <w:tcW w:w="1395" w:type="dxa"/>
          </w:tcPr>
          <w:p w14:paraId="2246AE38">
            <w:pPr>
              <w:spacing w:line="440" w:lineRule="exact"/>
              <w:jc w:val="center"/>
              <w:rPr>
                <w:rFonts w:ascii="宋体" w:hAnsi="宋体" w:cs="Times New Roman"/>
                <w:color w:val="000000"/>
                <w:sz w:val="24"/>
                <w:szCs w:val="24"/>
                <w:highlight w:val="none"/>
              </w:rPr>
            </w:pPr>
          </w:p>
        </w:tc>
        <w:tc>
          <w:tcPr>
            <w:tcW w:w="1843" w:type="dxa"/>
          </w:tcPr>
          <w:p w14:paraId="0AEC48D9">
            <w:pPr>
              <w:spacing w:line="440" w:lineRule="exact"/>
              <w:jc w:val="center"/>
              <w:rPr>
                <w:rFonts w:ascii="宋体" w:hAnsi="宋体" w:cs="Times New Roman"/>
                <w:color w:val="000000"/>
                <w:sz w:val="24"/>
                <w:szCs w:val="24"/>
                <w:highlight w:val="none"/>
              </w:rPr>
            </w:pPr>
          </w:p>
        </w:tc>
      </w:tr>
      <w:tr w14:paraId="3704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97" w:type="dxa"/>
          </w:tcPr>
          <w:p w14:paraId="0BB769A1">
            <w:pPr>
              <w:spacing w:line="440" w:lineRule="exact"/>
              <w:rPr>
                <w:rFonts w:ascii="宋体" w:hAnsi="宋体" w:cs="Times New Roman"/>
                <w:color w:val="000000"/>
                <w:sz w:val="24"/>
                <w:szCs w:val="24"/>
                <w:highlight w:val="none"/>
              </w:rPr>
            </w:pPr>
          </w:p>
          <w:p w14:paraId="3F6C8283">
            <w:pPr>
              <w:spacing w:line="440" w:lineRule="exact"/>
              <w:ind w:firstLine="240" w:firstLineChars="100"/>
              <w:rPr>
                <w:rFonts w:ascii="宋体" w:hAnsi="宋体" w:cs="Times New Roman"/>
                <w:color w:val="000000"/>
                <w:sz w:val="24"/>
                <w:szCs w:val="24"/>
                <w:highlight w:val="none"/>
              </w:rPr>
            </w:pPr>
            <w:r>
              <w:rPr>
                <w:rFonts w:hint="eastAsia" w:ascii="宋体" w:hAnsi="宋体" w:cs="Times New Roman"/>
                <w:color w:val="000000"/>
                <w:sz w:val="24"/>
                <w:szCs w:val="24"/>
                <w:highlight w:val="none"/>
              </w:rPr>
              <w:t>5</w:t>
            </w:r>
          </w:p>
        </w:tc>
        <w:tc>
          <w:tcPr>
            <w:tcW w:w="1485" w:type="dxa"/>
          </w:tcPr>
          <w:p w14:paraId="7A138337">
            <w:pPr>
              <w:spacing w:line="440" w:lineRule="exact"/>
              <w:jc w:val="center"/>
              <w:rPr>
                <w:rFonts w:ascii="宋体" w:hAnsi="宋体" w:cs="Times New Roman"/>
                <w:color w:val="000000"/>
                <w:sz w:val="24"/>
                <w:szCs w:val="24"/>
                <w:highlight w:val="none"/>
              </w:rPr>
            </w:pPr>
          </w:p>
          <w:p w14:paraId="12B0E33F">
            <w:pPr>
              <w:spacing w:line="440" w:lineRule="exact"/>
              <w:jc w:val="center"/>
              <w:rPr>
                <w:rFonts w:ascii="宋体" w:hAnsi="宋体" w:cs="Times New Roman"/>
                <w:color w:val="000000"/>
                <w:sz w:val="24"/>
                <w:szCs w:val="24"/>
                <w:highlight w:val="none"/>
              </w:rPr>
            </w:pPr>
          </w:p>
        </w:tc>
        <w:tc>
          <w:tcPr>
            <w:tcW w:w="1530" w:type="dxa"/>
          </w:tcPr>
          <w:p w14:paraId="57378C8D">
            <w:pPr>
              <w:spacing w:line="440" w:lineRule="exact"/>
              <w:jc w:val="center"/>
              <w:rPr>
                <w:rFonts w:ascii="宋体" w:hAnsi="宋体" w:cs="Times New Roman"/>
                <w:color w:val="000000"/>
                <w:sz w:val="24"/>
                <w:szCs w:val="24"/>
                <w:highlight w:val="none"/>
              </w:rPr>
            </w:pPr>
          </w:p>
        </w:tc>
        <w:tc>
          <w:tcPr>
            <w:tcW w:w="1652" w:type="dxa"/>
          </w:tcPr>
          <w:p w14:paraId="6587CBBE">
            <w:pPr>
              <w:spacing w:line="440" w:lineRule="exact"/>
              <w:jc w:val="center"/>
              <w:rPr>
                <w:rFonts w:ascii="宋体" w:hAnsi="宋体" w:cs="Times New Roman"/>
                <w:color w:val="000000"/>
                <w:sz w:val="24"/>
                <w:szCs w:val="24"/>
                <w:highlight w:val="none"/>
              </w:rPr>
            </w:pPr>
          </w:p>
        </w:tc>
        <w:tc>
          <w:tcPr>
            <w:tcW w:w="1395" w:type="dxa"/>
          </w:tcPr>
          <w:p w14:paraId="16FF4B77">
            <w:pPr>
              <w:spacing w:line="440" w:lineRule="exact"/>
              <w:jc w:val="center"/>
              <w:rPr>
                <w:rFonts w:ascii="宋体" w:hAnsi="宋体" w:cs="Times New Roman"/>
                <w:color w:val="000000"/>
                <w:sz w:val="24"/>
                <w:szCs w:val="24"/>
                <w:highlight w:val="none"/>
              </w:rPr>
            </w:pPr>
          </w:p>
        </w:tc>
        <w:tc>
          <w:tcPr>
            <w:tcW w:w="1843" w:type="dxa"/>
          </w:tcPr>
          <w:p w14:paraId="3F4E6CD8">
            <w:pPr>
              <w:spacing w:line="440" w:lineRule="exact"/>
              <w:jc w:val="center"/>
              <w:rPr>
                <w:rFonts w:ascii="宋体" w:hAnsi="宋体" w:cs="Times New Roman"/>
                <w:color w:val="000000"/>
                <w:sz w:val="24"/>
                <w:szCs w:val="24"/>
                <w:highlight w:val="none"/>
              </w:rPr>
            </w:pPr>
          </w:p>
        </w:tc>
      </w:tr>
      <w:tr w14:paraId="222E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97" w:type="dxa"/>
          </w:tcPr>
          <w:p w14:paraId="2C3ACC32">
            <w:pPr>
              <w:spacing w:line="440" w:lineRule="exact"/>
              <w:jc w:val="center"/>
              <w:rPr>
                <w:rFonts w:ascii="宋体" w:hAnsi="宋体" w:cs="Times New Roman"/>
                <w:color w:val="000000"/>
                <w:sz w:val="24"/>
                <w:szCs w:val="24"/>
                <w:highlight w:val="none"/>
              </w:rPr>
            </w:pPr>
          </w:p>
          <w:p w14:paraId="508C6EE7">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6</w:t>
            </w:r>
          </w:p>
        </w:tc>
        <w:tc>
          <w:tcPr>
            <w:tcW w:w="1485" w:type="dxa"/>
          </w:tcPr>
          <w:p w14:paraId="4D84018D">
            <w:pPr>
              <w:spacing w:line="440" w:lineRule="exact"/>
              <w:jc w:val="center"/>
              <w:rPr>
                <w:rFonts w:ascii="宋体" w:hAnsi="宋体" w:cs="Times New Roman"/>
                <w:color w:val="000000"/>
                <w:sz w:val="24"/>
                <w:szCs w:val="24"/>
                <w:highlight w:val="none"/>
              </w:rPr>
            </w:pPr>
          </w:p>
        </w:tc>
        <w:tc>
          <w:tcPr>
            <w:tcW w:w="1530" w:type="dxa"/>
          </w:tcPr>
          <w:p w14:paraId="1F51F852">
            <w:pPr>
              <w:spacing w:line="440" w:lineRule="exact"/>
              <w:jc w:val="center"/>
              <w:rPr>
                <w:rFonts w:ascii="宋体" w:hAnsi="宋体" w:cs="Times New Roman"/>
                <w:color w:val="000000"/>
                <w:sz w:val="24"/>
                <w:szCs w:val="24"/>
                <w:highlight w:val="none"/>
              </w:rPr>
            </w:pPr>
          </w:p>
        </w:tc>
        <w:tc>
          <w:tcPr>
            <w:tcW w:w="1652" w:type="dxa"/>
          </w:tcPr>
          <w:p w14:paraId="11F56CA8">
            <w:pPr>
              <w:spacing w:line="440" w:lineRule="exact"/>
              <w:jc w:val="center"/>
              <w:rPr>
                <w:rFonts w:ascii="宋体" w:hAnsi="宋体" w:cs="Times New Roman"/>
                <w:color w:val="000000"/>
                <w:sz w:val="24"/>
                <w:szCs w:val="24"/>
                <w:highlight w:val="none"/>
              </w:rPr>
            </w:pPr>
          </w:p>
        </w:tc>
        <w:tc>
          <w:tcPr>
            <w:tcW w:w="1395" w:type="dxa"/>
          </w:tcPr>
          <w:p w14:paraId="09D1C63E">
            <w:pPr>
              <w:spacing w:line="440" w:lineRule="exact"/>
              <w:jc w:val="center"/>
              <w:rPr>
                <w:rFonts w:ascii="宋体" w:hAnsi="宋体" w:cs="Times New Roman"/>
                <w:color w:val="000000"/>
                <w:sz w:val="24"/>
                <w:szCs w:val="24"/>
                <w:highlight w:val="none"/>
              </w:rPr>
            </w:pPr>
          </w:p>
          <w:p w14:paraId="233B143F">
            <w:pPr>
              <w:spacing w:line="440" w:lineRule="exact"/>
              <w:jc w:val="center"/>
              <w:rPr>
                <w:rFonts w:ascii="宋体" w:hAnsi="宋体" w:cs="Times New Roman"/>
                <w:color w:val="000000"/>
                <w:sz w:val="24"/>
                <w:szCs w:val="24"/>
                <w:highlight w:val="none"/>
              </w:rPr>
            </w:pPr>
          </w:p>
        </w:tc>
        <w:tc>
          <w:tcPr>
            <w:tcW w:w="1843" w:type="dxa"/>
          </w:tcPr>
          <w:p w14:paraId="17E60DE9">
            <w:pPr>
              <w:tabs>
                <w:tab w:val="center" w:pos="767"/>
                <w:tab w:val="right" w:pos="1415"/>
              </w:tabs>
              <w:spacing w:line="440" w:lineRule="exact"/>
              <w:jc w:val="left"/>
              <w:rPr>
                <w:rFonts w:ascii="宋体" w:hAnsi="宋体" w:cs="Times New Roman"/>
                <w:color w:val="000000"/>
                <w:sz w:val="24"/>
                <w:szCs w:val="24"/>
                <w:highlight w:val="none"/>
              </w:rPr>
            </w:pPr>
            <w:r>
              <w:rPr>
                <w:rFonts w:hint="eastAsia" w:ascii="宋体" w:hAnsi="宋体" w:cs="Times New Roman"/>
                <w:color w:val="000000"/>
                <w:sz w:val="24"/>
                <w:szCs w:val="24"/>
                <w:highlight w:val="none"/>
              </w:rPr>
              <w:tab/>
            </w:r>
          </w:p>
        </w:tc>
      </w:tr>
      <w:tr w14:paraId="5279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97" w:type="dxa"/>
          </w:tcPr>
          <w:p w14:paraId="7D881F8B">
            <w:pPr>
              <w:spacing w:line="440" w:lineRule="exact"/>
              <w:jc w:val="center"/>
              <w:rPr>
                <w:rFonts w:ascii="宋体" w:hAnsi="宋体" w:cs="Times New Roman"/>
                <w:color w:val="000000"/>
                <w:sz w:val="24"/>
                <w:szCs w:val="24"/>
                <w:highlight w:val="none"/>
              </w:rPr>
            </w:pPr>
          </w:p>
          <w:p w14:paraId="3F4BD121">
            <w:pPr>
              <w:spacing w:line="440" w:lineRule="exact"/>
              <w:jc w:val="center"/>
              <w:rPr>
                <w:rFonts w:ascii="宋体" w:hAnsi="宋体" w:cs="Times New Roman"/>
                <w:color w:val="000000"/>
                <w:sz w:val="24"/>
                <w:szCs w:val="24"/>
                <w:highlight w:val="none"/>
              </w:rPr>
            </w:pPr>
            <w:r>
              <w:rPr>
                <w:rFonts w:hint="eastAsia" w:ascii="宋体" w:hAnsi="宋体" w:cs="Times New Roman"/>
                <w:color w:val="000000"/>
                <w:sz w:val="24"/>
                <w:szCs w:val="24"/>
                <w:highlight w:val="none"/>
              </w:rPr>
              <w:t>7</w:t>
            </w:r>
          </w:p>
        </w:tc>
        <w:tc>
          <w:tcPr>
            <w:tcW w:w="1485" w:type="dxa"/>
          </w:tcPr>
          <w:p w14:paraId="00ACE5C4">
            <w:pPr>
              <w:spacing w:line="440" w:lineRule="exact"/>
              <w:jc w:val="center"/>
              <w:rPr>
                <w:rFonts w:ascii="宋体" w:hAnsi="宋体" w:cs="Times New Roman"/>
                <w:color w:val="000000"/>
                <w:sz w:val="24"/>
                <w:szCs w:val="24"/>
                <w:highlight w:val="none"/>
              </w:rPr>
            </w:pPr>
          </w:p>
        </w:tc>
        <w:tc>
          <w:tcPr>
            <w:tcW w:w="1530" w:type="dxa"/>
          </w:tcPr>
          <w:p w14:paraId="004F2FD5">
            <w:pPr>
              <w:spacing w:line="440" w:lineRule="exact"/>
              <w:jc w:val="center"/>
              <w:rPr>
                <w:rFonts w:ascii="宋体" w:hAnsi="宋体" w:cs="Times New Roman"/>
                <w:color w:val="000000"/>
                <w:sz w:val="24"/>
                <w:szCs w:val="24"/>
                <w:highlight w:val="none"/>
              </w:rPr>
            </w:pPr>
          </w:p>
        </w:tc>
        <w:tc>
          <w:tcPr>
            <w:tcW w:w="1652" w:type="dxa"/>
          </w:tcPr>
          <w:p w14:paraId="0518CD07">
            <w:pPr>
              <w:spacing w:line="440" w:lineRule="exact"/>
              <w:jc w:val="center"/>
              <w:rPr>
                <w:rFonts w:ascii="宋体" w:hAnsi="宋体" w:cs="Times New Roman"/>
                <w:color w:val="000000"/>
                <w:sz w:val="24"/>
                <w:szCs w:val="24"/>
                <w:highlight w:val="none"/>
              </w:rPr>
            </w:pPr>
          </w:p>
        </w:tc>
        <w:tc>
          <w:tcPr>
            <w:tcW w:w="1395" w:type="dxa"/>
          </w:tcPr>
          <w:p w14:paraId="1C29C8E5">
            <w:pPr>
              <w:spacing w:line="440" w:lineRule="exact"/>
              <w:jc w:val="center"/>
              <w:rPr>
                <w:rFonts w:ascii="宋体" w:hAnsi="宋体" w:cs="Times New Roman"/>
                <w:color w:val="000000"/>
                <w:sz w:val="24"/>
                <w:szCs w:val="24"/>
                <w:highlight w:val="none"/>
              </w:rPr>
            </w:pPr>
          </w:p>
        </w:tc>
        <w:tc>
          <w:tcPr>
            <w:tcW w:w="1843" w:type="dxa"/>
          </w:tcPr>
          <w:p w14:paraId="7525A1AD">
            <w:pPr>
              <w:spacing w:line="440" w:lineRule="exact"/>
              <w:jc w:val="center"/>
              <w:rPr>
                <w:rFonts w:ascii="宋体" w:hAnsi="宋体" w:cs="Times New Roman"/>
                <w:color w:val="000000"/>
                <w:sz w:val="24"/>
                <w:szCs w:val="24"/>
                <w:highlight w:val="none"/>
              </w:rPr>
            </w:pPr>
          </w:p>
        </w:tc>
      </w:tr>
    </w:tbl>
    <w:p w14:paraId="2D3BE58D">
      <w:pPr>
        <w:spacing w:line="360" w:lineRule="auto"/>
        <w:ind w:left="720" w:hanging="720" w:hangingChars="300"/>
        <w:rPr>
          <w:rFonts w:hint="eastAsia" w:ascii="宋体" w:hAnsi="宋体" w:cs="Times New Roman"/>
          <w:b/>
          <w:bCs/>
          <w:color w:val="000000"/>
          <w:kern w:val="0"/>
          <w:sz w:val="24"/>
          <w:szCs w:val="24"/>
          <w:highlight w:val="none"/>
        </w:rPr>
      </w:pPr>
      <w:r>
        <w:rPr>
          <w:rFonts w:hint="eastAsia" w:ascii="宋体" w:hAnsi="宋体" w:cs="Times New Roman"/>
          <w:b/>
          <w:bCs/>
          <w:color w:val="000000"/>
          <w:kern w:val="0"/>
          <w:sz w:val="24"/>
          <w:szCs w:val="24"/>
          <w:highlight w:val="none"/>
        </w:rPr>
        <w:t>备注：须按</w:t>
      </w:r>
      <w:r>
        <w:rPr>
          <w:rFonts w:hint="eastAsia" w:ascii="宋体" w:hAnsi="宋体" w:cs="Times New Roman"/>
          <w:b/>
          <w:bCs/>
          <w:color w:val="000000"/>
          <w:kern w:val="0"/>
          <w:sz w:val="24"/>
          <w:szCs w:val="24"/>
          <w:highlight w:val="none"/>
          <w:lang w:val="en-US" w:eastAsia="zh-CN"/>
        </w:rPr>
        <w:t>相关要求</w:t>
      </w:r>
      <w:r>
        <w:rPr>
          <w:rFonts w:hint="eastAsia" w:ascii="宋体" w:hAnsi="宋体" w:cs="Times New Roman"/>
          <w:b/>
          <w:bCs/>
          <w:color w:val="000000"/>
          <w:kern w:val="0"/>
          <w:sz w:val="24"/>
          <w:szCs w:val="24"/>
          <w:highlight w:val="none"/>
        </w:rPr>
        <w:t>提供相应的</w:t>
      </w:r>
      <w:r>
        <w:rPr>
          <w:rFonts w:hint="eastAsia" w:ascii="宋体" w:hAnsi="宋体" w:cs="Times New Roman"/>
          <w:b/>
          <w:bCs/>
          <w:color w:val="000000"/>
          <w:kern w:val="0"/>
          <w:sz w:val="24"/>
          <w:szCs w:val="24"/>
          <w:highlight w:val="none"/>
          <w:lang w:val="en-US" w:eastAsia="zh-CN"/>
        </w:rPr>
        <w:t>业绩</w:t>
      </w:r>
      <w:r>
        <w:rPr>
          <w:rFonts w:hint="eastAsia" w:ascii="宋体" w:hAnsi="宋体" w:cs="Times New Roman"/>
          <w:b/>
          <w:bCs/>
          <w:color w:val="000000"/>
          <w:kern w:val="0"/>
          <w:sz w:val="24"/>
          <w:szCs w:val="24"/>
          <w:highlight w:val="none"/>
        </w:rPr>
        <w:t>合同</w:t>
      </w:r>
      <w:r>
        <w:rPr>
          <w:rFonts w:hint="eastAsia" w:ascii="宋体" w:hAnsi="宋体" w:cs="Times New Roman"/>
          <w:b/>
          <w:bCs/>
          <w:color w:val="000000"/>
          <w:kern w:val="0"/>
          <w:sz w:val="24"/>
          <w:szCs w:val="24"/>
          <w:highlight w:val="none"/>
          <w:lang w:val="en-US" w:eastAsia="zh-CN"/>
        </w:rPr>
        <w:t>和验收报告或</w:t>
      </w:r>
      <w:r>
        <w:rPr>
          <w:rFonts w:hint="eastAsia" w:ascii="宋体" w:hAnsi="宋体" w:cs="Times New Roman"/>
          <w:b/>
          <w:bCs/>
          <w:color w:val="000000"/>
          <w:kern w:val="0"/>
          <w:sz w:val="24"/>
          <w:szCs w:val="24"/>
          <w:highlight w:val="none"/>
        </w:rPr>
        <w:t>中标（成交）通知书</w:t>
      </w:r>
      <w:r>
        <w:rPr>
          <w:rFonts w:hint="eastAsia" w:ascii="宋体" w:hAnsi="宋体" w:cs="Times New Roman"/>
          <w:b/>
          <w:bCs/>
          <w:color w:val="000000"/>
          <w:kern w:val="0"/>
          <w:sz w:val="24"/>
          <w:szCs w:val="24"/>
          <w:highlight w:val="none"/>
          <w:lang w:val="en-US" w:eastAsia="zh-CN"/>
        </w:rPr>
        <w:t>和验收报告等</w:t>
      </w:r>
      <w:r>
        <w:rPr>
          <w:rFonts w:hint="eastAsia" w:ascii="宋体" w:hAnsi="宋体" w:cs="Times New Roman"/>
          <w:b/>
          <w:bCs/>
          <w:color w:val="000000"/>
          <w:kern w:val="0"/>
          <w:sz w:val="24"/>
          <w:szCs w:val="24"/>
          <w:highlight w:val="none"/>
        </w:rPr>
        <w:t>证明资料。</w:t>
      </w:r>
    </w:p>
    <w:p w14:paraId="6D5326C2">
      <w:pPr>
        <w:ind w:firstLine="400" w:firstLineChars="200"/>
        <w:rPr>
          <w:rFonts w:ascii="宋体" w:hAnsi="宋体" w:cs="宋体"/>
          <w:b/>
          <w:bCs/>
          <w:color w:val="000000"/>
          <w:kern w:val="0"/>
          <w:sz w:val="20"/>
          <w:highlight w:val="none"/>
        </w:rPr>
      </w:pPr>
    </w:p>
    <w:p w14:paraId="11D532B7">
      <w:pPr>
        <w:ind w:firstLine="400" w:firstLineChars="200"/>
        <w:rPr>
          <w:rFonts w:ascii="宋体" w:hAnsi="宋体" w:cs="宋体"/>
          <w:b/>
          <w:bCs/>
          <w:color w:val="000000"/>
          <w:kern w:val="0"/>
          <w:sz w:val="20"/>
          <w:highlight w:val="none"/>
        </w:rPr>
      </w:pPr>
    </w:p>
    <w:p w14:paraId="5CCBBAB0">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7B97CC63">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____________________</w:t>
      </w:r>
    </w:p>
    <w:p w14:paraId="2B5BDD9E">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日期：</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2694E671">
      <w:pPr>
        <w:spacing w:line="360" w:lineRule="auto"/>
        <w:ind w:firstLine="480" w:firstLineChars="200"/>
        <w:rPr>
          <w:rFonts w:ascii="宋体" w:hAnsi="宋体" w:cs="Times New Roman"/>
          <w:color w:val="000000"/>
          <w:kern w:val="0"/>
          <w:sz w:val="24"/>
          <w:szCs w:val="24"/>
          <w:highlight w:val="none"/>
        </w:rPr>
      </w:pPr>
    </w:p>
    <w:p w14:paraId="3B05B9FD">
      <w:pPr>
        <w:spacing w:line="360" w:lineRule="auto"/>
        <w:ind w:firstLine="480" w:firstLineChars="200"/>
        <w:rPr>
          <w:rFonts w:ascii="宋体" w:hAnsi="宋体" w:cs="Times New Roman"/>
          <w:color w:val="000000"/>
          <w:kern w:val="0"/>
          <w:sz w:val="24"/>
          <w:szCs w:val="24"/>
          <w:highlight w:val="none"/>
        </w:rPr>
      </w:pPr>
    </w:p>
    <w:p w14:paraId="2315928F">
      <w:pPr>
        <w:spacing w:line="360" w:lineRule="auto"/>
        <w:ind w:firstLine="480" w:firstLineChars="200"/>
        <w:rPr>
          <w:rFonts w:ascii="宋体" w:hAnsi="宋体" w:cs="Times New Roman"/>
          <w:color w:val="000000"/>
          <w:kern w:val="0"/>
          <w:sz w:val="24"/>
          <w:szCs w:val="24"/>
          <w:highlight w:val="none"/>
        </w:rPr>
      </w:pPr>
    </w:p>
    <w:p w14:paraId="1F7DD427">
      <w:pPr>
        <w:spacing w:line="360" w:lineRule="auto"/>
        <w:ind w:firstLine="480" w:firstLineChars="200"/>
        <w:rPr>
          <w:rFonts w:ascii="宋体" w:hAnsi="宋体" w:cs="Times New Roman"/>
          <w:color w:val="000000"/>
          <w:kern w:val="0"/>
          <w:sz w:val="24"/>
          <w:szCs w:val="24"/>
          <w:highlight w:val="none"/>
        </w:rPr>
      </w:pPr>
    </w:p>
    <w:p w14:paraId="65AD72DB">
      <w:pPr>
        <w:spacing w:line="360" w:lineRule="auto"/>
        <w:ind w:firstLine="480" w:firstLineChars="200"/>
        <w:jc w:val="center"/>
        <w:rPr>
          <w:rFonts w:cs="Times New Roman"/>
          <w:b/>
          <w:color w:val="000000"/>
          <w:kern w:val="0"/>
          <w:sz w:val="24"/>
          <w:szCs w:val="20"/>
          <w:highlight w:val="none"/>
        </w:rPr>
      </w:pPr>
      <w:bookmarkStart w:id="47" w:name="_Toc30936"/>
      <w:r>
        <w:rPr>
          <w:rFonts w:hint="eastAsia" w:cs="Times New Roman"/>
          <w:b/>
          <w:color w:val="000000"/>
          <w:kern w:val="0"/>
          <w:sz w:val="24"/>
          <w:szCs w:val="20"/>
          <w:highlight w:val="none"/>
          <w:lang w:val="en-US" w:eastAsia="zh-CN"/>
        </w:rPr>
        <w:t>九</w:t>
      </w:r>
      <w:r>
        <w:rPr>
          <w:rFonts w:hint="eastAsia" w:cs="Times New Roman"/>
          <w:b/>
          <w:color w:val="000000"/>
          <w:kern w:val="0"/>
          <w:sz w:val="24"/>
          <w:szCs w:val="20"/>
          <w:highlight w:val="none"/>
        </w:rPr>
        <w:t>、中小微企业声明函</w:t>
      </w:r>
      <w:bookmarkEnd w:id="47"/>
    </w:p>
    <w:p w14:paraId="4077E51F">
      <w:pPr>
        <w:widowControl/>
        <w:spacing w:line="400" w:lineRule="exact"/>
        <w:jc w:val="center"/>
        <w:rPr>
          <w:rFonts w:hint="eastAsia" w:ascii="宋体" w:hAnsi="宋体" w:cs="宋体"/>
          <w:sz w:val="36"/>
          <w:highlight w:val="none"/>
        </w:rPr>
      </w:pPr>
    </w:p>
    <w:p w14:paraId="4FFBC307">
      <w:pPr>
        <w:widowControl/>
        <w:spacing w:line="400" w:lineRule="exact"/>
        <w:jc w:val="center"/>
        <w:rPr>
          <w:rFonts w:ascii="宋体" w:hAnsi="宋体" w:cs="宋体"/>
          <w:sz w:val="36"/>
          <w:highlight w:val="none"/>
        </w:rPr>
      </w:pPr>
      <w:r>
        <w:rPr>
          <w:rFonts w:hint="eastAsia" w:ascii="宋体" w:hAnsi="宋体" w:cs="宋体"/>
          <w:sz w:val="36"/>
          <w:highlight w:val="none"/>
        </w:rPr>
        <w:t>中小企业声明函（工程、服务）</w:t>
      </w:r>
    </w:p>
    <w:p w14:paraId="159ABD6C">
      <w:pPr>
        <w:widowControl/>
        <w:spacing w:line="400" w:lineRule="exact"/>
        <w:jc w:val="center"/>
        <w:rPr>
          <w:rFonts w:ascii="方正小标宋_GBK" w:hAnsi="方正小标宋_GBK" w:eastAsia="方正小标宋_GBK" w:cs="方正小标宋_GBK"/>
          <w:sz w:val="36"/>
          <w:highlight w:val="none"/>
        </w:rPr>
      </w:pPr>
    </w:p>
    <w:p w14:paraId="2CCC7C9B">
      <w:pPr>
        <w:spacing w:beforeLines="50" w:afterLines="50" w:line="300" w:lineRule="auto"/>
        <w:ind w:firstLine="480" w:firstLineChars="200"/>
        <w:rPr>
          <w:rFonts w:ascii="宋体" w:hAnsi="宋体"/>
          <w:bCs/>
          <w:sz w:val="24"/>
          <w:szCs w:val="21"/>
          <w:highlight w:val="none"/>
        </w:rPr>
      </w:pPr>
      <w:r>
        <w:rPr>
          <w:rFonts w:hint="eastAsia" w:ascii="宋体" w:hAnsi="宋体"/>
          <w:bCs/>
          <w:sz w:val="24"/>
          <w:szCs w:val="21"/>
          <w:highlight w:val="none"/>
        </w:rPr>
        <w:t>本公司（联合体）郑重声明，根据《政府采购促进中小企业发展管理办法》（财库﹝2020﹞46 号）的规定，本公司（联合体）参加（</w:t>
      </w:r>
      <w:r>
        <w:rPr>
          <w:rFonts w:hint="eastAsia" w:ascii="宋体" w:hAnsi="宋体"/>
          <w:bCs/>
          <w:i/>
          <w:iCs/>
          <w:sz w:val="24"/>
          <w:szCs w:val="21"/>
          <w:highlight w:val="none"/>
          <w:u w:val="single"/>
        </w:rPr>
        <w:t>单位名称</w:t>
      </w:r>
      <w:r>
        <w:rPr>
          <w:rFonts w:hint="eastAsia" w:ascii="宋体" w:hAnsi="宋体"/>
          <w:bCs/>
          <w:sz w:val="24"/>
          <w:szCs w:val="21"/>
          <w:highlight w:val="none"/>
        </w:rPr>
        <w:t>）的（</w:t>
      </w:r>
      <w:r>
        <w:rPr>
          <w:rFonts w:hint="eastAsia" w:ascii="宋体" w:hAnsi="宋体"/>
          <w:bCs/>
          <w:i/>
          <w:iCs/>
          <w:sz w:val="24"/>
          <w:szCs w:val="21"/>
          <w:highlight w:val="none"/>
          <w:u w:val="single"/>
        </w:rPr>
        <w:t>项目名称</w:t>
      </w:r>
      <w:r>
        <w:rPr>
          <w:rFonts w:hint="eastAsia" w:ascii="宋体" w:hAnsi="宋体"/>
          <w:bCs/>
          <w:sz w:val="24"/>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3DE4A269">
      <w:pPr>
        <w:spacing w:beforeLines="50" w:afterLines="50" w:line="300" w:lineRule="auto"/>
        <w:ind w:firstLine="480" w:firstLineChars="200"/>
        <w:rPr>
          <w:rFonts w:ascii="宋体" w:hAnsi="宋体"/>
          <w:bCs/>
          <w:sz w:val="24"/>
          <w:szCs w:val="21"/>
          <w:highlight w:val="none"/>
        </w:rPr>
      </w:pPr>
      <w:r>
        <w:rPr>
          <w:rFonts w:hint="eastAsia" w:ascii="宋体" w:hAnsi="宋体"/>
          <w:bCs/>
          <w:sz w:val="24"/>
          <w:szCs w:val="21"/>
          <w:highlight w:val="none"/>
        </w:rPr>
        <w:t>1. （</w:t>
      </w:r>
      <w:r>
        <w:rPr>
          <w:rFonts w:hint="eastAsia" w:ascii="宋体" w:hAnsi="宋体"/>
          <w:bCs/>
          <w:i/>
          <w:iCs/>
          <w:sz w:val="24"/>
          <w:szCs w:val="21"/>
          <w:highlight w:val="none"/>
          <w:u w:val="single"/>
        </w:rPr>
        <w:t>标的名称</w:t>
      </w:r>
      <w:r>
        <w:rPr>
          <w:rFonts w:hint="eastAsia" w:ascii="宋体" w:hAnsi="宋体"/>
          <w:bCs/>
          <w:sz w:val="24"/>
          <w:szCs w:val="21"/>
          <w:highlight w:val="none"/>
        </w:rPr>
        <w:t>） ，属于（</w:t>
      </w:r>
      <w:r>
        <w:rPr>
          <w:rFonts w:hint="eastAsia" w:ascii="宋体" w:hAnsi="宋体"/>
          <w:bCs/>
          <w:i/>
          <w:iCs/>
          <w:sz w:val="24"/>
          <w:szCs w:val="21"/>
          <w:highlight w:val="none"/>
          <w:u w:val="single"/>
        </w:rPr>
        <w:t>采购文件中明确的所属行业</w:t>
      </w:r>
      <w:r>
        <w:rPr>
          <w:rFonts w:hint="eastAsia" w:ascii="宋体" w:hAnsi="宋体"/>
          <w:bCs/>
          <w:sz w:val="24"/>
          <w:szCs w:val="21"/>
          <w:highlight w:val="none"/>
        </w:rPr>
        <w:t>）；承建（承接）企业为（</w:t>
      </w:r>
      <w:r>
        <w:rPr>
          <w:rFonts w:hint="eastAsia" w:ascii="宋体" w:hAnsi="宋体"/>
          <w:bCs/>
          <w:i/>
          <w:iCs/>
          <w:sz w:val="24"/>
          <w:szCs w:val="21"/>
          <w:highlight w:val="none"/>
          <w:u w:val="single"/>
        </w:rPr>
        <w:t>企业名称</w:t>
      </w:r>
      <w:r>
        <w:rPr>
          <w:rFonts w:hint="eastAsia" w:ascii="宋体" w:hAnsi="宋体"/>
          <w:bCs/>
          <w:sz w:val="24"/>
          <w:szCs w:val="21"/>
          <w:highlight w:val="none"/>
        </w:rPr>
        <w:t>），从业人员人，营业收入为万元，资产总额为万元，属于（</w:t>
      </w:r>
      <w:r>
        <w:rPr>
          <w:rFonts w:hint="eastAsia" w:ascii="宋体" w:hAnsi="宋体"/>
          <w:bCs/>
          <w:i/>
          <w:iCs/>
          <w:sz w:val="24"/>
          <w:szCs w:val="21"/>
          <w:highlight w:val="none"/>
          <w:u w:val="single"/>
        </w:rPr>
        <w:t>中型企业、小型企业、微型企业</w:t>
      </w:r>
      <w:r>
        <w:rPr>
          <w:rFonts w:hint="eastAsia" w:ascii="宋体" w:hAnsi="宋体"/>
          <w:bCs/>
          <w:sz w:val="24"/>
          <w:szCs w:val="21"/>
          <w:highlight w:val="none"/>
        </w:rPr>
        <w:t>）；</w:t>
      </w:r>
    </w:p>
    <w:p w14:paraId="2E468D71">
      <w:pPr>
        <w:spacing w:beforeLines="50" w:afterLines="50" w:line="300" w:lineRule="auto"/>
        <w:ind w:firstLine="480" w:firstLineChars="200"/>
        <w:rPr>
          <w:rFonts w:ascii="宋体" w:hAnsi="宋体"/>
          <w:bCs/>
          <w:sz w:val="24"/>
          <w:szCs w:val="21"/>
          <w:highlight w:val="none"/>
        </w:rPr>
      </w:pPr>
      <w:r>
        <w:rPr>
          <w:rFonts w:hint="eastAsia" w:ascii="宋体" w:hAnsi="宋体"/>
          <w:bCs/>
          <w:sz w:val="24"/>
          <w:szCs w:val="21"/>
          <w:highlight w:val="none"/>
        </w:rPr>
        <w:t>2. （</w:t>
      </w:r>
      <w:r>
        <w:rPr>
          <w:rFonts w:hint="eastAsia" w:ascii="宋体" w:hAnsi="宋体"/>
          <w:bCs/>
          <w:i/>
          <w:iCs/>
          <w:sz w:val="24"/>
          <w:szCs w:val="21"/>
          <w:highlight w:val="none"/>
          <w:u w:val="single"/>
        </w:rPr>
        <w:t>标的名称</w:t>
      </w:r>
      <w:r>
        <w:rPr>
          <w:rFonts w:hint="eastAsia" w:ascii="宋体" w:hAnsi="宋体"/>
          <w:bCs/>
          <w:sz w:val="24"/>
          <w:szCs w:val="21"/>
          <w:highlight w:val="none"/>
        </w:rPr>
        <w:t>） ，属于（</w:t>
      </w:r>
      <w:r>
        <w:rPr>
          <w:rFonts w:hint="eastAsia" w:ascii="宋体" w:hAnsi="宋体"/>
          <w:bCs/>
          <w:i/>
          <w:iCs/>
          <w:sz w:val="24"/>
          <w:szCs w:val="21"/>
          <w:highlight w:val="none"/>
          <w:u w:val="single"/>
        </w:rPr>
        <w:t>采购文件中明确的所属行业</w:t>
      </w:r>
      <w:r>
        <w:rPr>
          <w:rFonts w:hint="eastAsia" w:ascii="宋体" w:hAnsi="宋体"/>
          <w:bCs/>
          <w:sz w:val="24"/>
          <w:szCs w:val="21"/>
          <w:highlight w:val="none"/>
        </w:rPr>
        <w:t>）；承建（承接）企业为（</w:t>
      </w:r>
      <w:r>
        <w:rPr>
          <w:rFonts w:hint="eastAsia" w:ascii="宋体" w:hAnsi="宋体"/>
          <w:bCs/>
          <w:i/>
          <w:iCs/>
          <w:sz w:val="24"/>
          <w:szCs w:val="21"/>
          <w:highlight w:val="none"/>
          <w:u w:val="single"/>
        </w:rPr>
        <w:t>企业名称</w:t>
      </w:r>
      <w:r>
        <w:rPr>
          <w:rFonts w:hint="eastAsia" w:ascii="宋体" w:hAnsi="宋体"/>
          <w:bCs/>
          <w:sz w:val="24"/>
          <w:szCs w:val="21"/>
          <w:highlight w:val="none"/>
        </w:rPr>
        <w:t>），从业人员人，营业收入为万元，资产总额为万元，属于（</w:t>
      </w:r>
      <w:r>
        <w:rPr>
          <w:rFonts w:hint="eastAsia" w:ascii="宋体" w:hAnsi="宋体"/>
          <w:bCs/>
          <w:i/>
          <w:iCs/>
          <w:sz w:val="24"/>
          <w:szCs w:val="21"/>
          <w:highlight w:val="none"/>
          <w:u w:val="single"/>
        </w:rPr>
        <w:t>中型企业、小型企业、微型企业</w:t>
      </w:r>
      <w:r>
        <w:rPr>
          <w:rFonts w:hint="eastAsia" w:ascii="宋体" w:hAnsi="宋体"/>
          <w:bCs/>
          <w:sz w:val="24"/>
          <w:szCs w:val="21"/>
          <w:highlight w:val="none"/>
        </w:rPr>
        <w:t>）；</w:t>
      </w:r>
    </w:p>
    <w:p w14:paraId="06ED2345">
      <w:pPr>
        <w:spacing w:beforeLines="50" w:afterLines="50" w:line="300" w:lineRule="auto"/>
        <w:rPr>
          <w:rFonts w:ascii="宋体" w:hAnsi="宋体"/>
          <w:bCs/>
          <w:sz w:val="24"/>
          <w:szCs w:val="21"/>
          <w:highlight w:val="none"/>
        </w:rPr>
      </w:pPr>
      <w:r>
        <w:rPr>
          <w:rFonts w:hint="eastAsia" w:ascii="宋体" w:hAnsi="宋体"/>
          <w:bCs/>
          <w:sz w:val="24"/>
          <w:szCs w:val="21"/>
          <w:highlight w:val="none"/>
        </w:rPr>
        <w:t>……</w:t>
      </w:r>
    </w:p>
    <w:p w14:paraId="4060B006">
      <w:pPr>
        <w:spacing w:beforeLines="50" w:afterLines="50" w:line="300" w:lineRule="auto"/>
        <w:ind w:firstLine="480" w:firstLineChars="200"/>
        <w:rPr>
          <w:rFonts w:ascii="宋体" w:hAnsi="宋体"/>
          <w:bCs/>
          <w:sz w:val="24"/>
          <w:szCs w:val="21"/>
          <w:highlight w:val="none"/>
        </w:rPr>
      </w:pPr>
      <w:r>
        <w:rPr>
          <w:rFonts w:hint="eastAsia" w:ascii="宋体" w:hAnsi="宋体"/>
          <w:bCs/>
          <w:sz w:val="24"/>
          <w:szCs w:val="21"/>
          <w:highlight w:val="none"/>
        </w:rPr>
        <w:t>以上企业，不属于大企业的分支机构，不存在控股股东为大企业的情形，也不存在与大企业的负责人为同一人的情形。</w:t>
      </w:r>
    </w:p>
    <w:p w14:paraId="46F6874F">
      <w:pPr>
        <w:spacing w:beforeLines="50" w:afterLines="50" w:line="300" w:lineRule="auto"/>
        <w:ind w:firstLine="480" w:firstLineChars="200"/>
        <w:rPr>
          <w:rFonts w:ascii="宋体" w:hAnsi="宋体"/>
          <w:bCs/>
          <w:sz w:val="24"/>
          <w:szCs w:val="21"/>
          <w:highlight w:val="none"/>
        </w:rPr>
      </w:pPr>
      <w:r>
        <w:rPr>
          <w:rFonts w:hint="eastAsia" w:ascii="宋体" w:hAnsi="宋体"/>
          <w:bCs/>
          <w:sz w:val="24"/>
          <w:szCs w:val="21"/>
          <w:highlight w:val="none"/>
        </w:rPr>
        <w:t>本企业对上述声明内容的真实性负责。如有虚假，将依法承担相应责任。</w:t>
      </w:r>
    </w:p>
    <w:p w14:paraId="26774C71">
      <w:pPr>
        <w:spacing w:beforeLines="50" w:afterLines="50" w:line="300" w:lineRule="auto"/>
        <w:rPr>
          <w:rFonts w:ascii="宋体" w:hAnsi="宋体"/>
          <w:bCs/>
          <w:sz w:val="24"/>
          <w:szCs w:val="21"/>
          <w:highlight w:val="none"/>
        </w:rPr>
      </w:pPr>
    </w:p>
    <w:p w14:paraId="5DC73523">
      <w:pPr>
        <w:spacing w:beforeLines="50" w:afterLines="50" w:line="300" w:lineRule="auto"/>
        <w:rPr>
          <w:rFonts w:ascii="宋体" w:hAnsi="宋体"/>
          <w:bCs/>
          <w:sz w:val="24"/>
          <w:szCs w:val="21"/>
          <w:highlight w:val="none"/>
        </w:rPr>
      </w:pPr>
    </w:p>
    <w:p w14:paraId="54C47918">
      <w:pPr>
        <w:spacing w:beforeLines="50" w:afterLines="50" w:line="300" w:lineRule="auto"/>
        <w:ind w:firstLine="4320" w:firstLineChars="1800"/>
        <w:rPr>
          <w:rFonts w:ascii="宋体" w:hAnsi="宋体"/>
          <w:bCs/>
          <w:sz w:val="24"/>
          <w:szCs w:val="21"/>
          <w:highlight w:val="none"/>
        </w:rPr>
      </w:pPr>
      <w:r>
        <w:rPr>
          <w:rFonts w:hint="eastAsia" w:ascii="宋体" w:hAnsi="宋体"/>
          <w:bCs/>
          <w:sz w:val="24"/>
          <w:szCs w:val="21"/>
          <w:highlight w:val="none"/>
        </w:rPr>
        <w:t>企业名称（盖章）：</w:t>
      </w:r>
    </w:p>
    <w:p w14:paraId="426BB912">
      <w:pPr>
        <w:spacing w:beforeLines="50" w:afterLines="50" w:line="300" w:lineRule="auto"/>
        <w:ind w:firstLine="4320" w:firstLineChars="1800"/>
        <w:rPr>
          <w:rFonts w:ascii="宋体" w:hAnsi="宋体"/>
          <w:bCs/>
          <w:sz w:val="24"/>
          <w:szCs w:val="21"/>
          <w:highlight w:val="none"/>
        </w:rPr>
      </w:pPr>
      <w:r>
        <w:rPr>
          <w:rFonts w:hint="eastAsia" w:ascii="宋体" w:hAnsi="宋体"/>
          <w:bCs/>
          <w:sz w:val="24"/>
          <w:szCs w:val="21"/>
          <w:highlight w:val="none"/>
        </w:rPr>
        <w:t>日期：</w:t>
      </w:r>
    </w:p>
    <w:p w14:paraId="3293501B">
      <w:pPr>
        <w:rPr>
          <w:rFonts w:ascii="Times New Roman" w:hAnsi="Times New Roman"/>
          <w:szCs w:val="21"/>
          <w:highlight w:val="none"/>
        </w:rPr>
      </w:pPr>
    </w:p>
    <w:p w14:paraId="6463FE4F">
      <w:pPr>
        <w:pStyle w:val="133"/>
        <w:adjustRightInd w:val="0"/>
        <w:snapToGrid w:val="0"/>
        <w:spacing w:before="0" w:after="0" w:line="360" w:lineRule="auto"/>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备</w:t>
      </w:r>
      <w:r>
        <w:rPr>
          <w:rFonts w:hint="eastAsia" w:ascii="宋体" w:hAnsi="宋体" w:eastAsia="宋体" w:cs="宋体"/>
          <w:sz w:val="21"/>
          <w:szCs w:val="21"/>
          <w:highlight w:val="none"/>
        </w:rPr>
        <w:t>注</w:t>
      </w:r>
      <w:r>
        <w:rPr>
          <w:rFonts w:hint="eastAsia" w:ascii="宋体" w:hAnsi="宋体" w:eastAsia="宋体" w:cs="宋体"/>
          <w:sz w:val="21"/>
          <w:szCs w:val="21"/>
          <w:highlight w:val="none"/>
          <w:lang w:val="en-US" w:eastAsia="zh-CN"/>
        </w:rPr>
        <w:t>1.重要提示：供应商应仔细阅读本函附件1关于“中小企业声明函”的填写要求及提交要求，否则，因填写或提交等产生的一切不利后果，须自行承担。</w:t>
      </w:r>
    </w:p>
    <w:p w14:paraId="583B6DCE">
      <w:pPr>
        <w:pStyle w:val="133"/>
        <w:adjustRightInd w:val="0"/>
        <w:snapToGrid w:val="0"/>
        <w:spacing w:before="0" w:after="0"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从业人员、营业收入、资产总额填报上一年度数据，无上一年度数据的新成立企业可不填报。</w:t>
      </w:r>
    </w:p>
    <w:p w14:paraId="6D0C93E5">
      <w:pPr>
        <w:pStyle w:val="133"/>
        <w:adjustRightInd w:val="0"/>
        <w:snapToGrid w:val="0"/>
        <w:spacing w:before="0" w:after="0"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3、制造商如为监狱企业或残疾人福利性单位的，视同为小型、微型企业，请填写此声明函，并需要出具相应的声明函和证明文件（格式后附）。</w:t>
      </w:r>
    </w:p>
    <w:p w14:paraId="294679FD">
      <w:pPr>
        <w:widowControl/>
        <w:wordWrap w:val="0"/>
        <w:spacing w:line="360" w:lineRule="auto"/>
        <w:ind w:right="480" w:firstLine="480" w:firstLineChars="200"/>
        <w:jc w:val="right"/>
        <w:rPr>
          <w:rFonts w:ascii="宋体" w:hAnsi="宋体" w:cs="宋体"/>
          <w:color w:val="000000"/>
          <w:kern w:val="0"/>
          <w:sz w:val="24"/>
          <w:szCs w:val="24"/>
          <w:highlight w:val="none"/>
        </w:rPr>
      </w:pPr>
    </w:p>
    <w:p w14:paraId="3D7824CF">
      <w:pPr>
        <w:adjustRightInd w:val="0"/>
        <w:snapToGrid w:val="0"/>
        <w:jc w:val="both"/>
        <w:rPr>
          <w:rFonts w:hint="default"/>
          <w:b/>
          <w:bCs/>
          <w:color w:val="auto"/>
          <w:highlight w:val="none"/>
          <w:lang w:val="en-US" w:eastAsia="zh-CN"/>
        </w:rPr>
      </w:pPr>
      <w:bookmarkStart w:id="48" w:name="_Toc21795"/>
      <w:r>
        <w:rPr>
          <w:rFonts w:hint="eastAsia"/>
          <w:b/>
          <w:bCs/>
          <w:color w:val="auto"/>
          <w:highlight w:val="none"/>
          <w:lang w:val="en-US" w:eastAsia="zh-CN"/>
        </w:rPr>
        <w:t xml:space="preserve">附件1 </w:t>
      </w:r>
    </w:p>
    <w:p w14:paraId="0BF75275">
      <w:pPr>
        <w:keepNext w:val="0"/>
        <w:keepLines w:val="0"/>
        <w:widowControl/>
        <w:suppressLineNumbers w:val="0"/>
        <w:ind w:firstLine="480" w:firstLineChars="200"/>
        <w:jc w:val="left"/>
        <w:rPr>
          <w:rStyle w:val="48"/>
          <w:rFonts w:hint="eastAsia" w:ascii="宋体" w:hAnsi="宋体" w:eastAsia="宋体" w:cs="宋体"/>
          <w:color w:val="auto"/>
          <w:kern w:val="0"/>
          <w:sz w:val="28"/>
          <w:szCs w:val="28"/>
          <w:highlight w:val="none"/>
          <w:lang w:val="en-US" w:eastAsia="zh-CN" w:bidi="ar"/>
        </w:rPr>
      </w:pPr>
      <w:r>
        <w:rPr>
          <w:rStyle w:val="48"/>
          <w:rFonts w:hint="eastAsia" w:ascii="宋体" w:hAnsi="宋体" w:eastAsia="宋体" w:cs="宋体"/>
          <w:color w:val="auto"/>
          <w:kern w:val="0"/>
          <w:sz w:val="24"/>
          <w:szCs w:val="24"/>
          <w:highlight w:val="none"/>
          <w:lang w:val="en-US" w:eastAsia="zh-CN" w:bidi="ar"/>
        </w:rPr>
        <w:t>（一）关于</w:t>
      </w:r>
      <w:r>
        <w:rPr>
          <w:rStyle w:val="48"/>
          <w:rFonts w:hint="eastAsia" w:cs="宋体"/>
          <w:color w:val="auto"/>
          <w:kern w:val="0"/>
          <w:sz w:val="24"/>
          <w:szCs w:val="24"/>
          <w:highlight w:val="none"/>
          <w:lang w:val="en-US" w:eastAsia="zh-CN" w:bidi="ar"/>
        </w:rPr>
        <w:t>“</w:t>
      </w:r>
      <w:r>
        <w:rPr>
          <w:rStyle w:val="48"/>
          <w:rFonts w:hint="eastAsia" w:ascii="宋体" w:hAnsi="宋体" w:eastAsia="宋体" w:cs="宋体"/>
          <w:color w:val="auto"/>
          <w:kern w:val="0"/>
          <w:sz w:val="24"/>
          <w:szCs w:val="24"/>
          <w:highlight w:val="none"/>
          <w:lang w:val="en-US" w:eastAsia="zh-CN" w:bidi="ar"/>
        </w:rPr>
        <w:t>中小企业声明函</w:t>
      </w:r>
      <w:r>
        <w:rPr>
          <w:rStyle w:val="48"/>
          <w:rFonts w:hint="eastAsia" w:cs="宋体"/>
          <w:color w:val="auto"/>
          <w:kern w:val="0"/>
          <w:sz w:val="24"/>
          <w:szCs w:val="24"/>
          <w:highlight w:val="none"/>
          <w:lang w:val="en-US" w:eastAsia="zh-CN" w:bidi="ar"/>
        </w:rPr>
        <w:t>”</w:t>
      </w:r>
      <w:r>
        <w:rPr>
          <w:rStyle w:val="48"/>
          <w:rFonts w:hint="eastAsia" w:ascii="宋体" w:hAnsi="宋体" w:eastAsia="宋体" w:cs="宋体"/>
          <w:color w:val="auto"/>
          <w:kern w:val="0"/>
          <w:sz w:val="24"/>
          <w:szCs w:val="24"/>
          <w:highlight w:val="none"/>
          <w:lang w:val="en-US" w:eastAsia="zh-CN" w:bidi="ar"/>
        </w:rPr>
        <w:t>的填写要求</w:t>
      </w:r>
    </w:p>
    <w:p w14:paraId="453195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具体填写要求如下：</w:t>
      </w:r>
    </w:p>
    <w:p w14:paraId="29A422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1.“单位名称”应填写采购人名称。</w:t>
      </w:r>
    </w:p>
    <w:p w14:paraId="45F84C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39FC02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6EFCFD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4B2829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47019F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765BA1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5.“企业名称”应填写投标（响应）的货物制造商/服务承接商/工程承建商（根据项目属性确定）。</w:t>
      </w:r>
    </w:p>
    <w:p w14:paraId="033F69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6ED8DF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6C8D95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14B340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4E3F988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5A74364">
      <w:pPr>
        <w:keepNext w:val="0"/>
        <w:keepLines w:val="0"/>
        <w:widowControl/>
        <w:suppressLineNumbers w:val="0"/>
        <w:ind w:firstLine="480" w:firstLineChars="200"/>
        <w:jc w:val="left"/>
        <w:rPr>
          <w:rStyle w:val="48"/>
          <w:rFonts w:hint="eastAsia" w:ascii="宋体" w:hAnsi="宋体" w:eastAsia="宋体" w:cs="宋体"/>
          <w:color w:val="auto"/>
          <w:kern w:val="0"/>
          <w:sz w:val="24"/>
          <w:szCs w:val="24"/>
          <w:highlight w:val="none"/>
          <w:lang w:val="en-US" w:eastAsia="zh-CN" w:bidi="ar"/>
        </w:rPr>
      </w:pPr>
      <w:r>
        <w:rPr>
          <w:rStyle w:val="48"/>
          <w:rFonts w:hint="eastAsia" w:ascii="宋体" w:hAnsi="宋体" w:eastAsia="宋体" w:cs="宋体"/>
          <w:color w:val="auto"/>
          <w:kern w:val="0"/>
          <w:sz w:val="24"/>
          <w:szCs w:val="24"/>
          <w:highlight w:val="none"/>
          <w:lang w:val="en-US" w:eastAsia="zh-CN" w:bidi="ar"/>
        </w:rPr>
        <w:t>（二）关于“中小企业声明函”的提交要求</w:t>
      </w:r>
    </w:p>
    <w:p w14:paraId="4B21C9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1.投标（响应）供应商对</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w:t>
      </w:r>
    </w:p>
    <w:p w14:paraId="580C2E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12B125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3.如供应商提供的</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587481D">
      <w:pPr>
        <w:rPr>
          <w:rFonts w:cs="宋体"/>
          <w:color w:val="auto"/>
          <w:spacing w:val="6"/>
          <w:sz w:val="21"/>
          <w:szCs w:val="21"/>
          <w:highlight w:val="none"/>
        </w:rPr>
      </w:pPr>
      <w:r>
        <w:rPr>
          <w:rFonts w:cs="宋体"/>
          <w:color w:val="auto"/>
          <w:spacing w:val="6"/>
          <w:sz w:val="21"/>
          <w:szCs w:val="21"/>
          <w:highlight w:val="none"/>
        </w:rPr>
        <w:br w:type="page"/>
      </w:r>
    </w:p>
    <w:p w14:paraId="61D97D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3C742580">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2DD68A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48"/>
          <w:rFonts w:hint="eastAsia" w:ascii="宋体" w:hAnsi="宋体" w:eastAsia="宋体" w:cs="宋体"/>
          <w:b w:val="0"/>
          <w:color w:val="auto"/>
          <w:sz w:val="24"/>
          <w:szCs w:val="24"/>
          <w:highlight w:val="none"/>
        </w:rPr>
      </w:pPr>
      <w:r>
        <w:rPr>
          <w:rStyle w:val="48"/>
          <w:rFonts w:hint="eastAsia" w:ascii="宋体" w:hAnsi="宋体" w:eastAsia="宋体" w:cs="宋体"/>
          <w:b w:val="0"/>
          <w:color w:val="auto"/>
          <w:sz w:val="24"/>
          <w:szCs w:val="24"/>
          <w:highlight w:val="none"/>
        </w:rPr>
        <w:t>工信部联企业〔2011〕300号</w:t>
      </w:r>
    </w:p>
    <w:p w14:paraId="2F6CE5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48"/>
          <w:rFonts w:hint="eastAsia" w:ascii="宋体" w:hAnsi="宋体" w:eastAsia="宋体" w:cs="宋体"/>
          <w:b w:val="0"/>
          <w:color w:val="auto"/>
          <w:sz w:val="24"/>
          <w:szCs w:val="24"/>
          <w:highlight w:val="none"/>
        </w:rPr>
      </w:pPr>
    </w:p>
    <w:p w14:paraId="0292F2DC">
      <w:pPr>
        <w:keepNext w:val="0"/>
        <w:keepLines w:val="0"/>
        <w:pageBreakBefore w:val="0"/>
        <w:widowControl w:val="0"/>
        <w:kinsoku/>
        <w:wordWrap/>
        <w:overflowPunct/>
        <w:topLinePunct w:val="0"/>
        <w:autoSpaceDE/>
        <w:autoSpaceDN/>
        <w:bidi w:val="0"/>
        <w:adjustRightInd/>
        <w:snapToGrid/>
        <w:spacing w:line="360" w:lineRule="exact"/>
        <w:textAlignment w:val="auto"/>
        <w:rPr>
          <w:rStyle w:val="48"/>
          <w:rFonts w:hint="eastAsia" w:ascii="宋体" w:hAnsi="宋体" w:eastAsia="宋体" w:cs="宋体"/>
          <w:b w:val="0"/>
          <w:color w:val="auto"/>
          <w:sz w:val="24"/>
          <w:szCs w:val="24"/>
          <w:highlight w:val="none"/>
        </w:rPr>
      </w:pPr>
      <w:r>
        <w:rPr>
          <w:rStyle w:val="48"/>
          <w:rFonts w:hint="eastAsia" w:ascii="宋体" w:hAnsi="宋体" w:eastAsia="宋体" w:cs="宋体"/>
          <w:b w:val="0"/>
          <w:color w:val="auto"/>
          <w:sz w:val="24"/>
          <w:szCs w:val="24"/>
          <w:highlight w:val="none"/>
        </w:rPr>
        <w:t>各省、自治区、直辖市人民政府，国务院各部委、各直属机构及有关单位：</w:t>
      </w:r>
    </w:p>
    <w:p w14:paraId="46684DDF">
      <w:pPr>
        <w:keepNext w:val="0"/>
        <w:keepLines w:val="0"/>
        <w:pageBreakBefore w:val="0"/>
        <w:widowControl w:val="0"/>
        <w:kinsoku/>
        <w:wordWrap/>
        <w:overflowPunct/>
        <w:topLinePunct w:val="0"/>
        <w:autoSpaceDE/>
        <w:autoSpaceDN/>
        <w:bidi w:val="0"/>
        <w:adjustRightInd/>
        <w:snapToGrid/>
        <w:spacing w:line="36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507EA9D">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工业和信息化部　国家统计局</w:t>
      </w:r>
    </w:p>
    <w:p w14:paraId="3A0B9B33">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国家发展和改革委员会　财政部</w:t>
      </w:r>
    </w:p>
    <w:p w14:paraId="6182E6D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二○一一年六月十八日</w:t>
      </w:r>
    </w:p>
    <w:p w14:paraId="3DD15A84">
      <w:pPr>
        <w:keepNext w:val="0"/>
        <w:keepLines w:val="0"/>
        <w:pageBreakBefore w:val="0"/>
        <w:widowControl w:val="0"/>
        <w:kinsoku/>
        <w:wordWrap/>
        <w:overflowPunct/>
        <w:topLinePunct w:val="0"/>
        <w:autoSpaceDE/>
        <w:autoSpaceDN/>
        <w:bidi w:val="0"/>
        <w:adjustRightInd/>
        <w:snapToGrid/>
        <w:spacing w:line="36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xml:space="preserve"> </w:t>
      </w:r>
    </w:p>
    <w:p w14:paraId="6106AE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48"/>
          <w:rFonts w:hint="eastAsia" w:ascii="宋体" w:hAnsi="宋体" w:eastAsia="宋体" w:cs="宋体"/>
          <w:b/>
          <w:bCs w:val="0"/>
          <w:color w:val="auto"/>
          <w:sz w:val="28"/>
          <w:szCs w:val="28"/>
          <w:highlight w:val="none"/>
        </w:rPr>
      </w:pPr>
      <w:r>
        <w:rPr>
          <w:rStyle w:val="48"/>
          <w:rFonts w:hint="eastAsia" w:ascii="宋体" w:hAnsi="宋体" w:eastAsia="宋体" w:cs="宋体"/>
          <w:b/>
          <w:bCs w:val="0"/>
          <w:color w:val="auto"/>
          <w:sz w:val="28"/>
          <w:szCs w:val="28"/>
          <w:highlight w:val="none"/>
        </w:rPr>
        <w:t>中小企业划型标准规定</w:t>
      </w:r>
    </w:p>
    <w:p w14:paraId="4C4E20E3">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63A5159F">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092FFEE">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E43870A">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四、各行业划型标准为：</w:t>
      </w:r>
    </w:p>
    <w:p w14:paraId="74CFC05F">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24CC7AFC">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0BF08ED">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230CB78">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599DB3">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DB8BF62">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BA16B7D">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1A87873">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015A766">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441ECDE">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73CCDA0">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D738B7">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12E6B19">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98B8AF8">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02D5847">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0E71E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（十六）</w:t>
      </w:r>
      <w:r>
        <w:rPr>
          <w:rStyle w:val="48"/>
          <w:rFonts w:hint="eastAsia" w:ascii="宋体" w:hAnsi="宋体" w:eastAsia="宋体" w:cs="宋体"/>
          <w:b/>
          <w:bCs/>
          <w:color w:val="auto"/>
          <w:sz w:val="24"/>
          <w:szCs w:val="24"/>
          <w:highlight w:val="none"/>
        </w:rPr>
        <w:t>其他未列明行业。从业人员300人以下的为中小微型企业。其中，从业人员100人及以上的为中型企业；从业人员10人及以上的为小型企业；从业人员10人以下的为微型企业。</w:t>
      </w:r>
      <w:r>
        <w:rPr>
          <w:rStyle w:val="48"/>
          <w:rFonts w:hint="eastAsia" w:ascii="宋体" w:hAnsi="宋体" w:eastAsia="宋体" w:cs="宋体"/>
          <w:b w:val="0"/>
          <w:bCs w:val="0"/>
          <w:color w:val="auto"/>
          <w:sz w:val="24"/>
          <w:szCs w:val="24"/>
          <w:highlight w:val="none"/>
        </w:rPr>
        <w:t>　　</w:t>
      </w:r>
    </w:p>
    <w:p w14:paraId="1DC37F3C">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五、企业类型的划分以统计部门的统计数据为依据。</w:t>
      </w:r>
    </w:p>
    <w:p w14:paraId="4D78B551">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63F04938">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A1EACEA">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2AEB8B3D">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　　九、本规定由工业和信息化部、国家统计局会同有关部门负责解释。</w:t>
      </w:r>
    </w:p>
    <w:p w14:paraId="77F47EBA">
      <w:pPr>
        <w:keepNext w:val="0"/>
        <w:keepLines w:val="0"/>
        <w:pageBreakBefore w:val="0"/>
        <w:widowControl w:val="0"/>
        <w:kinsoku/>
        <w:wordWrap/>
        <w:overflowPunct/>
        <w:topLinePunct w:val="0"/>
        <w:autoSpaceDE/>
        <w:autoSpaceDN/>
        <w:bidi w:val="0"/>
        <w:adjustRightInd/>
        <w:snapToGrid/>
        <w:spacing w:line="400" w:lineRule="exact"/>
        <w:textAlignment w:val="auto"/>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01E3021A">
      <w:pPr>
        <w:rPr>
          <w:rFonts w:hint="eastAsia" w:cs="Times New Roman"/>
          <w:b/>
          <w:color w:val="000000"/>
          <w:kern w:val="0"/>
          <w:sz w:val="24"/>
          <w:szCs w:val="20"/>
          <w:highlight w:val="none"/>
        </w:rPr>
      </w:pPr>
      <w:r>
        <w:rPr>
          <w:rFonts w:hint="eastAsia" w:cs="Times New Roman"/>
          <w:b/>
          <w:color w:val="000000"/>
          <w:kern w:val="0"/>
          <w:sz w:val="24"/>
          <w:szCs w:val="20"/>
          <w:highlight w:val="none"/>
        </w:rPr>
        <w:br w:type="page"/>
      </w:r>
    </w:p>
    <w:p w14:paraId="4F174B0B">
      <w:pPr>
        <w:keepNext/>
        <w:keepLines/>
        <w:spacing w:before="260" w:after="260" w:line="413" w:lineRule="auto"/>
        <w:jc w:val="center"/>
        <w:rPr>
          <w:rFonts w:cs="Times New Roman"/>
          <w:b/>
          <w:color w:val="000000"/>
          <w:kern w:val="0"/>
          <w:sz w:val="24"/>
          <w:szCs w:val="20"/>
          <w:highlight w:val="none"/>
        </w:rPr>
      </w:pPr>
      <w:r>
        <w:rPr>
          <w:rFonts w:hint="eastAsia" w:cs="Times New Roman"/>
          <w:b/>
          <w:color w:val="000000"/>
          <w:kern w:val="0"/>
          <w:sz w:val="24"/>
          <w:szCs w:val="20"/>
          <w:highlight w:val="none"/>
        </w:rPr>
        <w:t>十、监狱企业声明函</w:t>
      </w:r>
      <w:bookmarkEnd w:id="48"/>
    </w:p>
    <w:p w14:paraId="1132E79E">
      <w:pPr>
        <w:spacing w:line="360" w:lineRule="auto"/>
        <w:jc w:val="center"/>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w:t>
      </w:r>
      <w:r>
        <w:rPr>
          <w:rFonts w:hint="eastAsia" w:ascii="宋体" w:hAnsi="宋体" w:cs="宋体"/>
          <w:color w:val="000000"/>
          <w:spacing w:val="6"/>
          <w:kern w:val="0"/>
          <w:sz w:val="24"/>
          <w:highlight w:val="none"/>
          <w:lang w:val="en-US" w:eastAsia="zh-CN"/>
        </w:rPr>
        <w:t>如</w:t>
      </w:r>
      <w:r>
        <w:rPr>
          <w:rFonts w:hint="eastAsia" w:ascii="宋体" w:hAnsi="宋体" w:cs="宋体"/>
          <w:color w:val="000000"/>
          <w:spacing w:val="6"/>
          <w:kern w:val="0"/>
          <w:sz w:val="24"/>
          <w:highlight w:val="none"/>
        </w:rPr>
        <w:t>适用）</w:t>
      </w:r>
    </w:p>
    <w:p w14:paraId="48C0BE64">
      <w:pPr>
        <w:spacing w:line="360" w:lineRule="auto"/>
        <w:ind w:firstLine="567" w:firstLineChars="225"/>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本公司郑重声明，根据《关于政府采购支持监狱企业发展有关问题的通知》（财库〔2014〕68号）的规定，本公司为监狱企业。</w:t>
      </w:r>
    </w:p>
    <w:p w14:paraId="50D9D860">
      <w:pPr>
        <w:spacing w:line="360" w:lineRule="auto"/>
        <w:ind w:firstLine="567" w:firstLineChars="225"/>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本公司参加</w:t>
      </w:r>
      <w:r>
        <w:rPr>
          <w:rFonts w:ascii="宋体" w:hAnsi="宋体" w:cs="宋体"/>
          <w:color w:val="000000"/>
          <w:spacing w:val="6"/>
          <w:kern w:val="0"/>
          <w:sz w:val="24"/>
          <w:highlight w:val="none"/>
        </w:rPr>
        <w:t>______</w:t>
      </w:r>
      <w:r>
        <w:rPr>
          <w:rFonts w:hint="eastAsia" w:ascii="宋体" w:hAnsi="宋体" w:cs="宋体"/>
          <w:color w:val="000000"/>
          <w:spacing w:val="6"/>
          <w:kern w:val="0"/>
          <w:sz w:val="24"/>
          <w:highlight w:val="none"/>
        </w:rPr>
        <w:t>单位的</w:t>
      </w:r>
      <w:r>
        <w:rPr>
          <w:rFonts w:ascii="宋体" w:hAnsi="宋体" w:cs="宋体"/>
          <w:color w:val="000000"/>
          <w:spacing w:val="6"/>
          <w:kern w:val="0"/>
          <w:sz w:val="24"/>
          <w:highlight w:val="none"/>
        </w:rPr>
        <w:t>______</w:t>
      </w:r>
      <w:r>
        <w:rPr>
          <w:rFonts w:hint="eastAsia" w:ascii="宋体" w:hAnsi="宋体" w:cs="宋体"/>
          <w:color w:val="000000"/>
          <w:spacing w:val="6"/>
          <w:kern w:val="0"/>
          <w:sz w:val="24"/>
          <w:highlight w:val="none"/>
        </w:rPr>
        <w:t>项目采购活动，采购活动提供本企业（填写制造的货物，由本企业承担工程、提供服务）。</w:t>
      </w:r>
    </w:p>
    <w:p w14:paraId="0FBB3FF6">
      <w:pPr>
        <w:spacing w:line="360" w:lineRule="auto"/>
        <w:ind w:firstLine="567" w:firstLineChars="225"/>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本条所称货物不包括使用大型企业注册商标的货物和服务。</w:t>
      </w:r>
    </w:p>
    <w:p w14:paraId="09C06118">
      <w:pPr>
        <w:spacing w:line="360" w:lineRule="auto"/>
        <w:ind w:firstLine="567" w:firstLineChars="225"/>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本公司对上述声明的真实性负责。如有虚假，将依法承担相应责任。</w:t>
      </w:r>
    </w:p>
    <w:p w14:paraId="4B397C01">
      <w:pPr>
        <w:spacing w:line="360" w:lineRule="auto"/>
        <w:ind w:firstLine="5103" w:firstLineChars="2025"/>
        <w:rPr>
          <w:rFonts w:ascii="宋体" w:hAnsi="宋体" w:cs="宋体"/>
          <w:color w:val="000000"/>
          <w:spacing w:val="6"/>
          <w:kern w:val="0"/>
          <w:sz w:val="24"/>
          <w:highlight w:val="none"/>
        </w:rPr>
      </w:pPr>
    </w:p>
    <w:p w14:paraId="71C3D1B2">
      <w:pPr>
        <w:widowControl/>
        <w:adjustRightInd w:val="0"/>
        <w:snapToGrid w:val="0"/>
        <w:spacing w:line="440" w:lineRule="exact"/>
        <w:ind w:firstLine="5544" w:firstLineChars="2200"/>
        <w:jc w:val="left"/>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单位名称（盖章）：</w:t>
      </w:r>
    </w:p>
    <w:p w14:paraId="3BBAA5E8">
      <w:pPr>
        <w:widowControl/>
        <w:adjustRightInd w:val="0"/>
        <w:snapToGrid w:val="0"/>
        <w:spacing w:line="440" w:lineRule="exact"/>
        <w:ind w:firstLine="6048" w:firstLineChars="2400"/>
        <w:jc w:val="left"/>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日期：</w:t>
      </w:r>
    </w:p>
    <w:p w14:paraId="2F6B5ED1">
      <w:pPr>
        <w:spacing w:line="360" w:lineRule="auto"/>
        <w:ind w:firstLine="1260" w:firstLineChars="500"/>
        <w:rPr>
          <w:rFonts w:ascii="宋体" w:hAnsi="宋体" w:cs="宋体"/>
          <w:color w:val="000000"/>
          <w:spacing w:val="6"/>
          <w:kern w:val="0"/>
          <w:sz w:val="24"/>
          <w:highlight w:val="none"/>
        </w:rPr>
      </w:pPr>
    </w:p>
    <w:p w14:paraId="16679B45">
      <w:pPr>
        <w:tabs>
          <w:tab w:val="left" w:pos="2880"/>
        </w:tabs>
        <w:spacing w:line="460" w:lineRule="atLeast"/>
        <w:ind w:firstLine="5544" w:firstLineChars="2200"/>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日期：</w:t>
      </w:r>
      <w:r>
        <w:rPr>
          <w:rFonts w:hint="eastAsia" w:ascii="宋体" w:hAnsi="宋体" w:cs="宋体"/>
          <w:color w:val="000000"/>
          <w:spacing w:val="6"/>
          <w:kern w:val="0"/>
          <w:sz w:val="24"/>
          <w:highlight w:val="none"/>
          <w:lang w:val="en-US" w:eastAsia="zh-CN"/>
        </w:rPr>
        <w:t xml:space="preserve"> </w:t>
      </w:r>
      <w:r>
        <w:rPr>
          <w:rFonts w:hint="eastAsia" w:ascii="宋体" w:hAnsi="宋体" w:cs="Times New Roman"/>
          <w:color w:val="000000"/>
          <w:sz w:val="24"/>
          <w:highlight w:val="none"/>
        </w:rPr>
        <w:t>年</w:t>
      </w:r>
      <w:r>
        <w:rPr>
          <w:rFonts w:hint="eastAsia" w:ascii="宋体" w:hAnsi="宋体" w:cs="Times New Roman"/>
          <w:color w:val="000000"/>
          <w:sz w:val="24"/>
          <w:highlight w:val="none"/>
          <w:lang w:val="en-US" w:eastAsia="zh-CN"/>
        </w:rPr>
        <w:t xml:space="preserve"> </w:t>
      </w:r>
      <w:r>
        <w:rPr>
          <w:rFonts w:hint="eastAsia" w:ascii="宋体" w:hAnsi="宋体" w:cs="Times New Roman"/>
          <w:color w:val="000000"/>
          <w:sz w:val="24"/>
          <w:highlight w:val="none"/>
        </w:rPr>
        <w:t>月</w:t>
      </w:r>
      <w:r>
        <w:rPr>
          <w:rFonts w:hint="eastAsia" w:ascii="宋体" w:hAnsi="宋体" w:cs="Times New Roman"/>
          <w:color w:val="000000"/>
          <w:sz w:val="24"/>
          <w:highlight w:val="none"/>
          <w:lang w:val="en-US" w:eastAsia="zh-CN"/>
        </w:rPr>
        <w:t xml:space="preserve"> </w:t>
      </w:r>
      <w:r>
        <w:rPr>
          <w:rFonts w:hint="eastAsia" w:ascii="宋体" w:hAnsi="宋体" w:cs="Times New Roman"/>
          <w:color w:val="000000"/>
          <w:sz w:val="24"/>
          <w:highlight w:val="none"/>
        </w:rPr>
        <w:t>日</w:t>
      </w:r>
    </w:p>
    <w:p w14:paraId="789C3BD3">
      <w:pPr>
        <w:rPr>
          <w:rFonts w:cs="Times New Roman"/>
          <w:b/>
          <w:color w:val="000000"/>
          <w:kern w:val="0"/>
          <w:sz w:val="24"/>
          <w:szCs w:val="20"/>
          <w:highlight w:val="none"/>
        </w:rPr>
      </w:pPr>
      <w:bookmarkStart w:id="49" w:name="_Toc4444"/>
      <w:r>
        <w:rPr>
          <w:rFonts w:hint="eastAsia" w:cs="Times New Roman"/>
          <w:b/>
          <w:color w:val="000000"/>
          <w:kern w:val="0"/>
          <w:sz w:val="24"/>
          <w:szCs w:val="20"/>
          <w:highlight w:val="none"/>
        </w:rPr>
        <w:br w:type="page"/>
      </w:r>
    </w:p>
    <w:p w14:paraId="119FB3D6">
      <w:pPr>
        <w:keepNext/>
        <w:keepLines/>
        <w:numPr>
          <w:ilvl w:val="0"/>
          <w:numId w:val="8"/>
        </w:numPr>
        <w:spacing w:before="260" w:after="260" w:line="413" w:lineRule="auto"/>
        <w:jc w:val="center"/>
        <w:rPr>
          <w:rFonts w:hint="eastAsia" w:cs="Times New Roman"/>
          <w:b/>
          <w:color w:val="000000"/>
          <w:kern w:val="0"/>
          <w:sz w:val="24"/>
          <w:szCs w:val="20"/>
          <w:highlight w:val="none"/>
        </w:rPr>
      </w:pPr>
      <w:r>
        <w:rPr>
          <w:rFonts w:hint="eastAsia" w:cs="Times New Roman"/>
          <w:b/>
          <w:color w:val="000000"/>
          <w:kern w:val="0"/>
          <w:sz w:val="24"/>
          <w:szCs w:val="20"/>
          <w:highlight w:val="none"/>
        </w:rPr>
        <w:t>残疾人福利性单位声明函</w:t>
      </w:r>
      <w:bookmarkEnd w:id="49"/>
    </w:p>
    <w:p w14:paraId="6AD3FE04">
      <w:pPr>
        <w:spacing w:line="360" w:lineRule="auto"/>
        <w:jc w:val="center"/>
        <w:rPr>
          <w:highlight w:val="none"/>
        </w:rPr>
      </w:pPr>
      <w:r>
        <w:rPr>
          <w:rFonts w:hint="eastAsia" w:ascii="宋体" w:hAnsi="宋体" w:cs="宋体"/>
          <w:color w:val="000000"/>
          <w:spacing w:val="6"/>
          <w:kern w:val="0"/>
          <w:sz w:val="24"/>
          <w:highlight w:val="none"/>
        </w:rPr>
        <w:t>（</w:t>
      </w:r>
      <w:r>
        <w:rPr>
          <w:rFonts w:hint="eastAsia" w:ascii="宋体" w:hAnsi="宋体" w:cs="宋体"/>
          <w:color w:val="000000"/>
          <w:spacing w:val="6"/>
          <w:kern w:val="0"/>
          <w:sz w:val="24"/>
          <w:highlight w:val="none"/>
          <w:lang w:val="en-US" w:eastAsia="zh-CN"/>
        </w:rPr>
        <w:t>如</w:t>
      </w:r>
      <w:r>
        <w:rPr>
          <w:rFonts w:hint="eastAsia" w:ascii="宋体" w:hAnsi="宋体" w:cs="宋体"/>
          <w:color w:val="000000"/>
          <w:spacing w:val="6"/>
          <w:kern w:val="0"/>
          <w:sz w:val="24"/>
          <w:highlight w:val="none"/>
        </w:rPr>
        <w:t>适用）</w:t>
      </w:r>
    </w:p>
    <w:p w14:paraId="08B88064">
      <w:pPr>
        <w:widowControl/>
        <w:adjustRightInd w:val="0"/>
        <w:snapToGrid w:val="0"/>
        <w:spacing w:line="440" w:lineRule="exact"/>
        <w:ind w:firstLine="504" w:firstLineChars="200"/>
        <w:jc w:val="left"/>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本单位郑重声明，根据《财政部民政部中国残疾人联合会关于促进残疾人就业政府采购政策的通知》（财库〔</w:t>
      </w:r>
      <w:r>
        <w:rPr>
          <w:rFonts w:ascii="宋体" w:hAnsi="宋体" w:cs="宋体"/>
          <w:color w:val="000000"/>
          <w:spacing w:val="6"/>
          <w:kern w:val="0"/>
          <w:sz w:val="24"/>
          <w:highlight w:val="none"/>
        </w:rPr>
        <w:t>2017</w:t>
      </w:r>
      <w:r>
        <w:rPr>
          <w:rFonts w:hint="eastAsia" w:ascii="宋体" w:hAnsi="宋体" w:cs="宋体"/>
          <w:color w:val="000000"/>
          <w:spacing w:val="6"/>
          <w:kern w:val="0"/>
          <w:sz w:val="24"/>
          <w:highlight w:val="none"/>
        </w:rPr>
        <w:t>〕</w:t>
      </w:r>
      <w:r>
        <w:rPr>
          <w:rFonts w:ascii="宋体" w:hAnsi="宋体" w:cs="宋体"/>
          <w:color w:val="000000"/>
          <w:spacing w:val="6"/>
          <w:kern w:val="0"/>
          <w:sz w:val="24"/>
          <w:highlight w:val="none"/>
        </w:rPr>
        <w:t>141</w:t>
      </w:r>
      <w:r>
        <w:rPr>
          <w:rFonts w:hint="eastAsia" w:ascii="宋体" w:hAnsi="宋体" w:cs="宋体"/>
          <w:color w:val="000000"/>
          <w:spacing w:val="6"/>
          <w:kern w:val="0"/>
          <w:sz w:val="24"/>
          <w:highlight w:val="none"/>
        </w:rPr>
        <w:t>号）的规定，本单位为符合条件的残疾人福利性单位，且本单位参加</w:t>
      </w:r>
      <w:r>
        <w:rPr>
          <w:rFonts w:ascii="宋体" w:hAnsi="宋体" w:cs="宋体"/>
          <w:color w:val="000000"/>
          <w:spacing w:val="6"/>
          <w:kern w:val="0"/>
          <w:sz w:val="24"/>
          <w:highlight w:val="none"/>
        </w:rPr>
        <w:t>______</w:t>
      </w:r>
      <w:r>
        <w:rPr>
          <w:rFonts w:hint="eastAsia" w:ascii="宋体" w:hAnsi="宋体" w:cs="宋体"/>
          <w:color w:val="000000"/>
          <w:spacing w:val="6"/>
          <w:kern w:val="0"/>
          <w:sz w:val="24"/>
          <w:highlight w:val="none"/>
        </w:rPr>
        <w:t>单位的</w:t>
      </w:r>
      <w:r>
        <w:rPr>
          <w:rFonts w:ascii="宋体" w:hAnsi="宋体" w:cs="宋体"/>
          <w:color w:val="000000"/>
          <w:spacing w:val="6"/>
          <w:kern w:val="0"/>
          <w:sz w:val="24"/>
          <w:highlight w:val="none"/>
        </w:rPr>
        <w:t>______</w:t>
      </w:r>
      <w:r>
        <w:rPr>
          <w:rFonts w:hint="eastAsia" w:ascii="宋体" w:hAnsi="宋体" w:cs="宋体"/>
          <w:color w:val="000000"/>
          <w:spacing w:val="6"/>
          <w:kern w:val="0"/>
          <w:sz w:val="24"/>
          <w:highlight w:val="none"/>
        </w:rPr>
        <w:t>项目采购活动提供本单位制造的货物（由本单位承担工程</w:t>
      </w:r>
      <w:r>
        <w:rPr>
          <w:rFonts w:ascii="宋体" w:hAnsi="宋体" w:cs="宋体"/>
          <w:color w:val="000000"/>
          <w:spacing w:val="6"/>
          <w:kern w:val="0"/>
          <w:sz w:val="24"/>
          <w:highlight w:val="none"/>
        </w:rPr>
        <w:t>/</w:t>
      </w:r>
      <w:r>
        <w:rPr>
          <w:rFonts w:hint="eastAsia" w:ascii="宋体" w:hAnsi="宋体" w:cs="宋体"/>
          <w:color w:val="000000"/>
          <w:spacing w:val="6"/>
          <w:kern w:val="0"/>
          <w:sz w:val="24"/>
          <w:highlight w:val="none"/>
        </w:rPr>
        <w:t>提供服务），或者提供其他残疾人福利性单位制造的货物（不包括使用非残疾人福利性单位注册商标的货物）。</w:t>
      </w:r>
    </w:p>
    <w:p w14:paraId="372D0054">
      <w:pPr>
        <w:widowControl/>
        <w:adjustRightInd w:val="0"/>
        <w:snapToGrid w:val="0"/>
        <w:spacing w:line="440" w:lineRule="exact"/>
        <w:ind w:firstLine="504" w:firstLineChars="200"/>
        <w:jc w:val="left"/>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本单位对上述声明的真实性负责。如有虚假，将依法承担相应责任。</w:t>
      </w:r>
    </w:p>
    <w:p w14:paraId="456CA471">
      <w:pPr>
        <w:widowControl/>
        <w:adjustRightInd w:val="0"/>
        <w:snapToGrid w:val="0"/>
        <w:spacing w:line="440" w:lineRule="exact"/>
        <w:jc w:val="left"/>
        <w:rPr>
          <w:rFonts w:ascii="宋体" w:hAnsi="宋体" w:cs="宋体"/>
          <w:color w:val="000000"/>
          <w:spacing w:val="6"/>
          <w:kern w:val="0"/>
          <w:sz w:val="24"/>
          <w:highlight w:val="none"/>
        </w:rPr>
      </w:pPr>
    </w:p>
    <w:p w14:paraId="7EFFD71D">
      <w:pPr>
        <w:widowControl/>
        <w:adjustRightInd w:val="0"/>
        <w:snapToGrid w:val="0"/>
        <w:spacing w:line="440" w:lineRule="exact"/>
        <w:ind w:firstLine="5544" w:firstLineChars="2200"/>
        <w:jc w:val="left"/>
        <w:rPr>
          <w:rFonts w:hint="eastAsia" w:ascii="宋体" w:hAnsi="宋体" w:cs="宋体"/>
          <w:color w:val="000000"/>
          <w:spacing w:val="6"/>
          <w:kern w:val="0"/>
          <w:sz w:val="24"/>
          <w:highlight w:val="none"/>
        </w:rPr>
      </w:pPr>
    </w:p>
    <w:p w14:paraId="7BC7F9D1">
      <w:pPr>
        <w:widowControl/>
        <w:adjustRightInd w:val="0"/>
        <w:snapToGrid w:val="0"/>
        <w:spacing w:line="440" w:lineRule="exact"/>
        <w:ind w:firstLine="5544" w:firstLineChars="2200"/>
        <w:jc w:val="left"/>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单位名称（盖章）：</w:t>
      </w:r>
    </w:p>
    <w:p w14:paraId="604F4BE5">
      <w:pPr>
        <w:tabs>
          <w:tab w:val="left" w:pos="2880"/>
        </w:tabs>
        <w:spacing w:line="460" w:lineRule="atLeast"/>
        <w:ind w:firstLine="5544" w:firstLineChars="2200"/>
        <w:rPr>
          <w:rFonts w:ascii="宋体" w:hAnsi="宋体" w:cs="宋体"/>
          <w:color w:val="000000"/>
          <w:spacing w:val="6"/>
          <w:kern w:val="0"/>
          <w:sz w:val="24"/>
          <w:highlight w:val="none"/>
        </w:rPr>
      </w:pPr>
      <w:r>
        <w:rPr>
          <w:rFonts w:hint="eastAsia" w:ascii="宋体" w:hAnsi="宋体" w:cs="宋体"/>
          <w:color w:val="000000"/>
          <w:spacing w:val="6"/>
          <w:kern w:val="0"/>
          <w:sz w:val="24"/>
          <w:highlight w:val="none"/>
        </w:rPr>
        <w:t>日期：</w:t>
      </w:r>
      <w:r>
        <w:rPr>
          <w:rFonts w:hint="eastAsia" w:ascii="宋体" w:hAnsi="宋体" w:cs="宋体"/>
          <w:color w:val="000000"/>
          <w:spacing w:val="6"/>
          <w:kern w:val="0"/>
          <w:sz w:val="24"/>
          <w:highlight w:val="none"/>
          <w:lang w:val="en-US" w:eastAsia="zh-CN"/>
        </w:rPr>
        <w:t xml:space="preserve"> </w:t>
      </w:r>
      <w:r>
        <w:rPr>
          <w:rFonts w:hint="eastAsia" w:ascii="宋体" w:hAnsi="宋体" w:cs="Times New Roman"/>
          <w:color w:val="000000"/>
          <w:sz w:val="24"/>
          <w:highlight w:val="none"/>
        </w:rPr>
        <w:t>年</w:t>
      </w:r>
      <w:r>
        <w:rPr>
          <w:rFonts w:hint="eastAsia" w:ascii="宋体" w:hAnsi="宋体" w:cs="Times New Roman"/>
          <w:color w:val="000000"/>
          <w:sz w:val="24"/>
          <w:highlight w:val="none"/>
          <w:lang w:val="en-US" w:eastAsia="zh-CN"/>
        </w:rPr>
        <w:t xml:space="preserve"> </w:t>
      </w:r>
      <w:r>
        <w:rPr>
          <w:rFonts w:hint="eastAsia" w:ascii="宋体" w:hAnsi="宋体" w:cs="Times New Roman"/>
          <w:color w:val="000000"/>
          <w:sz w:val="24"/>
          <w:highlight w:val="none"/>
        </w:rPr>
        <w:t>月</w:t>
      </w:r>
      <w:r>
        <w:rPr>
          <w:rFonts w:hint="eastAsia" w:ascii="宋体" w:hAnsi="宋体" w:cs="Times New Roman"/>
          <w:color w:val="000000"/>
          <w:sz w:val="24"/>
          <w:highlight w:val="none"/>
          <w:lang w:val="en-US" w:eastAsia="zh-CN"/>
        </w:rPr>
        <w:t xml:space="preserve"> </w:t>
      </w:r>
      <w:r>
        <w:rPr>
          <w:rFonts w:hint="eastAsia" w:ascii="宋体" w:hAnsi="宋体" w:cs="Times New Roman"/>
          <w:color w:val="000000"/>
          <w:sz w:val="24"/>
          <w:highlight w:val="none"/>
        </w:rPr>
        <w:t>日</w:t>
      </w:r>
    </w:p>
    <w:p w14:paraId="5A1DEE68">
      <w:pPr>
        <w:spacing w:line="360" w:lineRule="auto"/>
        <w:jc w:val="center"/>
        <w:outlineLvl w:val="0"/>
        <w:rPr>
          <w:rFonts w:ascii="宋体" w:hAnsi="宋体" w:cs="Times New Roman"/>
          <w:color w:val="000000"/>
          <w:kern w:val="0"/>
          <w:sz w:val="24"/>
          <w:szCs w:val="24"/>
          <w:highlight w:val="none"/>
        </w:rPr>
      </w:pPr>
      <w:r>
        <w:rPr>
          <w:rFonts w:hint="eastAsia" w:ascii="宋体" w:hAnsi="Courier New" w:cs="Times New Roman"/>
          <w:b/>
          <w:bCs/>
          <w:color w:val="000000"/>
          <w:kern w:val="0"/>
          <w:sz w:val="28"/>
          <w:szCs w:val="32"/>
          <w:highlight w:val="none"/>
        </w:rPr>
        <w:br w:type="page"/>
      </w:r>
      <w:r>
        <w:rPr>
          <w:rFonts w:hint="eastAsia" w:ascii="宋体" w:hAnsi="宋体" w:cs="Times New Roman"/>
          <w:color w:val="000000"/>
          <w:kern w:val="0"/>
          <w:sz w:val="20"/>
          <w:szCs w:val="21"/>
          <w:highlight w:val="none"/>
        </w:rPr>
        <w:t>　　</w:t>
      </w:r>
      <w:bookmarkStart w:id="50" w:name="_Toc30576"/>
      <w:bookmarkStart w:id="51" w:name="_Toc8640"/>
      <w:r>
        <w:rPr>
          <w:rFonts w:hint="eastAsia" w:ascii="宋体" w:hAnsi="宋体" w:cs="Times New Roman"/>
          <w:color w:val="000000"/>
          <w:kern w:val="0"/>
          <w:sz w:val="24"/>
          <w:szCs w:val="24"/>
          <w:highlight w:val="none"/>
        </w:rPr>
        <w:t>第二部分　技术部分</w:t>
      </w:r>
      <w:bookmarkEnd w:id="50"/>
      <w:bookmarkEnd w:id="51"/>
    </w:p>
    <w:p w14:paraId="3B448055">
      <w:pPr>
        <w:spacing w:line="360" w:lineRule="auto"/>
        <w:ind w:firstLine="480" w:firstLineChars="200"/>
        <w:rPr>
          <w:rFonts w:ascii="宋体" w:hAnsi="宋体" w:cs="Times New Roman"/>
          <w:color w:val="000000"/>
          <w:kern w:val="0"/>
          <w:sz w:val="24"/>
          <w:szCs w:val="24"/>
          <w:highlight w:val="none"/>
        </w:rPr>
      </w:pPr>
    </w:p>
    <w:p w14:paraId="6A4B633E">
      <w:pPr>
        <w:pStyle w:val="24"/>
        <w:spacing w:line="360" w:lineRule="auto"/>
        <w:jc w:val="left"/>
        <w:outlineLvl w:val="0"/>
        <w:rPr>
          <w:rFonts w:hAnsi="宋体"/>
          <w:color w:val="000000"/>
          <w:sz w:val="24"/>
          <w:szCs w:val="24"/>
          <w:highlight w:val="none"/>
        </w:rPr>
      </w:pPr>
      <w:bookmarkStart w:id="52" w:name="_Toc25993"/>
      <w:r>
        <w:rPr>
          <w:rFonts w:hint="eastAsia" w:hAnsi="宋体"/>
          <w:b/>
          <w:color w:val="000000"/>
          <w:sz w:val="24"/>
          <w:szCs w:val="24"/>
          <w:highlight w:val="none"/>
        </w:rPr>
        <w:t>一、</w:t>
      </w:r>
      <w:bookmarkStart w:id="53" w:name="_Toc9193"/>
      <w:r>
        <w:rPr>
          <w:rFonts w:hint="eastAsia" w:hAnsi="宋体"/>
          <w:b/>
          <w:color w:val="000000"/>
          <w:sz w:val="24"/>
          <w:szCs w:val="24"/>
          <w:highlight w:val="none"/>
        </w:rPr>
        <w:t>技术</w:t>
      </w:r>
      <w:r>
        <w:rPr>
          <w:rFonts w:hint="eastAsia" w:hAnsi="宋体"/>
          <w:b/>
          <w:color w:val="000000"/>
          <w:sz w:val="24"/>
          <w:szCs w:val="24"/>
          <w:highlight w:val="none"/>
          <w:lang w:val="en-US" w:eastAsia="zh-CN"/>
        </w:rPr>
        <w:t>要求</w:t>
      </w:r>
      <w:r>
        <w:rPr>
          <w:rFonts w:hint="eastAsia" w:hAnsi="宋体"/>
          <w:b/>
          <w:color w:val="000000"/>
          <w:sz w:val="24"/>
          <w:szCs w:val="24"/>
          <w:highlight w:val="none"/>
        </w:rPr>
        <w:t>偏离表</w:t>
      </w:r>
      <w:bookmarkEnd w:id="52"/>
      <w:bookmarkEnd w:id="53"/>
    </w:p>
    <w:p w14:paraId="5E87D08E">
      <w:pPr>
        <w:spacing w:line="360" w:lineRule="auto"/>
        <w:ind w:firstLine="480" w:firstLineChars="200"/>
        <w:jc w:val="center"/>
        <w:rPr>
          <w:rFonts w:ascii="宋体" w:hAnsi="宋体" w:cs="MingLiU_HKSCS"/>
          <w:color w:val="000000"/>
          <w:kern w:val="0"/>
          <w:sz w:val="24"/>
          <w:szCs w:val="24"/>
          <w:highlight w:val="none"/>
        </w:rPr>
      </w:pPr>
      <w:r>
        <w:rPr>
          <w:rFonts w:hint="eastAsia" w:ascii="宋体" w:hAnsi="宋体" w:cs="Times New Roman"/>
          <w:color w:val="000000"/>
          <w:kern w:val="0"/>
          <w:sz w:val="24"/>
          <w:szCs w:val="24"/>
          <w:highlight w:val="none"/>
        </w:rPr>
        <w:t>技术</w:t>
      </w:r>
      <w:r>
        <w:rPr>
          <w:rFonts w:hint="eastAsia" w:ascii="宋体" w:hAnsi="宋体" w:cs="Times New Roman"/>
          <w:color w:val="000000"/>
          <w:kern w:val="0"/>
          <w:sz w:val="24"/>
          <w:szCs w:val="24"/>
          <w:highlight w:val="none"/>
          <w:lang w:val="en-US" w:eastAsia="zh-CN"/>
        </w:rPr>
        <w:t>要求</w:t>
      </w:r>
      <w:r>
        <w:rPr>
          <w:rFonts w:hint="eastAsia" w:ascii="宋体" w:hAnsi="宋体" w:cs="Times New Roman"/>
          <w:color w:val="000000"/>
          <w:kern w:val="0"/>
          <w:sz w:val="24"/>
          <w:szCs w:val="24"/>
          <w:highlight w:val="none"/>
        </w:rPr>
        <w:t>偏离表</w:t>
      </w:r>
    </w:p>
    <w:p w14:paraId="4E9163E1">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　项目名称：</w:t>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ascii="宋体" w:hAnsi="宋体" w:cs="Times New Roman"/>
          <w:color w:val="000000"/>
          <w:kern w:val="0"/>
          <w:sz w:val="24"/>
          <w:szCs w:val="24"/>
          <w:highlight w:val="none"/>
        </w:rPr>
        <w:tab/>
      </w:r>
      <w:r>
        <w:rPr>
          <w:rFonts w:hint="eastAsia" w:ascii="宋体" w:hAnsi="宋体" w:cs="Times New Roman"/>
          <w:color w:val="000000"/>
          <w:kern w:val="0"/>
          <w:sz w:val="24"/>
          <w:szCs w:val="24"/>
          <w:highlight w:val="none"/>
        </w:rPr>
        <w:t>项目编号：</w:t>
      </w:r>
    </w:p>
    <w:p w14:paraId="42568E6C">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　</w:t>
      </w:r>
    </w:p>
    <w:tbl>
      <w:tblPr>
        <w:tblStyle w:val="45"/>
        <w:tblW w:w="8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454"/>
        <w:gridCol w:w="2079"/>
        <w:gridCol w:w="1634"/>
        <w:gridCol w:w="1655"/>
      </w:tblGrid>
      <w:tr w14:paraId="5ECA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87" w:type="dxa"/>
            <w:vAlign w:val="center"/>
          </w:tcPr>
          <w:p w14:paraId="776AB62D">
            <w:pPr>
              <w:pStyle w:val="24"/>
              <w:spacing w:line="360" w:lineRule="auto"/>
              <w:jc w:val="center"/>
              <w:rPr>
                <w:rFonts w:hAnsi="宋体"/>
                <w:color w:val="000000"/>
                <w:sz w:val="24"/>
                <w:szCs w:val="24"/>
                <w:highlight w:val="none"/>
              </w:rPr>
            </w:pPr>
            <w:r>
              <w:rPr>
                <w:rFonts w:hint="eastAsia" w:hAnsi="宋体"/>
                <w:color w:val="000000"/>
                <w:sz w:val="24"/>
                <w:szCs w:val="24"/>
                <w:highlight w:val="none"/>
              </w:rPr>
              <w:t>序号</w:t>
            </w:r>
          </w:p>
        </w:tc>
        <w:tc>
          <w:tcPr>
            <w:tcW w:w="2454" w:type="dxa"/>
            <w:vAlign w:val="center"/>
          </w:tcPr>
          <w:p w14:paraId="1916D494">
            <w:pPr>
              <w:pStyle w:val="24"/>
              <w:spacing w:line="360" w:lineRule="auto"/>
              <w:jc w:val="center"/>
              <w:rPr>
                <w:rFonts w:hAnsi="宋体"/>
                <w:color w:val="000000"/>
                <w:sz w:val="24"/>
                <w:szCs w:val="24"/>
                <w:highlight w:val="none"/>
              </w:rPr>
            </w:pPr>
            <w:r>
              <w:rPr>
                <w:rFonts w:hint="eastAsia" w:hAnsi="宋体"/>
                <w:color w:val="000000"/>
                <w:sz w:val="24"/>
                <w:szCs w:val="24"/>
                <w:highlight w:val="none"/>
              </w:rPr>
              <w:t>招标文件内容</w:t>
            </w:r>
          </w:p>
        </w:tc>
        <w:tc>
          <w:tcPr>
            <w:tcW w:w="2079" w:type="dxa"/>
            <w:vAlign w:val="center"/>
          </w:tcPr>
          <w:p w14:paraId="7F9AA6C5">
            <w:pPr>
              <w:pStyle w:val="24"/>
              <w:spacing w:line="360" w:lineRule="auto"/>
              <w:jc w:val="center"/>
              <w:rPr>
                <w:rFonts w:hAnsi="宋体"/>
                <w:color w:val="000000"/>
                <w:sz w:val="24"/>
                <w:szCs w:val="24"/>
                <w:highlight w:val="none"/>
              </w:rPr>
            </w:pPr>
            <w:r>
              <w:rPr>
                <w:rFonts w:hint="eastAsia" w:hAnsi="宋体"/>
                <w:color w:val="000000"/>
                <w:sz w:val="24"/>
                <w:szCs w:val="24"/>
                <w:highlight w:val="none"/>
              </w:rPr>
              <w:t>投标文件内容</w:t>
            </w:r>
          </w:p>
        </w:tc>
        <w:tc>
          <w:tcPr>
            <w:tcW w:w="1634" w:type="dxa"/>
            <w:vAlign w:val="center"/>
          </w:tcPr>
          <w:p w14:paraId="12ED1253">
            <w:pPr>
              <w:pStyle w:val="24"/>
              <w:spacing w:line="360" w:lineRule="auto"/>
              <w:jc w:val="center"/>
              <w:rPr>
                <w:rFonts w:hAnsi="宋体"/>
                <w:color w:val="000000"/>
                <w:sz w:val="24"/>
                <w:szCs w:val="24"/>
                <w:highlight w:val="none"/>
              </w:rPr>
            </w:pPr>
            <w:r>
              <w:rPr>
                <w:rFonts w:hint="eastAsia" w:hAnsi="宋体"/>
                <w:color w:val="000000"/>
                <w:sz w:val="24"/>
                <w:szCs w:val="24"/>
                <w:highlight w:val="none"/>
              </w:rPr>
              <w:t>偏离内容</w:t>
            </w:r>
          </w:p>
        </w:tc>
        <w:tc>
          <w:tcPr>
            <w:tcW w:w="1655" w:type="dxa"/>
            <w:vAlign w:val="center"/>
          </w:tcPr>
          <w:p w14:paraId="71D623D7">
            <w:pPr>
              <w:pStyle w:val="24"/>
              <w:spacing w:line="360" w:lineRule="auto"/>
              <w:jc w:val="center"/>
              <w:rPr>
                <w:rFonts w:hAnsi="宋体"/>
                <w:color w:val="000000"/>
                <w:sz w:val="24"/>
                <w:szCs w:val="24"/>
                <w:highlight w:val="none"/>
              </w:rPr>
            </w:pPr>
            <w:r>
              <w:rPr>
                <w:rFonts w:hint="eastAsia" w:hAnsi="宋体"/>
                <w:color w:val="000000"/>
                <w:sz w:val="24"/>
                <w:szCs w:val="24"/>
                <w:highlight w:val="none"/>
              </w:rPr>
              <w:t>说明</w:t>
            </w:r>
          </w:p>
        </w:tc>
      </w:tr>
      <w:tr w14:paraId="7089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87" w:type="dxa"/>
            <w:vAlign w:val="center"/>
          </w:tcPr>
          <w:p w14:paraId="07691530">
            <w:pPr>
              <w:pStyle w:val="24"/>
              <w:spacing w:line="360" w:lineRule="auto"/>
              <w:jc w:val="center"/>
              <w:rPr>
                <w:rFonts w:hAnsi="宋体"/>
                <w:color w:val="000000"/>
                <w:sz w:val="24"/>
                <w:szCs w:val="24"/>
                <w:highlight w:val="none"/>
              </w:rPr>
            </w:pPr>
          </w:p>
        </w:tc>
        <w:tc>
          <w:tcPr>
            <w:tcW w:w="2454" w:type="dxa"/>
            <w:vAlign w:val="center"/>
          </w:tcPr>
          <w:p w14:paraId="150A6010">
            <w:pPr>
              <w:pStyle w:val="24"/>
              <w:spacing w:line="360" w:lineRule="auto"/>
              <w:jc w:val="center"/>
              <w:rPr>
                <w:rFonts w:hAnsi="宋体"/>
                <w:color w:val="000000"/>
                <w:sz w:val="24"/>
                <w:szCs w:val="24"/>
                <w:highlight w:val="none"/>
              </w:rPr>
            </w:pPr>
          </w:p>
        </w:tc>
        <w:tc>
          <w:tcPr>
            <w:tcW w:w="2079" w:type="dxa"/>
            <w:vAlign w:val="center"/>
          </w:tcPr>
          <w:p w14:paraId="1B89DF71">
            <w:pPr>
              <w:pStyle w:val="24"/>
              <w:spacing w:line="360" w:lineRule="auto"/>
              <w:jc w:val="center"/>
              <w:rPr>
                <w:rFonts w:hAnsi="宋体"/>
                <w:color w:val="000000"/>
                <w:sz w:val="24"/>
                <w:szCs w:val="24"/>
                <w:highlight w:val="none"/>
              </w:rPr>
            </w:pPr>
          </w:p>
        </w:tc>
        <w:tc>
          <w:tcPr>
            <w:tcW w:w="1634" w:type="dxa"/>
            <w:vAlign w:val="center"/>
          </w:tcPr>
          <w:p w14:paraId="17CD9684">
            <w:pPr>
              <w:pStyle w:val="24"/>
              <w:spacing w:line="360" w:lineRule="auto"/>
              <w:jc w:val="center"/>
              <w:rPr>
                <w:rFonts w:hAnsi="宋体"/>
                <w:color w:val="000000"/>
                <w:sz w:val="24"/>
                <w:szCs w:val="24"/>
                <w:highlight w:val="none"/>
              </w:rPr>
            </w:pPr>
          </w:p>
        </w:tc>
        <w:tc>
          <w:tcPr>
            <w:tcW w:w="1655" w:type="dxa"/>
            <w:vAlign w:val="center"/>
          </w:tcPr>
          <w:p w14:paraId="47526078">
            <w:pPr>
              <w:pStyle w:val="24"/>
              <w:spacing w:line="360" w:lineRule="auto"/>
              <w:jc w:val="center"/>
              <w:rPr>
                <w:rFonts w:hAnsi="宋体"/>
                <w:color w:val="000000"/>
                <w:sz w:val="24"/>
                <w:szCs w:val="24"/>
                <w:highlight w:val="none"/>
              </w:rPr>
            </w:pPr>
          </w:p>
        </w:tc>
      </w:tr>
      <w:tr w14:paraId="3A05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87" w:type="dxa"/>
            <w:vAlign w:val="center"/>
          </w:tcPr>
          <w:p w14:paraId="203DC065">
            <w:pPr>
              <w:pStyle w:val="24"/>
              <w:spacing w:line="360" w:lineRule="auto"/>
              <w:jc w:val="center"/>
              <w:rPr>
                <w:rFonts w:hAnsi="宋体"/>
                <w:color w:val="000000"/>
                <w:sz w:val="24"/>
                <w:szCs w:val="24"/>
                <w:highlight w:val="none"/>
              </w:rPr>
            </w:pPr>
          </w:p>
        </w:tc>
        <w:tc>
          <w:tcPr>
            <w:tcW w:w="2454" w:type="dxa"/>
            <w:vAlign w:val="center"/>
          </w:tcPr>
          <w:p w14:paraId="748099A8">
            <w:pPr>
              <w:pStyle w:val="24"/>
              <w:spacing w:line="360" w:lineRule="auto"/>
              <w:jc w:val="center"/>
              <w:rPr>
                <w:rFonts w:hAnsi="宋体"/>
                <w:color w:val="000000"/>
                <w:sz w:val="24"/>
                <w:szCs w:val="24"/>
                <w:highlight w:val="none"/>
              </w:rPr>
            </w:pPr>
          </w:p>
        </w:tc>
        <w:tc>
          <w:tcPr>
            <w:tcW w:w="2079" w:type="dxa"/>
            <w:vAlign w:val="center"/>
          </w:tcPr>
          <w:p w14:paraId="01038964">
            <w:pPr>
              <w:pStyle w:val="24"/>
              <w:spacing w:line="360" w:lineRule="auto"/>
              <w:jc w:val="center"/>
              <w:rPr>
                <w:rFonts w:hAnsi="宋体"/>
                <w:color w:val="000000"/>
                <w:sz w:val="24"/>
                <w:szCs w:val="24"/>
                <w:highlight w:val="none"/>
              </w:rPr>
            </w:pPr>
          </w:p>
        </w:tc>
        <w:tc>
          <w:tcPr>
            <w:tcW w:w="1634" w:type="dxa"/>
            <w:vAlign w:val="center"/>
          </w:tcPr>
          <w:p w14:paraId="1BF40E08">
            <w:pPr>
              <w:pStyle w:val="24"/>
              <w:spacing w:line="360" w:lineRule="auto"/>
              <w:jc w:val="center"/>
              <w:rPr>
                <w:rFonts w:hAnsi="宋体"/>
                <w:color w:val="000000"/>
                <w:sz w:val="24"/>
                <w:szCs w:val="24"/>
                <w:highlight w:val="none"/>
              </w:rPr>
            </w:pPr>
          </w:p>
        </w:tc>
        <w:tc>
          <w:tcPr>
            <w:tcW w:w="1655" w:type="dxa"/>
            <w:vAlign w:val="center"/>
          </w:tcPr>
          <w:p w14:paraId="0CC72222">
            <w:pPr>
              <w:pStyle w:val="24"/>
              <w:spacing w:line="360" w:lineRule="auto"/>
              <w:jc w:val="center"/>
              <w:rPr>
                <w:rFonts w:hAnsi="宋体"/>
                <w:color w:val="000000"/>
                <w:sz w:val="24"/>
                <w:szCs w:val="24"/>
                <w:highlight w:val="none"/>
              </w:rPr>
            </w:pPr>
          </w:p>
        </w:tc>
      </w:tr>
      <w:tr w14:paraId="0D1E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53D35487">
            <w:pPr>
              <w:pStyle w:val="24"/>
              <w:spacing w:line="360" w:lineRule="auto"/>
              <w:jc w:val="center"/>
              <w:rPr>
                <w:rFonts w:hAnsi="宋体"/>
                <w:color w:val="000000"/>
                <w:sz w:val="24"/>
                <w:szCs w:val="24"/>
                <w:highlight w:val="none"/>
              </w:rPr>
            </w:pPr>
          </w:p>
        </w:tc>
        <w:tc>
          <w:tcPr>
            <w:tcW w:w="2454" w:type="dxa"/>
            <w:vAlign w:val="center"/>
          </w:tcPr>
          <w:p w14:paraId="63F8C684">
            <w:pPr>
              <w:pStyle w:val="24"/>
              <w:spacing w:line="360" w:lineRule="auto"/>
              <w:jc w:val="center"/>
              <w:rPr>
                <w:rFonts w:hAnsi="宋体"/>
                <w:color w:val="000000"/>
                <w:sz w:val="24"/>
                <w:szCs w:val="24"/>
                <w:highlight w:val="none"/>
              </w:rPr>
            </w:pPr>
          </w:p>
        </w:tc>
        <w:tc>
          <w:tcPr>
            <w:tcW w:w="2079" w:type="dxa"/>
            <w:vAlign w:val="center"/>
          </w:tcPr>
          <w:p w14:paraId="6173E1C5">
            <w:pPr>
              <w:pStyle w:val="24"/>
              <w:spacing w:line="360" w:lineRule="auto"/>
              <w:jc w:val="center"/>
              <w:rPr>
                <w:rFonts w:hAnsi="宋体"/>
                <w:color w:val="000000"/>
                <w:sz w:val="24"/>
                <w:szCs w:val="24"/>
                <w:highlight w:val="none"/>
              </w:rPr>
            </w:pPr>
          </w:p>
        </w:tc>
        <w:tc>
          <w:tcPr>
            <w:tcW w:w="1634" w:type="dxa"/>
            <w:vAlign w:val="center"/>
          </w:tcPr>
          <w:p w14:paraId="33EEED0E">
            <w:pPr>
              <w:pStyle w:val="24"/>
              <w:spacing w:line="360" w:lineRule="auto"/>
              <w:jc w:val="center"/>
              <w:rPr>
                <w:rFonts w:hAnsi="宋体"/>
                <w:color w:val="000000"/>
                <w:sz w:val="24"/>
                <w:szCs w:val="24"/>
                <w:highlight w:val="none"/>
              </w:rPr>
            </w:pPr>
          </w:p>
        </w:tc>
        <w:tc>
          <w:tcPr>
            <w:tcW w:w="1655" w:type="dxa"/>
            <w:vAlign w:val="center"/>
          </w:tcPr>
          <w:p w14:paraId="24AA1AC9">
            <w:pPr>
              <w:pStyle w:val="24"/>
              <w:spacing w:line="360" w:lineRule="auto"/>
              <w:jc w:val="center"/>
              <w:rPr>
                <w:rFonts w:hAnsi="宋体"/>
                <w:color w:val="000000"/>
                <w:sz w:val="24"/>
                <w:szCs w:val="24"/>
                <w:highlight w:val="none"/>
              </w:rPr>
            </w:pPr>
          </w:p>
        </w:tc>
      </w:tr>
      <w:tr w14:paraId="0A21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87" w:type="dxa"/>
            <w:vAlign w:val="center"/>
          </w:tcPr>
          <w:p w14:paraId="7D3A477A">
            <w:pPr>
              <w:pStyle w:val="24"/>
              <w:spacing w:line="360" w:lineRule="auto"/>
              <w:jc w:val="center"/>
              <w:rPr>
                <w:rFonts w:hAnsi="宋体"/>
                <w:color w:val="000000"/>
                <w:sz w:val="24"/>
                <w:szCs w:val="24"/>
                <w:highlight w:val="none"/>
              </w:rPr>
            </w:pPr>
          </w:p>
        </w:tc>
        <w:tc>
          <w:tcPr>
            <w:tcW w:w="2454" w:type="dxa"/>
            <w:vAlign w:val="center"/>
          </w:tcPr>
          <w:p w14:paraId="575A9499">
            <w:pPr>
              <w:pStyle w:val="24"/>
              <w:spacing w:line="360" w:lineRule="auto"/>
              <w:jc w:val="center"/>
              <w:rPr>
                <w:rFonts w:hAnsi="宋体"/>
                <w:color w:val="000000"/>
                <w:sz w:val="24"/>
                <w:szCs w:val="24"/>
                <w:highlight w:val="none"/>
              </w:rPr>
            </w:pPr>
          </w:p>
        </w:tc>
        <w:tc>
          <w:tcPr>
            <w:tcW w:w="2079" w:type="dxa"/>
            <w:vAlign w:val="center"/>
          </w:tcPr>
          <w:p w14:paraId="6A964724">
            <w:pPr>
              <w:pStyle w:val="24"/>
              <w:spacing w:line="360" w:lineRule="auto"/>
              <w:jc w:val="center"/>
              <w:rPr>
                <w:rFonts w:hAnsi="宋体"/>
                <w:color w:val="000000"/>
                <w:sz w:val="24"/>
                <w:szCs w:val="24"/>
                <w:highlight w:val="none"/>
              </w:rPr>
            </w:pPr>
          </w:p>
        </w:tc>
        <w:tc>
          <w:tcPr>
            <w:tcW w:w="1634" w:type="dxa"/>
            <w:vAlign w:val="center"/>
          </w:tcPr>
          <w:p w14:paraId="282858EA">
            <w:pPr>
              <w:pStyle w:val="24"/>
              <w:spacing w:line="360" w:lineRule="auto"/>
              <w:jc w:val="center"/>
              <w:rPr>
                <w:rFonts w:hAnsi="宋体"/>
                <w:color w:val="000000"/>
                <w:sz w:val="24"/>
                <w:szCs w:val="24"/>
                <w:highlight w:val="none"/>
              </w:rPr>
            </w:pPr>
          </w:p>
        </w:tc>
        <w:tc>
          <w:tcPr>
            <w:tcW w:w="1655" w:type="dxa"/>
            <w:vAlign w:val="center"/>
          </w:tcPr>
          <w:p w14:paraId="039A8E85">
            <w:pPr>
              <w:pStyle w:val="24"/>
              <w:spacing w:line="360" w:lineRule="auto"/>
              <w:jc w:val="center"/>
              <w:rPr>
                <w:rFonts w:hAnsi="宋体"/>
                <w:color w:val="000000"/>
                <w:sz w:val="24"/>
                <w:szCs w:val="24"/>
                <w:highlight w:val="none"/>
              </w:rPr>
            </w:pPr>
          </w:p>
        </w:tc>
      </w:tr>
      <w:tr w14:paraId="0D6C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87" w:type="dxa"/>
            <w:vAlign w:val="center"/>
          </w:tcPr>
          <w:p w14:paraId="77894A2E">
            <w:pPr>
              <w:pStyle w:val="24"/>
              <w:spacing w:line="360" w:lineRule="auto"/>
              <w:jc w:val="center"/>
              <w:rPr>
                <w:rFonts w:hAnsi="宋体"/>
                <w:color w:val="000000"/>
                <w:sz w:val="24"/>
                <w:szCs w:val="24"/>
                <w:highlight w:val="none"/>
              </w:rPr>
            </w:pPr>
          </w:p>
        </w:tc>
        <w:tc>
          <w:tcPr>
            <w:tcW w:w="2454" w:type="dxa"/>
            <w:vAlign w:val="center"/>
          </w:tcPr>
          <w:p w14:paraId="6D941871">
            <w:pPr>
              <w:pStyle w:val="24"/>
              <w:spacing w:line="360" w:lineRule="auto"/>
              <w:jc w:val="center"/>
              <w:rPr>
                <w:rFonts w:hAnsi="宋体"/>
                <w:color w:val="000000"/>
                <w:sz w:val="24"/>
                <w:szCs w:val="24"/>
                <w:highlight w:val="none"/>
              </w:rPr>
            </w:pPr>
          </w:p>
        </w:tc>
        <w:tc>
          <w:tcPr>
            <w:tcW w:w="2079" w:type="dxa"/>
            <w:vAlign w:val="center"/>
          </w:tcPr>
          <w:p w14:paraId="33AEC67E">
            <w:pPr>
              <w:pStyle w:val="24"/>
              <w:spacing w:line="360" w:lineRule="auto"/>
              <w:jc w:val="center"/>
              <w:rPr>
                <w:rFonts w:hAnsi="宋体"/>
                <w:color w:val="000000"/>
                <w:sz w:val="24"/>
                <w:szCs w:val="24"/>
                <w:highlight w:val="none"/>
              </w:rPr>
            </w:pPr>
          </w:p>
        </w:tc>
        <w:tc>
          <w:tcPr>
            <w:tcW w:w="1634" w:type="dxa"/>
            <w:vAlign w:val="center"/>
          </w:tcPr>
          <w:p w14:paraId="3B49DF60">
            <w:pPr>
              <w:pStyle w:val="24"/>
              <w:spacing w:line="360" w:lineRule="auto"/>
              <w:jc w:val="center"/>
              <w:rPr>
                <w:rFonts w:hAnsi="宋体"/>
                <w:color w:val="000000"/>
                <w:sz w:val="24"/>
                <w:szCs w:val="24"/>
                <w:highlight w:val="none"/>
              </w:rPr>
            </w:pPr>
          </w:p>
        </w:tc>
        <w:tc>
          <w:tcPr>
            <w:tcW w:w="1655" w:type="dxa"/>
            <w:vAlign w:val="center"/>
          </w:tcPr>
          <w:p w14:paraId="4E46B688">
            <w:pPr>
              <w:pStyle w:val="24"/>
              <w:spacing w:line="360" w:lineRule="auto"/>
              <w:jc w:val="center"/>
              <w:rPr>
                <w:rFonts w:hAnsi="宋体"/>
                <w:color w:val="000000"/>
                <w:sz w:val="24"/>
                <w:szCs w:val="24"/>
                <w:highlight w:val="none"/>
              </w:rPr>
            </w:pPr>
          </w:p>
        </w:tc>
      </w:tr>
      <w:tr w14:paraId="7F25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87" w:type="dxa"/>
            <w:vAlign w:val="center"/>
          </w:tcPr>
          <w:p w14:paraId="2912D4F0">
            <w:pPr>
              <w:pStyle w:val="24"/>
              <w:spacing w:line="360" w:lineRule="auto"/>
              <w:jc w:val="center"/>
              <w:rPr>
                <w:rFonts w:hAnsi="宋体"/>
                <w:color w:val="000000"/>
                <w:sz w:val="24"/>
                <w:szCs w:val="24"/>
                <w:highlight w:val="none"/>
              </w:rPr>
            </w:pPr>
          </w:p>
        </w:tc>
        <w:tc>
          <w:tcPr>
            <w:tcW w:w="2454" w:type="dxa"/>
            <w:vAlign w:val="center"/>
          </w:tcPr>
          <w:p w14:paraId="228414DA">
            <w:pPr>
              <w:pStyle w:val="24"/>
              <w:spacing w:line="360" w:lineRule="auto"/>
              <w:jc w:val="center"/>
              <w:rPr>
                <w:rFonts w:hAnsi="宋体"/>
                <w:color w:val="000000"/>
                <w:sz w:val="24"/>
                <w:szCs w:val="24"/>
                <w:highlight w:val="none"/>
              </w:rPr>
            </w:pPr>
          </w:p>
        </w:tc>
        <w:tc>
          <w:tcPr>
            <w:tcW w:w="2079" w:type="dxa"/>
            <w:vAlign w:val="center"/>
          </w:tcPr>
          <w:p w14:paraId="044998BB">
            <w:pPr>
              <w:pStyle w:val="24"/>
              <w:spacing w:line="360" w:lineRule="auto"/>
              <w:jc w:val="center"/>
              <w:rPr>
                <w:rFonts w:hAnsi="宋体"/>
                <w:color w:val="000000"/>
                <w:sz w:val="24"/>
                <w:szCs w:val="24"/>
                <w:highlight w:val="none"/>
              </w:rPr>
            </w:pPr>
          </w:p>
        </w:tc>
        <w:tc>
          <w:tcPr>
            <w:tcW w:w="1634" w:type="dxa"/>
            <w:vAlign w:val="center"/>
          </w:tcPr>
          <w:p w14:paraId="6E5CFDD0">
            <w:pPr>
              <w:pStyle w:val="24"/>
              <w:spacing w:line="360" w:lineRule="auto"/>
              <w:jc w:val="center"/>
              <w:rPr>
                <w:rFonts w:hAnsi="宋体"/>
                <w:color w:val="000000"/>
                <w:sz w:val="24"/>
                <w:szCs w:val="24"/>
                <w:highlight w:val="none"/>
              </w:rPr>
            </w:pPr>
          </w:p>
        </w:tc>
        <w:tc>
          <w:tcPr>
            <w:tcW w:w="1655" w:type="dxa"/>
            <w:vAlign w:val="center"/>
          </w:tcPr>
          <w:p w14:paraId="3C994241">
            <w:pPr>
              <w:pStyle w:val="24"/>
              <w:spacing w:line="360" w:lineRule="auto"/>
              <w:jc w:val="center"/>
              <w:rPr>
                <w:rFonts w:hAnsi="宋体"/>
                <w:color w:val="000000"/>
                <w:sz w:val="24"/>
                <w:szCs w:val="24"/>
                <w:highlight w:val="none"/>
              </w:rPr>
            </w:pPr>
          </w:p>
        </w:tc>
      </w:tr>
    </w:tbl>
    <w:p w14:paraId="0422319B">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说明：在偏离项必须注明正偏离、负偏离或无偏离。</w:t>
      </w:r>
    </w:p>
    <w:p w14:paraId="0A909C8F">
      <w:pPr>
        <w:spacing w:line="360" w:lineRule="auto"/>
        <w:rPr>
          <w:rFonts w:ascii="宋体" w:hAnsi="宋体" w:cs="宋体"/>
          <w:color w:val="000000"/>
          <w:sz w:val="24"/>
          <w:highlight w:val="none"/>
        </w:rPr>
      </w:pPr>
      <w:r>
        <w:rPr>
          <w:rFonts w:hint="eastAsia" w:ascii="宋体" w:hAnsi="宋体" w:cs="宋体"/>
          <w:color w:val="000000"/>
          <w:sz w:val="24"/>
          <w:highlight w:val="none"/>
        </w:rPr>
        <w:t>注：投标人应按照招标文件“第</w:t>
      </w:r>
      <w:r>
        <w:rPr>
          <w:rFonts w:hint="eastAsia" w:ascii="宋体" w:hAnsi="宋体" w:cs="宋体"/>
          <w:color w:val="000000"/>
          <w:sz w:val="24"/>
          <w:highlight w:val="none"/>
          <w:lang w:val="en-US" w:eastAsia="zh-CN"/>
        </w:rPr>
        <w:t>六</w:t>
      </w:r>
      <w:r>
        <w:rPr>
          <w:rFonts w:hint="eastAsia" w:ascii="宋体" w:hAnsi="宋体" w:cs="宋体"/>
          <w:color w:val="000000"/>
          <w:sz w:val="24"/>
          <w:highlight w:val="none"/>
        </w:rPr>
        <w:t xml:space="preserve">章 </w:t>
      </w:r>
      <w:r>
        <w:rPr>
          <w:rFonts w:hint="eastAsia" w:ascii="宋体" w:hAnsi="宋体" w:cs="宋体"/>
          <w:color w:val="000000"/>
          <w:sz w:val="24"/>
          <w:highlight w:val="none"/>
          <w:lang w:val="en-US" w:eastAsia="zh-CN"/>
        </w:rPr>
        <w:t>项目</w:t>
      </w:r>
      <w:r>
        <w:rPr>
          <w:rFonts w:hint="eastAsia" w:ascii="宋体" w:hAnsi="宋体" w:cs="宋体"/>
          <w:color w:val="000000"/>
          <w:sz w:val="24"/>
          <w:highlight w:val="none"/>
        </w:rPr>
        <w:t>采购需求”</w:t>
      </w:r>
      <w:r>
        <w:rPr>
          <w:rFonts w:hint="eastAsia" w:ascii="宋体" w:hAnsi="宋体" w:cs="宋体"/>
          <w:color w:val="000000"/>
          <w:sz w:val="24"/>
          <w:highlight w:val="none"/>
          <w:lang w:val="en-US" w:eastAsia="zh-CN"/>
        </w:rPr>
        <w:t>第七项采购需求概述（技术要求）逐条填写。</w:t>
      </w:r>
      <w:r>
        <w:rPr>
          <w:rFonts w:hint="eastAsia" w:ascii="宋体" w:hAnsi="宋体" w:cs="宋体"/>
          <w:color w:val="000000"/>
          <w:sz w:val="24"/>
          <w:highlight w:val="none"/>
        </w:rPr>
        <w:t>凡投标文件中技术</w:t>
      </w:r>
      <w:r>
        <w:rPr>
          <w:rFonts w:hint="eastAsia" w:ascii="宋体" w:hAnsi="宋体" w:cs="宋体"/>
          <w:color w:val="000000"/>
          <w:sz w:val="24"/>
          <w:highlight w:val="none"/>
          <w:lang w:val="en-US" w:eastAsia="zh-CN"/>
        </w:rPr>
        <w:t>要求</w:t>
      </w:r>
      <w:r>
        <w:rPr>
          <w:rFonts w:hint="eastAsia" w:ascii="宋体" w:hAnsi="宋体" w:cs="宋体"/>
          <w:color w:val="000000"/>
          <w:sz w:val="24"/>
          <w:highlight w:val="none"/>
        </w:rPr>
        <w:t>（包括投标技术</w:t>
      </w:r>
      <w:r>
        <w:rPr>
          <w:rFonts w:hint="eastAsia" w:ascii="宋体" w:hAnsi="宋体" w:cs="宋体"/>
          <w:color w:val="000000"/>
          <w:sz w:val="24"/>
          <w:highlight w:val="none"/>
          <w:lang w:val="en-US" w:eastAsia="zh-CN"/>
        </w:rPr>
        <w:t>要求</w:t>
      </w:r>
      <w:r>
        <w:rPr>
          <w:rFonts w:hint="eastAsia" w:ascii="宋体" w:hAnsi="宋体" w:cs="宋体"/>
          <w:color w:val="000000"/>
          <w:sz w:val="24"/>
          <w:highlight w:val="none"/>
        </w:rPr>
        <w:t>等所有技术内容）与招标文件有偏差的，均应在此表中列出（内容较多的可以标注见投标文件第几页，偏差包括正偏差和负偏差）。未在本表中列明的偏差视同响应招标文件规定。</w:t>
      </w:r>
    </w:p>
    <w:p w14:paraId="13DFF2FD">
      <w:pPr>
        <w:spacing w:line="360" w:lineRule="auto"/>
        <w:ind w:firstLine="480" w:firstLineChars="200"/>
        <w:rPr>
          <w:rFonts w:ascii="宋体" w:hAnsi="宋体" w:cs="Times New Roman"/>
          <w:color w:val="000000"/>
          <w:kern w:val="0"/>
          <w:sz w:val="24"/>
          <w:szCs w:val="24"/>
          <w:highlight w:val="none"/>
        </w:rPr>
      </w:pPr>
    </w:p>
    <w:p w14:paraId="6BE0C80B">
      <w:pPr>
        <w:spacing w:line="360" w:lineRule="auto"/>
        <w:ind w:firstLine="480" w:firstLineChars="200"/>
        <w:rPr>
          <w:rFonts w:ascii="宋体" w:hAnsi="宋体" w:cs="Times New Roman"/>
          <w:color w:val="000000"/>
          <w:kern w:val="0"/>
          <w:sz w:val="24"/>
          <w:szCs w:val="24"/>
          <w:highlight w:val="none"/>
        </w:rPr>
      </w:pPr>
    </w:p>
    <w:p w14:paraId="6D332B8C">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投标人名称</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公章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407444A9">
      <w:pPr>
        <w:spacing w:line="360" w:lineRule="auto"/>
        <w:ind w:firstLine="480" w:firstLineChars="200"/>
        <w:rPr>
          <w:rFonts w:ascii="宋体" w:hAnsi="宋体" w:cs="Times New Roman"/>
          <w:color w:val="000000"/>
          <w:kern w:val="0"/>
          <w:sz w:val="24"/>
          <w:szCs w:val="24"/>
          <w:highlight w:val="none"/>
        </w:rPr>
      </w:pPr>
      <w:r>
        <w:rPr>
          <w:rFonts w:hint="eastAsia" w:ascii="宋体" w:hAnsi="宋体" w:cs="Times New Roman"/>
          <w:color w:val="000000"/>
          <w:kern w:val="0"/>
          <w:sz w:val="24"/>
          <w:szCs w:val="24"/>
          <w:highlight w:val="none"/>
        </w:rPr>
        <w:t>法定代表人</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签字或盖章</w:t>
      </w:r>
      <w:r>
        <w:rPr>
          <w:rFonts w:ascii="宋体" w:hAnsi="宋体" w:cs="Times New Roman"/>
          <w:color w:val="000000"/>
          <w:kern w:val="0"/>
          <w:sz w:val="24"/>
          <w:szCs w:val="24"/>
          <w:highlight w:val="none"/>
        </w:rPr>
        <w:t>)</w:t>
      </w:r>
      <w:r>
        <w:rPr>
          <w:rFonts w:hint="eastAsia" w:ascii="宋体" w:hAnsi="宋体" w:cs="Times New Roman"/>
          <w:color w:val="000000"/>
          <w:kern w:val="0"/>
          <w:sz w:val="24"/>
          <w:szCs w:val="24"/>
          <w:highlight w:val="none"/>
        </w:rPr>
        <w:t>：</w:t>
      </w:r>
      <w:r>
        <w:rPr>
          <w:rFonts w:ascii="宋体" w:hAnsi="宋体" w:cs="Times New Roman"/>
          <w:color w:val="000000"/>
          <w:kern w:val="0"/>
          <w:sz w:val="24"/>
          <w:szCs w:val="24"/>
          <w:highlight w:val="none"/>
        </w:rPr>
        <w:t>____________</w:t>
      </w:r>
    </w:p>
    <w:p w14:paraId="6E95E5F9">
      <w:pPr>
        <w:spacing w:line="360" w:lineRule="auto"/>
        <w:ind w:firstLine="480" w:firstLineChars="200"/>
        <w:rPr>
          <w:rFonts w:ascii="宋体" w:hAnsi="宋体" w:cs="Times New Roman"/>
          <w:color w:val="000000"/>
          <w:kern w:val="0"/>
          <w:sz w:val="20"/>
          <w:szCs w:val="21"/>
          <w:highlight w:val="none"/>
        </w:rPr>
      </w:pPr>
      <w:r>
        <w:rPr>
          <w:rFonts w:hint="eastAsia" w:ascii="宋体" w:hAnsi="宋体" w:cs="Times New Roman"/>
          <w:color w:val="000000"/>
          <w:kern w:val="0"/>
          <w:sz w:val="24"/>
          <w:szCs w:val="24"/>
          <w:highlight w:val="none"/>
        </w:rPr>
        <w:t>日期：</w:t>
      </w:r>
      <w:r>
        <w:rPr>
          <w:rFonts w:ascii="宋体" w:hAnsi="宋体" w:cs="Times New Roman"/>
          <w:color w:val="000000"/>
          <w:kern w:val="0"/>
          <w:sz w:val="24"/>
          <w:szCs w:val="24"/>
          <w:highlight w:val="none"/>
        </w:rPr>
        <w:t>______</w:t>
      </w:r>
      <w:r>
        <w:rPr>
          <w:rFonts w:hint="eastAsia" w:ascii="宋体" w:hAnsi="宋体" w:cs="Times New Roman"/>
          <w:color w:val="000000"/>
          <w:kern w:val="0"/>
          <w:sz w:val="24"/>
          <w:szCs w:val="24"/>
          <w:highlight w:val="none"/>
        </w:rPr>
        <w:t>年</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月</w:t>
      </w:r>
      <w:r>
        <w:rPr>
          <w:rFonts w:ascii="宋体" w:hAnsi="宋体" w:cs="Times New Roman"/>
          <w:color w:val="000000"/>
          <w:kern w:val="0"/>
          <w:sz w:val="24"/>
          <w:szCs w:val="24"/>
          <w:highlight w:val="none"/>
        </w:rPr>
        <w:t>____</w:t>
      </w:r>
      <w:r>
        <w:rPr>
          <w:rFonts w:hint="eastAsia" w:ascii="宋体" w:hAnsi="宋体" w:cs="Times New Roman"/>
          <w:color w:val="000000"/>
          <w:kern w:val="0"/>
          <w:sz w:val="24"/>
          <w:szCs w:val="24"/>
          <w:highlight w:val="none"/>
        </w:rPr>
        <w:t>日</w:t>
      </w:r>
    </w:p>
    <w:p w14:paraId="7AB80EC2">
      <w:pPr>
        <w:spacing w:line="360" w:lineRule="auto"/>
        <w:ind w:firstLine="480" w:firstLineChars="200"/>
        <w:rPr>
          <w:rFonts w:ascii="宋体" w:hAnsi="宋体" w:cs="Times New Roman"/>
          <w:color w:val="000000"/>
          <w:kern w:val="0"/>
          <w:sz w:val="24"/>
          <w:szCs w:val="24"/>
          <w:highlight w:val="none"/>
        </w:rPr>
      </w:pPr>
    </w:p>
    <w:p w14:paraId="24E1F3AA">
      <w:pPr>
        <w:spacing w:line="280" w:lineRule="exact"/>
        <w:ind w:firstLine="480" w:firstLineChars="200"/>
        <w:rPr>
          <w:rFonts w:ascii="宋体" w:hAnsi="宋体" w:cs="Times New Roman"/>
          <w:color w:val="000000"/>
          <w:kern w:val="0"/>
          <w:sz w:val="20"/>
          <w:szCs w:val="21"/>
          <w:highlight w:val="none"/>
        </w:rPr>
      </w:pPr>
      <w:r>
        <w:rPr>
          <w:rFonts w:hint="eastAsia" w:ascii="宋体" w:hAnsi="宋体" w:cs="Times New Roman"/>
          <w:color w:val="000000"/>
          <w:kern w:val="0"/>
          <w:sz w:val="24"/>
          <w:szCs w:val="24"/>
          <w:highlight w:val="none"/>
        </w:rPr>
        <w:br w:type="page"/>
      </w:r>
    </w:p>
    <w:p w14:paraId="62D7F3B6">
      <w:pPr>
        <w:spacing w:line="360" w:lineRule="auto"/>
        <w:outlineLvl w:val="0"/>
        <w:rPr>
          <w:rFonts w:ascii="宋体" w:hAnsi="宋体" w:cs="宋体"/>
          <w:b/>
          <w:sz w:val="24"/>
          <w:szCs w:val="24"/>
          <w:highlight w:val="none"/>
        </w:rPr>
      </w:pPr>
      <w:bookmarkStart w:id="54" w:name="_Toc2354"/>
      <w:r>
        <w:rPr>
          <w:rFonts w:hint="eastAsia" w:ascii="宋体" w:hAnsi="宋体" w:cs="宋体"/>
          <w:b/>
          <w:sz w:val="24"/>
          <w:szCs w:val="24"/>
          <w:highlight w:val="none"/>
        </w:rPr>
        <w:t>二、服务方案</w:t>
      </w:r>
      <w:bookmarkEnd w:id="54"/>
    </w:p>
    <w:p w14:paraId="5B06E3B3">
      <w:pPr>
        <w:widowControl/>
        <w:jc w:val="left"/>
        <w:rPr>
          <w:rFonts w:hAnsi="宋体" w:cs="Times New Roman"/>
          <w:b/>
          <w:color w:val="000000"/>
          <w:sz w:val="24"/>
          <w:szCs w:val="24"/>
          <w:highlight w:val="none"/>
        </w:rPr>
      </w:pPr>
    </w:p>
    <w:p w14:paraId="69AF5138">
      <w:pPr>
        <w:keepNext w:val="0"/>
        <w:keepLines w:val="0"/>
        <w:pageBreakBefore w:val="0"/>
        <w:widowControl/>
        <w:kinsoku/>
        <w:wordWrap/>
        <w:overflowPunct/>
        <w:topLinePunct w:val="0"/>
        <w:autoSpaceDE/>
        <w:autoSpaceDN/>
        <w:bidi w:val="0"/>
        <w:adjustRightInd/>
        <w:spacing w:line="400" w:lineRule="exact"/>
        <w:jc w:val="left"/>
        <w:textAlignment w:val="auto"/>
        <w:rPr>
          <w:rFonts w:hint="default"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包括但不限于以下内容：</w:t>
      </w:r>
    </w:p>
    <w:p w14:paraId="71272934">
      <w:pPr>
        <w:keepNext w:val="0"/>
        <w:keepLines w:val="0"/>
        <w:pageBreakBefore w:val="0"/>
        <w:widowControl/>
        <w:kinsoku/>
        <w:wordWrap/>
        <w:overflowPunct/>
        <w:topLinePunct w:val="0"/>
        <w:autoSpaceDE/>
        <w:autoSpaceDN/>
        <w:bidi w:val="0"/>
        <w:adjustRightInd/>
        <w:spacing w:line="400" w:lineRule="exact"/>
        <w:jc w:val="left"/>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lang w:val="en-US" w:eastAsia="zh-CN"/>
        </w:rPr>
        <w:t>总体</w:t>
      </w:r>
      <w:r>
        <w:rPr>
          <w:rFonts w:ascii="宋体" w:hAnsi="宋体"/>
          <w:b w:val="0"/>
          <w:bCs w:val="0"/>
          <w:color w:val="auto"/>
          <w:sz w:val="21"/>
          <w:szCs w:val="21"/>
          <w:highlight w:val="none"/>
        </w:rPr>
        <w:t>方案</w:t>
      </w:r>
    </w:p>
    <w:p w14:paraId="31087208">
      <w:pPr>
        <w:pStyle w:val="2"/>
        <w:keepNext w:val="0"/>
        <w:keepLines w:val="0"/>
        <w:pageBreakBefore w:val="0"/>
        <w:kinsoku/>
        <w:wordWrap/>
        <w:overflowPunct/>
        <w:topLinePunct w:val="0"/>
        <w:autoSpaceDE/>
        <w:autoSpaceDN/>
        <w:bidi w:val="0"/>
        <w:adjustRightInd/>
        <w:spacing w:line="400" w:lineRule="exact"/>
        <w:textAlignment w:val="auto"/>
        <w:rPr>
          <w:rFonts w:hint="eastAsia" w:ascii="宋体" w:hAnsi="宋体"/>
          <w:b w:val="0"/>
          <w:bCs w:val="0"/>
          <w:color w:val="auto"/>
          <w:sz w:val="21"/>
          <w:szCs w:val="21"/>
          <w:highlight w:val="none"/>
        </w:rPr>
      </w:pPr>
      <w:r>
        <w:rPr>
          <w:rFonts w:hint="eastAsia" w:ascii="宋体" w:hAnsi="宋体"/>
          <w:b w:val="0"/>
          <w:bCs w:val="0"/>
          <w:color w:val="auto"/>
          <w:sz w:val="21"/>
          <w:szCs w:val="21"/>
          <w:highlight w:val="none"/>
        </w:rPr>
        <w:t>实施方案</w:t>
      </w:r>
    </w:p>
    <w:p w14:paraId="7E40EF52">
      <w:pPr>
        <w:keepNext w:val="0"/>
        <w:keepLines w:val="0"/>
        <w:pageBreakBefore w:val="0"/>
        <w:kinsoku/>
        <w:wordWrap/>
        <w:overflowPunct/>
        <w:topLinePunct w:val="0"/>
        <w:autoSpaceDE/>
        <w:autoSpaceDN/>
        <w:bidi w:val="0"/>
        <w:adjustRightInd/>
        <w:spacing w:line="400" w:lineRule="exact"/>
        <w:jc w:val="both"/>
        <w:textAlignment w:val="auto"/>
        <w:rPr>
          <w:rFonts w:hint="eastAsia" w:ascii="宋体" w:hAnsi="宋体"/>
          <w:b w:val="0"/>
          <w:bCs w:val="0"/>
          <w:color w:val="auto"/>
          <w:sz w:val="21"/>
          <w:szCs w:val="21"/>
          <w:highlight w:val="none"/>
        </w:rPr>
      </w:pPr>
      <w:r>
        <w:rPr>
          <w:rFonts w:hint="eastAsia" w:ascii="宋体" w:hAnsi="宋体"/>
          <w:b w:val="0"/>
          <w:bCs w:val="0"/>
          <w:color w:val="auto"/>
          <w:sz w:val="21"/>
          <w:szCs w:val="21"/>
          <w:highlight w:val="none"/>
        </w:rPr>
        <w:t>项目质量保障措施</w:t>
      </w:r>
    </w:p>
    <w:p w14:paraId="7532926A">
      <w:pPr>
        <w:keepNext w:val="0"/>
        <w:keepLines w:val="0"/>
        <w:pageBreakBefore w:val="0"/>
        <w:kinsoku/>
        <w:wordWrap/>
        <w:overflowPunct/>
        <w:topLinePunct w:val="0"/>
        <w:autoSpaceDE/>
        <w:autoSpaceDN/>
        <w:bidi w:val="0"/>
        <w:adjustRightInd/>
        <w:spacing w:line="400" w:lineRule="exact"/>
        <w:jc w:val="both"/>
        <w:textAlignment w:val="auto"/>
        <w:rPr>
          <w:rFonts w:hint="eastAsia" w:ascii="宋体" w:hAnsi="宋体"/>
          <w:b w:val="0"/>
          <w:bCs w:val="0"/>
          <w:color w:val="auto"/>
          <w:sz w:val="21"/>
          <w:szCs w:val="21"/>
          <w:highlight w:val="none"/>
        </w:rPr>
      </w:pPr>
      <w:r>
        <w:rPr>
          <w:rFonts w:hint="eastAsia" w:ascii="宋体" w:hAnsi="宋体"/>
          <w:b w:val="0"/>
          <w:bCs w:val="0"/>
          <w:color w:val="auto"/>
          <w:sz w:val="21"/>
          <w:szCs w:val="21"/>
          <w:highlight w:val="none"/>
        </w:rPr>
        <w:t>售后服务方案</w:t>
      </w:r>
    </w:p>
    <w:p w14:paraId="6BBFD975">
      <w:pPr>
        <w:keepNext w:val="0"/>
        <w:keepLines w:val="0"/>
        <w:pageBreakBefore w:val="0"/>
        <w:kinsoku/>
        <w:wordWrap/>
        <w:overflowPunct/>
        <w:topLinePunct w:val="0"/>
        <w:autoSpaceDE/>
        <w:autoSpaceDN/>
        <w:bidi w:val="0"/>
        <w:adjustRightInd/>
        <w:spacing w:line="400" w:lineRule="exact"/>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服务承诺</w:t>
      </w:r>
    </w:p>
    <w:p w14:paraId="38932F2E">
      <w:pPr>
        <w:pStyle w:val="3"/>
        <w:ind w:left="0" w:leftChars="0" w:firstLine="0" w:firstLineChars="0"/>
        <w:rPr>
          <w:rFonts w:hint="eastAsia"/>
        </w:rPr>
      </w:pPr>
    </w:p>
    <w:p w14:paraId="5C8E68AB">
      <w:pPr>
        <w:pStyle w:val="3"/>
      </w:pPr>
    </w:p>
    <w:p w14:paraId="36411D32">
      <w:pPr>
        <w:widowControl/>
        <w:jc w:val="left"/>
        <w:rPr>
          <w:rFonts w:ascii="宋体" w:hAnsi="宋体" w:cs="Times New Roman"/>
          <w:color w:val="000000"/>
          <w:kern w:val="0"/>
          <w:sz w:val="24"/>
          <w:szCs w:val="24"/>
          <w:highlight w:val="none"/>
        </w:rPr>
      </w:pPr>
      <w:r>
        <w:rPr>
          <w:rFonts w:hint="eastAsia" w:hAnsi="宋体" w:cs="Times New Roman"/>
          <w:b/>
          <w:color w:val="000000"/>
          <w:sz w:val="24"/>
          <w:szCs w:val="24"/>
          <w:highlight w:val="none"/>
        </w:rPr>
        <w:t>供应商可根据本项目评审内容格式自拟编制，可对照打分表进行逐条响应</w:t>
      </w:r>
      <w:r>
        <w:rPr>
          <w:rFonts w:hint="eastAsia" w:hAnsi="宋体" w:cs="Times New Roman"/>
          <w:b/>
          <w:color w:val="000000"/>
          <w:sz w:val="24"/>
          <w:szCs w:val="24"/>
          <w:highlight w:val="none"/>
          <w:lang w:val="en-US" w:eastAsia="zh-CN"/>
        </w:rPr>
        <w:t>编制</w:t>
      </w:r>
      <w:r>
        <w:rPr>
          <w:rFonts w:hint="eastAsia" w:hAnsi="宋体" w:cs="Times New Roman"/>
          <w:b/>
          <w:color w:val="000000"/>
          <w:sz w:val="24"/>
          <w:szCs w:val="24"/>
          <w:highlight w:val="none"/>
        </w:rPr>
        <w:t>。</w:t>
      </w:r>
    </w:p>
    <w:p w14:paraId="7DAC0243">
      <w:pPr>
        <w:widowControl/>
        <w:jc w:val="left"/>
        <w:rPr>
          <w:rFonts w:ascii="宋体" w:hAnsi="宋体" w:cs="Times New Roman"/>
          <w:color w:val="000000"/>
          <w:kern w:val="0"/>
          <w:sz w:val="24"/>
          <w:szCs w:val="24"/>
          <w:highlight w:val="none"/>
        </w:rPr>
      </w:pPr>
    </w:p>
    <w:p w14:paraId="597AC176">
      <w:pPr>
        <w:widowControl/>
        <w:jc w:val="left"/>
        <w:rPr>
          <w:rFonts w:ascii="宋体" w:hAnsi="宋体" w:cs="Times New Roman"/>
          <w:color w:val="000000"/>
          <w:kern w:val="0"/>
          <w:sz w:val="24"/>
          <w:szCs w:val="24"/>
          <w:highlight w:val="none"/>
        </w:rPr>
      </w:pPr>
      <w:r>
        <w:rPr>
          <w:rFonts w:ascii="宋体" w:hAnsi="宋体" w:cs="Times New Roman"/>
          <w:color w:val="000000"/>
          <w:kern w:val="0"/>
          <w:sz w:val="24"/>
          <w:szCs w:val="24"/>
          <w:highlight w:val="none"/>
        </w:rPr>
        <w:br w:type="page"/>
      </w:r>
    </w:p>
    <w:p w14:paraId="75644387">
      <w:pPr>
        <w:jc w:val="center"/>
        <w:rPr>
          <w:rFonts w:cs="Times New Roman"/>
          <w:b/>
          <w:color w:val="000000"/>
          <w:kern w:val="0"/>
          <w:sz w:val="24"/>
          <w:szCs w:val="20"/>
          <w:highlight w:val="none"/>
        </w:rPr>
      </w:pPr>
      <w:bookmarkStart w:id="55" w:name="_Toc25026"/>
      <w:r>
        <w:rPr>
          <w:rFonts w:hint="eastAsia" w:cs="Times New Roman"/>
          <w:b/>
          <w:color w:val="000000"/>
          <w:kern w:val="0"/>
          <w:sz w:val="24"/>
          <w:szCs w:val="20"/>
          <w:highlight w:val="none"/>
        </w:rPr>
        <w:t>三、投标人认为需要提供的其他资料</w:t>
      </w:r>
      <w:r>
        <w:rPr>
          <w:rFonts w:hint="eastAsia" w:cs="Times New Roman"/>
          <w:b/>
          <w:color w:val="000000"/>
          <w:kern w:val="0"/>
          <w:sz w:val="24"/>
          <w:szCs w:val="20"/>
          <w:highlight w:val="none"/>
        </w:rPr>
        <w:br w:type="page"/>
      </w:r>
    </w:p>
    <w:p w14:paraId="54811F58">
      <w:pPr>
        <w:keepNext/>
        <w:keepLines/>
        <w:numPr>
          <w:ilvl w:val="0"/>
          <w:numId w:val="9"/>
        </w:numPr>
        <w:spacing w:before="260" w:after="260" w:line="413" w:lineRule="auto"/>
        <w:jc w:val="center"/>
        <w:outlineLvl w:val="0"/>
        <w:rPr>
          <w:rFonts w:cs="Times New Roman"/>
          <w:b/>
          <w:color w:val="000000"/>
          <w:kern w:val="0"/>
          <w:sz w:val="28"/>
          <w:szCs w:val="28"/>
          <w:highlight w:val="none"/>
        </w:rPr>
      </w:pPr>
      <w:bookmarkStart w:id="56" w:name="_Toc20187"/>
      <w:r>
        <w:rPr>
          <w:rFonts w:hint="eastAsia" w:cs="Times New Roman"/>
          <w:b/>
          <w:color w:val="000000"/>
          <w:kern w:val="0"/>
          <w:sz w:val="28"/>
          <w:szCs w:val="28"/>
          <w:highlight w:val="none"/>
        </w:rPr>
        <w:t>项目采购需求</w:t>
      </w:r>
      <w:bookmarkEnd w:id="55"/>
      <w:bookmarkEnd w:id="56"/>
    </w:p>
    <w:p w14:paraId="5E0FC65C">
      <w:pPr>
        <w:pStyle w:val="19"/>
        <w:numPr>
          <w:ilvl w:val="0"/>
          <w:numId w:val="10"/>
        </w:numPr>
        <w:rPr>
          <w:rFonts w:hint="eastAsia" w:ascii="Calibri" w:hAnsi="Calibri"/>
          <w:b w:val="0"/>
          <w:bCs/>
          <w:color w:val="000000"/>
          <w:kern w:val="0"/>
          <w:sz w:val="28"/>
          <w:szCs w:val="28"/>
          <w:highlight w:val="none"/>
          <w:lang w:val="en-US" w:eastAsia="zh-CN"/>
        </w:rPr>
      </w:pPr>
      <w:r>
        <w:rPr>
          <w:rFonts w:hint="eastAsia" w:ascii="Calibri" w:hAnsi="Calibri"/>
          <w:b w:val="0"/>
          <w:bCs/>
          <w:color w:val="000000"/>
          <w:kern w:val="0"/>
          <w:sz w:val="28"/>
          <w:szCs w:val="28"/>
          <w:highlight w:val="none"/>
          <w:lang w:val="en-US" w:eastAsia="zh-CN"/>
        </w:rPr>
        <w:t>项目名称：新疆职业大学申办本科职业院校全过程辅助管理服务</w:t>
      </w:r>
    </w:p>
    <w:p w14:paraId="11A388BE">
      <w:pPr>
        <w:pStyle w:val="43"/>
        <w:numPr>
          <w:ilvl w:val="0"/>
          <w:numId w:val="10"/>
        </w:numPr>
        <w:ind w:left="0" w:leftChars="0" w:firstLine="0" w:firstLine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预算金额</w:t>
      </w:r>
      <w:r>
        <w:rPr>
          <w:rFonts w:hint="eastAsia" w:ascii="Calibri" w:hAnsi="Calibri" w:eastAsia="宋体"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最高限价</w:t>
      </w:r>
      <w:r>
        <w:rPr>
          <w:rFonts w:hint="eastAsia" w:ascii="Calibri" w:hAnsi="Calibri" w:eastAsia="宋体" w:cs="Times New Roman"/>
          <w:b w:val="0"/>
          <w:bCs/>
          <w:color w:val="000000"/>
          <w:kern w:val="0"/>
          <w:sz w:val="28"/>
          <w:szCs w:val="28"/>
          <w:highlight w:val="none"/>
          <w:lang w:val="en-US" w:eastAsia="zh-CN" w:bidi="ar-SA"/>
        </w:rPr>
        <w:t>：2000000.00</w:t>
      </w:r>
      <w:r>
        <w:rPr>
          <w:rFonts w:hint="default" w:ascii="Calibri" w:hAnsi="Calibri" w:eastAsia="宋体" w:cs="Times New Roman"/>
          <w:b w:val="0"/>
          <w:bCs/>
          <w:color w:val="000000"/>
          <w:kern w:val="0"/>
          <w:sz w:val="28"/>
          <w:szCs w:val="28"/>
          <w:highlight w:val="none"/>
          <w:lang w:val="en-US" w:eastAsia="zh-CN" w:bidi="ar-SA"/>
        </w:rPr>
        <w:t>元</w:t>
      </w:r>
    </w:p>
    <w:p w14:paraId="2AD9B431">
      <w:pPr>
        <w:pStyle w:val="43"/>
        <w:numPr>
          <w:ilvl w:val="0"/>
          <w:numId w:val="10"/>
        </w:numPr>
        <w:ind w:left="0" w:leftChars="0" w:firstLine="0" w:firstLine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合同履约期限</w:t>
      </w:r>
      <w:r>
        <w:rPr>
          <w:rFonts w:hint="eastAsia" w:ascii="Calibri" w:hAnsi="Calibri" w:eastAsia="宋体" w:cs="Times New Roman"/>
          <w:b w:val="0"/>
          <w:bCs/>
          <w:color w:val="000000"/>
          <w:kern w:val="0"/>
          <w:sz w:val="28"/>
          <w:szCs w:val="28"/>
          <w:highlight w:val="none"/>
          <w:lang w:val="en-US" w:eastAsia="zh-CN" w:bidi="ar-SA"/>
        </w:rPr>
        <w:t>：自合同签订之日起至通过教育部高校设置评审结束。（若学校未纳入自治区“十五五”高校设置规划，合同终止。付款方式根据服务内容分阶段支付。）</w:t>
      </w:r>
    </w:p>
    <w:p w14:paraId="0462AFB4">
      <w:pPr>
        <w:pStyle w:val="43"/>
        <w:numPr>
          <w:ilvl w:val="0"/>
          <w:numId w:val="10"/>
        </w:numPr>
        <w:ind w:left="0" w:leftChars="0" w:firstLine="0" w:firstLine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交付/实施时间</w:t>
      </w:r>
      <w:r>
        <w:rPr>
          <w:rFonts w:hint="eastAsia" w:ascii="Calibri" w:hAnsi="Calibri" w:eastAsia="宋体" w:cs="Times New Roman"/>
          <w:b w:val="0"/>
          <w:bCs/>
          <w:color w:val="000000"/>
          <w:kern w:val="0"/>
          <w:sz w:val="28"/>
          <w:szCs w:val="28"/>
          <w:highlight w:val="none"/>
          <w:lang w:val="en-US" w:eastAsia="zh-CN" w:bidi="ar-SA"/>
        </w:rPr>
        <w:t>：</w:t>
      </w:r>
    </w:p>
    <w:p w14:paraId="2DB6D8C1">
      <w:pPr>
        <w:pStyle w:val="14"/>
        <w:numPr>
          <w:ilvl w:val="0"/>
          <w:numId w:val="0"/>
        </w:numPr>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1.自合同签订之日起20天内实现申本信息化服务所需的功能</w:t>
      </w:r>
    </w:p>
    <w:p w14:paraId="3F544B4B">
      <w:pPr>
        <w:pStyle w:val="14"/>
        <w:numPr>
          <w:ilvl w:val="0"/>
          <w:numId w:val="0"/>
        </w:numPr>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2.自合同签订之日起30天内完成申本论证报告</w:t>
      </w:r>
    </w:p>
    <w:p w14:paraId="025530FA">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3.在2026年12月前，协助学校完成自治区入规评估和纳入设置工作。</w:t>
      </w:r>
    </w:p>
    <w:p w14:paraId="11597423">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4.在2027年6月前，协助学校完成教育部高评委入校</w:t>
      </w:r>
      <w:r>
        <w:rPr>
          <w:rFonts w:hint="eastAsia" w:ascii="Calibri" w:hAnsi="Calibri" w:cs="Times New Roman"/>
          <w:b w:val="0"/>
          <w:bCs/>
          <w:color w:val="000000"/>
          <w:kern w:val="0"/>
          <w:sz w:val="28"/>
          <w:szCs w:val="28"/>
          <w:highlight w:val="none"/>
          <w:lang w:val="en-US" w:eastAsia="zh-CN" w:bidi="ar-SA"/>
        </w:rPr>
        <w:t>考察</w:t>
      </w:r>
      <w:r>
        <w:rPr>
          <w:rFonts w:hint="default" w:ascii="Calibri" w:hAnsi="Calibri" w:eastAsia="宋体" w:cs="Times New Roman"/>
          <w:b w:val="0"/>
          <w:bCs/>
          <w:color w:val="000000"/>
          <w:kern w:val="0"/>
          <w:sz w:val="28"/>
          <w:szCs w:val="28"/>
          <w:highlight w:val="none"/>
          <w:lang w:val="en-US" w:eastAsia="zh-CN" w:bidi="ar-SA"/>
        </w:rPr>
        <w:t>工作。</w:t>
      </w:r>
    </w:p>
    <w:p w14:paraId="1EA4DE29">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（如遇自治区和国家本科层次职业学校设置政策调整等不可抗力因素，交付时间可顺延，按照自治区和教育部相关通知安排进行相应调整）</w:t>
      </w:r>
    </w:p>
    <w:p w14:paraId="05D5FFCC">
      <w:pPr>
        <w:pStyle w:val="43"/>
        <w:numPr>
          <w:ilvl w:val="0"/>
          <w:numId w:val="0"/>
        </w:numPr>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五、付款方式：付款分为四个阶段：</w:t>
      </w:r>
    </w:p>
    <w:p w14:paraId="5CD0C61C">
      <w:pPr>
        <w:pStyle w:val="43"/>
        <w:numPr>
          <w:ilvl w:val="0"/>
          <w:numId w:val="0"/>
        </w:numPr>
        <w:ind w:leftChars="0"/>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1.</w:t>
      </w:r>
      <w:r>
        <w:rPr>
          <w:rFonts w:hint="eastAsia" w:ascii="Calibri" w:hAnsi="Calibri" w:eastAsia="宋体" w:cs="Times New Roman"/>
          <w:b w:val="0"/>
          <w:bCs/>
          <w:color w:val="000000"/>
          <w:kern w:val="0"/>
          <w:sz w:val="28"/>
          <w:szCs w:val="28"/>
          <w:highlight w:val="none"/>
          <w:lang w:val="en-US" w:eastAsia="zh-CN" w:bidi="ar-SA"/>
        </w:rPr>
        <w:t>自合同签订之日起14日内支付合同总金额的30%。</w:t>
      </w:r>
    </w:p>
    <w:p w14:paraId="2B800B56">
      <w:pPr>
        <w:pStyle w:val="43"/>
        <w:numPr>
          <w:ilvl w:val="0"/>
          <w:numId w:val="0"/>
        </w:numPr>
        <w:ind w:leftChars="0"/>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2.</w:t>
      </w:r>
      <w:r>
        <w:rPr>
          <w:rFonts w:hint="eastAsia" w:ascii="Calibri" w:hAnsi="Calibri" w:eastAsia="宋体" w:cs="Times New Roman"/>
          <w:b w:val="0"/>
          <w:bCs/>
          <w:color w:val="000000"/>
          <w:kern w:val="0"/>
          <w:sz w:val="28"/>
          <w:szCs w:val="28"/>
          <w:highlight w:val="none"/>
          <w:lang w:val="en-US" w:eastAsia="zh-CN" w:bidi="ar-SA"/>
        </w:rPr>
        <w:t>完成第一阶段（纳入自治区十五五高校设置规划）全部工作后支付合同总金额的20%。</w:t>
      </w:r>
    </w:p>
    <w:p w14:paraId="5EA4C4CB">
      <w:pPr>
        <w:pStyle w:val="43"/>
        <w:numPr>
          <w:ilvl w:val="0"/>
          <w:numId w:val="0"/>
        </w:numPr>
        <w:ind w:leftChars="0"/>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3.完成第二阶段（入规后建设阶段）全部工作并通过学校验收后支付合同总金额的15%。</w:t>
      </w:r>
    </w:p>
    <w:p w14:paraId="3827C78B">
      <w:pPr>
        <w:pStyle w:val="43"/>
        <w:numPr>
          <w:ilvl w:val="0"/>
          <w:numId w:val="0"/>
        </w:numPr>
        <w:ind w:leftChars="0"/>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4.完成第三阶段（自治区专家入校准备阶段）全部工作并通过学校验收后支付合同总金额的25%。</w:t>
      </w:r>
    </w:p>
    <w:p w14:paraId="736ACE17">
      <w:pPr>
        <w:pStyle w:val="43"/>
        <w:numPr>
          <w:ilvl w:val="0"/>
          <w:numId w:val="0"/>
        </w:numPr>
        <w:ind w:leftChars="0"/>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5.完成第四阶段（教育部专家入校筹备阶段）全部工作并通过学校验收后，由学校核算总工作量按实际发生费用支付，支付额不超过合同总额的10%。</w:t>
      </w:r>
    </w:p>
    <w:p w14:paraId="0B01054A">
      <w:pPr>
        <w:pStyle w:val="43"/>
        <w:numPr>
          <w:ilvl w:val="0"/>
          <w:numId w:val="0"/>
        </w:numPr>
        <w:ind w:leftChars="0"/>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若申本工作在任一阶段停止，该阶段付款为最后一笔付款，需经学校审核工作量后，按照实际产生费用支付。</w:t>
      </w:r>
    </w:p>
    <w:p w14:paraId="5B61408F">
      <w:pPr>
        <w:pStyle w:val="43"/>
        <w:numPr>
          <w:ilvl w:val="0"/>
          <w:numId w:val="0"/>
        </w:numPr>
        <w:ind w:leftChars="0"/>
        <w:rPr>
          <w:rFonts w:hint="eastAsia"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六、验收标准：通过自治区教育厅、教育部、高评委专家审核。</w:t>
      </w:r>
    </w:p>
    <w:p w14:paraId="7DE84F1B">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eastAsia="宋体" w:cs="Times New Roman"/>
          <w:b w:val="0"/>
          <w:bCs/>
          <w:color w:val="000000"/>
          <w:kern w:val="0"/>
          <w:sz w:val="28"/>
          <w:szCs w:val="28"/>
          <w:highlight w:val="none"/>
          <w:lang w:val="en-US" w:eastAsia="zh-CN" w:bidi="ar-SA"/>
        </w:rPr>
        <w:t>七、采购需求概述</w:t>
      </w:r>
      <w:r>
        <w:rPr>
          <w:rFonts w:hint="eastAsia" w:ascii="Calibri" w:hAnsi="Calibri" w:cs="Times New Roman"/>
          <w:b w:val="0"/>
          <w:bCs/>
          <w:color w:val="000000"/>
          <w:kern w:val="0"/>
          <w:sz w:val="28"/>
          <w:szCs w:val="28"/>
          <w:highlight w:val="none"/>
          <w:lang w:val="en-US" w:eastAsia="zh-CN" w:bidi="ar-SA"/>
        </w:rPr>
        <w:t>（技术要求）</w:t>
      </w:r>
    </w:p>
    <w:p w14:paraId="51613188">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（一）入规前筹备阶段</w:t>
      </w:r>
    </w:p>
    <w:p w14:paraId="3315FBD8">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1.组建入规专项工作组，制定全周期筹备工作方案。协助学校成立由主要领导牵头的</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升本工作领导小组</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和工作专班，明确任务分工与时间节点</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制定包含政策解读、指标对标、任务分解、经费预算在内的《职业本科学校设置筹备工作实施方案》，建立定期调度机制。</w:t>
      </w:r>
    </w:p>
    <w:p w14:paraId="431C9A28">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2.</w:t>
      </w:r>
      <w:r>
        <w:rPr>
          <w:rFonts w:hint="eastAsia" w:ascii="Calibri" w:hAnsi="Calibri" w:eastAsia="宋体" w:cs="Times New Roman"/>
          <w:b w:val="0"/>
          <w:bCs/>
          <w:color w:val="000000"/>
          <w:kern w:val="0"/>
          <w:sz w:val="28"/>
          <w:szCs w:val="28"/>
          <w:highlight w:val="none"/>
          <w:lang w:val="en-US" w:eastAsia="zh-CN" w:bidi="ar-SA"/>
        </w:rPr>
        <w:t>供应商签订合同后应在7日内到校进行启动工作，并</w:t>
      </w:r>
      <w:r>
        <w:rPr>
          <w:rFonts w:hint="eastAsia" w:ascii="Calibri" w:hAnsi="Calibri" w:cs="Times New Roman"/>
          <w:b w:val="0"/>
          <w:bCs/>
          <w:color w:val="000000"/>
          <w:kern w:val="0"/>
          <w:sz w:val="28"/>
          <w:szCs w:val="28"/>
          <w:highlight w:val="none"/>
          <w:lang w:val="en-US" w:eastAsia="zh-CN" w:bidi="ar-SA"/>
        </w:rPr>
        <w:t>邀请专家</w:t>
      </w:r>
      <w:r>
        <w:rPr>
          <w:rFonts w:hint="eastAsia" w:ascii="Calibri" w:hAnsi="Calibri" w:eastAsia="宋体" w:cs="Times New Roman"/>
          <w:b w:val="0"/>
          <w:bCs/>
          <w:color w:val="000000"/>
          <w:kern w:val="0"/>
          <w:sz w:val="28"/>
          <w:szCs w:val="28"/>
          <w:highlight w:val="none"/>
          <w:lang w:val="en-US" w:eastAsia="zh-CN" w:bidi="ar-SA"/>
        </w:rPr>
        <w:t>驻校指导开展工作</w:t>
      </w:r>
      <w:r>
        <w:rPr>
          <w:rFonts w:hint="eastAsia" w:ascii="Calibri" w:hAnsi="Calibri" w:cs="Times New Roman"/>
          <w:b w:val="0"/>
          <w:bCs/>
          <w:color w:val="000000"/>
          <w:kern w:val="0"/>
          <w:sz w:val="28"/>
          <w:szCs w:val="28"/>
          <w:highlight w:val="none"/>
          <w:lang w:val="en-US" w:eastAsia="zh-CN" w:bidi="ar-SA"/>
        </w:rPr>
        <w:t>，专家</w:t>
      </w:r>
      <w:r>
        <w:rPr>
          <w:rFonts w:hint="eastAsia" w:ascii="Calibri" w:hAnsi="Calibri" w:eastAsia="宋体" w:cs="Times New Roman"/>
          <w:b w:val="0"/>
          <w:bCs/>
          <w:color w:val="000000"/>
          <w:kern w:val="0"/>
          <w:sz w:val="28"/>
          <w:szCs w:val="28"/>
          <w:highlight w:val="none"/>
          <w:lang w:val="en-US" w:eastAsia="zh-CN" w:bidi="ar-SA"/>
        </w:rPr>
        <w:t>连续驻校指导不低于30个日历日，供应商应提供承诺函。</w:t>
      </w:r>
    </w:p>
    <w:p w14:paraId="31780907">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3</w:t>
      </w:r>
      <w:r>
        <w:rPr>
          <w:rFonts w:hint="default" w:ascii="Calibri" w:hAnsi="Calibri" w:eastAsia="宋体" w:cs="Times New Roman"/>
          <w:b w:val="0"/>
          <w:bCs/>
          <w:color w:val="000000"/>
          <w:kern w:val="0"/>
          <w:sz w:val="28"/>
          <w:szCs w:val="28"/>
          <w:highlight w:val="none"/>
          <w:lang w:val="en-US" w:eastAsia="zh-CN" w:bidi="ar-SA"/>
        </w:rPr>
        <w:t>.辅导与协助</w:t>
      </w:r>
      <w:r>
        <w:rPr>
          <w:rFonts w:hint="eastAsia" w:ascii="Calibri" w:hAnsi="Calibri" w:cs="Times New Roman"/>
          <w:b w:val="0"/>
          <w:bCs/>
          <w:color w:val="000000"/>
          <w:kern w:val="0"/>
          <w:sz w:val="28"/>
          <w:szCs w:val="28"/>
          <w:highlight w:val="none"/>
          <w:lang w:val="en-US" w:eastAsia="zh-CN" w:bidi="ar-SA"/>
        </w:rPr>
        <w:t>学校</w:t>
      </w:r>
      <w:r>
        <w:rPr>
          <w:rFonts w:hint="default" w:ascii="Calibri" w:hAnsi="Calibri" w:eastAsia="宋体" w:cs="Times New Roman"/>
          <w:b w:val="0"/>
          <w:bCs/>
          <w:color w:val="000000"/>
          <w:kern w:val="0"/>
          <w:sz w:val="28"/>
          <w:szCs w:val="28"/>
          <w:highlight w:val="none"/>
          <w:lang w:val="en-US" w:eastAsia="zh-CN" w:bidi="ar-SA"/>
        </w:rPr>
        <w:t>完成</w:t>
      </w:r>
      <w:r>
        <w:rPr>
          <w:rFonts w:hint="eastAsia" w:ascii="Calibri" w:hAnsi="Calibri" w:cs="Times New Roman"/>
          <w:b w:val="0"/>
          <w:bCs/>
          <w:color w:val="000000"/>
          <w:kern w:val="0"/>
          <w:sz w:val="28"/>
          <w:szCs w:val="28"/>
          <w:highlight w:val="none"/>
          <w:lang w:val="en-US" w:eastAsia="zh-CN" w:bidi="ar-SA"/>
        </w:rPr>
        <w:t>《学校设置论证报告》并开展可行性研究</w:t>
      </w:r>
      <w:r>
        <w:rPr>
          <w:rFonts w:hint="default" w:ascii="Calibri" w:hAnsi="Calibri" w:eastAsia="宋体" w:cs="Times New Roman"/>
          <w:b w:val="0"/>
          <w:bCs/>
          <w:color w:val="000000"/>
          <w:kern w:val="0"/>
          <w:sz w:val="28"/>
          <w:szCs w:val="28"/>
          <w:highlight w:val="none"/>
          <w:lang w:val="en-US" w:eastAsia="zh-CN" w:bidi="ar-SA"/>
        </w:rPr>
        <w:t>。围绕区域产业需求、学校办学基础、必要性与可行性进行深入调研；重点论证服务地方经济的能力与特色，撰写《关于设立职业</w:t>
      </w:r>
      <w:r>
        <w:rPr>
          <w:rFonts w:hint="eastAsia" w:ascii="Calibri" w:hAnsi="Calibri" w:cs="Times New Roman"/>
          <w:b w:val="0"/>
          <w:bCs/>
          <w:color w:val="000000"/>
          <w:kern w:val="0"/>
          <w:sz w:val="28"/>
          <w:szCs w:val="28"/>
          <w:highlight w:val="none"/>
          <w:lang w:val="en-US" w:eastAsia="zh-CN" w:bidi="ar-SA"/>
        </w:rPr>
        <w:t>大学</w:t>
      </w:r>
      <w:r>
        <w:rPr>
          <w:rFonts w:hint="default" w:ascii="Calibri" w:hAnsi="Calibri" w:eastAsia="宋体" w:cs="Times New Roman"/>
          <w:b w:val="0"/>
          <w:bCs/>
          <w:color w:val="000000"/>
          <w:kern w:val="0"/>
          <w:sz w:val="28"/>
          <w:szCs w:val="28"/>
          <w:highlight w:val="none"/>
          <w:lang w:val="en-US" w:eastAsia="zh-CN" w:bidi="ar-SA"/>
        </w:rPr>
        <w:t>的论证报告》，确保办学定位精准、数据翔实、逻辑严密。</w:t>
      </w:r>
    </w:p>
    <w:p w14:paraId="69842FF5">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Calibri" w:hAnsi="Calibri" w:eastAsia="宋体" w:cs="Times New Roman"/>
          <w:b w:val="0"/>
          <w:bCs/>
          <w:color w:val="auto"/>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4</w:t>
      </w:r>
      <w:r>
        <w:rPr>
          <w:rFonts w:hint="default" w:ascii="Calibri" w:hAnsi="Calibri" w:eastAsia="宋体" w:cs="Times New Roman"/>
          <w:b w:val="0"/>
          <w:bCs/>
          <w:color w:val="000000"/>
          <w:kern w:val="0"/>
          <w:sz w:val="28"/>
          <w:szCs w:val="28"/>
          <w:highlight w:val="none"/>
          <w:lang w:val="en-US" w:eastAsia="zh-CN" w:bidi="ar-SA"/>
        </w:rPr>
        <w:t>.辅导与协助编制学校</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十五五</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事业发展规划</w:t>
      </w:r>
      <w:r>
        <w:rPr>
          <w:rFonts w:hint="eastAsia" w:ascii="Calibri" w:hAnsi="Calibri" w:cs="Times New Roman"/>
          <w:b w:val="0"/>
          <w:bCs/>
          <w:color w:val="000000"/>
          <w:kern w:val="0"/>
          <w:sz w:val="28"/>
          <w:szCs w:val="28"/>
          <w:highlight w:val="none"/>
          <w:lang w:val="en-US" w:eastAsia="zh-CN" w:bidi="ar-SA"/>
        </w:rPr>
        <w:t>及大学发展规划</w:t>
      </w:r>
      <w:r>
        <w:rPr>
          <w:rFonts w:hint="default" w:ascii="Calibri" w:hAnsi="Calibri" w:eastAsia="宋体" w:cs="Times New Roman"/>
          <w:b w:val="0"/>
          <w:bCs/>
          <w:color w:val="000000"/>
          <w:kern w:val="0"/>
          <w:sz w:val="28"/>
          <w:szCs w:val="28"/>
          <w:highlight w:val="none"/>
          <w:lang w:val="en-US" w:eastAsia="zh-CN" w:bidi="ar-SA"/>
        </w:rPr>
        <w:t>。 对接国家及地方教育规划与产业规划，明确学校未来五年的发展目标、学科专业布局、师资建设、校园建设等核心内容</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确保规划具有前瞻性、科学性和可操作性，并与升本指标相衔接</w:t>
      </w:r>
      <w:r>
        <w:rPr>
          <w:rFonts w:hint="eastAsia" w:ascii="Calibri" w:hAnsi="Calibri" w:cs="Times New Roman"/>
          <w:b w:val="0"/>
          <w:bCs/>
          <w:color w:val="000000"/>
          <w:kern w:val="0"/>
          <w:sz w:val="28"/>
          <w:szCs w:val="28"/>
          <w:highlight w:val="none"/>
          <w:lang w:val="en-US" w:eastAsia="zh-CN" w:bidi="ar-SA"/>
        </w:rPr>
        <w:t>。</w:t>
      </w:r>
    </w:p>
    <w:p w14:paraId="7AE7F11F">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5</w:t>
      </w:r>
      <w:r>
        <w:rPr>
          <w:rFonts w:hint="default" w:ascii="Calibri" w:hAnsi="Calibri" w:eastAsia="宋体" w:cs="Times New Roman"/>
          <w:b w:val="0"/>
          <w:bCs/>
          <w:color w:val="000000"/>
          <w:kern w:val="0"/>
          <w:sz w:val="28"/>
          <w:szCs w:val="28"/>
          <w:highlight w:val="none"/>
          <w:lang w:val="en-US" w:eastAsia="zh-CN" w:bidi="ar-SA"/>
        </w:rPr>
        <w:t>.辅导与协助</w:t>
      </w:r>
      <w:r>
        <w:rPr>
          <w:rFonts w:hint="eastAsia" w:ascii="Calibri" w:hAnsi="Calibri" w:cs="Times New Roman"/>
          <w:b w:val="0"/>
          <w:bCs/>
          <w:color w:val="000000"/>
          <w:kern w:val="0"/>
          <w:sz w:val="28"/>
          <w:szCs w:val="28"/>
          <w:highlight w:val="none"/>
          <w:lang w:val="en-US" w:eastAsia="zh-CN" w:bidi="ar-SA"/>
        </w:rPr>
        <w:t>学校完成</w:t>
      </w:r>
      <w:r>
        <w:rPr>
          <w:rFonts w:hint="default" w:ascii="Calibri" w:hAnsi="Calibri" w:eastAsia="宋体" w:cs="Times New Roman"/>
          <w:b w:val="0"/>
          <w:bCs/>
          <w:color w:val="000000"/>
          <w:kern w:val="0"/>
          <w:sz w:val="28"/>
          <w:szCs w:val="28"/>
          <w:highlight w:val="none"/>
          <w:lang w:val="en-US" w:eastAsia="zh-CN" w:bidi="ar-SA"/>
        </w:rPr>
        <w:t>《大学章程》及现代大学制度体系建设</w:t>
      </w:r>
      <w:r>
        <w:rPr>
          <w:rFonts w:hint="eastAsia" w:ascii="Calibri" w:hAnsi="Calibri" w:cs="Times New Roman"/>
          <w:b w:val="0"/>
          <w:bCs/>
          <w:color w:val="000000"/>
          <w:kern w:val="0"/>
          <w:sz w:val="28"/>
          <w:szCs w:val="28"/>
          <w:highlight w:val="none"/>
          <w:lang w:val="en-US" w:eastAsia="zh-CN" w:bidi="ar-SA"/>
        </w:rPr>
        <w:t>方案</w:t>
      </w:r>
      <w:r>
        <w:rPr>
          <w:rFonts w:hint="default" w:ascii="Calibri" w:hAnsi="Calibri" w:eastAsia="宋体" w:cs="Times New Roman"/>
          <w:b w:val="0"/>
          <w:bCs/>
          <w:color w:val="000000"/>
          <w:kern w:val="0"/>
          <w:sz w:val="28"/>
          <w:szCs w:val="28"/>
          <w:highlight w:val="none"/>
          <w:lang w:val="en-US" w:eastAsia="zh-CN" w:bidi="ar-SA"/>
        </w:rPr>
        <w:t>。依据《高等教育法》《职业教育法》及相关政策要求，完善以章程为核心的现代大学制度</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梳理教学、科研、人事、学生管理、产教融合等内部治理制度文件，完善内部治理结构。</w:t>
      </w:r>
    </w:p>
    <w:p w14:paraId="58A4DBC8">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6</w:t>
      </w:r>
      <w:r>
        <w:rPr>
          <w:rFonts w:hint="default" w:ascii="Calibri" w:hAnsi="Calibri" w:eastAsia="宋体" w:cs="Times New Roman"/>
          <w:b w:val="0"/>
          <w:bCs/>
          <w:color w:val="000000"/>
          <w:kern w:val="0"/>
          <w:sz w:val="28"/>
          <w:szCs w:val="28"/>
          <w:highlight w:val="none"/>
          <w:lang w:val="en-US" w:eastAsia="zh-CN" w:bidi="ar-SA"/>
        </w:rPr>
        <w:t>.辅导与协助完成首批拟设置本科专业论证报告。针对拟首批设置的每个本科专业，开展行业企业深度调研，撰写《专业设置可行性论证报告》，重点分析产业链岗位需求、就业前景以及设置本科层次的必要性。</w:t>
      </w:r>
    </w:p>
    <w:p w14:paraId="0B6F08D4">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eastAsia" w:ascii="Calibri" w:hAnsi="Calibri"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7</w:t>
      </w:r>
      <w:r>
        <w:rPr>
          <w:rFonts w:hint="default" w:ascii="Calibri" w:hAnsi="Calibri" w:eastAsia="宋体" w:cs="Times New Roman"/>
          <w:b w:val="0"/>
          <w:bCs/>
          <w:color w:val="000000"/>
          <w:kern w:val="0"/>
          <w:sz w:val="28"/>
          <w:szCs w:val="28"/>
          <w:highlight w:val="none"/>
          <w:lang w:val="en-US" w:eastAsia="zh-CN" w:bidi="ar-SA"/>
        </w:rPr>
        <w:t>.辅导与协助制定首批本科专业人才培养方案。 遵循</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高层次技术技能人才</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培养定位，校企共同制定人才培养方案</w:t>
      </w:r>
      <w:r>
        <w:rPr>
          <w:rFonts w:hint="eastAsia" w:ascii="Calibri" w:hAnsi="Calibri" w:cs="Times New Roman"/>
          <w:b w:val="0"/>
          <w:bCs/>
          <w:color w:val="000000"/>
          <w:kern w:val="0"/>
          <w:sz w:val="28"/>
          <w:szCs w:val="28"/>
          <w:highlight w:val="none"/>
          <w:lang w:val="en-US" w:eastAsia="zh-CN" w:bidi="ar-SA"/>
        </w:rPr>
        <w:t>。</w:t>
      </w:r>
    </w:p>
    <w:p w14:paraId="591DC7DC">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eastAsia" w:ascii="Calibri" w:hAnsi="Calibri"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8</w:t>
      </w:r>
      <w:r>
        <w:rPr>
          <w:rFonts w:hint="default" w:ascii="Calibri" w:hAnsi="Calibri" w:eastAsia="宋体" w:cs="Times New Roman"/>
          <w:b w:val="0"/>
          <w:bCs/>
          <w:color w:val="000000"/>
          <w:kern w:val="0"/>
          <w:sz w:val="28"/>
          <w:szCs w:val="28"/>
          <w:highlight w:val="none"/>
          <w:lang w:val="en-US" w:eastAsia="zh-CN" w:bidi="ar-SA"/>
        </w:rPr>
        <w:t>.组织权威专家对核心申报材料进行多轮审核与修改。邀请评估专家、职教本科实践校长、行业企业领军人物等组成</w:t>
      </w:r>
      <w:r>
        <w:rPr>
          <w:rFonts w:hint="eastAsia" w:ascii="Calibri" w:hAnsi="Calibri" w:cs="Times New Roman"/>
          <w:b w:val="0"/>
          <w:bCs/>
          <w:color w:val="000000"/>
          <w:kern w:val="0"/>
          <w:sz w:val="28"/>
          <w:szCs w:val="28"/>
          <w:highlight w:val="none"/>
          <w:lang w:val="en-US" w:eastAsia="zh-CN" w:bidi="ar-SA"/>
        </w:rPr>
        <w:t>专家</w:t>
      </w:r>
      <w:r>
        <w:rPr>
          <w:rFonts w:hint="default" w:ascii="Calibri" w:hAnsi="Calibri" w:eastAsia="宋体" w:cs="Times New Roman"/>
          <w:b w:val="0"/>
          <w:bCs/>
          <w:color w:val="000000"/>
          <w:kern w:val="0"/>
          <w:sz w:val="28"/>
          <w:szCs w:val="28"/>
          <w:highlight w:val="none"/>
          <w:lang w:val="en-US" w:eastAsia="zh-CN" w:bidi="ar-SA"/>
        </w:rPr>
        <w:t>团队，对论证报告、章程、规划等材料进行</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预审</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反馈</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修改</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复审</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的闭环打磨</w:t>
      </w:r>
      <w:r>
        <w:rPr>
          <w:rFonts w:hint="eastAsia" w:ascii="Calibri" w:hAnsi="Calibri" w:cs="Times New Roman"/>
          <w:b w:val="0"/>
          <w:bCs/>
          <w:color w:val="000000"/>
          <w:kern w:val="0"/>
          <w:sz w:val="28"/>
          <w:szCs w:val="28"/>
          <w:highlight w:val="none"/>
          <w:lang w:val="en-US" w:eastAsia="zh-CN" w:bidi="ar-SA"/>
        </w:rPr>
        <w:t>。</w:t>
      </w:r>
    </w:p>
    <w:p w14:paraId="64139B41">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eastAsia" w:ascii="Calibri" w:hAnsi="Calibri"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9</w:t>
      </w:r>
      <w:r>
        <w:rPr>
          <w:rFonts w:hint="default" w:ascii="Calibri" w:hAnsi="Calibri" w:eastAsia="宋体" w:cs="Times New Roman"/>
          <w:b w:val="0"/>
          <w:bCs/>
          <w:color w:val="000000"/>
          <w:kern w:val="0"/>
          <w:sz w:val="28"/>
          <w:szCs w:val="28"/>
          <w:highlight w:val="none"/>
          <w:lang w:val="en-US" w:eastAsia="zh-CN" w:bidi="ar-SA"/>
        </w:rPr>
        <w:t>.</w:t>
      </w:r>
      <w:r>
        <w:rPr>
          <w:rFonts w:hint="eastAsia" w:ascii="Calibri" w:hAnsi="Calibri" w:cs="Times New Roman"/>
          <w:b w:val="0"/>
          <w:bCs/>
          <w:color w:val="000000"/>
          <w:kern w:val="0"/>
          <w:sz w:val="28"/>
          <w:szCs w:val="28"/>
          <w:highlight w:val="none"/>
          <w:lang w:val="en-US" w:eastAsia="zh-CN" w:bidi="ar-SA"/>
        </w:rPr>
        <w:t>协助学校</w:t>
      </w:r>
      <w:r>
        <w:rPr>
          <w:rFonts w:hint="default" w:ascii="Calibri" w:hAnsi="Calibri" w:eastAsia="宋体" w:cs="Times New Roman"/>
          <w:b w:val="0"/>
          <w:bCs/>
          <w:color w:val="000000"/>
          <w:kern w:val="0"/>
          <w:sz w:val="28"/>
          <w:szCs w:val="28"/>
          <w:highlight w:val="none"/>
          <w:lang w:val="en-US" w:eastAsia="zh-CN" w:bidi="ar-SA"/>
        </w:rPr>
        <w:t>根据专家意见完善材料，形成入规申报定稿。全面梳理和吸纳专家意见，对文本进行精细化润色与数据校核</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同步整理支撑材料（如获奖证书、校企合作协议、师资证明、资产证明等），汇编成册，确保佐证充分</w:t>
      </w:r>
      <w:r>
        <w:rPr>
          <w:rFonts w:hint="eastAsia" w:ascii="Calibri" w:hAnsi="Calibri" w:cs="Times New Roman"/>
          <w:b w:val="0"/>
          <w:bCs/>
          <w:color w:val="000000"/>
          <w:kern w:val="0"/>
          <w:sz w:val="28"/>
          <w:szCs w:val="28"/>
          <w:highlight w:val="none"/>
          <w:lang w:val="en-US" w:eastAsia="zh-CN" w:bidi="ar-SA"/>
        </w:rPr>
        <w:t>。</w:t>
      </w:r>
    </w:p>
    <w:p w14:paraId="21F8D28D">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jc w:val="both"/>
        <w:textAlignment w:val="auto"/>
        <w:rPr>
          <w:rFonts w:hint="default" w:ascii="Calibri" w:hAnsi="Calibri"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10</w:t>
      </w:r>
      <w:r>
        <w:rPr>
          <w:rFonts w:hint="default" w:ascii="Calibri" w:hAnsi="Calibri" w:eastAsia="宋体" w:cs="Times New Roman"/>
          <w:b w:val="0"/>
          <w:bCs/>
          <w:color w:val="000000"/>
          <w:kern w:val="0"/>
          <w:sz w:val="28"/>
          <w:szCs w:val="28"/>
          <w:highlight w:val="none"/>
          <w:lang w:val="en-US" w:eastAsia="zh-CN" w:bidi="ar-SA"/>
        </w:rPr>
        <w:t>.</w:t>
      </w:r>
      <w:r>
        <w:rPr>
          <w:rFonts w:hint="eastAsia" w:ascii="Calibri" w:hAnsi="Calibri" w:cs="Times New Roman"/>
          <w:b w:val="0"/>
          <w:bCs/>
          <w:color w:val="000000"/>
          <w:kern w:val="0"/>
          <w:sz w:val="28"/>
          <w:szCs w:val="28"/>
          <w:highlight w:val="none"/>
          <w:lang w:val="en-US" w:eastAsia="zh-CN" w:bidi="ar-SA"/>
        </w:rPr>
        <w:t>协助学校</w:t>
      </w:r>
      <w:r>
        <w:rPr>
          <w:rFonts w:hint="default" w:ascii="Calibri" w:hAnsi="Calibri" w:eastAsia="宋体" w:cs="Times New Roman"/>
          <w:b w:val="0"/>
          <w:bCs/>
          <w:color w:val="000000"/>
          <w:kern w:val="0"/>
          <w:sz w:val="28"/>
          <w:szCs w:val="28"/>
          <w:highlight w:val="none"/>
          <w:lang w:val="en-US" w:eastAsia="zh-CN" w:bidi="ar-SA"/>
        </w:rPr>
        <w:t>完成</w:t>
      </w:r>
      <w:r>
        <w:rPr>
          <w:rFonts w:hint="eastAsia" w:ascii="Calibri" w:hAnsi="Calibri" w:cs="Times New Roman"/>
          <w:b w:val="0"/>
          <w:bCs/>
          <w:color w:val="000000"/>
          <w:kern w:val="0"/>
          <w:sz w:val="28"/>
          <w:szCs w:val="28"/>
          <w:highlight w:val="none"/>
          <w:lang w:val="en-US" w:eastAsia="zh-CN" w:bidi="ar-SA"/>
        </w:rPr>
        <w:t>入规</w:t>
      </w:r>
      <w:r>
        <w:rPr>
          <w:rFonts w:hint="default" w:ascii="Calibri" w:hAnsi="Calibri" w:eastAsia="宋体" w:cs="Times New Roman"/>
          <w:b w:val="0"/>
          <w:bCs/>
          <w:color w:val="000000"/>
          <w:kern w:val="0"/>
          <w:sz w:val="28"/>
          <w:szCs w:val="28"/>
          <w:highlight w:val="none"/>
          <w:lang w:val="en-US" w:eastAsia="zh-CN" w:bidi="ar-SA"/>
        </w:rPr>
        <w:t>申报材料的专业化排版设计与印制。对入规请示、论证报告、章程、规划、专业材料等全套文件进行统一设计、专业排版、校对和精装印制，形成规范的申报</w:t>
      </w:r>
      <w:r>
        <w:rPr>
          <w:rFonts w:hint="eastAsia" w:ascii="Calibri" w:hAnsi="Calibri" w:cs="Times New Roman"/>
          <w:b w:val="0"/>
          <w:bCs/>
          <w:color w:val="000000"/>
          <w:kern w:val="0"/>
          <w:sz w:val="28"/>
          <w:szCs w:val="28"/>
          <w:highlight w:val="none"/>
          <w:lang w:val="en-US" w:eastAsia="zh-CN" w:bidi="ar-SA"/>
        </w:rPr>
        <w:t>纸质版材料。</w:t>
      </w:r>
    </w:p>
    <w:p w14:paraId="7F39F24C">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11</w:t>
      </w:r>
      <w:r>
        <w:rPr>
          <w:rFonts w:hint="default" w:ascii="Calibri" w:hAnsi="Calibri" w:eastAsia="宋体" w:cs="Times New Roman"/>
          <w:b w:val="0"/>
          <w:bCs/>
          <w:color w:val="000000"/>
          <w:kern w:val="0"/>
          <w:sz w:val="28"/>
          <w:szCs w:val="28"/>
          <w:highlight w:val="none"/>
          <w:lang w:val="en-US" w:eastAsia="zh-CN" w:bidi="ar-SA"/>
        </w:rPr>
        <w:t>.</w:t>
      </w:r>
      <w:r>
        <w:rPr>
          <w:rFonts w:hint="eastAsia" w:ascii="Calibri" w:hAnsi="Calibri" w:cs="Times New Roman"/>
          <w:b w:val="0"/>
          <w:bCs/>
          <w:color w:val="000000"/>
          <w:kern w:val="0"/>
          <w:sz w:val="28"/>
          <w:szCs w:val="28"/>
          <w:highlight w:val="none"/>
          <w:lang w:val="en-US" w:eastAsia="zh-CN" w:bidi="ar-SA"/>
        </w:rPr>
        <w:t>提供</w:t>
      </w:r>
      <w:r>
        <w:rPr>
          <w:rFonts w:hint="default" w:ascii="Calibri" w:hAnsi="Calibri" w:eastAsia="宋体" w:cs="Times New Roman"/>
          <w:b w:val="0"/>
          <w:bCs/>
          <w:color w:val="000000"/>
          <w:kern w:val="0"/>
          <w:sz w:val="28"/>
          <w:szCs w:val="28"/>
          <w:highlight w:val="none"/>
          <w:lang w:val="en-US" w:eastAsia="zh-CN" w:bidi="ar-SA"/>
        </w:rPr>
        <w:t>学校升本建设过程</w:t>
      </w:r>
      <w:r>
        <w:rPr>
          <w:rFonts w:hint="eastAsia" w:ascii="Calibri" w:hAnsi="Calibri" w:eastAsia="宋体" w:cs="Times New Roman"/>
          <w:b w:val="0"/>
          <w:bCs/>
          <w:color w:val="000000"/>
          <w:kern w:val="0"/>
          <w:sz w:val="28"/>
          <w:szCs w:val="28"/>
          <w:highlight w:val="none"/>
          <w:lang w:val="en-US" w:eastAsia="zh-CN" w:bidi="ar-SA"/>
        </w:rPr>
        <w:t>信息化服务工作</w:t>
      </w:r>
      <w:r>
        <w:rPr>
          <w:rFonts w:hint="default" w:ascii="Calibri" w:hAnsi="Calibri" w:eastAsia="宋体" w:cs="Times New Roman"/>
          <w:b w:val="0"/>
          <w:bCs/>
          <w:color w:val="000000"/>
          <w:kern w:val="0"/>
          <w:sz w:val="28"/>
          <w:szCs w:val="28"/>
          <w:highlight w:val="none"/>
          <w:lang w:val="en-US" w:eastAsia="zh-CN" w:bidi="ar-SA"/>
        </w:rPr>
        <w:t>，动态展示学校基本办学条件、专业建设成果及申报进度</w:t>
      </w:r>
      <w:r>
        <w:rPr>
          <w:rFonts w:hint="eastAsia" w:ascii="Calibri" w:hAnsi="Calibri" w:eastAsia="宋体"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实时监测生师比、生均设备值等关键</w:t>
      </w:r>
      <w:r>
        <w:rPr>
          <w:rFonts w:hint="eastAsia" w:ascii="Calibri" w:hAnsi="Calibri" w:eastAsia="宋体" w:cs="Times New Roman"/>
          <w:b w:val="0"/>
          <w:bCs/>
          <w:color w:val="000000"/>
          <w:kern w:val="0"/>
          <w:sz w:val="28"/>
          <w:szCs w:val="28"/>
          <w:highlight w:val="none"/>
          <w:lang w:val="en-US" w:eastAsia="zh-CN" w:bidi="ar-SA"/>
        </w:rPr>
        <w:t>指标，</w:t>
      </w:r>
      <w:r>
        <w:rPr>
          <w:rFonts w:hint="default" w:ascii="Calibri" w:hAnsi="Calibri" w:eastAsia="宋体" w:cs="Times New Roman"/>
          <w:b w:val="0"/>
          <w:bCs/>
          <w:color w:val="000000"/>
          <w:kern w:val="0"/>
          <w:sz w:val="28"/>
          <w:szCs w:val="28"/>
          <w:highlight w:val="none"/>
          <w:vertAlign w:val="baseline"/>
          <w:lang w:val="en-US" w:eastAsia="zh-CN" w:bidi="ar-SA"/>
        </w:rPr>
        <w:t>支撑</w:t>
      </w:r>
      <w:r>
        <w:rPr>
          <w:rFonts w:hint="eastAsia" w:ascii="Calibri" w:hAnsi="Calibri" w:eastAsia="宋体" w:cs="Times New Roman"/>
          <w:b w:val="0"/>
          <w:bCs/>
          <w:color w:val="000000"/>
          <w:kern w:val="0"/>
          <w:sz w:val="28"/>
          <w:szCs w:val="28"/>
          <w:highlight w:val="none"/>
          <w:vertAlign w:val="baseline"/>
          <w:lang w:val="en-US" w:eastAsia="zh-CN" w:bidi="ar-SA"/>
        </w:rPr>
        <w:t>申本建设</w:t>
      </w:r>
      <w:r>
        <w:rPr>
          <w:rFonts w:hint="default" w:ascii="Calibri" w:hAnsi="Calibri" w:eastAsia="宋体" w:cs="Times New Roman"/>
          <w:b w:val="0"/>
          <w:bCs/>
          <w:color w:val="000000"/>
          <w:kern w:val="0"/>
          <w:sz w:val="28"/>
          <w:szCs w:val="28"/>
          <w:highlight w:val="none"/>
          <w:vertAlign w:val="baseline"/>
          <w:lang w:val="en-US" w:eastAsia="zh-CN" w:bidi="ar-SA"/>
        </w:rPr>
        <w:t>学校的全流程建设工作，规范升本过程中各类建设资料的收集、整理、归档、审核与利用，确保建设过程可追溯、资料管理标准化、评估对接高效化</w:t>
      </w:r>
      <w:r>
        <w:rPr>
          <w:rFonts w:hint="eastAsia" w:ascii="Calibri" w:hAnsi="Calibri" w:cs="Times New Roman"/>
          <w:b w:val="0"/>
          <w:bCs/>
          <w:color w:val="000000"/>
          <w:kern w:val="0"/>
          <w:sz w:val="28"/>
          <w:szCs w:val="28"/>
          <w:highlight w:val="none"/>
          <w:vertAlign w:val="baseline"/>
          <w:lang w:val="en-US" w:eastAsia="zh-CN" w:bidi="ar-SA"/>
        </w:rPr>
        <w:t>。核心</w:t>
      </w:r>
      <w:r>
        <w:rPr>
          <w:rFonts w:hint="eastAsia" w:ascii="Calibri" w:hAnsi="Calibri" w:eastAsia="宋体" w:cs="Times New Roman"/>
          <w:b w:val="0"/>
          <w:bCs/>
          <w:color w:val="000000"/>
          <w:kern w:val="0"/>
          <w:sz w:val="28"/>
          <w:szCs w:val="28"/>
          <w:highlight w:val="none"/>
          <w:lang w:val="en-US" w:eastAsia="zh-CN" w:bidi="ar-SA"/>
        </w:rPr>
        <w:t>要求如下：</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739B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7F7D86BC">
            <w:pPr>
              <w:pStyle w:val="43"/>
              <w:numPr>
                <w:ilvl w:val="0"/>
                <w:numId w:val="0"/>
              </w:numPr>
              <w:ind w:firstLine="560" w:firstLineChars="200"/>
              <w:rPr>
                <w:rFonts w:hint="default"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lang w:val="en-US" w:eastAsia="zh-CN" w:bidi="ar-SA"/>
              </w:rPr>
              <w:t>信息化服务</w:t>
            </w:r>
            <w:r>
              <w:rPr>
                <w:rFonts w:hint="default" w:ascii="Calibri" w:hAnsi="Calibri" w:eastAsia="宋体" w:cs="Times New Roman"/>
                <w:b w:val="0"/>
                <w:bCs/>
                <w:color w:val="000000"/>
                <w:kern w:val="0"/>
                <w:sz w:val="28"/>
                <w:szCs w:val="28"/>
                <w:highlight w:val="none"/>
                <w:vertAlign w:val="baseline"/>
                <w:lang w:val="en-US" w:eastAsia="zh-CN" w:bidi="ar-SA"/>
              </w:rPr>
              <w:t>严格对标</w:t>
            </w:r>
            <w:r>
              <w:rPr>
                <w:rFonts w:hint="eastAsia" w:ascii="Calibri" w:hAnsi="Calibri" w:eastAsia="宋体" w:cs="Times New Roman"/>
                <w:b w:val="0"/>
                <w:bCs/>
                <w:color w:val="000000"/>
                <w:kern w:val="0"/>
                <w:sz w:val="28"/>
                <w:szCs w:val="28"/>
                <w:highlight w:val="none"/>
                <w:vertAlign w:val="baseline"/>
                <w:lang w:val="en-US" w:eastAsia="zh-CN" w:bidi="ar-SA"/>
              </w:rPr>
              <w:t>（教育部高等学校设置标准(试行) 2025）</w:t>
            </w:r>
            <w:r>
              <w:rPr>
                <w:rFonts w:hint="default" w:ascii="Calibri" w:hAnsi="Calibri" w:eastAsia="宋体" w:cs="Times New Roman"/>
                <w:b w:val="0"/>
                <w:bCs/>
                <w:color w:val="000000"/>
                <w:kern w:val="0"/>
                <w:sz w:val="28"/>
                <w:szCs w:val="28"/>
                <w:highlight w:val="none"/>
                <w:vertAlign w:val="baseline"/>
                <w:lang w:val="en-US" w:eastAsia="zh-CN" w:bidi="ar-SA"/>
              </w:rPr>
              <w:t>，聚焦升本建设全周期资料管理需求，覆盖 “院校指标数据采集-智能诊断分析-专家咨询与指导-整改进度跟踪-整改效果审核” 核心流程，为院校升本建设提供资料管理支撑，同时满足教育部评估时的资料调阅、佐证核验需求。</w:t>
            </w:r>
          </w:p>
          <w:p w14:paraId="0C81AF57">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一、申本各类材料收集：</w:t>
            </w:r>
          </w:p>
          <w:p w14:paraId="06D5D23B">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1.材料采集：支持文件上传、在线填报数据，适配升本所需各类佐证材料采集。</w:t>
            </w:r>
          </w:p>
          <w:p w14:paraId="11647ADB">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2.任务化管理：可按指标发布采集任务，指定责任部门、责任人及截止时间，支持任务搜索、按审核状态筛选等。</w:t>
            </w:r>
          </w:p>
          <w:p w14:paraId="2CD98044">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3.材料汇总导出：支持采集材料汇总，可直接导出下载，无需手动整理。</w:t>
            </w:r>
          </w:p>
          <w:p w14:paraId="30462E5E">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4.案例库：收录全国成功升本院校的建设资料范例，支持按指标模块/资料类型筛选，提供范例下载、在线预览功能。</w:t>
            </w:r>
          </w:p>
          <w:p w14:paraId="16CDB9AB">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二、专家评审反馈</w:t>
            </w:r>
          </w:p>
          <w:p w14:paraId="37C76D50">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1.专家审核：专家可对院校提交的采集材料、整改成果进行专业审核，标注审核意见，明确通过 / 驳回结论，同步展示审核进度统计。</w:t>
            </w:r>
          </w:p>
          <w:p w14:paraId="2992E794">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2.咨询与会议指导：院校可针对未达标指标向专家发起在线咨询（提交文字、资料），预约线上会议指导；专家可接收预约、调整时间，会后添加指导记录，实现精准对接。</w:t>
            </w:r>
          </w:p>
          <w:p w14:paraId="233142A1">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三、申本指标动态监测：可视化呈现，风险预警</w:t>
            </w:r>
          </w:p>
          <w:p w14:paraId="0610CCA7">
            <w:pPr>
              <w:pStyle w:val="21"/>
              <w:ind w:left="0" w:leftChars="0"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1.指标体系支撑：内置官方评估指标（教育部高等学校设置标准(试行) 2025），支持动态更新、自定义调整，适配院校实际需求。</w:t>
            </w:r>
          </w:p>
          <w:p w14:paraId="7F3D42E0">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2.实时监测与预警：通过综合看板、雷达图、热力图等可视化形式，展示院校升本建设达标指数、高风险指标、薄弱项，按严重 / 高危级别预警指标异常。</w:t>
            </w:r>
          </w:p>
          <w:p w14:paraId="6554BD05">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3.多维度对比分析：支持横向（与同类型院校）、纵向（本校历史数据）指标对比，直观呈现建设差距，为决策提供依据。</w:t>
            </w:r>
          </w:p>
          <w:p w14:paraId="0617C5BD">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四、问题整改</w:t>
            </w:r>
          </w:p>
          <w:p w14:paraId="143380A0">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1.整改任务管控：针对专家批复意见以及未达标指标创建整改任务，指定责任人、截止时间、优先级，避免重复创建，可视化展示任务总数、进度及各状态分布。</w:t>
            </w:r>
          </w:p>
          <w:p w14:paraId="1A435439">
            <w:pPr>
              <w:pStyle w:val="43"/>
              <w:numPr>
                <w:ilvl w:val="0"/>
                <w:numId w:val="0"/>
              </w:numPr>
              <w:ind w:firstLine="560" w:firstLineChars="200"/>
              <w:rPr>
                <w:rFonts w:hint="eastAsia"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2.进度跟踪与审核：实时更新整改状态，可查看整改资料、记录整改过程，支持多级审核（含专家审核），审核人员可预览资料、填写意见。</w:t>
            </w:r>
          </w:p>
          <w:p w14:paraId="13911C5D">
            <w:pPr>
              <w:pStyle w:val="43"/>
              <w:numPr>
                <w:ilvl w:val="0"/>
                <w:numId w:val="0"/>
              </w:numPr>
              <w:ind w:firstLine="560" w:firstLineChars="200"/>
              <w:rPr>
                <w:rFonts w:hint="default" w:ascii="Calibri" w:hAnsi="Calibri" w:eastAsia="宋体" w:cs="Times New Roman"/>
                <w:b w:val="0"/>
                <w:bCs/>
                <w:color w:val="000000"/>
                <w:kern w:val="0"/>
                <w:sz w:val="28"/>
                <w:szCs w:val="28"/>
                <w:highlight w:val="none"/>
                <w:vertAlign w:val="baseline"/>
                <w:lang w:val="en-US" w:eastAsia="zh-CN" w:bidi="ar-SA"/>
              </w:rPr>
            </w:pPr>
            <w:r>
              <w:rPr>
                <w:rFonts w:hint="eastAsia" w:ascii="Calibri" w:hAnsi="Calibri" w:eastAsia="宋体" w:cs="Times New Roman"/>
                <w:b w:val="0"/>
                <w:bCs/>
                <w:color w:val="000000"/>
                <w:kern w:val="0"/>
                <w:sz w:val="28"/>
                <w:szCs w:val="28"/>
                <w:highlight w:val="none"/>
                <w:vertAlign w:val="baseline"/>
                <w:lang w:val="en-US" w:eastAsia="zh-CN" w:bidi="ar-SA"/>
              </w:rPr>
              <w:t>3.闭环归档：形成 “指标不合格 - 诊断 - 整改 - 审核” 全闭环，自动归档整改资料、审核记录，支持整改情况溯源查询。</w:t>
            </w:r>
          </w:p>
        </w:tc>
      </w:tr>
    </w:tbl>
    <w:p w14:paraId="052D7A7F">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p>
    <w:p w14:paraId="3F4B7302">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（二）入规后建设阶段</w:t>
      </w:r>
    </w:p>
    <w:p w14:paraId="4346EEDC">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1.</w:t>
      </w:r>
      <w:r>
        <w:rPr>
          <w:rFonts w:hint="default" w:ascii="Calibri" w:hAnsi="Calibri" w:eastAsia="宋体" w:cs="Times New Roman"/>
          <w:b w:val="0"/>
          <w:bCs/>
          <w:color w:val="000000"/>
          <w:kern w:val="0"/>
          <w:sz w:val="28"/>
          <w:szCs w:val="28"/>
          <w:highlight w:val="none"/>
          <w:lang w:val="en-US" w:eastAsia="zh-CN" w:bidi="ar-SA"/>
        </w:rPr>
        <w:t>辅导与协助学校完成论证报告、学校</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十五五</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规划、大学章程、专业设置等核心申报材料的修订完善。结合教育厅</w:t>
      </w:r>
      <w:r>
        <w:rPr>
          <w:rFonts w:hint="eastAsia" w:ascii="Calibri" w:hAnsi="Calibri" w:cs="Times New Roman"/>
          <w:b w:val="0"/>
          <w:bCs/>
          <w:color w:val="000000"/>
          <w:kern w:val="0"/>
          <w:sz w:val="28"/>
          <w:szCs w:val="28"/>
          <w:highlight w:val="none"/>
          <w:lang w:val="en-US" w:eastAsia="zh-CN" w:bidi="ar-SA"/>
        </w:rPr>
        <w:t>及</w:t>
      </w:r>
      <w:r>
        <w:rPr>
          <w:rFonts w:hint="default" w:ascii="Calibri" w:hAnsi="Calibri" w:eastAsia="宋体" w:cs="Times New Roman"/>
          <w:b w:val="0"/>
          <w:bCs/>
          <w:color w:val="000000"/>
          <w:kern w:val="0"/>
          <w:sz w:val="28"/>
          <w:szCs w:val="28"/>
          <w:highlight w:val="none"/>
          <w:lang w:val="en-US" w:eastAsia="zh-CN" w:bidi="ar-SA"/>
        </w:rPr>
        <w:t>专家组的入规反馈意见，对论证报告、章程、规划、首批本科专业设置材料等进行针对性修改与数据更新。</w:t>
      </w:r>
    </w:p>
    <w:p w14:paraId="6BC5E694">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2.</w:t>
      </w:r>
      <w:r>
        <w:rPr>
          <w:rFonts w:hint="default" w:ascii="Calibri" w:hAnsi="Calibri" w:eastAsia="宋体" w:cs="Times New Roman"/>
          <w:b w:val="0"/>
          <w:bCs/>
          <w:color w:val="000000"/>
          <w:kern w:val="0"/>
          <w:sz w:val="28"/>
          <w:szCs w:val="28"/>
          <w:highlight w:val="none"/>
          <w:lang w:val="en-US" w:eastAsia="zh-CN" w:bidi="ar-SA"/>
        </w:rPr>
        <w:t>辅导与协助学校制定总体核查材料目录及佐证材料体系设计。</w:t>
      </w:r>
    </w:p>
    <w:p w14:paraId="10E2FAF6">
      <w:pPr>
        <w:pStyle w:val="4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对照相关指标要求，系统梳理办学条件（师资、校舍、设备、图书等）、经费保障、产教融合、人才培养等模块，编制佐证材料总目录，明确每一指标的佐证路径、责任部门及材料规范。</w:t>
      </w:r>
    </w:p>
    <w:p w14:paraId="4D4D0CB9">
      <w:pPr>
        <w:pStyle w:val="43"/>
        <w:keepNext w:val="0"/>
        <w:keepLines w:val="0"/>
        <w:pageBreakBefore w:val="0"/>
        <w:widowControl w:val="0"/>
        <w:numPr>
          <w:ilvl w:val="0"/>
          <w:numId w:val="0"/>
        </w:numPr>
        <w:kinsoku/>
        <w:wordWrap/>
        <w:overflowPunct/>
        <w:topLinePunct w:val="0"/>
        <w:autoSpaceDE/>
        <w:autoSpaceDN/>
        <w:bidi w:val="0"/>
        <w:adjustRightInd/>
        <w:snapToGrid/>
        <w:spacing w:after="0"/>
        <w:ind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3.</w:t>
      </w:r>
      <w:r>
        <w:rPr>
          <w:rFonts w:hint="default" w:ascii="Calibri" w:hAnsi="Calibri" w:eastAsia="宋体" w:cs="Times New Roman"/>
          <w:b w:val="0"/>
          <w:bCs/>
          <w:color w:val="000000"/>
          <w:kern w:val="0"/>
          <w:sz w:val="28"/>
          <w:szCs w:val="28"/>
          <w:highlight w:val="none"/>
          <w:lang w:val="en-US" w:eastAsia="zh-CN" w:bidi="ar-SA"/>
        </w:rPr>
        <w:t>辅导与协助学校开展办学条件达标动态监测与整改提升。对生师比、具有研究生学位教师占比、生均教学科研仪器设备值、生均图书等重点指标进行动态跟踪</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针对</w:t>
      </w:r>
      <w:r>
        <w:rPr>
          <w:rFonts w:hint="eastAsia" w:ascii="Calibri" w:hAnsi="Calibri" w:cs="Times New Roman"/>
          <w:b w:val="0"/>
          <w:bCs/>
          <w:color w:val="000000"/>
          <w:kern w:val="0"/>
          <w:sz w:val="28"/>
          <w:szCs w:val="28"/>
          <w:highlight w:val="none"/>
          <w:lang w:val="en-US" w:eastAsia="zh-CN" w:bidi="ar-SA"/>
        </w:rPr>
        <w:t>不达标项</w:t>
      </w:r>
      <w:r>
        <w:rPr>
          <w:rFonts w:hint="default" w:ascii="Calibri" w:hAnsi="Calibri" w:eastAsia="宋体" w:cs="Times New Roman"/>
          <w:b w:val="0"/>
          <w:bCs/>
          <w:color w:val="000000"/>
          <w:kern w:val="0"/>
          <w:sz w:val="28"/>
          <w:szCs w:val="28"/>
          <w:highlight w:val="none"/>
          <w:lang w:val="en-US" w:eastAsia="zh-CN" w:bidi="ar-SA"/>
        </w:rPr>
        <w:t>提出整改</w:t>
      </w:r>
      <w:r>
        <w:rPr>
          <w:rFonts w:hint="eastAsia" w:ascii="Calibri" w:hAnsi="Calibri" w:cs="Times New Roman"/>
          <w:b w:val="0"/>
          <w:bCs/>
          <w:color w:val="000000"/>
          <w:kern w:val="0"/>
          <w:sz w:val="28"/>
          <w:szCs w:val="28"/>
          <w:highlight w:val="none"/>
          <w:lang w:val="en-US" w:eastAsia="zh-CN" w:bidi="ar-SA"/>
        </w:rPr>
        <w:t>建设</w:t>
      </w:r>
      <w:r>
        <w:rPr>
          <w:rFonts w:hint="default" w:ascii="Calibri" w:hAnsi="Calibri" w:eastAsia="宋体" w:cs="Times New Roman"/>
          <w:b w:val="0"/>
          <w:bCs/>
          <w:color w:val="000000"/>
          <w:kern w:val="0"/>
          <w:sz w:val="28"/>
          <w:szCs w:val="28"/>
          <w:highlight w:val="none"/>
          <w:lang w:val="en-US" w:eastAsia="zh-CN" w:bidi="ar-SA"/>
        </w:rPr>
        <w:t>方案。</w:t>
      </w:r>
    </w:p>
    <w:p w14:paraId="59070A01">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4.组织专家开展阶段性建设评估与预考察指导。邀请具有职业本科评估经验的专家，对照设置标准对学校建设进展进行中期评估。开展至少1次全流程预考察（含听取汇报、查阅材料、实地走访、师生座谈），出具评估报告及整改建议，以评促建。</w:t>
      </w:r>
    </w:p>
    <w:p w14:paraId="55A7F9FB">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（三）自治区专家入校准备阶段</w:t>
      </w:r>
    </w:p>
    <w:p w14:paraId="00CA1FB4">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1.辅导与协助学校完成论证报告、学校“十五五”规划、大学章程、专业设置等申报材料的最终定稿。在吸收</w:t>
      </w:r>
      <w:r>
        <w:rPr>
          <w:rFonts w:hint="eastAsia" w:ascii="Calibri" w:hAnsi="Calibri" w:cs="Times New Roman"/>
          <w:b w:val="0"/>
          <w:bCs/>
          <w:color w:val="000000"/>
          <w:kern w:val="0"/>
          <w:sz w:val="28"/>
          <w:szCs w:val="28"/>
          <w:highlight w:val="none"/>
          <w:lang w:val="en-US" w:eastAsia="zh-CN" w:bidi="ar-SA"/>
        </w:rPr>
        <w:t>自治区专家</w:t>
      </w:r>
      <w:r>
        <w:rPr>
          <w:rFonts w:hint="default" w:ascii="Calibri" w:hAnsi="Calibri" w:eastAsia="宋体" w:cs="Times New Roman"/>
          <w:b w:val="0"/>
          <w:bCs/>
          <w:color w:val="000000"/>
          <w:kern w:val="0"/>
          <w:sz w:val="28"/>
          <w:szCs w:val="28"/>
          <w:highlight w:val="none"/>
          <w:lang w:val="en-US" w:eastAsia="zh-CN" w:bidi="ar-SA"/>
        </w:rPr>
        <w:t>预审意见基础上，对全套核心申报材料进行审核、校核与润色，确保文本无差错、逻辑自洽、数据闭合，形成提交</w:t>
      </w:r>
      <w:r>
        <w:rPr>
          <w:rFonts w:hint="eastAsia" w:ascii="Calibri" w:hAnsi="Calibri" w:cs="Times New Roman"/>
          <w:b w:val="0"/>
          <w:bCs/>
          <w:color w:val="000000"/>
          <w:kern w:val="0"/>
          <w:sz w:val="28"/>
          <w:szCs w:val="28"/>
          <w:highlight w:val="none"/>
          <w:lang w:val="en-US" w:eastAsia="zh-CN" w:bidi="ar-SA"/>
        </w:rPr>
        <w:t>自治区</w:t>
      </w:r>
      <w:r>
        <w:rPr>
          <w:rFonts w:hint="default" w:ascii="Calibri" w:hAnsi="Calibri" w:eastAsia="宋体" w:cs="Times New Roman"/>
          <w:b w:val="0"/>
          <w:bCs/>
          <w:color w:val="000000"/>
          <w:kern w:val="0"/>
          <w:sz w:val="28"/>
          <w:szCs w:val="28"/>
          <w:highlight w:val="none"/>
          <w:lang w:val="en-US" w:eastAsia="zh-CN" w:bidi="ar-SA"/>
        </w:rPr>
        <w:t>专家组的正式印刷版。</w:t>
      </w:r>
    </w:p>
    <w:p w14:paraId="75FBFFB2">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2.</w:t>
      </w:r>
      <w:r>
        <w:rPr>
          <w:rFonts w:hint="default" w:ascii="Calibri" w:hAnsi="Calibri" w:eastAsia="宋体" w:cs="Times New Roman"/>
          <w:b w:val="0"/>
          <w:bCs/>
          <w:color w:val="000000"/>
          <w:kern w:val="0"/>
          <w:sz w:val="28"/>
          <w:szCs w:val="28"/>
          <w:highlight w:val="none"/>
          <w:lang w:val="en-US" w:eastAsia="zh-CN" w:bidi="ar-SA"/>
        </w:rPr>
        <w:t>辅导与协助学校对照</w:t>
      </w:r>
      <w:r>
        <w:rPr>
          <w:rFonts w:hint="eastAsia" w:ascii="Calibri" w:hAnsi="Calibri" w:cs="Times New Roman"/>
          <w:b w:val="0"/>
          <w:bCs/>
          <w:color w:val="000000"/>
          <w:kern w:val="0"/>
          <w:sz w:val="28"/>
          <w:szCs w:val="28"/>
          <w:highlight w:val="none"/>
          <w:lang w:val="en-US" w:eastAsia="zh-CN" w:bidi="ar-SA"/>
        </w:rPr>
        <w:t>自治区</w:t>
      </w:r>
      <w:r>
        <w:rPr>
          <w:rFonts w:hint="default" w:ascii="Calibri" w:hAnsi="Calibri" w:eastAsia="宋体" w:cs="Times New Roman"/>
          <w:b w:val="0"/>
          <w:bCs/>
          <w:color w:val="000000"/>
          <w:kern w:val="0"/>
          <w:sz w:val="28"/>
          <w:szCs w:val="28"/>
          <w:highlight w:val="none"/>
          <w:lang w:val="en-US" w:eastAsia="zh-CN" w:bidi="ar-SA"/>
        </w:rPr>
        <w:t>专家入校要件清单，逐项完成佐证材料的诊断与补充。依据</w:t>
      </w:r>
      <w:r>
        <w:rPr>
          <w:rFonts w:hint="eastAsia" w:ascii="Calibri" w:hAnsi="Calibri" w:cs="Times New Roman"/>
          <w:b w:val="0"/>
          <w:bCs/>
          <w:color w:val="000000"/>
          <w:kern w:val="0"/>
          <w:sz w:val="28"/>
          <w:szCs w:val="28"/>
          <w:highlight w:val="none"/>
          <w:lang w:val="en-US" w:eastAsia="zh-CN" w:bidi="ar-SA"/>
        </w:rPr>
        <w:t>自治区</w:t>
      </w:r>
      <w:r>
        <w:rPr>
          <w:rFonts w:hint="default" w:ascii="Calibri" w:hAnsi="Calibri" w:eastAsia="宋体" w:cs="Times New Roman"/>
          <w:b w:val="0"/>
          <w:bCs/>
          <w:color w:val="000000"/>
          <w:kern w:val="0"/>
          <w:sz w:val="28"/>
          <w:szCs w:val="28"/>
          <w:highlight w:val="none"/>
          <w:lang w:val="en-US" w:eastAsia="zh-CN" w:bidi="ar-SA"/>
        </w:rPr>
        <w:t>教育厅下发的入校考察要件清单（含基本办学条件、经费保障、师资队伍、实训条件、产教融合等模块），开展全面自查与整改，确保佐证完整、规范、可溯。</w:t>
      </w:r>
    </w:p>
    <w:p w14:paraId="01D4AA85">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3.</w:t>
      </w:r>
      <w:r>
        <w:rPr>
          <w:rFonts w:hint="default" w:ascii="Calibri" w:hAnsi="Calibri" w:eastAsia="宋体" w:cs="Times New Roman"/>
          <w:b w:val="0"/>
          <w:bCs/>
          <w:color w:val="000000"/>
          <w:kern w:val="0"/>
          <w:sz w:val="28"/>
          <w:szCs w:val="28"/>
          <w:highlight w:val="none"/>
          <w:lang w:val="en-US" w:eastAsia="zh-CN" w:bidi="ar-SA"/>
        </w:rPr>
        <w:t>辅导与协助学校完成佐证材料的系统化整理、编目与定稿。对全部佐证材料进行统一编号、分类装盒，编制《佐证材料总目录》制作电子检索版与纸质备查版双套体系，便于专家现场快速调阅。</w:t>
      </w:r>
    </w:p>
    <w:p w14:paraId="3F95BABF">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4.</w:t>
      </w:r>
      <w:r>
        <w:rPr>
          <w:rFonts w:hint="default" w:ascii="Calibri" w:hAnsi="Calibri" w:eastAsia="宋体" w:cs="Times New Roman"/>
          <w:b w:val="0"/>
          <w:bCs/>
          <w:color w:val="000000"/>
          <w:kern w:val="0"/>
          <w:sz w:val="28"/>
          <w:szCs w:val="28"/>
          <w:highlight w:val="none"/>
          <w:lang w:val="en-US" w:eastAsia="zh-CN" w:bidi="ar-SA"/>
        </w:rPr>
        <w:t>辅导与协助学校完成考察点位科学设置与内涵提升。结合学校办学特色与优势，合理规划考察路线及点位（如校史馆、产教融合实训基地、智慧教室、图书馆、学生社区、合作企业等），对每个点位进行解说词打磨、展示内容优化及环境布置。</w:t>
      </w:r>
    </w:p>
    <w:p w14:paraId="59CB0210">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5.</w:t>
      </w:r>
      <w:r>
        <w:rPr>
          <w:rFonts w:hint="default" w:ascii="Calibri" w:hAnsi="Calibri" w:eastAsia="宋体" w:cs="Times New Roman"/>
          <w:b w:val="0"/>
          <w:bCs/>
          <w:color w:val="000000"/>
          <w:kern w:val="0"/>
          <w:sz w:val="28"/>
          <w:szCs w:val="28"/>
          <w:highlight w:val="none"/>
          <w:lang w:val="en-US" w:eastAsia="zh-CN" w:bidi="ar-SA"/>
        </w:rPr>
        <w:t>组织开展校级领导、中层干部、教师代表的分层分类访谈与座谈会专项辅导。针对专家访谈环节，分别设计校领导座谈会、教学管理人员座谈会、专任教师座谈会、学生代表座谈会的常见问题库，开展模拟问答与应答技巧训练，提升访谈表现力。</w:t>
      </w:r>
    </w:p>
    <w:p w14:paraId="125C1CF6">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6.</w:t>
      </w:r>
      <w:r>
        <w:rPr>
          <w:rFonts w:hint="default" w:ascii="Calibri" w:hAnsi="Calibri" w:eastAsia="宋体" w:cs="Times New Roman"/>
          <w:b w:val="0"/>
          <w:bCs/>
          <w:color w:val="000000"/>
          <w:kern w:val="0"/>
          <w:sz w:val="28"/>
          <w:szCs w:val="28"/>
          <w:highlight w:val="none"/>
          <w:lang w:val="en-US" w:eastAsia="zh-CN" w:bidi="ar-SA"/>
        </w:rPr>
        <w:t>组织开展学生群体的迎评动员与访谈辅导。面向在校生（尤其是首批拟设置本科专业学生）开展升本政策宣讲、校园文明礼仪教育及模拟访谈训练，引导学生了解学校办学定位、专业培养目标，展现良好精神风貌。</w:t>
      </w:r>
    </w:p>
    <w:p w14:paraId="748057AA">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7.</w:t>
      </w:r>
      <w:r>
        <w:rPr>
          <w:rFonts w:hint="default" w:ascii="Calibri" w:hAnsi="Calibri" w:eastAsia="宋体" w:cs="Times New Roman"/>
          <w:b w:val="0"/>
          <w:bCs/>
          <w:color w:val="000000"/>
          <w:kern w:val="0"/>
          <w:sz w:val="28"/>
          <w:szCs w:val="28"/>
          <w:highlight w:val="none"/>
          <w:lang w:val="en-US" w:eastAsia="zh-CN" w:bidi="ar-SA"/>
        </w:rPr>
        <w:t>辅导与协助学校编制《省级专家入校考察工作手册》。统筹编制涵盖学校概况、日程安排、专家名单、陪同人员、点位介绍、服务指南、应急预案等内容的工作手册，做到内容详实、印制规范、便于使用。</w:t>
      </w:r>
    </w:p>
    <w:p w14:paraId="6176E3F3">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8.协助学校</w:t>
      </w:r>
      <w:r>
        <w:rPr>
          <w:rFonts w:hint="default" w:ascii="Calibri" w:hAnsi="Calibri" w:eastAsia="宋体" w:cs="Times New Roman"/>
          <w:b w:val="0"/>
          <w:bCs/>
          <w:color w:val="000000"/>
          <w:kern w:val="0"/>
          <w:sz w:val="28"/>
          <w:szCs w:val="28"/>
          <w:highlight w:val="none"/>
          <w:lang w:val="en-US" w:eastAsia="zh-CN" w:bidi="ar-SA"/>
        </w:rPr>
        <w:t>组织开展全流程、全要素的省级专家入校考察模拟演练。按照正式入校流程，至少开展2轮全真模拟演练（含专家见面会、实地考察、资料查阅、听课看课、座谈会、意见反馈会），检验各环节衔接及应急响应能力。</w:t>
      </w:r>
    </w:p>
    <w:p w14:paraId="18966BB4">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9.协助学校</w:t>
      </w:r>
      <w:r>
        <w:rPr>
          <w:rFonts w:hint="default" w:ascii="Calibri" w:hAnsi="Calibri" w:eastAsia="宋体" w:cs="Times New Roman"/>
          <w:b w:val="0"/>
          <w:bCs/>
          <w:color w:val="000000"/>
          <w:kern w:val="0"/>
          <w:sz w:val="28"/>
          <w:szCs w:val="28"/>
          <w:highlight w:val="none"/>
          <w:lang w:val="en-US" w:eastAsia="zh-CN" w:bidi="ar-SA"/>
        </w:rPr>
        <w:t>完成考察期间会场布置、设备调试及接待服务保障工作。对专家见面会、反馈会等核心会场进行规范化布置（席卡、材料、投影、话筒等），调试多媒体设备，制定接待方案（交通、食宿、引导、医疗保障），确保万无一失。</w:t>
      </w:r>
    </w:p>
    <w:p w14:paraId="16FB78A2">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10.协助学校</w:t>
      </w:r>
      <w:r>
        <w:rPr>
          <w:rFonts w:hint="default" w:ascii="Calibri" w:hAnsi="Calibri" w:eastAsia="宋体" w:cs="Times New Roman"/>
          <w:b w:val="0"/>
          <w:bCs/>
          <w:color w:val="000000"/>
          <w:kern w:val="0"/>
          <w:sz w:val="28"/>
          <w:szCs w:val="28"/>
          <w:highlight w:val="none"/>
          <w:lang w:val="en-US" w:eastAsia="zh-CN" w:bidi="ar-SA"/>
        </w:rPr>
        <w:t>完成</w:t>
      </w:r>
      <w:r>
        <w:rPr>
          <w:rFonts w:hint="eastAsia" w:ascii="Calibri" w:hAnsi="Calibri" w:cs="Times New Roman"/>
          <w:b w:val="0"/>
          <w:bCs/>
          <w:color w:val="000000"/>
          <w:kern w:val="0"/>
          <w:sz w:val="28"/>
          <w:szCs w:val="28"/>
          <w:highlight w:val="none"/>
          <w:lang w:val="en-US" w:eastAsia="zh-CN" w:bidi="ar-SA"/>
        </w:rPr>
        <w:t>自治区高评委</w:t>
      </w:r>
      <w:r>
        <w:rPr>
          <w:rFonts w:hint="default" w:ascii="Calibri" w:hAnsi="Calibri" w:eastAsia="宋体" w:cs="Times New Roman"/>
          <w:b w:val="0"/>
          <w:bCs/>
          <w:color w:val="000000"/>
          <w:kern w:val="0"/>
          <w:sz w:val="28"/>
          <w:szCs w:val="28"/>
          <w:highlight w:val="none"/>
          <w:lang w:val="en-US" w:eastAsia="zh-CN" w:bidi="ar-SA"/>
        </w:rPr>
        <w:t>入校阶段全套申报材料及工作手册的专业排版与印制。对定稿后的论证报告、章程、规划、专业材料及入校工作手册进行统一设计排版、高标准印刷及装订，按专家人数准备若干套装，确保规格统一、品质精良。</w:t>
      </w:r>
    </w:p>
    <w:p w14:paraId="56B2EE0A">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11.协助学校</w:t>
      </w:r>
      <w:r>
        <w:rPr>
          <w:rFonts w:hint="default" w:ascii="Calibri" w:hAnsi="Calibri" w:eastAsia="宋体" w:cs="Times New Roman"/>
          <w:b w:val="0"/>
          <w:bCs/>
          <w:color w:val="000000"/>
          <w:kern w:val="0"/>
          <w:sz w:val="28"/>
          <w:szCs w:val="28"/>
          <w:highlight w:val="none"/>
          <w:lang w:val="en-US" w:eastAsia="zh-CN" w:bidi="ar-SA"/>
        </w:rPr>
        <w:t>组织开展迎评冲刺阶段的办学理念与评估实务系列讲座。面向全校教职工开展迎评最后冲刺培训，内容涵盖职业本科设置标准解读、专家考察关注重点、应答技巧、校园礼仪等，进一步凝聚共识、提振士气。</w:t>
      </w:r>
    </w:p>
    <w:p w14:paraId="1C781C50">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12.</w:t>
      </w:r>
      <w:r>
        <w:rPr>
          <w:rFonts w:hint="default" w:ascii="Calibri" w:hAnsi="Calibri" w:eastAsia="宋体" w:cs="Times New Roman"/>
          <w:b w:val="0"/>
          <w:bCs/>
          <w:color w:val="000000"/>
          <w:kern w:val="0"/>
          <w:sz w:val="28"/>
          <w:szCs w:val="28"/>
          <w:highlight w:val="none"/>
          <w:lang w:val="en-US" w:eastAsia="zh-CN" w:bidi="ar-SA"/>
        </w:rPr>
        <w:t>协助学校制定</w:t>
      </w:r>
      <w:r>
        <w:rPr>
          <w:rFonts w:hint="eastAsia" w:ascii="Calibri" w:hAnsi="Calibri" w:cs="Times New Roman"/>
          <w:b w:val="0"/>
          <w:bCs/>
          <w:color w:val="000000"/>
          <w:kern w:val="0"/>
          <w:sz w:val="28"/>
          <w:szCs w:val="28"/>
          <w:highlight w:val="none"/>
          <w:lang w:val="en-US" w:eastAsia="zh-CN" w:bidi="ar-SA"/>
        </w:rPr>
        <w:t>自治区高评委</w:t>
      </w:r>
      <w:r>
        <w:rPr>
          <w:rFonts w:hint="default" w:ascii="Calibri" w:hAnsi="Calibri" w:eastAsia="宋体" w:cs="Times New Roman"/>
          <w:b w:val="0"/>
          <w:bCs/>
          <w:color w:val="000000"/>
          <w:kern w:val="0"/>
          <w:sz w:val="28"/>
          <w:szCs w:val="28"/>
          <w:highlight w:val="none"/>
          <w:lang w:val="en-US" w:eastAsia="zh-CN" w:bidi="ar-SA"/>
        </w:rPr>
        <w:t>入校考察应急预案及问题整改清零清单。针对可能出现的突发情况（如专家临时调整线路、设备故障、数据质疑等）制定应对预案</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同时梳理前期自查及模拟演练中发现的问题，形成整改清零台账，确保入校前全部闭环销号</w:t>
      </w:r>
      <w:r>
        <w:rPr>
          <w:rFonts w:hint="eastAsia" w:ascii="Calibri" w:hAnsi="Calibri" w:cs="Times New Roman"/>
          <w:b w:val="0"/>
          <w:bCs/>
          <w:color w:val="000000"/>
          <w:kern w:val="0"/>
          <w:sz w:val="28"/>
          <w:szCs w:val="28"/>
          <w:highlight w:val="none"/>
          <w:lang w:val="en-US" w:eastAsia="zh-CN" w:bidi="ar-SA"/>
        </w:rPr>
        <w:t>。</w:t>
      </w:r>
    </w:p>
    <w:p w14:paraId="2AFD4C6F">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（四）教育部专家入校筹备阶段</w:t>
      </w:r>
    </w:p>
    <w:p w14:paraId="445C9141">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1.组织邀请全国知名专家对论证报告、学校</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十五五</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规划、大学章程、专业设置等核心申报材料进行审议，并按照修改意见修改形成最终定稿。邀请具有职业本科评估或设置经验的全国知名专家（含教育部高评委成员），对全套申报材料进行终审把关，重点审视办学定位、类型特色、条件达标情况等，根据专家意见逐条修改完善，形成上报教育部的正式定稿版本。</w:t>
      </w:r>
    </w:p>
    <w:p w14:paraId="463A27C8">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2.</w:t>
      </w:r>
      <w:r>
        <w:rPr>
          <w:rFonts w:hint="default" w:ascii="Calibri" w:hAnsi="Calibri" w:eastAsia="宋体" w:cs="Times New Roman"/>
          <w:b w:val="0"/>
          <w:bCs/>
          <w:color w:val="000000"/>
          <w:kern w:val="0"/>
          <w:sz w:val="28"/>
          <w:szCs w:val="28"/>
          <w:highlight w:val="none"/>
          <w:lang w:val="en-US" w:eastAsia="zh-CN" w:bidi="ar-SA"/>
        </w:rPr>
        <w:t>辅导与协助学校完成教育部专家入校考察要件清单及佐证材料的最终核查与定稿。对照教育部高评委专家组入校考察的标准化要件清单，逐项核查办学条件、师资队伍、经费保障、实训条件、产教融合等佐证材料，确保数据闭合、逻辑自洽，形成最终电子版与纸质版备查体系。</w:t>
      </w:r>
    </w:p>
    <w:p w14:paraId="0D68C11A">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3.</w:t>
      </w:r>
      <w:r>
        <w:rPr>
          <w:rFonts w:hint="default" w:ascii="Calibri" w:hAnsi="Calibri" w:eastAsia="宋体" w:cs="Times New Roman"/>
          <w:b w:val="0"/>
          <w:bCs/>
          <w:color w:val="000000"/>
          <w:kern w:val="0"/>
          <w:sz w:val="28"/>
          <w:szCs w:val="28"/>
          <w:highlight w:val="none"/>
          <w:lang w:val="en-US" w:eastAsia="zh-CN" w:bidi="ar-SA"/>
        </w:rPr>
        <w:t>辅导与协助完成教育部专家入校考察工作手册及考察方案编制。统筹编制涵盖学校概况、日程安排、专家名单及分工、考察点位路线、听课看课安排、座谈会议程、企业走访方案、接待服务指南、应急预案等内容的《教育部专家入校考察工作手册》，确保内容规范、信息精准、便于专家使用。</w:t>
      </w:r>
    </w:p>
    <w:p w14:paraId="7B330BFD">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4.</w:t>
      </w:r>
      <w:r>
        <w:rPr>
          <w:rFonts w:hint="default" w:ascii="Calibri" w:hAnsi="Calibri" w:eastAsia="宋体" w:cs="Times New Roman"/>
          <w:b w:val="0"/>
          <w:bCs/>
          <w:color w:val="000000"/>
          <w:kern w:val="0"/>
          <w:sz w:val="28"/>
          <w:szCs w:val="28"/>
          <w:highlight w:val="none"/>
          <w:lang w:val="en-US" w:eastAsia="zh-CN" w:bidi="ar-SA"/>
        </w:rPr>
        <w:t>辅导与协助完成考察期间会议材料、接待方案及要件清单的统筹准备。系统准备专家见面会、汇报会、反馈会等环节的全套会议材料（含汇报PPT、学校简介、材料索引等）</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制定精细化接待方案（交通、食宿、引导、医疗保障等）</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梳理专家现场查阅的要件清单，确保材料即调即有。</w:t>
      </w:r>
    </w:p>
    <w:p w14:paraId="6A6A227B">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5.</w:t>
      </w:r>
      <w:r>
        <w:rPr>
          <w:rFonts w:hint="default" w:ascii="Calibri" w:hAnsi="Calibri" w:eastAsia="宋体" w:cs="Times New Roman"/>
          <w:b w:val="0"/>
          <w:bCs/>
          <w:color w:val="000000"/>
          <w:kern w:val="0"/>
          <w:sz w:val="28"/>
          <w:szCs w:val="28"/>
          <w:highlight w:val="none"/>
          <w:lang w:val="en-US" w:eastAsia="zh-CN" w:bidi="ar-SA"/>
        </w:rPr>
        <w:t>组织开展教育部专家入校考察全流程模拟演练。按照正式入校考察的完整流程，至少开展2轮全真模拟演练，检验各环节衔接流畅度、应答质量及应急处理能力。</w:t>
      </w:r>
    </w:p>
    <w:p w14:paraId="5BFD39E1">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6.</w:t>
      </w:r>
      <w:r>
        <w:rPr>
          <w:rFonts w:hint="default" w:ascii="Calibri" w:hAnsi="Calibri" w:eastAsia="宋体" w:cs="Times New Roman"/>
          <w:b w:val="0"/>
          <w:bCs/>
          <w:color w:val="000000"/>
          <w:kern w:val="0"/>
          <w:sz w:val="28"/>
          <w:szCs w:val="28"/>
          <w:highlight w:val="none"/>
          <w:lang w:val="en-US" w:eastAsia="zh-CN" w:bidi="ar-SA"/>
        </w:rPr>
        <w:t>辅导与协助完成专业申报材料的现场核查与专业负责人专项辅导。针对首批拟设置本科专业的申报材料（专业论证报告、人才培养方案、课程标准等），进行逐项复核</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对专业带头人、教研室主任开展专项辅导，确保其能清晰阐述专业建设思路、人才培养特色及产教融合成果。</w:t>
      </w:r>
    </w:p>
    <w:p w14:paraId="69EC1AF6">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7.</w:t>
      </w:r>
      <w:r>
        <w:rPr>
          <w:rFonts w:hint="default" w:ascii="Calibri" w:hAnsi="Calibri" w:eastAsia="宋体" w:cs="Times New Roman"/>
          <w:b w:val="0"/>
          <w:bCs/>
          <w:color w:val="000000"/>
          <w:kern w:val="0"/>
          <w:sz w:val="28"/>
          <w:szCs w:val="28"/>
          <w:highlight w:val="none"/>
          <w:lang w:val="en-US" w:eastAsia="zh-CN" w:bidi="ar-SA"/>
        </w:rPr>
        <w:t>组织开展各级各类座谈会专项辅导与模拟演练。针对校领导座谈会、教学管理人员座谈会、专任教师座谈会、学生代表座谈会、企业代表座谈会等不同场景，分别设计问题库，开展多轮模拟问答训练，提升应答的一致性与专业性。</w:t>
      </w:r>
    </w:p>
    <w:p w14:paraId="23D102C5">
      <w:pPr>
        <w:pStyle w:val="43"/>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560" w:firstLineChars="200"/>
        <w:textAlignment w:val="auto"/>
        <w:rPr>
          <w:rFonts w:hint="default" w:ascii="Calibri" w:hAnsi="Calibri" w:eastAsia="宋体" w:cs="Times New Roman"/>
          <w:b w:val="0"/>
          <w:bCs/>
          <w:color w:val="000000"/>
          <w:kern w:val="0"/>
          <w:sz w:val="28"/>
          <w:szCs w:val="28"/>
          <w:highlight w:val="none"/>
          <w:lang w:val="en-US" w:eastAsia="zh-CN" w:bidi="ar-SA"/>
        </w:rPr>
      </w:pPr>
      <w:r>
        <w:rPr>
          <w:rFonts w:hint="eastAsia" w:ascii="Calibri" w:hAnsi="Calibri" w:cs="Times New Roman"/>
          <w:b w:val="0"/>
          <w:bCs/>
          <w:color w:val="000000"/>
          <w:kern w:val="0"/>
          <w:sz w:val="28"/>
          <w:szCs w:val="28"/>
          <w:highlight w:val="none"/>
          <w:lang w:val="en-US" w:eastAsia="zh-CN" w:bidi="ar-SA"/>
        </w:rPr>
        <w:t>8.</w:t>
      </w:r>
      <w:r>
        <w:rPr>
          <w:rFonts w:hint="default" w:ascii="Calibri" w:hAnsi="Calibri" w:eastAsia="宋体" w:cs="Times New Roman"/>
          <w:b w:val="0"/>
          <w:bCs/>
          <w:color w:val="000000"/>
          <w:kern w:val="0"/>
          <w:sz w:val="28"/>
          <w:szCs w:val="28"/>
          <w:highlight w:val="none"/>
          <w:lang w:val="en-US" w:eastAsia="zh-CN" w:bidi="ar-SA"/>
        </w:rPr>
        <w:t>辅导与协助完成企业走访及合作企业座谈指导与模拟演练。筛选具有代表性的深度合作企业作为走访点位，协助企业准备汇报材料、参观路线及座谈内容</w:t>
      </w:r>
      <w:r>
        <w:rPr>
          <w:rFonts w:hint="eastAsia" w:ascii="Calibri" w:hAnsi="Calibri" w:cs="Times New Roman"/>
          <w:b w:val="0"/>
          <w:bCs/>
          <w:color w:val="000000"/>
          <w:kern w:val="0"/>
          <w:sz w:val="28"/>
          <w:szCs w:val="28"/>
          <w:highlight w:val="none"/>
          <w:lang w:val="en-US" w:eastAsia="zh-CN" w:bidi="ar-SA"/>
        </w:rPr>
        <w:t>。</w:t>
      </w:r>
      <w:r>
        <w:rPr>
          <w:rFonts w:hint="default" w:ascii="Calibri" w:hAnsi="Calibri" w:eastAsia="宋体" w:cs="Times New Roman"/>
          <w:b w:val="0"/>
          <w:bCs/>
          <w:color w:val="000000"/>
          <w:kern w:val="0"/>
          <w:sz w:val="28"/>
          <w:szCs w:val="28"/>
          <w:highlight w:val="none"/>
          <w:lang w:val="en-US" w:eastAsia="zh-CN" w:bidi="ar-SA"/>
        </w:rPr>
        <w:t>开展校企双方联合模拟演练，确保企业方能够清晰表达校企合作模式、学生实习实训成效及就业质量。</w:t>
      </w:r>
    </w:p>
    <w:p w14:paraId="145FED7F">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（五）其他要求</w:t>
      </w:r>
    </w:p>
    <w:p w14:paraId="6BCF6D14">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1.组织不少于5人的核心团队人员，提供不少于10个月的驻场服务。</w:t>
      </w:r>
    </w:p>
    <w:p w14:paraId="0773715A">
      <w:pPr>
        <w:pStyle w:val="14"/>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2.本次采购包含与学校申办本科层次相关的其他所有事项。</w:t>
      </w:r>
    </w:p>
    <w:p w14:paraId="4ADC31FD">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八、其他需要说明的事项</w:t>
      </w:r>
    </w:p>
    <w:p w14:paraId="57251A05">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1.本项目为全过程服务，包含申办本科层次职业大学所需的全部服务及全部费用，不接受额外增项。</w:t>
      </w:r>
    </w:p>
    <w:p w14:paraId="32EA1B76">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r>
        <w:rPr>
          <w:rFonts w:hint="default" w:ascii="Calibri" w:hAnsi="Calibri" w:eastAsia="宋体" w:cs="Times New Roman"/>
          <w:b w:val="0"/>
          <w:bCs/>
          <w:color w:val="000000"/>
          <w:kern w:val="0"/>
          <w:sz w:val="28"/>
          <w:szCs w:val="28"/>
          <w:highlight w:val="none"/>
          <w:lang w:val="en-US" w:eastAsia="zh-CN" w:bidi="ar-SA"/>
        </w:rPr>
        <w:t>2.本项目不接受备选方案。</w:t>
      </w:r>
      <w:r>
        <w:rPr>
          <w:rFonts w:hint="default" w:ascii="Calibri" w:hAnsi="Calibri" w:eastAsia="宋体" w:cs="Times New Roman"/>
          <w:b w:val="0"/>
          <w:bCs/>
          <w:color w:val="000000"/>
          <w:kern w:val="0"/>
          <w:sz w:val="28"/>
          <w:szCs w:val="28"/>
          <w:highlight w:val="none"/>
          <w:lang w:val="en-US" w:eastAsia="zh-CN" w:bidi="ar-SA"/>
        </w:rPr>
        <w:br w:type="textWrapping"/>
      </w:r>
    </w:p>
    <w:p w14:paraId="0AF5F22D">
      <w:pPr>
        <w:pStyle w:val="43"/>
        <w:numPr>
          <w:ilvl w:val="0"/>
          <w:numId w:val="0"/>
        </w:numPr>
        <w:ind w:leftChars="0"/>
        <w:rPr>
          <w:rFonts w:hint="default" w:ascii="Calibri" w:hAnsi="Calibri" w:eastAsia="宋体" w:cs="Times New Roman"/>
          <w:b w:val="0"/>
          <w:bCs/>
          <w:color w:val="000000"/>
          <w:kern w:val="0"/>
          <w:sz w:val="28"/>
          <w:szCs w:val="28"/>
          <w:highlight w:val="none"/>
          <w:lang w:val="en-US" w:eastAsia="zh-CN" w:bidi="ar-SA"/>
        </w:rPr>
      </w:pPr>
    </w:p>
    <w:sectPr>
      <w:headerReference r:id="rId6" w:type="default"/>
      <w:footerReference r:id="rId7" w:type="default"/>
      <w:pgSz w:w="11906" w:h="16838"/>
      <w:pgMar w:top="1440" w:right="1797" w:bottom="1440" w:left="1797"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A9C794-4E21-4556-9893-0EFC5A8DE370}"/>
  </w:font>
  <w:font w:name="黑体">
    <w:panose1 w:val="02010609060101010101"/>
    <w:charset w:val="86"/>
    <w:family w:val="auto"/>
    <w:pitch w:val="default"/>
    <w:sig w:usb0="800002BF" w:usb1="38CF7CFA" w:usb2="00000016" w:usb3="00000000" w:csb0="00040001" w:csb1="00000000"/>
    <w:embedRegular r:id="rId2" w:fontKey="{BCFCCD18-EA40-4856-963F-D8F725D9B57C}"/>
  </w:font>
  <w:font w:name="Courier New">
    <w:panose1 w:val="02070309020205020404"/>
    <w:charset w:val="01"/>
    <w:family w:val="modern"/>
    <w:pitch w:val="default"/>
    <w:sig w:usb0="E0002EFF" w:usb1="C0007843" w:usb2="00000009" w:usb3="00000000" w:csb0="400001FF" w:csb1="FFFF0000"/>
    <w:embedRegular r:id="rId3" w:fontKey="{3518C102-2A51-47C2-A5AA-24357CEA11A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6A04337-9E85-43E8-A4BE-2CBA84B75C80}"/>
  </w:font>
  <w:font w:name="Calibri Light">
    <w:panose1 w:val="020F0302020204030204"/>
    <w:charset w:val="00"/>
    <w:family w:val="swiss"/>
    <w:pitch w:val="default"/>
    <w:sig w:usb0="E4002EFF" w:usb1="C200247B" w:usb2="00000009" w:usb3="00000000" w:csb0="200001FF" w:csb1="00000000"/>
    <w:embedRegular r:id="rId5" w:fontKey="{F1081411-5870-4BEB-BAD6-5F79A8061FCA}"/>
  </w:font>
  <w:font w:name="Cambria">
    <w:panose1 w:val="02040503050406030204"/>
    <w:charset w:val="00"/>
    <w:family w:val="roman"/>
    <w:pitch w:val="default"/>
    <w:sig w:usb0="E00006FF" w:usb1="420024FF" w:usb2="02000000" w:usb3="00000000" w:csb0="2000019F" w:csb1="00000000"/>
    <w:embedRegular r:id="rId6" w:fontKey="{6FC3C10C-0B81-4F4C-9E4D-A358E8112AF9}"/>
  </w:font>
  <w:font w:name="仿宋_GB2312">
    <w:panose1 w:val="02010609030101010101"/>
    <w:charset w:val="86"/>
    <w:family w:val="auto"/>
    <w:pitch w:val="default"/>
    <w:sig w:usb0="00000001" w:usb1="080E0000" w:usb2="00000000" w:usb3="00000000" w:csb0="00040000" w:csb1="00000000"/>
    <w:embedRegular r:id="rId7" w:fontKey="{90328D42-E6D4-4952-8E55-BC28FF9FDE94}"/>
  </w:font>
  <w:font w:name="华文中宋">
    <w:panose1 w:val="02010600040101010101"/>
    <w:charset w:val="86"/>
    <w:family w:val="auto"/>
    <w:pitch w:val="default"/>
    <w:sig w:usb0="00000287" w:usb1="080F0000" w:usb2="00000000" w:usb3="00000000" w:csb0="0004009F" w:csb1="DFD70000"/>
    <w:embedRegular r:id="rId8" w:fontKey="{8A5FC549-06A5-485C-AF1F-FE512DEE216B}"/>
  </w:font>
  <w:font w:name="Times">
    <w:altName w:val="Times New Roman"/>
    <w:panose1 w:val="02020603050405020304"/>
    <w:charset w:val="00"/>
    <w:family w:val="auto"/>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embedRegular r:id="rId9" w:fontKey="{A7AFF11F-8716-45EE-9B9F-FBEA65241599}"/>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10" w:fontKey="{5C66BD1E-8037-468B-91E3-B50F7C2F4737}"/>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MingLiU_HKSCS">
    <w:altName w:val="PMingLiU-ExtB"/>
    <w:panose1 w:val="02020500000000000000"/>
    <w:charset w:val="88"/>
    <w:family w:val="auto"/>
    <w:pitch w:val="default"/>
    <w:sig w:usb0="00000000" w:usb1="00000000" w:usb2="00000016" w:usb3="00000000" w:csb0="00100001" w:csb1="00000000"/>
    <w:embedRegular r:id="rId11" w:fontKey="{348831B0-4762-4BC8-A65F-767A5FE3F400}"/>
  </w:font>
  <w:font w:name="PMingLiU-ExtB">
    <w:panose1 w:val="02020500000000000000"/>
    <w:charset w:val="88"/>
    <w:family w:val="auto"/>
    <w:pitch w:val="default"/>
    <w:sig w:usb0="8000002F" w:usb1="02000008" w:usb2="00000000" w:usb3="00000000" w:csb0="00100001" w:csb1="00000000"/>
  </w:font>
  <w:font w:name="Wingdings 2">
    <w:panose1 w:val="05020102010507070707"/>
    <w:charset w:val="02"/>
    <w:family w:val="roman"/>
    <w:pitch w:val="default"/>
    <w:sig w:usb0="00000000" w:usb1="00000000" w:usb2="00000000" w:usb3="00000000" w:csb0="80000000" w:csb1="00000000"/>
    <w:embedRegular r:id="rId12" w:fontKey="{026AC3E5-B281-4FA1-908A-E2F8AD448F30}"/>
  </w:font>
  <w:font w:name="方正仿宋_GBK">
    <w:panose1 w:val="02000000000000000000"/>
    <w:charset w:val="86"/>
    <w:family w:val="auto"/>
    <w:pitch w:val="default"/>
    <w:sig w:usb0="A00002BF" w:usb1="38CF7CFA" w:usb2="00082016" w:usb3="00000000" w:csb0="00040001" w:csb1="00000000"/>
    <w:embedRegular r:id="rId13" w:fontKey="{C1C79AC8-71D4-488B-91A1-DC7461415D0D}"/>
  </w:font>
  <w:font w:name="方正小标宋简体">
    <w:panose1 w:val="02000000000000000000"/>
    <w:charset w:val="86"/>
    <w:family w:val="auto"/>
    <w:pitch w:val="default"/>
    <w:sig w:usb0="00000001" w:usb1="08000000" w:usb2="00000000" w:usb3="00000000" w:csb0="00040000" w:csb1="00000000"/>
    <w:embedRegular r:id="rId14" w:fontKey="{DB2614BD-D70A-474B-8ECE-87ECC631775E}"/>
  </w:font>
  <w:font w:name="方正小标宋_GBK">
    <w:panose1 w:val="02000000000000000000"/>
    <w:charset w:val="86"/>
    <w:family w:val="auto"/>
    <w:pitch w:val="default"/>
    <w:sig w:usb0="A00002BF" w:usb1="38CF7CFA" w:usb2="00082016" w:usb3="00000000" w:csb0="00040001" w:csb1="00000000"/>
    <w:embedRegular r:id="rId15" w:fontKey="{86C1286D-C1C4-4268-8823-8DA09342A18A}"/>
  </w:font>
  <w:font w:name="WPSEMBED6">
    <w:panose1 w:val="02020609040205080304"/>
    <w:charset w:val="80"/>
    <w:family w:val="auto"/>
    <w:pitch w:val="default"/>
    <w:sig w:usb0="E00002FF" w:usb1="6AC7FDFB" w:usb2="00000012" w:usb3="00000000" w:csb0="4002009F" w:csb1="DFD70000"/>
  </w:font>
  <w:font w:name="WPSEMBED7">
    <w:panose1 w:val="05020102010507070707"/>
    <w:charset w:val="00"/>
    <w:family w:val="auto"/>
    <w:pitch w:val="default"/>
    <w:sig w:usb0="00000000" w:usb1="00000000" w:usb2="00000000" w:usb3="00000000" w:csb0="8000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 w:name="WPSEMBED8">
    <w:panose1 w:val="02000000000000000000"/>
    <w:charset w:val="86"/>
    <w:family w:val="auto"/>
    <w:pitch w:val="default"/>
    <w:sig w:usb0="A00002BF" w:usb1="38CF7CFA" w:usb2="00082016" w:usb3="00000000" w:csb0="00040001" w:csb1="00000000"/>
  </w:font>
  <w:font w:name="WPSEMBED9">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A39DD">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D3CCA">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1B980">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B1B980">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028FD">
    <w:pPr>
      <w:pStyle w:val="2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8502892">
                          <w:pPr>
                            <w:pStyle w:val="29"/>
                            <w:jc w:val="center"/>
                          </w:pPr>
                          <w:r>
                            <w:fldChar w:fldCharType="begin"/>
                          </w:r>
                          <w:r>
                            <w:instrText xml:space="preserve"> PAGE   \* MERGEFORMAT </w:instrText>
                          </w:r>
                          <w:r>
                            <w:fldChar w:fldCharType="separate"/>
                          </w:r>
                          <w:r>
                            <w:rPr>
                              <w:lang w:val="zh-CN"/>
                            </w:rPr>
                            <w:t>88</w:t>
                          </w:r>
                          <w:r>
                            <w:rPr>
                              <w:lang w:val="zh-CN"/>
                            </w:rPr>
                            <w:fldChar w:fldCharType="end"/>
                          </w:r>
                        </w:p>
                      </w:txbxContent>
                    </wps:txbx>
                    <wps:bodyPr wrap="none" lIns="0" tIns="0" rIns="0" bIns="0" upright="1">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OkPqW7EAQAAjwMAAA4AAAAAAAAAAQAgAAAAHwEAAGRycy9lMm9Eb2MueG1s&#10;UEsFBgAAAAAGAAYAWQEAAFUFAAAAAA==&#10;">
              <v:fill on="f" focussize="0,0"/>
              <v:stroke on="f"/>
              <v:imagedata o:title=""/>
              <o:lock v:ext="edit" aspectratio="f"/>
              <v:textbox inset="0mm,0mm,0mm,0mm" style="mso-fit-shape-to-text:t;">
                <w:txbxContent>
                  <w:p w14:paraId="38502892">
                    <w:pPr>
                      <w:pStyle w:val="29"/>
                      <w:jc w:val="center"/>
                    </w:pPr>
                    <w:r>
                      <w:fldChar w:fldCharType="begin"/>
                    </w:r>
                    <w:r>
                      <w:instrText xml:space="preserve"> PAGE   \* MERGEFORMAT </w:instrText>
                    </w:r>
                    <w:r>
                      <w:fldChar w:fldCharType="separate"/>
                    </w:r>
                    <w:r>
                      <w:rPr>
                        <w:lang w:val="zh-CN"/>
                      </w:rPr>
                      <w:t>88</w:t>
                    </w:r>
                    <w:r>
                      <w:rPr>
                        <w:lang w:val="zh-CN"/>
                      </w:rPr>
                      <w:fldChar w:fldCharType="end"/>
                    </w:r>
                  </w:p>
                </w:txbxContent>
              </v:textbox>
            </v:rect>
          </w:pict>
        </mc:Fallback>
      </mc:AlternateContent>
    </w:r>
  </w:p>
  <w:p w14:paraId="1703F396">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4FC8">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29679">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95EA5"/>
    <w:multiLevelType w:val="singleLevel"/>
    <w:tmpl w:val="B5E95EA5"/>
    <w:lvl w:ilvl="0" w:tentative="0">
      <w:start w:val="2"/>
      <w:numFmt w:val="chineseCounting"/>
      <w:suff w:val="nothing"/>
      <w:lvlText w:val="%1、"/>
      <w:lvlJc w:val="left"/>
      <w:rPr>
        <w:rFonts w:hint="eastAsia"/>
      </w:rPr>
    </w:lvl>
  </w:abstractNum>
  <w:abstractNum w:abstractNumId="1">
    <w:nsid w:val="DDDCC78D"/>
    <w:multiLevelType w:val="singleLevel"/>
    <w:tmpl w:val="DDDCC78D"/>
    <w:lvl w:ilvl="0" w:tentative="0">
      <w:start w:val="1"/>
      <w:numFmt w:val="chineseCounting"/>
      <w:suff w:val="nothing"/>
      <w:lvlText w:val="%1、"/>
      <w:lvlJc w:val="left"/>
      <w:rPr>
        <w:rFonts w:hint="eastAsia"/>
      </w:rPr>
    </w:lvl>
  </w:abstractNum>
  <w:abstractNum w:abstractNumId="2">
    <w:nsid w:val="DDFE3429"/>
    <w:multiLevelType w:val="singleLevel"/>
    <w:tmpl w:val="DDFE3429"/>
    <w:lvl w:ilvl="0" w:tentative="0">
      <w:start w:val="1"/>
      <w:numFmt w:val="decimal"/>
      <w:lvlText w:val="%1."/>
      <w:lvlJc w:val="left"/>
      <w:pPr>
        <w:tabs>
          <w:tab w:val="left" w:pos="312"/>
        </w:tabs>
      </w:pPr>
    </w:lvl>
  </w:abstractNum>
  <w:abstractNum w:abstractNumId="3">
    <w:nsid w:val="E7EF65F3"/>
    <w:multiLevelType w:val="singleLevel"/>
    <w:tmpl w:val="E7EF65F3"/>
    <w:lvl w:ilvl="0" w:tentative="0">
      <w:start w:val="2"/>
      <w:numFmt w:val="chineseCounting"/>
      <w:suff w:val="nothing"/>
      <w:lvlText w:val="%1、"/>
      <w:lvlJc w:val="left"/>
      <w:rPr>
        <w:rFonts w:hint="eastAsia"/>
      </w:rPr>
    </w:lvl>
  </w:abstractNum>
  <w:abstractNum w:abstractNumId="4">
    <w:nsid w:val="FE24B98A"/>
    <w:multiLevelType w:val="singleLevel"/>
    <w:tmpl w:val="FE24B98A"/>
    <w:lvl w:ilvl="0" w:tentative="0">
      <w:start w:val="1"/>
      <w:numFmt w:val="decimal"/>
      <w:lvlText w:val="%1."/>
      <w:lvlJc w:val="left"/>
      <w:pPr>
        <w:tabs>
          <w:tab w:val="left" w:pos="312"/>
        </w:tabs>
      </w:pPr>
    </w:lvl>
  </w:abstractNum>
  <w:abstractNum w:abstractNumId="5">
    <w:nsid w:val="FF860776"/>
    <w:multiLevelType w:val="singleLevel"/>
    <w:tmpl w:val="FF860776"/>
    <w:lvl w:ilvl="0" w:tentative="0">
      <w:start w:val="11"/>
      <w:numFmt w:val="chineseCounting"/>
      <w:suff w:val="nothing"/>
      <w:lvlText w:val="%1、"/>
      <w:lvlJc w:val="left"/>
      <w:rPr>
        <w:rFonts w:hint="eastAsia"/>
      </w:rPr>
    </w:lvl>
  </w:abstractNum>
  <w:abstractNum w:abstractNumId="6">
    <w:nsid w:val="0245095B"/>
    <w:multiLevelType w:val="singleLevel"/>
    <w:tmpl w:val="0245095B"/>
    <w:lvl w:ilvl="0" w:tentative="0">
      <w:start w:val="6"/>
      <w:numFmt w:val="chineseCounting"/>
      <w:suff w:val="nothing"/>
      <w:lvlText w:val="第%1章　"/>
      <w:lvlJc w:val="left"/>
      <w:rPr>
        <w:rFonts w:hint="eastAsia"/>
      </w:rPr>
    </w:lvl>
  </w:abstractNum>
  <w:abstractNum w:abstractNumId="7">
    <w:nsid w:val="03EF5EDD"/>
    <w:multiLevelType w:val="singleLevel"/>
    <w:tmpl w:val="03EF5EDD"/>
    <w:lvl w:ilvl="0" w:tentative="0">
      <w:start w:val="5"/>
      <w:numFmt w:val="chineseCounting"/>
      <w:suff w:val="nothing"/>
      <w:lvlText w:val="第%1章　"/>
      <w:lvlJc w:val="left"/>
      <w:rPr>
        <w:rFonts w:hint="eastAsia"/>
      </w:rPr>
    </w:lvl>
  </w:abstractNum>
  <w:abstractNum w:abstractNumId="8">
    <w:nsid w:val="277C6737"/>
    <w:multiLevelType w:val="multilevel"/>
    <w:tmpl w:val="277C6737"/>
    <w:lvl w:ilvl="0" w:tentative="0">
      <w:start w:val="1"/>
      <w:numFmt w:val="japaneseCounting"/>
      <w:pStyle w:val="90"/>
      <w:lvlText w:val="第%1章"/>
      <w:lvlJc w:val="left"/>
      <w:pPr>
        <w:ind w:left="1020" w:hanging="10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11D2EC9"/>
    <w:multiLevelType w:val="multilevel"/>
    <w:tmpl w:val="711D2EC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9"/>
  </w:num>
  <w:num w:numId="3">
    <w:abstractNumId w:val="4"/>
  </w:num>
  <w:num w:numId="4">
    <w:abstractNumId w:val="2"/>
  </w:num>
  <w:num w:numId="5">
    <w:abstractNumId w:val="3"/>
  </w:num>
  <w:num w:numId="6">
    <w:abstractNumId w:val="7"/>
  </w:num>
  <w:num w:numId="7">
    <w:abstractNumId w:val="0"/>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4MGMxZjE2M2IyZGE5ZWM3ZjRkZTliNDRmYzcwMWMifQ=="/>
    <w:docVar w:name="KSO_WPS_MARK_KEY" w:val="cb78b2d2-beae-42ea-aac7-6d0cc331d980"/>
  </w:docVars>
  <w:rsids>
    <w:rsidRoot w:val="00347557"/>
    <w:rsid w:val="00016C5E"/>
    <w:rsid w:val="000316D5"/>
    <w:rsid w:val="000318DA"/>
    <w:rsid w:val="0003306C"/>
    <w:rsid w:val="00033FEF"/>
    <w:rsid w:val="00073907"/>
    <w:rsid w:val="00075CA8"/>
    <w:rsid w:val="00081457"/>
    <w:rsid w:val="0008147B"/>
    <w:rsid w:val="00090A31"/>
    <w:rsid w:val="00091F55"/>
    <w:rsid w:val="000A788E"/>
    <w:rsid w:val="000B0CEC"/>
    <w:rsid w:val="000B27D9"/>
    <w:rsid w:val="000B5A6E"/>
    <w:rsid w:val="000E0EE7"/>
    <w:rsid w:val="000E7AC0"/>
    <w:rsid w:val="00103E93"/>
    <w:rsid w:val="00117F41"/>
    <w:rsid w:val="001227CC"/>
    <w:rsid w:val="001246BD"/>
    <w:rsid w:val="00133A0B"/>
    <w:rsid w:val="00153A54"/>
    <w:rsid w:val="00175792"/>
    <w:rsid w:val="00186D25"/>
    <w:rsid w:val="00190229"/>
    <w:rsid w:val="00195274"/>
    <w:rsid w:val="0019599B"/>
    <w:rsid w:val="00197275"/>
    <w:rsid w:val="00197EEE"/>
    <w:rsid w:val="001A2BF8"/>
    <w:rsid w:val="001C3297"/>
    <w:rsid w:val="001E7445"/>
    <w:rsid w:val="00200BE1"/>
    <w:rsid w:val="00214D3B"/>
    <w:rsid w:val="00245DC0"/>
    <w:rsid w:val="00250FC7"/>
    <w:rsid w:val="00267283"/>
    <w:rsid w:val="00272C41"/>
    <w:rsid w:val="002A0F05"/>
    <w:rsid w:val="002B1898"/>
    <w:rsid w:val="002C0AC5"/>
    <w:rsid w:val="002C319C"/>
    <w:rsid w:val="00300CE0"/>
    <w:rsid w:val="003022B5"/>
    <w:rsid w:val="0030336B"/>
    <w:rsid w:val="0031418D"/>
    <w:rsid w:val="00342A1D"/>
    <w:rsid w:val="00347557"/>
    <w:rsid w:val="00380D8E"/>
    <w:rsid w:val="00394A24"/>
    <w:rsid w:val="003973D9"/>
    <w:rsid w:val="003B55D2"/>
    <w:rsid w:val="003C2C58"/>
    <w:rsid w:val="003D7C7B"/>
    <w:rsid w:val="003E3268"/>
    <w:rsid w:val="00405628"/>
    <w:rsid w:val="00427012"/>
    <w:rsid w:val="00443042"/>
    <w:rsid w:val="00463175"/>
    <w:rsid w:val="004B0646"/>
    <w:rsid w:val="004B0A71"/>
    <w:rsid w:val="004D59AD"/>
    <w:rsid w:val="005067D9"/>
    <w:rsid w:val="00515FFB"/>
    <w:rsid w:val="0054775D"/>
    <w:rsid w:val="00573187"/>
    <w:rsid w:val="00591B01"/>
    <w:rsid w:val="005939D9"/>
    <w:rsid w:val="005A29B6"/>
    <w:rsid w:val="005B6165"/>
    <w:rsid w:val="005B7B45"/>
    <w:rsid w:val="005C0EEA"/>
    <w:rsid w:val="005C6091"/>
    <w:rsid w:val="005E43CD"/>
    <w:rsid w:val="005F3D79"/>
    <w:rsid w:val="005F4201"/>
    <w:rsid w:val="00627F15"/>
    <w:rsid w:val="006320D9"/>
    <w:rsid w:val="006459DC"/>
    <w:rsid w:val="00680230"/>
    <w:rsid w:val="006A3533"/>
    <w:rsid w:val="006B2F3A"/>
    <w:rsid w:val="006C385E"/>
    <w:rsid w:val="006F03A0"/>
    <w:rsid w:val="0071136F"/>
    <w:rsid w:val="00716263"/>
    <w:rsid w:val="00723436"/>
    <w:rsid w:val="007317FA"/>
    <w:rsid w:val="007350D3"/>
    <w:rsid w:val="00735230"/>
    <w:rsid w:val="00751C12"/>
    <w:rsid w:val="00761F8A"/>
    <w:rsid w:val="007820EB"/>
    <w:rsid w:val="007903A5"/>
    <w:rsid w:val="007A0998"/>
    <w:rsid w:val="007A63B1"/>
    <w:rsid w:val="007B67C0"/>
    <w:rsid w:val="007C0B3F"/>
    <w:rsid w:val="007D245F"/>
    <w:rsid w:val="007F1223"/>
    <w:rsid w:val="007F27CB"/>
    <w:rsid w:val="007F3137"/>
    <w:rsid w:val="008003C6"/>
    <w:rsid w:val="00805D33"/>
    <w:rsid w:val="00814D41"/>
    <w:rsid w:val="008209F6"/>
    <w:rsid w:val="00822049"/>
    <w:rsid w:val="00833EEE"/>
    <w:rsid w:val="008355C3"/>
    <w:rsid w:val="0085078A"/>
    <w:rsid w:val="00854A34"/>
    <w:rsid w:val="00893777"/>
    <w:rsid w:val="008D0F61"/>
    <w:rsid w:val="008F700D"/>
    <w:rsid w:val="00910F3D"/>
    <w:rsid w:val="00921747"/>
    <w:rsid w:val="00930020"/>
    <w:rsid w:val="0093006C"/>
    <w:rsid w:val="00954EDF"/>
    <w:rsid w:val="009562E9"/>
    <w:rsid w:val="009C62D7"/>
    <w:rsid w:val="009C7FAE"/>
    <w:rsid w:val="009D235E"/>
    <w:rsid w:val="009D572C"/>
    <w:rsid w:val="009D7E86"/>
    <w:rsid w:val="009E355D"/>
    <w:rsid w:val="009E5980"/>
    <w:rsid w:val="00A04EF4"/>
    <w:rsid w:val="00A05665"/>
    <w:rsid w:val="00A130F2"/>
    <w:rsid w:val="00A52801"/>
    <w:rsid w:val="00A63208"/>
    <w:rsid w:val="00A633B8"/>
    <w:rsid w:val="00A678B3"/>
    <w:rsid w:val="00A844D7"/>
    <w:rsid w:val="00A95F40"/>
    <w:rsid w:val="00A967F0"/>
    <w:rsid w:val="00AA0AC4"/>
    <w:rsid w:val="00AB658F"/>
    <w:rsid w:val="00AE2C16"/>
    <w:rsid w:val="00B21A84"/>
    <w:rsid w:val="00B51AA6"/>
    <w:rsid w:val="00B55F9B"/>
    <w:rsid w:val="00B9132A"/>
    <w:rsid w:val="00BA1430"/>
    <w:rsid w:val="00BA470B"/>
    <w:rsid w:val="00BB2222"/>
    <w:rsid w:val="00BB5CC0"/>
    <w:rsid w:val="00BB780E"/>
    <w:rsid w:val="00BC62B1"/>
    <w:rsid w:val="00BF4B29"/>
    <w:rsid w:val="00C125ED"/>
    <w:rsid w:val="00C17CBB"/>
    <w:rsid w:val="00C23F84"/>
    <w:rsid w:val="00C33C4C"/>
    <w:rsid w:val="00C36136"/>
    <w:rsid w:val="00C65A85"/>
    <w:rsid w:val="00C76FD6"/>
    <w:rsid w:val="00C9092C"/>
    <w:rsid w:val="00C93F6F"/>
    <w:rsid w:val="00CA2366"/>
    <w:rsid w:val="00CB0BFA"/>
    <w:rsid w:val="00CD1948"/>
    <w:rsid w:val="00CD34AF"/>
    <w:rsid w:val="00CF6616"/>
    <w:rsid w:val="00D07BAD"/>
    <w:rsid w:val="00D119DC"/>
    <w:rsid w:val="00D550B0"/>
    <w:rsid w:val="00D6339D"/>
    <w:rsid w:val="00D76834"/>
    <w:rsid w:val="00DA0B9B"/>
    <w:rsid w:val="00DB1A6F"/>
    <w:rsid w:val="00DE1796"/>
    <w:rsid w:val="00DF12FB"/>
    <w:rsid w:val="00E041BD"/>
    <w:rsid w:val="00E371FE"/>
    <w:rsid w:val="00E61630"/>
    <w:rsid w:val="00E62496"/>
    <w:rsid w:val="00E634FA"/>
    <w:rsid w:val="00E6424B"/>
    <w:rsid w:val="00E64900"/>
    <w:rsid w:val="00E742C7"/>
    <w:rsid w:val="00E847B8"/>
    <w:rsid w:val="00EA6E1E"/>
    <w:rsid w:val="00EB4AC5"/>
    <w:rsid w:val="00EC1F8F"/>
    <w:rsid w:val="00ED67D8"/>
    <w:rsid w:val="00EE2944"/>
    <w:rsid w:val="00F1425C"/>
    <w:rsid w:val="00F14333"/>
    <w:rsid w:val="00F556D4"/>
    <w:rsid w:val="00F70E11"/>
    <w:rsid w:val="00FA491A"/>
    <w:rsid w:val="022213C4"/>
    <w:rsid w:val="027721A6"/>
    <w:rsid w:val="02A35FD5"/>
    <w:rsid w:val="031E276F"/>
    <w:rsid w:val="038C76D9"/>
    <w:rsid w:val="043232F0"/>
    <w:rsid w:val="04BD0AC7"/>
    <w:rsid w:val="04DF0FB4"/>
    <w:rsid w:val="04F828E3"/>
    <w:rsid w:val="05183DDF"/>
    <w:rsid w:val="05407928"/>
    <w:rsid w:val="05791C6C"/>
    <w:rsid w:val="05E80E12"/>
    <w:rsid w:val="07047ECE"/>
    <w:rsid w:val="07230354"/>
    <w:rsid w:val="074F739B"/>
    <w:rsid w:val="078F4FB2"/>
    <w:rsid w:val="079C1190"/>
    <w:rsid w:val="088017D6"/>
    <w:rsid w:val="092B7994"/>
    <w:rsid w:val="09315C2C"/>
    <w:rsid w:val="096D7EC2"/>
    <w:rsid w:val="09D936F7"/>
    <w:rsid w:val="0AA01EC3"/>
    <w:rsid w:val="0ADC358F"/>
    <w:rsid w:val="0B925DD0"/>
    <w:rsid w:val="0C152432"/>
    <w:rsid w:val="0C4A4530"/>
    <w:rsid w:val="0C8605A2"/>
    <w:rsid w:val="0D5D3F94"/>
    <w:rsid w:val="0E711068"/>
    <w:rsid w:val="0EE37CB4"/>
    <w:rsid w:val="0F246E7D"/>
    <w:rsid w:val="0F7756E1"/>
    <w:rsid w:val="100827DD"/>
    <w:rsid w:val="10551D3B"/>
    <w:rsid w:val="10E01064"/>
    <w:rsid w:val="10E13BDC"/>
    <w:rsid w:val="11335637"/>
    <w:rsid w:val="116752E1"/>
    <w:rsid w:val="116C0B49"/>
    <w:rsid w:val="11CE181E"/>
    <w:rsid w:val="11E71BE9"/>
    <w:rsid w:val="126F1B10"/>
    <w:rsid w:val="12D52E6F"/>
    <w:rsid w:val="12E7492B"/>
    <w:rsid w:val="135E2714"/>
    <w:rsid w:val="13970E8F"/>
    <w:rsid w:val="13E37389"/>
    <w:rsid w:val="14661880"/>
    <w:rsid w:val="148373AB"/>
    <w:rsid w:val="157F4881"/>
    <w:rsid w:val="15832196"/>
    <w:rsid w:val="159D39C7"/>
    <w:rsid w:val="15B200F9"/>
    <w:rsid w:val="15CE23A2"/>
    <w:rsid w:val="15E35027"/>
    <w:rsid w:val="163B2521"/>
    <w:rsid w:val="164125A5"/>
    <w:rsid w:val="16490A3E"/>
    <w:rsid w:val="16685D83"/>
    <w:rsid w:val="16690AD8"/>
    <w:rsid w:val="16CE195E"/>
    <w:rsid w:val="16D523BD"/>
    <w:rsid w:val="17424826"/>
    <w:rsid w:val="18D64F13"/>
    <w:rsid w:val="18E86D07"/>
    <w:rsid w:val="1944786D"/>
    <w:rsid w:val="19750FAE"/>
    <w:rsid w:val="198A3016"/>
    <w:rsid w:val="19B17A41"/>
    <w:rsid w:val="1AAD1BF2"/>
    <w:rsid w:val="1AE14988"/>
    <w:rsid w:val="1AF35E37"/>
    <w:rsid w:val="1B79633D"/>
    <w:rsid w:val="1C2344FA"/>
    <w:rsid w:val="1C2E5379"/>
    <w:rsid w:val="1C5D6688"/>
    <w:rsid w:val="1CF739BD"/>
    <w:rsid w:val="1DA33B45"/>
    <w:rsid w:val="1E026ABD"/>
    <w:rsid w:val="1E72416F"/>
    <w:rsid w:val="1EC27582"/>
    <w:rsid w:val="1F65294C"/>
    <w:rsid w:val="1F971487"/>
    <w:rsid w:val="1FFF2666"/>
    <w:rsid w:val="20124F0C"/>
    <w:rsid w:val="2078587E"/>
    <w:rsid w:val="214011FC"/>
    <w:rsid w:val="227F7259"/>
    <w:rsid w:val="22934188"/>
    <w:rsid w:val="23072480"/>
    <w:rsid w:val="23236BD0"/>
    <w:rsid w:val="246758CC"/>
    <w:rsid w:val="25091CCB"/>
    <w:rsid w:val="25C805EC"/>
    <w:rsid w:val="27B8643F"/>
    <w:rsid w:val="27E1561F"/>
    <w:rsid w:val="28234E23"/>
    <w:rsid w:val="28AB4739"/>
    <w:rsid w:val="28BF3505"/>
    <w:rsid w:val="292F7EC3"/>
    <w:rsid w:val="29763734"/>
    <w:rsid w:val="29930F11"/>
    <w:rsid w:val="299C12A2"/>
    <w:rsid w:val="29E76B67"/>
    <w:rsid w:val="2A935BF8"/>
    <w:rsid w:val="2AB949A8"/>
    <w:rsid w:val="2B497345"/>
    <w:rsid w:val="2B5377AD"/>
    <w:rsid w:val="2B6568DD"/>
    <w:rsid w:val="2B9E635F"/>
    <w:rsid w:val="2BF76EE4"/>
    <w:rsid w:val="2C0E487F"/>
    <w:rsid w:val="2CC66F08"/>
    <w:rsid w:val="2D571561"/>
    <w:rsid w:val="2D6055AE"/>
    <w:rsid w:val="2D630615"/>
    <w:rsid w:val="2E156399"/>
    <w:rsid w:val="2E1D777C"/>
    <w:rsid w:val="2E3236AD"/>
    <w:rsid w:val="2E4E18AB"/>
    <w:rsid w:val="2E7E4664"/>
    <w:rsid w:val="2FDB4444"/>
    <w:rsid w:val="2FE853E7"/>
    <w:rsid w:val="30CB56BD"/>
    <w:rsid w:val="30CE6CD3"/>
    <w:rsid w:val="30FC114A"/>
    <w:rsid w:val="3181717C"/>
    <w:rsid w:val="319B75A8"/>
    <w:rsid w:val="32AF53D1"/>
    <w:rsid w:val="32CF3619"/>
    <w:rsid w:val="33405792"/>
    <w:rsid w:val="33964DB2"/>
    <w:rsid w:val="344E43B3"/>
    <w:rsid w:val="353F1F4D"/>
    <w:rsid w:val="35CB1A33"/>
    <w:rsid w:val="36C64D6A"/>
    <w:rsid w:val="36FE5346"/>
    <w:rsid w:val="37A137D4"/>
    <w:rsid w:val="37C75CF2"/>
    <w:rsid w:val="3827300B"/>
    <w:rsid w:val="3834332E"/>
    <w:rsid w:val="386D514E"/>
    <w:rsid w:val="388A1731"/>
    <w:rsid w:val="38925A62"/>
    <w:rsid w:val="390A2872"/>
    <w:rsid w:val="393873DF"/>
    <w:rsid w:val="39635633"/>
    <w:rsid w:val="39E62997"/>
    <w:rsid w:val="39F03816"/>
    <w:rsid w:val="3AA55FA3"/>
    <w:rsid w:val="3ADC6AF3"/>
    <w:rsid w:val="3AFD2982"/>
    <w:rsid w:val="3B042FB4"/>
    <w:rsid w:val="3B191EE5"/>
    <w:rsid w:val="3B2A0FAA"/>
    <w:rsid w:val="3B364677"/>
    <w:rsid w:val="3BCB70C7"/>
    <w:rsid w:val="3BF03616"/>
    <w:rsid w:val="3C0A7DAD"/>
    <w:rsid w:val="3C1423A5"/>
    <w:rsid w:val="3C3A2855"/>
    <w:rsid w:val="3C4547B3"/>
    <w:rsid w:val="3CB56EDB"/>
    <w:rsid w:val="3D2D32B6"/>
    <w:rsid w:val="3E666CA6"/>
    <w:rsid w:val="3E7E3AE6"/>
    <w:rsid w:val="3EA94D74"/>
    <w:rsid w:val="3EDB405D"/>
    <w:rsid w:val="3F2F4DE1"/>
    <w:rsid w:val="3F302536"/>
    <w:rsid w:val="3FE03E92"/>
    <w:rsid w:val="405139BA"/>
    <w:rsid w:val="412546ED"/>
    <w:rsid w:val="4168282C"/>
    <w:rsid w:val="416B7C26"/>
    <w:rsid w:val="41F64CA7"/>
    <w:rsid w:val="42224789"/>
    <w:rsid w:val="42310A17"/>
    <w:rsid w:val="43311631"/>
    <w:rsid w:val="433B1FA6"/>
    <w:rsid w:val="44D36D1D"/>
    <w:rsid w:val="458539AC"/>
    <w:rsid w:val="45CC5F9F"/>
    <w:rsid w:val="45D33637"/>
    <w:rsid w:val="461E0F21"/>
    <w:rsid w:val="465670F7"/>
    <w:rsid w:val="468123C6"/>
    <w:rsid w:val="46EE37D3"/>
    <w:rsid w:val="46F21E2E"/>
    <w:rsid w:val="47EC4D32"/>
    <w:rsid w:val="47EF27B7"/>
    <w:rsid w:val="48110B02"/>
    <w:rsid w:val="485C1AE8"/>
    <w:rsid w:val="488066AD"/>
    <w:rsid w:val="48C73E6E"/>
    <w:rsid w:val="490A11F4"/>
    <w:rsid w:val="49C95F9C"/>
    <w:rsid w:val="4A762DAA"/>
    <w:rsid w:val="4AD056CA"/>
    <w:rsid w:val="4AE32C0A"/>
    <w:rsid w:val="4B0D6E15"/>
    <w:rsid w:val="4BED4C7B"/>
    <w:rsid w:val="4CB56F75"/>
    <w:rsid w:val="4CE82F18"/>
    <w:rsid w:val="4D3B0DF4"/>
    <w:rsid w:val="4DD96837"/>
    <w:rsid w:val="4E3441C2"/>
    <w:rsid w:val="4E7F5FBD"/>
    <w:rsid w:val="4EEA4880"/>
    <w:rsid w:val="4EFF657E"/>
    <w:rsid w:val="4F1F2139"/>
    <w:rsid w:val="4F6B320A"/>
    <w:rsid w:val="50947199"/>
    <w:rsid w:val="515F1555"/>
    <w:rsid w:val="52B97D06"/>
    <w:rsid w:val="52DE1BBE"/>
    <w:rsid w:val="536F00AC"/>
    <w:rsid w:val="54244390"/>
    <w:rsid w:val="55050666"/>
    <w:rsid w:val="55A208DD"/>
    <w:rsid w:val="55B23C34"/>
    <w:rsid w:val="570268B8"/>
    <w:rsid w:val="579932E7"/>
    <w:rsid w:val="581806B0"/>
    <w:rsid w:val="58471E1A"/>
    <w:rsid w:val="585F1CBF"/>
    <w:rsid w:val="587A6C75"/>
    <w:rsid w:val="58D04427"/>
    <w:rsid w:val="58D40AAE"/>
    <w:rsid w:val="59087743"/>
    <w:rsid w:val="59B84688"/>
    <w:rsid w:val="5A191BE6"/>
    <w:rsid w:val="5A6F20DD"/>
    <w:rsid w:val="5B4F263B"/>
    <w:rsid w:val="5B70362F"/>
    <w:rsid w:val="5BC112B9"/>
    <w:rsid w:val="5BE069CE"/>
    <w:rsid w:val="5C447CC6"/>
    <w:rsid w:val="5C621D8C"/>
    <w:rsid w:val="5CDD3C76"/>
    <w:rsid w:val="5CE46DB3"/>
    <w:rsid w:val="5D184CAE"/>
    <w:rsid w:val="5D764607"/>
    <w:rsid w:val="5DAB6A1E"/>
    <w:rsid w:val="5E4E6BDA"/>
    <w:rsid w:val="5E783C56"/>
    <w:rsid w:val="5EFFCD76"/>
    <w:rsid w:val="5F06540A"/>
    <w:rsid w:val="5F6C0919"/>
    <w:rsid w:val="5F813A91"/>
    <w:rsid w:val="5FF7BD6D"/>
    <w:rsid w:val="6005158B"/>
    <w:rsid w:val="601B4929"/>
    <w:rsid w:val="60487B97"/>
    <w:rsid w:val="605D1356"/>
    <w:rsid w:val="60695F4D"/>
    <w:rsid w:val="60B617FA"/>
    <w:rsid w:val="60C72C73"/>
    <w:rsid w:val="61106BCE"/>
    <w:rsid w:val="6139713B"/>
    <w:rsid w:val="61453A66"/>
    <w:rsid w:val="614B5652"/>
    <w:rsid w:val="61785574"/>
    <w:rsid w:val="629C7631"/>
    <w:rsid w:val="62BF074D"/>
    <w:rsid w:val="62C0797A"/>
    <w:rsid w:val="635D7672"/>
    <w:rsid w:val="63BF0529"/>
    <w:rsid w:val="63DE27AE"/>
    <w:rsid w:val="63EA73A4"/>
    <w:rsid w:val="64556BE2"/>
    <w:rsid w:val="64DD2A65"/>
    <w:rsid w:val="64E2497F"/>
    <w:rsid w:val="6511270F"/>
    <w:rsid w:val="653538B4"/>
    <w:rsid w:val="65654809"/>
    <w:rsid w:val="659B0E35"/>
    <w:rsid w:val="6609788A"/>
    <w:rsid w:val="66907A45"/>
    <w:rsid w:val="672A213D"/>
    <w:rsid w:val="677C7FF0"/>
    <w:rsid w:val="67A43A30"/>
    <w:rsid w:val="67E320BC"/>
    <w:rsid w:val="692C3FBB"/>
    <w:rsid w:val="697D24EA"/>
    <w:rsid w:val="6A1A3E14"/>
    <w:rsid w:val="6A542299"/>
    <w:rsid w:val="6A656EA0"/>
    <w:rsid w:val="6A8D6CDC"/>
    <w:rsid w:val="6B19056F"/>
    <w:rsid w:val="6B25726F"/>
    <w:rsid w:val="6B43383E"/>
    <w:rsid w:val="6C156F89"/>
    <w:rsid w:val="6C385A40"/>
    <w:rsid w:val="6C700663"/>
    <w:rsid w:val="6C74577D"/>
    <w:rsid w:val="6CA97999"/>
    <w:rsid w:val="6CB70040"/>
    <w:rsid w:val="6CD86F6B"/>
    <w:rsid w:val="6CE667DE"/>
    <w:rsid w:val="6DAC52FA"/>
    <w:rsid w:val="6DC86141"/>
    <w:rsid w:val="6E2039C3"/>
    <w:rsid w:val="6F0C36BF"/>
    <w:rsid w:val="6F321F93"/>
    <w:rsid w:val="6F664B65"/>
    <w:rsid w:val="6FEA072C"/>
    <w:rsid w:val="70100D18"/>
    <w:rsid w:val="703B0F88"/>
    <w:rsid w:val="705636CC"/>
    <w:rsid w:val="70664919"/>
    <w:rsid w:val="706D4A47"/>
    <w:rsid w:val="70B1597A"/>
    <w:rsid w:val="70E13317"/>
    <w:rsid w:val="71D451F0"/>
    <w:rsid w:val="72066845"/>
    <w:rsid w:val="725B417D"/>
    <w:rsid w:val="72895FDA"/>
    <w:rsid w:val="72F64451"/>
    <w:rsid w:val="73D03795"/>
    <w:rsid w:val="74092663"/>
    <w:rsid w:val="7416389E"/>
    <w:rsid w:val="759926FC"/>
    <w:rsid w:val="75A849CA"/>
    <w:rsid w:val="75FB71EF"/>
    <w:rsid w:val="7870537D"/>
    <w:rsid w:val="79DB7239"/>
    <w:rsid w:val="7AF4420D"/>
    <w:rsid w:val="7B21450E"/>
    <w:rsid w:val="7B984DBF"/>
    <w:rsid w:val="7BB3085C"/>
    <w:rsid w:val="7BB855A7"/>
    <w:rsid w:val="7BF1504E"/>
    <w:rsid w:val="7BFDD7BA"/>
    <w:rsid w:val="7C09018C"/>
    <w:rsid w:val="7CB9570E"/>
    <w:rsid w:val="7CC55842"/>
    <w:rsid w:val="7D060110"/>
    <w:rsid w:val="7D641B1E"/>
    <w:rsid w:val="7DEAF5F0"/>
    <w:rsid w:val="7DF82266"/>
    <w:rsid w:val="7DFD4067"/>
    <w:rsid w:val="7E225337"/>
    <w:rsid w:val="7EAB72D9"/>
    <w:rsid w:val="7EC860DC"/>
    <w:rsid w:val="7EE03426"/>
    <w:rsid w:val="7F2FA09F"/>
    <w:rsid w:val="7F5BA8A4"/>
    <w:rsid w:val="7FA204A0"/>
    <w:rsid w:val="DFDEB5B3"/>
    <w:rsid w:val="FF92674C"/>
    <w:rsid w:val="FFEFE33A"/>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qFormat="1" w:uiPriority="99" w:semiHidden="0" w:name="index 5"/>
    <w:lsdException w:uiPriority="99" w:name="index 6"/>
    <w:lsdException w:uiPriority="99" w:name="index 7"/>
    <w:lsdException w:uiPriority="99"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4">
    <w:name w:val="heading 1"/>
    <w:basedOn w:val="1"/>
    <w:next w:val="1"/>
    <w:link w:val="166"/>
    <w:qFormat/>
    <w:uiPriority w:val="0"/>
    <w:pPr>
      <w:keepNext/>
      <w:keepLines/>
      <w:spacing w:before="340" w:after="330" w:line="578" w:lineRule="auto"/>
      <w:jc w:val="center"/>
      <w:outlineLvl w:val="0"/>
    </w:pPr>
    <w:rPr>
      <w:rFonts w:cs="Times New Roman"/>
      <w:b/>
      <w:bCs/>
      <w:kern w:val="44"/>
      <w:sz w:val="28"/>
      <w:szCs w:val="44"/>
    </w:rPr>
  </w:style>
  <w:style w:type="paragraph" w:styleId="5">
    <w:name w:val="heading 2"/>
    <w:basedOn w:val="1"/>
    <w:next w:val="1"/>
    <w:link w:val="146"/>
    <w:qFormat/>
    <w:uiPriority w:val="0"/>
    <w:pPr>
      <w:keepNext/>
      <w:keepLines/>
      <w:spacing w:before="260" w:after="260" w:line="413" w:lineRule="auto"/>
      <w:jc w:val="center"/>
      <w:outlineLvl w:val="1"/>
    </w:pPr>
    <w:rPr>
      <w:rFonts w:ascii="Arial" w:hAnsi="Arial" w:eastAsia="黑体" w:cs="Times New Roman"/>
      <w:b/>
      <w:kern w:val="0"/>
      <w:sz w:val="28"/>
      <w:szCs w:val="20"/>
    </w:rPr>
  </w:style>
  <w:style w:type="paragraph" w:styleId="6">
    <w:name w:val="heading 3"/>
    <w:basedOn w:val="1"/>
    <w:next w:val="1"/>
    <w:link w:val="147"/>
    <w:qFormat/>
    <w:uiPriority w:val="0"/>
    <w:pPr>
      <w:keepNext/>
      <w:keepLines/>
      <w:spacing w:before="260" w:after="260" w:line="413" w:lineRule="auto"/>
      <w:jc w:val="center"/>
      <w:outlineLvl w:val="2"/>
    </w:pPr>
    <w:rPr>
      <w:rFonts w:cs="Times New Roman"/>
      <w:b/>
      <w:kern w:val="0"/>
      <w:sz w:val="24"/>
      <w:szCs w:val="20"/>
    </w:rPr>
  </w:style>
  <w:style w:type="paragraph" w:styleId="7">
    <w:name w:val="heading 4"/>
    <w:basedOn w:val="1"/>
    <w:next w:val="1"/>
    <w:link w:val="148"/>
    <w:qFormat/>
    <w:uiPriority w:val="0"/>
    <w:pPr>
      <w:keepNext/>
      <w:keepLines/>
      <w:spacing w:before="280" w:after="290" w:line="376" w:lineRule="auto"/>
      <w:jc w:val="center"/>
      <w:outlineLvl w:val="3"/>
    </w:pPr>
    <w:rPr>
      <w:rFonts w:ascii="Calibri Light" w:hAnsi="Calibri Light" w:cs="Times New Roman"/>
      <w:b/>
      <w:bCs/>
      <w:kern w:val="0"/>
      <w:sz w:val="24"/>
      <w:szCs w:val="28"/>
    </w:rPr>
  </w:style>
  <w:style w:type="paragraph" w:styleId="8">
    <w:name w:val="heading 5"/>
    <w:basedOn w:val="1"/>
    <w:next w:val="1"/>
    <w:link w:val="149"/>
    <w:qFormat/>
    <w:uiPriority w:val="0"/>
    <w:pPr>
      <w:keepNext/>
      <w:keepLines/>
      <w:spacing w:before="280" w:after="290" w:line="376" w:lineRule="auto"/>
      <w:jc w:val="center"/>
      <w:outlineLvl w:val="4"/>
    </w:pPr>
    <w:rPr>
      <w:rFonts w:cs="Times New Roman"/>
      <w:b/>
      <w:bCs/>
      <w:kern w:val="0"/>
      <w:szCs w:val="28"/>
    </w:rPr>
  </w:style>
  <w:style w:type="paragraph" w:styleId="9">
    <w:name w:val="heading 6"/>
    <w:basedOn w:val="1"/>
    <w:next w:val="1"/>
    <w:link w:val="150"/>
    <w:qFormat/>
    <w:uiPriority w:val="0"/>
    <w:pPr>
      <w:keepNext/>
      <w:keepLines/>
      <w:spacing w:before="240" w:after="64" w:line="320" w:lineRule="auto"/>
      <w:outlineLvl w:val="5"/>
    </w:pPr>
    <w:rPr>
      <w:rFonts w:ascii="Calibri Light" w:hAnsi="Calibri Light" w:cs="Times New Roman"/>
      <w:b/>
      <w:bCs/>
      <w:kern w:val="0"/>
      <w:sz w:val="24"/>
      <w:szCs w:val="24"/>
    </w:rPr>
  </w:style>
  <w:style w:type="paragraph" w:styleId="10">
    <w:name w:val="heading 7"/>
    <w:basedOn w:val="1"/>
    <w:next w:val="1"/>
    <w:link w:val="151"/>
    <w:qFormat/>
    <w:uiPriority w:val="0"/>
    <w:pPr>
      <w:keepNext/>
      <w:keepLines/>
      <w:spacing w:before="240" w:after="64" w:line="320" w:lineRule="auto"/>
      <w:outlineLvl w:val="6"/>
    </w:pPr>
    <w:rPr>
      <w:rFonts w:cs="Times New Roman"/>
      <w:b/>
      <w:bCs/>
      <w:kern w:val="0"/>
      <w:sz w:val="24"/>
      <w:szCs w:val="24"/>
    </w:rPr>
  </w:style>
  <w:style w:type="paragraph" w:styleId="11">
    <w:name w:val="heading 8"/>
    <w:basedOn w:val="1"/>
    <w:next w:val="1"/>
    <w:link w:val="152"/>
    <w:qFormat/>
    <w:uiPriority w:val="0"/>
    <w:pPr>
      <w:keepNext/>
      <w:keepLines/>
      <w:spacing w:before="240" w:after="64" w:line="320" w:lineRule="auto"/>
      <w:outlineLvl w:val="7"/>
    </w:pPr>
    <w:rPr>
      <w:rFonts w:ascii="Calibri Light" w:hAnsi="Calibri Light" w:cs="Times New Roman"/>
      <w:kern w:val="0"/>
      <w:sz w:val="24"/>
      <w:szCs w:val="24"/>
    </w:rPr>
  </w:style>
  <w:style w:type="paragraph" w:styleId="12">
    <w:name w:val="heading 9"/>
    <w:basedOn w:val="1"/>
    <w:next w:val="1"/>
    <w:link w:val="207"/>
    <w:qFormat/>
    <w:uiPriority w:val="0"/>
    <w:pPr>
      <w:keepNext/>
      <w:keepLines/>
      <w:spacing w:before="240" w:after="64" w:line="317" w:lineRule="auto"/>
      <w:outlineLvl w:val="8"/>
    </w:pPr>
    <w:rPr>
      <w:rFonts w:ascii="Cambria" w:hAnsi="Cambria" w:cs="Times New Roman"/>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qFormat/>
    <w:uiPriority w:val="99"/>
    <w:pPr>
      <w:snapToGrid w:val="0"/>
      <w:jc w:val="left"/>
    </w:pPr>
    <w:rPr>
      <w:sz w:val="18"/>
    </w:rPr>
  </w:style>
  <w:style w:type="paragraph" w:styleId="3">
    <w:name w:val="index 5"/>
    <w:basedOn w:val="1"/>
    <w:next w:val="1"/>
    <w:unhideWhenUsed/>
    <w:qFormat/>
    <w:uiPriority w:val="99"/>
    <w:pPr>
      <w:ind w:left="1680"/>
    </w:pPr>
  </w:style>
  <w:style w:type="paragraph" w:styleId="13">
    <w:name w:val="toc 7"/>
    <w:basedOn w:val="1"/>
    <w:next w:val="1"/>
    <w:unhideWhenUsed/>
    <w:qFormat/>
    <w:uiPriority w:val="0"/>
    <w:pPr>
      <w:ind w:left="2520" w:leftChars="1200"/>
    </w:pPr>
    <w:rPr>
      <w:rFonts w:cs="Times New Roman"/>
    </w:rPr>
  </w:style>
  <w:style w:type="paragraph" w:styleId="14">
    <w:name w:val="Normal Indent"/>
    <w:basedOn w:val="1"/>
    <w:qFormat/>
    <w:uiPriority w:val="0"/>
    <w:pPr>
      <w:ind w:firstLine="420"/>
    </w:pPr>
    <w:rPr>
      <w:rFonts w:cs="Times New Roman"/>
      <w:szCs w:val="20"/>
    </w:rPr>
  </w:style>
  <w:style w:type="paragraph" w:styleId="15">
    <w:name w:val="caption"/>
    <w:basedOn w:val="1"/>
    <w:next w:val="1"/>
    <w:qFormat/>
    <w:uiPriority w:val="0"/>
    <w:rPr>
      <w:rFonts w:ascii="Cambria" w:hAnsi="Cambria" w:eastAsia="黑体" w:cs="Times New Roman"/>
      <w:sz w:val="20"/>
      <w:szCs w:val="20"/>
    </w:rPr>
  </w:style>
  <w:style w:type="paragraph" w:styleId="16">
    <w:name w:val="Document Map"/>
    <w:basedOn w:val="1"/>
    <w:link w:val="153"/>
    <w:unhideWhenUsed/>
    <w:qFormat/>
    <w:uiPriority w:val="0"/>
    <w:rPr>
      <w:rFonts w:ascii="宋体" w:cs="Times New Roman"/>
      <w:sz w:val="18"/>
      <w:szCs w:val="18"/>
    </w:rPr>
  </w:style>
  <w:style w:type="paragraph" w:styleId="17">
    <w:name w:val="toa heading"/>
    <w:basedOn w:val="1"/>
    <w:next w:val="1"/>
    <w:qFormat/>
    <w:uiPriority w:val="0"/>
    <w:pPr>
      <w:spacing w:line="360" w:lineRule="auto"/>
      <w:jc w:val="left"/>
    </w:pPr>
    <w:rPr>
      <w:rFonts w:ascii="Cambria" w:hAnsi="Cambria" w:cs="Times New Roman"/>
      <w:kern w:val="0"/>
      <w:sz w:val="24"/>
      <w:szCs w:val="20"/>
    </w:rPr>
  </w:style>
  <w:style w:type="paragraph" w:styleId="18">
    <w:name w:val="annotation text"/>
    <w:basedOn w:val="1"/>
    <w:link w:val="154"/>
    <w:qFormat/>
    <w:uiPriority w:val="0"/>
    <w:pPr>
      <w:jc w:val="left"/>
    </w:pPr>
    <w:rPr>
      <w:rFonts w:cs="Times New Roman"/>
      <w:kern w:val="0"/>
      <w:sz w:val="20"/>
      <w:szCs w:val="20"/>
    </w:rPr>
  </w:style>
  <w:style w:type="paragraph" w:styleId="19">
    <w:name w:val="Body Text"/>
    <w:basedOn w:val="1"/>
    <w:link w:val="155"/>
    <w:unhideWhenUsed/>
    <w:qFormat/>
    <w:uiPriority w:val="0"/>
    <w:pPr>
      <w:spacing w:after="120"/>
    </w:pPr>
    <w:rPr>
      <w:rFonts w:ascii="Times New Roman" w:hAnsi="Times New Roman" w:cs="Times New Roman"/>
      <w:szCs w:val="24"/>
    </w:rPr>
  </w:style>
  <w:style w:type="paragraph" w:styleId="20">
    <w:name w:val="Body Text Indent"/>
    <w:basedOn w:val="1"/>
    <w:next w:val="1"/>
    <w:link w:val="156"/>
    <w:qFormat/>
    <w:uiPriority w:val="0"/>
    <w:pPr>
      <w:tabs>
        <w:tab w:val="left" w:pos="3075"/>
      </w:tabs>
      <w:adjustRightInd w:val="0"/>
      <w:snapToGrid w:val="0"/>
      <w:spacing w:line="420" w:lineRule="exact"/>
      <w:ind w:firstLine="538" w:firstLineChars="207"/>
    </w:pPr>
    <w:rPr>
      <w:rFonts w:ascii="仿宋_GB2312" w:hAnsi="华文中宋" w:eastAsia="仿宋_GB2312" w:cs="Times New Roman"/>
      <w:bCs/>
      <w:color w:val="000000"/>
      <w:spacing w:val="-10"/>
      <w:sz w:val="24"/>
      <w:szCs w:val="24"/>
    </w:rPr>
  </w:style>
  <w:style w:type="paragraph" w:styleId="21">
    <w:name w:val="index 4"/>
    <w:basedOn w:val="1"/>
    <w:next w:val="1"/>
    <w:qFormat/>
    <w:uiPriority w:val="0"/>
    <w:pPr>
      <w:ind w:left="600" w:leftChars="600"/>
    </w:pPr>
    <w:rPr>
      <w:rFonts w:ascii="Times New Roman" w:hAnsi="Times New Roman" w:cs="Times New Roman"/>
      <w:szCs w:val="24"/>
    </w:rPr>
  </w:style>
  <w:style w:type="paragraph" w:styleId="22">
    <w:name w:val="toc 5"/>
    <w:basedOn w:val="1"/>
    <w:next w:val="1"/>
    <w:unhideWhenUsed/>
    <w:qFormat/>
    <w:uiPriority w:val="0"/>
    <w:pPr>
      <w:ind w:left="1680" w:leftChars="800"/>
    </w:pPr>
    <w:rPr>
      <w:rFonts w:cs="Times New Roman"/>
    </w:rPr>
  </w:style>
  <w:style w:type="paragraph" w:styleId="23">
    <w:name w:val="toc 3"/>
    <w:basedOn w:val="1"/>
    <w:next w:val="1"/>
    <w:qFormat/>
    <w:uiPriority w:val="0"/>
    <w:pPr>
      <w:widowControl/>
      <w:ind w:left="400" w:right="255"/>
    </w:pPr>
    <w:rPr>
      <w:rFonts w:ascii="Times New Roman" w:hAnsi="Times New Roman" w:cs="Times New Roman"/>
      <w:kern w:val="0"/>
      <w:sz w:val="24"/>
      <w:szCs w:val="20"/>
    </w:rPr>
  </w:style>
  <w:style w:type="paragraph" w:styleId="24">
    <w:name w:val="Plain Text"/>
    <w:basedOn w:val="1"/>
    <w:link w:val="157"/>
    <w:qFormat/>
    <w:uiPriority w:val="0"/>
    <w:rPr>
      <w:rFonts w:ascii="宋体" w:hAnsi="Courier New" w:cs="Times New Roman"/>
      <w:kern w:val="0"/>
      <w:sz w:val="20"/>
      <w:szCs w:val="21"/>
    </w:rPr>
  </w:style>
  <w:style w:type="paragraph" w:styleId="25">
    <w:name w:val="toc 8"/>
    <w:basedOn w:val="1"/>
    <w:next w:val="1"/>
    <w:qFormat/>
    <w:uiPriority w:val="0"/>
    <w:pPr>
      <w:ind w:left="2940" w:leftChars="1400"/>
    </w:pPr>
    <w:rPr>
      <w:rFonts w:cs="Times New Roman"/>
    </w:rPr>
  </w:style>
  <w:style w:type="paragraph" w:styleId="26">
    <w:name w:val="Date"/>
    <w:basedOn w:val="1"/>
    <w:next w:val="1"/>
    <w:link w:val="158"/>
    <w:unhideWhenUsed/>
    <w:qFormat/>
    <w:uiPriority w:val="0"/>
    <w:pPr>
      <w:ind w:left="100" w:leftChars="2500"/>
    </w:pPr>
    <w:rPr>
      <w:rFonts w:cs="Times New Roman"/>
    </w:rPr>
  </w:style>
  <w:style w:type="paragraph" w:styleId="27">
    <w:name w:val="Body Text Indent 2"/>
    <w:basedOn w:val="1"/>
    <w:link w:val="159"/>
    <w:qFormat/>
    <w:uiPriority w:val="0"/>
    <w:pPr>
      <w:ind w:firstLine="480"/>
    </w:pPr>
    <w:rPr>
      <w:rFonts w:ascii="宋体" w:hAnsi="宋体" w:cs="Times New Roman"/>
      <w:sz w:val="30"/>
      <w:szCs w:val="24"/>
    </w:rPr>
  </w:style>
  <w:style w:type="paragraph" w:styleId="28">
    <w:name w:val="Balloon Text"/>
    <w:basedOn w:val="1"/>
    <w:link w:val="167"/>
    <w:qFormat/>
    <w:uiPriority w:val="0"/>
    <w:rPr>
      <w:rFonts w:cs="Times New Roman"/>
      <w:kern w:val="0"/>
      <w:sz w:val="18"/>
      <w:szCs w:val="18"/>
    </w:rPr>
  </w:style>
  <w:style w:type="paragraph" w:styleId="29">
    <w:name w:val="footer"/>
    <w:basedOn w:val="1"/>
    <w:link w:val="161"/>
    <w:qFormat/>
    <w:uiPriority w:val="0"/>
    <w:pPr>
      <w:tabs>
        <w:tab w:val="center" w:pos="4153"/>
        <w:tab w:val="right" w:pos="8306"/>
      </w:tabs>
      <w:snapToGrid w:val="0"/>
      <w:jc w:val="left"/>
    </w:pPr>
    <w:rPr>
      <w:rFonts w:ascii="Times New Roman" w:hAnsi="Times New Roman" w:cs="Times New Roman"/>
      <w:kern w:val="0"/>
      <w:sz w:val="18"/>
      <w:szCs w:val="18"/>
    </w:rPr>
  </w:style>
  <w:style w:type="paragraph" w:styleId="30">
    <w:name w:val="header"/>
    <w:basedOn w:val="1"/>
    <w:link w:val="162"/>
    <w:qFormat/>
    <w:uiPriority w:val="0"/>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31">
    <w:name w:val="toc 1"/>
    <w:basedOn w:val="1"/>
    <w:next w:val="1"/>
    <w:qFormat/>
    <w:uiPriority w:val="0"/>
    <w:rPr>
      <w:rFonts w:ascii="Times New Roman" w:hAnsi="Times New Roman" w:cs="Times New Roman"/>
      <w:szCs w:val="20"/>
    </w:rPr>
  </w:style>
  <w:style w:type="paragraph" w:styleId="32">
    <w:name w:val="toc 4"/>
    <w:basedOn w:val="1"/>
    <w:next w:val="1"/>
    <w:unhideWhenUsed/>
    <w:qFormat/>
    <w:uiPriority w:val="0"/>
    <w:pPr>
      <w:ind w:left="1260" w:leftChars="600"/>
    </w:pPr>
    <w:rPr>
      <w:rFonts w:cs="Times New Roman"/>
    </w:rPr>
  </w:style>
  <w:style w:type="paragraph" w:styleId="33">
    <w:name w:val="Subtitle"/>
    <w:basedOn w:val="1"/>
    <w:next w:val="1"/>
    <w:link w:val="229"/>
    <w:qFormat/>
    <w:uiPriority w:val="11"/>
    <w:pPr>
      <w:spacing w:before="240" w:after="60" w:line="312" w:lineRule="auto"/>
      <w:jc w:val="center"/>
      <w:outlineLvl w:val="1"/>
    </w:pPr>
    <w:rPr>
      <w:rFonts w:ascii="Calibri Light" w:hAnsi="Calibri Light" w:cs="Times New Roman"/>
      <w:b/>
      <w:bCs/>
      <w:kern w:val="28"/>
      <w:sz w:val="32"/>
      <w:szCs w:val="32"/>
    </w:rPr>
  </w:style>
  <w:style w:type="paragraph" w:styleId="34">
    <w:name w:val="toc 6"/>
    <w:basedOn w:val="1"/>
    <w:next w:val="1"/>
    <w:unhideWhenUsed/>
    <w:qFormat/>
    <w:uiPriority w:val="0"/>
    <w:pPr>
      <w:tabs>
        <w:tab w:val="right" w:leader="dot" w:pos="8296"/>
      </w:tabs>
      <w:ind w:left="2100" w:leftChars="1000"/>
      <w:jc w:val="left"/>
    </w:pPr>
    <w:rPr>
      <w:rFonts w:cs="Times New Roman"/>
    </w:rPr>
  </w:style>
  <w:style w:type="paragraph" w:styleId="35">
    <w:name w:val="index 9"/>
    <w:basedOn w:val="1"/>
    <w:next w:val="1"/>
    <w:qFormat/>
    <w:uiPriority w:val="0"/>
    <w:pPr>
      <w:ind w:left="1600" w:leftChars="1600"/>
    </w:pPr>
    <w:rPr>
      <w:rFonts w:ascii="Times New Roman" w:hAnsi="Times New Roman" w:cs="Times New Roman"/>
      <w:szCs w:val="20"/>
    </w:rPr>
  </w:style>
  <w:style w:type="paragraph" w:styleId="36">
    <w:name w:val="toc 2"/>
    <w:basedOn w:val="1"/>
    <w:next w:val="1"/>
    <w:qFormat/>
    <w:uiPriority w:val="0"/>
    <w:pPr>
      <w:ind w:left="420" w:leftChars="200"/>
    </w:pPr>
    <w:rPr>
      <w:rFonts w:ascii="Times New Roman" w:hAnsi="Times New Roman" w:cs="Times New Roman"/>
      <w:szCs w:val="20"/>
    </w:rPr>
  </w:style>
  <w:style w:type="paragraph" w:styleId="37">
    <w:name w:val="toc 9"/>
    <w:basedOn w:val="1"/>
    <w:next w:val="1"/>
    <w:qFormat/>
    <w:uiPriority w:val="0"/>
    <w:pPr>
      <w:ind w:left="3360" w:leftChars="1600"/>
    </w:pPr>
    <w:rPr>
      <w:rFonts w:cs="Times New Roman"/>
    </w:rPr>
  </w:style>
  <w:style w:type="paragraph" w:styleId="38">
    <w:name w:val="Body Text 2"/>
    <w:basedOn w:val="1"/>
    <w:link w:val="199"/>
    <w:unhideWhenUsed/>
    <w:qFormat/>
    <w:uiPriority w:val="0"/>
    <w:pPr>
      <w:spacing w:after="120" w:line="480" w:lineRule="auto"/>
    </w:pPr>
    <w:rPr>
      <w:rFonts w:cs="Times New Roman"/>
    </w:rPr>
  </w:style>
  <w:style w:type="paragraph" w:styleId="39">
    <w:name w:val="HTML Preformatted"/>
    <w:basedOn w:val="1"/>
    <w:link w:val="20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40">
    <w:name w:val="Normal (Web)"/>
    <w:basedOn w:val="1"/>
    <w:link w:val="201"/>
    <w:unhideWhenUsed/>
    <w:qFormat/>
    <w:uiPriority w:val="99"/>
    <w:pPr>
      <w:widowControl/>
      <w:spacing w:before="100" w:beforeAutospacing="1" w:after="100" w:afterAutospacing="1"/>
      <w:jc w:val="left"/>
    </w:pPr>
    <w:rPr>
      <w:rFonts w:ascii="宋体" w:hAnsi="宋体" w:cs="Times New Roman"/>
      <w:kern w:val="0"/>
      <w:sz w:val="24"/>
      <w:szCs w:val="24"/>
    </w:rPr>
  </w:style>
  <w:style w:type="paragraph" w:styleId="41">
    <w:name w:val="Title"/>
    <w:basedOn w:val="1"/>
    <w:next w:val="1"/>
    <w:link w:val="228"/>
    <w:qFormat/>
    <w:uiPriority w:val="10"/>
    <w:pPr>
      <w:spacing w:before="240" w:after="60"/>
      <w:jc w:val="center"/>
      <w:outlineLvl w:val="0"/>
    </w:pPr>
    <w:rPr>
      <w:rFonts w:ascii="Cambria" w:hAnsi="Cambria" w:cs="Times New Roman"/>
      <w:b/>
      <w:bCs/>
      <w:kern w:val="0"/>
      <w:sz w:val="24"/>
      <w:szCs w:val="32"/>
    </w:rPr>
  </w:style>
  <w:style w:type="paragraph" w:styleId="42">
    <w:name w:val="annotation subject"/>
    <w:basedOn w:val="18"/>
    <w:next w:val="1"/>
    <w:link w:val="163"/>
    <w:qFormat/>
    <w:uiPriority w:val="0"/>
    <w:rPr>
      <w:b/>
      <w:bCs/>
    </w:rPr>
  </w:style>
  <w:style w:type="paragraph" w:styleId="43">
    <w:name w:val="Body Text First Indent"/>
    <w:basedOn w:val="19"/>
    <w:link w:val="168"/>
    <w:qFormat/>
    <w:uiPriority w:val="0"/>
    <w:pPr>
      <w:ind w:firstLine="420" w:firstLineChars="100"/>
    </w:pPr>
    <w:rPr>
      <w:kern w:val="0"/>
      <w:sz w:val="20"/>
    </w:rPr>
  </w:style>
  <w:style w:type="paragraph" w:styleId="44">
    <w:name w:val="Body Text First Indent 2"/>
    <w:basedOn w:val="20"/>
    <w:link w:val="165"/>
    <w:qFormat/>
    <w:uiPriority w:val="0"/>
    <w:pPr>
      <w:ind w:firstLine="420" w:firstLineChars="200"/>
    </w:p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basedOn w:val="47"/>
    <w:qFormat/>
    <w:uiPriority w:val="0"/>
    <w:rPr>
      <w:b/>
      <w:bCs/>
    </w:rPr>
  </w:style>
  <w:style w:type="character" w:styleId="49">
    <w:name w:val="page number"/>
    <w:qFormat/>
    <w:uiPriority w:val="0"/>
  </w:style>
  <w:style w:type="character" w:styleId="50">
    <w:name w:val="FollowedHyperlink"/>
    <w:basedOn w:val="47"/>
    <w:unhideWhenUsed/>
    <w:qFormat/>
    <w:uiPriority w:val="99"/>
    <w:rPr>
      <w:color w:val="800080"/>
      <w:u w:val="single"/>
    </w:rPr>
  </w:style>
  <w:style w:type="character" w:styleId="51">
    <w:name w:val="Emphasis"/>
    <w:basedOn w:val="47"/>
    <w:qFormat/>
    <w:uiPriority w:val="0"/>
    <w:rPr>
      <w:i/>
      <w:iCs/>
    </w:rPr>
  </w:style>
  <w:style w:type="character" w:styleId="52">
    <w:name w:val="Hyperlink"/>
    <w:qFormat/>
    <w:uiPriority w:val="0"/>
    <w:rPr>
      <w:color w:val="0563C1"/>
      <w:u w:val="single"/>
    </w:rPr>
  </w:style>
  <w:style w:type="character" w:styleId="53">
    <w:name w:val="annotation reference"/>
    <w:qFormat/>
    <w:uiPriority w:val="0"/>
    <w:rPr>
      <w:sz w:val="21"/>
      <w:szCs w:val="21"/>
    </w:rPr>
  </w:style>
  <w:style w:type="character" w:styleId="54">
    <w:name w:val="HTML Sample"/>
    <w:unhideWhenUsed/>
    <w:qFormat/>
    <w:uiPriority w:val="99"/>
    <w:rPr>
      <w:rFonts w:ascii="宋体" w:hAnsi="宋体" w:eastAsia="宋体" w:cs="宋体"/>
    </w:rPr>
  </w:style>
  <w:style w:type="paragraph" w:customStyle="1" w:styleId="55">
    <w:name w:val="Default Text"/>
    <w:link w:val="169"/>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56">
    <w:name w:val="Table Paragraph"/>
    <w:basedOn w:val="1"/>
    <w:qFormat/>
    <w:uiPriority w:val="1"/>
    <w:pPr>
      <w:jc w:val="left"/>
    </w:pPr>
    <w:rPr>
      <w:rFonts w:ascii="宋体" w:hAnsi="宋体" w:cs="宋体"/>
      <w:kern w:val="0"/>
      <w:sz w:val="22"/>
      <w:lang w:eastAsia="en-US"/>
    </w:rPr>
  </w:style>
  <w:style w:type="paragraph" w:customStyle="1" w:styleId="57">
    <w:name w:val="缺省文本"/>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5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9">
    <w:name w:val="reader-word-layer reader-word-s1-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0">
    <w:name w:val="列出段落1"/>
    <w:basedOn w:val="1"/>
    <w:qFormat/>
    <w:uiPriority w:val="0"/>
    <w:pPr>
      <w:widowControl/>
      <w:ind w:firstLine="420" w:firstLineChars="200"/>
      <w:jc w:val="left"/>
    </w:pPr>
    <w:rPr>
      <w:rFonts w:ascii="Times" w:hAnsi="Times" w:cs="Times New Roman"/>
      <w:kern w:val="0"/>
      <w:sz w:val="20"/>
      <w:szCs w:val="20"/>
    </w:rPr>
  </w:style>
  <w:style w:type="paragraph" w:customStyle="1" w:styleId="61">
    <w:name w:val="p15"/>
    <w:basedOn w:val="1"/>
    <w:qFormat/>
    <w:uiPriority w:val="0"/>
    <w:pPr>
      <w:widowControl/>
      <w:spacing w:before="260" w:after="260" w:line="412" w:lineRule="auto"/>
    </w:pPr>
    <w:rPr>
      <w:rFonts w:ascii="Times New Roman" w:hAnsi="Times New Roman" w:cs="Times New Roman"/>
      <w:b/>
      <w:bCs/>
      <w:kern w:val="0"/>
      <w:sz w:val="30"/>
      <w:szCs w:val="30"/>
    </w:rPr>
  </w:style>
  <w:style w:type="paragraph" w:customStyle="1" w:styleId="62">
    <w:name w:val="无间隔1"/>
    <w:qFormat/>
    <w:uiPriority w:val="0"/>
    <w:rPr>
      <w:rFonts w:ascii="Times New Roman" w:hAnsi="Times New Roman" w:eastAsia="宋体" w:cs="Times New Roman"/>
      <w:lang w:val="en-US" w:eastAsia="zh-CN" w:bidi="ar-SA"/>
    </w:rPr>
  </w:style>
  <w:style w:type="paragraph" w:customStyle="1" w:styleId="63">
    <w:name w:val="_Style 30"/>
    <w:basedOn w:val="1"/>
    <w:next w:val="60"/>
    <w:qFormat/>
    <w:uiPriority w:val="0"/>
    <w:pPr>
      <w:widowControl/>
      <w:ind w:firstLine="420" w:firstLineChars="200"/>
      <w:jc w:val="left"/>
    </w:pPr>
    <w:rPr>
      <w:rFonts w:ascii="Times" w:hAnsi="Times" w:cs="Times New Roman"/>
      <w:kern w:val="0"/>
      <w:sz w:val="20"/>
      <w:szCs w:val="20"/>
    </w:rPr>
  </w:style>
  <w:style w:type="paragraph" w:customStyle="1" w:styleId="64">
    <w:name w:val="head 1.1"/>
    <w:basedOn w:val="60"/>
    <w:link w:val="176"/>
    <w:qFormat/>
    <w:uiPriority w:val="0"/>
    <w:pPr>
      <w:widowControl w:val="0"/>
      <w:spacing w:before="260" w:after="260"/>
      <w:ind w:firstLine="0" w:firstLineChars="0"/>
      <w:jc w:val="both"/>
    </w:pPr>
    <w:rPr>
      <w:rFonts w:ascii="宋体" w:hAnsi="宋体"/>
      <w:bCs/>
      <w:szCs w:val="24"/>
    </w:rPr>
  </w:style>
  <w:style w:type="paragraph" w:customStyle="1" w:styleId="65">
    <w:name w:val="head 1.1.1"/>
    <w:basedOn w:val="60"/>
    <w:link w:val="188"/>
    <w:qFormat/>
    <w:uiPriority w:val="0"/>
    <w:pPr>
      <w:widowControl w:val="0"/>
      <w:ind w:firstLine="0" w:firstLineChars="0"/>
      <w:jc w:val="both"/>
    </w:pPr>
    <w:rPr>
      <w:rFonts w:ascii="Times New Roman" w:hAnsi="Times New Roman"/>
      <w:bCs/>
      <w:szCs w:val="24"/>
    </w:rPr>
  </w:style>
  <w:style w:type="paragraph" w:customStyle="1" w:styleId="66">
    <w:name w:val="正文 New New New"/>
    <w:qFormat/>
    <w:uiPriority w:val="0"/>
    <w:pPr>
      <w:spacing w:line="560" w:lineRule="exact"/>
      <w:ind w:firstLine="200" w:firstLineChars="200"/>
    </w:pPr>
    <w:rPr>
      <w:rFonts w:ascii="Calibri" w:hAnsi="Calibri" w:eastAsia="仿宋_GB2312" w:cs="Times New Roman"/>
      <w:sz w:val="32"/>
      <w:szCs w:val="24"/>
      <w:lang w:val="en-US" w:eastAsia="en-US" w:bidi="en-US"/>
    </w:rPr>
  </w:style>
  <w:style w:type="paragraph" w:customStyle="1" w:styleId="67">
    <w:name w:val="reader-word-layer reader-word-s1-10 reader-word-s1-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8">
    <w:name w:val="正文1"/>
    <w:basedOn w:val="1"/>
    <w:qFormat/>
    <w:uiPriority w:val="0"/>
    <w:pPr>
      <w:spacing w:line="400" w:lineRule="exact"/>
      <w:ind w:firstLine="1280" w:firstLineChars="200"/>
    </w:pPr>
    <w:rPr>
      <w:rFonts w:cs="Times New Roman"/>
      <w:sz w:val="24"/>
      <w:szCs w:val="24"/>
    </w:rPr>
  </w:style>
  <w:style w:type="paragraph" w:customStyle="1" w:styleId="69">
    <w:name w:val="reader-word-layer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0">
    <w:name w:val="Char Char Char Char Char1 Char Char Char Char"/>
    <w:basedOn w:val="1"/>
    <w:qFormat/>
    <w:uiPriority w:val="0"/>
    <w:pPr>
      <w:tabs>
        <w:tab w:val="left" w:pos="1360"/>
      </w:tabs>
      <w:ind w:left="1360" w:hanging="720"/>
    </w:pPr>
    <w:rPr>
      <w:rFonts w:cs="Times New Roman"/>
      <w:szCs w:val="20"/>
    </w:rPr>
  </w:style>
  <w:style w:type="paragraph" w:customStyle="1" w:styleId="71">
    <w:name w:val="表格"/>
    <w:qFormat/>
    <w:uiPriority w:val="0"/>
    <w:pPr>
      <w:jc w:val="center"/>
    </w:pPr>
    <w:rPr>
      <w:rFonts w:ascii="Calibri" w:hAnsi="Calibri" w:eastAsia="宋体" w:cs="Tahoma"/>
      <w:color w:val="000000"/>
      <w:sz w:val="21"/>
      <w:szCs w:val="24"/>
      <w:lang w:val="en-US" w:eastAsia="zh-CN" w:bidi="ar-SA"/>
    </w:rPr>
  </w:style>
  <w:style w:type="paragraph" w:customStyle="1" w:styleId="72">
    <w:name w:val="五号字体"/>
    <w:basedOn w:val="1"/>
    <w:qFormat/>
    <w:uiPriority w:val="0"/>
    <w:pPr>
      <w:spacing w:line="400" w:lineRule="exact"/>
      <w:jc w:val="center"/>
    </w:pPr>
    <w:rPr>
      <w:rFonts w:cs="Times New Roman"/>
      <w:kern w:val="0"/>
      <w:szCs w:val="21"/>
    </w:rPr>
  </w:style>
  <w:style w:type="paragraph" w:customStyle="1" w:styleId="73">
    <w:name w:val="reader-word-layer reader-word-s2-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4">
    <w:name w:val="reader-word-layer reader-word-s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5">
    <w:name w:val="Char Char1 Char Char Char Char Char Char Char Char Char Char Char Char Char Char"/>
    <w:basedOn w:val="1"/>
    <w:qFormat/>
    <w:uiPriority w:val="0"/>
    <w:pPr>
      <w:widowControl/>
      <w:spacing w:after="160" w:line="240" w:lineRule="exact"/>
      <w:jc w:val="left"/>
    </w:pPr>
    <w:rPr>
      <w:rFonts w:cs="Times New Roman"/>
      <w:szCs w:val="24"/>
    </w:rPr>
  </w:style>
  <w:style w:type="paragraph" w:customStyle="1" w:styleId="76">
    <w:name w:val="_Style 2"/>
    <w:basedOn w:val="1"/>
    <w:qFormat/>
    <w:uiPriority w:val="0"/>
    <w:pPr>
      <w:widowControl/>
      <w:ind w:firstLine="420" w:firstLineChars="200"/>
      <w:jc w:val="left"/>
    </w:pPr>
    <w:rPr>
      <w:rFonts w:ascii="Times" w:hAnsi="Times" w:cs="Times New Roman"/>
      <w:kern w:val="0"/>
      <w:sz w:val="20"/>
      <w:szCs w:val="20"/>
    </w:rPr>
  </w:style>
  <w:style w:type="paragraph" w:customStyle="1" w:styleId="77">
    <w:name w:val="Main_heading"/>
    <w:basedOn w:val="1"/>
    <w:next w:val="1"/>
    <w:qFormat/>
    <w:uiPriority w:val="0"/>
    <w:pPr>
      <w:spacing w:before="240" w:after="240" w:line="240" w:lineRule="atLeast"/>
    </w:pPr>
    <w:rPr>
      <w:rFonts w:eastAsia="MS Mincho" w:cs="Times New Roman"/>
      <w:b/>
      <w:sz w:val="28"/>
      <w:szCs w:val="24"/>
      <w:lang w:eastAsia="ja-JP"/>
    </w:rPr>
  </w:style>
  <w:style w:type="paragraph" w:customStyle="1" w:styleId="78">
    <w:name w:val="Char Char Char Char"/>
    <w:basedOn w:val="1"/>
    <w:qFormat/>
    <w:uiPriority w:val="0"/>
    <w:rPr>
      <w:rFonts w:eastAsia="Times New Roman" w:cs="Times New Roman"/>
      <w:kern w:val="0"/>
      <w:sz w:val="20"/>
      <w:szCs w:val="20"/>
    </w:rPr>
  </w:style>
  <w:style w:type="paragraph" w:customStyle="1" w:styleId="79">
    <w:name w:val="列出段落11"/>
    <w:basedOn w:val="1"/>
    <w:qFormat/>
    <w:uiPriority w:val="34"/>
    <w:pPr>
      <w:ind w:firstLine="420" w:firstLineChars="200"/>
    </w:pPr>
    <w:rPr>
      <w:rFonts w:ascii="等线" w:hAnsi="等线" w:eastAsia="等线" w:cs="Times New Roman"/>
    </w:rPr>
  </w:style>
  <w:style w:type="paragraph" w:customStyle="1" w:styleId="80">
    <w:name w:val="reader-word-layer reader-word-s1-0 reader-word-s1-1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1">
    <w:name w:val="列表段落1"/>
    <w:basedOn w:val="1"/>
    <w:link w:val="202"/>
    <w:qFormat/>
    <w:uiPriority w:val="34"/>
    <w:pPr>
      <w:ind w:firstLine="420" w:firstLineChars="200"/>
    </w:pPr>
    <w:rPr>
      <w:rFonts w:cs="Times New Roman"/>
    </w:rPr>
  </w:style>
  <w:style w:type="paragraph" w:customStyle="1" w:styleId="82">
    <w:name w:val="reader-word-layer reader-word-s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3">
    <w:name w:val="detail-info"/>
    <w:basedOn w:val="1"/>
    <w:qFormat/>
    <w:uiPriority w:val="0"/>
    <w:pPr>
      <w:widowControl/>
      <w:pBdr>
        <w:bottom w:val="dotted" w:color="999999" w:sz="6" w:space="8"/>
      </w:pBdr>
      <w:spacing w:before="100" w:beforeAutospacing="1" w:after="300"/>
      <w:jc w:val="left"/>
    </w:pPr>
    <w:rPr>
      <w:rFonts w:ascii="宋体" w:hAnsi="宋体" w:cs="宋体"/>
      <w:color w:val="666666"/>
      <w:kern w:val="0"/>
      <w:szCs w:val="21"/>
    </w:rPr>
  </w:style>
  <w:style w:type="paragraph" w:customStyle="1" w:styleId="84">
    <w:name w:val="TOC 标题1"/>
    <w:basedOn w:val="4"/>
    <w:next w:val="1"/>
    <w:qFormat/>
    <w:uiPriority w:val="0"/>
    <w:pPr>
      <w:widowControl/>
      <w:spacing w:before="480" w:after="0" w:line="276" w:lineRule="auto"/>
      <w:jc w:val="left"/>
      <w:outlineLvl w:val="9"/>
    </w:pPr>
    <w:rPr>
      <w:rFonts w:ascii="Cambria" w:hAnsi="Cambria"/>
      <w:color w:val="365F91"/>
      <w:kern w:val="0"/>
      <w:szCs w:val="28"/>
    </w:rPr>
  </w:style>
  <w:style w:type="paragraph" w:customStyle="1" w:styleId="85">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6">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正文2"/>
    <w:next w:val="89"/>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文本1"/>
    <w:basedOn w:val="88"/>
    <w:qFormat/>
    <w:uiPriority w:val="0"/>
    <w:pPr>
      <w:spacing w:after="120"/>
    </w:pPr>
  </w:style>
  <w:style w:type="paragraph" w:customStyle="1" w:styleId="90">
    <w:name w:val="标号标题"/>
    <w:basedOn w:val="1"/>
    <w:qFormat/>
    <w:uiPriority w:val="0"/>
    <w:pPr>
      <w:widowControl/>
      <w:numPr>
        <w:ilvl w:val="0"/>
        <w:numId w:val="1"/>
      </w:numPr>
      <w:spacing w:line="360" w:lineRule="auto"/>
      <w:jc w:val="left"/>
    </w:pPr>
    <w:rPr>
      <w:rFonts w:cs="Times New Roman"/>
      <w:b/>
      <w:szCs w:val="24"/>
    </w:rPr>
  </w:style>
  <w:style w:type="paragraph" w:customStyle="1" w:styleId="91">
    <w:name w:val="正文_6_0"/>
    <w:qFormat/>
    <w:uiPriority w:val="0"/>
    <w:pPr>
      <w:widowControl w:val="0"/>
      <w:jc w:val="both"/>
    </w:pPr>
    <w:rPr>
      <w:rFonts w:ascii="Calibri" w:hAnsi="Calibri" w:eastAsia="Calibri" w:cs="Times New Roman"/>
      <w:kern w:val="2"/>
      <w:sz w:val="21"/>
      <w:szCs w:val="22"/>
      <w:lang w:val="en-US" w:eastAsia="zh-CN" w:bidi="ar-SA"/>
    </w:rPr>
  </w:style>
  <w:style w:type="paragraph" w:customStyle="1" w:styleId="9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cs="Times New Roman"/>
      <w:sz w:val="24"/>
    </w:rPr>
  </w:style>
  <w:style w:type="paragraph" w:customStyle="1" w:styleId="93">
    <w:name w:val="样式 宋体 五号 行距: 单倍行距"/>
    <w:basedOn w:val="1"/>
    <w:qFormat/>
    <w:uiPriority w:val="0"/>
    <w:pPr>
      <w:adjustRightInd w:val="0"/>
      <w:jc w:val="left"/>
      <w:textAlignment w:val="baseline"/>
    </w:pPr>
    <w:rPr>
      <w:rFonts w:ascii="宋体" w:hAnsi="宋体" w:cs="Times New Roman"/>
      <w:kern w:val="0"/>
    </w:rPr>
  </w:style>
  <w:style w:type="paragraph" w:customStyle="1" w:styleId="94">
    <w:name w:val="Char1"/>
    <w:basedOn w:val="1"/>
    <w:qFormat/>
    <w:uiPriority w:val="0"/>
    <w:rPr>
      <w:rFonts w:ascii="Tahoma" w:hAnsi="Tahoma" w:cs="Times New Roman"/>
      <w:sz w:val="24"/>
    </w:rPr>
  </w:style>
  <w:style w:type="paragraph" w:customStyle="1" w:styleId="9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96">
    <w:name w:val="List Paragraph1"/>
    <w:basedOn w:val="1"/>
    <w:qFormat/>
    <w:uiPriority w:val="99"/>
    <w:pPr>
      <w:ind w:firstLine="420" w:firstLineChars="200"/>
    </w:pPr>
    <w:rPr>
      <w:rFonts w:cs="Times New Roman"/>
      <w:szCs w:val="21"/>
    </w:rPr>
  </w:style>
  <w:style w:type="paragraph" w:customStyle="1" w:styleId="97">
    <w:name w:val="样式1"/>
    <w:basedOn w:val="1"/>
    <w:qFormat/>
    <w:uiPriority w:val="0"/>
    <w:pPr>
      <w:tabs>
        <w:tab w:val="left" w:pos="480"/>
      </w:tabs>
      <w:adjustRightInd w:val="0"/>
      <w:ind w:left="480" w:hanging="480"/>
      <w:textAlignment w:val="baseline"/>
    </w:pPr>
    <w:rPr>
      <w:rFonts w:ascii="宋体" w:hAnsi="宋体" w:cs="Times New Roman"/>
      <w:kern w:val="0"/>
      <w:szCs w:val="21"/>
    </w:rPr>
  </w:style>
  <w:style w:type="paragraph" w:customStyle="1" w:styleId="98">
    <w:name w:val="0h"/>
    <w:basedOn w:val="1"/>
    <w:link w:val="203"/>
    <w:qFormat/>
    <w:uiPriority w:val="99"/>
    <w:pPr>
      <w:spacing w:line="360" w:lineRule="auto"/>
      <w:ind w:firstLine="480" w:firstLineChars="200"/>
    </w:pPr>
    <w:rPr>
      <w:rFonts w:ascii="宋体" w:hAnsi="Times New Roman" w:cs="Times New Roman"/>
      <w:kern w:val="0"/>
      <w:sz w:val="24"/>
      <w:szCs w:val="24"/>
    </w:rPr>
  </w:style>
  <w:style w:type="paragraph" w:customStyle="1" w:styleId="99">
    <w:name w:val="p0"/>
    <w:basedOn w:val="1"/>
    <w:link w:val="204"/>
    <w:qFormat/>
    <w:uiPriority w:val="0"/>
    <w:pPr>
      <w:widowControl/>
    </w:pPr>
    <w:rPr>
      <w:rFonts w:cs="Times New Roman"/>
      <w:kern w:val="0"/>
      <w:szCs w:val="21"/>
    </w:rPr>
  </w:style>
  <w:style w:type="paragraph" w:customStyle="1" w:styleId="10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2">
    <w:name w:val="xl65"/>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03">
    <w:name w:val="xl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4">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6">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07">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108">
    <w:name w:val="xl71"/>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09">
    <w:name w:val="xl7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110">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szCs w:val="24"/>
    </w:rPr>
  </w:style>
  <w:style w:type="paragraph" w:customStyle="1" w:styleId="111">
    <w:name w:val="font6"/>
    <w:basedOn w:val="1"/>
    <w:qFormat/>
    <w:uiPriority w:val="0"/>
    <w:pPr>
      <w:widowControl/>
      <w:spacing w:before="100" w:beforeAutospacing="1" w:after="100" w:afterAutospacing="1"/>
      <w:jc w:val="left"/>
    </w:pPr>
    <w:rPr>
      <w:rFonts w:ascii="Times New Roman" w:hAnsi="Times New Roman" w:cs="Times New Roman"/>
      <w:color w:val="000000"/>
      <w:kern w:val="0"/>
      <w:sz w:val="24"/>
      <w:szCs w:val="24"/>
    </w:rPr>
  </w:style>
  <w:style w:type="paragraph" w:customStyle="1" w:styleId="112">
    <w:name w:val="font7"/>
    <w:basedOn w:val="1"/>
    <w:qFormat/>
    <w:uiPriority w:val="0"/>
    <w:pPr>
      <w:widowControl/>
      <w:spacing w:before="100" w:beforeAutospacing="1" w:after="100" w:afterAutospacing="1"/>
      <w:jc w:val="left"/>
    </w:pPr>
    <w:rPr>
      <w:rFonts w:ascii="楷体" w:hAnsi="楷体" w:eastAsia="楷体" w:cs="宋体"/>
      <w:color w:val="000000"/>
      <w:kern w:val="0"/>
      <w:sz w:val="24"/>
      <w:szCs w:val="24"/>
    </w:rPr>
  </w:style>
  <w:style w:type="paragraph" w:customStyle="1" w:styleId="113">
    <w:name w:val="font8"/>
    <w:basedOn w:val="1"/>
    <w:qFormat/>
    <w:uiPriority w:val="0"/>
    <w:pPr>
      <w:widowControl/>
      <w:spacing w:before="100" w:beforeAutospacing="1" w:after="100" w:afterAutospacing="1"/>
      <w:jc w:val="left"/>
    </w:pPr>
    <w:rPr>
      <w:rFonts w:ascii="Times New Roman" w:hAnsi="Times New Roman" w:cs="Times New Roman"/>
      <w:color w:val="000000"/>
      <w:kern w:val="0"/>
      <w:sz w:val="24"/>
      <w:szCs w:val="24"/>
    </w:rPr>
  </w:style>
  <w:style w:type="paragraph" w:customStyle="1" w:styleId="114">
    <w:name w:val="List Paragraph_23798c66-ed1b-436f-b083-d3c6fb116711"/>
    <w:basedOn w:val="1"/>
    <w:qFormat/>
    <w:uiPriority w:val="34"/>
    <w:pPr>
      <w:ind w:firstLine="420" w:firstLineChars="200"/>
    </w:pPr>
    <w:rPr>
      <w:rFonts w:cs="Times New Roman"/>
    </w:rPr>
  </w:style>
  <w:style w:type="paragraph" w:customStyle="1" w:styleId="115">
    <w:name w:val="Body text|1"/>
    <w:basedOn w:val="1"/>
    <w:link w:val="206"/>
    <w:qFormat/>
    <w:uiPriority w:val="0"/>
    <w:pPr>
      <w:spacing w:line="480" w:lineRule="auto"/>
      <w:ind w:firstLine="400"/>
      <w:jc w:val="left"/>
    </w:pPr>
    <w:rPr>
      <w:rFonts w:ascii="宋体" w:hAnsi="宋体" w:cs="宋体"/>
      <w:kern w:val="0"/>
      <w:sz w:val="19"/>
      <w:szCs w:val="19"/>
      <w:lang w:val="zh-TW" w:eastAsia="zh-TW" w:bidi="zh-TW"/>
    </w:rPr>
  </w:style>
  <w:style w:type="paragraph" w:customStyle="1" w:styleId="116">
    <w:name w:val="普通正文"/>
    <w:basedOn w:val="1"/>
    <w:qFormat/>
    <w:uiPriority w:val="0"/>
    <w:pPr>
      <w:adjustRightInd w:val="0"/>
      <w:spacing w:before="120" w:after="120" w:line="360" w:lineRule="auto"/>
      <w:ind w:firstLine="480"/>
      <w:jc w:val="left"/>
      <w:textAlignment w:val="baseline"/>
    </w:pPr>
    <w:rPr>
      <w:rFonts w:ascii="Arial" w:hAnsi="Arial" w:cs="Times New Roman"/>
      <w:kern w:val="0"/>
      <w:sz w:val="24"/>
      <w:szCs w:val="24"/>
    </w:rPr>
  </w:style>
  <w:style w:type="paragraph" w:customStyle="1" w:styleId="117">
    <w:name w:val="*正文"/>
    <w:basedOn w:val="1"/>
    <w:qFormat/>
    <w:uiPriority w:val="0"/>
    <w:pPr>
      <w:spacing w:line="360" w:lineRule="auto"/>
    </w:pPr>
    <w:rPr>
      <w:rFonts w:hAnsi="宋体" w:eastAsia="仿宋" w:cs="宋体"/>
      <w:kern w:val="0"/>
      <w:sz w:val="28"/>
      <w:szCs w:val="32"/>
    </w:rPr>
  </w:style>
  <w:style w:type="paragraph" w:customStyle="1" w:styleId="118">
    <w:name w:val="方案正文"/>
    <w:basedOn w:val="1"/>
    <w:qFormat/>
    <w:uiPriority w:val="0"/>
    <w:pPr>
      <w:ind w:firstLine="643" w:firstLineChars="200"/>
      <w:jc w:val="left"/>
    </w:pPr>
    <w:rPr>
      <w:rFonts w:ascii="仿宋_GB2312" w:hAnsi="仿宋" w:cs="仿宋"/>
      <w:sz w:val="28"/>
      <w:szCs w:val="32"/>
    </w:rPr>
  </w:style>
  <w:style w:type="paragraph" w:customStyle="1" w:styleId="119">
    <w:name w:val="玖3"/>
    <w:basedOn w:val="6"/>
    <w:next w:val="1"/>
    <w:qFormat/>
    <w:uiPriority w:val="0"/>
    <w:pPr>
      <w:tabs>
        <w:tab w:val="left" w:pos="360"/>
      </w:tabs>
      <w:adjustRightInd w:val="0"/>
      <w:spacing w:before="0" w:after="120" w:line="416" w:lineRule="atLeast"/>
      <w:ind w:left="480"/>
      <w:jc w:val="both"/>
      <w:textAlignment w:val="baseline"/>
    </w:pPr>
    <w:rPr>
      <w:rFonts w:ascii="微软雅黑" w:hAnsi="微软雅黑" w:eastAsia="微软雅黑" w:cs="Times"/>
      <w:szCs w:val="28"/>
    </w:rPr>
  </w:style>
  <w:style w:type="paragraph" w:customStyle="1" w:styleId="120">
    <w:name w:val="BodyText1I"/>
    <w:basedOn w:val="1"/>
    <w:qFormat/>
    <w:uiPriority w:val="0"/>
    <w:pPr>
      <w:widowControl/>
      <w:spacing w:before="156" w:line="360" w:lineRule="auto"/>
      <w:ind w:firstLine="200" w:firstLineChars="200"/>
      <w:textAlignment w:val="baseline"/>
    </w:pPr>
    <w:rPr>
      <w:rFonts w:ascii="仿宋_GB2312" w:hAnsi="Times New Roman" w:eastAsia="仿宋_GB2312" w:cs="Times New Roman"/>
      <w:sz w:val="30"/>
      <w:szCs w:val="30"/>
    </w:rPr>
  </w:style>
  <w:style w:type="paragraph" w:customStyle="1" w:styleId="121">
    <w:name w:val="样式 正文 + 首行缩进:  2 字符"/>
    <w:basedOn w:val="1"/>
    <w:qFormat/>
    <w:uiPriority w:val="0"/>
    <w:pPr>
      <w:keepNext/>
      <w:keepLines/>
      <w:ind w:firstLine="880"/>
    </w:pPr>
    <w:rPr>
      <w:rFonts w:ascii="宋体" w:hAnsi="宋体" w:eastAsia="仿宋" w:cs="宋体"/>
      <w:kern w:val="0"/>
    </w:rPr>
  </w:style>
  <w:style w:type="paragraph" w:customStyle="1" w:styleId="122">
    <w:name w:val="标题5"/>
    <w:basedOn w:val="6"/>
    <w:link w:val="210"/>
    <w:qFormat/>
    <w:uiPriority w:val="0"/>
    <w:pPr>
      <w:jc w:val="both"/>
    </w:pPr>
    <w:rPr>
      <w:rFonts w:ascii="Arial" w:hAnsi="Arial"/>
      <w:bCs/>
      <w:szCs w:val="32"/>
    </w:rPr>
  </w:style>
  <w:style w:type="paragraph" w:customStyle="1" w:styleId="123">
    <w:name w:val="标题4"/>
    <w:basedOn w:val="5"/>
    <w:next w:val="21"/>
    <w:link w:val="211"/>
    <w:qFormat/>
    <w:uiPriority w:val="0"/>
    <w:pPr>
      <w:jc w:val="both"/>
    </w:pPr>
    <w:rPr>
      <w:rFonts w:eastAsia="宋体"/>
      <w:bCs/>
      <w:sz w:val="24"/>
      <w:szCs w:val="32"/>
    </w:rPr>
  </w:style>
  <w:style w:type="paragraph" w:customStyle="1" w:styleId="124">
    <w:name w:val="明显引用1"/>
    <w:basedOn w:val="1"/>
    <w:next w:val="1"/>
    <w:link w:val="213"/>
    <w:qFormat/>
    <w:uiPriority w:val="0"/>
    <w:pPr>
      <w:pBdr>
        <w:bottom w:val="single" w:color="4F81BD" w:sz="4" w:space="4"/>
      </w:pBdr>
      <w:spacing w:before="200" w:after="280"/>
      <w:ind w:left="936" w:right="936"/>
    </w:pPr>
    <w:rPr>
      <w:rFonts w:ascii="Times New Roman" w:hAnsi="Times New Roman" w:cs="Times New Roman"/>
      <w:b/>
      <w:bCs/>
      <w:i/>
      <w:iCs/>
      <w:color w:val="4F81BD"/>
    </w:rPr>
  </w:style>
  <w:style w:type="paragraph" w:customStyle="1" w:styleId="125">
    <w:name w:val="引用1"/>
    <w:basedOn w:val="1"/>
    <w:next w:val="1"/>
    <w:link w:val="225"/>
    <w:qFormat/>
    <w:uiPriority w:val="0"/>
    <w:rPr>
      <w:rFonts w:ascii="Times New Roman" w:hAnsi="Times New Roman" w:cs="Times New Roman"/>
      <w:i/>
      <w:iCs/>
      <w:color w:val="000000"/>
    </w:rPr>
  </w:style>
  <w:style w:type="paragraph" w:customStyle="1" w:styleId="126">
    <w:name w:val="样式 标题 3 + (中文) 黑体 小四 非加粗 段前: 7.8 磅 段后: 0 磅 行距: 固定值 20 磅"/>
    <w:basedOn w:val="6"/>
    <w:qFormat/>
    <w:uiPriority w:val="0"/>
    <w:pPr>
      <w:spacing w:before="0" w:after="0" w:line="400" w:lineRule="exact"/>
      <w:jc w:val="both"/>
    </w:pPr>
    <w:rPr>
      <w:rFonts w:ascii="Times New Roman" w:hAnsi="Times New Roman" w:eastAsia="黑体" w:cs="宋体"/>
      <w:b w:val="0"/>
      <w:kern w:val="2"/>
    </w:rPr>
  </w:style>
  <w:style w:type="paragraph" w:customStyle="1" w:styleId="127">
    <w:name w:val="修订1"/>
    <w:qFormat/>
    <w:uiPriority w:val="0"/>
    <w:rPr>
      <w:rFonts w:ascii="Times New Roman" w:hAnsi="Times New Roman" w:eastAsia="宋体" w:cs="Times New Roman"/>
      <w:kern w:val="2"/>
      <w:sz w:val="21"/>
      <w:szCs w:val="24"/>
      <w:lang w:val="en-US" w:eastAsia="zh-CN" w:bidi="ar-SA"/>
    </w:rPr>
  </w:style>
  <w:style w:type="paragraph" w:customStyle="1" w:styleId="128">
    <w:name w:val="样式 标题 2 + Times New Roman 四号 非加粗 段前: 5 磅 段后: 0 磅 行距: 固定值 20..."/>
    <w:basedOn w:val="5"/>
    <w:qFormat/>
    <w:uiPriority w:val="0"/>
    <w:pPr>
      <w:spacing w:before="100" w:after="0" w:line="400" w:lineRule="exact"/>
      <w:jc w:val="both"/>
    </w:pPr>
    <w:rPr>
      <w:rFonts w:ascii="Times New Roman" w:hAnsi="Times New Roman" w:cs="宋体"/>
      <w:b w:val="0"/>
    </w:rPr>
  </w:style>
  <w:style w:type="paragraph" w:customStyle="1" w:styleId="129">
    <w:name w:val="TOC 标题2"/>
    <w:basedOn w:val="4"/>
    <w:next w:val="1"/>
    <w:qFormat/>
    <w:uiPriority w:val="0"/>
    <w:pPr>
      <w:spacing w:line="576" w:lineRule="auto"/>
      <w:jc w:val="both"/>
      <w:outlineLvl w:val="9"/>
    </w:pPr>
    <w:rPr>
      <w:sz w:val="44"/>
    </w:rPr>
  </w:style>
  <w:style w:type="paragraph" w:customStyle="1" w:styleId="130">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131">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132">
    <w:name w:val="正文_0"/>
    <w:next w:val="19"/>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133">
    <w:name w:val="表格文字2"/>
    <w:basedOn w:val="68"/>
    <w:qFormat/>
    <w:uiPriority w:val="99"/>
    <w:pPr>
      <w:spacing w:before="25" w:after="25"/>
      <w:jc w:val="left"/>
    </w:pPr>
    <w:rPr>
      <w:bCs/>
      <w:spacing w:val="10"/>
      <w:kern w:val="0"/>
    </w:rPr>
  </w:style>
  <w:style w:type="paragraph" w:customStyle="1" w:styleId="134">
    <w:name w:val="zhang"/>
    <w:basedOn w:val="1"/>
    <w:qFormat/>
    <w:uiPriority w:val="0"/>
    <w:pPr>
      <w:spacing w:beforeAutospacing="1" w:afterAutospacing="1"/>
    </w:pPr>
    <w:rPr>
      <w:b/>
      <w:bCs/>
      <w:smallCaps/>
      <w:color w:val="000000"/>
      <w:sz w:val="20"/>
      <w:szCs w:val="20"/>
    </w:rPr>
  </w:style>
  <w:style w:type="paragraph" w:customStyle="1" w:styleId="135">
    <w:name w:val="_Style 4"/>
    <w:basedOn w:val="4"/>
    <w:next w:val="1"/>
    <w:qFormat/>
    <w:uiPriority w:val="0"/>
    <w:pPr>
      <w:spacing w:line="576" w:lineRule="auto"/>
      <w:jc w:val="both"/>
      <w:outlineLvl w:val="9"/>
    </w:pPr>
  </w:style>
  <w:style w:type="paragraph" w:customStyle="1" w:styleId="136">
    <w:name w:val="日期_0"/>
    <w:basedOn w:val="91"/>
    <w:next w:val="91"/>
    <w:qFormat/>
    <w:uiPriority w:val="0"/>
    <w:pPr>
      <w:ind w:left="100" w:leftChars="2500"/>
    </w:pPr>
    <w:rPr>
      <w:rFonts w:ascii="Times New Roman" w:hAnsi="Times New Roman"/>
      <w:szCs w:val="24"/>
    </w:rPr>
  </w:style>
  <w:style w:type="paragraph" w:customStyle="1" w:styleId="137">
    <w:name w:val="Normal_4"/>
    <w:qFormat/>
    <w:uiPriority w:val="0"/>
    <w:rPr>
      <w:rFonts w:ascii="黑体" w:hAnsi="黑体" w:eastAsia="黑体" w:cs="Times New Roman"/>
      <w:b/>
      <w:sz w:val="32"/>
      <w:szCs w:val="24"/>
      <w:lang w:val="en-US" w:eastAsia="zh-CN" w:bidi="ar-SA"/>
    </w:rPr>
  </w:style>
  <w:style w:type="paragraph" w:customStyle="1" w:styleId="138">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_4_0"/>
    <w:next w:val="140"/>
    <w:qFormat/>
    <w:uiPriority w:val="0"/>
    <w:pPr>
      <w:widowControl w:val="0"/>
      <w:autoSpaceDE w:val="0"/>
      <w:autoSpaceDN w:val="0"/>
    </w:pPr>
    <w:rPr>
      <w:rFonts w:ascii="仿宋" w:hAnsi="仿宋" w:eastAsia="仿宋" w:cs="仿宋"/>
      <w:sz w:val="22"/>
      <w:szCs w:val="22"/>
      <w:lang w:val="en-US" w:eastAsia="en-US" w:bidi="ar-SA"/>
    </w:rPr>
  </w:style>
  <w:style w:type="paragraph" w:customStyle="1" w:styleId="140">
    <w:name w:val="正文首行缩进 2_4_1"/>
    <w:basedOn w:val="141"/>
    <w:qFormat/>
    <w:uiPriority w:val="99"/>
    <w:pPr>
      <w:ind w:firstLine="420" w:firstLineChars="200"/>
    </w:pPr>
  </w:style>
  <w:style w:type="paragraph" w:customStyle="1" w:styleId="141">
    <w:name w:val="正文文本缩进_4_1"/>
    <w:basedOn w:val="139"/>
    <w:qFormat/>
    <w:uiPriority w:val="99"/>
    <w:pPr>
      <w:spacing w:after="120"/>
      <w:ind w:left="420" w:leftChars="200"/>
    </w:pPr>
  </w:style>
  <w:style w:type="paragraph" w:customStyle="1" w:styleId="142">
    <w:name w:val="正文_2_0"/>
    <w:basedOn w:val="143"/>
    <w:next w:val="144"/>
    <w:qFormat/>
    <w:uiPriority w:val="0"/>
    <w:rPr>
      <w:szCs w:val="22"/>
    </w:rPr>
  </w:style>
  <w:style w:type="paragraph" w:customStyle="1" w:styleId="14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正文文本_0"/>
    <w:basedOn w:val="142"/>
    <w:qFormat/>
    <w:uiPriority w:val="0"/>
    <w:pPr>
      <w:spacing w:after="120"/>
    </w:pPr>
    <w:rPr>
      <w:rFonts w:ascii="Calibri" w:hAnsi="Calibri"/>
      <w:kern w:val="0"/>
      <w:sz w:val="20"/>
    </w:rPr>
  </w:style>
  <w:style w:type="character" w:customStyle="1" w:styleId="145">
    <w:name w:val="标题 1 Char"/>
    <w:basedOn w:val="47"/>
    <w:link w:val="4"/>
    <w:qFormat/>
    <w:uiPriority w:val="0"/>
    <w:rPr>
      <w:b/>
      <w:bCs/>
      <w:kern w:val="44"/>
      <w:sz w:val="44"/>
      <w:szCs w:val="44"/>
    </w:rPr>
  </w:style>
  <w:style w:type="character" w:customStyle="1" w:styleId="146">
    <w:name w:val="标题 2 Char"/>
    <w:basedOn w:val="47"/>
    <w:link w:val="5"/>
    <w:qFormat/>
    <w:uiPriority w:val="0"/>
    <w:rPr>
      <w:rFonts w:ascii="Arial" w:hAnsi="Arial" w:eastAsia="黑体" w:cs="Times New Roman"/>
      <w:b/>
      <w:kern w:val="0"/>
      <w:sz w:val="28"/>
      <w:szCs w:val="20"/>
    </w:rPr>
  </w:style>
  <w:style w:type="character" w:customStyle="1" w:styleId="147">
    <w:name w:val="标题 3 Char"/>
    <w:basedOn w:val="47"/>
    <w:link w:val="6"/>
    <w:qFormat/>
    <w:uiPriority w:val="0"/>
    <w:rPr>
      <w:rFonts w:ascii="Calibri" w:hAnsi="Calibri" w:eastAsia="宋体" w:cs="Times New Roman"/>
      <w:b/>
      <w:kern w:val="0"/>
      <w:sz w:val="24"/>
      <w:szCs w:val="20"/>
    </w:rPr>
  </w:style>
  <w:style w:type="character" w:customStyle="1" w:styleId="148">
    <w:name w:val="标题 4 Char"/>
    <w:basedOn w:val="47"/>
    <w:link w:val="7"/>
    <w:qFormat/>
    <w:uiPriority w:val="0"/>
    <w:rPr>
      <w:rFonts w:ascii="Calibri Light" w:hAnsi="Calibri Light" w:eastAsia="宋体" w:cs="Times New Roman"/>
      <w:b/>
      <w:bCs/>
      <w:kern w:val="0"/>
      <w:sz w:val="24"/>
      <w:szCs w:val="28"/>
    </w:rPr>
  </w:style>
  <w:style w:type="character" w:customStyle="1" w:styleId="149">
    <w:name w:val="标题 5 Char"/>
    <w:basedOn w:val="47"/>
    <w:link w:val="8"/>
    <w:qFormat/>
    <w:uiPriority w:val="0"/>
    <w:rPr>
      <w:rFonts w:ascii="Calibri" w:hAnsi="Calibri" w:eastAsia="宋体" w:cs="Times New Roman"/>
      <w:b/>
      <w:bCs/>
      <w:kern w:val="0"/>
      <w:szCs w:val="28"/>
    </w:rPr>
  </w:style>
  <w:style w:type="character" w:customStyle="1" w:styleId="150">
    <w:name w:val="标题 6 Char"/>
    <w:basedOn w:val="47"/>
    <w:link w:val="9"/>
    <w:qFormat/>
    <w:uiPriority w:val="0"/>
    <w:rPr>
      <w:rFonts w:ascii="Calibri Light" w:hAnsi="Calibri Light" w:eastAsia="宋体" w:cs="Times New Roman"/>
      <w:b/>
      <w:bCs/>
      <w:kern w:val="0"/>
      <w:sz w:val="24"/>
      <w:szCs w:val="24"/>
    </w:rPr>
  </w:style>
  <w:style w:type="character" w:customStyle="1" w:styleId="151">
    <w:name w:val="标题 7 Char"/>
    <w:basedOn w:val="47"/>
    <w:link w:val="10"/>
    <w:qFormat/>
    <w:uiPriority w:val="0"/>
    <w:rPr>
      <w:rFonts w:ascii="Calibri" w:hAnsi="Calibri" w:eastAsia="宋体" w:cs="Times New Roman"/>
      <w:b/>
      <w:bCs/>
      <w:kern w:val="0"/>
      <w:sz w:val="24"/>
      <w:szCs w:val="24"/>
    </w:rPr>
  </w:style>
  <w:style w:type="character" w:customStyle="1" w:styleId="152">
    <w:name w:val="标题 8 Char"/>
    <w:basedOn w:val="47"/>
    <w:link w:val="11"/>
    <w:qFormat/>
    <w:uiPriority w:val="0"/>
    <w:rPr>
      <w:rFonts w:ascii="Calibri Light" w:hAnsi="Calibri Light" w:eastAsia="宋体" w:cs="Times New Roman"/>
      <w:kern w:val="0"/>
      <w:sz w:val="24"/>
      <w:szCs w:val="24"/>
    </w:rPr>
  </w:style>
  <w:style w:type="character" w:customStyle="1" w:styleId="153">
    <w:name w:val="文档结构图 Char"/>
    <w:basedOn w:val="47"/>
    <w:link w:val="16"/>
    <w:qFormat/>
    <w:uiPriority w:val="0"/>
    <w:rPr>
      <w:rFonts w:ascii="宋体" w:hAnsi="Calibri" w:eastAsia="宋体" w:cs="Times New Roman"/>
      <w:sz w:val="18"/>
      <w:szCs w:val="18"/>
    </w:rPr>
  </w:style>
  <w:style w:type="character" w:customStyle="1" w:styleId="154">
    <w:name w:val="批注文字 Char"/>
    <w:basedOn w:val="47"/>
    <w:link w:val="18"/>
    <w:qFormat/>
    <w:uiPriority w:val="0"/>
    <w:rPr>
      <w:rFonts w:ascii="Calibri" w:hAnsi="Calibri" w:eastAsia="宋体" w:cs="Times New Roman"/>
      <w:kern w:val="0"/>
      <w:sz w:val="20"/>
      <w:szCs w:val="20"/>
    </w:rPr>
  </w:style>
  <w:style w:type="character" w:customStyle="1" w:styleId="155">
    <w:name w:val="正文文本 Char"/>
    <w:basedOn w:val="47"/>
    <w:link w:val="19"/>
    <w:qFormat/>
    <w:uiPriority w:val="0"/>
    <w:rPr>
      <w:rFonts w:ascii="Times New Roman" w:hAnsi="Times New Roman" w:eastAsia="宋体" w:cs="Times New Roman"/>
      <w:szCs w:val="24"/>
    </w:rPr>
  </w:style>
  <w:style w:type="character" w:customStyle="1" w:styleId="156">
    <w:name w:val="正文文本缩进 Char"/>
    <w:basedOn w:val="47"/>
    <w:link w:val="20"/>
    <w:qFormat/>
    <w:uiPriority w:val="0"/>
    <w:rPr>
      <w:rFonts w:ascii="仿宋_GB2312" w:hAnsi="华文中宋" w:eastAsia="仿宋_GB2312" w:cs="Times New Roman"/>
      <w:bCs/>
      <w:color w:val="000000"/>
      <w:spacing w:val="-10"/>
      <w:sz w:val="24"/>
      <w:szCs w:val="24"/>
    </w:rPr>
  </w:style>
  <w:style w:type="character" w:customStyle="1" w:styleId="157">
    <w:name w:val="纯文本 Char"/>
    <w:basedOn w:val="47"/>
    <w:link w:val="24"/>
    <w:qFormat/>
    <w:uiPriority w:val="99"/>
    <w:rPr>
      <w:rFonts w:ascii="宋体" w:hAnsi="Courier New" w:eastAsia="宋体" w:cs="Times New Roman"/>
      <w:kern w:val="0"/>
      <w:sz w:val="20"/>
      <w:szCs w:val="21"/>
    </w:rPr>
  </w:style>
  <w:style w:type="character" w:customStyle="1" w:styleId="158">
    <w:name w:val="日期 Char"/>
    <w:basedOn w:val="47"/>
    <w:link w:val="26"/>
    <w:qFormat/>
    <w:uiPriority w:val="0"/>
    <w:rPr>
      <w:rFonts w:ascii="Calibri" w:hAnsi="Calibri" w:eastAsia="宋体" w:cs="Times New Roman"/>
    </w:rPr>
  </w:style>
  <w:style w:type="character" w:customStyle="1" w:styleId="159">
    <w:name w:val="正文文本缩进 2 Char"/>
    <w:basedOn w:val="47"/>
    <w:link w:val="27"/>
    <w:qFormat/>
    <w:uiPriority w:val="0"/>
    <w:rPr>
      <w:rFonts w:ascii="宋体" w:hAnsi="宋体" w:eastAsia="宋体" w:cs="Times New Roman"/>
      <w:sz w:val="30"/>
      <w:szCs w:val="24"/>
    </w:rPr>
  </w:style>
  <w:style w:type="character" w:customStyle="1" w:styleId="160">
    <w:name w:val="批注框文本 Char"/>
    <w:basedOn w:val="47"/>
    <w:link w:val="28"/>
    <w:qFormat/>
    <w:uiPriority w:val="0"/>
    <w:rPr>
      <w:sz w:val="18"/>
      <w:szCs w:val="18"/>
    </w:rPr>
  </w:style>
  <w:style w:type="character" w:customStyle="1" w:styleId="161">
    <w:name w:val="页脚 Char"/>
    <w:basedOn w:val="47"/>
    <w:link w:val="29"/>
    <w:qFormat/>
    <w:uiPriority w:val="0"/>
    <w:rPr>
      <w:rFonts w:ascii="Times New Roman" w:hAnsi="Times New Roman" w:eastAsia="宋体" w:cs="Times New Roman"/>
      <w:kern w:val="0"/>
      <w:sz w:val="18"/>
      <w:szCs w:val="18"/>
    </w:rPr>
  </w:style>
  <w:style w:type="character" w:customStyle="1" w:styleId="162">
    <w:name w:val="页眉 Char"/>
    <w:basedOn w:val="47"/>
    <w:link w:val="30"/>
    <w:qFormat/>
    <w:uiPriority w:val="0"/>
    <w:rPr>
      <w:rFonts w:ascii="Times New Roman" w:hAnsi="Times New Roman" w:eastAsia="宋体" w:cs="Times New Roman"/>
      <w:kern w:val="0"/>
      <w:sz w:val="18"/>
      <w:szCs w:val="18"/>
    </w:rPr>
  </w:style>
  <w:style w:type="character" w:customStyle="1" w:styleId="163">
    <w:name w:val="批注主题 Char"/>
    <w:basedOn w:val="154"/>
    <w:link w:val="42"/>
    <w:qFormat/>
    <w:uiPriority w:val="0"/>
    <w:rPr>
      <w:b/>
      <w:bCs/>
    </w:rPr>
  </w:style>
  <w:style w:type="character" w:customStyle="1" w:styleId="164">
    <w:name w:val="正文首行缩进 Char"/>
    <w:basedOn w:val="155"/>
    <w:link w:val="43"/>
    <w:qFormat/>
    <w:uiPriority w:val="0"/>
  </w:style>
  <w:style w:type="character" w:customStyle="1" w:styleId="165">
    <w:name w:val="正文首行缩进 2 Char"/>
    <w:basedOn w:val="156"/>
    <w:link w:val="44"/>
    <w:qFormat/>
    <w:uiPriority w:val="0"/>
  </w:style>
  <w:style w:type="character" w:customStyle="1" w:styleId="166">
    <w:name w:val="标题 1 Char1"/>
    <w:link w:val="4"/>
    <w:qFormat/>
    <w:uiPriority w:val="0"/>
    <w:rPr>
      <w:rFonts w:ascii="Calibri" w:hAnsi="Calibri" w:eastAsia="宋体" w:cs="Times New Roman"/>
      <w:b/>
      <w:bCs/>
      <w:kern w:val="44"/>
      <w:sz w:val="28"/>
      <w:szCs w:val="44"/>
    </w:rPr>
  </w:style>
  <w:style w:type="character" w:customStyle="1" w:styleId="167">
    <w:name w:val="批注框文本 Char1"/>
    <w:link w:val="28"/>
    <w:qFormat/>
    <w:uiPriority w:val="0"/>
    <w:rPr>
      <w:rFonts w:ascii="Calibri" w:hAnsi="Calibri" w:eastAsia="宋体" w:cs="Times New Roman"/>
      <w:kern w:val="0"/>
      <w:sz w:val="18"/>
      <w:szCs w:val="18"/>
    </w:rPr>
  </w:style>
  <w:style w:type="character" w:customStyle="1" w:styleId="168">
    <w:name w:val="正文首行缩进 Char1"/>
    <w:link w:val="43"/>
    <w:qFormat/>
    <w:uiPriority w:val="0"/>
    <w:rPr>
      <w:rFonts w:ascii="Times New Roman" w:hAnsi="Times New Roman" w:eastAsia="宋体" w:cs="Times New Roman"/>
      <w:szCs w:val="24"/>
    </w:rPr>
  </w:style>
  <w:style w:type="character" w:customStyle="1" w:styleId="169">
    <w:name w:val="Default Text Char"/>
    <w:link w:val="55"/>
    <w:qFormat/>
    <w:uiPriority w:val="0"/>
    <w:rPr>
      <w:rFonts w:ascii="Calibri" w:hAnsi="Calibri"/>
      <w:color w:val="000000"/>
      <w:sz w:val="24"/>
      <w:lang w:bidi="ar-SA"/>
    </w:rPr>
  </w:style>
  <w:style w:type="character" w:customStyle="1" w:styleId="170">
    <w:name w:val="bookmark-item"/>
    <w:qFormat/>
    <w:uiPriority w:val="0"/>
  </w:style>
  <w:style w:type="character" w:customStyle="1" w:styleId="171">
    <w:name w:val="font51"/>
    <w:qFormat/>
    <w:uiPriority w:val="0"/>
    <w:rPr>
      <w:rFonts w:hint="default" w:ascii="Calibri" w:hAnsi="Calibri" w:cs="Calibri"/>
      <w:color w:val="000000"/>
      <w:sz w:val="21"/>
      <w:szCs w:val="21"/>
      <w:u w:val="none"/>
    </w:rPr>
  </w:style>
  <w:style w:type="character" w:customStyle="1" w:styleId="172">
    <w:name w:val="NormalCharacter"/>
    <w:qFormat/>
    <w:uiPriority w:val="0"/>
  </w:style>
  <w:style w:type="character" w:customStyle="1" w:styleId="173">
    <w:name w:val="font11"/>
    <w:qFormat/>
    <w:uiPriority w:val="99"/>
    <w:rPr>
      <w:rFonts w:ascii="Arial" w:hAnsi="Arial" w:cs="Arial"/>
      <w:color w:val="000000"/>
      <w:sz w:val="24"/>
      <w:szCs w:val="24"/>
      <w:u w:val="single"/>
    </w:rPr>
  </w:style>
  <w:style w:type="character" w:customStyle="1" w:styleId="174">
    <w:name w:val="font41"/>
    <w:qFormat/>
    <w:uiPriority w:val="0"/>
    <w:rPr>
      <w:rFonts w:hint="eastAsia" w:ascii="宋体" w:hAnsi="宋体" w:eastAsia="宋体" w:cs="宋体"/>
      <w:color w:val="000000"/>
      <w:sz w:val="24"/>
      <w:szCs w:val="24"/>
      <w:u w:val="none"/>
    </w:rPr>
  </w:style>
  <w:style w:type="character" w:customStyle="1" w:styleId="175">
    <w:name w:val="dbvalue"/>
    <w:qFormat/>
    <w:uiPriority w:val="0"/>
  </w:style>
  <w:style w:type="character" w:customStyle="1" w:styleId="176">
    <w:name w:val="head 1.1 Char"/>
    <w:link w:val="64"/>
    <w:qFormat/>
    <w:uiPriority w:val="0"/>
    <w:rPr>
      <w:rFonts w:ascii="宋体" w:hAnsi="宋体"/>
      <w:bCs/>
      <w:szCs w:val="24"/>
    </w:rPr>
  </w:style>
  <w:style w:type="character" w:customStyle="1" w:styleId="177">
    <w:name w:val="font81"/>
    <w:qFormat/>
    <w:uiPriority w:val="0"/>
    <w:rPr>
      <w:rFonts w:hint="default" w:ascii="Times New Roman" w:hAnsi="Times New Roman" w:cs="Times New Roman"/>
      <w:color w:val="000000"/>
      <w:sz w:val="21"/>
      <w:szCs w:val="21"/>
      <w:u w:val="none"/>
    </w:rPr>
  </w:style>
  <w:style w:type="character" w:customStyle="1" w:styleId="178">
    <w:name w:val="font91"/>
    <w:qFormat/>
    <w:uiPriority w:val="0"/>
    <w:rPr>
      <w:rFonts w:hint="eastAsia" w:ascii="宋体" w:hAnsi="宋体" w:eastAsia="宋体" w:cs="宋体"/>
      <w:color w:val="000000"/>
      <w:sz w:val="24"/>
      <w:szCs w:val="24"/>
      <w:u w:val="single"/>
    </w:rPr>
  </w:style>
  <w:style w:type="character" w:customStyle="1" w:styleId="179">
    <w:name w:val="font101"/>
    <w:qFormat/>
    <w:uiPriority w:val="0"/>
    <w:rPr>
      <w:rFonts w:hint="eastAsia" w:ascii="楷体_GB2312" w:eastAsia="楷体_GB2312" w:cs="楷体_GB2312"/>
      <w:color w:val="000000"/>
      <w:sz w:val="24"/>
      <w:szCs w:val="24"/>
      <w:u w:val="single"/>
    </w:rPr>
  </w:style>
  <w:style w:type="character" w:customStyle="1" w:styleId="180">
    <w:name w:val="font112"/>
    <w:qFormat/>
    <w:uiPriority w:val="0"/>
    <w:rPr>
      <w:rFonts w:hint="eastAsia" w:ascii="宋体" w:hAnsi="宋体" w:eastAsia="宋体" w:cs="宋体"/>
      <w:color w:val="000000"/>
      <w:sz w:val="21"/>
      <w:szCs w:val="21"/>
      <w:u w:val="none"/>
    </w:rPr>
  </w:style>
  <w:style w:type="character" w:customStyle="1" w:styleId="181">
    <w:name w:val="正文文本 字符1"/>
    <w:qFormat/>
    <w:uiPriority w:val="0"/>
    <w:rPr>
      <w:kern w:val="2"/>
      <w:sz w:val="21"/>
      <w:szCs w:val="24"/>
    </w:rPr>
  </w:style>
  <w:style w:type="character" w:customStyle="1" w:styleId="182">
    <w:name w:val="font121"/>
    <w:qFormat/>
    <w:uiPriority w:val="0"/>
    <w:rPr>
      <w:rFonts w:hint="eastAsia" w:ascii="宋体" w:hAnsi="宋体" w:eastAsia="宋体" w:cs="宋体"/>
      <w:color w:val="000000"/>
      <w:sz w:val="21"/>
      <w:szCs w:val="21"/>
      <w:u w:val="none"/>
    </w:rPr>
  </w:style>
  <w:style w:type="character" w:customStyle="1" w:styleId="183">
    <w:name w:val="font71"/>
    <w:qFormat/>
    <w:uiPriority w:val="0"/>
    <w:rPr>
      <w:rFonts w:hint="eastAsia" w:ascii="仿宋" w:hAnsi="仿宋" w:eastAsia="仿宋" w:cs="仿宋"/>
      <w:color w:val="000000"/>
      <w:sz w:val="21"/>
      <w:szCs w:val="21"/>
      <w:u w:val="none"/>
    </w:rPr>
  </w:style>
  <w:style w:type="character" w:customStyle="1" w:styleId="184">
    <w:name w:val="font131"/>
    <w:qFormat/>
    <w:uiPriority w:val="0"/>
    <w:rPr>
      <w:rFonts w:hint="default" w:ascii="Calibri" w:hAnsi="Calibri" w:cs="Calibri"/>
      <w:color w:val="000000"/>
      <w:sz w:val="21"/>
      <w:szCs w:val="21"/>
      <w:u w:val="none"/>
    </w:rPr>
  </w:style>
  <w:style w:type="character" w:customStyle="1" w:styleId="185">
    <w:name w:val="未处理的提及1"/>
    <w:unhideWhenUsed/>
    <w:qFormat/>
    <w:uiPriority w:val="99"/>
    <w:rPr>
      <w:color w:val="605E5C"/>
      <w:shd w:val="clear" w:color="auto" w:fill="E1DFDD"/>
    </w:rPr>
  </w:style>
  <w:style w:type="character" w:customStyle="1" w:styleId="186">
    <w:name w:val="font61"/>
    <w:qFormat/>
    <w:uiPriority w:val="0"/>
    <w:rPr>
      <w:rFonts w:hint="eastAsia" w:ascii="仿宋" w:hAnsi="仿宋" w:eastAsia="仿宋" w:cs="仿宋"/>
      <w:color w:val="000000"/>
      <w:sz w:val="21"/>
      <w:szCs w:val="21"/>
      <w:u w:val="none"/>
    </w:rPr>
  </w:style>
  <w:style w:type="character" w:customStyle="1" w:styleId="187">
    <w:name w:val="font31"/>
    <w:basedOn w:val="47"/>
    <w:qFormat/>
    <w:uiPriority w:val="0"/>
    <w:rPr>
      <w:rFonts w:hint="default" w:ascii="Calibri" w:hAnsi="Calibri" w:cs="Calibri"/>
      <w:color w:val="000000"/>
      <w:sz w:val="24"/>
      <w:szCs w:val="24"/>
      <w:u w:val="none"/>
    </w:rPr>
  </w:style>
  <w:style w:type="character" w:customStyle="1" w:styleId="188">
    <w:name w:val="head 1.1.1 Char"/>
    <w:link w:val="65"/>
    <w:qFormat/>
    <w:uiPriority w:val="0"/>
    <w:rPr>
      <w:bCs/>
      <w:szCs w:val="24"/>
    </w:rPr>
  </w:style>
  <w:style w:type="character" w:customStyle="1" w:styleId="189">
    <w:name w:val="font151"/>
    <w:qFormat/>
    <w:uiPriority w:val="0"/>
    <w:rPr>
      <w:rFonts w:hint="default" w:ascii="Calibri" w:hAnsi="Calibri" w:cs="Calibri"/>
      <w:color w:val="000000"/>
      <w:sz w:val="21"/>
      <w:szCs w:val="21"/>
      <w:u w:val="none"/>
    </w:rPr>
  </w:style>
  <w:style w:type="character" w:customStyle="1" w:styleId="190">
    <w:name w:val="font21"/>
    <w:qFormat/>
    <w:uiPriority w:val="0"/>
    <w:rPr>
      <w:rFonts w:hint="default" w:ascii="Calibri" w:hAnsi="Calibri" w:cs="Calibri"/>
      <w:color w:val="000000"/>
      <w:sz w:val="24"/>
      <w:szCs w:val="24"/>
      <w:u w:val="single"/>
    </w:rPr>
  </w:style>
  <w:style w:type="character" w:customStyle="1" w:styleId="191">
    <w:name w:val="正文文本缩进 字符"/>
    <w:qFormat/>
    <w:locked/>
    <w:uiPriority w:val="0"/>
    <w:rPr>
      <w:rFonts w:ascii="仿宋_GB2312" w:hAnsi="华文中宋" w:eastAsia="仿宋_GB2312"/>
      <w:bCs/>
      <w:color w:val="000000"/>
      <w:spacing w:val="-10"/>
      <w:kern w:val="2"/>
      <w:sz w:val="24"/>
      <w:szCs w:val="24"/>
      <w:lang w:bidi="ar-SA"/>
    </w:rPr>
  </w:style>
  <w:style w:type="character" w:customStyle="1" w:styleId="192">
    <w:name w:val="fontstyle01"/>
    <w:qFormat/>
    <w:uiPriority w:val="0"/>
    <w:rPr>
      <w:rFonts w:ascii="宋体" w:hAnsi="宋体" w:eastAsia="宋体" w:cs="宋体"/>
      <w:color w:val="000000"/>
      <w:sz w:val="22"/>
      <w:szCs w:val="22"/>
    </w:rPr>
  </w:style>
  <w:style w:type="character" w:customStyle="1" w:styleId="193">
    <w:name w:val="fgray1"/>
    <w:qFormat/>
    <w:uiPriority w:val="0"/>
    <w:rPr>
      <w:color w:val="666666"/>
    </w:rPr>
  </w:style>
  <w:style w:type="character" w:customStyle="1" w:styleId="194">
    <w:name w:val="正文首行缩进 字符1"/>
    <w:semiHidden/>
    <w:qFormat/>
    <w:uiPriority w:val="99"/>
    <w:rPr>
      <w:rFonts w:ascii="Times New Roman" w:hAnsi="Times New Roman"/>
      <w:kern w:val="2"/>
      <w:sz w:val="21"/>
      <w:szCs w:val="22"/>
    </w:rPr>
  </w:style>
  <w:style w:type="character" w:customStyle="1" w:styleId="195">
    <w:name w:val="正文文本缩进 字符2"/>
    <w:semiHidden/>
    <w:qFormat/>
    <w:uiPriority w:val="99"/>
    <w:rPr>
      <w:kern w:val="2"/>
      <w:sz w:val="21"/>
      <w:szCs w:val="22"/>
    </w:rPr>
  </w:style>
  <w:style w:type="character" w:customStyle="1" w:styleId="196">
    <w:name w:val="param-name"/>
    <w:qFormat/>
    <w:uiPriority w:val="0"/>
  </w:style>
  <w:style w:type="character" w:customStyle="1" w:styleId="197">
    <w:name w:val="apple-converted-space"/>
    <w:qFormat/>
    <w:uiPriority w:val="0"/>
  </w:style>
  <w:style w:type="character" w:customStyle="1" w:styleId="198">
    <w:name w:val="font01"/>
    <w:basedOn w:val="47"/>
    <w:qFormat/>
    <w:uiPriority w:val="0"/>
    <w:rPr>
      <w:rFonts w:ascii="Times New Roman" w:hAnsi="Times New Roman" w:cs="Times New Roman"/>
      <w:color w:val="000000"/>
      <w:sz w:val="24"/>
      <w:szCs w:val="24"/>
      <w:u w:val="none"/>
    </w:rPr>
  </w:style>
  <w:style w:type="character" w:customStyle="1" w:styleId="199">
    <w:name w:val="正文文本 2 Char"/>
    <w:basedOn w:val="47"/>
    <w:link w:val="38"/>
    <w:qFormat/>
    <w:uiPriority w:val="99"/>
    <w:rPr>
      <w:rFonts w:ascii="Calibri" w:hAnsi="Calibri"/>
      <w:kern w:val="2"/>
      <w:sz w:val="21"/>
      <w:szCs w:val="22"/>
    </w:rPr>
  </w:style>
  <w:style w:type="character" w:customStyle="1" w:styleId="200">
    <w:name w:val="HTML 预设格式 Char"/>
    <w:basedOn w:val="47"/>
    <w:link w:val="39"/>
    <w:qFormat/>
    <w:uiPriority w:val="0"/>
    <w:rPr>
      <w:rFonts w:ascii="宋体" w:hAnsi="宋体"/>
      <w:sz w:val="24"/>
      <w:szCs w:val="24"/>
    </w:rPr>
  </w:style>
  <w:style w:type="character" w:customStyle="1" w:styleId="201">
    <w:name w:val="普通(网站) Char"/>
    <w:link w:val="40"/>
    <w:qFormat/>
    <w:locked/>
    <w:uiPriority w:val="99"/>
    <w:rPr>
      <w:rFonts w:ascii="宋体" w:hAnsi="宋体" w:cs="宋体"/>
      <w:sz w:val="24"/>
      <w:szCs w:val="24"/>
    </w:rPr>
  </w:style>
  <w:style w:type="character" w:customStyle="1" w:styleId="202">
    <w:name w:val="列表段落 字符"/>
    <w:link w:val="81"/>
    <w:qFormat/>
    <w:uiPriority w:val="34"/>
    <w:rPr>
      <w:rFonts w:ascii="Calibri" w:hAnsi="Calibri"/>
      <w:kern w:val="2"/>
      <w:sz w:val="21"/>
      <w:szCs w:val="22"/>
    </w:rPr>
  </w:style>
  <w:style w:type="character" w:customStyle="1" w:styleId="203">
    <w:name w:val="0h Char"/>
    <w:basedOn w:val="47"/>
    <w:link w:val="98"/>
    <w:qFormat/>
    <w:locked/>
    <w:uiPriority w:val="99"/>
    <w:rPr>
      <w:rFonts w:ascii="宋体"/>
      <w:sz w:val="24"/>
      <w:szCs w:val="24"/>
    </w:rPr>
  </w:style>
  <w:style w:type="character" w:customStyle="1" w:styleId="204">
    <w:name w:val="p0 Char"/>
    <w:link w:val="99"/>
    <w:qFormat/>
    <w:uiPriority w:val="0"/>
    <w:rPr>
      <w:rFonts w:ascii="Calibri" w:hAnsi="Calibri"/>
      <w:sz w:val="21"/>
      <w:szCs w:val="21"/>
    </w:rPr>
  </w:style>
  <w:style w:type="character" w:customStyle="1" w:styleId="205">
    <w:name w:val="纯文本 Char1"/>
    <w:basedOn w:val="47"/>
    <w:semiHidden/>
    <w:qFormat/>
    <w:locked/>
    <w:uiPriority w:val="99"/>
    <w:rPr>
      <w:rFonts w:ascii="宋体" w:hAnsi="Courier New" w:eastAsia="宋体" w:cs="Courier New"/>
      <w:kern w:val="0"/>
      <w:sz w:val="20"/>
      <w:szCs w:val="21"/>
    </w:rPr>
  </w:style>
  <w:style w:type="character" w:customStyle="1" w:styleId="206">
    <w:name w:val="Body text|1_"/>
    <w:basedOn w:val="47"/>
    <w:link w:val="115"/>
    <w:qFormat/>
    <w:uiPriority w:val="0"/>
    <w:rPr>
      <w:rFonts w:ascii="宋体" w:hAnsi="宋体" w:cs="宋体"/>
      <w:sz w:val="19"/>
      <w:szCs w:val="19"/>
      <w:lang w:val="zh-TW" w:eastAsia="zh-TW" w:bidi="zh-TW"/>
    </w:rPr>
  </w:style>
  <w:style w:type="character" w:customStyle="1" w:styleId="207">
    <w:name w:val="标题 9 Char"/>
    <w:basedOn w:val="47"/>
    <w:link w:val="12"/>
    <w:qFormat/>
    <w:uiPriority w:val="0"/>
    <w:rPr>
      <w:rFonts w:ascii="Cambria" w:hAnsi="Cambria"/>
      <w:kern w:val="2"/>
      <w:sz w:val="21"/>
      <w:szCs w:val="21"/>
    </w:rPr>
  </w:style>
  <w:style w:type="character" w:customStyle="1" w:styleId="208">
    <w:name w:val="副标题 Char"/>
    <w:basedOn w:val="47"/>
    <w:link w:val="33"/>
    <w:qFormat/>
    <w:uiPriority w:val="0"/>
    <w:rPr>
      <w:rFonts w:ascii="Cambria" w:hAnsi="Cambria"/>
      <w:b/>
      <w:bCs/>
      <w:kern w:val="28"/>
      <w:sz w:val="32"/>
      <w:szCs w:val="32"/>
    </w:rPr>
  </w:style>
  <w:style w:type="character" w:customStyle="1" w:styleId="209">
    <w:name w:val="标题 Char"/>
    <w:basedOn w:val="47"/>
    <w:link w:val="41"/>
    <w:qFormat/>
    <w:uiPriority w:val="0"/>
    <w:rPr>
      <w:rFonts w:ascii="Cambria" w:hAnsi="Cambria"/>
      <w:b/>
      <w:bCs/>
      <w:kern w:val="2"/>
      <w:sz w:val="32"/>
      <w:szCs w:val="32"/>
    </w:rPr>
  </w:style>
  <w:style w:type="character" w:customStyle="1" w:styleId="210">
    <w:name w:val="标题5 Char Char"/>
    <w:link w:val="122"/>
    <w:qFormat/>
    <w:uiPriority w:val="0"/>
    <w:rPr>
      <w:rFonts w:ascii="Arial" w:hAnsi="Arial"/>
      <w:b/>
      <w:bCs/>
      <w:sz w:val="24"/>
      <w:szCs w:val="32"/>
    </w:rPr>
  </w:style>
  <w:style w:type="character" w:customStyle="1" w:styleId="211">
    <w:name w:val="标题4 Char Char"/>
    <w:link w:val="123"/>
    <w:qFormat/>
    <w:uiPriority w:val="0"/>
    <w:rPr>
      <w:rFonts w:ascii="Arial" w:hAnsi="Arial"/>
      <w:b/>
      <w:bCs/>
      <w:sz w:val="24"/>
      <w:szCs w:val="32"/>
    </w:rPr>
  </w:style>
  <w:style w:type="character" w:customStyle="1" w:styleId="212">
    <w:name w:val="明显引用 Char"/>
    <w:qFormat/>
    <w:uiPriority w:val="0"/>
    <w:rPr>
      <w:b/>
      <w:bCs/>
      <w:i/>
      <w:iCs/>
      <w:color w:val="4F81BD"/>
      <w:kern w:val="2"/>
      <w:sz w:val="21"/>
      <w:szCs w:val="22"/>
    </w:rPr>
  </w:style>
  <w:style w:type="character" w:customStyle="1" w:styleId="213">
    <w:name w:val="明显引用 Char1"/>
    <w:basedOn w:val="47"/>
    <w:link w:val="124"/>
    <w:semiHidden/>
    <w:qFormat/>
    <w:uiPriority w:val="99"/>
    <w:rPr>
      <w:rFonts w:ascii="Calibri" w:hAnsi="Calibri" w:eastAsia="宋体" w:cs="黑体"/>
      <w:b/>
      <w:bCs/>
      <w:i/>
      <w:iCs/>
      <w:color w:val="4F81BD"/>
      <w:kern w:val="2"/>
      <w:sz w:val="21"/>
      <w:szCs w:val="22"/>
    </w:rPr>
  </w:style>
  <w:style w:type="character" w:customStyle="1" w:styleId="214">
    <w:name w:val="明显参考1"/>
    <w:qFormat/>
    <w:uiPriority w:val="0"/>
    <w:rPr>
      <w:b/>
      <w:bCs/>
      <w:smallCaps/>
      <w:color w:val="C0504D"/>
      <w:spacing w:val="5"/>
      <w:u w:val="single"/>
    </w:rPr>
  </w:style>
  <w:style w:type="character" w:customStyle="1" w:styleId="215">
    <w:name w:val="日期 Char1"/>
    <w:qFormat/>
    <w:uiPriority w:val="0"/>
    <w:rPr>
      <w:kern w:val="2"/>
      <w:sz w:val="21"/>
      <w:szCs w:val="22"/>
    </w:rPr>
  </w:style>
  <w:style w:type="character" w:customStyle="1" w:styleId="216">
    <w:name w:val="书籍标题1"/>
    <w:qFormat/>
    <w:uiPriority w:val="0"/>
    <w:rPr>
      <w:b/>
      <w:bCs/>
      <w:smallCaps/>
      <w:spacing w:val="5"/>
    </w:rPr>
  </w:style>
  <w:style w:type="character" w:customStyle="1" w:styleId="217">
    <w:name w:val="正文文本 Char1"/>
    <w:qFormat/>
    <w:uiPriority w:val="0"/>
    <w:rPr>
      <w:kern w:val="2"/>
      <w:sz w:val="21"/>
      <w:szCs w:val="22"/>
    </w:rPr>
  </w:style>
  <w:style w:type="character" w:customStyle="1" w:styleId="218">
    <w:name w:val="批注主题 Char1"/>
    <w:qFormat/>
    <w:uiPriority w:val="0"/>
    <w:rPr>
      <w:b/>
      <w:bCs/>
      <w:kern w:val="2"/>
      <w:sz w:val="21"/>
      <w:szCs w:val="22"/>
    </w:rPr>
  </w:style>
  <w:style w:type="character" w:customStyle="1" w:styleId="219">
    <w:name w:val="不明显强调1"/>
    <w:qFormat/>
    <w:uiPriority w:val="0"/>
    <w:rPr>
      <w:i/>
      <w:iCs/>
      <w:color w:val="808080"/>
    </w:rPr>
  </w:style>
  <w:style w:type="character" w:customStyle="1" w:styleId="220">
    <w:name w:val="批注文字 Char Char"/>
    <w:qFormat/>
    <w:uiPriority w:val="0"/>
    <w:rPr>
      <w:rFonts w:ascii="宋体" w:hAnsi="Times New Roman" w:eastAsia="宋体" w:cs="Times New Roman"/>
      <w:sz w:val="28"/>
      <w:szCs w:val="20"/>
    </w:rPr>
  </w:style>
  <w:style w:type="character" w:customStyle="1" w:styleId="221">
    <w:name w:val="明显强调1"/>
    <w:qFormat/>
    <w:uiPriority w:val="0"/>
    <w:rPr>
      <w:b/>
      <w:bCs/>
      <w:i/>
      <w:iCs/>
      <w:color w:val="4F81BD"/>
    </w:rPr>
  </w:style>
  <w:style w:type="character" w:customStyle="1" w:styleId="222">
    <w:name w:val="textcontents"/>
    <w:qFormat/>
    <w:uiPriority w:val="0"/>
    <w:rPr>
      <w:rFonts w:cs="Times New Roman"/>
    </w:rPr>
  </w:style>
  <w:style w:type="character" w:customStyle="1" w:styleId="223">
    <w:name w:val="文档结构图 Char1"/>
    <w:qFormat/>
    <w:uiPriority w:val="0"/>
    <w:rPr>
      <w:rFonts w:ascii="宋体"/>
      <w:kern w:val="2"/>
      <w:sz w:val="18"/>
      <w:szCs w:val="18"/>
    </w:rPr>
  </w:style>
  <w:style w:type="character" w:customStyle="1" w:styleId="224">
    <w:name w:val="引用 Char"/>
    <w:qFormat/>
    <w:uiPriority w:val="0"/>
    <w:rPr>
      <w:i/>
      <w:iCs/>
      <w:color w:val="000000"/>
      <w:kern w:val="2"/>
      <w:sz w:val="21"/>
      <w:szCs w:val="22"/>
    </w:rPr>
  </w:style>
  <w:style w:type="character" w:customStyle="1" w:styleId="225">
    <w:name w:val="引用 Char1"/>
    <w:basedOn w:val="47"/>
    <w:link w:val="125"/>
    <w:semiHidden/>
    <w:qFormat/>
    <w:uiPriority w:val="99"/>
    <w:rPr>
      <w:rFonts w:ascii="Calibri" w:hAnsi="Calibri" w:eastAsia="宋体" w:cs="黑体"/>
      <w:i/>
      <w:iCs/>
      <w:color w:val="000000"/>
      <w:kern w:val="2"/>
      <w:sz w:val="21"/>
      <w:szCs w:val="22"/>
    </w:rPr>
  </w:style>
  <w:style w:type="character" w:customStyle="1" w:styleId="226">
    <w:name w:val="不明显参考1"/>
    <w:qFormat/>
    <w:uiPriority w:val="0"/>
    <w:rPr>
      <w:smallCaps/>
      <w:color w:val="C0504D"/>
      <w:u w:val="single"/>
    </w:rPr>
  </w:style>
  <w:style w:type="character" w:customStyle="1" w:styleId="227">
    <w:name w:val="15"/>
    <w:qFormat/>
    <w:uiPriority w:val="0"/>
    <w:rPr>
      <w:rFonts w:hint="default" w:ascii="Times New Roman" w:hAnsi="Times New Roman" w:cs="Times New Roman"/>
      <w:color w:val="464445"/>
      <w:u w:val="none"/>
    </w:rPr>
  </w:style>
  <w:style w:type="character" w:customStyle="1" w:styleId="228">
    <w:name w:val="标题 Char1"/>
    <w:link w:val="41"/>
    <w:qFormat/>
    <w:uiPriority w:val="10"/>
    <w:rPr>
      <w:rFonts w:ascii="Cambria" w:hAnsi="Cambria"/>
      <w:b/>
      <w:bCs/>
      <w:sz w:val="24"/>
      <w:szCs w:val="32"/>
    </w:rPr>
  </w:style>
  <w:style w:type="character" w:customStyle="1" w:styleId="229">
    <w:name w:val="副标题 Char1"/>
    <w:link w:val="33"/>
    <w:qFormat/>
    <w:uiPriority w:val="11"/>
    <w:rPr>
      <w:rFonts w:ascii="Calibri Light" w:hAnsi="Calibri Light" w:cs="Times New Roman"/>
      <w:b/>
      <w:bCs/>
      <w:kern w:val="28"/>
      <w:sz w:val="32"/>
      <w:szCs w:val="32"/>
    </w:rPr>
  </w:style>
  <w:style w:type="table" w:customStyle="1" w:styleId="230">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
    <w:name w:val="Table Normal"/>
    <w:unhideWhenUsed/>
    <w:qFormat/>
    <w:uiPriority w:val="0"/>
    <w:rPr>
      <w:rFonts w:ascii="Arial" w:hAnsi="Arial" w:cs="Arial"/>
    </w:rPr>
    <w:tblPr>
      <w:tblCellMar>
        <w:top w:w="0" w:type="dxa"/>
        <w:left w:w="0" w:type="dxa"/>
        <w:bottom w:w="0" w:type="dxa"/>
        <w:right w:w="0" w:type="dxa"/>
      </w:tblCellMar>
    </w:tblPr>
  </w:style>
  <w:style w:type="table" w:customStyle="1" w:styleId="232">
    <w:name w:val="网格型2"/>
    <w:basedOn w:val="45"/>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
    <w:name w:val="网格型3"/>
    <w:basedOn w:val="4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4">
    <w:name w:val="网格型11"/>
    <w:basedOn w:val="4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
    <w:name w:val="Table Normal1"/>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236">
    <w:name w:val="Normal_0"/>
    <w:next w:val="89"/>
    <w:qFormat/>
    <w:uiPriority w:val="0"/>
    <w:pPr>
      <w:widowControl w:val="0"/>
      <w:jc w:val="both"/>
    </w:pPr>
    <w:rPr>
      <w:rFonts w:ascii="Calibri" w:hAnsi="Calibri" w:eastAsia="宋体" w:cs="Times New Roman"/>
      <w:kern w:val="2"/>
      <w:sz w:val="21"/>
      <w:szCs w:val="22"/>
      <w:lang w:val="en-US" w:eastAsia="zh-CN" w:bidi="ar-SA"/>
    </w:rPr>
  </w:style>
  <w:style w:type="paragraph" w:styleId="237">
    <w:name w:val="No Spacing"/>
    <w:qFormat/>
    <w:uiPriority w:val="1"/>
    <w:pPr>
      <w:widowControl w:val="0"/>
    </w:pPr>
    <w:rPr>
      <w:rFonts w:ascii="宋体" w:hAnsi="宋体" w:eastAsia="宋体" w:cstheme="minorBidi"/>
      <w:kern w:val="2"/>
      <w:sz w:val="24"/>
      <w:szCs w:val="22"/>
      <w:lang w:val="en-US" w:eastAsia="zh-CN" w:bidi="ar-SA"/>
    </w:rPr>
  </w:style>
  <w:style w:type="paragraph" w:customStyle="1" w:styleId="238">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39">
    <w:name w:val="正文缩进2"/>
    <w:basedOn w:val="1"/>
    <w:qFormat/>
    <w:uiPriority w:val="0"/>
    <w:pPr>
      <w:wordWrap w:val="0"/>
      <w:ind w:firstLine="480"/>
    </w:pPr>
    <w:rPr>
      <w:iCs/>
      <w:shd w:val="clear" w:color="auto" w:fill="FFFFFF" w:themeFill="background1"/>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92</Pages>
  <Words>19433</Words>
  <Characters>21006</Characters>
  <Lines>398</Lines>
  <Paragraphs>112</Paragraphs>
  <TotalTime>0</TotalTime>
  <ScaleCrop>false</ScaleCrop>
  <LinksUpToDate>false</LinksUpToDate>
  <CharactersWithSpaces>21207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2023-03-16T13:44:00Z</dcterms:created>
  <dc:creator>Administrator</dc:creator>
  <cp:lastModifiedBy>梁山伯住阳台-</cp:lastModifiedBy>
  <cp:lastPrinted>2023-03-16T22:04:00Z</cp:lastPrinted>
  <dcterms:modified xsi:type="dcterms:W3CDTF">2026-04-30T09:04:36Z</dcterms:modified>
  <dc:title>项目名称：新疆职业大学新校区改扩建项目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957A7FC349BB475F88C68B294B74C9C0_13</vt:lpwstr>
  </property>
  <property fmtid="{D5CDD505-2E9C-101B-9397-08002B2CF9AE}" pid="4" name="KSOTemplateDocerSaveRecord">
    <vt:lpwstr>eyJoZGlkIjoiYjQ0ODhhZTFkNjU2YjE1NTBiMDEyNmU1MWVlZmNlYzEiLCJ1c2VySWQiOiI1ODc3Mjc0NzQifQ==</vt:lpwstr>
  </property>
</Properties>
</file>