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sz w:val="32"/>
          <w:szCs w:val="24"/>
        </w:rPr>
        <w:t xml:space="preserve">项目名称：</w:t>
      </w:r>
      <w:r>
        <w:rPr>
          <w:rFonts w:hint="eastAsia" w:cs="Times New Roman" w:asciiTheme="minorEastAsia" w:hAnsiTheme="minorEastAsia"/>
          <w:b/>
          <w:bCs/>
          <w:color w:val="000000"/>
          <w:sz w:val="32"/>
          <w:szCs w:val="24"/>
          <w:lang w:eastAsia="zh-CN"/>
        </w:rPr>
        <w:t xml:space="preserve">连云港市立东方医院直线加速器采购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JSZC-320700-ZJZB-G2026-0048</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 xml:space="preserve">采购人：</w:t>
      </w:r>
      <w:r>
        <w:rPr>
          <w:rFonts w:hint="eastAsia" w:cs="Times New Roman" w:asciiTheme="minorEastAsia" w:hAnsiTheme="minorEastAsia"/>
          <w:bCs/>
          <w:color w:val="000000"/>
          <w:sz w:val="32"/>
          <w:szCs w:val="24"/>
          <w:lang w:eastAsia="zh-CN"/>
        </w:rPr>
        <w:t xml:space="preserve">连云港市立东方医院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w:t>
      </w:r>
      <w:r>
        <w:rPr>
          <w:rFonts w:hint="eastAsia" w:cs="Times New Roman" w:asciiTheme="minorEastAsia" w:hAnsiTheme="minorEastAsia"/>
          <w:color w:val="000000"/>
          <w:sz w:val="28"/>
          <w:szCs w:val="24"/>
          <w:lang w:val="en-US" w:eastAsia="zh-CN"/>
        </w:rPr>
        <w:t xml:space="preserve">6</w:t>
      </w:r>
      <w:r>
        <w:rPr>
          <w:rFonts w:hint="eastAsia" w:cs="Times New Roman" w:asciiTheme="minorEastAsia" w:hAnsiTheme="minorEastAsia"/>
          <w:color w:val="000000"/>
          <w:sz w:val="28"/>
          <w:szCs w:val="24"/>
        </w:rPr>
        <w:t xml:space="preserve">年</w:t>
      </w:r>
      <w:r>
        <w:rPr>
          <w:rFonts w:hint="eastAsia" w:cs="Times New Roman" w:asciiTheme="minorEastAsia" w:hAnsiTheme="minorEastAsia"/>
          <w:color w:val="000000"/>
          <w:sz w:val="28"/>
          <w:szCs w:val="24"/>
          <w:lang w:val="en-US" w:eastAsia="zh-CN"/>
        </w:rPr>
        <w:t xml:space="preserve">5</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779"/>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795"/>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795"/>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795"/>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795"/>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29</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795"/>
          <w:rFonts w:hint="eastAsia" w:asciiTheme="minorEastAsia" w:hAnsiTheme="minorEastAsia" w:eastAsiaTheme="minorEastAsia"/>
          <w:i w:val="0"/>
          <w:sz w:val="28"/>
          <w:szCs w:val="28"/>
        </w:rPr>
        <w:t xml:space="preserve">第</w:t>
      </w:r>
      <w:r>
        <w:rPr>
          <w:rStyle w:val="795"/>
          <w:rFonts w:hint="eastAsia" w:asciiTheme="minorEastAsia" w:hAnsiTheme="minorEastAsia" w:eastAsiaTheme="minorEastAsia"/>
          <w:i w:val="0"/>
          <w:sz w:val="28"/>
          <w:szCs w:val="28"/>
          <w:lang w:eastAsia="zh-CN"/>
        </w:rPr>
        <w:t xml:space="preserve">五</w:t>
      </w:r>
      <w:r>
        <w:rPr>
          <w:rStyle w:val="795"/>
          <w:rFonts w:hint="eastAsia" w:asciiTheme="minorEastAsia" w:hAnsiTheme="minorEastAsia" w:eastAsiaTheme="minorEastAsia"/>
          <w:i w:val="0"/>
          <w:sz w:val="28"/>
          <w:szCs w:val="28"/>
        </w:rPr>
        <w:t xml:space="preserve">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48</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795"/>
          <w:rFonts w:hint="eastAsia" w:asciiTheme="minorEastAsia" w:hAnsiTheme="minorEastAsia" w:eastAsiaTheme="minorEastAsia"/>
          <w:i w:val="0"/>
          <w:sz w:val="28"/>
          <w:szCs w:val="28"/>
        </w:rPr>
        <w:t xml:space="preserve">第</w:t>
      </w:r>
      <w:r>
        <w:rPr>
          <w:rStyle w:val="795"/>
          <w:rFonts w:hint="eastAsia" w:asciiTheme="minorEastAsia" w:hAnsiTheme="minorEastAsia" w:eastAsiaTheme="minorEastAsia"/>
          <w:i w:val="0"/>
          <w:sz w:val="28"/>
          <w:szCs w:val="28"/>
          <w:lang w:eastAsia="zh-CN"/>
        </w:rPr>
        <w:t xml:space="preserve">六</w:t>
      </w:r>
      <w:r>
        <w:rPr>
          <w:rStyle w:val="795"/>
          <w:rFonts w:hint="eastAsia" w:asciiTheme="minorEastAsia" w:hAnsiTheme="minorEastAsia" w:eastAsiaTheme="minorEastAsia"/>
          <w:i w:val="0"/>
          <w:sz w:val="28"/>
          <w:szCs w:val="28"/>
        </w:rPr>
        <w:t xml:space="preserve">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57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513622226"/>
      <w:r/>
      <w:bookmarkStart w:id="4" w:name="_Toc151625255"/>
      <w:r>
        <w:rPr>
          <w:rFonts w:hint="eastAsia" w:cs="Times New Roman" w:asciiTheme="minorEastAsia" w:hAnsiTheme="minorEastAsia"/>
          <w:color w:val="000000"/>
          <w:sz w:val="36"/>
          <w:szCs w:val="20"/>
        </w:rPr>
        <w:t xml:space="preserve">第一章投标邀请</w:t>
      </w:r>
      <w:bookmarkEnd w:id="3"/>
      <w:r/>
      <w:bookmarkEnd w:id="4"/>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 xml:space="preserve">连云港市立东方医院直线加速器采购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w:t>
            </w:r>
            <w:r>
              <w:rPr>
                <w:rFonts w:hint="eastAsia" w:cs="Times New Roman" w:asciiTheme="minorEastAsia" w:hAnsiTheme="minorEastAsia"/>
                <w:sz w:val="24"/>
                <w:szCs w:val="24"/>
                <w:u w:val="single"/>
                <w:lang w:val="en-US" w:eastAsia="zh-CN"/>
              </w:rPr>
              <w:t xml:space="preserve">6</w:t>
            </w:r>
            <w:r>
              <w:rPr>
                <w:rFonts w:hint="eastAsia" w:cs="Times New Roman" w:asciiTheme="minorEastAsia" w:hAnsiTheme="minorEastAsia"/>
                <w:sz w:val="24"/>
                <w:szCs w:val="24"/>
                <w:u w:val="single"/>
              </w:rPr>
              <w:t xml:space="preserve">年</w:t>
            </w:r>
            <w:r>
              <w:rPr>
                <w:rFonts w:hint="eastAsia" w:cs="Times New Roman" w:asciiTheme="minorEastAsia" w:hAnsiTheme="minorEastAsia"/>
                <w:sz w:val="24"/>
                <w:szCs w:val="24"/>
                <w:u w:val="single"/>
                <w:lang w:val="en-US" w:eastAsia="zh-CN"/>
              </w:rPr>
              <w:t xml:space="preserve">6</w:t>
            </w:r>
            <w:r>
              <w:rPr>
                <w:rFonts w:hint="eastAsia" w:cs="Times New Roman" w:asciiTheme="minorEastAsia" w:hAnsiTheme="minorEastAsia"/>
                <w:sz w:val="24"/>
                <w:szCs w:val="24"/>
                <w:u w:val="single"/>
              </w:rPr>
              <w:t xml:space="preserve">月</w:t>
            </w:r>
            <w:r>
              <w:rPr>
                <w:rFonts w:hint="eastAsia" w:cs="Times New Roman" w:asciiTheme="minorEastAsia" w:hAnsiTheme="minorEastAsia"/>
                <w:sz w:val="24"/>
                <w:szCs w:val="24"/>
                <w:u w:val="single"/>
                <w:lang w:val="en-US" w:eastAsia="zh-CN"/>
              </w:rPr>
              <w:t xml:space="preserve">11</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JSZC-320700-ZJZB-G2026-0048</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项目名称：</w:t>
      </w:r>
      <w:r>
        <w:rPr>
          <w:rFonts w:hint="eastAsia" w:cs="Times New Roman" w:asciiTheme="minorEastAsia" w:hAnsiTheme="minorEastAsia"/>
          <w:color w:val="000000"/>
          <w:sz w:val="24"/>
          <w:szCs w:val="24"/>
          <w:lang w:eastAsia="zh-CN"/>
        </w:rPr>
        <w:t xml:space="preserve">连云港市立东方医院直线加速器采购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lang w:val="en-US" w:eastAsia="zh-CN"/>
        </w:rPr>
        <w:t xml:space="preserve">2000</w:t>
      </w:r>
      <w:r>
        <w:rPr>
          <w:rFonts w:hint="eastAsia" w:cs="Times New Roman" w:asciiTheme="minorEastAsia" w:hAnsiTheme="minorEastAsia"/>
          <w:color w:val="000000"/>
          <w:sz w:val="24"/>
          <w:szCs w:val="24"/>
        </w:rPr>
        <w:t xml:space="preserve">万元。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最高限价(如有):</w:t>
      </w:r>
      <w:r>
        <w:rPr>
          <w:rFonts w:hint="eastAsia" w:cs="Times New Roman" w:asciiTheme="minorEastAsia" w:hAnsiTheme="minorEastAsia"/>
          <w:b/>
          <w:sz w:val="24"/>
          <w:szCs w:val="24"/>
          <w:lang w:val="en-US" w:eastAsia="zh-CN"/>
        </w:rPr>
        <w:t xml:space="preserve">1800</w:t>
      </w:r>
      <w:r>
        <w:rPr>
          <w:rFonts w:hint="eastAsia" w:cs="Times New Roman" w:asciiTheme="minorEastAsia" w:hAnsiTheme="minorEastAsia"/>
          <w:color w:val="000000"/>
          <w:sz w:val="24"/>
          <w:szCs w:val="24"/>
        </w:rPr>
        <w:t xml:space="preserve">万元，投标报价超过</w:t>
      </w:r>
      <w:r>
        <w:rPr>
          <w:rFonts w:hint="eastAsia" w:cs="Times New Roman" w:asciiTheme="minorEastAsia" w:hAnsiTheme="minorEastAsia"/>
          <w:color w:val="000000"/>
          <w:sz w:val="24"/>
          <w:szCs w:val="24"/>
          <w:lang w:eastAsia="zh-CN"/>
        </w:rPr>
        <w:t xml:space="preserve">最高限价</w:t>
      </w:r>
      <w:r>
        <w:rPr>
          <w:rFonts w:hint="eastAsia" w:cs="Times New Roman" w:asciiTheme="minorEastAsia" w:hAnsiTheme="minorEastAsia"/>
          <w:color w:val="000000"/>
          <w:sz w:val="24"/>
          <w:szCs w:val="24"/>
        </w:rPr>
        <w:t xml:space="preserve">的投标无效。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lang w:eastAsia="zh-CN"/>
        </w:rPr>
        <w:t xml:space="preserve">直线加速器采购</w:t>
      </w:r>
      <w:r>
        <w:rPr>
          <w:rFonts w:hint="eastAsia" w:cs="Times New Roman" w:asciiTheme="minorEastAsia" w:hAnsiTheme="minorEastAsia"/>
          <w:color w:val="000000"/>
          <w:sz w:val="24"/>
          <w:szCs w:val="24"/>
        </w:rPr>
        <w:t xml:space="preserve">，详见项目需求。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）：合同签订生效之日起5个月内交付采购人使用</w:t>
      </w:r>
      <w:r>
        <w:rPr>
          <w:rFonts w:hint="eastAsia"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2"/>
      <w:r/>
      <w:bookmarkStart w:id="6" w:name="OLE_LINK3"/>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cs="Times New Roman" w:asciiTheme="minorEastAsia" w:hAnsiTheme="minorEastAsia"/>
          <w:b/>
          <w:sz w:val="24"/>
          <w:szCs w:val="24"/>
        </w:rPr>
        <w:t xml:space="preserve">无。</w:t>
      </w:r>
      <w:r/>
    </w:p>
    <w:p>
      <w:pPr>
        <w:ind w:firstLine="422"/>
        <w:spacing w:line="360" w:lineRule="auto"/>
        <w:rPr>
          <w:rFonts w:hint="eastAsia" w:ascii="宋体" w:hAnsi="宋体" w:eastAsia="宋体" w:cs="宋体"/>
          <w:b/>
          <w:bCs/>
          <w:color w:val="auto"/>
          <w:sz w:val="24"/>
          <w:szCs w:val="24"/>
          <w:highlight w:val="none"/>
        </w:rPr>
      </w:pPr>
      <w:r>
        <w:rPr>
          <w:rFonts w:hint="eastAsia" w:cs="Times New Roman" w:asciiTheme="minorEastAsia" w:hAnsiTheme="minorEastAsia"/>
          <w:sz w:val="24"/>
          <w:szCs w:val="24"/>
        </w:rPr>
        <w:t xml:space="preserve">3.本项目的特定资格要求：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根据国家相关规定提供投标产品有效的医疗器械产品注册证或产品备案凭证；</w:t>
      </w:r>
      <w:r/>
    </w:p>
    <w:p>
      <w:pPr>
        <w:ind w:firstLine="42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）若投标供应商为代理商，应根据国家相关规定提供范围涵盖投标产品的医疗器械经营许可证或医疗器械经营备案凭证；</w:t>
      </w:r>
      <w:r/>
    </w:p>
    <w:p>
      <w:pPr>
        <w:ind w:firstLine="42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）若投标供应商为生产商，应根据国家相关规定提供范围涵盖投标产品的医疗器械生产许可证或生产备案凭证；</w:t>
      </w:r>
      <w:r/>
    </w:p>
    <w:p>
      <w:pPr>
        <w:ind w:firstLine="422"/>
        <w:spacing w:line="360" w:lineRule="auto"/>
        <w:rPr>
          <w:rFonts w:hint="eastAsia" w:ascii="宋体" w:hAnsi="宋体" w:eastAsia="宋体" w:cs="宋体"/>
          <w:sz w:val="24"/>
          <w:szCs w:val="24"/>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中华人民共和国境内生产、销售的供应商均需须按照国家规定提供《辐射安全许可证》。（若投标人为经销商，须提供自身的《辐射安全许可证》，同时提供制造商的《辐射安全许可证》。若投标人为生产制造商，须提供自身的《辐射安全许可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sz w:val="24"/>
          <w:szCs w:val="24"/>
          <w:lang w:eastAsia="zh-CN"/>
        </w:rPr>
        <w:t xml:space="preserve">不</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5</w:t>
      </w:r>
      <w:r>
        <w:rPr>
          <w:rFonts w:hint="eastAsia" w:cs="Times New Roman" w:asciiTheme="minorEastAsia" w:hAnsiTheme="minorEastAsia"/>
          <w:sz w:val="24"/>
          <w:szCs w:val="24"/>
        </w:rPr>
        <w:t xml:space="preserve">月21</w:t>
      </w:r>
      <w:r>
        <w:rPr>
          <w:rFonts w:hint="eastAsia" w:cs="Times New Roman" w:asciiTheme="minorEastAsia" w:hAnsiTheme="minorEastAsia"/>
          <w:sz w:val="24"/>
          <w:szCs w:val="24"/>
        </w:rPr>
        <w:t xml:space="preserve">日至202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5</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27</w:t>
      </w:r>
      <w:r>
        <w:rPr>
          <w:rFonts w:hint="eastAsia" w:cs="Times New Roman" w:asciiTheme="minorEastAsia" w:hAnsiTheme="minorEastAsia"/>
          <w:sz w:val="24"/>
          <w:szCs w:val="24"/>
        </w:rPr>
        <w:t xml:space="preserve">日</w:t>
      </w:r>
      <w:r>
        <w:rPr>
          <w:rFonts w:hint="eastAsia" w:asciiTheme="minorEastAsia" w:hAnsiTheme="minorEastAsia"/>
          <w:sz w:val="24"/>
        </w:rPr>
        <w:t xml:space="preserve">23:59止（北京时间）</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 xml:space="preserve">名    称：</w:t>
      </w:r>
      <w:r>
        <w:rPr>
          <w:rFonts w:hint="eastAsia" w:cs="Times New Roman" w:asciiTheme="minorEastAsia" w:hAnsiTheme="minorEastAsia"/>
          <w:sz w:val="24"/>
          <w:szCs w:val="24"/>
          <w:lang w:eastAsia="zh-CN"/>
        </w:rPr>
        <w:t xml:space="preserve">连云港市立东方医院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宋体" w:hAnsi="宋体" w:eastAsia="宋体" w:cs="宋体"/>
          <w:color w:val="auto"/>
          <w:sz w:val="24"/>
          <w:szCs w:val="24"/>
          <w:highlight w:val="none"/>
          <w:lang w:val="en-US" w:eastAsia="zh-CN"/>
        </w:rPr>
        <w:t xml:space="preserve">连云港市连云区中华西路57号</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w:t>
      </w:r>
      <w:r>
        <w:rPr>
          <w:rFonts w:hint="eastAsia" w:ascii="宋体" w:hAnsi="宋体" w:eastAsia="宋体" w:cs="宋体"/>
          <w:color w:val="auto"/>
          <w:sz w:val="24"/>
          <w:szCs w:val="24"/>
          <w:highlight w:val="none"/>
          <w:lang w:val="en-US" w:eastAsia="zh-CN"/>
        </w:rPr>
        <w:t xml:space="preserve">0518-80683027</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7" w:name="_Toc151625256"/>
      <w:r/>
      <w:bookmarkStart w:id="8" w:name="_Toc513622227"/>
      <w:r>
        <w:rPr>
          <w:rFonts w:hint="eastAsia" w:cs="Times New Roman" w:asciiTheme="minorEastAsia" w:hAnsiTheme="minorEastAsia"/>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w:t>
      </w:r>
      <w:r>
        <w:rPr>
          <w:rFonts w:hint="eastAsia" w:cs="Times New Roman" w:asciiTheme="minorEastAsia" w:hAnsiTheme="minorEastAsia"/>
          <w:color w:val="000000"/>
          <w:sz w:val="24"/>
          <w:szCs w:val="24"/>
          <w:lang w:eastAsia="zh-CN"/>
        </w:rPr>
        <w:t xml:space="preserve">（报名）</w:t>
      </w:r>
      <w:r>
        <w:rPr>
          <w:rFonts w:hint="eastAsia" w:cs="Times New Roman" w:asciiTheme="minorEastAsia" w:hAnsiTheme="minorEastAsia"/>
          <w:color w:val="000000"/>
          <w:sz w:val="24"/>
          <w:szCs w:val="24"/>
        </w:rPr>
        <w:t xml:space="preserve">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（一）</w:t>
      </w:r>
      <w:r>
        <w:rPr>
          <w:rFonts w:hint="eastAsia" w:cs="Times New Roman" w:asciiTheme="minorEastAsia" w:hAnsiTheme="minorEastAsia"/>
          <w:color w:val="ff0000"/>
          <w:sz w:val="24"/>
          <w:szCs w:val="24"/>
        </w:rPr>
        <w:t xml:space="preserve">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①投标报价低于全部通过符合性审查供应商投标报价平均值50%的，即投标报价&lt;全部通过符合性审查供应商投标报价平均值×50%；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②投标报价低于通过符合性审查的次低报价供应商投标报价50%的，即投标报价&lt;通过符合性审查的次低报价供应商投标报价×50%；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③投标报价低于采购项目最高限价45%的，即投标报价&lt;采购项目最高限价×45%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④评审委员会基于专业判断，认为供应商报价过低</w:t>
      </w:r>
      <w:r>
        <w:rPr>
          <w:rFonts w:hint="eastAsia" w:cs="Times New Roman" w:asciiTheme="minorEastAsia" w:hAnsiTheme="minorEastAsia"/>
          <w:color w:val="ff0000"/>
          <w:sz w:val="24"/>
          <w:szCs w:val="24"/>
        </w:rPr>
        <w:t xml:space="preserve">、有可能影响产品质量或者不能诚信履约的其他情形。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 xml:space="preserve">（</w:t>
      </w:r>
      <w:r>
        <w:rPr>
          <w:rFonts w:hint="eastAsia" w:cs="Times New Roman" w:asciiTheme="minorEastAsia" w:hAnsiTheme="minorEastAsia"/>
          <w:color w:val="000000"/>
          <w:sz w:val="24"/>
          <w:szCs w:val="24"/>
          <w:lang w:val="en-US" w:eastAsia="zh-CN"/>
        </w:rPr>
        <w:t xml:space="preserve">二）</w:t>
      </w:r>
      <w:r>
        <w:rPr>
          <w:rFonts w:hint="eastAsia" w:cs="Times New Roman" w:asciiTheme="minorEastAsia" w:hAnsiTheme="minorEastAsia"/>
          <w:color w:val="000000"/>
          <w:sz w:val="24"/>
          <w:szCs w:val="24"/>
        </w:rPr>
        <w:t xml:space="preserve">评审委员会启动异常低价投标审查后，属于前述</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w:t>
      </w:r>
      <w:bookmarkStart w:id="25" w:name="_GoBack"/>
      <w:r/>
      <w:bookmarkEnd w:id="25"/>
      <w:r>
        <w:rPr>
          <w:rFonts w:hint="eastAsia" w:cs="Times New Roman" w:asciiTheme="minorEastAsia" w:hAnsiTheme="minorEastAsia"/>
          <w:color w:val="000000"/>
          <w:sz w:val="24"/>
          <w:szCs w:val="24"/>
        </w:rPr>
        <w:t xml:space="preserve">供应商的合理时间</w:t>
      </w:r>
      <w:r>
        <w:rPr>
          <w:rFonts w:hint="eastAsia" w:cs="Times New Roman" w:asciiTheme="minorEastAsia" w:hAnsiTheme="minorEastAsia"/>
          <w:color w:val="000000"/>
          <w:sz w:val="24"/>
          <w:szCs w:val="24"/>
          <w:lang w:val="en-US" w:eastAsia="zh-CN"/>
        </w:rPr>
        <w:t xml:space="preserve">一般</w:t>
      </w:r>
      <w:r>
        <w:rPr>
          <w:rFonts w:hint="eastAsia" w:cs="Times New Roman" w:asciiTheme="minorEastAsia" w:hAnsiTheme="minorEastAsia"/>
          <w:color w:val="000000"/>
          <w:sz w:val="24"/>
          <w:szCs w:val="24"/>
        </w:rPr>
        <w:t xml:space="preserve">不少于30分钟</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具体时间由评审委员会确定</w:t>
      </w:r>
      <w:r>
        <w:rPr>
          <w:rFonts w:hint="eastAsia" w:cs="Times New Roman" w:asciiTheme="minorEastAsia" w:hAnsiTheme="minorEastAsia"/>
          <w:color w:val="000000"/>
          <w:sz w:val="24"/>
          <w:szCs w:val="24"/>
        </w:rPr>
        <w:t xml:space="preserve">。其中，属于</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第3项情形，供应商已随投标文件一并提交相关书面说明及必要的证明材料的，在评审现场可不再重复提交。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w:t>
      </w:r>
      <w:r>
        <w:rPr>
          <w:rFonts w:hint="eastAsia" w:cs="Times New Roman" w:asciiTheme="minorEastAsia" w:hAnsiTheme="minorEastAsia"/>
          <w:b/>
          <w:color w:val="ff0000"/>
          <w:sz w:val="24"/>
          <w:szCs w:val="24"/>
          <w:lang w:eastAsia="zh-CN"/>
        </w:rPr>
        <w:t xml:space="preserve">壹</w:t>
      </w:r>
      <w:r>
        <w:rPr>
          <w:rFonts w:hint="eastAsia" w:cs="Times New Roman" w:asciiTheme="minorEastAsia" w:hAnsiTheme="minorEastAsia"/>
          <w:b/>
          <w:color w:val="ff0000"/>
          <w:sz w:val="24"/>
          <w:szCs w:val="24"/>
        </w:rPr>
        <w:t xml:space="preserve">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按发改价格[2002]1980号文下浮</w:t>
      </w:r>
      <w:r>
        <w:rPr>
          <w:rFonts w:hint="eastAsia" w:cs="Times New Roman" w:asciiTheme="minorEastAsia" w:hAnsiTheme="minorEastAsia"/>
          <w:sz w:val="24"/>
          <w:lang w:val="en-US" w:eastAsia="zh-CN"/>
        </w:rPr>
        <w:t xml:space="preserve">4</w:t>
      </w:r>
      <w:r>
        <w:rPr>
          <w:rFonts w:hint="eastAsia" w:cs="Times New Roman" w:asciiTheme="minorEastAsia" w:hAnsiTheme="minorEastAsia"/>
          <w:sz w:val="24"/>
        </w:rPr>
        <w:t xml:space="preserve">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42.采</w:t>
      </w:r>
      <w:r>
        <w:rPr>
          <w:rFonts w:hint="eastAsia" w:ascii="宋体" w:hAnsi="宋体" w:eastAsia="宋体" w:cs="宋体"/>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9" w:name="_Toc151625257"/>
      <w:r/>
      <w:bookmarkStart w:id="10" w:name="_Toc139966427"/>
      <w:r/>
      <w:bookmarkStart w:id="11" w:name="_Toc513622228"/>
      <w:r/>
      <w:bookmarkStart w:id="12" w:name="_Toc139967211"/>
      <w:r>
        <w:rPr>
          <w:rFonts w:hint="eastAsia" w:cs="Times New Roman" w:asciiTheme="minorEastAsia" w:hAnsiTheme="minorEastAsia"/>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ind w:firstLine="643"/>
        <w:jc w:val="center"/>
        <w:spacing w:line="360" w:lineRule="auto"/>
        <w:rPr>
          <w:rFonts w:hint="eastAsia" w:cs="Times New Roman" w:asciiTheme="minorEastAsia" w:hAnsiTheme="minorEastAsia"/>
          <w:b/>
          <w:color w:val="000000"/>
          <w:sz w:val="32"/>
          <w:szCs w:val="20"/>
        </w:rPr>
      </w:pPr>
      <w:r>
        <w:rPr>
          <w:rFonts w:hint="eastAsia" w:cs="Times New Roman" w:asciiTheme="minorEastAsia" w:hAnsiTheme="minorEastAsia"/>
          <w:b/>
          <w:color w:val="000000"/>
          <w:sz w:val="32"/>
          <w:szCs w:val="20"/>
        </w:rPr>
      </w:r>
      <w:r/>
    </w:p>
    <w:p>
      <w:pPr>
        <w:ind w:firstLine="482"/>
        <w:spacing w:line="360" w:lineRule="auto"/>
        <w:rPr>
          <w:rFonts w:hint="eastAsia" w:cs="宋体" w:asciiTheme="minorEastAsia" w:hAnsiTheme="minorEastAsia" w:eastAsiaTheme="minorEastAsia"/>
          <w:sz w:val="24"/>
          <w:szCs w:val="24"/>
          <w:lang w:eastAsia="zh-CN"/>
        </w:rPr>
      </w:pPr>
      <w:r>
        <w:rPr>
          <w:rFonts w:hint="eastAsia" w:cs="宋体" w:asciiTheme="minorEastAsia" w:hAnsiTheme="minorEastAsia"/>
          <w:sz w:val="24"/>
          <w:szCs w:val="24"/>
        </w:rPr>
        <w:t xml:space="preserve">甲方：</w:t>
      </w:r>
      <w:r>
        <w:rPr>
          <w:rFonts w:hint="eastAsia" w:cs="宋体" w:asciiTheme="minorEastAsia" w:hAnsiTheme="minorEastAsia"/>
          <w:sz w:val="24"/>
          <w:szCs w:val="24"/>
          <w:lang w:eastAsia="zh-CN"/>
        </w:rPr>
        <w:t xml:space="preserve">连云港市立东方医院</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乙方：</w:t>
      </w:r>
      <w:r/>
    </w:p>
    <w:p>
      <w:pPr>
        <w:ind w:firstLine="480"/>
        <w:jc w:val="left"/>
        <w:spacing w:line="360" w:lineRule="auto"/>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甲方委托</w:t>
      </w:r>
      <w:r>
        <w:rPr>
          <w:rFonts w:hint="eastAsia" w:cs="宋体" w:asciiTheme="minorEastAsia" w:hAnsiTheme="minorEastAsia"/>
          <w:sz w:val="24"/>
          <w:szCs w:val="24"/>
          <w:u w:val="single"/>
        </w:rPr>
        <w:t xml:space="preserve">江苏中际招标代理有限公司</w:t>
      </w:r>
      <w:r>
        <w:rPr>
          <w:rFonts w:hint="eastAsia" w:cs="Times New Roman" w:asciiTheme="minorEastAsia" w:hAnsiTheme="minorEastAsia"/>
          <w:sz w:val="24"/>
          <w:szCs w:val="24"/>
        </w:rPr>
        <w:t xml:space="preserve">就</w:t>
      </w:r>
      <w:r>
        <w:rPr>
          <w:rFonts w:hint="eastAsia" w:cs="Times New Roman" w:asciiTheme="minorEastAsia" w:hAnsiTheme="minorEastAsia"/>
          <w:sz w:val="24"/>
          <w:szCs w:val="24"/>
          <w:u w:val="single"/>
          <w:lang w:eastAsia="zh-CN"/>
        </w:rPr>
        <w:t xml:space="preserve">连云港市立东方医院</w:t>
      </w:r>
      <w:r>
        <w:rPr>
          <w:rFonts w:hint="eastAsia" w:cs="Times New Roman" w:asciiTheme="minorEastAsia" w:hAnsiTheme="minorEastAsia"/>
          <w:sz w:val="24"/>
          <w:szCs w:val="24"/>
          <w:u w:val="single"/>
        </w:rPr>
        <w:t xml:space="preserve">.......设备采购</w:t>
      </w:r>
      <w:r>
        <w:rPr>
          <w:rFonts w:hint="eastAsia" w:cs="Times New Roman" w:asciiTheme="minorEastAsia" w:hAnsiTheme="minorEastAsia"/>
          <w:sz w:val="24"/>
          <w:szCs w:val="24"/>
        </w:rPr>
        <w:t xml:space="preserve">设备对外公开招标（项目编号：）。经过专家评审，确定乙方为中标单位。为规范甲乙双方权利与义务</w:t>
      </w:r>
      <w:r>
        <w:rPr>
          <w:rFonts w:hint="eastAsia" w:cs="Times New Roman" w:asciiTheme="minorEastAsia" w:hAnsiTheme="minorEastAsia"/>
          <w:color w:val="000000"/>
          <w:sz w:val="24"/>
          <w:szCs w:val="24"/>
        </w:rPr>
        <w:t xml:space="preserve">，特订立本合同。</w:t>
      </w:r>
      <w:r/>
    </w:p>
    <w:p>
      <w:pPr>
        <w:ind w:firstLine="482"/>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一、设备名称、型号、数量和价格</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设备名称</w:t>
            </w:r>
            <w:r/>
          </w:p>
        </w:tc>
        <w:tc>
          <w:tcPr>
            <w:tcW w:w="2036"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生产厂家</w:t>
            </w:r>
            <w:r/>
          </w:p>
        </w:tc>
        <w:tc>
          <w:tcPr>
            <w:tcW w:w="108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注册证号</w:t>
            </w:r>
            <w:r/>
          </w:p>
        </w:tc>
        <w:tc>
          <w:tcPr>
            <w:tcW w:w="150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规格型号</w:t>
            </w:r>
            <w:r/>
          </w:p>
        </w:tc>
        <w:tc>
          <w:tcPr>
            <w:tcW w:w="739"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单位</w:t>
            </w:r>
            <w:r/>
          </w:p>
        </w:tc>
        <w:tc>
          <w:tcPr>
            <w:tcW w:w="705"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数量</w:t>
            </w:r>
            <w:r/>
          </w:p>
        </w:tc>
        <w:tc>
          <w:tcPr>
            <w:tcW w:w="1376" w:type="dxa"/>
            <w:vAlign w:val="center"/>
            <w:textDirection w:val="lrTb"/>
            <w:noWrap w:val="false"/>
          </w:tcPr>
          <w:p>
            <w:pPr>
              <w:widowControl/>
              <w:rPr>
                <w:rFonts w:hint="eastAsia" w:cs="宋体" w:asciiTheme="minorEastAsia" w:hAnsiTheme="minorEastAsia"/>
                <w:color w:val="000000"/>
                <w:szCs w:val="21"/>
                <w:u w:val="single"/>
              </w:rPr>
            </w:pPr>
            <w:r>
              <w:rPr>
                <w:rFonts w:hint="eastAsia" w:cs="宋体" w:asciiTheme="minorEastAsia" w:hAnsiTheme="minorEastAsia"/>
                <w:color w:val="000000"/>
                <w:szCs w:val="21"/>
              </w:rPr>
              <w:t xml:space="preserve">单价（元）</w:t>
            </w:r>
            <w:r/>
          </w:p>
        </w:tc>
        <w:tc>
          <w:tcPr>
            <w:tcW w:w="1275"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金额（元）</w:t>
            </w:r>
            <w:r/>
          </w:p>
        </w:tc>
      </w:tr>
      <w:tr>
        <w:trPr>
          <w:jc w:val="center"/>
          <w:trHeight w:val="774"/>
        </w:trPr>
        <w:tc>
          <w:tcPr>
            <w:tcW w:w="133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2036"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08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50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39"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05"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376"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275"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490"/>
        </w:trPr>
        <w:tc>
          <w:tcPr>
            <w:gridSpan w:val="6"/>
            <w:tcW w:w="7390" w:type="dxa"/>
            <w:vAlign w:val="bottom"/>
            <w:textDirection w:val="lrTb"/>
            <w:noWrap w:val="false"/>
          </w:tcPr>
          <w:p>
            <w:pPr>
              <w:ind w:firstLine="482"/>
              <w:widowControl/>
              <w:rPr>
                <w:rFonts w:hint="eastAsia" w:cs="宋体" w:asciiTheme="minorEastAsia" w:hAnsiTheme="minorEastAsia"/>
                <w:color w:val="000000"/>
                <w:szCs w:val="21"/>
                <w:u w:val="single"/>
              </w:rPr>
            </w:pPr>
            <w:r>
              <w:rPr>
                <w:rFonts w:hint="eastAsia" w:cs="宋体" w:asciiTheme="minorEastAsia" w:hAnsiTheme="minorEastAsia"/>
                <w:color w:val="000000"/>
                <w:szCs w:val="21"/>
              </w:rPr>
              <w:t xml:space="preserve">总计（大写）：人民币   元整</w:t>
            </w:r>
            <w:r/>
          </w:p>
        </w:tc>
        <w:tc>
          <w:tcPr>
            <w:gridSpan w:val="2"/>
            <w:tcW w:w="2651" w:type="dxa"/>
            <w:vAlign w:val="bottom"/>
            <w:textDirection w:val="lrTb"/>
            <w:noWrap w:val="false"/>
          </w:tcPr>
          <w:p>
            <w:pPr>
              <w:ind w:firstLine="482"/>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（小写）：</w:t>
            </w:r>
            <w:r/>
          </w:p>
        </w:tc>
      </w:tr>
    </w:tbl>
    <w:p>
      <w:pPr>
        <w:ind w:firstLine="420"/>
        <w:rPr>
          <w:rFonts w:hint="eastAsia" w:cs="宋体" w:asciiTheme="minorEastAsia" w:hAnsiTheme="minorEastAsia"/>
          <w:color w:val="000000"/>
          <w:szCs w:val="21"/>
        </w:rPr>
      </w:pPr>
      <w:r>
        <w:rPr>
          <w:rFonts w:hint="eastAsia" w:cs="宋体" w:asciiTheme="minorEastAsia" w:hAnsiTheme="minorEastAsia"/>
          <w:color w:val="000000"/>
          <w:szCs w:val="21"/>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二、设备配置清单见附件。</w:t>
      </w:r>
      <w:r/>
    </w:p>
    <w:p>
      <w:pPr>
        <w:ind w:firstLine="480"/>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rPr>
        <w:t xml:space="preserve">三、付款方式：（1）取得相关审批材料、设备到货后，乙方应向甲方提供真实、合法的全额销售发票，甲方应向乙方支付合同总价的30％；（2）设备验收合格，且无质量问题情况下，甲方支付至合同总价的60％；（3）设备验收合格、取得竣工验收报告并公示合格后，甲方支付至合同总价的100％</w:t>
      </w:r>
      <w:r>
        <w:rPr>
          <w:rFonts w:hint="eastAsia" w:cs="宋体" w:asciiTheme="minorEastAsia" w:hAnsiTheme="minorEastAsia"/>
          <w:sz w:val="24"/>
          <w:szCs w:val="24"/>
          <w:lang w:eastAsia="zh-CN"/>
        </w:rPr>
        <w:t xml:space="preserve">。</w:t>
      </w:r>
      <w:r/>
    </w:p>
    <w:p>
      <w:pPr>
        <w:ind w:firstLine="480"/>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四、交货期：乙方应在本合同生效之日起天之内将货物运抵甲方指定地点。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五、交货地点：</w:t>
      </w:r>
      <w:r>
        <w:rPr>
          <w:rFonts w:hint="eastAsia" w:cs="宋体" w:asciiTheme="minorEastAsia" w:hAnsiTheme="minorEastAsia"/>
          <w:sz w:val="24"/>
          <w:szCs w:val="24"/>
          <w:lang w:eastAsia="zh-CN"/>
        </w:rPr>
        <w:t xml:space="preserve">连云港市立东方医院</w:t>
      </w:r>
      <w:r>
        <w:rPr>
          <w:rFonts w:hint="eastAsia" w:cs="宋体" w:asciiTheme="minorEastAsia" w:hAnsiTheme="minorEastAsia"/>
          <w:sz w:val="24"/>
          <w:szCs w:val="24"/>
        </w:rPr>
        <w:t xml:space="preserve">指定院区。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六、质保期：上述设备提供免费原厂全保年，自甲方正式验收合格之日起计算。在质保期内，乙方需对所提供的货物定期检查和保养，并且保证每年上门检修、保养一次，不再向甲方收取费用。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七、资质、质量要求及技术标准</w:t>
      </w:r>
      <w:r/>
    </w:p>
    <w:p>
      <w:pPr>
        <w:ind w:firstLine="480"/>
        <w:spacing w:line="360" w:lineRule="auto"/>
        <w:rPr>
          <w:rFonts w:hint="eastAsia" w:cs="宋体" w:asciiTheme="minorEastAsia" w:hAnsiTheme="minorEastAsia"/>
          <w:bCs/>
          <w:sz w:val="24"/>
          <w:szCs w:val="24"/>
        </w:rPr>
      </w:pPr>
      <w:r>
        <w:rPr>
          <w:rFonts w:hint="eastAsia" w:cs="宋体" w:asciiTheme="minorEastAsia" w:hAnsiTheme="minorEastAsia"/>
          <w:sz w:val="24"/>
          <w:szCs w:val="24"/>
        </w:rPr>
        <w:t xml:space="preserve">1．特别提醒条款：</w:t>
      </w:r>
      <w:r>
        <w:rPr>
          <w:rFonts w:hint="eastAsia" w:cs="宋体" w:asciiTheme="minorEastAsia" w:hAnsiTheme="minorEastAsia"/>
          <w:bCs/>
          <w:sz w:val="24"/>
          <w:szCs w:val="24"/>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hint="eastAsia" w:cs="宋体" w:asciiTheme="minorEastAsia" w:hAnsiTheme="minorEastAsia"/>
          <w:sz w:val="24"/>
          <w:szCs w:val="24"/>
          <w:u w:val="single"/>
        </w:rPr>
      </w:pPr>
      <w:r>
        <w:rPr>
          <w:rFonts w:hint="eastAsia" w:cs="宋体" w:asciiTheme="minorEastAsia" w:hAnsiTheme="minorEastAsia"/>
          <w:sz w:val="24"/>
          <w:szCs w:val="24"/>
        </w:rPr>
        <w:t xml:space="preserve">3．乙方保证所供设备为全新、未使用过的原装正品，生产日期在合同签订之日1年以内，并严格保持原包装，否则甲方有权拒收或要求更换，造成的一切损失由乙方负全部责任。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八、设备到货、安装和验收要求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3．设备安装、调试结束后，甲方对设备试用后进行验收（时间由甲、乙双方商定），乙方免费派工程师到达现场协助验收工作。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 乙方确保设备安装调试后须具备正常运行所需的所有条件，即为交钥匙项目。</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5．质保期自甲方书面验收合格之日算起，质保期外只收配件费，免收人工费等一切费用。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九、技术培训</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 ②正规培训班培训：/。</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十、售后服务要求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确保设备质保期内开机率为98%，如设备故障停机率超过2%（一年按365天计算，每年8天），每超过一天（一天并不意味24小时停机，只要当日发生停机事件，即视为停机一天），质保期延长两周，超过10天，乙方应向甲方每天支付合同金额1%的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无论在质保期内还是质保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4．乙方免费提供全套技术资料（维修说明书包括详细电路图、操作说明书及光盘等），如技术资料不全，甲方有权不支付货款。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十一、专利权和货物相关的更改要求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4、在合同执行过程中，如果国家相应的技术规范作出调整，或货物的技术有了较大的更新，乙方应免费更换所供货物的相应部件。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十二、违约责任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1、甲方无正当理由拒收货物的，由甲方向乙方偿付合同总价的5%违约金。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3、如乙方不能交付货物，乙方应向甲方支付合同总价5%违约金。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5、乙方所交付的货物品种、型号、规格等不符合合同规定的，甲方有权拒收。甲方拒收的，乙方应向甲方支付合同货款总额5%的违约金。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6、乙方所供设备如验收不合格，根据甲方的要求，乙方必须在甲方规定的时间内无条件换货或退货，由此引起的一切损失由乙方承担。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十三、合同的变更和终止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（一）合同变更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1、如因国家相关法律、法规及国家政策发生变化，需变更本合同的，则双方应对相关条款进行依法变更；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（二）合同终止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出现下列情况之一的，合同将终止：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1、合同履行完毕、权利义务关系消灭的；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2、国家法律、法规、条例进行调整，禁止本合同延续的；或合同一方被国家执法机关处罚、查封关闭的；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3、一方严重违约（如乙方逾期供货、质量低下导致甲方使用中存在安全风险，以及可能会造成甲方其他严重后果）的； </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4、发生严重纠纷、事故，影响医疗秩序的或存在严重纠纷、医疗事故隐患的，以及其他严重影响医院声誉情况的；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5、其他国家法律、法规规定的或经双方共同认可的其他可终止合同情况。</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十四、争议的解决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color w:val="000000"/>
          <w:sz w:val="24"/>
          <w:szCs w:val="24"/>
        </w:rPr>
        <w:t xml:space="preserve">十五、其他约定</w:t>
      </w:r>
      <w:r>
        <w:rPr>
          <w:rFonts w:hint="eastAsia" w:cs="宋体" w:asciiTheme="minorEastAsia" w:hAnsiTheme="minorEastAsia"/>
          <w:sz w:val="24"/>
          <w:szCs w:val="24"/>
        </w:rPr>
        <w:t xml:space="preserve">：设备出保后全保费用为        ，甲方可自主选择是否由乙方维保，若选择乙方维保，则此维保价格在免费质保期后3年内不得变更。 配套耗材若被纳入省级阳光平台采购，需终止现有条款，按阳光平台要求另行商谈和采购，配套耗材为：</w:t>
      </w:r>
      <w:r/>
    </w:p>
    <w:tbl>
      <w:tblPr>
        <w:tblStyle w:val="764"/>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r>
    </w:tbl>
    <w:p>
      <w:pPr>
        <w:ind w:firstLine="480"/>
        <w:spacing w:line="36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十六、合同生效</w:t>
      </w:r>
      <w:r/>
    </w:p>
    <w:p>
      <w:pPr>
        <w:ind w:firstLine="480"/>
        <w:spacing w:line="360" w:lineRule="auto"/>
        <w:rPr>
          <w:rFonts w:hint="eastAsia" w:cs="宋体" w:asciiTheme="minorEastAsia" w:hAnsiTheme="minorEastAsia"/>
          <w:color w:val="000000"/>
          <w:sz w:val="24"/>
          <w:szCs w:val="24"/>
        </w:rPr>
      </w:pPr>
      <w:r>
        <w:rPr>
          <w:rFonts w:hint="eastAsia" w:cs="Times New Roman" w:asciiTheme="minorEastAsia" w:hAnsiTheme="minorEastAsia"/>
          <w:sz w:val="24"/>
          <w:szCs w:val="24"/>
        </w:rPr>
        <w:t xml:space="preserve">本合同和招、投标文件及承诺书，内容互补，</w:t>
      </w:r>
      <w:r>
        <w:rPr>
          <w:rFonts w:hint="eastAsia" w:cs="宋体" w:asciiTheme="minorEastAsia" w:hAnsiTheme="minorEastAsia"/>
          <w:color w:val="000000"/>
          <w:sz w:val="24"/>
          <w:szCs w:val="24"/>
        </w:rPr>
        <w:t xml:space="preserve">具有同等法律效力，应按照中华人民共和国的现行法律进行解释。合同一式肆份，甲方叁份、乙方壹份，自双方签字盖章后生效。</w:t>
      </w:r>
      <w:r/>
    </w:p>
    <w:p>
      <w:pPr>
        <w:ind w:firstLine="361"/>
        <w:spacing w:line="360" w:lineRule="auto"/>
        <w:rPr>
          <w:rFonts w:hint="eastAsia" w:cs="宋体" w:asciiTheme="minorEastAsia" w:hAnsiTheme="minorEastAsia"/>
          <w:color w:val="000000"/>
          <w:sz w:val="18"/>
          <w:szCs w:val="18"/>
        </w:rPr>
      </w:pPr>
      <w:r>
        <w:rPr>
          <w:rFonts w:hint="eastAsia" w:cs="宋体" w:asciiTheme="minorEastAsia" w:hAnsiTheme="minorEastAsia"/>
          <w:color w:val="000000"/>
          <w:sz w:val="18"/>
          <w:szCs w:val="18"/>
        </w:rPr>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甲方：</w:t>
      </w:r>
      <w:r>
        <w:rPr>
          <w:rFonts w:hint="eastAsia" w:cs="宋体" w:asciiTheme="minorEastAsia" w:hAnsiTheme="minorEastAsia"/>
          <w:b/>
          <w:sz w:val="24"/>
          <w:szCs w:val="24"/>
          <w:lang w:eastAsia="zh-CN"/>
        </w:rPr>
        <w:t xml:space="preserve">连云港市立东方医院</w:t>
      </w:r>
      <w:r>
        <w:rPr>
          <w:rFonts w:hint="eastAsia" w:cs="宋体" w:asciiTheme="minorEastAsia" w:hAnsiTheme="minorEastAsia"/>
          <w:b/>
          <w:sz w:val="24"/>
          <w:szCs w:val="24"/>
        </w:rPr>
        <w:t xml:space="preserve">                乙方：</w:t>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地址：          </w:t>
      </w:r>
      <w:r>
        <w:rPr>
          <w:rFonts w:hint="eastAsia" w:cs="宋体" w:asciiTheme="minorEastAsia" w:hAnsiTheme="minorEastAsia"/>
          <w:b/>
          <w:sz w:val="24"/>
          <w:szCs w:val="24"/>
          <w:lang w:val="en-US" w:eastAsia="zh-CN"/>
        </w:rPr>
        <w:t xml:space="preserve">                        </w:t>
      </w:r>
      <w:r>
        <w:rPr>
          <w:rFonts w:hint="eastAsia" w:cs="宋体" w:asciiTheme="minorEastAsia" w:hAnsiTheme="minorEastAsia"/>
          <w:b/>
          <w:sz w:val="24"/>
          <w:szCs w:val="24"/>
        </w:rPr>
        <w:t xml:space="preserve">地址：</w:t>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电话：             </w:t>
      </w:r>
      <w:r>
        <w:rPr>
          <w:rFonts w:hint="eastAsia" w:cs="宋体" w:asciiTheme="minorEastAsia" w:hAnsiTheme="minorEastAsia"/>
          <w:b/>
          <w:sz w:val="24"/>
          <w:szCs w:val="24"/>
          <w:lang w:val="en-US" w:eastAsia="zh-CN"/>
        </w:rPr>
        <w:t xml:space="preserve">           </w:t>
      </w:r>
      <w:r>
        <w:rPr>
          <w:rFonts w:hint="eastAsia" w:cs="宋体" w:asciiTheme="minorEastAsia" w:hAnsiTheme="minorEastAsia"/>
          <w:b/>
          <w:sz w:val="24"/>
          <w:szCs w:val="24"/>
        </w:rPr>
        <w:t xml:space="preserve">          电话：</w:t>
      </w:r>
      <w:r/>
    </w:p>
    <w:p>
      <w:pPr>
        <w:spacing w:line="360" w:lineRule="auto"/>
        <w:rPr>
          <w:rFonts w:hint="eastAsia" w:cs="宋体" w:asciiTheme="minorEastAsia" w:hAnsiTheme="minorEastAsia"/>
          <w:b/>
          <w:sz w:val="24"/>
          <w:szCs w:val="24"/>
        </w:rPr>
      </w:pPr>
      <w:r>
        <w:fldChar w:fldCharType="begin"/>
      </w:r>
      <w:r>
        <w:instrText xml:space="preserve"> HYPERLINK "mailto:邮箱lygyyzbcgzx@163.com" </w:instrText>
      </w:r>
      <w:r>
        <w:fldChar w:fldCharType="separate"/>
      </w:r>
      <w:r>
        <w:rPr>
          <w:rFonts w:hint="eastAsia" w:cs="宋体" w:asciiTheme="minorEastAsia" w:hAnsiTheme="minorEastAsia"/>
          <w:b/>
          <w:sz w:val="24"/>
        </w:rPr>
        <w:t xml:space="preserve">邮箱</w:t>
      </w:r>
      <w:r>
        <w:rPr>
          <w:rFonts w:hint="eastAsia" w:cs="宋体" w:asciiTheme="minorEastAsia" w:hAnsiTheme="minorEastAsia"/>
          <w:b/>
          <w:sz w:val="24"/>
          <w:szCs w:val="24"/>
          <w:shd w:val="clear" w:color="ffffff" w:fill="auto"/>
        </w:rPr>
        <w:t xml:space="preserve">：</w:t>
      </w:r>
      <w:r>
        <w:rPr>
          <w:rFonts w:hint="eastAsia" w:cs="宋体" w:asciiTheme="minorEastAsia" w:hAnsiTheme="minorEastAsia"/>
          <w:b/>
          <w:sz w:val="24"/>
        </w:rPr>
        <w:fldChar w:fldCharType="end"/>
      </w:r>
      <w:r>
        <w:rPr>
          <w:rFonts w:hint="eastAsia" w:cs="宋体" w:asciiTheme="minorEastAsia" w:hAnsiTheme="minorEastAsia"/>
          <w:b/>
          <w:sz w:val="24"/>
          <w:szCs w:val="24"/>
        </w:rPr>
        <w:t xml:space="preserve">            </w:t>
      </w:r>
      <w:r>
        <w:rPr>
          <w:rFonts w:hint="eastAsia" w:cs="宋体" w:asciiTheme="minorEastAsia" w:hAnsiTheme="minorEastAsia"/>
          <w:b/>
          <w:sz w:val="24"/>
          <w:szCs w:val="24"/>
          <w:lang w:val="en-US" w:eastAsia="zh-CN"/>
        </w:rPr>
        <w:t xml:space="preserve">                 </w:t>
      </w:r>
      <w:r>
        <w:rPr>
          <w:rFonts w:hint="eastAsia" w:cs="宋体" w:asciiTheme="minorEastAsia" w:hAnsiTheme="minorEastAsia"/>
          <w:b/>
          <w:sz w:val="24"/>
          <w:szCs w:val="24"/>
        </w:rPr>
        <w:t xml:space="preserve">     邮箱：</w:t>
      </w:r>
      <w:r/>
    </w:p>
    <w:p>
      <w:pPr>
        <w:spacing w:line="60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授权代表：                              授权代表：</w:t>
      </w:r>
      <w:r/>
    </w:p>
    <w:p>
      <w:pPr>
        <w:spacing w:before="165" w:after="165" w:line="360" w:lineRule="auto"/>
        <w:rPr>
          <w:rFonts w:hint="eastAsia" w:cs="宋体" w:asciiTheme="minorEastAsia" w:hAnsiTheme="minorEastAsia"/>
          <w:b/>
          <w:color w:val="000000"/>
          <w:sz w:val="24"/>
          <w:szCs w:val="24"/>
        </w:rPr>
      </w:pPr>
      <w:r>
        <w:rPr>
          <w:rFonts w:hint="eastAsia" w:cs="宋体" w:asciiTheme="minorEastAsia" w:hAnsiTheme="minorEastAsia"/>
          <w:b/>
          <w:sz w:val="24"/>
          <w:szCs w:val="24"/>
        </w:rPr>
        <w:t xml:space="preserve">日    期：    年      月      日        日    期：    年      月      日</w:t>
      </w:r>
      <w:r/>
    </w:p>
    <w:p>
      <w:pPr>
        <w:pStyle w:val="754"/>
        <w:numPr>
          <w:ilvl w:val="0"/>
          <w:numId w:val="0"/>
        </w:numPr>
        <w:rPr>
          <w:rFonts w:hint="eastAsia" w:asciiTheme="minorEastAsia" w:hAnsiTheme="minorEastAsia" w:eastAsiaTheme="minorEastAsia"/>
          <w:sz w:val="24"/>
          <w:szCs w:val="24"/>
        </w:rPr>
      </w:pPr>
      <w:r>
        <w:rPr>
          <w:rFonts w:asciiTheme="minorEastAsia" w:hAnsiTheme="minorEastAsia" w:eastAsiaTheme="minorEastAsia"/>
          <w:szCs w:val="24"/>
        </w:rPr>
        <w:br w:type="page" w:clear="all"/>
      </w:r>
      <w:bookmarkStart w:id="13" w:name="_Toc139966428"/>
      <w:r/>
      <w:bookmarkStart w:id="14" w:name="_Toc151625258"/>
      <w:r/>
      <w:bookmarkStart w:id="15" w:name="_Toc139967212"/>
      <w:r/>
      <w:bookmarkStart w:id="16" w:name="_Toc513622229"/>
      <w:r>
        <w:rPr>
          <w:rFonts w:hint="eastAsia" w:asciiTheme="minorEastAsia" w:hAnsiTheme="minorEastAsia" w:eastAsiaTheme="minorEastAsia"/>
          <w:color w:val="000000"/>
        </w:rPr>
        <w:t xml:space="preserve">第四章投标文件格式</w:t>
      </w:r>
      <w:bookmarkEnd w:id="13"/>
      <w:r/>
      <w:bookmarkEnd w:id="14"/>
      <w:r/>
      <w:bookmarkEnd w:id="15"/>
      <w:r/>
      <w:bookmarkEnd w:id="16"/>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JSZC-320700-ZJZB-G2026-0048</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6431"/>
      <w:r/>
      <w:bookmarkStart w:id="18" w:name="_Toc139967215"/>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eastAsia="zh-CN"/>
        </w:rPr>
        <w:t xml:space="preserve">投标</w:t>
      </w:r>
      <w:r>
        <w:rPr>
          <w:rFonts w:hint="eastAsia" w:cs="Times New Roman" w:asciiTheme="minorEastAsia" w:hAnsiTheme="minorEastAsia"/>
          <w:color w:val="000000"/>
          <w:sz w:val="24"/>
          <w:szCs w:val="24"/>
        </w:rPr>
        <w:t xml:space="preserve">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 xml:space="preserve">投标</w:t>
      </w:r>
      <w:r>
        <w:rPr>
          <w:rFonts w:hint="eastAsia" w:cs="宋体" w:asciiTheme="minorEastAsia" w:hAnsiTheme="minorEastAsia"/>
          <w:bCs/>
          <w:sz w:val="36"/>
          <w:szCs w:val="28"/>
        </w:rPr>
        <w:t xml:space="preserve">函</w:t>
      </w:r>
      <w:r/>
    </w:p>
    <w:p>
      <w:pPr>
        <w:ind w:firstLine="482"/>
        <w:spacing w:line="480" w:lineRule="exact"/>
        <w:rPr>
          <w:rFonts w:hint="eastAsia" w:cs="Times New Roman" w:asciiTheme="minorEastAsia" w:hAnsiTheme="minorEastAsia" w:eastAsiaTheme="minorEastAsia"/>
          <w:color w:val="000000"/>
          <w:szCs w:val="24"/>
          <w:lang w:eastAsia="zh-CN"/>
        </w:rPr>
      </w:pPr>
      <w:r>
        <w:rPr>
          <w:rFonts w:hint="eastAsia" w:cs="Times New Roman" w:asciiTheme="minorEastAsia" w:hAnsiTheme="minorEastAsia"/>
          <w:color w:val="000000"/>
          <w:szCs w:val="24"/>
        </w:rPr>
        <w:t xml:space="preserve">致：</w:t>
      </w:r>
      <w:r>
        <w:rPr>
          <w:rFonts w:hint="eastAsia" w:cs="Times New Roman" w:asciiTheme="minorEastAsia" w:hAnsiTheme="minorEastAsia"/>
          <w:color w:val="000000"/>
          <w:szCs w:val="24"/>
          <w:lang w:eastAsia="zh-CN"/>
        </w:rPr>
        <w:t xml:space="preserve">连云港市立东方医院</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根据贵方项目（项目编号：）招标文件，正式授权下述签字人全权代表参加贵方组织的采购活动，按照招标文件要求提交</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据此函，签字人兹宣布同意如下：</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1.按招标文件项目需求提交</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报价，报价、交货期等详见开标一览表。</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2.我方同意在本项目招标文件中规定的</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文件递交截止之日起60天内遵守本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文件中的承诺且在此期限期满之前均具有约束力。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(1)具有独立承担民事责任的能力；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(2)具有良好的商业信誉和健全的财务会计制度；</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(3)具有履行合同所必需的设备和专业技术能力；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(4)有依法缴纳税收和社会保障资金的良好记录；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(5)参加此项采购活动前三年内，在经营活动中没有重大违法记录。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4.我方根据招标文件的规定，承担完成合同的责任和义务。</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5.我方已详细审核招标文件，我方知道必须放弃提出含糊不清或误解问题的权利。</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6.如果在响应文件有效期内撤回或者有其他违约行为，我方的保证金可被贵方全部或部分没收。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7.同意应贵方要求提供与本次采购活动有关的任何数据或资料。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8.我方完全理解，最低报价不是中标（成交）的唯一条件。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9.若贵方需要，我方愿意提供我方作出的一切承诺的证明材料。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(1)提供虚假材料谋取中标、成交的；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(2)采取不正当手段诋毁、排挤其他供应商的；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(3)与采购人、其他供应商或者采购代理机构恶意串通的；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(4)向采购人、采购代理机构行贿或者提供其他不正当利益的；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(5)在招标采购过程中与采购人进行协商谈判的；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(6)拒绝有关部门监督检查或提供虚假情况的。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7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w:t>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sz w:val="21"/>
          <w:szCs w:val="24"/>
          <w:lang w:val="en-US" w:eastAsia="zh-CN" w:bidi="ar-SA"/>
        </w:rPr>
        <w:t xml:space="preserve">2、</w:t>
      </w:r>
      <w:r>
        <w:rPr>
          <w:rFonts w:hint="eastAsia" w:cs="Times New Roman" w:asciiTheme="minorEastAsia" w:hAnsiTheme="minorEastAsia"/>
          <w:color w:val="auto"/>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3</w:t>
      </w:r>
      <w:r>
        <w:rPr>
          <w:rFonts w:hint="eastAsia" w:cs="Times New Roman" w:asciiTheme="minorEastAsia" w:hAnsiTheme="minorEastAsia"/>
          <w:color w:val="000000"/>
          <w:szCs w:val="24"/>
        </w:rPr>
        <w:t xml:space="preserve">、以上总价包含货物费用、运杂费、安装施工费、集成费、税金和其他费用。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4</w:t>
      </w:r>
      <w:r>
        <w:rPr>
          <w:rFonts w:hint="eastAsia" w:cs="Times New Roman" w:asciiTheme="minorEastAsia" w:hAnsiTheme="minorEastAsia"/>
          <w:color w:val="000000"/>
          <w:szCs w:val="24"/>
        </w:rPr>
        <w:t xml:space="preserve">、请供应商正确填写本表，所填内容将作为评审的依据，其内容应与对应的证明资料相符。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 xml:space="preserve">5</w:t>
      </w:r>
      <w:r>
        <w:rPr>
          <w:rFonts w:hint="eastAsia" w:cs="Times New Roman" w:asciiTheme="minorEastAsia" w:hAnsiTheme="minorEastAsia"/>
          <w:color w:val="000000"/>
          <w:szCs w:val="24"/>
        </w:rPr>
        <w:t xml:space="preserve">、本表中事项填写不得有缺失，请如实填写，行数或事项不够，可自行增加。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格式</w:t>
      </w:r>
      <w:r>
        <w:rPr>
          <w:rFonts w:hint="eastAsia" w:cs="Times New Roman" w:asciiTheme="minorEastAsia" w:hAnsiTheme="minorEastAsia"/>
          <w:color w:val="auto"/>
          <w:sz w:val="24"/>
          <w:szCs w:val="24"/>
          <w:lang w:val="en-US" w:eastAsia="zh-CN"/>
        </w:rPr>
        <w:t xml:space="preserve">6</w:t>
      </w:r>
      <w:r>
        <w:rPr>
          <w:rFonts w:hint="eastAsia" w:cs="Times New Roman" w:asciiTheme="minorEastAsia" w:hAnsiTheme="minorEastAsia"/>
          <w:color w:val="auto"/>
          <w:sz w:val="24"/>
          <w:szCs w:val="24"/>
        </w:rPr>
        <w:t xml:space="preserve">、关于符合本国产品标准的声明函</w:t>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r>
      <w:r/>
    </w:p>
    <w:p>
      <w:pPr>
        <w:pStyle w:val="78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rPr>
        <w:pBdr>
          <w:top w:val="none" w:color="auto" w:sz="0" w:space="0"/>
          <w:left w:val="none" w:color="auto" w:sz="0" w:space="0"/>
          <w:bottom w:val="none" w:color="auto" w:sz="0" w:space="0"/>
          <w:right w:val="none" w:color="auto" w:sz="0" w:space="0"/>
        </w:pBdr>
        <w:suppressLineNumbers w:val="0"/>
      </w:pPr>
      <w:r>
        <w:rPr>
          <w:rStyle w:val="791"/>
          <w:rFonts w:hint="eastAsia" w:ascii="宋体" w:hAnsi="宋体" w:eastAsia="宋体" w:cs="宋体"/>
          <w:i w:val="0"/>
          <w:iCs w:val="0"/>
          <w:caps w:val="0"/>
          <w:color w:val="auto"/>
          <w:spacing w:val="0"/>
          <w:sz w:val="36"/>
          <w:szCs w:val="36"/>
          <w:shd w:val="clear" w:color="auto" w:fill="ffffff"/>
        </w:rPr>
        <w:t xml:space="preserve">关于符合本国产品标准的声明函</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794"/>
          <w:rFonts w:hint="eastAsia" w:ascii="宋体" w:hAnsi="宋体" w:eastAsia="宋体" w:cs="宋体"/>
          <w:i w:val="0"/>
          <w:iCs w:val="0"/>
          <w:caps w:val="0"/>
          <w:color w:val="auto"/>
          <w:spacing w:val="0"/>
          <w:sz w:val="24"/>
          <w:szCs w:val="24"/>
          <w:u w:val="single"/>
          <w:shd w:val="clear" w:color="auto" w:fill="ffffff"/>
        </w:rPr>
        <w:t xml:space="preserve">（厂名）</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794"/>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94"/>
          <w:rFonts w:hint="eastAsia" w:ascii="宋体" w:hAnsi="宋体" w:eastAsia="宋体" w:cs="宋体"/>
          <w:i w:val="0"/>
          <w:iCs w:val="0"/>
          <w:caps w:val="0"/>
          <w:color w:val="auto"/>
          <w:spacing w:val="0"/>
          <w:sz w:val="24"/>
          <w:szCs w:val="24"/>
          <w:u w:val="single"/>
          <w:shd w:val="clear" w:color="auto" w:fill="ffffff"/>
        </w:rPr>
        <w:t xml:space="preserve">（规定比例）</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（关键组件）</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（关键工序）</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794"/>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794"/>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94"/>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785"/>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785"/>
        <w:ind w:left="0" w:right="0" w:firstLine="420"/>
        <w:keepLines w:val="0"/>
        <w:keepNext w:val="0"/>
        <w:spacing w:before="30" w:beforeAutospacing="0" w:after="30" w:afterAutospacing="0"/>
        <w:shd w:val="clear" w:color="auto" w:fill="ffffff"/>
        <w:widowControl/>
        <w:rPr>
          <w:rFonts w:hint="eastAsia" w:cs="Times New Roman" w:asciiTheme="minorEastAsia" w:hAnsiTheme="minorEastAsia"/>
          <w:b/>
          <w:color w:val="000000"/>
          <w:sz w:val="28"/>
          <w:szCs w:val="20"/>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6.《声明函》中标注“  /  ”的地方无需填写。</w:t>
      </w: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7</w:t>
      </w:r>
      <w:r>
        <w:rPr>
          <w:rFonts w:hint="eastAsia" w:cs="Times New Roman" w:asciiTheme="minorEastAsia" w:hAnsiTheme="minorEastAsia"/>
          <w:color w:val="000000"/>
          <w:sz w:val="24"/>
          <w:szCs w:val="24"/>
        </w:rPr>
        <w:t xml:space="preserve">、具备履行合同所必需的设备和专业技术能力的声明及证明材料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8</w:t>
      </w:r>
      <w:r>
        <w:rPr>
          <w:rFonts w:hint="eastAsia" w:cs="Times New Roman" w:asciiTheme="minorEastAsia" w:hAnsiTheme="minorEastAsia"/>
          <w:color w:val="000000"/>
          <w:sz w:val="24"/>
          <w:szCs w:val="24"/>
        </w:rPr>
        <w:t xml:space="preserve">、参加政府采购活动前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9</w:t>
      </w:r>
      <w:r>
        <w:rPr>
          <w:rFonts w:hint="eastAsia" w:cs="Times New Roman" w:asciiTheme="minorEastAsia" w:hAnsiTheme="minorEastAsia"/>
          <w:color w:val="000000"/>
          <w:sz w:val="24"/>
          <w:szCs w:val="24"/>
        </w:rPr>
        <w:t xml:space="preserve">、法定代表人授权委托书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10</w:t>
      </w:r>
      <w:r>
        <w:rPr>
          <w:rFonts w:hint="eastAsia" w:cs="Times New Roman" w:asciiTheme="minorEastAsia" w:hAnsiTheme="minorEastAsia"/>
          <w:color w:val="000000"/>
          <w:sz w:val="24"/>
          <w:szCs w:val="24"/>
        </w:rPr>
        <w:t xml:space="preserve">、商务条款偏离表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76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7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2</w:t>
      </w:r>
      <w:r>
        <w:rPr>
          <w:rFonts w:hint="eastAsia" w:cs="Times New Roman" w:asciiTheme="minorEastAsia" w:hAnsiTheme="minorEastAsia"/>
          <w:color w:val="000000"/>
          <w:sz w:val="24"/>
          <w:szCs w:val="24"/>
        </w:rPr>
        <w:t xml:space="preserve">、售后服务承诺书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3</w:t>
      </w:r>
      <w:r>
        <w:rPr>
          <w:rFonts w:hint="eastAsia" w:cs="Times New Roman" w:asciiTheme="minorEastAsia" w:hAnsiTheme="minorEastAsia"/>
          <w:color w:val="000000"/>
          <w:sz w:val="24"/>
          <w:szCs w:val="24"/>
        </w:rPr>
        <w:t xml:space="preserve">、安装调试方案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4</w:t>
      </w:r>
      <w:r>
        <w:rPr>
          <w:rFonts w:hint="eastAsia" w:cs="Times New Roman" w:asciiTheme="minorEastAsia" w:hAnsiTheme="minorEastAsia"/>
          <w:color w:val="000000"/>
          <w:sz w:val="24"/>
          <w:szCs w:val="24"/>
        </w:rPr>
        <w:t xml:space="preserve">、培训方案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815"/>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6</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bookmarkEnd w:id="18"/>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9" w:name="_Toc513622230"/>
      <w:r/>
      <w:bookmarkStart w:id="20" w:name="_Toc151625260"/>
      <w:r>
        <w:rPr>
          <w:rFonts w:hint="eastAsia" w:cs="Times New Roman" w:asciiTheme="minorEastAsia" w:hAnsiTheme="minorEastAsia"/>
          <w:color w:val="000000"/>
          <w:sz w:val="36"/>
          <w:szCs w:val="20"/>
        </w:rPr>
        <w:t xml:space="preserve">第</w:t>
      </w:r>
      <w:r>
        <w:rPr>
          <w:rFonts w:hint="eastAsia" w:cs="Times New Roman" w:asciiTheme="minorEastAsia" w:hAnsiTheme="minorEastAsia"/>
          <w:color w:val="000000"/>
          <w:sz w:val="36"/>
          <w:szCs w:val="20"/>
          <w:lang w:eastAsia="zh-CN"/>
        </w:rPr>
        <w:t xml:space="preserve">五</w:t>
      </w:r>
      <w:r>
        <w:rPr>
          <w:rFonts w:hint="eastAsia" w:cs="Times New Roman" w:asciiTheme="minorEastAsia" w:hAnsiTheme="minorEastAsia"/>
          <w:color w:val="000000"/>
          <w:sz w:val="36"/>
          <w:szCs w:val="20"/>
        </w:rPr>
        <w:t xml:space="preserve">章项目需求</w:t>
      </w:r>
      <w:bookmarkEnd w:id="19"/>
      <w:r/>
      <w:bookmarkEnd w:id="20"/>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asciiTheme="minorEastAsia" w:hAnsiTheme="minorEastAsia"/>
          <w:b/>
          <w:color w:val="000000" w:themeColor="text1"/>
          <w:sz w:val="24"/>
          <w:szCs w:val="21"/>
          <w:u w:val="single"/>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1" w:name="_Toc513622231"/>
      <w:r/>
      <w:bookmarkStart w:id="22" w:name="_Toc139966433"/>
      <w:r/>
      <w:bookmarkStart w:id="23" w:name="_Toc139967217"/>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w:t>
      </w:r>
      <w:r>
        <w:rPr>
          <w:rFonts w:hint="eastAsia" w:cs="宋体" w:asciiTheme="minorEastAsia" w:hAnsiTheme="minorEastAsia"/>
          <w:sz w:val="24"/>
          <w:szCs w:val="24"/>
          <w:lang w:eastAsia="zh-CN"/>
        </w:rPr>
        <w:t xml:space="preserve">连云港市立东方医院</w:t>
      </w:r>
      <w:r>
        <w:rPr>
          <w:rFonts w:hint="eastAsia" w:cs="宋体" w:asciiTheme="minorEastAsia" w:hAnsiTheme="minorEastAsia"/>
          <w:b/>
          <w:sz w:val="24"/>
          <w:szCs w:val="24"/>
          <w:lang w:eastAsia="zh-CN"/>
        </w:rPr>
        <w:t xml:space="preserve">直线加速器系统</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790"/>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423"/>
        <w:gridCol w:w="1017"/>
        <w:gridCol w:w="900"/>
        <w:gridCol w:w="1673"/>
        <w:gridCol w:w="1927"/>
      </w:tblGrid>
      <w:tr>
        <w:trPr>
          <w:jc w:val="center"/>
          <w:trHeight w:val="636"/>
        </w:trPr>
        <w:tc>
          <w:tcPr>
            <w:tcW w:w="891"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序号</w:t>
            </w:r>
            <w:r/>
          </w:p>
        </w:tc>
        <w:tc>
          <w:tcPr>
            <w:tcW w:w="3423"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名称</w:t>
            </w:r>
            <w:r/>
          </w:p>
        </w:tc>
        <w:tc>
          <w:tcPr>
            <w:tcW w:w="1017"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数量</w:t>
            </w:r>
            <w:r/>
          </w:p>
        </w:tc>
        <w:tc>
          <w:tcPr>
            <w:tcW w:w="900"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单位</w:t>
            </w:r>
            <w:r/>
          </w:p>
        </w:tc>
        <w:tc>
          <w:tcPr>
            <w:tcW w:w="1673"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预算（万元）</w:t>
            </w:r>
            <w:r/>
          </w:p>
        </w:tc>
        <w:tc>
          <w:tcPr>
            <w:tcW w:w="1927" w:type="dxa"/>
            <w:vAlign w:val="center"/>
            <w:textDirection w:val="lrTb"/>
            <w:noWrap w:val="false"/>
          </w:tcPr>
          <w:p>
            <w:pPr>
              <w:jc w:val="center"/>
              <w:spacing w:line="360" w:lineRule="auto"/>
              <w:rPr>
                <w:rFonts w:hint="eastAsia" w:eastAsia="宋体" w:cs="宋体" w:asciiTheme="minorEastAsia" w:hAnsiTheme="minorEastAsia"/>
                <w:b/>
                <w:bCs/>
                <w:sz w:val="24"/>
                <w:szCs w:val="24"/>
                <w:lang w:eastAsia="zh-CN"/>
              </w:rPr>
            </w:pPr>
            <w:r>
              <w:rPr>
                <w:rFonts w:hint="eastAsia" w:eastAsia="宋体" w:cs="宋体" w:asciiTheme="minorEastAsia" w:hAnsiTheme="minorEastAsia"/>
                <w:b/>
                <w:bCs/>
                <w:sz w:val="24"/>
                <w:szCs w:val="24"/>
                <w:lang w:eastAsia="zh-CN"/>
              </w:rPr>
              <w:t xml:space="preserve">最高限价（万元）</w:t>
            </w:r>
            <w:r/>
          </w:p>
        </w:tc>
      </w:tr>
      <w:tr>
        <w:trPr>
          <w:jc w:val="center"/>
        </w:trPr>
        <w:tc>
          <w:tcPr>
            <w:tcW w:w="891"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1</w:t>
            </w:r>
            <w:r/>
          </w:p>
        </w:tc>
        <w:tc>
          <w:tcPr>
            <w:tcW w:w="3423"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b/>
                <w:sz w:val="24"/>
                <w:szCs w:val="24"/>
                <w:lang w:eastAsia="zh-CN"/>
              </w:rPr>
              <w:t xml:space="preserve">直线加速器系统</w:t>
            </w:r>
            <w:r/>
          </w:p>
        </w:tc>
        <w:tc>
          <w:tcPr>
            <w:tcW w:w="1017"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sz w:val="24"/>
                <w:szCs w:val="24"/>
                <w:lang w:val="en-US" w:eastAsia="zh-CN"/>
              </w:rPr>
              <w:t xml:space="preserve">1</w:t>
            </w:r>
            <w:r/>
          </w:p>
        </w:tc>
        <w:tc>
          <w:tcPr>
            <w:tcW w:w="900"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台</w:t>
            </w:r>
            <w:r/>
          </w:p>
        </w:tc>
        <w:tc>
          <w:tcPr>
            <w:tcW w:w="1673" w:type="dxa"/>
            <w:vAlign w:val="center"/>
            <w:textDirection w:val="lrTb"/>
            <w:noWrap w:val="false"/>
          </w:tcPr>
          <w:p>
            <w:pPr>
              <w:jc w:val="center"/>
              <w:spacing w:line="360" w:lineRule="auto"/>
              <w:rPr>
                <w:rFonts w:hint="default"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 xml:space="preserve">2000</w:t>
            </w:r>
            <w:r/>
          </w:p>
        </w:tc>
        <w:tc>
          <w:tcPr>
            <w:tcW w:w="1927" w:type="dxa"/>
            <w:vAlign w:val="center"/>
            <w:textDirection w:val="lrTb"/>
            <w:noWrap w:val="false"/>
          </w:tcPr>
          <w:p>
            <w:pPr>
              <w:jc w:val="center"/>
              <w:spacing w:line="360" w:lineRule="auto"/>
              <w:rPr>
                <w:rFonts w:hint="default"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 xml:space="preserve">1800</w:t>
            </w:r>
            <w:r/>
          </w:p>
        </w:tc>
      </w:tr>
    </w:tbl>
    <w:p>
      <w:pPr>
        <w:ind w:firstLine="472"/>
        <w:spacing w:line="360" w:lineRule="auto"/>
        <w:rPr>
          <w:rFonts w:ascii="Calibri" w:hAnsi="Calibri" w:eastAsia="宋体" w:cs="宋体"/>
          <w:b/>
          <w:color w:val="000000" w:themeColor="text1"/>
          <w:sz w:val="24"/>
          <w:szCs w:val="24"/>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rPr>
        <w:t xml:space="preserve">（加“★”项为实质性要求和条件，必须提供明确的佐证材料证明（例：产品说明书、彩页、检测报告等），不满足视为无效响应文件，自行承诺符合要求不予认可；</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加“▲”项为重要指标（允许负偏离），其余项为一般响应指标。投标人应逐一列出所有参数性能配置等偏离情况，并提供明确的佐证材料证明（包括但不限于：产品说明书、彩页、检测报告、注册证等；</w:t>
      </w:r>
      <w:r>
        <w:rPr>
          <w:rFonts w:hint="eastAsia" w:ascii="宋体" w:hAnsi="宋体" w:eastAsia="宋体" w:cs="宋体"/>
          <w:b/>
          <w:bCs/>
          <w:color w:val="ff0000"/>
          <w:sz w:val="24"/>
          <w:szCs w:val="24"/>
        </w:rPr>
        <w:t xml:space="preserve">投标文件中提供的证明材料内容须自行标识注明对应参数条款（下划线或其他形式标注说明），未对证明材料标注或标注不明确视为未提供证明材料</w:t>
      </w:r>
      <w:r>
        <w:rPr>
          <w:rFonts w:hint="eastAsia" w:ascii="宋体" w:hAnsi="宋体" w:eastAsia="宋体" w:cs="宋体"/>
          <w:b/>
          <w:bCs/>
          <w:sz w:val="24"/>
          <w:szCs w:val="24"/>
        </w:rPr>
        <w:t xml:space="preserve">，自行承诺符合要求不予认可。</w:t>
      </w:r>
      <w:r>
        <w:rPr>
          <w:rFonts w:hint="eastAsia" w:cs="宋体" w:asciiTheme="minorEastAsia" w:hAnsiTheme="minorEastAsia"/>
          <w:b/>
          <w:color w:val="000000" w:themeColor="text1"/>
          <w:sz w:val="24"/>
          <w:szCs w:val="24"/>
        </w:rPr>
        <w:t xml:space="preserve">)</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1、设备要求概述：</w:t>
      </w:r>
      <w:r/>
    </w:p>
    <w:p>
      <w:pPr>
        <w:ind w:firstLine="482"/>
        <w:jc w:val="left"/>
        <w:spacing w:line="360" w:lineRule="auto"/>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配置要求：一台医用直线加速器；一套放射治疗计划系统（包含至少两台物理师工作站、四台医生工作站，以及支持运行该系统所必需的软件和硬件）；一套肿瘤放射治疗信息化管理系统及支持该系统所需的软件和硬件。</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highlight w:val="none"/>
          <w:lang w:val="en-US" w:eastAsia="zh-CN"/>
        </w:rPr>
        <w:t xml:space="preserve">★（</w:t>
      </w:r>
      <w:r>
        <w:rPr>
          <w:rFonts w:hint="eastAsia" w:cs="宋体" w:asciiTheme="minorEastAsia" w:hAnsiTheme="minorEastAsia"/>
          <w:sz w:val="24"/>
          <w:szCs w:val="24"/>
          <w:lang w:val="en-US" w:eastAsia="zh-CN"/>
        </w:rPr>
        <w:t xml:space="preserve">2）功能要求：具备在线自适应放射治疗功能，静态调强及动态调强放疗、容积旋转调强放疗、三维适形放疗、图像引导放疗、立体定向放疗等在内的，可实现智能化的操控性能、自动勾画和自动计划设计模块，有完整的质控系统，设备可用于对人体适合接受放射治疗的病灶和肿瘤提供精确放射治疗和个体化的肿瘤放射治疗服务。</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2、加速器主系统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2.1机架结构：C型或环形</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2.2机架孔径：≥70cm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2.3加速管类型：行波或驻波</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2.4微波功率装置：磁控管</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2.5射线类型：≥6MV X射线 </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▲2.6直线加速器具备在线自适应放疗功能，且功能软件为加速器设备生产商自研产品（提供相应证明材料）。</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2.7机架旋转范围：环形机≥±180°，C型机≥360°</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2.8机架最大旋转速度：环形机≥4RPM；C型机≥360°/MIN</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2.9等中心精度：≤1mm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2.10等中心高度：≤128cm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▲2.11等中心到机头净空间≥48cm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3、剂量系统结构：全封闭/开放式电离室结构</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3.1X射线应具备均整模式（FF）及非均整模式（FFF）</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▲3.2均整模式最大剂量率≥600MU/min</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3.3非均整模式最大剂量率≥1400MU/min</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3.4剂量输出误差：≤1%或1MU</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3.5剂量输出稳定性：≤1%</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3.6具备安全联锁系统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4、多叶准直系统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4.1准直器系统结构：钨门+多叶光栅结构或双层多叶光栅结构</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4.2直线加速器多叶光栅系统叶片数：≥120片</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4.3叶片等中心投影最小厚度：≤5mm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4.4叶片过中心最大距离：≥15cm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4.5多叶光栅叶片等中心投影最小分辨率：≤5mm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4.6叶片到位精度：≤1mm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4.7叶片运动速度：≥5.5cm/s</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4.8多叶光栅系统最大调强射野：环型机≥28cm×28cm，C型机≥40cm×40cm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4.9多叶光栅与准直器对X射线的联合漏射率：≤0.02%</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5、治疗床</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5.1治疗床为全碳纤维材料面板，可调速运动</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5.2最大承载患者体重：≥200kg</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5.3垂直移动范围；环形机≥45cm，C型机≥90cm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5.4前后移动范围：≥150cm </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5.5左右移动范围：环形机≥20cm，C型机≥25cm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5.6运动到位误差：≤0.05cm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5.7具有自动摆位辅助功能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5.8自动从定位中心移动到治疗中心，无需进行复位</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▲5.9电动调速治疗床沿等中心旋转≥±90°（提供彩页或技术白皮书证明）</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6、图像引导系统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6.1 图像引导系统能级为：KV或MV</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6.2成像方式：扇形束CT（FBCT）或锥形束CT（CBCT）</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6.3探测器为非晶态硅平板型检测器</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6.4有效成像面积：≥41cm x 41cm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6.5像素灰度分辨率：≥16bit/pixel</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6.6影像引导所有的操作均可在控制室进行，操作人员无需进入机房进行操作</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6.7支持三维/四维图像引导功能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▲6.8具备呼吸门控采集系统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6.9具备4D-CBCT或4D-CT技术</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6.10 要求KV影像系统成像的FOV≥50cm</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7、质控及安全系统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7.1直线加速器内置自动质控功能，可快速完成包括机架准直器到位精度、光野一致性精度、输出剂量稳定性等在内的日常质控检查。</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7.2支持患者身份信息识别与摆位信息的确认功能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7.3动态视频监控，治疗床与视频监控同步运动，确保病患安全</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7.4机身和治疗床传感器探测，探测到碰撞风险，立即停止运动，确保病患安全</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7.5可自由开启或关闭患者实时监控</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7.6具备机械等中心精度检测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7.7具备多叶准直器到位精度检测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7.8具备叶片运动的重复性检测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7.9具备准直器旋转精度检测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7.10具备机架旋转精度检测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7.11具备治疗床运动位置精度检测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7.12具备束流输出稳定性检测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7.13具备束流输出均匀性检测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7.14可自动生成质控检测报告</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7.15质控系统可根据所选参数自动生成趋势图，可自定义时间范围</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8、放射治疗计划系统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8.1至少提供2台物理师工作站和4台医生工作站，以及支持运行该系统所必需的软件和硬件（报价中包含所有软件接入HIS/PACS等信息系统接口费用，直至满足采购人使用需求。）</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▲8.2提供与加速器配套的同品牌放疗计划系统，支持X射线和电子线的蒙特卡洛算法（需提供注册证或在NMPA官网查询证明截图并加盖投标单位公章）</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8.3系统可用于制定三维适形、调强放射治疗计划、容积旋转调强计划、立体定向放射治疗计划</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8.4具备自动勾画功能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8.5具备ART计划功能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8.6具备图像融合功能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8.7具备计划评估功能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9、自适应放疗</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9.1具备定位图像获取、自动勾画、自动计划、在线复位、计划评估、在线质控、治疗实施等</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9.2全流程耗时30分钟之内</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10、放射治疗信息化管理系统</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10.1提供肿瘤信息化管理系统（报价中包含所有软件接入HIS/PACS等信息系统接口费用，直至满足采购人使用需求）。</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10.2操作系统和数据库正版软件要求：所有运行于服务器和工作站的软件必须是正版软件</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10.3放疗数据库应用软件：要求建立和应用于服务器数据库系统平台上的应用软件和用户界面程序，所有的病人治疗数据，包括文字资料、图像资料、治疗计划数据和治疗过程中产生的图像和文字数据等，均应储存在服务器数据库中，以方便管理、备份和所有联网工作站的信息资源共享。</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10.4服务器软件可设置各工作站用户的使用权限。</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10.5支持自动序列照射功能，在对一个病人进行多个照射野的连续治疗中，自动按照设定的次序设置加速器和多叶准直器的照射参数，并进行定位验证，中途不需技术员进出治疗室.</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10.6支持主流治疗计划的导入、验证和批准，具有治疗参数的自动记录和验证功能，可调节设定误差允许范围</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10.7提供基于ID、姓名等信息的快速影像检索功能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10.8系统需满足公安部三级安全等级保护</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▲10.9提供加速器厂家注册且具备中华人民共和国三类医疗器械注册证的治疗验证和记录系统，并提供在NMPA（国家药品监督管理局）官网上查询截图或提供注册证并加盖投标单位公章</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11、配套三方设备</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11.1参考级剂量仪1套；一维电动水箱1套，含主机1台，支持无线连接及中文模式，提供0.65cc和0.13cc电离室，提供18米延长线。</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11.2三维剂量验证系统（升级）</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11.3用于加速器周期性检测的含图像QA；MLC QA等项目的加速器质控设备1套</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11.4小野剂量验证系统1套，能满足SRS/SBRT剂量验证，电离室探头不少于1000个，探测器在三维空间内立体排布，射野不小于7cm*7cm，提供旋转模体及分析软件。</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11.5电子密度模体1套</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11.6全身一体化底板2套；定位膜30张；真空垫10个，含头枕、抓杆、手臂支架、定位器、分腿器等配件，含真空泵。</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11.7电子防潮箱1套、恒温水箱/烤箱1台</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11.8巡检仪1台；个人剂量报警仪2套；固定式剂量报警仪1套</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11.9空气气压盒1个；示波器1台；维修工具1套</w:t>
      </w:r>
      <w:r/>
    </w:p>
    <w:p>
      <w:pPr>
        <w:pStyle w:val="815"/>
        <w:ind w:firstLine="482"/>
        <w:spacing w:line="360" w:lineRule="auto"/>
        <w:rPr>
          <w:rFonts w:hint="eastAsia" w:cs="宋体" w:asciiTheme="minorEastAsia" w:hAnsiTheme="minorEastAsia" w:eastAsiaTheme="minorEastAsia"/>
          <w:b/>
          <w:color w:val="auto"/>
          <w:sz w:val="24"/>
          <w:lang w:val="en-US" w:eastAsia="zh-CN"/>
        </w:rPr>
      </w:pPr>
      <w:r>
        <w:rPr>
          <w:rFonts w:hint="eastAsia" w:cs="宋体" w:asciiTheme="minorEastAsia" w:hAnsiTheme="minorEastAsia" w:eastAsiaTheme="minorEastAsia"/>
          <w:b/>
          <w:color w:val="auto"/>
          <w:sz w:val="24"/>
          <w:lang w:val="en-US" w:eastAsia="zh-CN"/>
        </w:rPr>
        <w:t xml:space="preserve">三、机房建设要求：</w:t>
      </w:r>
      <w:r/>
    </w:p>
    <w:p>
      <w:pPr>
        <w:ind w:firstLine="482"/>
        <w:jc w:val="left"/>
        <w:spacing w:line="360" w:lineRule="auto"/>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中标人或委托具备相关资质的第三方机构负责建设符合设备使用环境的机房建设施工。机房建设主要涵盖主体建设、辐射防护、专业配套、装饰装修。需包含项目自立项至项目取得竣工验收投入使用、资料移交城建档案馆全部费用及政府相关部门要求的配套费缴纳。施工必须取得相关许可证后方可施工。项目施工包含地下全部管网（含供暖管道）改线及道路恢复。工程建设需满足国家相关标准规范要求。</w:t>
      </w:r>
      <w:r/>
    </w:p>
    <w:p>
      <w:pPr>
        <w:ind w:firstLine="482"/>
        <w:jc w:val="left"/>
        <w:spacing w:line="360" w:lineRule="auto"/>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主体建设：两层；辐射防护工程：墙顶地、门窗、管线穿墙防护等满足直线加速器防辐射要求及国家相关强制标准；供应商负责项目建设所有辐射环境影响评价、环评竣工验收、职业病防护预控评等工作，直至取得相关行政主管部门批复许可。</w:t>
      </w:r>
      <w:r/>
    </w:p>
    <w:p>
      <w:pPr>
        <w:ind w:firstLine="482"/>
        <w:jc w:val="left"/>
        <w:spacing w:line="360" w:lineRule="auto"/>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2.专业配套工程：①专用供电系统：从医院住院部配电间引专线电缆至新建建筑内，以及满足新建建筑使用的配套强弱电系统。②空调系统：机房安装独立恒温恒湿空调；其他功能用房配备中央空调系统；③通风系统：设置机械排风+自然进风；进风口做防辐射封堵。④给排水工程：满足功能用房及机房的给排水，涉及卫生间污水的需满足环保相关规范；⑤弱电与智能化系统。</w:t>
      </w:r>
      <w:r/>
    </w:p>
    <w:p>
      <w:pPr>
        <w:ind w:firstLine="482"/>
        <w:jc w:val="left"/>
        <w:spacing w:line="360" w:lineRule="auto"/>
        <w:rPr>
          <w:rFonts w:hint="eastAsia" w:cs="宋体" w:asciiTheme="minorEastAsia" w:hAnsiTheme="minorEastAsia"/>
          <w:sz w:val="24"/>
          <w:szCs w:val="24"/>
          <w:highlight w:val="yellow"/>
          <w:lang w:val="en-US" w:eastAsia="zh-CN"/>
        </w:rPr>
      </w:pPr>
      <w:r>
        <w:rPr>
          <w:rFonts w:hint="eastAsia" w:cs="宋体" w:asciiTheme="minorEastAsia" w:hAnsiTheme="minorEastAsia"/>
          <w:sz w:val="24"/>
          <w:szCs w:val="24"/>
          <w:highlight w:val="none"/>
          <w:lang w:val="en-US" w:eastAsia="zh-CN"/>
        </w:rPr>
        <w:t xml:space="preserve">★3.消防系统：遵循GB50016、GB50140、GB51039等规范，根据国家相关规范标准，配置气体灭火系统，消防设计及配置符合国家相关标准及验收要求，满足采购人使用需求。</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4.装饰装修：需按照所选设备型号要求对整栋机房建筑（含内装、外立面装修等）装修，使其满足设备安装条件。装饰装修选材需满足环保、防火、耐磨、易清洁、防辐射、防静电等要求，符合国家相关规定。</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5.所有施工方案、施工图纸、效果图、工程清单等设计文件需报采购人审核认可后方可实施。</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机房建设过程中涉及隐蔽工程，应报采购人验收合格后方可进行后续工序施工，建设完成后，辐射防护工程需取得第三方具有相关资质的检测机构出具的检测报告，工程整体进度需报采购人验收、并由采购人书面签字认可。</w:t>
      </w:r>
      <w:r/>
    </w:p>
    <w:p>
      <w:pPr>
        <w:pStyle w:val="797"/>
        <w:rPr>
          <w:rFonts w:hint="default" w:cs="宋体" w:asciiTheme="minorEastAsia" w:hAnsiTheme="minorEastAsia" w:eastAsiaTheme="minorEastAsia"/>
          <w:b/>
          <w:color w:val="ff0000"/>
          <w:sz w:val="24"/>
          <w:szCs w:val="24"/>
          <w:highlight w:val="none"/>
          <w:lang w:val="en-US" w:eastAsia="zh-CN" w:bidi="ar-SA"/>
        </w:rPr>
      </w:pPr>
      <w:r>
        <w:rPr>
          <w:rFonts w:hint="eastAsia" w:cs="宋体" w:asciiTheme="minorEastAsia" w:hAnsiTheme="minorEastAsia" w:eastAsiaTheme="minorEastAsia"/>
          <w:b/>
          <w:color w:val="ff0000"/>
          <w:sz w:val="24"/>
          <w:szCs w:val="24"/>
          <w:highlight w:val="none"/>
          <w:lang w:val="en-US" w:eastAsia="zh-CN" w:bidi="ar-SA"/>
        </w:rPr>
        <w:t xml:space="preserve">注：投标人须承诺满足以上6款机房建设实施要求，提供承诺函（格式自拟）加盖公章。未提供承诺函或承诺函内容缺失视为不满足招标文件要求。</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四</w:t>
      </w:r>
      <w:r>
        <w:rPr>
          <w:rFonts w:hint="eastAsia" w:cs="宋体" w:asciiTheme="minorEastAsia" w:hAnsiTheme="minorEastAsia" w:eastAsiaTheme="minorEastAsia"/>
          <w:b/>
          <w:color w:val="auto"/>
          <w:sz w:val="24"/>
        </w:rPr>
        <w:t xml:space="preserve">、供货要求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交货期：合同签订生效之日起5个月内交付采购人使用。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投标人须提供操作手册,维护手册等。</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五</w:t>
      </w:r>
      <w:r>
        <w:rPr>
          <w:rFonts w:hint="eastAsia" w:cs="宋体" w:asciiTheme="minorEastAsia" w:hAnsiTheme="minorEastAsia" w:eastAsiaTheme="minorEastAsia"/>
          <w:b/>
          <w:color w:val="auto"/>
          <w:sz w:val="24"/>
        </w:rPr>
        <w:t xml:space="preserve">、安装调试要求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所有货物的款式、设计、版型、颜色需经采购人认可后方可生产供货。</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10、</w:t>
      </w:r>
      <w:r>
        <w:rPr>
          <w:rFonts w:hint="eastAsia" w:cs="宋体" w:asciiTheme="minorEastAsia" w:hAnsiTheme="minorEastAsia"/>
          <w:sz w:val="24"/>
          <w:szCs w:val="24"/>
        </w:rPr>
        <w:t xml:space="preserve">在货物到达采购人指定地点后,投标人须在7天内派专业工程师到达现场,提供安装、调试等服务,协助采购人组织验收，并承担相关费用。</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六</w:t>
      </w:r>
      <w:r>
        <w:rPr>
          <w:rFonts w:hint="eastAsia" w:cs="宋体" w:asciiTheme="minorEastAsia" w:hAnsiTheme="minorEastAsia" w:eastAsiaTheme="minorEastAsia"/>
          <w:b/>
          <w:color w:val="auto"/>
          <w:sz w:val="24"/>
        </w:rPr>
        <w:t xml:space="preserve">、国家或行业相关规范标准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必须通过国家安装规范和验收规范。</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七</w:t>
      </w:r>
      <w:r>
        <w:rPr>
          <w:rFonts w:hint="eastAsia" w:cs="宋体" w:asciiTheme="minorEastAsia" w:hAnsiTheme="minorEastAsia" w:eastAsiaTheme="minorEastAsia"/>
          <w:b/>
          <w:color w:val="auto"/>
          <w:sz w:val="24"/>
        </w:rPr>
        <w:t xml:space="preserve">、人员配备要求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八</w:t>
      </w:r>
      <w:r>
        <w:rPr>
          <w:rFonts w:hint="eastAsia" w:cs="宋体" w:asciiTheme="minorEastAsia" w:hAnsiTheme="minorEastAsia" w:eastAsiaTheme="minorEastAsia"/>
          <w:b/>
          <w:color w:val="auto"/>
          <w:sz w:val="24"/>
        </w:rPr>
        <w:t xml:space="preserve">、履约验收要求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验收时中标人必须在现场，验收完毕后作出验收结果报告。对技术复杂的项目，采购人可组织有关部门和专家进行验收，相关费用由采购人和中标人双方协商解决。</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九</w:t>
      </w:r>
      <w:r>
        <w:rPr>
          <w:rFonts w:hint="eastAsia" w:cs="宋体" w:asciiTheme="minorEastAsia" w:hAnsiTheme="minorEastAsia" w:eastAsiaTheme="minorEastAsia"/>
          <w:b/>
          <w:color w:val="auto"/>
          <w:sz w:val="24"/>
        </w:rPr>
        <w:t xml:space="preserve">、培训要求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投标人在投标时须对产品质量及服务做出维保承诺，为采购人提供人员培训计划，所需费用含本次报价中。</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十</w:t>
      </w:r>
      <w:r>
        <w:rPr>
          <w:rFonts w:hint="eastAsia" w:cs="宋体" w:asciiTheme="minorEastAsia" w:hAnsiTheme="minorEastAsia" w:eastAsiaTheme="minorEastAsia"/>
          <w:b/>
          <w:color w:val="auto"/>
          <w:sz w:val="24"/>
        </w:rPr>
        <w:t xml:space="preserve">、售后服务要求</w:t>
      </w:r>
      <w:r/>
    </w:p>
    <w:p>
      <w:pPr>
        <w:ind w:firstLine="482"/>
        <w:spacing w:line="360" w:lineRule="auto"/>
        <w:rPr>
          <w:rFonts w:hint="eastAsia" w:cs="宋体" w:asciiTheme="minorEastAsia" w:hAnsiTheme="minorEastAsia"/>
          <w:sz w:val="24"/>
        </w:rPr>
      </w:pPr>
      <w:r>
        <w:rPr>
          <w:rFonts w:hint="eastAsia" w:cs="宋体" w:asciiTheme="minorEastAsia" w:hAnsiTheme="minorEastAsia"/>
          <w:sz w:val="24"/>
          <w:szCs w:val="24"/>
        </w:rPr>
        <w:t xml:space="preserve">★</w:t>
      </w: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质保期：</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设备原厂质保期不少于贰年；</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机房建设主体结构工程为设计文件规定的合理使用年限，防水工程不少于伍年，其他专业工程不少于贰年，工程缺陷责任期为24个月</w:t>
      </w:r>
      <w:r>
        <w:rPr>
          <w:rFonts w:hint="eastAsia" w:cs="宋体" w:asciiTheme="minorEastAsia" w:hAnsiTheme="minorEastAsia"/>
          <w:sz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在质保期内，中标人应无条件提供产品维修及保养服务</w:t>
      </w:r>
      <w:r>
        <w:rPr>
          <w:rFonts w:hint="eastAsia" w:cs="宋体" w:asciiTheme="minorEastAsia" w:hAnsiTheme="minorEastAsia"/>
          <w:color w:val="auto"/>
          <w:sz w:val="24"/>
          <w:szCs w:val="24"/>
        </w:rPr>
        <w:t xml:space="preserve">。</w:t>
      </w:r>
      <w:r>
        <w:rPr>
          <w:rFonts w:hint="eastAsia" w:cs="宋体" w:asciiTheme="minorEastAsia" w:hAnsiTheme="minorEastAsia"/>
          <w:sz w:val="24"/>
          <w:szCs w:val="24"/>
        </w:rPr>
        <w:t xml:space="preserve">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合同约上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培训需使产品使用人充分了解产品构成、基本原理，并熟练掌握产品的安装、运行和维护等。</w:t>
      </w:r>
      <w:r/>
    </w:p>
    <w:p>
      <w:pPr>
        <w:pStyle w:val="815"/>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8、</w:t>
      </w:r>
      <w:r>
        <w:rPr>
          <w:rFonts w:hint="eastAsia" w:cs="宋体" w:asciiTheme="minorEastAsia" w:hAnsiTheme="minorEastAsia" w:eastAsiaTheme="minorEastAsia"/>
          <w:color w:val="auto"/>
          <w:sz w:val="24"/>
        </w:rPr>
        <w:t xml:space="preserve">投标人应在国内设有维修备件库,质保期满后，能根据采购人要求提供充足的备品、备件。</w:t>
      </w:r>
      <w:r/>
    </w:p>
    <w:p>
      <w:pPr>
        <w:pStyle w:val="815"/>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9、</w:t>
      </w:r>
      <w:r>
        <w:rPr>
          <w:rFonts w:hint="eastAsia" w:cs="宋体" w:asciiTheme="minorEastAsia" w:hAnsiTheme="minorEastAsia" w:eastAsiaTheme="minorEastAsia"/>
          <w:color w:val="auto"/>
          <w:sz w:val="24"/>
        </w:rPr>
        <w:t xml:space="preserve">在质保期内，中标人需对所提供的货物定期检查和保养，并且保证每年上门检修、保养一次，并出具报告，不再向采购人收取费用。</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一</w:t>
      </w:r>
      <w:r>
        <w:rPr>
          <w:rFonts w:hint="eastAsia" w:cs="宋体" w:asciiTheme="minorEastAsia" w:hAnsiTheme="minorEastAsia" w:eastAsiaTheme="minorEastAsia"/>
          <w:b/>
          <w:color w:val="auto"/>
          <w:sz w:val="24"/>
        </w:rPr>
        <w:t xml:space="preserve">、投标报价要求</w:t>
      </w:r>
      <w:r/>
    </w:p>
    <w:p>
      <w:pPr>
        <w:pStyle w:val="815"/>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 xml:space="preserve">费</w:t>
      </w:r>
      <w:r>
        <w:rPr>
          <w:rFonts w:hint="eastAsia" w:cs="宋体" w:asciiTheme="minorEastAsia" w:hAnsiTheme="minorEastAsia" w:eastAsiaTheme="minorEastAsia"/>
          <w:color w:val="auto"/>
          <w:sz w:val="24"/>
        </w:rPr>
        <w:t xml:space="preserve">用、管理费、利润、规费、满足验收规范、税金</w:t>
      </w:r>
      <w:r>
        <w:rPr>
          <w:rFonts w:hint="eastAsia" w:cs="宋体" w:asciiTheme="minorEastAsia" w:hAnsiTheme="minorEastAsia" w:eastAsiaTheme="minorEastAsia"/>
          <w:color w:val="auto"/>
          <w:sz w:val="24"/>
          <w:lang w:eastAsia="zh-CN"/>
        </w:rPr>
        <w:t xml:space="preserve">等</w:t>
      </w:r>
      <w:r>
        <w:rPr>
          <w:rFonts w:hint="eastAsia" w:cs="宋体" w:asciiTheme="minorEastAsia" w:hAnsiTheme="minorEastAsia" w:eastAsiaTheme="minorEastAsia"/>
          <w:color w:val="auto"/>
          <w:sz w:val="24"/>
        </w:rPr>
        <w:t xml:space="preserve">其他相关所有费用，除合同价款外，采购人不支付其他任何费用。</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二</w:t>
      </w:r>
      <w:r>
        <w:rPr>
          <w:rFonts w:hint="eastAsia" w:cs="宋体" w:asciiTheme="minorEastAsia" w:hAnsiTheme="minorEastAsia" w:eastAsiaTheme="minorEastAsia"/>
          <w:b/>
          <w:color w:val="auto"/>
          <w:sz w:val="24"/>
        </w:rPr>
        <w:t xml:space="preserve">、其他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w:t>
      </w: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付款方式：（1）取得相关审批材料、设备到货后，乙方应向甲方提供真实、合法的全额销售发票，甲方应向乙方支付合同总价的30％；（2）设备验收合格，且无质量问题情况下，甲方支付至合同总价的60％；（3）设备验收合格、取得竣工验收报告并公示合格后，甲方支付至合同总价的100％。</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pStyle w:val="754"/>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151625261"/>
      <w:r>
        <w:rPr>
          <w:rFonts w:hint="eastAsia" w:asciiTheme="minorEastAsia" w:hAnsiTheme="minorEastAsia" w:eastAsiaTheme="minorEastAsia"/>
          <w:color w:val="000000"/>
        </w:rPr>
        <w:t xml:space="preserve">第</w:t>
      </w:r>
      <w:r>
        <w:rPr>
          <w:rFonts w:hint="eastAsia" w:asciiTheme="minorEastAsia" w:hAnsiTheme="minorEastAsia" w:eastAsiaTheme="minorEastAsia"/>
          <w:color w:val="000000"/>
          <w:lang w:eastAsia="zh-CN"/>
        </w:rPr>
        <w:t xml:space="preserve">六</w:t>
      </w:r>
      <w:r>
        <w:rPr>
          <w:rFonts w:hint="eastAsia" w:asciiTheme="minorEastAsia" w:hAnsiTheme="minorEastAsia" w:eastAsiaTheme="minorEastAsia"/>
          <w:color w:val="000000"/>
        </w:rPr>
        <w:t xml:space="preserve">章评标办法</w:t>
      </w:r>
      <w:bookmarkEnd w:id="21"/>
      <w:r/>
      <w:bookmarkEnd w:id="24"/>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2"/>
      <w:bookmarkEnd w:id="23"/>
      <w:r/>
    </w:p>
    <w:tbl>
      <w:tblPr>
        <w:tblStyle w:val="764"/>
        <w:tblW w:w="9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2"/>
        <w:gridCol w:w="875"/>
        <w:gridCol w:w="7785"/>
        <w:gridCol w:w="652"/>
      </w:tblGrid>
      <w:tr>
        <w:trPr>
          <w:jc w:val="center"/>
          <w:trHeight w:val="300"/>
          <w:tblHeader/>
        </w:trPr>
        <w:tc>
          <w:tcPr>
            <w:shd w:val="clear" w:color="auto" w:fill="d8d8d8"/>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ind w:left="2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d8d8d8"/>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2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shd w:val="clear" w:color="auto" w:fill="d8d8d8"/>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ind w:left="2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评审细则</w:t>
            </w:r>
            <w:r/>
          </w:p>
        </w:tc>
        <w:tc>
          <w:tcPr>
            <w:shd w:val="clear" w:color="auto" w:fill="d8d8d8"/>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left="2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934"/>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价格</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满足</w:t>
            </w:r>
            <w:r>
              <w:rPr>
                <w:rFonts w:hint="eastAsia" w:cs="Times New Roman" w:asciiTheme="minorEastAsia" w:hAnsiTheme="minorEastAsia"/>
                <w:color w:val="000000"/>
                <w:sz w:val="24"/>
                <w:szCs w:val="24"/>
                <w:lang w:val="en-US" w:eastAsia="zh-CN"/>
              </w:rPr>
              <w:t xml:space="preserve">招标</w:t>
            </w:r>
            <w:r>
              <w:rPr>
                <w:rFonts w:hint="eastAsia" w:cs="Times New Roman" w:asciiTheme="minorEastAsia" w:hAnsiTheme="minorEastAsia"/>
                <w:color w:val="000000"/>
                <w:sz w:val="24"/>
                <w:szCs w:val="24"/>
              </w:rPr>
              <w:t xml:space="preserve">文件要求且最终报价最低的</w:t>
            </w:r>
            <w:r>
              <w:rPr>
                <w:rFonts w:hint="eastAsia" w:cs="Times New Roman" w:asciiTheme="minorEastAsia" w:hAnsiTheme="minorEastAsia"/>
                <w:color w:val="000000"/>
                <w:sz w:val="24"/>
                <w:szCs w:val="24"/>
                <w:lang w:val="en-US" w:eastAsia="zh-CN"/>
              </w:rPr>
              <w:t xml:space="preserve">投标</w:t>
            </w:r>
            <w:r>
              <w:rPr>
                <w:rFonts w:hint="eastAsia" w:cs="Times New Roman" w:asciiTheme="minorEastAsia" w:hAnsiTheme="minorEastAsia"/>
                <w:color w:val="000000"/>
                <w:sz w:val="24"/>
                <w:szCs w:val="24"/>
              </w:rPr>
              <w:t xml:space="preserve">报价为评审基准价，其价格分为满分</w:t>
            </w:r>
            <w:r>
              <w:rPr>
                <w:rFonts w:hint="eastAsia" w:cs="Times New Roman" w:asciiTheme="minorEastAsia" w:hAnsiTheme="minorEastAsia"/>
                <w:color w:val="000000"/>
                <w:sz w:val="24"/>
                <w:szCs w:val="24"/>
                <w:lang w:val="en-US" w:eastAsia="zh-CN"/>
              </w:rPr>
              <w:t xml:space="preserve">30</w:t>
            </w:r>
            <w:r>
              <w:rPr>
                <w:rFonts w:hint="eastAsia" w:cs="Times New Roman" w:asciiTheme="minorEastAsia" w:hAnsiTheme="minorEastAsia"/>
                <w:color w:val="000000"/>
                <w:sz w:val="24"/>
                <w:szCs w:val="24"/>
              </w:rPr>
              <w:t xml:space="preserve">分，其他</w:t>
            </w:r>
            <w:r>
              <w:rPr>
                <w:rFonts w:hint="eastAsia" w:cs="Times New Roman" w:asciiTheme="minorEastAsia" w:hAnsiTheme="minorEastAsia"/>
                <w:color w:val="000000"/>
                <w:sz w:val="24"/>
                <w:szCs w:val="24"/>
                <w:lang w:val="en-US" w:eastAsia="zh-CN"/>
              </w:rPr>
              <w:t xml:space="preserve">投标</w:t>
            </w:r>
            <w:r>
              <w:rPr>
                <w:rFonts w:hint="eastAsia" w:cs="Times New Roman" w:asciiTheme="minorEastAsia" w:hAnsiTheme="minorEastAsia"/>
                <w:color w:val="000000"/>
                <w:sz w:val="24"/>
                <w:szCs w:val="24"/>
              </w:rPr>
              <w:t xml:space="preserve">单位的价格分按照下列公式计算：报价得分=（评审基准价/最终报价）×</w:t>
            </w:r>
            <w:r>
              <w:rPr>
                <w:rFonts w:hint="eastAsia" w:cs="Times New Roman" w:asciiTheme="minorEastAsia" w:hAnsiTheme="minorEastAsia"/>
                <w:color w:val="000000"/>
                <w:sz w:val="24"/>
                <w:szCs w:val="24"/>
                <w:lang w:val="en-US" w:eastAsia="zh-CN"/>
              </w:rPr>
              <w:t xml:space="preserve">30</w:t>
            </w:r>
            <w:r>
              <w:rPr>
                <w:rFonts w:hint="eastAsia" w:cs="Times New Roman" w:asciiTheme="minorEastAsia" w:hAnsiTheme="minorEastAsia"/>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left="2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30分</w:t>
            </w:r>
            <w:r/>
          </w:p>
        </w:tc>
      </w:tr>
      <w:tr>
        <w:trPr>
          <w:jc w:val="center"/>
          <w:trHeight w:val="1486"/>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业绩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投标人提供2023年1月1日至今，所投产品的实施案例（以提供合同或有效税务发票或验收合格证明等文件原件扫描件为准），根据案例情况进行评分。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每提供一份经评委认可的实施案例得1分，最高得3分。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left="2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r>
      <w:tr>
        <w:trPr>
          <w:jc w:val="center"/>
          <w:trHeight w:val="305"/>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技术配置及参数指标</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能够响应招标文件技术要求得基准分37分；带▲标记参数每有一项负偏离减2分，其他参数每有一项负偏离减1分。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注：①带★的参数要求为实质性要求，不得产生负偏离，否则做无效文件处理。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②供应商需在技术规格偏离表内逐一列出技术参数性能等偏离情况，提供相关证明材料，包括但不限于医疗器械注册证、产品说明书、宣传彩页、国家认可的检测机构证明文件等扫描件并加盖公章，并在评分索引表中注明佐证材料页码。</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③未提供技术规格偏离表及证明材料，视为负偏离。</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37分</w:t>
            </w:r>
            <w:r/>
          </w:p>
        </w:tc>
      </w:tr>
      <w:tr>
        <w:trPr>
          <w:jc w:val="center"/>
          <w:trHeight w:val="90"/>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项目实施进度计划方案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投标人提供本项目实施进度计划方案,包括但不限于机房建设、供货、安装、调试等工作计划安排。评委进行综合评价：</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项目实施进度计划方案详细具体，可行性高，满足本项目实际需求的得3分；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上述方案有一项内容缺陷或一项明显错误或一项内容不能满足本项目实际需求的得2分。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上述方案有两处及以上内容缺陷或非专门针对本项目，或部分内容不能满足本项目实际需求的得1分。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其余情况不得分。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3分</w:t>
            </w:r>
            <w:r/>
          </w:p>
        </w:tc>
      </w:tr>
      <w:tr>
        <w:trPr>
          <w:jc w:val="center"/>
          <w:trHeight w:val="90"/>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设备安装调试方案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投标人提供本项目设备安装调试方案,包括但不限于设备运输吊装方案、安装流程、调试方案、相关保障措施等。评委进行综合评价：</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设备安装调试方案详细具体，可行性高，满足本项目实际需求的得5分；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上述方案有一项内容缺陷或一项明显错误或一项内容不能满足本项目实际需求的得3分。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上述方案有两处及以上内容缺陷或非专门针对本项目，或部分内容不能满足本项目实际需求的得1分。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其余情况不得分。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5分</w:t>
            </w:r>
            <w:r/>
          </w:p>
        </w:tc>
      </w:tr>
      <w:tr>
        <w:trPr>
          <w:jc w:val="center"/>
          <w:trHeight w:val="90"/>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项目验收方案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投标人提供本项目验收方案,包括但不限于隐蔽工程验收流程、设备安装及调试验收流程、验收方式、验收内容等。评委进行综合评价：</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项目验收方案详细具体，可行性高，满足本项目实际需求的得5分；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上述方案有一项内容缺陷或一项明显错误或一项内容不能满足本项目实际需求的得3分。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上述方案有两处及以上内容缺陷或非专门针对本项目，或部分内容不能满足本项目实际需求的得1分。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其余情况不得分。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5分</w:t>
            </w:r>
            <w:r/>
          </w:p>
        </w:tc>
      </w:tr>
      <w:tr>
        <w:trPr>
          <w:jc w:val="center"/>
          <w:trHeight w:val="90"/>
        </w:trPr>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设备质保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投标人针对本项目给出设备质保承诺。</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评委根据质保承诺内容进行评价：</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设备质保期在满足项目需求基础上，原厂质保每延长一年加2分，最高得6分。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6分</w:t>
            </w:r>
            <w:r/>
          </w:p>
        </w:tc>
      </w:tr>
      <w:tr>
        <w:trPr>
          <w:jc w:val="center"/>
          <w:trHeight w:val="681"/>
        </w:trPr>
        <w:tc>
          <w:tcPr>
            <w:tcBorders>
              <w:top w:val="single" w:color="auto" w:sz="4" w:space="0"/>
              <w:left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9</w:t>
            </w:r>
            <w:r/>
          </w:p>
        </w:tc>
        <w:tc>
          <w:tcPr>
            <w:tcBorders>
              <w:top w:val="single" w:color="auto" w:sz="4" w:space="0"/>
              <w:left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售后服务方案</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投标人提供项目售后服务方案,包括售后服务内容、响应方式、响应时间、响应流程、售后保障措施等。评委进行综合评价：</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售后服务方案详细具体，可行性高，满足本项目实际需求的得3分；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上述方案有一项内容缺陷或一项明显错误或一项内容不能满足本项目实际需求的得2分。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上述方案有两处及以上内容缺陷或非专门针对本项目，或部分内容不能满足本项目实际需求的得1分。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其余情况不得分。</w:t>
            </w:r>
            <w:r/>
          </w:p>
        </w:tc>
        <w:tc>
          <w:tcPr>
            <w:tcBorders>
              <w:top w:val="single" w:color="auto" w:sz="4" w:space="0"/>
              <w:left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3分</w:t>
            </w:r>
            <w:r/>
          </w:p>
        </w:tc>
      </w:tr>
      <w:tr>
        <w:trPr>
          <w:jc w:val="center"/>
          <w:trHeight w:val="681"/>
        </w:trPr>
        <w:tc>
          <w:tcPr>
            <w:tcBorders>
              <w:left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10</w:t>
            </w:r>
            <w:r/>
          </w:p>
        </w:tc>
        <w:tc>
          <w:tcPr>
            <w:tcBorders>
              <w:left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lang w:val="en-US" w:eastAsia="zh-CN"/>
              </w:rPr>
              <w:t xml:space="preserve">培训服务方案</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投标人提供项目培训服务方案，包括但不限于培训人员安排、时间安排、课程安排、培训形式及主要培训内容等。评委进行综合评价：</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培训服务方案详细具体，可行性高，满足本项目实际需求的得3分；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上述方案有一项内容缺陷或一项明显错误或一项内容不能满足本项目实际需求的得2分。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上述方案有两处及以上内容缺陷或非专门针对本项目，或部分内容不能满足本项目实际需求的得1分。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其余情况不得分。</w:t>
            </w:r>
            <w:r/>
          </w:p>
        </w:tc>
        <w:tc>
          <w:tcPr>
            <w:tcBorders>
              <w:left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3分</w:t>
            </w:r>
            <w:r/>
          </w:p>
        </w:tc>
      </w:tr>
      <w:tr>
        <w:trPr>
          <w:jc w:val="center"/>
          <w:trHeight w:val="681"/>
        </w:trPr>
        <w:tc>
          <w:tcPr>
            <w:tcBorders>
              <w:left w:val="single" w:color="auto" w:sz="4" w:space="0"/>
              <w:bottom w:val="single" w:color="auto" w:sz="4" w:space="0"/>
              <w:right w:val="single" w:color="auto" w:sz="4" w:space="0"/>
            </w:tcBorders>
            <w:tcW w:w="59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11</w:t>
            </w:r>
            <w:r/>
          </w:p>
        </w:tc>
        <w:tc>
          <w:tcPr>
            <w:tcBorders>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延伸服务方案</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投标人提供延伸服务方案，包括但不限于在满足设备原有功能基础上进行功能升级、配置增加等，在方案中需提供承诺函（格式自拟）等相关证明材料，延伸服务内容需得到评委认可。评委进行综合评价：</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延伸服务方案详细具体，可行性高，满足本项目实际需求的得5分；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上述方案有一项内容缺陷或一项明显错误或一项内容不能满足本项目实际需求的得3分。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上述方案有两处及以上内容缺陷或非专门针对本项目，或部分内容不能满足本项目实际需求的得1分。</w:t>
            </w:r>
            <w:r/>
          </w:p>
          <w:p>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其余情况不得分。</w:t>
            </w:r>
            <w:r/>
          </w:p>
        </w:tc>
        <w:tc>
          <w:tcPr>
            <w:tcBorders>
              <w:left w:val="single" w:color="auto" w:sz="4" w:space="0"/>
              <w:bottom w:val="single" w:color="auto" w:sz="4" w:space="0"/>
              <w:right w:val="single" w:color="auto" w:sz="4" w:space="0"/>
            </w:tcBorders>
            <w:tcW w:w="652" w:type="dxa"/>
            <w:vAlign w:val="center"/>
            <w:textDirection w:val="lrTb"/>
            <w:noWrap w:val="false"/>
          </w:tcPr>
          <w:p>
            <w:pPr>
              <w:jc w:val="center"/>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5分</w:t>
            </w:r>
            <w:r/>
          </w:p>
        </w:tc>
      </w:tr>
    </w:tbl>
    <w:p>
      <w:pPr>
        <w:pStyle w:val="789"/>
        <w:rPr>
          <w:rFonts w:hint="eastAsia"/>
        </w:rPr>
      </w:pPr>
      <w:r>
        <w:rPr>
          <w:rFonts w:hint="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MS Mincho">
    <w:panose1 w:val="0202060305040509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56"/>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5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3"/>
    <w:link w:val="754"/>
    <w:uiPriority w:val="9"/>
    <w:rPr>
      <w:rFonts w:ascii="Arial" w:hAnsi="Arial" w:eastAsia="Arial" w:cs="Arial"/>
      <w:sz w:val="40"/>
      <w:szCs w:val="40"/>
    </w:rPr>
  </w:style>
  <w:style w:type="character" w:styleId="15">
    <w:name w:val="Heading 2 Char"/>
    <w:basedOn w:val="763"/>
    <w:link w:val="755"/>
    <w:uiPriority w:val="9"/>
    <w:rPr>
      <w:rFonts w:ascii="Arial" w:hAnsi="Arial" w:eastAsia="Arial" w:cs="Arial"/>
      <w:sz w:val="34"/>
    </w:rPr>
  </w:style>
  <w:style w:type="character" w:styleId="17">
    <w:name w:val="Heading 3 Char"/>
    <w:basedOn w:val="763"/>
    <w:link w:val="756"/>
    <w:uiPriority w:val="9"/>
    <w:rPr>
      <w:rFonts w:ascii="Arial" w:hAnsi="Arial" w:eastAsia="Arial" w:cs="Arial"/>
      <w:sz w:val="30"/>
      <w:szCs w:val="30"/>
    </w:rPr>
  </w:style>
  <w:style w:type="character" w:styleId="19">
    <w:name w:val="Heading 4 Char"/>
    <w:basedOn w:val="763"/>
    <w:link w:val="757"/>
    <w:uiPriority w:val="9"/>
    <w:rPr>
      <w:rFonts w:ascii="Arial" w:hAnsi="Arial" w:eastAsia="Arial" w:cs="Arial"/>
      <w:b/>
      <w:bCs/>
      <w:sz w:val="26"/>
      <w:szCs w:val="26"/>
    </w:rPr>
  </w:style>
  <w:style w:type="character" w:styleId="21">
    <w:name w:val="Heading 5 Char"/>
    <w:basedOn w:val="763"/>
    <w:link w:val="758"/>
    <w:uiPriority w:val="9"/>
    <w:rPr>
      <w:rFonts w:ascii="Arial" w:hAnsi="Arial" w:eastAsia="Arial" w:cs="Arial"/>
      <w:b/>
      <w:bCs/>
      <w:sz w:val="24"/>
      <w:szCs w:val="24"/>
    </w:rPr>
  </w:style>
  <w:style w:type="character" w:styleId="23">
    <w:name w:val="Heading 6 Char"/>
    <w:basedOn w:val="763"/>
    <w:link w:val="759"/>
    <w:uiPriority w:val="9"/>
    <w:rPr>
      <w:rFonts w:ascii="Arial" w:hAnsi="Arial" w:eastAsia="Arial" w:cs="Arial"/>
      <w:b/>
      <w:bCs/>
      <w:sz w:val="22"/>
      <w:szCs w:val="22"/>
    </w:rPr>
  </w:style>
  <w:style w:type="character" w:styleId="25">
    <w:name w:val="Heading 7 Char"/>
    <w:basedOn w:val="763"/>
    <w:link w:val="760"/>
    <w:uiPriority w:val="9"/>
    <w:rPr>
      <w:rFonts w:ascii="Arial" w:hAnsi="Arial" w:eastAsia="Arial" w:cs="Arial"/>
      <w:b/>
      <w:bCs/>
      <w:i/>
      <w:iCs/>
      <w:sz w:val="22"/>
      <w:szCs w:val="22"/>
    </w:rPr>
  </w:style>
  <w:style w:type="character" w:styleId="27">
    <w:name w:val="Heading 8 Char"/>
    <w:basedOn w:val="763"/>
    <w:link w:val="761"/>
    <w:uiPriority w:val="9"/>
    <w:rPr>
      <w:rFonts w:ascii="Arial" w:hAnsi="Arial" w:eastAsia="Arial" w:cs="Arial"/>
      <w:i/>
      <w:iCs/>
      <w:sz w:val="22"/>
      <w:szCs w:val="22"/>
    </w:rPr>
  </w:style>
  <w:style w:type="character" w:styleId="29">
    <w:name w:val="Heading 9 Char"/>
    <w:basedOn w:val="763"/>
    <w:link w:val="7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3"/>
    <w:link w:val="787"/>
    <w:uiPriority w:val="10"/>
    <w:rPr>
      <w:sz w:val="48"/>
      <w:szCs w:val="48"/>
    </w:rPr>
  </w:style>
  <w:style w:type="character" w:styleId="36">
    <w:name w:val="Subtitle Char"/>
    <w:basedOn w:val="763"/>
    <w:link w:val="780"/>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763"/>
    <w:link w:val="777"/>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777"/>
    <w:uiPriority w:val="99"/>
  </w:style>
  <w:style w:type="table" w:styleId="48">
    <w:name w:val="Table Grid Light"/>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3"/>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3"/>
    <w:uiPriority w:val="99"/>
    <w:semiHidden/>
    <w:unhideWhenUsed/>
    <w:rPr>
      <w:vertAlign w:val="superscript"/>
    </w:r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4">
    <w:name w:val="Heading 1"/>
    <w:basedOn w:val="753"/>
    <w:next w:val="753"/>
    <w:link w:val="802"/>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55">
    <w:name w:val="Heading 2"/>
    <w:basedOn w:val="753"/>
    <w:next w:val="753"/>
    <w:link w:val="803"/>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56">
    <w:name w:val="Heading 3"/>
    <w:basedOn w:val="753"/>
    <w:next w:val="753"/>
    <w:link w:val="804"/>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57">
    <w:name w:val="Heading 4"/>
    <w:basedOn w:val="753"/>
    <w:next w:val="753"/>
    <w:link w:val="805"/>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58">
    <w:name w:val="Heading 5"/>
    <w:basedOn w:val="753"/>
    <w:next w:val="753"/>
    <w:link w:val="810"/>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59">
    <w:name w:val="Heading 6"/>
    <w:basedOn w:val="753"/>
    <w:next w:val="753"/>
    <w:link w:val="811"/>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60">
    <w:name w:val="Heading 7"/>
    <w:basedOn w:val="753"/>
    <w:next w:val="753"/>
    <w:link w:val="812"/>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61">
    <w:name w:val="Heading 8"/>
    <w:basedOn w:val="753"/>
    <w:next w:val="753"/>
    <w:link w:val="813"/>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62">
    <w:name w:val="Heading 9"/>
    <w:basedOn w:val="753"/>
    <w:next w:val="753"/>
    <w:link w:val="814"/>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0"/>
    <w:qFormat/>
    <w:pPr>
      <w:jc w:val="left"/>
    </w:pPr>
    <w:rPr>
      <w:rFonts w:ascii="Times New Roman" w:hAnsi="Times New Roman" w:eastAsia="宋体" w:cs="Times New Roman"/>
      <w:spacing w:val="-35"/>
      <w:szCs w:val="24"/>
    </w:rPr>
  </w:style>
  <w:style w:type="paragraph" w:styleId="766">
    <w:name w:val="Document Map"/>
    <w:basedOn w:val="753"/>
    <w:link w:val="825"/>
    <w:uiPriority w:val="99"/>
    <w:semiHidden/>
    <w:unhideWhenUsed/>
    <w:qFormat/>
    <w:rPr>
      <w:rFonts w:ascii="宋体" w:eastAsia="宋体"/>
      <w:sz w:val="18"/>
      <w:szCs w:val="18"/>
    </w:rPr>
  </w:style>
  <w:style w:type="paragraph" w:styleId="767">
    <w:name w:val="annotation text"/>
    <w:basedOn w:val="753"/>
    <w:link w:val="817"/>
    <w:uiPriority w:val="0"/>
    <w:qFormat/>
    <w:pPr>
      <w:ind w:firstLine="922"/>
      <w:jc w:val="left"/>
      <w:spacing w:line="360" w:lineRule="auto"/>
    </w:pPr>
    <w:rPr>
      <w:rFonts w:ascii="Times New Roman" w:hAnsi="Times New Roman" w:eastAsia="宋体" w:cs="Times New Roman"/>
      <w:szCs w:val="24"/>
    </w:rPr>
  </w:style>
  <w:style w:type="paragraph" w:styleId="768">
    <w:name w:val="Body Text 3"/>
    <w:basedOn w:val="753"/>
    <w:link w:val="828"/>
    <w:uiPriority w:val="0"/>
    <w:qFormat/>
    <w:pPr>
      <w:spacing w:after="120"/>
    </w:pPr>
    <w:rPr>
      <w:rFonts w:ascii="Times New Roman" w:hAnsi="Times New Roman" w:eastAsia="宋体" w:cs="Times New Roman"/>
      <w:sz w:val="16"/>
      <w:szCs w:val="16"/>
    </w:rPr>
  </w:style>
  <w:style w:type="paragraph" w:styleId="769">
    <w:name w:val="Body Text"/>
    <w:basedOn w:val="753"/>
    <w:next w:val="753"/>
    <w:uiPriority w:val="0"/>
    <w:qFormat/>
    <w:rPr>
      <w:rFonts w:ascii="金山简黑体" w:hAnsi="Courier New" w:eastAsia="金山简黑体"/>
      <w:b/>
      <w:spacing w:val="-8"/>
      <w:sz w:val="44"/>
      <w:szCs w:val="20"/>
    </w:rPr>
  </w:style>
  <w:style w:type="paragraph" w:styleId="770">
    <w:name w:val="Body Text Indent"/>
    <w:basedOn w:val="753"/>
    <w:link w:val="829"/>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771">
    <w:name w:val="List 2"/>
    <w:basedOn w:val="753"/>
    <w:uiPriority w:val="0"/>
    <w:qFormat/>
    <w:pPr>
      <w:ind w:left="840" w:hanging="420"/>
    </w:pPr>
    <w:rPr>
      <w:rFonts w:ascii="隶书" w:hAnsi="Times New Roman" w:eastAsia="仿宋_GB2312" w:cs="Times New Roman"/>
      <w:color w:val="000000"/>
      <w:sz w:val="32"/>
      <w:szCs w:val="20"/>
    </w:rPr>
  </w:style>
  <w:style w:type="paragraph" w:styleId="772">
    <w:name w:val="toc 3"/>
    <w:basedOn w:val="753"/>
    <w:next w:val="753"/>
    <w:uiPriority w:val="39"/>
    <w:unhideWhenUsed/>
    <w:qFormat/>
    <w:pPr>
      <w:ind w:left="420" w:firstLine="922"/>
      <w:jc w:val="left"/>
      <w:spacing w:line="360" w:lineRule="auto"/>
    </w:pPr>
    <w:rPr>
      <w:rFonts w:ascii="Calibri" w:hAnsi="Calibri" w:eastAsia="宋体" w:cs="Times New Roman"/>
      <w:sz w:val="20"/>
      <w:szCs w:val="20"/>
    </w:rPr>
  </w:style>
  <w:style w:type="paragraph" w:styleId="773">
    <w:name w:val="Plain Text"/>
    <w:basedOn w:val="753"/>
    <w:link w:val="807"/>
    <w:uiPriority w:val="0"/>
    <w:qFormat/>
    <w:pPr>
      <w:ind w:firstLine="922"/>
      <w:spacing w:line="360" w:lineRule="auto"/>
    </w:pPr>
    <w:rPr>
      <w:rFonts w:ascii="宋体" w:hAnsi="Courier New"/>
    </w:rPr>
  </w:style>
  <w:style w:type="paragraph" w:styleId="774">
    <w:name w:val="Date"/>
    <w:basedOn w:val="753"/>
    <w:next w:val="753"/>
    <w:link w:val="830"/>
    <w:uiPriority w:val="0"/>
    <w:qFormat/>
    <w:pPr>
      <w:ind w:left="100"/>
    </w:pPr>
    <w:rPr>
      <w:rFonts w:ascii="仿宋_GB2312" w:hAnsi="Times New Roman" w:eastAsia="仿宋_GB2312" w:cs="Times New Roman"/>
      <w:sz w:val="32"/>
      <w:szCs w:val="24"/>
    </w:rPr>
  </w:style>
  <w:style w:type="paragraph" w:styleId="775">
    <w:name w:val="Body Text Indent 2"/>
    <w:basedOn w:val="753"/>
    <w:link w:val="831"/>
    <w:uiPriority w:val="0"/>
    <w:qFormat/>
    <w:pPr>
      <w:ind w:firstLine="645"/>
      <w:spacing w:line="440" w:lineRule="exact"/>
    </w:pPr>
    <w:rPr>
      <w:rFonts w:ascii="Times New Roman" w:hAnsi="Times New Roman" w:eastAsia="仿宋_GB2312" w:cs="Times New Roman"/>
      <w:sz w:val="32"/>
      <w:szCs w:val="24"/>
    </w:rPr>
  </w:style>
  <w:style w:type="paragraph" w:styleId="776">
    <w:name w:val="Balloon Text"/>
    <w:basedOn w:val="753"/>
    <w:link w:val="818"/>
    <w:uiPriority w:val="0"/>
    <w:semiHidden/>
    <w:qFormat/>
    <w:pPr>
      <w:ind w:firstLine="922"/>
    </w:pPr>
    <w:rPr>
      <w:rFonts w:ascii="Times New Roman" w:hAnsi="Times New Roman" w:eastAsia="宋体" w:cs="Times New Roman"/>
      <w:sz w:val="18"/>
      <w:szCs w:val="18"/>
    </w:rPr>
  </w:style>
  <w:style w:type="paragraph" w:styleId="777">
    <w:name w:val="Footer"/>
    <w:basedOn w:val="753"/>
    <w:link w:val="83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78">
    <w:name w:val="Header"/>
    <w:basedOn w:val="753"/>
    <w:link w:val="83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79">
    <w:name w:val="toc 1"/>
    <w:basedOn w:val="753"/>
    <w:next w:val="753"/>
    <w:uiPriority w:val="39"/>
    <w:qFormat/>
    <w:pPr>
      <w:ind w:firstLine="922"/>
      <w:jc w:val="left"/>
      <w:spacing w:before="120" w:line="360" w:lineRule="auto"/>
    </w:pPr>
    <w:rPr>
      <w:rFonts w:ascii="Calibri" w:hAnsi="Calibri" w:eastAsia="宋体" w:cs="Times New Roman"/>
      <w:b/>
      <w:bCs/>
      <w:i/>
      <w:iCs/>
      <w:sz w:val="24"/>
      <w:szCs w:val="24"/>
    </w:rPr>
  </w:style>
  <w:style w:type="paragraph" w:styleId="780">
    <w:name w:val="Subtitle"/>
    <w:basedOn w:val="753"/>
    <w:next w:val="753"/>
    <w:link w:val="806"/>
    <w:uiPriority w:val="0"/>
    <w:qFormat/>
    <w:pPr>
      <w:ind w:firstLine="922"/>
      <w:jc w:val="center"/>
      <w:spacing w:before="240" w:after="60" w:line="312" w:lineRule="auto"/>
      <w:outlineLvl w:val="1"/>
    </w:pPr>
    <w:rPr>
      <w:rFonts w:ascii="Cambria" w:hAnsi="Cambria"/>
      <w:b/>
      <w:bCs/>
      <w:sz w:val="32"/>
      <w:szCs w:val="32"/>
    </w:rPr>
  </w:style>
  <w:style w:type="paragraph" w:styleId="781">
    <w:name w:val="Body Text Indent 3"/>
    <w:basedOn w:val="753"/>
    <w:link w:val="835"/>
    <w:uiPriority w:val="0"/>
    <w:qFormat/>
    <w:pPr>
      <w:ind w:firstLine="800"/>
      <w:spacing w:line="360" w:lineRule="auto"/>
    </w:pPr>
    <w:rPr>
      <w:rFonts w:ascii="仿宋_GB2312" w:hAnsi="华文中宋" w:eastAsia="仿宋_GB2312" w:cs="Times New Roman"/>
      <w:sz w:val="32"/>
      <w:szCs w:val="32"/>
    </w:rPr>
  </w:style>
  <w:style w:type="paragraph" w:styleId="782">
    <w:name w:val="toc 2"/>
    <w:basedOn w:val="753"/>
    <w:next w:val="753"/>
    <w:uiPriority w:val="39"/>
    <w:unhideWhenUsed/>
    <w:qFormat/>
    <w:pPr>
      <w:ind w:left="210" w:firstLine="922"/>
      <w:jc w:val="left"/>
      <w:spacing w:before="120" w:line="360" w:lineRule="auto"/>
    </w:pPr>
    <w:rPr>
      <w:rFonts w:ascii="Calibri" w:hAnsi="Calibri" w:eastAsia="宋体" w:cs="Times New Roman"/>
      <w:b/>
      <w:bCs/>
      <w:sz w:val="22"/>
    </w:rPr>
  </w:style>
  <w:style w:type="paragraph" w:styleId="783">
    <w:name w:val="Body Text 2"/>
    <w:basedOn w:val="753"/>
    <w:link w:val="836"/>
    <w:uiPriority w:val="0"/>
    <w:qFormat/>
    <w:pPr>
      <w:jc w:val="center"/>
    </w:pPr>
    <w:rPr>
      <w:rFonts w:ascii="Times New Roman" w:hAnsi="Times New Roman" w:eastAsia="宋体" w:cs="Times New Roman"/>
      <w:szCs w:val="24"/>
    </w:rPr>
  </w:style>
  <w:style w:type="paragraph" w:styleId="784">
    <w:name w:val="HTML Preformatted"/>
    <w:basedOn w:val="753"/>
    <w:link w:val="819"/>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85">
    <w:name w:val="Normal (Web)"/>
    <w:basedOn w:val="753"/>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86">
    <w:name w:val="index 1"/>
    <w:basedOn w:val="753"/>
    <w:next w:val="753"/>
    <w:uiPriority w:val="0"/>
    <w:qFormat/>
    <w:pPr>
      <w:ind w:firstLine="200"/>
      <w:spacing w:line="360" w:lineRule="auto"/>
    </w:pPr>
    <w:rPr>
      <w:rFonts w:ascii="Times New Roman" w:hAnsi="Times New Roman" w:eastAsia="宋体" w:cs="Times New Roman"/>
      <w:szCs w:val="24"/>
    </w:rPr>
  </w:style>
  <w:style w:type="paragraph" w:styleId="787">
    <w:name w:val="Title"/>
    <w:basedOn w:val="753"/>
    <w:next w:val="753"/>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788">
    <w:name w:val="annotation subject"/>
    <w:basedOn w:val="767"/>
    <w:next w:val="767"/>
    <w:link w:val="824"/>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789">
    <w:name w:val="Body Text First Indent 2"/>
    <w:uiPriority w:val="0"/>
    <w:qFormat/>
    <w:pPr>
      <w:ind w:left="420" w:firstLine="210"/>
      <w:jc w:val="both"/>
      <w:spacing w:after="120"/>
      <w:widowControl w:val="off"/>
    </w:pPr>
    <w:rPr>
      <w:rFonts w:ascii="等线" w:hAnsi="等线" w:eastAsia="等线" w:cs="等线"/>
      <w:sz w:val="24"/>
      <w:szCs w:val="21"/>
      <w:lang w:val="en-US" w:eastAsia="zh-CN" w:bidi="ar-SA"/>
    </w:rPr>
  </w:style>
  <w:style w:type="table" w:styleId="790">
    <w:name w:val="Table Grid"/>
    <w:basedOn w:val="764"/>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uiPriority w:val="0"/>
    <w:qFormat/>
    <w:rPr>
      <w:b/>
      <w:bCs/>
    </w:rPr>
  </w:style>
  <w:style w:type="character" w:styleId="792">
    <w:name w:val="page number"/>
    <w:uiPriority w:val="0"/>
    <w:qFormat/>
  </w:style>
  <w:style w:type="character" w:styleId="793">
    <w:name w:val="FollowedHyperlink"/>
    <w:uiPriority w:val="0"/>
    <w:unhideWhenUsed/>
    <w:qFormat/>
    <w:rPr>
      <w:color w:val="800080"/>
      <w:u w:val="single"/>
    </w:rPr>
  </w:style>
  <w:style w:type="character" w:styleId="794">
    <w:name w:val="Emphasis"/>
    <w:basedOn w:val="763"/>
    <w:uiPriority w:val="20"/>
    <w:qFormat/>
    <w:rPr>
      <w:i/>
    </w:rPr>
  </w:style>
  <w:style w:type="character" w:styleId="795">
    <w:name w:val="Hyperlink"/>
    <w:uiPriority w:val="99"/>
    <w:qFormat/>
    <w:rPr>
      <w:color w:val="0000ff"/>
      <w:u w:val="single"/>
    </w:rPr>
  </w:style>
  <w:style w:type="character" w:styleId="796">
    <w:name w:val="annotation reference"/>
    <w:uiPriority w:val="0"/>
    <w:qFormat/>
    <w:rPr>
      <w:sz w:val="21"/>
      <w:szCs w:val="21"/>
    </w:rPr>
  </w:style>
  <w:style w:type="paragraph" w:styleId="797" w:customStyle="1">
    <w:name w:val="正文缩进1"/>
    <w:basedOn w:val="753"/>
    <w:uiPriority w:val="0"/>
    <w:unhideWhenUsed/>
    <w:qFormat/>
    <w:pPr>
      <w:ind w:firstLine="420"/>
      <w:jc w:val="left"/>
    </w:pPr>
    <w:rPr>
      <w:rFonts w:ascii="楷体_GB2312" w:eastAsia="楷体_GB2312"/>
      <w:sz w:val="24"/>
      <w:szCs w:val="20"/>
    </w:rPr>
  </w:style>
  <w:style w:type="paragraph" w:styleId="79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799" w:customStyle="1">
    <w:name w:val="Char"/>
    <w:basedOn w:val="75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00" w:customStyle="1">
    <w:name w:val="1"/>
    <w:basedOn w:val="753"/>
    <w:link w:val="801"/>
    <w:uiPriority w:val="0"/>
    <w:qFormat/>
    <w:pPr>
      <w:jc w:val="left"/>
      <w:spacing w:line="360" w:lineRule="auto"/>
    </w:pPr>
    <w:rPr>
      <w:szCs w:val="24"/>
    </w:rPr>
  </w:style>
  <w:style w:type="character" w:styleId="801" w:customStyle="1">
    <w:name w:val="1 Char"/>
    <w:link w:val="800"/>
    <w:uiPriority w:val="0"/>
    <w:qFormat/>
    <w:rPr>
      <w:szCs w:val="24"/>
    </w:rPr>
  </w:style>
  <w:style w:type="character" w:styleId="802" w:customStyle="1">
    <w:name w:val="标题 1 字符"/>
    <w:basedOn w:val="763"/>
    <w:link w:val="754"/>
    <w:uiPriority w:val="0"/>
    <w:qFormat/>
    <w:rPr>
      <w:rFonts w:ascii="Times New Roman" w:hAnsi="Times New Roman" w:eastAsia="黑体" w:cs="Times New Roman"/>
      <w:b/>
      <w:sz w:val="36"/>
      <w:szCs w:val="20"/>
    </w:rPr>
  </w:style>
  <w:style w:type="character" w:styleId="803" w:customStyle="1">
    <w:name w:val="标题 2 字符"/>
    <w:basedOn w:val="763"/>
    <w:link w:val="755"/>
    <w:uiPriority w:val="0"/>
    <w:qFormat/>
    <w:rPr>
      <w:rFonts w:ascii="Times New Roman" w:hAnsi="Times New Roman" w:eastAsia="黑体" w:cs="Times New Roman"/>
      <w:b/>
      <w:sz w:val="28"/>
      <w:szCs w:val="20"/>
    </w:rPr>
  </w:style>
  <w:style w:type="character" w:styleId="804" w:customStyle="1">
    <w:name w:val="标题 3 字符"/>
    <w:basedOn w:val="763"/>
    <w:link w:val="756"/>
    <w:uiPriority w:val="0"/>
    <w:qFormat/>
    <w:rPr>
      <w:rFonts w:ascii="Times New Roman" w:hAnsi="Times New Roman" w:eastAsia="黑体" w:cs="Times New Roman"/>
      <w:b/>
      <w:sz w:val="28"/>
      <w:szCs w:val="20"/>
    </w:rPr>
  </w:style>
  <w:style w:type="character" w:styleId="805" w:customStyle="1">
    <w:name w:val="标题 4 字符"/>
    <w:basedOn w:val="763"/>
    <w:link w:val="757"/>
    <w:uiPriority w:val="0"/>
    <w:qFormat/>
    <w:rPr>
      <w:rFonts w:ascii="Arial" w:hAnsi="Times New Roman" w:eastAsia="黑体" w:cs="Times New Roman"/>
      <w:sz w:val="28"/>
      <w:szCs w:val="20"/>
    </w:rPr>
  </w:style>
  <w:style w:type="character" w:styleId="806" w:customStyle="1">
    <w:name w:val="副标题 字符"/>
    <w:link w:val="780"/>
    <w:uiPriority w:val="0"/>
    <w:qFormat/>
    <w:rPr>
      <w:rFonts w:ascii="Cambria" w:hAnsi="Cambria"/>
      <w:b/>
      <w:bCs/>
      <w:sz w:val="32"/>
      <w:szCs w:val="32"/>
    </w:rPr>
  </w:style>
  <w:style w:type="character" w:styleId="807" w:customStyle="1">
    <w:name w:val="纯文本 字符"/>
    <w:link w:val="773"/>
    <w:uiPriority w:val="0"/>
    <w:qFormat/>
    <w:rPr>
      <w:rFonts w:ascii="宋体" w:hAnsi="Courier New"/>
    </w:rPr>
  </w:style>
  <w:style w:type="paragraph" w:styleId="808">
    <w:name w:val="List Paragraph"/>
    <w:basedOn w:val="753"/>
    <w:uiPriority w:val="0"/>
    <w:qFormat/>
    <w:pPr>
      <w:ind w:firstLine="420"/>
      <w:spacing w:line="360" w:lineRule="auto"/>
    </w:pPr>
    <w:rPr>
      <w:rFonts w:ascii="Times New Roman" w:hAnsi="Times New Roman" w:eastAsia="宋体" w:cs="Times New Roman"/>
      <w:szCs w:val="24"/>
    </w:rPr>
  </w:style>
  <w:style w:type="paragraph" w:styleId="809" w:customStyle="1">
    <w:name w:val="TOC 标题1"/>
    <w:basedOn w:val="754"/>
    <w:next w:val="753"/>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810" w:customStyle="1">
    <w:name w:val="标题 5 字符"/>
    <w:basedOn w:val="763"/>
    <w:link w:val="758"/>
    <w:uiPriority w:val="0"/>
    <w:semiHidden/>
    <w:qFormat/>
    <w:rPr>
      <w:rFonts w:ascii="Times New Roman" w:hAnsi="Times New Roman" w:eastAsia="宋体" w:cs="Times New Roman"/>
      <w:b/>
      <w:bCs/>
      <w:sz w:val="28"/>
      <w:szCs w:val="28"/>
    </w:rPr>
  </w:style>
  <w:style w:type="character" w:styleId="811" w:customStyle="1">
    <w:name w:val="标题 6 字符"/>
    <w:basedOn w:val="763"/>
    <w:link w:val="759"/>
    <w:uiPriority w:val="0"/>
    <w:semiHidden/>
    <w:qFormat/>
    <w:rPr>
      <w:rFonts w:ascii="Cambria" w:hAnsi="Cambria" w:eastAsia="宋体" w:cs="Times New Roman"/>
      <w:b/>
      <w:bCs/>
      <w:sz w:val="24"/>
      <w:szCs w:val="24"/>
    </w:rPr>
  </w:style>
  <w:style w:type="character" w:styleId="812" w:customStyle="1">
    <w:name w:val="标题 7 字符"/>
    <w:basedOn w:val="763"/>
    <w:link w:val="760"/>
    <w:uiPriority w:val="0"/>
    <w:semiHidden/>
    <w:qFormat/>
    <w:rPr>
      <w:rFonts w:ascii="Times New Roman" w:hAnsi="Times New Roman" w:eastAsia="宋体" w:cs="Times New Roman"/>
      <w:b/>
      <w:bCs/>
      <w:sz w:val="24"/>
      <w:szCs w:val="24"/>
    </w:rPr>
  </w:style>
  <w:style w:type="character" w:styleId="813" w:customStyle="1">
    <w:name w:val="标题 8 字符"/>
    <w:basedOn w:val="763"/>
    <w:link w:val="761"/>
    <w:uiPriority w:val="0"/>
    <w:semiHidden/>
    <w:qFormat/>
    <w:rPr>
      <w:rFonts w:ascii="Cambria" w:hAnsi="Cambria" w:eastAsia="宋体" w:cs="Times New Roman"/>
      <w:sz w:val="24"/>
      <w:szCs w:val="24"/>
    </w:rPr>
  </w:style>
  <w:style w:type="character" w:styleId="814" w:customStyle="1">
    <w:name w:val="标题 9 字符"/>
    <w:basedOn w:val="763"/>
    <w:link w:val="762"/>
    <w:uiPriority w:val="0"/>
    <w:semiHidden/>
    <w:qFormat/>
    <w:rPr>
      <w:rFonts w:ascii="Cambria" w:hAnsi="Cambria" w:eastAsia="宋体" w:cs="Times New Roman"/>
      <w:szCs w:val="21"/>
    </w:rPr>
  </w:style>
  <w:style w:type="paragraph" w:styleId="815" w:customStyle="1">
    <w:name w:val="Default"/>
    <w:link w:val="816"/>
    <w:uiPriority w:val="99"/>
    <w:qFormat/>
    <w:pPr>
      <w:widowControl w:val="off"/>
    </w:pPr>
    <w:rPr>
      <w:rFonts w:ascii="MS Mincho" w:hAnsi="Calibri" w:eastAsia="宋体" w:cs="Times New Roman"/>
      <w:color w:val="000000"/>
      <w:sz w:val="21"/>
      <w:szCs w:val="24"/>
      <w:lang w:val="en-US" w:eastAsia="zh-CN" w:bidi="ar-SA"/>
    </w:rPr>
  </w:style>
  <w:style w:type="character" w:styleId="816" w:customStyle="1">
    <w:name w:val="Default Char"/>
    <w:link w:val="815"/>
    <w:uiPriority w:val="99"/>
    <w:qFormat/>
    <w:rPr>
      <w:rFonts w:ascii="MS Mincho" w:hAnsi="Calibri" w:eastAsia="宋体" w:cs="Times New Roman"/>
      <w:color w:val="000000"/>
      <w:szCs w:val="24"/>
    </w:rPr>
  </w:style>
  <w:style w:type="character" w:styleId="817" w:customStyle="1">
    <w:name w:val="批注文字 字符"/>
    <w:basedOn w:val="763"/>
    <w:link w:val="767"/>
    <w:uiPriority w:val="0"/>
    <w:qFormat/>
    <w:rPr>
      <w:rFonts w:ascii="Times New Roman" w:hAnsi="Times New Roman" w:eastAsia="宋体" w:cs="Times New Roman"/>
      <w:szCs w:val="24"/>
    </w:rPr>
  </w:style>
  <w:style w:type="character" w:styleId="818" w:customStyle="1">
    <w:name w:val="批注框文本 字符"/>
    <w:basedOn w:val="763"/>
    <w:link w:val="776"/>
    <w:uiPriority w:val="0"/>
    <w:semiHidden/>
    <w:qFormat/>
    <w:rPr>
      <w:rFonts w:ascii="Times New Roman" w:hAnsi="Times New Roman" w:eastAsia="宋体" w:cs="Times New Roman"/>
      <w:sz w:val="18"/>
      <w:szCs w:val="18"/>
    </w:rPr>
  </w:style>
  <w:style w:type="character" w:styleId="819" w:customStyle="1">
    <w:name w:val="HTML 预设格式 字符"/>
    <w:link w:val="784"/>
    <w:uiPriority w:val="0"/>
    <w:qFormat/>
    <w:rPr>
      <w:rFonts w:ascii="宋体" w:hAnsi="宋体" w:cs="宋体"/>
      <w:sz w:val="24"/>
      <w:szCs w:val="24"/>
    </w:rPr>
  </w:style>
  <w:style w:type="character" w:styleId="820" w:customStyle="1">
    <w:name w:val="HTML 预设格式 Char1"/>
    <w:basedOn w:val="763"/>
    <w:uiPriority w:val="99"/>
    <w:semiHidden/>
    <w:qFormat/>
    <w:rPr>
      <w:rFonts w:ascii="Courier New" w:hAnsi="Courier New" w:cs="Courier New"/>
      <w:sz w:val="20"/>
      <w:szCs w:val="20"/>
    </w:rPr>
  </w:style>
  <w:style w:type="character" w:styleId="821" w:customStyle="1">
    <w:name w:val="普通正文 Char"/>
    <w:link w:val="822"/>
    <w:uiPriority w:val="0"/>
    <w:qFormat/>
    <w:rPr>
      <w:rFonts w:ascii="Arial" w:hAnsi="Arial"/>
      <w:sz w:val="24"/>
      <w:szCs w:val="24"/>
    </w:rPr>
  </w:style>
  <w:style w:type="paragraph" w:styleId="822" w:customStyle="1">
    <w:name w:val="普通正文"/>
    <w:basedOn w:val="753"/>
    <w:link w:val="821"/>
    <w:uiPriority w:val="0"/>
    <w:qFormat/>
    <w:pPr>
      <w:ind w:firstLine="480"/>
      <w:jc w:val="left"/>
      <w:spacing w:before="120" w:after="120" w:line="360" w:lineRule="auto"/>
    </w:pPr>
    <w:rPr>
      <w:rFonts w:ascii="Arial" w:hAnsi="Arial"/>
      <w:sz w:val="24"/>
      <w:szCs w:val="24"/>
    </w:rPr>
  </w:style>
  <w:style w:type="paragraph" w:styleId="823" w:customStyle="1">
    <w:name w:val="Char1"/>
    <w:basedOn w:val="753"/>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824" w:customStyle="1">
    <w:name w:val="批注主题 字符"/>
    <w:basedOn w:val="817"/>
    <w:link w:val="788"/>
    <w:uiPriority w:val="99"/>
    <w:semiHidden/>
    <w:qFormat/>
    <w:rPr>
      <w:rFonts w:ascii="Times New Roman" w:hAnsi="Times New Roman" w:eastAsia="宋体" w:cs="Times New Roman"/>
      <w:b/>
      <w:bCs/>
      <w:szCs w:val="24"/>
    </w:rPr>
  </w:style>
  <w:style w:type="character" w:styleId="825" w:customStyle="1">
    <w:name w:val="文档结构图 字符"/>
    <w:basedOn w:val="763"/>
    <w:link w:val="766"/>
    <w:uiPriority w:val="99"/>
    <w:semiHidden/>
    <w:qFormat/>
    <w:rPr>
      <w:rFonts w:ascii="宋体" w:eastAsia="宋体"/>
      <w:sz w:val="18"/>
      <w:szCs w:val="18"/>
    </w:rPr>
  </w:style>
  <w:style w:type="paragraph" w:styleId="826"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827" w:customStyle="1">
    <w:name w:val="段"/>
    <w:next w:val="753"/>
    <w:uiPriority w:val="0"/>
    <w:qFormat/>
    <w:pPr>
      <w:ind w:firstLine="200"/>
      <w:jc w:val="both"/>
    </w:pPr>
    <w:rPr>
      <w:rFonts w:ascii="宋体" w:hAnsi="Times New Roman" w:eastAsia="宋体" w:cs="Times New Roman"/>
      <w:sz w:val="21"/>
      <w:szCs w:val="22"/>
      <w:lang w:val="en-US" w:eastAsia="zh-CN" w:bidi="ar-SA"/>
    </w:rPr>
  </w:style>
  <w:style w:type="character" w:styleId="828" w:customStyle="1">
    <w:name w:val="正文文本 3 字符"/>
    <w:basedOn w:val="763"/>
    <w:link w:val="768"/>
    <w:uiPriority w:val="0"/>
    <w:qFormat/>
    <w:rPr>
      <w:rFonts w:ascii="Times New Roman" w:hAnsi="Times New Roman" w:eastAsia="宋体" w:cs="Times New Roman"/>
      <w:sz w:val="16"/>
      <w:szCs w:val="16"/>
    </w:rPr>
  </w:style>
  <w:style w:type="character" w:styleId="829" w:customStyle="1">
    <w:name w:val="正文文本缩进 字符"/>
    <w:basedOn w:val="763"/>
    <w:link w:val="770"/>
    <w:uiPriority w:val="0"/>
    <w:qFormat/>
    <w:rPr>
      <w:rFonts w:ascii="仿宋_GB2312" w:hAnsi="Times New Roman" w:eastAsia="仿宋_GB2312" w:cs="Times New Roman"/>
      <w:sz w:val="32"/>
      <w:szCs w:val="24"/>
    </w:rPr>
  </w:style>
  <w:style w:type="character" w:styleId="830" w:customStyle="1">
    <w:name w:val="日期 字符"/>
    <w:basedOn w:val="763"/>
    <w:link w:val="774"/>
    <w:uiPriority w:val="0"/>
    <w:qFormat/>
    <w:rPr>
      <w:rFonts w:ascii="仿宋_GB2312" w:hAnsi="Times New Roman" w:eastAsia="仿宋_GB2312" w:cs="Times New Roman"/>
      <w:sz w:val="32"/>
      <w:szCs w:val="24"/>
    </w:rPr>
  </w:style>
  <w:style w:type="character" w:styleId="831" w:customStyle="1">
    <w:name w:val="正文文本缩进 2 字符"/>
    <w:basedOn w:val="763"/>
    <w:link w:val="775"/>
    <w:uiPriority w:val="0"/>
    <w:qFormat/>
    <w:rPr>
      <w:rFonts w:ascii="Times New Roman" w:hAnsi="Times New Roman" w:eastAsia="仿宋_GB2312" w:cs="Times New Roman"/>
      <w:sz w:val="32"/>
      <w:szCs w:val="24"/>
    </w:rPr>
  </w:style>
  <w:style w:type="character" w:styleId="832" w:customStyle="1">
    <w:name w:val="页脚 Char"/>
    <w:basedOn w:val="763"/>
    <w:uiPriority w:val="0"/>
    <w:qFormat/>
    <w:rPr>
      <w:sz w:val="18"/>
      <w:szCs w:val="18"/>
    </w:rPr>
  </w:style>
  <w:style w:type="character" w:styleId="833" w:customStyle="1">
    <w:name w:val="页脚 字符"/>
    <w:link w:val="777"/>
    <w:uiPriority w:val="0"/>
    <w:qFormat/>
    <w:rPr>
      <w:rFonts w:ascii="Times New Roman" w:hAnsi="Times New Roman" w:eastAsia="宋体" w:cs="Times New Roman"/>
      <w:sz w:val="18"/>
      <w:szCs w:val="18"/>
    </w:rPr>
  </w:style>
  <w:style w:type="character" w:styleId="834" w:customStyle="1">
    <w:name w:val="页眉 字符"/>
    <w:basedOn w:val="763"/>
    <w:link w:val="778"/>
    <w:uiPriority w:val="0"/>
    <w:qFormat/>
    <w:rPr>
      <w:rFonts w:ascii="Times New Roman" w:hAnsi="Times New Roman" w:eastAsia="宋体" w:cs="Times New Roman"/>
      <w:sz w:val="18"/>
      <w:szCs w:val="18"/>
    </w:rPr>
  </w:style>
  <w:style w:type="character" w:styleId="835" w:customStyle="1">
    <w:name w:val="正文文本缩进 3 字符"/>
    <w:basedOn w:val="763"/>
    <w:link w:val="781"/>
    <w:uiPriority w:val="0"/>
    <w:qFormat/>
    <w:rPr>
      <w:rFonts w:ascii="仿宋_GB2312" w:hAnsi="华文中宋" w:eastAsia="仿宋_GB2312" w:cs="Times New Roman"/>
      <w:sz w:val="32"/>
      <w:szCs w:val="32"/>
    </w:rPr>
  </w:style>
  <w:style w:type="character" w:styleId="836" w:customStyle="1">
    <w:name w:val="正文文本 2 字符"/>
    <w:basedOn w:val="763"/>
    <w:link w:val="783"/>
    <w:uiPriority w:val="0"/>
    <w:qFormat/>
    <w:rPr>
      <w:rFonts w:ascii="Times New Roman" w:hAnsi="Times New Roman" w:eastAsia="宋体" w:cs="Times New Roman"/>
      <w:sz w:val="21"/>
      <w:szCs w:val="24"/>
    </w:rPr>
  </w:style>
  <w:style w:type="table" w:styleId="837" w:customStyle="1">
    <w:name w:val="网格型1"/>
    <w:basedOn w:val="76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customStyle="1">
    <w:name w:val="Header Char"/>
    <w:uiPriority w:val="0"/>
    <w:qFormat/>
    <w:rPr>
      <w:rFonts w:cs="Times New Roman"/>
      <w:sz w:val="18"/>
      <w:szCs w:val="18"/>
    </w:rPr>
  </w:style>
  <w:style w:type="character" w:styleId="839" w:customStyle="1">
    <w:name w:val="style341"/>
    <w:uiPriority w:val="0"/>
    <w:qFormat/>
  </w:style>
  <w:style w:type="paragraph" w:styleId="840" w:customStyle="1">
    <w:name w:val="p0"/>
    <w:basedOn w:val="753"/>
    <w:uiPriority w:val="0"/>
    <w:qFormat/>
    <w:pPr>
      <w:widowControl/>
    </w:pPr>
    <w:rPr>
      <w:rFonts w:ascii="Calibri" w:hAnsi="Calibri" w:eastAsia="宋体" w:cs="宋体"/>
      <w:szCs w:val="21"/>
    </w:rPr>
  </w:style>
  <w:style w:type="paragraph" w:styleId="841" w:customStyle="1">
    <w:name w:val="Char Char Char Char Char1 Char Char Char"/>
    <w:basedOn w:val="753"/>
    <w:uiPriority w:val="0"/>
    <w:qFormat/>
    <w:pPr>
      <w:jc w:val="left"/>
      <w:spacing w:after="160" w:line="240" w:lineRule="exact"/>
      <w:widowControl/>
    </w:pPr>
    <w:rPr>
      <w:rFonts w:ascii="Times New Roman" w:hAnsi="Times New Roman" w:eastAsia="宋体" w:cs="Times New Roman"/>
      <w:szCs w:val="24"/>
    </w:rPr>
  </w:style>
  <w:style w:type="paragraph" w:styleId="842" w:customStyle="1">
    <w:name w:val="p15"/>
    <w:basedOn w:val="753"/>
    <w:uiPriority w:val="0"/>
    <w:qFormat/>
    <w:pPr>
      <w:ind w:firstLine="420"/>
      <w:widowControl/>
    </w:pPr>
    <w:rPr>
      <w:rFonts w:ascii="Calibri" w:hAnsi="Calibri" w:eastAsia="宋体" w:cs="宋体"/>
      <w:szCs w:val="21"/>
    </w:rPr>
  </w:style>
  <w:style w:type="paragraph" w:styleId="843" w:customStyle="1">
    <w:name w:val="_Style 31"/>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4" w:customStyle="1">
    <w:name w:val="_Style 3"/>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5" w:customStyle="1">
    <w:name w:val="Char2"/>
    <w:basedOn w:val="753"/>
    <w:uiPriority w:val="0"/>
    <w:qFormat/>
    <w:pPr>
      <w:tabs>
        <w:tab w:val="left" w:pos="360" w:leader="none"/>
      </w:tabs>
    </w:pPr>
    <w:rPr>
      <w:rFonts w:ascii="Times New Roman" w:hAnsi="Times New Roman" w:eastAsia="宋体" w:cs="Times New Roman"/>
      <w:sz w:val="24"/>
      <w:szCs w:val="24"/>
    </w:rPr>
  </w:style>
  <w:style w:type="paragraph" w:styleId="846" w:customStyle="1">
    <w:name w:val="Char Char Char Char Char Char Char Char Char"/>
    <w:basedOn w:val="753"/>
    <w:uiPriority w:val="0"/>
    <w:qFormat/>
    <w:pPr>
      <w:jc w:val="left"/>
      <w:spacing w:after="160" w:line="240" w:lineRule="exact"/>
      <w:widowControl/>
    </w:pPr>
    <w:rPr>
      <w:rFonts w:ascii="Verdana" w:hAnsi="Verdana" w:eastAsia="仿宋_GB2312" w:cs="Times New Roman"/>
      <w:sz w:val="24"/>
      <w:szCs w:val="20"/>
      <w:lang w:eastAsia="en-US"/>
    </w:rPr>
  </w:style>
  <w:style w:type="character" w:styleId="847" w:customStyle="1">
    <w:name w:val="font01"/>
    <w:uiPriority w:val="0"/>
    <w:qFormat/>
    <w:rPr>
      <w:rFonts w:hint="eastAsia" w:ascii="宋体" w:hAnsi="宋体" w:eastAsia="宋体" w:cs="宋体"/>
      <w:color w:val="000000"/>
      <w:sz w:val="22"/>
      <w:szCs w:val="22"/>
      <w:u w:val="none"/>
    </w:rPr>
  </w:style>
  <w:style w:type="character" w:styleId="848" w:customStyle="1">
    <w:name w:val="font11"/>
    <w:uiPriority w:val="0"/>
    <w:qFormat/>
    <w:rPr>
      <w:rFonts w:hint="eastAsia" w:ascii="宋体" w:hAnsi="宋体" w:eastAsia="宋体" w:cs="宋体"/>
      <w:color w:val="ff0000"/>
      <w:sz w:val="22"/>
      <w:szCs w:val="22"/>
      <w:u w:val="none"/>
    </w:rPr>
  </w:style>
  <w:style w:type="character" w:styleId="849" w:customStyle="1">
    <w:name w:val="font31"/>
    <w:basedOn w:val="763"/>
    <w:uiPriority w:val="0"/>
    <w:qFormat/>
    <w:rPr>
      <w:rFonts w:hint="eastAsia" w:ascii="仿宋" w:hAnsi="仿宋" w:eastAsia="仿宋" w:cs="仿宋"/>
      <w:b/>
      <w:bCs/>
      <w:color w:val="000000"/>
      <w:sz w:val="16"/>
      <w:szCs w:val="16"/>
      <w:u w:val="none"/>
    </w:rPr>
  </w:style>
  <w:style w:type="character" w:styleId="850" w:customStyle="1">
    <w:name w:val="font21"/>
    <w:basedOn w:val="763"/>
    <w:uiPriority w:val="0"/>
    <w:qFormat/>
    <w:rPr>
      <w:rFonts w:hint="eastAsia" w:ascii="仿宋" w:hAnsi="仿宋" w:eastAsia="仿宋" w:cs="仿宋"/>
      <w:color w:val="000000"/>
      <w:sz w:val="16"/>
      <w:szCs w:val="16"/>
      <w:u w:val="none"/>
    </w:rPr>
  </w:style>
  <w:style w:type="character" w:styleId="851" w:customStyle="1">
    <w:name w:val="font41"/>
    <w:basedOn w:val="763"/>
    <w:uiPriority w:val="0"/>
    <w:qFormat/>
    <w:rPr>
      <w:rFonts w:hint="eastAsia" w:ascii="仿宋" w:hAnsi="仿宋" w:eastAsia="仿宋" w:cs="仿宋"/>
      <w:b/>
      <w:bCs/>
      <w:color w:val="ff0000"/>
      <w:sz w:val="16"/>
      <w:szCs w:val="16"/>
      <w:u w:val="none"/>
    </w:rPr>
  </w:style>
  <w:style w:type="paragraph" w:styleId="852" w:customStyle="1">
    <w:name w:val="列出段落1"/>
    <w:basedOn w:val="753"/>
    <w:uiPriority w:val="99"/>
    <w:qFormat/>
    <w:pPr>
      <w:ind w:firstLine="420"/>
    </w:pPr>
    <w:rPr>
      <w:rFonts w:ascii="Calibri" w:hAnsi="Calibri" w:eastAsia="宋体" w:cs="Times New Roman"/>
    </w:rPr>
  </w:style>
  <w:style w:type="paragraph" w:styleId="853" w:customStyle="1">
    <w:name w:val="paragraph"/>
    <w:basedOn w:val="753"/>
    <w:uiPriority w:val="0"/>
    <w:qFormat/>
    <w:pPr>
      <w:jc w:val="left"/>
      <w:spacing w:before="100" w:beforeAutospacing="1" w:after="100" w:afterAutospacing="1"/>
      <w:widowControl/>
    </w:pPr>
    <w:rPr>
      <w:rFonts w:ascii="宋体" w:hAnsi="宋体" w:cs="宋体"/>
      <w:sz w:val="24"/>
      <w:szCs w:val="24"/>
    </w:rPr>
  </w:style>
  <w:style w:type="paragraph" w:styleId="854" w:customStyle="1">
    <w:name w:val="Preistext2"/>
    <w:basedOn w:val="753"/>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855"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856" w:customStyle="1">
    <w:name w:val="网格型2"/>
    <w:basedOn w:val="764"/>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7" w:customStyle="1">
    <w:name w:val="Body text|1"/>
    <w:basedOn w:val="753"/>
    <w:uiPriority w:val="0"/>
    <w:qFormat/>
    <w:pPr>
      <w:jc w:val="left"/>
      <w:spacing w:line="420" w:lineRule="auto"/>
    </w:pPr>
    <w:rPr>
      <w:rFonts w:ascii="宋体" w:hAnsi="宋体" w:eastAsia="宋体" w:cs="宋体"/>
      <w:color w:val="000000"/>
      <w:sz w:val="20"/>
      <w:szCs w:val="20"/>
      <w:lang w:val="zh-TW" w:eastAsia="zh-TW" w:bidi="zh-TW"/>
    </w:rPr>
  </w:style>
  <w:style w:type="character" w:styleId="858" w:customStyle="1">
    <w:name w:val="mark"/>
    <w:basedOn w:val="763"/>
    <w:uiPriority w:val="0"/>
    <w:qFormat/>
  </w:style>
  <w:style w:type="table" w:styleId="8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7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915</cp:revision>
  <dcterms:created xsi:type="dcterms:W3CDTF">2021-07-28T12:14:00Z</dcterms:created>
  <dcterms:modified xsi:type="dcterms:W3CDTF">2026-05-20T02:12:47Z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B0C54C1C8E6A4FE7AE7F4182F6E3EB61_13</vt:lpwstr>
  </property>
  <property fmtid="{D5CDD505-2E9C-101B-9397-08002B2CF9AE}" pid="4" name="KSOTemplateDocerSaveRecord">
    <vt:lpwstr>eyJoZGlkIjoiOTJlNzJiMjZjNjI3NjdiNTMyMDFhYWMzM2E1ZDAwNWEiLCJ1c2VySWQiOiI3MDAwMTgxOTMifQ==</vt:lpwstr>
  </property>
</Properties>
</file>