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ACA99">
      <w:pPr>
        <w:pStyle w:val="9"/>
        <w:spacing w:before="0"/>
        <w:ind w:left="0"/>
        <w:rPr>
          <w:rFonts w:hint="eastAsia" w:ascii="仿宋" w:hAnsi="仿宋" w:eastAsia="仿宋" w:cs="仿宋"/>
          <w:sz w:val="20"/>
          <w:highlight w:val="none"/>
        </w:rPr>
      </w:pPr>
    </w:p>
    <w:p w14:paraId="3FBEACBC">
      <w:pPr>
        <w:pStyle w:val="23"/>
        <w:spacing w:line="48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政府采购公开招标</w:t>
      </w:r>
    </w:p>
    <w:p w14:paraId="0A16AC90">
      <w:pPr>
        <w:pStyle w:val="23"/>
        <w:spacing w:line="480" w:lineRule="auto"/>
        <w:jc w:val="center"/>
        <w:rPr>
          <w:rFonts w:hint="eastAsia" w:ascii="仿宋" w:hAnsi="仿宋" w:eastAsia="仿宋" w:cs="仿宋"/>
          <w:b/>
          <w:color w:val="auto"/>
          <w:sz w:val="72"/>
          <w:szCs w:val="72"/>
          <w:highlight w:val="none"/>
        </w:rPr>
      </w:pPr>
      <w:r>
        <w:rPr>
          <w:rFonts w:hint="eastAsia" w:ascii="仿宋" w:hAnsi="仿宋" w:eastAsia="仿宋" w:cs="仿宋"/>
          <w:b/>
          <w:color w:val="auto"/>
          <w:sz w:val="72"/>
          <w:szCs w:val="72"/>
          <w:highlight w:val="none"/>
        </w:rPr>
        <w:t>采购文件</w:t>
      </w:r>
    </w:p>
    <w:p w14:paraId="79748303">
      <w:pPr>
        <w:pStyle w:val="23"/>
        <w:spacing w:line="360" w:lineRule="auto"/>
        <w:jc w:val="center"/>
        <w:rPr>
          <w:rFonts w:hint="eastAsia" w:ascii="仿宋" w:hAnsi="仿宋" w:eastAsia="仿宋" w:cs="仿宋"/>
          <w:color w:val="auto"/>
          <w:sz w:val="32"/>
          <w:highlight w:val="none"/>
        </w:rPr>
      </w:pPr>
      <w:r>
        <w:rPr>
          <w:rFonts w:hint="eastAsia" w:ascii="仿宋" w:hAnsi="仿宋" w:eastAsia="仿宋" w:cs="仿宋"/>
          <w:color w:val="auto"/>
          <w:sz w:val="28"/>
          <w:highlight w:val="none"/>
        </w:rPr>
        <w:drawing>
          <wp:inline distT="0" distB="0" distL="114300" distR="114300">
            <wp:extent cx="2202180" cy="2806065"/>
            <wp:effectExtent l="0" t="0" r="7620" b="1333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3"/>
                    <a:stretch>
                      <a:fillRect/>
                    </a:stretch>
                  </pic:blipFill>
                  <pic:spPr>
                    <a:xfrm>
                      <a:off x="0" y="0"/>
                      <a:ext cx="1704975" cy="2171700"/>
                    </a:xfrm>
                    <a:prstGeom prst="rect">
                      <a:avLst/>
                    </a:prstGeom>
                    <a:noFill/>
                    <a:ln w="9525">
                      <a:noFill/>
                      <a:miter/>
                    </a:ln>
                    <a:effectLst/>
                  </pic:spPr>
                </pic:pic>
              </a:graphicData>
            </a:graphic>
          </wp:inline>
        </w:drawing>
      </w:r>
    </w:p>
    <w:p w14:paraId="44138820">
      <w:pPr>
        <w:pStyle w:val="23"/>
        <w:spacing w:line="360" w:lineRule="auto"/>
        <w:ind w:firstLine="1920" w:firstLineChars="600"/>
        <w:rPr>
          <w:rFonts w:hint="eastAsia" w:ascii="仿宋" w:hAnsi="仿宋" w:eastAsia="仿宋" w:cs="仿宋"/>
          <w:color w:val="auto"/>
          <w:sz w:val="32"/>
          <w:highlight w:val="none"/>
        </w:rPr>
      </w:pPr>
    </w:p>
    <w:p w14:paraId="4A6EB6E4">
      <w:pPr>
        <w:pStyle w:val="11"/>
        <w:spacing w:line="360" w:lineRule="auto"/>
        <w:ind w:left="2616" w:leftChars="459" w:hanging="1606" w:hangingChars="500"/>
        <w:jc w:val="both"/>
        <w:rPr>
          <w:rFonts w:hint="eastAsia" w:ascii="仿宋" w:hAnsi="仿宋" w:eastAsia="仿宋" w:cs="仿宋"/>
          <w:sz w:val="32"/>
          <w:szCs w:val="32"/>
          <w:highlight w:val="none"/>
          <w:u w:val="single"/>
          <w:lang w:val="en-US"/>
        </w:rPr>
      </w:pPr>
      <w:r>
        <w:rPr>
          <w:rFonts w:hint="eastAsia" w:ascii="仿宋" w:hAnsi="仿宋" w:eastAsia="仿宋" w:cs="仿宋"/>
          <w:b/>
          <w:sz w:val="32"/>
          <w:szCs w:val="32"/>
          <w:highlight w:val="none"/>
        </w:rPr>
        <w:t>招标项目：</w:t>
      </w:r>
      <w:r>
        <w:rPr>
          <w:rFonts w:hint="eastAsia" w:ascii="仿宋" w:hAnsi="仿宋" w:eastAsia="仿宋" w:cs="仿宋"/>
          <w:sz w:val="32"/>
          <w:szCs w:val="32"/>
          <w:highlight w:val="none"/>
          <w:u w:val="single"/>
          <w:lang w:val="en-US"/>
        </w:rPr>
        <w:t xml:space="preserve">2026年新疆大学药学院“双一流”建设项目（新疆特色中药民族药综合开发利用平台） </w:t>
      </w:r>
    </w:p>
    <w:p w14:paraId="003B809E">
      <w:pPr>
        <w:pStyle w:val="11"/>
        <w:autoSpaceDE/>
        <w:autoSpaceDN/>
        <w:adjustRightInd w:val="0"/>
        <w:spacing w:line="360" w:lineRule="auto"/>
        <w:ind w:firstLine="964" w:firstLineChars="300"/>
        <w:jc w:val="both"/>
        <w:rPr>
          <w:rFonts w:hint="eastAsia" w:ascii="仿宋" w:hAnsi="仿宋" w:eastAsia="仿宋" w:cs="仿宋"/>
          <w:sz w:val="32"/>
          <w:szCs w:val="32"/>
          <w:highlight w:val="none"/>
          <w:u w:val="single"/>
          <w:lang w:val="en-US"/>
        </w:rPr>
      </w:pPr>
      <w:r>
        <w:rPr>
          <w:rFonts w:hint="eastAsia" w:ascii="仿宋" w:hAnsi="仿宋" w:eastAsia="仿宋" w:cs="仿宋"/>
          <w:b/>
          <w:sz w:val="32"/>
          <w:szCs w:val="32"/>
          <w:highlight w:val="none"/>
        </w:rPr>
        <w:t>招标编号：</w:t>
      </w:r>
      <w:r>
        <w:rPr>
          <w:rFonts w:hint="eastAsia" w:ascii="仿宋" w:hAnsi="仿宋" w:eastAsia="仿宋" w:cs="仿宋"/>
          <w:sz w:val="32"/>
          <w:szCs w:val="32"/>
          <w:highlight w:val="none"/>
          <w:u w:val="single"/>
          <w:lang w:val="en-US" w:eastAsia="zh-CN"/>
        </w:rPr>
        <w:t>XJHY-2026-007</w:t>
      </w:r>
    </w:p>
    <w:p w14:paraId="2CA8965E">
      <w:pPr>
        <w:pStyle w:val="11"/>
        <w:spacing w:line="360" w:lineRule="auto"/>
        <w:ind w:firstLine="964" w:firstLineChars="300"/>
        <w:rPr>
          <w:rFonts w:hint="eastAsia" w:ascii="仿宋" w:hAnsi="仿宋" w:eastAsia="仿宋" w:cs="仿宋"/>
          <w:bCs/>
          <w:sz w:val="32"/>
          <w:szCs w:val="32"/>
          <w:highlight w:val="none"/>
          <w:u w:val="single"/>
          <w:lang w:val="en-US"/>
        </w:rPr>
      </w:pPr>
      <w:r>
        <w:rPr>
          <w:rFonts w:hint="eastAsia" w:ascii="仿宋" w:hAnsi="仿宋" w:eastAsia="仿宋" w:cs="仿宋"/>
          <w:b/>
          <w:sz w:val="32"/>
          <w:szCs w:val="32"/>
          <w:highlight w:val="none"/>
        </w:rPr>
        <w:t>招标方式：</w:t>
      </w:r>
      <w:r>
        <w:rPr>
          <w:rFonts w:hint="eastAsia" w:ascii="仿宋" w:hAnsi="仿宋" w:eastAsia="仿宋" w:cs="仿宋"/>
          <w:sz w:val="32"/>
          <w:szCs w:val="32"/>
          <w:highlight w:val="none"/>
          <w:u w:val="single"/>
          <w:lang w:val="en-US"/>
        </w:rPr>
        <w:t xml:space="preserve">公开招标 </w:t>
      </w:r>
    </w:p>
    <w:p w14:paraId="77CAE283">
      <w:pPr>
        <w:pStyle w:val="11"/>
        <w:spacing w:line="360" w:lineRule="auto"/>
        <w:ind w:firstLine="964" w:firstLineChars="300"/>
        <w:rPr>
          <w:rFonts w:hint="eastAsia" w:ascii="仿宋" w:hAnsi="仿宋" w:eastAsia="仿宋" w:cs="仿宋"/>
          <w:highlight w:val="none"/>
          <w:lang w:val="en-US"/>
        </w:rPr>
      </w:pPr>
      <w:r>
        <w:rPr>
          <w:rFonts w:hint="eastAsia" w:ascii="仿宋" w:hAnsi="仿宋" w:eastAsia="仿宋" w:cs="仿宋"/>
          <w:b/>
          <w:sz w:val="32"/>
          <w:szCs w:val="32"/>
          <w:highlight w:val="none"/>
        </w:rPr>
        <w:t>项目类别：</w:t>
      </w:r>
      <w:r>
        <w:rPr>
          <w:rFonts w:hint="eastAsia" w:ascii="仿宋" w:hAnsi="仿宋" w:eastAsia="仿宋" w:cs="仿宋"/>
          <w:sz w:val="32"/>
          <w:szCs w:val="32"/>
          <w:highlight w:val="none"/>
          <w:u w:val="single"/>
          <w:lang w:val="en-US"/>
        </w:rPr>
        <w:t xml:space="preserve">货物类 </w:t>
      </w:r>
    </w:p>
    <w:p w14:paraId="4DC767FF">
      <w:pPr>
        <w:pStyle w:val="11"/>
        <w:spacing w:line="360" w:lineRule="auto"/>
        <w:ind w:firstLine="964" w:firstLineChars="300"/>
        <w:rPr>
          <w:rFonts w:hint="eastAsia" w:ascii="仿宋" w:hAnsi="仿宋" w:eastAsia="仿宋" w:cs="仿宋"/>
          <w:bCs/>
          <w:sz w:val="32"/>
          <w:szCs w:val="32"/>
          <w:highlight w:val="none"/>
          <w:u w:val="single"/>
          <w:lang w:val="en-US"/>
        </w:rPr>
      </w:pPr>
      <w:r>
        <w:rPr>
          <w:rFonts w:hint="eastAsia" w:ascii="仿宋" w:hAnsi="仿宋" w:eastAsia="仿宋" w:cs="仿宋"/>
          <w:b/>
          <w:sz w:val="32"/>
          <w:szCs w:val="32"/>
          <w:highlight w:val="none"/>
          <w:lang w:val="en-US"/>
        </w:rPr>
        <w:t>采购人：</w:t>
      </w:r>
      <w:r>
        <w:rPr>
          <w:rFonts w:hint="eastAsia" w:ascii="仿宋" w:hAnsi="仿宋" w:eastAsia="仿宋" w:cs="仿宋"/>
          <w:bCs/>
          <w:sz w:val="32"/>
          <w:szCs w:val="32"/>
          <w:highlight w:val="none"/>
          <w:u w:val="single"/>
          <w:lang w:val="en-US"/>
        </w:rPr>
        <w:t>新疆大学</w:t>
      </w:r>
    </w:p>
    <w:p w14:paraId="2AE46EA4">
      <w:pPr>
        <w:pStyle w:val="11"/>
        <w:spacing w:line="360" w:lineRule="auto"/>
        <w:ind w:firstLine="964" w:firstLineChars="300"/>
        <w:rPr>
          <w:rFonts w:hint="eastAsia" w:ascii="仿宋" w:hAnsi="仿宋" w:eastAsia="仿宋" w:cs="仿宋"/>
          <w:b/>
          <w:sz w:val="32"/>
          <w:szCs w:val="32"/>
          <w:highlight w:val="none"/>
          <w:lang w:val="en-US"/>
        </w:rPr>
      </w:pPr>
      <w:r>
        <w:rPr>
          <w:rFonts w:hint="eastAsia" w:ascii="仿宋" w:hAnsi="仿宋" w:eastAsia="仿宋" w:cs="仿宋"/>
          <w:b/>
          <w:sz w:val="32"/>
          <w:szCs w:val="32"/>
          <w:highlight w:val="none"/>
          <w:lang w:val="en-US"/>
        </w:rPr>
        <w:t>采购代理机构：</w:t>
      </w:r>
      <w:r>
        <w:rPr>
          <w:rFonts w:hint="eastAsia" w:ascii="仿宋" w:hAnsi="仿宋" w:eastAsia="仿宋" w:cs="仿宋"/>
          <w:bCs/>
          <w:sz w:val="32"/>
          <w:szCs w:val="32"/>
          <w:highlight w:val="none"/>
          <w:u w:val="single"/>
          <w:lang w:val="en-US"/>
        </w:rPr>
        <w:t xml:space="preserve">新疆华域建设工程项目管理咨询有限公司  </w:t>
      </w:r>
    </w:p>
    <w:p w14:paraId="5A739AD0">
      <w:pPr>
        <w:pStyle w:val="24"/>
        <w:ind w:firstLine="643"/>
        <w:rPr>
          <w:rFonts w:hint="eastAsia" w:ascii="仿宋" w:hAnsi="仿宋" w:eastAsia="仿宋" w:cs="仿宋"/>
          <w:b/>
          <w:sz w:val="32"/>
          <w:highlight w:val="none"/>
        </w:rPr>
      </w:pPr>
      <w:r>
        <w:rPr>
          <w:rFonts w:hint="eastAsia" w:ascii="仿宋" w:hAnsi="仿宋" w:eastAsia="仿宋" w:cs="仿宋"/>
          <w:b/>
          <w:snapToGrid w:val="0"/>
          <w:kern w:val="2"/>
          <w:sz w:val="32"/>
          <w:szCs w:val="32"/>
          <w:highlight w:val="none"/>
          <w:u w:val="single"/>
          <w:lang w:val="en-US" w:bidi="ar-SA"/>
        </w:rPr>
        <w:t>2026年</w:t>
      </w:r>
      <w:r>
        <w:rPr>
          <w:rFonts w:hint="eastAsia" w:ascii="仿宋" w:hAnsi="仿宋" w:eastAsia="仿宋" w:cs="仿宋"/>
          <w:b/>
          <w:snapToGrid w:val="0"/>
          <w:kern w:val="2"/>
          <w:sz w:val="32"/>
          <w:szCs w:val="32"/>
          <w:highlight w:val="none"/>
          <w:u w:val="single"/>
          <w:lang w:val="en-US" w:eastAsia="zh-CN" w:bidi="ar-SA"/>
        </w:rPr>
        <w:t>4</w:t>
      </w:r>
      <w:r>
        <w:rPr>
          <w:rFonts w:hint="eastAsia" w:ascii="仿宋" w:hAnsi="仿宋" w:eastAsia="仿宋" w:cs="仿宋"/>
          <w:b/>
          <w:snapToGrid w:val="0"/>
          <w:kern w:val="2"/>
          <w:sz w:val="32"/>
          <w:szCs w:val="32"/>
          <w:highlight w:val="none"/>
          <w:u w:val="single"/>
          <w:lang w:val="en-US" w:bidi="ar-SA"/>
        </w:rPr>
        <w:t>月</w:t>
      </w:r>
      <w:r>
        <w:rPr>
          <w:rFonts w:hint="eastAsia" w:ascii="仿宋" w:hAnsi="仿宋" w:eastAsia="仿宋" w:cs="仿宋"/>
          <w:b/>
          <w:sz w:val="32"/>
          <w:highlight w:val="none"/>
        </w:rPr>
        <w:br w:type="page"/>
      </w:r>
      <w:r>
        <w:rPr>
          <w:rFonts w:hint="eastAsia" w:ascii="仿宋" w:hAnsi="仿宋" w:eastAsia="仿宋" w:cs="仿宋"/>
          <w:b/>
          <w:sz w:val="32"/>
          <w:highlight w:val="none"/>
        </w:rPr>
        <w:t>目</w:t>
      </w:r>
      <w:r>
        <w:rPr>
          <w:rFonts w:hint="eastAsia" w:ascii="仿宋" w:hAnsi="仿宋" w:eastAsia="仿宋" w:cs="仿宋"/>
          <w:b/>
          <w:sz w:val="32"/>
          <w:highlight w:val="none"/>
        </w:rPr>
        <w:tab/>
      </w:r>
      <w:r>
        <w:rPr>
          <w:rFonts w:hint="eastAsia" w:ascii="仿宋" w:hAnsi="仿宋" w:eastAsia="仿宋" w:cs="仿宋"/>
          <w:b/>
          <w:sz w:val="32"/>
          <w:highlight w:val="none"/>
        </w:rPr>
        <w:t>录</w:t>
      </w:r>
    </w:p>
    <w:p w14:paraId="0288CF9D">
      <w:pPr>
        <w:numPr>
          <w:ilvl w:val="0"/>
          <w:numId w:val="1"/>
        </w:numPr>
        <w:spacing w:before="186" w:line="364"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招标公告</w:t>
      </w:r>
    </w:p>
    <w:p w14:paraId="076AEA63">
      <w:pPr>
        <w:spacing w:before="1" w:line="360" w:lineRule="auto"/>
        <w:ind w:firstLine="960" w:firstLineChars="400"/>
        <w:rPr>
          <w:rFonts w:hint="eastAsia" w:ascii="仿宋" w:hAnsi="仿宋" w:eastAsia="仿宋" w:cs="仿宋"/>
          <w:sz w:val="24"/>
          <w:highlight w:val="none"/>
        </w:rPr>
      </w:pPr>
      <w:r>
        <w:rPr>
          <w:rFonts w:hint="eastAsia" w:ascii="仿宋" w:hAnsi="仿宋" w:eastAsia="仿宋" w:cs="仿宋"/>
          <w:sz w:val="24"/>
          <w:highlight w:val="none"/>
        </w:rPr>
        <w:t>招标公告</w:t>
      </w:r>
    </w:p>
    <w:p w14:paraId="6A854248">
      <w:pPr>
        <w:spacing w:before="1" w:line="364"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第二部分 投标须知</w:t>
      </w:r>
    </w:p>
    <w:p w14:paraId="2B399894">
      <w:pPr>
        <w:spacing w:before="1" w:line="360" w:lineRule="auto"/>
        <w:ind w:firstLine="960" w:firstLineChars="400"/>
        <w:rPr>
          <w:rFonts w:hint="eastAsia" w:ascii="仿宋" w:hAnsi="仿宋" w:eastAsia="仿宋" w:cs="仿宋"/>
          <w:highlight w:val="none"/>
          <w:lang w:val="en-US"/>
        </w:rPr>
      </w:pPr>
      <w:r>
        <w:rPr>
          <w:rFonts w:hint="eastAsia" w:ascii="仿宋" w:hAnsi="仿宋" w:eastAsia="仿宋" w:cs="仿宋"/>
          <w:sz w:val="24"/>
          <w:highlight w:val="none"/>
        </w:rPr>
        <w:t>投标须知</w:t>
      </w:r>
      <w:r>
        <w:rPr>
          <w:rFonts w:hint="eastAsia" w:ascii="仿宋" w:hAnsi="仿宋" w:eastAsia="仿宋" w:cs="仿宋"/>
          <w:sz w:val="24"/>
          <w:highlight w:val="none"/>
          <w:lang w:val="en-US"/>
        </w:rPr>
        <w:t>前附表</w:t>
      </w:r>
    </w:p>
    <w:p w14:paraId="4E267803">
      <w:pPr>
        <w:spacing w:before="1" w:line="364"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第三部分 招标说明</w:t>
      </w:r>
    </w:p>
    <w:p w14:paraId="4340D09A">
      <w:pPr>
        <w:spacing w:before="1" w:line="364"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第四部分 投标说明</w:t>
      </w:r>
    </w:p>
    <w:p w14:paraId="35E16AB2">
      <w:pPr>
        <w:pStyle w:val="9"/>
        <w:spacing w:line="364" w:lineRule="auto"/>
        <w:ind w:left="0" w:firstLine="960" w:firstLineChars="400"/>
        <w:rPr>
          <w:rFonts w:hint="eastAsia" w:ascii="仿宋" w:hAnsi="仿宋" w:eastAsia="仿宋" w:cs="仿宋"/>
          <w:highlight w:val="none"/>
        </w:rPr>
      </w:pPr>
      <w:r>
        <w:rPr>
          <w:rFonts w:hint="eastAsia" w:ascii="仿宋" w:hAnsi="仿宋" w:eastAsia="仿宋" w:cs="仿宋"/>
          <w:highlight w:val="none"/>
        </w:rPr>
        <w:t>第一章 对投标人的资质要求</w:t>
      </w:r>
    </w:p>
    <w:p w14:paraId="3D0A8FC9">
      <w:pPr>
        <w:pStyle w:val="9"/>
        <w:spacing w:line="364" w:lineRule="auto"/>
        <w:ind w:left="0" w:firstLine="960" w:firstLineChars="400"/>
        <w:rPr>
          <w:rFonts w:hint="eastAsia" w:ascii="仿宋" w:hAnsi="仿宋" w:eastAsia="仿宋" w:cs="仿宋"/>
          <w:highlight w:val="none"/>
        </w:rPr>
      </w:pPr>
      <w:r>
        <w:rPr>
          <w:rFonts w:hint="eastAsia" w:ascii="仿宋" w:hAnsi="仿宋" w:eastAsia="仿宋" w:cs="仿宋"/>
          <w:highlight w:val="none"/>
        </w:rPr>
        <w:t>第二章 投标文件的编写</w:t>
      </w:r>
    </w:p>
    <w:p w14:paraId="12F8D5C7">
      <w:pPr>
        <w:pStyle w:val="9"/>
        <w:spacing w:before="2" w:line="364" w:lineRule="auto"/>
        <w:ind w:left="0" w:firstLine="960" w:firstLineChars="400"/>
        <w:rPr>
          <w:rFonts w:hint="eastAsia" w:ascii="仿宋" w:hAnsi="仿宋" w:eastAsia="仿宋" w:cs="仿宋"/>
          <w:highlight w:val="none"/>
        </w:rPr>
      </w:pPr>
      <w:r>
        <w:rPr>
          <w:rFonts w:hint="eastAsia" w:ascii="仿宋" w:hAnsi="仿宋" w:eastAsia="仿宋" w:cs="仿宋"/>
          <w:highlight w:val="none"/>
        </w:rPr>
        <w:t>第三章 投标文件的递交</w:t>
      </w:r>
    </w:p>
    <w:p w14:paraId="1EA72A24">
      <w:pPr>
        <w:pStyle w:val="9"/>
        <w:spacing w:before="2" w:line="364" w:lineRule="auto"/>
        <w:ind w:left="0" w:firstLine="960" w:firstLineChars="400"/>
        <w:rPr>
          <w:rFonts w:hint="eastAsia" w:ascii="仿宋" w:hAnsi="仿宋" w:eastAsia="仿宋" w:cs="仿宋"/>
          <w:highlight w:val="none"/>
        </w:rPr>
      </w:pPr>
      <w:r>
        <w:rPr>
          <w:rFonts w:hint="eastAsia" w:ascii="仿宋" w:hAnsi="仿宋" w:eastAsia="仿宋" w:cs="仿宋"/>
          <w:highlight w:val="none"/>
        </w:rPr>
        <w:t>第四章 评标委员会</w:t>
      </w:r>
    </w:p>
    <w:p w14:paraId="19D03EF1">
      <w:pPr>
        <w:tabs>
          <w:tab w:val="left" w:pos="2677"/>
        </w:tabs>
        <w:spacing w:before="1" w:line="364"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第五部分 开标 评标 定标说明</w:t>
      </w:r>
    </w:p>
    <w:p w14:paraId="18A8D036">
      <w:pPr>
        <w:pStyle w:val="9"/>
        <w:spacing w:line="364" w:lineRule="auto"/>
        <w:ind w:left="0" w:firstLine="960" w:firstLineChars="400"/>
        <w:rPr>
          <w:rFonts w:hint="eastAsia" w:ascii="仿宋" w:hAnsi="仿宋" w:eastAsia="仿宋" w:cs="仿宋"/>
          <w:highlight w:val="none"/>
        </w:rPr>
      </w:pPr>
      <w:r>
        <w:rPr>
          <w:rFonts w:hint="eastAsia" w:ascii="仿宋" w:hAnsi="仿宋" w:eastAsia="仿宋" w:cs="仿宋"/>
          <w:highlight w:val="none"/>
        </w:rPr>
        <w:t>第一章 开</w:t>
      </w:r>
      <w:r>
        <w:rPr>
          <w:rFonts w:hint="eastAsia" w:ascii="仿宋" w:hAnsi="仿宋" w:eastAsia="仿宋" w:cs="仿宋"/>
          <w:highlight w:val="none"/>
        </w:rPr>
        <w:tab/>
      </w:r>
      <w:r>
        <w:rPr>
          <w:rFonts w:hint="eastAsia" w:ascii="仿宋" w:hAnsi="仿宋" w:eastAsia="仿宋" w:cs="仿宋"/>
          <w:highlight w:val="none"/>
        </w:rPr>
        <w:t>标</w:t>
      </w:r>
    </w:p>
    <w:p w14:paraId="0ACCD8E4">
      <w:pPr>
        <w:pStyle w:val="9"/>
        <w:tabs>
          <w:tab w:val="left" w:pos="2677"/>
        </w:tabs>
        <w:spacing w:line="364" w:lineRule="auto"/>
        <w:ind w:left="0" w:firstLine="960" w:firstLineChars="400"/>
        <w:rPr>
          <w:rFonts w:hint="eastAsia" w:ascii="仿宋" w:hAnsi="仿宋" w:eastAsia="仿宋" w:cs="仿宋"/>
          <w:highlight w:val="none"/>
        </w:rPr>
      </w:pPr>
      <w:r>
        <w:rPr>
          <w:rFonts w:hint="eastAsia" w:ascii="仿宋" w:hAnsi="仿宋" w:eastAsia="仿宋" w:cs="仿宋"/>
          <w:highlight w:val="none"/>
        </w:rPr>
        <w:t xml:space="preserve">第二章 评标 </w:t>
      </w:r>
    </w:p>
    <w:p w14:paraId="3FC1B3E2">
      <w:pPr>
        <w:pStyle w:val="9"/>
        <w:tabs>
          <w:tab w:val="left" w:pos="2677"/>
        </w:tabs>
        <w:spacing w:line="364" w:lineRule="auto"/>
        <w:ind w:left="0" w:firstLine="960" w:firstLineChars="400"/>
        <w:rPr>
          <w:rFonts w:hint="eastAsia" w:ascii="仿宋" w:hAnsi="仿宋" w:eastAsia="仿宋" w:cs="仿宋"/>
          <w:highlight w:val="none"/>
        </w:rPr>
      </w:pPr>
      <w:r>
        <w:rPr>
          <w:rFonts w:hint="eastAsia" w:ascii="仿宋" w:hAnsi="仿宋" w:eastAsia="仿宋" w:cs="仿宋"/>
          <w:highlight w:val="none"/>
        </w:rPr>
        <w:t xml:space="preserve">第三章 定标 </w:t>
      </w:r>
    </w:p>
    <w:p w14:paraId="11BF22D4">
      <w:pPr>
        <w:pStyle w:val="9"/>
        <w:tabs>
          <w:tab w:val="left" w:pos="2677"/>
        </w:tabs>
        <w:spacing w:line="364" w:lineRule="auto"/>
        <w:ind w:left="0" w:firstLine="960" w:firstLineChars="400"/>
        <w:rPr>
          <w:rFonts w:hint="eastAsia" w:ascii="仿宋" w:hAnsi="仿宋" w:eastAsia="仿宋" w:cs="仿宋"/>
          <w:highlight w:val="none"/>
        </w:rPr>
      </w:pPr>
      <w:r>
        <w:rPr>
          <w:rFonts w:hint="eastAsia" w:ascii="仿宋" w:hAnsi="仿宋" w:eastAsia="仿宋" w:cs="仿宋"/>
          <w:highlight w:val="none"/>
        </w:rPr>
        <w:t>第四章 授予合同</w:t>
      </w:r>
    </w:p>
    <w:p w14:paraId="54BE1082">
      <w:pPr>
        <w:spacing w:before="2" w:line="364"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第六部分 货物需求、技术规格说明</w:t>
      </w:r>
    </w:p>
    <w:p w14:paraId="49B980DB">
      <w:pPr>
        <w:spacing w:before="2" w:line="364" w:lineRule="auto"/>
        <w:ind w:firstLine="960" w:firstLineChars="400"/>
        <w:rPr>
          <w:rFonts w:hint="eastAsia" w:ascii="仿宋" w:hAnsi="仿宋" w:eastAsia="仿宋" w:cs="仿宋"/>
          <w:sz w:val="24"/>
          <w:highlight w:val="none"/>
        </w:rPr>
      </w:pPr>
      <w:r>
        <w:rPr>
          <w:rFonts w:hint="eastAsia" w:ascii="仿宋" w:hAnsi="仿宋" w:eastAsia="仿宋" w:cs="仿宋"/>
          <w:sz w:val="24"/>
          <w:szCs w:val="24"/>
          <w:highlight w:val="none"/>
        </w:rPr>
        <w:t>第一章 货物需求、技术规格</w:t>
      </w:r>
      <w:r>
        <w:rPr>
          <w:rFonts w:hint="eastAsia" w:ascii="仿宋" w:hAnsi="仿宋" w:eastAsia="仿宋" w:cs="仿宋"/>
          <w:sz w:val="24"/>
          <w:szCs w:val="24"/>
          <w:highlight w:val="none"/>
          <w:lang w:val="en-US"/>
        </w:rPr>
        <w:t>说</w:t>
      </w:r>
      <w:r>
        <w:rPr>
          <w:rFonts w:hint="eastAsia" w:ascii="仿宋" w:hAnsi="仿宋" w:eastAsia="仿宋" w:cs="仿宋"/>
          <w:sz w:val="24"/>
          <w:szCs w:val="24"/>
          <w:highlight w:val="none"/>
        </w:rPr>
        <w:t>明</w:t>
      </w:r>
    </w:p>
    <w:p w14:paraId="019631B0">
      <w:pPr>
        <w:spacing w:before="1" w:line="364"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第七部分 商务</w:t>
      </w:r>
      <w:r>
        <w:rPr>
          <w:rFonts w:hint="eastAsia" w:ascii="仿宋" w:hAnsi="仿宋" w:eastAsia="仿宋" w:cs="仿宋"/>
          <w:b/>
          <w:sz w:val="24"/>
          <w:highlight w:val="none"/>
          <w:lang w:val="en-US"/>
        </w:rPr>
        <w:t>合同</w:t>
      </w:r>
      <w:r>
        <w:rPr>
          <w:rFonts w:hint="eastAsia" w:ascii="仿宋" w:hAnsi="仿宋" w:eastAsia="仿宋" w:cs="仿宋"/>
          <w:b/>
          <w:sz w:val="24"/>
          <w:highlight w:val="none"/>
        </w:rPr>
        <w:t>部分</w:t>
      </w:r>
    </w:p>
    <w:p w14:paraId="4280743B">
      <w:pPr>
        <w:tabs>
          <w:tab w:val="left" w:pos="2079"/>
        </w:tabs>
        <w:spacing w:before="2" w:line="364"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第八部分</w:t>
      </w:r>
      <w:r>
        <w:rPr>
          <w:rFonts w:hint="eastAsia" w:ascii="仿宋" w:hAnsi="仿宋" w:eastAsia="仿宋" w:cs="仿宋"/>
          <w:b/>
          <w:sz w:val="24"/>
          <w:highlight w:val="none"/>
          <w:lang w:val="en-US"/>
        </w:rPr>
        <w:t xml:space="preserve"> </w:t>
      </w:r>
      <w:r>
        <w:rPr>
          <w:rFonts w:hint="eastAsia" w:ascii="仿宋" w:hAnsi="仿宋" w:eastAsia="仿宋" w:cs="仿宋"/>
          <w:b/>
          <w:sz w:val="24"/>
          <w:highlight w:val="none"/>
        </w:rPr>
        <w:t>投标文件的编制装订</w:t>
      </w:r>
    </w:p>
    <w:p w14:paraId="3AFA238A">
      <w:pPr>
        <w:pStyle w:val="9"/>
        <w:spacing w:line="364" w:lineRule="auto"/>
        <w:ind w:left="0"/>
        <w:rPr>
          <w:rFonts w:hint="eastAsia" w:ascii="仿宋" w:hAnsi="仿宋" w:eastAsia="仿宋" w:cs="仿宋"/>
          <w:highlight w:val="none"/>
        </w:rPr>
      </w:pPr>
    </w:p>
    <w:p w14:paraId="69717948">
      <w:pPr>
        <w:rPr>
          <w:rFonts w:hint="eastAsia" w:ascii="仿宋" w:hAnsi="仿宋" w:eastAsia="仿宋" w:cs="仿宋"/>
          <w:highlight w:val="none"/>
        </w:rPr>
      </w:pPr>
    </w:p>
    <w:p w14:paraId="2ED66CF0">
      <w:pPr>
        <w:rPr>
          <w:rFonts w:hint="eastAsia" w:ascii="仿宋" w:hAnsi="仿宋" w:eastAsia="仿宋" w:cs="仿宋"/>
          <w:highlight w:val="none"/>
        </w:rPr>
        <w:sectPr>
          <w:headerReference r:id="rId3" w:type="default"/>
          <w:footerReference r:id="rId4" w:type="default"/>
          <w:pgSz w:w="11910" w:h="16840"/>
          <w:pgMar w:top="1420" w:right="1134" w:bottom="1180" w:left="1160" w:header="878" w:footer="993" w:gutter="0"/>
          <w:pgNumType w:start="2"/>
          <w:cols w:space="720" w:num="1"/>
        </w:sectPr>
      </w:pPr>
    </w:p>
    <w:p w14:paraId="675BF10D">
      <w:pPr>
        <w:pStyle w:val="2"/>
        <w:spacing w:before="2"/>
        <w:ind w:left="0" w:leftChars="0" w:right="0" w:rightChars="0"/>
        <w:rPr>
          <w:rFonts w:hint="eastAsia" w:ascii="仿宋" w:hAnsi="仿宋" w:eastAsia="仿宋" w:cs="仿宋"/>
          <w:highlight w:val="none"/>
        </w:rPr>
      </w:pPr>
      <w:r>
        <w:rPr>
          <w:rFonts w:hint="eastAsia" w:ascii="仿宋" w:hAnsi="仿宋" w:eastAsia="仿宋" w:cs="仿宋"/>
          <w:highlight w:val="none"/>
          <w:lang w:val="en-US"/>
        </w:rPr>
        <w:t xml:space="preserve">第一部分 </w:t>
      </w:r>
      <w:r>
        <w:rPr>
          <w:rFonts w:hint="eastAsia" w:ascii="仿宋" w:hAnsi="仿宋" w:eastAsia="仿宋" w:cs="仿宋"/>
          <w:highlight w:val="none"/>
        </w:rPr>
        <w:t>招标公告</w:t>
      </w:r>
    </w:p>
    <w:p w14:paraId="34174E3A">
      <w:pPr>
        <w:spacing w:line="400" w:lineRule="exact"/>
        <w:jc w:val="center"/>
        <w:rPr>
          <w:rFonts w:hint="eastAsia" w:ascii="仿宋" w:hAnsi="仿宋" w:eastAsia="仿宋" w:cs="仿宋"/>
          <w:b/>
          <w:sz w:val="28"/>
          <w:szCs w:val="28"/>
          <w:highlight w:val="none"/>
          <w:lang w:val="en-US"/>
        </w:rPr>
      </w:pPr>
      <w:r>
        <w:rPr>
          <w:rFonts w:hint="eastAsia" w:ascii="仿宋" w:hAnsi="仿宋" w:eastAsia="仿宋" w:cs="仿宋"/>
          <w:b/>
          <w:sz w:val="28"/>
          <w:szCs w:val="28"/>
          <w:highlight w:val="none"/>
          <w:lang w:val="en-US"/>
        </w:rPr>
        <w:t>2026年新疆大学药学院“双一流”建设项目（新疆特色中药民族药综合开发利用平台）的公开招标公告</w:t>
      </w:r>
    </w:p>
    <w:p w14:paraId="66B3237E">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rPr>
        <w:t>项目概况</w:t>
      </w:r>
    </w:p>
    <w:p w14:paraId="775D6F73">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lang w:val="en-US"/>
        </w:rPr>
        <w:t>2026年新疆大学药学院“双一流”建设项目（新疆特色中药民族药综合开发利用平台）</w:t>
      </w:r>
      <w:r>
        <w:rPr>
          <w:rFonts w:hint="eastAsia" w:ascii="仿宋" w:hAnsi="仿宋" w:eastAsia="仿宋" w:cs="仿宋"/>
          <w:szCs w:val="24"/>
          <w:highlight w:val="none"/>
        </w:rPr>
        <w:t>招标项目的潜在投标人应在政采云https://www.zcygov.cn/平台后进入“项目采购”应用，在获取文件菜单中选择项目，申请获取采购文件，并于2026年</w:t>
      </w:r>
      <w:r>
        <w:rPr>
          <w:rFonts w:hint="eastAsia" w:ascii="仿宋" w:hAnsi="仿宋" w:eastAsia="仿宋" w:cs="仿宋"/>
          <w:szCs w:val="24"/>
          <w:highlight w:val="none"/>
          <w:lang w:val="en-US" w:eastAsia="zh-CN"/>
        </w:rPr>
        <w:t>5</w:t>
      </w:r>
      <w:r>
        <w:rPr>
          <w:rFonts w:hint="eastAsia" w:ascii="仿宋" w:hAnsi="仿宋" w:eastAsia="仿宋" w:cs="仿宋"/>
          <w:szCs w:val="24"/>
          <w:highlight w:val="none"/>
        </w:rPr>
        <w:t>月</w:t>
      </w:r>
      <w:r>
        <w:rPr>
          <w:rFonts w:hint="eastAsia" w:ascii="仿宋" w:hAnsi="仿宋" w:eastAsia="仿宋" w:cs="仿宋"/>
          <w:szCs w:val="24"/>
          <w:highlight w:val="none"/>
          <w:lang w:val="en-US" w:eastAsia="zh-CN"/>
        </w:rPr>
        <w:t>14</w:t>
      </w:r>
      <w:r>
        <w:rPr>
          <w:rFonts w:hint="eastAsia" w:ascii="仿宋" w:hAnsi="仿宋" w:eastAsia="仿宋" w:cs="仿宋"/>
          <w:szCs w:val="24"/>
          <w:highlight w:val="none"/>
        </w:rPr>
        <w:t>日 1</w:t>
      </w:r>
      <w:r>
        <w:rPr>
          <w:rFonts w:hint="eastAsia" w:ascii="仿宋" w:hAnsi="仿宋" w:eastAsia="仿宋" w:cs="仿宋"/>
          <w:szCs w:val="24"/>
          <w:highlight w:val="none"/>
          <w:lang w:val="en-US"/>
        </w:rPr>
        <w:t>1</w:t>
      </w:r>
      <w:r>
        <w:rPr>
          <w:rFonts w:hint="eastAsia" w:ascii="仿宋" w:hAnsi="仿宋" w:eastAsia="仿宋" w:cs="仿宋"/>
          <w:szCs w:val="24"/>
          <w:highlight w:val="none"/>
        </w:rPr>
        <w:t>:00（北京时间）前递交投标文件。</w:t>
      </w:r>
    </w:p>
    <w:p w14:paraId="7E317DFD">
      <w:pPr>
        <w:pStyle w:val="14"/>
        <w:widowControl/>
        <w:spacing w:before="255" w:beforeAutospacing="0" w:after="255" w:afterAutospacing="0" w:line="300" w:lineRule="atLeast"/>
        <w:jc w:val="both"/>
        <w:rPr>
          <w:rFonts w:hint="eastAsia" w:ascii="仿宋" w:hAnsi="仿宋" w:eastAsia="仿宋" w:cs="仿宋"/>
          <w:szCs w:val="24"/>
          <w:highlight w:val="none"/>
        </w:rPr>
      </w:pPr>
      <w:r>
        <w:rPr>
          <w:rStyle w:val="20"/>
          <w:rFonts w:hint="eastAsia" w:ascii="仿宋" w:hAnsi="仿宋" w:eastAsia="仿宋" w:cs="仿宋"/>
          <w:szCs w:val="24"/>
          <w:highlight w:val="none"/>
        </w:rPr>
        <w:t>一、项目基本情况</w:t>
      </w:r>
    </w:p>
    <w:p w14:paraId="3449ABE4">
      <w:pPr>
        <w:pStyle w:val="14"/>
        <w:widowControl/>
        <w:spacing w:before="75" w:beforeAutospacing="0" w:after="75" w:afterAutospacing="0" w:line="300" w:lineRule="atLeast"/>
        <w:ind w:firstLine="420"/>
        <w:rPr>
          <w:rFonts w:hint="eastAsia" w:ascii="仿宋" w:hAnsi="仿宋" w:eastAsia="仿宋" w:cs="仿宋"/>
          <w:szCs w:val="24"/>
          <w:highlight w:val="none"/>
          <w:lang w:val="en-US" w:eastAsia="zh-CN"/>
        </w:rPr>
      </w:pPr>
      <w:r>
        <w:rPr>
          <w:rFonts w:hint="eastAsia" w:ascii="仿宋" w:hAnsi="仿宋" w:eastAsia="仿宋" w:cs="仿宋"/>
          <w:szCs w:val="24"/>
          <w:highlight w:val="none"/>
        </w:rPr>
        <w:t>项目编号：</w:t>
      </w:r>
      <w:r>
        <w:rPr>
          <w:rFonts w:hint="eastAsia" w:ascii="仿宋" w:hAnsi="仿宋" w:eastAsia="仿宋" w:cs="仿宋"/>
          <w:szCs w:val="24"/>
          <w:highlight w:val="none"/>
          <w:lang w:val="en-US" w:eastAsia="zh-CN"/>
        </w:rPr>
        <w:t>XJHY-2026-007</w:t>
      </w:r>
    </w:p>
    <w:p w14:paraId="6F885739">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rPr>
        <w:t>项目名称：2026年新疆大学药学院“双一流”建设项目（新疆特色中药民族药综合开发利用平台） </w:t>
      </w:r>
    </w:p>
    <w:p w14:paraId="56B45165">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rPr>
        <w:t>采购方式：公开招标</w:t>
      </w:r>
    </w:p>
    <w:p w14:paraId="0793A00E">
      <w:pPr>
        <w:pStyle w:val="14"/>
        <w:widowControl/>
        <w:spacing w:before="75" w:beforeAutospacing="0" w:after="75" w:afterAutospacing="0" w:line="300" w:lineRule="atLeast"/>
        <w:ind w:firstLine="420"/>
        <w:rPr>
          <w:rFonts w:hint="eastAsia" w:ascii="仿宋" w:hAnsi="仿宋" w:eastAsia="仿宋" w:cs="仿宋"/>
          <w:szCs w:val="24"/>
          <w:highlight w:val="none"/>
          <w:lang w:val="en-US"/>
        </w:rPr>
      </w:pPr>
      <w:r>
        <w:rPr>
          <w:rFonts w:hint="eastAsia" w:ascii="仿宋" w:hAnsi="仿宋" w:eastAsia="仿宋" w:cs="仿宋"/>
          <w:szCs w:val="24"/>
          <w:highlight w:val="none"/>
        </w:rPr>
        <w:t>预算金额（元）：</w:t>
      </w:r>
      <w:r>
        <w:rPr>
          <w:rFonts w:hint="eastAsia" w:ascii="仿宋" w:hAnsi="仿宋" w:eastAsia="仿宋" w:cs="仿宋"/>
          <w:szCs w:val="24"/>
          <w:highlight w:val="none"/>
          <w:lang w:val="en-US"/>
        </w:rPr>
        <w:t>1970000.00</w:t>
      </w:r>
    </w:p>
    <w:p w14:paraId="58037B13">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rPr>
        <w:t>最高限价（元）：</w:t>
      </w:r>
      <w:r>
        <w:rPr>
          <w:rFonts w:hint="eastAsia" w:ascii="仿宋" w:hAnsi="仿宋" w:eastAsia="仿宋" w:cs="仿宋"/>
          <w:szCs w:val="24"/>
          <w:highlight w:val="none"/>
          <w:lang w:val="en-US"/>
        </w:rPr>
        <w:t>1970000.00</w:t>
      </w:r>
    </w:p>
    <w:p w14:paraId="7760380C">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rPr>
        <w:t>采购需求：</w:t>
      </w:r>
    </w:p>
    <w:p w14:paraId="14768598">
      <w:pPr>
        <w:pStyle w:val="14"/>
        <w:widowControl/>
        <w:spacing w:before="75" w:beforeAutospacing="0" w:after="75" w:afterAutospacing="0" w:line="300" w:lineRule="atLeast"/>
        <w:ind w:firstLine="420"/>
        <w:rPr>
          <w:rFonts w:hint="eastAsia" w:ascii="仿宋" w:hAnsi="仿宋" w:eastAsia="仿宋" w:cs="仿宋"/>
          <w:b/>
          <w:bCs/>
          <w:szCs w:val="24"/>
          <w:highlight w:val="none"/>
        </w:rPr>
      </w:pPr>
      <w:r>
        <w:rPr>
          <w:rFonts w:hint="eastAsia" w:ascii="仿宋" w:hAnsi="仿宋" w:eastAsia="仿宋" w:cs="仿宋"/>
          <w:b/>
          <w:bCs/>
          <w:szCs w:val="24"/>
          <w:highlight w:val="none"/>
          <w:lang w:val="en-US"/>
        </w:rPr>
        <w:t>标项1:2026年新疆大学药学院“双一流”建设项目（新疆特色中药民族药综合开发利用平台）第一包 </w:t>
      </w:r>
    </w:p>
    <w:p w14:paraId="36AFEB9C">
      <w:pPr>
        <w:pStyle w:val="14"/>
        <w:widowControl/>
        <w:spacing w:before="75" w:beforeAutospacing="0" w:after="75" w:afterAutospacing="0" w:line="300" w:lineRule="atLeast"/>
        <w:ind w:firstLine="420"/>
        <w:rPr>
          <w:rFonts w:hint="eastAsia" w:ascii="仿宋" w:hAnsi="仿宋" w:eastAsia="仿宋" w:cs="仿宋"/>
          <w:szCs w:val="24"/>
          <w:highlight w:val="none"/>
          <w:lang w:val="en-US"/>
        </w:rPr>
      </w:pPr>
      <w:r>
        <w:rPr>
          <w:rFonts w:hint="eastAsia" w:ascii="仿宋" w:hAnsi="仿宋" w:eastAsia="仿宋" w:cs="仿宋"/>
          <w:szCs w:val="24"/>
          <w:highlight w:val="none"/>
        </w:rPr>
        <w:t>数量：1</w:t>
      </w:r>
      <w:r>
        <w:rPr>
          <w:rFonts w:hint="eastAsia" w:ascii="仿宋" w:hAnsi="仿宋" w:eastAsia="仿宋" w:cs="仿宋"/>
          <w:szCs w:val="24"/>
          <w:highlight w:val="none"/>
          <w:lang w:val="en-US"/>
        </w:rPr>
        <w:t>批</w:t>
      </w:r>
    </w:p>
    <w:p w14:paraId="07949252">
      <w:pPr>
        <w:pStyle w:val="14"/>
        <w:widowControl/>
        <w:spacing w:before="75" w:beforeAutospacing="0" w:after="75" w:afterAutospacing="0" w:line="300" w:lineRule="atLeast"/>
        <w:ind w:firstLine="420"/>
        <w:rPr>
          <w:rFonts w:hint="eastAsia" w:ascii="仿宋" w:hAnsi="仿宋" w:eastAsia="仿宋" w:cs="仿宋"/>
          <w:szCs w:val="24"/>
          <w:highlight w:val="none"/>
          <w:lang w:val="en-US"/>
        </w:rPr>
      </w:pPr>
      <w:r>
        <w:rPr>
          <w:rFonts w:hint="eastAsia" w:ascii="仿宋" w:hAnsi="仿宋" w:eastAsia="仿宋" w:cs="仿宋"/>
          <w:szCs w:val="24"/>
          <w:highlight w:val="none"/>
        </w:rPr>
        <w:t>预算金额（元）：</w:t>
      </w:r>
      <w:r>
        <w:rPr>
          <w:rFonts w:hint="eastAsia" w:ascii="仿宋" w:hAnsi="仿宋" w:eastAsia="仿宋" w:cs="仿宋"/>
          <w:szCs w:val="24"/>
          <w:highlight w:val="none"/>
          <w:lang w:val="en-US"/>
        </w:rPr>
        <w:t>1330000.00</w:t>
      </w:r>
    </w:p>
    <w:p w14:paraId="3D56D283">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rPr>
        <w:t>简要规格描述或项目基本概况介绍、用途：</w:t>
      </w:r>
      <w:r>
        <w:rPr>
          <w:rFonts w:hint="eastAsia" w:ascii="仿宋" w:hAnsi="仿宋" w:eastAsia="仿宋" w:cs="仿宋"/>
          <w:szCs w:val="24"/>
          <w:highlight w:val="none"/>
          <w:lang w:val="en-US"/>
        </w:rPr>
        <w:t>为新疆大学药学院“双一流”建设，采购及安装</w:t>
      </w:r>
      <w:r>
        <w:rPr>
          <w:rFonts w:hint="eastAsia" w:ascii="仿宋" w:hAnsi="仿宋" w:eastAsia="仿宋" w:cs="仿宋"/>
          <w:szCs w:val="24"/>
          <w:highlight w:val="none"/>
        </w:rPr>
        <w:t>防爆药品柜、酸碱柜、动物细胞培养与复杂蛋白制备系统、落地冷冻离心机、台式高速冷冻离心机</w:t>
      </w:r>
      <w:r>
        <w:rPr>
          <w:rFonts w:hint="eastAsia" w:ascii="仿宋" w:hAnsi="仿宋" w:eastAsia="仿宋" w:cs="仿宋"/>
          <w:szCs w:val="24"/>
          <w:highlight w:val="none"/>
          <w:lang w:val="en-US"/>
        </w:rPr>
        <w:t>等，</w:t>
      </w:r>
      <w:r>
        <w:rPr>
          <w:rFonts w:hint="eastAsia" w:ascii="仿宋" w:hAnsi="仿宋" w:eastAsia="仿宋" w:cs="仿宋"/>
          <w:szCs w:val="24"/>
          <w:highlight w:val="none"/>
        </w:rPr>
        <w:t>具体详见采购文件。</w:t>
      </w:r>
    </w:p>
    <w:p w14:paraId="1D709EA1">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rPr>
        <w:t>备注：</w:t>
      </w:r>
    </w:p>
    <w:p w14:paraId="306DD04C">
      <w:pPr>
        <w:pStyle w:val="14"/>
        <w:widowControl/>
        <w:spacing w:before="75" w:beforeAutospacing="0" w:after="75" w:afterAutospacing="0" w:line="300" w:lineRule="atLeast"/>
        <w:ind w:firstLine="420"/>
        <w:rPr>
          <w:rFonts w:hint="eastAsia" w:ascii="仿宋" w:hAnsi="仿宋" w:eastAsia="仿宋" w:cs="仿宋"/>
          <w:szCs w:val="24"/>
          <w:highlight w:val="none"/>
          <w:lang w:val="en-US"/>
        </w:rPr>
      </w:pPr>
      <w:r>
        <w:rPr>
          <w:rFonts w:hint="eastAsia" w:ascii="仿宋" w:hAnsi="仿宋" w:eastAsia="仿宋" w:cs="仿宋"/>
          <w:szCs w:val="24"/>
          <w:highlight w:val="none"/>
        </w:rPr>
        <w:t>合同履约期限：</w:t>
      </w:r>
      <w:r>
        <w:rPr>
          <w:rFonts w:hint="eastAsia" w:ascii="仿宋" w:hAnsi="仿宋" w:eastAsia="仿宋" w:cs="仿宋"/>
          <w:szCs w:val="24"/>
          <w:highlight w:val="none"/>
          <w:lang w:val="en-US"/>
        </w:rPr>
        <w:t>具体详见采购文件。</w:t>
      </w:r>
    </w:p>
    <w:p w14:paraId="70BD0F8D">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rPr>
        <w:t>本项目（否）接受联合体投标。</w:t>
      </w:r>
    </w:p>
    <w:p w14:paraId="7A54876F">
      <w:pPr>
        <w:pStyle w:val="14"/>
        <w:widowControl/>
        <w:spacing w:before="75" w:beforeAutospacing="0" w:after="75" w:afterAutospacing="0" w:line="300" w:lineRule="atLeast"/>
        <w:ind w:firstLine="420"/>
        <w:rPr>
          <w:rFonts w:hint="eastAsia" w:ascii="仿宋" w:hAnsi="仿宋" w:eastAsia="仿宋" w:cs="仿宋"/>
          <w:b/>
          <w:bCs/>
          <w:szCs w:val="24"/>
          <w:highlight w:val="none"/>
          <w:lang w:val="en-US"/>
        </w:rPr>
      </w:pPr>
      <w:r>
        <w:rPr>
          <w:rFonts w:hint="eastAsia" w:ascii="仿宋" w:hAnsi="仿宋" w:eastAsia="仿宋" w:cs="仿宋"/>
          <w:kern w:val="0"/>
          <w:szCs w:val="24"/>
          <w:highlight w:val="none"/>
        </w:rPr>
        <w:t>标项</w:t>
      </w:r>
      <w:r>
        <w:rPr>
          <w:rFonts w:hint="eastAsia" w:ascii="仿宋" w:hAnsi="仿宋" w:eastAsia="仿宋" w:cs="仿宋"/>
          <w:kern w:val="0"/>
          <w:szCs w:val="24"/>
          <w:highlight w:val="none"/>
          <w:lang w:val="en-US"/>
        </w:rPr>
        <w:t>2:</w:t>
      </w:r>
      <w:r>
        <w:rPr>
          <w:rFonts w:hint="eastAsia" w:ascii="仿宋" w:hAnsi="仿宋" w:eastAsia="仿宋" w:cs="仿宋"/>
          <w:b/>
          <w:bCs/>
          <w:szCs w:val="24"/>
          <w:highlight w:val="none"/>
          <w:lang w:val="en-US"/>
        </w:rPr>
        <w:t>2026年新疆大学药学院“双一流”建设项目（新疆特色中药民族药综合开发利用平台）第二包</w:t>
      </w:r>
    </w:p>
    <w:p w14:paraId="796F9C2A">
      <w:pPr>
        <w:pStyle w:val="14"/>
        <w:widowControl/>
        <w:spacing w:before="75" w:beforeAutospacing="0" w:after="75" w:afterAutospacing="0" w:line="300" w:lineRule="atLeast"/>
        <w:ind w:firstLine="420"/>
        <w:rPr>
          <w:rFonts w:hint="eastAsia" w:ascii="仿宋" w:hAnsi="仿宋" w:eastAsia="仿宋" w:cs="仿宋"/>
          <w:szCs w:val="24"/>
          <w:highlight w:val="none"/>
          <w:lang w:val="en-US"/>
        </w:rPr>
      </w:pPr>
      <w:r>
        <w:rPr>
          <w:rFonts w:hint="eastAsia" w:ascii="仿宋" w:hAnsi="仿宋" w:eastAsia="仿宋" w:cs="仿宋"/>
          <w:szCs w:val="24"/>
          <w:highlight w:val="none"/>
        </w:rPr>
        <w:t>数量：1</w:t>
      </w:r>
      <w:r>
        <w:rPr>
          <w:rFonts w:hint="eastAsia" w:ascii="仿宋" w:hAnsi="仿宋" w:eastAsia="仿宋" w:cs="仿宋"/>
          <w:szCs w:val="24"/>
          <w:highlight w:val="none"/>
          <w:lang w:val="en-US"/>
        </w:rPr>
        <w:t>批</w:t>
      </w:r>
    </w:p>
    <w:p w14:paraId="07D433EA">
      <w:pPr>
        <w:pStyle w:val="14"/>
        <w:widowControl/>
        <w:spacing w:before="75" w:beforeAutospacing="0" w:after="75" w:afterAutospacing="0" w:line="300" w:lineRule="atLeast"/>
        <w:ind w:firstLine="420"/>
        <w:rPr>
          <w:rFonts w:hint="eastAsia" w:ascii="仿宋" w:hAnsi="仿宋" w:eastAsia="仿宋" w:cs="仿宋"/>
          <w:szCs w:val="24"/>
          <w:highlight w:val="none"/>
          <w:lang w:val="en-US"/>
        </w:rPr>
      </w:pPr>
      <w:r>
        <w:rPr>
          <w:rFonts w:hint="eastAsia" w:ascii="仿宋" w:hAnsi="仿宋" w:eastAsia="仿宋" w:cs="仿宋"/>
          <w:szCs w:val="24"/>
          <w:highlight w:val="none"/>
        </w:rPr>
        <w:t>预算金额（元）：</w:t>
      </w:r>
      <w:r>
        <w:rPr>
          <w:rFonts w:hint="eastAsia" w:ascii="仿宋" w:hAnsi="仿宋" w:eastAsia="仿宋" w:cs="仿宋"/>
          <w:szCs w:val="24"/>
          <w:highlight w:val="none"/>
          <w:lang w:val="en-US"/>
        </w:rPr>
        <w:t>640000.00</w:t>
      </w:r>
    </w:p>
    <w:p w14:paraId="1DAE13E5">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rPr>
        <w:t>简要规格描述或项目基本概况介绍、用途：</w:t>
      </w:r>
      <w:r>
        <w:rPr>
          <w:rFonts w:hint="eastAsia" w:ascii="仿宋" w:hAnsi="仿宋" w:eastAsia="仿宋" w:cs="仿宋"/>
          <w:szCs w:val="24"/>
          <w:highlight w:val="none"/>
          <w:lang w:val="en-US"/>
        </w:rPr>
        <w:t>为新疆大学药学院“双一流”建设，采购及安装</w:t>
      </w:r>
      <w:r>
        <w:rPr>
          <w:rFonts w:hint="eastAsia" w:ascii="仿宋" w:hAnsi="仿宋" w:eastAsia="仿宋" w:cs="仿宋"/>
          <w:szCs w:val="24"/>
          <w:highlight w:val="none"/>
        </w:rPr>
        <w:t>高效液相色谱仪</w:t>
      </w:r>
      <w:r>
        <w:rPr>
          <w:rFonts w:hint="eastAsia" w:ascii="仿宋" w:hAnsi="仿宋" w:eastAsia="仿宋" w:cs="仿宋"/>
          <w:szCs w:val="24"/>
          <w:highlight w:val="none"/>
          <w:lang w:val="en-US"/>
        </w:rPr>
        <w:t>等，</w:t>
      </w:r>
      <w:r>
        <w:rPr>
          <w:rFonts w:hint="eastAsia" w:ascii="仿宋" w:hAnsi="仿宋" w:eastAsia="仿宋" w:cs="仿宋"/>
          <w:szCs w:val="24"/>
          <w:highlight w:val="none"/>
        </w:rPr>
        <w:t>具体详见采购文件。</w:t>
      </w:r>
    </w:p>
    <w:p w14:paraId="5B7A8610">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rPr>
        <w:t>备注：</w:t>
      </w:r>
    </w:p>
    <w:p w14:paraId="61D5E474">
      <w:pPr>
        <w:pStyle w:val="14"/>
        <w:widowControl/>
        <w:spacing w:before="75" w:beforeAutospacing="0" w:after="75" w:afterAutospacing="0" w:line="300" w:lineRule="atLeast"/>
        <w:ind w:firstLine="420"/>
        <w:rPr>
          <w:rFonts w:hint="eastAsia" w:ascii="仿宋" w:hAnsi="仿宋" w:eastAsia="仿宋" w:cs="仿宋"/>
          <w:szCs w:val="24"/>
          <w:highlight w:val="none"/>
          <w:lang w:val="en-US"/>
        </w:rPr>
      </w:pPr>
      <w:r>
        <w:rPr>
          <w:rFonts w:hint="eastAsia" w:ascii="仿宋" w:hAnsi="仿宋" w:eastAsia="仿宋" w:cs="仿宋"/>
          <w:szCs w:val="24"/>
          <w:highlight w:val="none"/>
        </w:rPr>
        <w:t>合同履约期限：</w:t>
      </w:r>
      <w:r>
        <w:rPr>
          <w:rFonts w:hint="eastAsia" w:ascii="仿宋" w:hAnsi="仿宋" w:eastAsia="仿宋" w:cs="仿宋"/>
          <w:szCs w:val="24"/>
          <w:highlight w:val="none"/>
          <w:lang w:val="en-US"/>
        </w:rPr>
        <w:t>具体详见采购文件。</w:t>
      </w:r>
    </w:p>
    <w:p w14:paraId="0BC90141">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rPr>
        <w:t>本项目（否）接受联合体投标。</w:t>
      </w:r>
    </w:p>
    <w:p w14:paraId="6BA47178">
      <w:pPr>
        <w:pStyle w:val="14"/>
        <w:widowControl/>
        <w:spacing w:before="75" w:beforeAutospacing="0" w:after="75" w:afterAutospacing="0" w:line="300" w:lineRule="atLeast"/>
        <w:rPr>
          <w:rFonts w:hint="eastAsia" w:ascii="仿宋" w:hAnsi="仿宋" w:eastAsia="仿宋" w:cs="仿宋"/>
          <w:szCs w:val="24"/>
          <w:highlight w:val="none"/>
        </w:rPr>
      </w:pPr>
      <w:r>
        <w:rPr>
          <w:rStyle w:val="20"/>
          <w:rFonts w:hint="eastAsia" w:ascii="仿宋" w:hAnsi="仿宋" w:eastAsia="仿宋" w:cs="仿宋"/>
          <w:szCs w:val="24"/>
          <w:highlight w:val="none"/>
        </w:rPr>
        <w:t>二、申请人的资格要求：</w:t>
      </w:r>
    </w:p>
    <w:p w14:paraId="2AFB880F">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rPr>
        <w:t>1.满足《中华人民共和国政府采购法》第二十二条规定；</w:t>
      </w:r>
    </w:p>
    <w:p w14:paraId="682F1CE7">
      <w:pPr>
        <w:pStyle w:val="14"/>
        <w:widowControl/>
        <w:autoSpaceDE/>
        <w:autoSpaceDN/>
        <w:spacing w:before="0" w:beforeAutospacing="0" w:after="0" w:afterAutospacing="0" w:line="240" w:lineRule="auto"/>
        <w:ind w:left="0" w:leftChars="0"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2.落实政府采购政策需满足的资格要求：符合政府采购优先（节约能源、保护环境）采购政策及促进中小企业（监狱企业、残疾人福利性单位）发展政策的，依据规定给予评审优惠。</w:t>
      </w:r>
    </w:p>
    <w:p w14:paraId="642EB614">
      <w:pPr>
        <w:pStyle w:val="14"/>
        <w:widowControl/>
        <w:spacing w:before="75" w:beforeAutospacing="0" w:after="75" w:afterAutospacing="0" w:line="300" w:lineRule="atLeast"/>
        <w:ind w:firstLine="420"/>
        <w:rPr>
          <w:rFonts w:hint="eastAsia" w:ascii="仿宋" w:hAnsi="仿宋" w:eastAsia="仿宋" w:cs="仿宋"/>
          <w:szCs w:val="24"/>
          <w:highlight w:val="none"/>
          <w:lang w:val="en-US" w:eastAsia="zh-CN"/>
        </w:rPr>
      </w:pPr>
      <w:r>
        <w:rPr>
          <w:rFonts w:hint="eastAsia" w:ascii="仿宋" w:hAnsi="仿宋" w:eastAsia="仿宋" w:cs="仿宋"/>
          <w:szCs w:val="24"/>
          <w:highlight w:val="none"/>
        </w:rPr>
        <w:t>3.本项目的特定资格要求：</w:t>
      </w:r>
    </w:p>
    <w:p w14:paraId="28B93C34">
      <w:pPr>
        <w:pStyle w:val="14"/>
        <w:widowControl/>
        <w:spacing w:before="75" w:beforeAutospacing="0" w:after="75" w:afterAutospacing="0" w:line="300" w:lineRule="atLeast"/>
        <w:ind w:firstLine="420"/>
        <w:rPr>
          <w:rFonts w:hint="eastAsia" w:ascii="仿宋" w:hAnsi="仿宋" w:eastAsia="仿宋" w:cs="仿宋"/>
          <w:szCs w:val="24"/>
          <w:highlight w:val="none"/>
          <w:lang w:val="en-US" w:eastAsia="zh-CN"/>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）凡拟参加本次招标项目的投标人须具有良好的信誉，未在“信用中国”网站（www.creditchina.gov.cn）被列入失信被执行人、</w:t>
      </w:r>
      <w:r>
        <w:rPr>
          <w:rFonts w:hint="eastAsia" w:ascii="仿宋" w:hAnsi="仿宋" w:eastAsia="仿宋" w:cs="仿宋"/>
          <w:szCs w:val="24"/>
          <w:highlight w:val="none"/>
          <w:lang w:eastAsia="zh-CN"/>
        </w:rPr>
        <w:t>重大税收违法失信主体</w:t>
      </w:r>
      <w:r>
        <w:rPr>
          <w:rFonts w:hint="eastAsia" w:ascii="仿宋" w:hAnsi="仿宋" w:eastAsia="仿宋" w:cs="仿宋"/>
          <w:color w:val="auto"/>
          <w:szCs w:val="24"/>
          <w:highlight w:val="none"/>
        </w:rPr>
        <w:t>、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w:t>
      </w:r>
      <w:r>
        <w:rPr>
          <w:rFonts w:hint="eastAsia" w:ascii="仿宋" w:hAnsi="仿宋" w:eastAsia="仿宋" w:cs="仿宋"/>
          <w:color w:val="auto"/>
          <w:szCs w:val="24"/>
          <w:highlight w:val="none"/>
          <w:lang w:eastAsia="zh-CN"/>
        </w:rPr>
        <w:t>参与</w:t>
      </w:r>
      <w:r>
        <w:rPr>
          <w:rFonts w:hint="eastAsia" w:ascii="仿宋" w:hAnsi="仿宋" w:eastAsia="仿宋" w:cs="仿宋"/>
          <w:color w:val="auto"/>
          <w:szCs w:val="24"/>
          <w:highlight w:val="none"/>
        </w:rPr>
        <w:t>本次招标活动；</w:t>
      </w:r>
    </w:p>
    <w:p w14:paraId="4839B384">
      <w:pPr>
        <w:pStyle w:val="14"/>
        <w:widowControl/>
        <w:spacing w:before="255" w:beforeAutospacing="0" w:after="255" w:afterAutospacing="0" w:line="300" w:lineRule="atLeast"/>
        <w:jc w:val="both"/>
        <w:rPr>
          <w:rFonts w:hint="eastAsia" w:ascii="仿宋" w:hAnsi="仿宋" w:eastAsia="仿宋" w:cs="仿宋"/>
          <w:szCs w:val="24"/>
          <w:highlight w:val="none"/>
        </w:rPr>
      </w:pPr>
      <w:r>
        <w:rPr>
          <w:rStyle w:val="20"/>
          <w:rFonts w:hint="eastAsia" w:ascii="仿宋" w:hAnsi="仿宋" w:eastAsia="仿宋" w:cs="仿宋"/>
          <w:szCs w:val="24"/>
          <w:highlight w:val="none"/>
        </w:rPr>
        <w:t>三、获取招标文件</w:t>
      </w:r>
    </w:p>
    <w:p w14:paraId="2D441900">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rPr>
        <w:t>时间：2026年</w:t>
      </w:r>
      <w:r>
        <w:rPr>
          <w:rFonts w:hint="eastAsia" w:ascii="仿宋" w:hAnsi="仿宋" w:eastAsia="仿宋" w:cs="仿宋"/>
          <w:szCs w:val="24"/>
          <w:highlight w:val="none"/>
          <w:lang w:val="en-US" w:eastAsia="zh-CN"/>
        </w:rPr>
        <w:t>4</w:t>
      </w:r>
      <w:r>
        <w:rPr>
          <w:rFonts w:hint="eastAsia" w:ascii="仿宋" w:hAnsi="仿宋" w:eastAsia="仿宋" w:cs="仿宋"/>
          <w:szCs w:val="24"/>
          <w:highlight w:val="none"/>
        </w:rPr>
        <w:t>月</w:t>
      </w:r>
      <w:r>
        <w:rPr>
          <w:rFonts w:hint="eastAsia" w:ascii="仿宋" w:hAnsi="仿宋" w:eastAsia="仿宋" w:cs="仿宋"/>
          <w:szCs w:val="24"/>
          <w:highlight w:val="none"/>
          <w:lang w:val="en-US" w:eastAsia="zh-CN"/>
        </w:rPr>
        <w:t>22</w:t>
      </w:r>
      <w:r>
        <w:rPr>
          <w:rFonts w:hint="eastAsia" w:ascii="仿宋" w:hAnsi="仿宋" w:eastAsia="仿宋" w:cs="仿宋"/>
          <w:szCs w:val="24"/>
          <w:highlight w:val="none"/>
        </w:rPr>
        <w:t>日至2026年</w:t>
      </w:r>
      <w:r>
        <w:rPr>
          <w:rFonts w:hint="eastAsia" w:ascii="仿宋" w:hAnsi="仿宋" w:eastAsia="仿宋" w:cs="仿宋"/>
          <w:szCs w:val="24"/>
          <w:highlight w:val="none"/>
          <w:lang w:val="en-US" w:eastAsia="zh-CN"/>
        </w:rPr>
        <w:t>4</w:t>
      </w:r>
      <w:r>
        <w:rPr>
          <w:rFonts w:hint="eastAsia" w:ascii="仿宋" w:hAnsi="仿宋" w:eastAsia="仿宋" w:cs="仿宋"/>
          <w:szCs w:val="24"/>
          <w:highlight w:val="none"/>
        </w:rPr>
        <w:t>月</w:t>
      </w:r>
      <w:r>
        <w:rPr>
          <w:rFonts w:hint="eastAsia" w:ascii="仿宋" w:hAnsi="仿宋" w:eastAsia="仿宋" w:cs="仿宋"/>
          <w:szCs w:val="24"/>
          <w:highlight w:val="none"/>
          <w:lang w:val="en-US" w:eastAsia="zh-CN"/>
        </w:rPr>
        <w:t>29</w:t>
      </w:r>
      <w:r>
        <w:rPr>
          <w:rFonts w:hint="eastAsia" w:ascii="仿宋" w:hAnsi="仿宋" w:eastAsia="仿宋" w:cs="仿宋"/>
          <w:szCs w:val="24"/>
          <w:highlight w:val="none"/>
        </w:rPr>
        <w:t>日，每天上午</w:t>
      </w:r>
      <w:r>
        <w:rPr>
          <w:rFonts w:hint="eastAsia" w:ascii="仿宋" w:hAnsi="仿宋" w:eastAsia="仿宋" w:cs="仿宋"/>
          <w:szCs w:val="24"/>
          <w:highlight w:val="none"/>
          <w:lang w:val="en-US" w:eastAsia="zh-CN"/>
        </w:rPr>
        <w:t>0</w:t>
      </w:r>
      <w:r>
        <w:rPr>
          <w:rFonts w:hint="eastAsia" w:ascii="仿宋" w:hAnsi="仿宋" w:eastAsia="仿宋" w:cs="仿宋"/>
          <w:szCs w:val="24"/>
          <w:highlight w:val="none"/>
        </w:rPr>
        <w:t>0:00至1</w:t>
      </w:r>
      <w:r>
        <w:rPr>
          <w:rFonts w:hint="eastAsia" w:ascii="仿宋" w:hAnsi="仿宋" w:eastAsia="仿宋" w:cs="仿宋"/>
          <w:szCs w:val="24"/>
          <w:highlight w:val="none"/>
          <w:lang w:val="en-US" w:eastAsia="zh-CN"/>
        </w:rPr>
        <w:t>4</w:t>
      </w:r>
      <w:r>
        <w:rPr>
          <w:rFonts w:hint="eastAsia" w:ascii="仿宋" w:hAnsi="仿宋" w:eastAsia="仿宋" w:cs="仿宋"/>
          <w:szCs w:val="24"/>
          <w:highlight w:val="none"/>
        </w:rPr>
        <w:t>:00，下午1</w:t>
      </w:r>
      <w:r>
        <w:rPr>
          <w:rFonts w:hint="eastAsia" w:ascii="仿宋" w:hAnsi="仿宋" w:eastAsia="仿宋" w:cs="仿宋"/>
          <w:szCs w:val="24"/>
          <w:highlight w:val="none"/>
          <w:lang w:val="en-US" w:eastAsia="zh-CN"/>
        </w:rPr>
        <w:t>4</w:t>
      </w:r>
      <w:r>
        <w:rPr>
          <w:rFonts w:hint="eastAsia" w:ascii="仿宋" w:hAnsi="仿宋" w:eastAsia="仿宋" w:cs="仿宋"/>
          <w:szCs w:val="24"/>
          <w:highlight w:val="none"/>
        </w:rPr>
        <w:t>:00至</w:t>
      </w:r>
      <w:r>
        <w:rPr>
          <w:rFonts w:hint="eastAsia" w:ascii="仿宋" w:hAnsi="仿宋" w:eastAsia="仿宋" w:cs="仿宋"/>
          <w:szCs w:val="24"/>
          <w:highlight w:val="none"/>
          <w:lang w:val="en-US" w:eastAsia="zh-CN"/>
        </w:rPr>
        <w:t>23</w:t>
      </w: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59</w:t>
      </w:r>
      <w:r>
        <w:rPr>
          <w:rFonts w:hint="eastAsia" w:ascii="仿宋" w:hAnsi="仿宋" w:eastAsia="仿宋" w:cs="仿宋"/>
          <w:szCs w:val="24"/>
          <w:highlight w:val="none"/>
        </w:rPr>
        <w:t>（北京时间，法定节假日除外）</w:t>
      </w:r>
    </w:p>
    <w:p w14:paraId="5C9EE198">
      <w:pPr>
        <w:pStyle w:val="14"/>
        <w:widowControl/>
        <w:spacing w:before="75" w:beforeAutospacing="0" w:after="75" w:afterAutospacing="0" w:line="300" w:lineRule="atLeast"/>
        <w:ind w:firstLine="420"/>
        <w:rPr>
          <w:rFonts w:hint="eastAsia" w:ascii="仿宋" w:hAnsi="仿宋" w:eastAsia="仿宋" w:cs="仿宋"/>
          <w:szCs w:val="24"/>
          <w:highlight w:val="none"/>
          <w:lang w:val="en-US"/>
        </w:rPr>
      </w:pPr>
      <w:r>
        <w:rPr>
          <w:rFonts w:hint="eastAsia" w:ascii="仿宋" w:hAnsi="仿宋" w:eastAsia="仿宋" w:cs="仿宋"/>
          <w:szCs w:val="24"/>
          <w:highlight w:val="none"/>
        </w:rPr>
        <w:t>地点：政采云https://www.zcygov.cn/平台后进入“项目采购”应用，在获取文件菜单中选择项目，申请获取采购文件</w:t>
      </w:r>
    </w:p>
    <w:p w14:paraId="48624566">
      <w:pPr>
        <w:pStyle w:val="14"/>
        <w:widowControl/>
        <w:spacing w:before="75" w:beforeAutospacing="0" w:after="75" w:afterAutospacing="0" w:line="300" w:lineRule="atLeast"/>
        <w:ind w:firstLine="420"/>
        <w:rPr>
          <w:rFonts w:hint="eastAsia" w:ascii="仿宋" w:hAnsi="仿宋" w:eastAsia="仿宋" w:cs="仿宋"/>
          <w:szCs w:val="24"/>
          <w:highlight w:val="none"/>
          <w:lang w:val="en-US"/>
        </w:rPr>
      </w:pPr>
      <w:r>
        <w:rPr>
          <w:rFonts w:hint="eastAsia" w:ascii="仿宋" w:hAnsi="仿宋" w:eastAsia="仿宋" w:cs="仿宋"/>
          <w:szCs w:val="24"/>
          <w:highlight w:val="none"/>
        </w:rPr>
        <w:t>方式</w:t>
      </w:r>
      <w:r>
        <w:rPr>
          <w:rFonts w:hint="eastAsia" w:ascii="仿宋" w:hAnsi="仿宋" w:eastAsia="仿宋" w:cs="仿宋"/>
          <w:szCs w:val="24"/>
          <w:highlight w:val="none"/>
          <w:lang w:val="en-US"/>
        </w:rPr>
        <w:t>：</w:t>
      </w:r>
      <w:r>
        <w:rPr>
          <w:rFonts w:hint="eastAsia" w:ascii="仿宋" w:hAnsi="仿宋" w:eastAsia="仿宋" w:cs="仿宋"/>
          <w:szCs w:val="24"/>
          <w:highlight w:val="none"/>
        </w:rPr>
        <w:t>投标单位须办理</w:t>
      </w:r>
      <w:r>
        <w:rPr>
          <w:rFonts w:hint="eastAsia" w:ascii="仿宋" w:hAnsi="仿宋" w:eastAsia="仿宋" w:cs="仿宋"/>
          <w:szCs w:val="24"/>
          <w:highlight w:val="none"/>
          <w:lang w:val="en-US"/>
        </w:rPr>
        <w:t>CA</w:t>
      </w:r>
      <w:r>
        <w:rPr>
          <w:rFonts w:hint="eastAsia" w:ascii="仿宋" w:hAnsi="仿宋" w:eastAsia="仿宋" w:cs="仿宋"/>
          <w:szCs w:val="24"/>
          <w:highlight w:val="none"/>
        </w:rPr>
        <w:t>数字证书</w:t>
      </w:r>
      <w:r>
        <w:rPr>
          <w:rFonts w:hint="eastAsia" w:ascii="仿宋" w:hAnsi="仿宋" w:eastAsia="仿宋" w:cs="仿宋"/>
          <w:szCs w:val="24"/>
          <w:highlight w:val="none"/>
          <w:lang w:val="en-US"/>
        </w:rPr>
        <w:t>，</w:t>
      </w:r>
      <w:r>
        <w:rPr>
          <w:rFonts w:hint="eastAsia" w:ascii="仿宋" w:hAnsi="仿宋" w:eastAsia="仿宋" w:cs="仿宋"/>
          <w:szCs w:val="24"/>
          <w:highlight w:val="none"/>
        </w:rPr>
        <w:t>通过</w:t>
      </w:r>
      <w:r>
        <w:rPr>
          <w:rFonts w:hint="eastAsia" w:ascii="仿宋" w:hAnsi="仿宋" w:eastAsia="仿宋" w:cs="仿宋"/>
          <w:szCs w:val="24"/>
          <w:highlight w:val="none"/>
          <w:lang w:val="en-US"/>
        </w:rPr>
        <w:t>CA</w:t>
      </w:r>
      <w:r>
        <w:rPr>
          <w:rFonts w:hint="eastAsia" w:ascii="仿宋" w:hAnsi="仿宋" w:eastAsia="仿宋" w:cs="仿宋"/>
          <w:szCs w:val="24"/>
          <w:highlight w:val="none"/>
        </w:rPr>
        <w:t>数字证书登录政采云平台</w:t>
      </w:r>
      <w:r>
        <w:rPr>
          <w:rFonts w:hint="eastAsia" w:ascii="仿宋" w:hAnsi="仿宋" w:eastAsia="仿宋" w:cs="仿宋"/>
          <w:szCs w:val="24"/>
          <w:highlight w:val="none"/>
          <w:lang w:val="en-US"/>
        </w:rPr>
        <w:t>https://www.zcygov.cn/，</w:t>
      </w:r>
      <w:r>
        <w:rPr>
          <w:rFonts w:hint="eastAsia" w:ascii="仿宋" w:hAnsi="仿宋" w:eastAsia="仿宋" w:cs="仿宋"/>
          <w:szCs w:val="24"/>
          <w:highlight w:val="none"/>
        </w:rPr>
        <w:t>进行下载采购文件。</w:t>
      </w:r>
    </w:p>
    <w:p w14:paraId="65269E0D">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rPr>
        <w:t>售价（元）：0</w:t>
      </w:r>
    </w:p>
    <w:p w14:paraId="270E3D76">
      <w:pPr>
        <w:pStyle w:val="14"/>
        <w:widowControl/>
        <w:numPr>
          <w:ilvl w:val="0"/>
          <w:numId w:val="2"/>
        </w:numPr>
        <w:spacing w:before="255" w:beforeAutospacing="0" w:after="255" w:afterAutospacing="0" w:line="300" w:lineRule="atLeast"/>
        <w:jc w:val="both"/>
        <w:rPr>
          <w:rStyle w:val="20"/>
          <w:rFonts w:hint="eastAsia" w:ascii="仿宋" w:hAnsi="仿宋" w:eastAsia="仿宋" w:cs="仿宋"/>
          <w:szCs w:val="24"/>
          <w:highlight w:val="none"/>
        </w:rPr>
      </w:pPr>
      <w:r>
        <w:rPr>
          <w:rStyle w:val="20"/>
          <w:rFonts w:hint="eastAsia" w:ascii="仿宋" w:hAnsi="仿宋" w:eastAsia="仿宋" w:cs="仿宋"/>
          <w:szCs w:val="24"/>
          <w:highlight w:val="none"/>
        </w:rPr>
        <w:t>提交投标文件截止时间、开标时间和地点</w:t>
      </w:r>
    </w:p>
    <w:p w14:paraId="2A374E1C">
      <w:pPr>
        <w:pStyle w:val="14"/>
        <w:widowControl/>
        <w:spacing w:before="255" w:beforeAutospacing="0" w:after="255" w:afterAutospacing="0"/>
        <w:jc w:val="both"/>
        <w:rPr>
          <w:rStyle w:val="20"/>
          <w:rFonts w:hint="eastAsia" w:ascii="仿宋" w:hAnsi="仿宋" w:eastAsia="仿宋" w:cs="仿宋"/>
          <w:b w:val="0"/>
          <w:bCs/>
          <w:szCs w:val="24"/>
          <w:highlight w:val="none"/>
        </w:rPr>
      </w:pPr>
      <w:r>
        <w:rPr>
          <w:rStyle w:val="20"/>
          <w:rFonts w:hint="eastAsia" w:ascii="仿宋" w:hAnsi="仿宋" w:eastAsia="仿宋" w:cs="仿宋"/>
          <w:b w:val="0"/>
          <w:bCs/>
          <w:szCs w:val="24"/>
          <w:highlight w:val="none"/>
        </w:rPr>
        <w:t>提交投标文件截止时间：2026年</w:t>
      </w:r>
      <w:r>
        <w:rPr>
          <w:rStyle w:val="20"/>
          <w:rFonts w:hint="eastAsia" w:ascii="仿宋" w:hAnsi="仿宋" w:eastAsia="仿宋" w:cs="仿宋"/>
          <w:b w:val="0"/>
          <w:bCs/>
          <w:szCs w:val="24"/>
          <w:highlight w:val="none"/>
          <w:lang w:val="en-US" w:eastAsia="zh-CN"/>
        </w:rPr>
        <w:t>5</w:t>
      </w:r>
      <w:r>
        <w:rPr>
          <w:rStyle w:val="20"/>
          <w:rFonts w:hint="eastAsia" w:ascii="仿宋" w:hAnsi="仿宋" w:eastAsia="仿宋" w:cs="仿宋"/>
          <w:b w:val="0"/>
          <w:bCs/>
          <w:szCs w:val="24"/>
          <w:highlight w:val="none"/>
        </w:rPr>
        <w:t>月</w:t>
      </w:r>
      <w:r>
        <w:rPr>
          <w:rStyle w:val="20"/>
          <w:rFonts w:hint="eastAsia" w:ascii="仿宋" w:hAnsi="仿宋" w:eastAsia="仿宋" w:cs="仿宋"/>
          <w:b w:val="0"/>
          <w:bCs/>
          <w:szCs w:val="24"/>
          <w:highlight w:val="none"/>
          <w:lang w:val="en-US" w:eastAsia="zh-CN"/>
        </w:rPr>
        <w:t>14</w:t>
      </w:r>
      <w:r>
        <w:rPr>
          <w:rStyle w:val="20"/>
          <w:rFonts w:hint="eastAsia" w:ascii="仿宋" w:hAnsi="仿宋" w:eastAsia="仿宋" w:cs="仿宋"/>
          <w:b w:val="0"/>
          <w:bCs/>
          <w:szCs w:val="24"/>
          <w:highlight w:val="none"/>
        </w:rPr>
        <w:t>日 11:00（北京时间）</w:t>
      </w:r>
    </w:p>
    <w:p w14:paraId="21958F15">
      <w:pPr>
        <w:pStyle w:val="14"/>
        <w:widowControl/>
        <w:spacing w:before="255" w:beforeAutospacing="0" w:after="255" w:afterAutospacing="0"/>
        <w:jc w:val="both"/>
        <w:rPr>
          <w:rStyle w:val="20"/>
          <w:rFonts w:hint="eastAsia" w:ascii="仿宋" w:hAnsi="仿宋" w:eastAsia="仿宋" w:cs="仿宋"/>
          <w:b w:val="0"/>
          <w:bCs/>
          <w:szCs w:val="24"/>
          <w:highlight w:val="none"/>
        </w:rPr>
      </w:pPr>
      <w:r>
        <w:rPr>
          <w:rStyle w:val="20"/>
          <w:rFonts w:hint="eastAsia" w:ascii="仿宋" w:hAnsi="仿宋" w:eastAsia="仿宋" w:cs="仿宋"/>
          <w:b w:val="0"/>
          <w:bCs/>
          <w:szCs w:val="24"/>
          <w:highlight w:val="none"/>
        </w:rPr>
        <w:t>投标地点：将投标文件上传至政采云平台https://www.zcygov.cn/对应位置（逾期未上传的或不符合规定的投标文件将被拒绝接收）</w:t>
      </w:r>
    </w:p>
    <w:p w14:paraId="59AE9D6A">
      <w:pPr>
        <w:pStyle w:val="14"/>
        <w:widowControl/>
        <w:spacing w:before="255" w:beforeAutospacing="0" w:after="255" w:afterAutospacing="0"/>
        <w:jc w:val="both"/>
        <w:rPr>
          <w:rStyle w:val="20"/>
          <w:rFonts w:hint="eastAsia" w:ascii="仿宋" w:hAnsi="仿宋" w:eastAsia="仿宋" w:cs="仿宋"/>
          <w:b w:val="0"/>
          <w:bCs/>
          <w:szCs w:val="24"/>
          <w:highlight w:val="none"/>
        </w:rPr>
      </w:pPr>
      <w:r>
        <w:rPr>
          <w:rStyle w:val="20"/>
          <w:rFonts w:hint="eastAsia" w:ascii="仿宋" w:hAnsi="仿宋" w:eastAsia="仿宋" w:cs="仿宋"/>
          <w:b w:val="0"/>
          <w:bCs/>
          <w:szCs w:val="24"/>
          <w:highlight w:val="none"/>
        </w:rPr>
        <w:t>开标时间：2026年</w:t>
      </w:r>
      <w:r>
        <w:rPr>
          <w:rStyle w:val="20"/>
          <w:rFonts w:hint="eastAsia" w:ascii="仿宋" w:hAnsi="仿宋" w:eastAsia="仿宋" w:cs="仿宋"/>
          <w:b w:val="0"/>
          <w:bCs/>
          <w:szCs w:val="24"/>
          <w:highlight w:val="none"/>
          <w:lang w:val="en-US" w:eastAsia="zh-CN"/>
        </w:rPr>
        <w:t>5</w:t>
      </w:r>
      <w:r>
        <w:rPr>
          <w:rStyle w:val="20"/>
          <w:rFonts w:hint="eastAsia" w:ascii="仿宋" w:hAnsi="仿宋" w:eastAsia="仿宋" w:cs="仿宋"/>
          <w:b w:val="0"/>
          <w:bCs/>
          <w:szCs w:val="24"/>
          <w:highlight w:val="none"/>
        </w:rPr>
        <w:t>月</w:t>
      </w:r>
      <w:r>
        <w:rPr>
          <w:rStyle w:val="20"/>
          <w:rFonts w:hint="eastAsia" w:ascii="仿宋" w:hAnsi="仿宋" w:eastAsia="仿宋" w:cs="仿宋"/>
          <w:b w:val="0"/>
          <w:bCs/>
          <w:szCs w:val="24"/>
          <w:highlight w:val="none"/>
          <w:lang w:val="en-US" w:eastAsia="zh-CN"/>
        </w:rPr>
        <w:t>14</w:t>
      </w:r>
      <w:r>
        <w:rPr>
          <w:rStyle w:val="20"/>
          <w:rFonts w:hint="eastAsia" w:ascii="仿宋" w:hAnsi="仿宋" w:eastAsia="仿宋" w:cs="仿宋"/>
          <w:b w:val="0"/>
          <w:bCs/>
          <w:szCs w:val="24"/>
          <w:highlight w:val="none"/>
        </w:rPr>
        <w:t>日 11:00（北京时间）</w:t>
      </w:r>
    </w:p>
    <w:p w14:paraId="23C4A74D">
      <w:pPr>
        <w:pStyle w:val="14"/>
        <w:widowControl/>
        <w:spacing w:before="255" w:beforeAutospacing="0" w:after="255" w:afterAutospacing="0"/>
        <w:jc w:val="both"/>
        <w:rPr>
          <w:rStyle w:val="20"/>
          <w:rFonts w:hint="eastAsia" w:ascii="仿宋" w:hAnsi="仿宋" w:eastAsia="仿宋" w:cs="仿宋"/>
          <w:b w:val="0"/>
          <w:bCs/>
          <w:szCs w:val="24"/>
          <w:highlight w:val="none"/>
        </w:rPr>
      </w:pPr>
      <w:r>
        <w:rPr>
          <w:rStyle w:val="20"/>
          <w:rFonts w:hint="eastAsia" w:ascii="仿宋" w:hAnsi="仿宋" w:eastAsia="仿宋" w:cs="仿宋"/>
          <w:b w:val="0"/>
          <w:bCs/>
          <w:szCs w:val="24"/>
          <w:highlight w:val="none"/>
        </w:rPr>
        <w:t>开标地点：将投标文件上传至政采云平台https://www.zcygov.cn/对应位置（逾期未上传的或不符合规定的投标文件将被拒绝接收）</w:t>
      </w:r>
    </w:p>
    <w:p w14:paraId="30FDD633">
      <w:pPr>
        <w:pStyle w:val="14"/>
        <w:widowControl/>
        <w:spacing w:before="255" w:beforeAutospacing="0" w:after="255" w:afterAutospacing="0" w:line="300" w:lineRule="atLeast"/>
        <w:jc w:val="both"/>
        <w:rPr>
          <w:rFonts w:hint="eastAsia" w:ascii="仿宋" w:hAnsi="仿宋" w:eastAsia="仿宋" w:cs="仿宋"/>
          <w:szCs w:val="24"/>
          <w:highlight w:val="none"/>
        </w:rPr>
      </w:pPr>
      <w:r>
        <w:rPr>
          <w:rStyle w:val="20"/>
          <w:rFonts w:hint="eastAsia" w:ascii="仿宋" w:hAnsi="仿宋" w:eastAsia="仿宋" w:cs="仿宋"/>
          <w:szCs w:val="24"/>
          <w:highlight w:val="none"/>
        </w:rPr>
        <w:t>五、公告期限</w:t>
      </w:r>
    </w:p>
    <w:p w14:paraId="3EC4CB98">
      <w:pPr>
        <w:pStyle w:val="14"/>
        <w:widowControl/>
        <w:spacing w:before="75" w:beforeAutospacing="0" w:after="75" w:afterAutospacing="0"/>
        <w:ind w:firstLine="420"/>
        <w:rPr>
          <w:rFonts w:hint="eastAsia" w:ascii="仿宋" w:hAnsi="仿宋" w:eastAsia="仿宋" w:cs="仿宋"/>
          <w:szCs w:val="24"/>
          <w:highlight w:val="none"/>
        </w:rPr>
      </w:pPr>
      <w:r>
        <w:rPr>
          <w:rFonts w:hint="eastAsia" w:ascii="仿宋" w:hAnsi="仿宋" w:eastAsia="仿宋" w:cs="仿宋"/>
          <w:szCs w:val="24"/>
          <w:highlight w:val="none"/>
        </w:rPr>
        <w:t>自本公告发布之日起5个工作日。</w:t>
      </w:r>
    </w:p>
    <w:p w14:paraId="516ADB6B">
      <w:pPr>
        <w:pStyle w:val="14"/>
        <w:widowControl/>
        <w:spacing w:before="255" w:beforeAutospacing="0" w:after="255" w:afterAutospacing="0" w:line="300" w:lineRule="atLeast"/>
        <w:jc w:val="both"/>
        <w:rPr>
          <w:rFonts w:hint="eastAsia" w:ascii="仿宋" w:hAnsi="仿宋" w:eastAsia="仿宋" w:cs="仿宋"/>
          <w:szCs w:val="24"/>
          <w:highlight w:val="none"/>
        </w:rPr>
      </w:pPr>
      <w:r>
        <w:rPr>
          <w:rStyle w:val="20"/>
          <w:rFonts w:hint="eastAsia" w:ascii="仿宋" w:hAnsi="仿宋" w:eastAsia="仿宋" w:cs="仿宋"/>
          <w:szCs w:val="24"/>
          <w:highlight w:val="none"/>
        </w:rPr>
        <w:t>六、其他补充事宜</w:t>
      </w:r>
    </w:p>
    <w:p w14:paraId="01613DFB">
      <w:pPr>
        <w:pStyle w:val="14"/>
        <w:widowControl/>
        <w:spacing w:before="75" w:beforeAutospacing="0" w:after="75" w:afterAutospacing="0"/>
        <w:ind w:firstLine="420"/>
        <w:rPr>
          <w:rFonts w:hint="eastAsia" w:ascii="仿宋" w:hAnsi="仿宋" w:eastAsia="仿宋" w:cs="仿宋"/>
          <w:szCs w:val="24"/>
          <w:highlight w:val="none"/>
        </w:rPr>
      </w:pPr>
      <w:r>
        <w:rPr>
          <w:rFonts w:hint="eastAsia" w:ascii="仿宋" w:hAnsi="仿宋" w:eastAsia="仿宋" w:cs="仿宋"/>
          <w:szCs w:val="24"/>
          <w:highlight w:val="none"/>
          <w:lang w:val="en-US"/>
        </w:rPr>
        <w:t>1、</w:t>
      </w:r>
      <w:r>
        <w:rPr>
          <w:rFonts w:hint="eastAsia" w:ascii="仿宋" w:hAnsi="仿宋" w:eastAsia="仿宋" w:cs="仿宋"/>
          <w:szCs w:val="24"/>
          <w:highlight w:val="none"/>
        </w:rPr>
        <w:t>本公告在新疆政府采购网发布。</w:t>
      </w:r>
    </w:p>
    <w:p w14:paraId="05925175">
      <w:pPr>
        <w:pStyle w:val="14"/>
        <w:widowControl/>
        <w:spacing w:before="75" w:beforeAutospacing="0" w:after="75" w:afterAutospacing="0"/>
        <w:ind w:firstLine="420"/>
        <w:rPr>
          <w:rFonts w:hint="eastAsia" w:ascii="仿宋" w:hAnsi="仿宋" w:eastAsia="仿宋" w:cs="仿宋"/>
          <w:szCs w:val="24"/>
          <w:highlight w:val="none"/>
        </w:rPr>
      </w:pPr>
      <w:r>
        <w:rPr>
          <w:rFonts w:hint="eastAsia" w:ascii="仿宋" w:hAnsi="仿宋" w:eastAsia="仿宋" w:cs="仿宋"/>
          <w:szCs w:val="24"/>
          <w:highlight w:val="none"/>
        </w:rPr>
        <w:t>2、请各供应商随时关注本项目的变更、答疑、澄清文件。</w:t>
      </w:r>
    </w:p>
    <w:p w14:paraId="57B5A407">
      <w:pPr>
        <w:pStyle w:val="14"/>
        <w:widowControl/>
        <w:spacing w:before="75" w:beforeAutospacing="0" w:after="75" w:afterAutospacing="0"/>
        <w:ind w:firstLine="420"/>
        <w:rPr>
          <w:rFonts w:hint="eastAsia" w:ascii="仿宋" w:hAnsi="仿宋" w:eastAsia="仿宋" w:cs="仿宋"/>
          <w:szCs w:val="24"/>
          <w:highlight w:val="none"/>
        </w:rPr>
      </w:pPr>
      <w:r>
        <w:rPr>
          <w:rFonts w:hint="eastAsia" w:ascii="仿宋" w:hAnsi="仿宋" w:eastAsia="仿宋" w:cs="仿宋"/>
          <w:szCs w:val="24"/>
          <w:highlight w:val="none"/>
        </w:rPr>
        <w:t>3、本项目实行电子招投标，供应商须登录政采云平台申请获取磋商文件，并通过政采云电子投标客户端制作响应文件，同时自行承担与投标有关的一切费用。　</w:t>
      </w:r>
    </w:p>
    <w:p w14:paraId="7B41B415">
      <w:pPr>
        <w:pStyle w:val="14"/>
        <w:widowControl/>
        <w:spacing w:before="75" w:beforeAutospacing="0" w:after="75" w:afterAutospacing="0"/>
        <w:ind w:firstLine="420"/>
        <w:rPr>
          <w:rFonts w:hint="eastAsia" w:ascii="仿宋" w:hAnsi="仿宋" w:eastAsia="仿宋" w:cs="仿宋"/>
          <w:szCs w:val="24"/>
          <w:highlight w:val="none"/>
        </w:rPr>
      </w:pPr>
      <w:r>
        <w:rPr>
          <w:rFonts w:hint="eastAsia" w:ascii="仿宋" w:hAnsi="仿宋" w:eastAsia="仿宋" w:cs="仿宋"/>
          <w:szCs w:val="24"/>
          <w:highlight w:val="none"/>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78716963">
      <w:pPr>
        <w:pStyle w:val="14"/>
        <w:widowControl/>
        <w:spacing w:before="75" w:beforeAutospacing="0" w:after="75" w:afterAutospacing="0"/>
        <w:ind w:firstLine="420"/>
        <w:rPr>
          <w:rFonts w:hint="eastAsia" w:ascii="仿宋" w:hAnsi="仿宋" w:eastAsia="仿宋" w:cs="仿宋"/>
          <w:szCs w:val="24"/>
          <w:highlight w:val="none"/>
        </w:rPr>
      </w:pPr>
      <w:r>
        <w:rPr>
          <w:rFonts w:hint="eastAsia" w:ascii="仿宋" w:hAnsi="仿宋" w:eastAsia="仿宋" w:cs="仿宋"/>
          <w:szCs w:val="24"/>
          <w:highlight w:val="none"/>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14:paraId="507E9764">
      <w:pPr>
        <w:pStyle w:val="14"/>
        <w:widowControl/>
        <w:spacing w:before="75" w:beforeAutospacing="0" w:after="75" w:afterAutospacing="0"/>
        <w:ind w:firstLine="420"/>
        <w:rPr>
          <w:rFonts w:hint="eastAsia" w:ascii="仿宋" w:hAnsi="仿宋" w:eastAsia="仿宋" w:cs="仿宋"/>
          <w:szCs w:val="24"/>
          <w:highlight w:val="none"/>
        </w:rPr>
      </w:pPr>
      <w:r>
        <w:rPr>
          <w:rFonts w:hint="eastAsia" w:ascii="仿宋" w:hAnsi="仿宋" w:eastAsia="仿宋" w:cs="仿宋"/>
          <w:szCs w:val="24"/>
          <w:highlight w:val="none"/>
        </w:rPr>
        <w:t>6、本项目采用不见面开标，供应商须在投标截止时间前通过CA在政采云平台上传加密的电子响应文件。</w:t>
      </w:r>
    </w:p>
    <w:p w14:paraId="543A39C7">
      <w:pPr>
        <w:spacing w:line="312" w:lineRule="auto"/>
        <w:ind w:firstLine="482" w:firstLineChars="200"/>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7、本项目分为两个标项，可兼投不可兼中（注：已在前序标项被确定为中标候选人第一名的供应商在后续标项中仅参与评审打分、排名，不再被推荐为中标候选人。本项目评审顺序为</w:t>
      </w:r>
      <w:r>
        <w:rPr>
          <w:rFonts w:hint="eastAsia" w:ascii="仿宋" w:hAnsi="仿宋" w:eastAsia="仿宋" w:cs="仿宋"/>
          <w:b/>
          <w:bCs w:val="0"/>
          <w:sz w:val="24"/>
          <w:szCs w:val="24"/>
          <w:highlight w:val="none"/>
          <w:lang w:val="en-US"/>
        </w:rPr>
        <w:t>标项1</w:t>
      </w:r>
      <w:r>
        <w:rPr>
          <w:rFonts w:hint="eastAsia" w:ascii="仿宋" w:hAnsi="仿宋" w:eastAsia="仿宋" w:cs="仿宋"/>
          <w:b/>
          <w:sz w:val="24"/>
          <w:szCs w:val="24"/>
          <w:highlight w:val="none"/>
          <w:lang w:val="en-US" w:eastAsia="zh-CN"/>
        </w:rPr>
        <w:t>、标项2。</w:t>
      </w:r>
    </w:p>
    <w:p w14:paraId="5AAAB6A7">
      <w:pPr>
        <w:spacing w:line="312" w:lineRule="auto"/>
        <w:ind w:firstLine="482" w:firstLineChars="200"/>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注意：如因流标、质疑、投诉等原因导致项目废标、顺延或延期开标等，不影响已存在的中标结果，但澄清或更新的结果须考虑兼投不兼中。</w:t>
      </w:r>
    </w:p>
    <w:p w14:paraId="36BCB32C">
      <w:pPr>
        <w:pStyle w:val="14"/>
        <w:widowControl/>
        <w:spacing w:before="75" w:beforeAutospacing="0" w:after="75" w:afterAutospacing="0"/>
        <w:ind w:firstLine="420"/>
        <w:rPr>
          <w:rFonts w:hint="default" w:ascii="仿宋" w:hAnsi="仿宋" w:eastAsia="仿宋" w:cs="仿宋"/>
          <w:szCs w:val="24"/>
          <w:highlight w:val="none"/>
          <w:lang w:val="en-US" w:eastAsia="zh-CN"/>
        </w:rPr>
      </w:pPr>
      <w:r>
        <w:rPr>
          <w:rFonts w:hint="eastAsia" w:ascii="仿宋" w:hAnsi="仿宋" w:eastAsia="仿宋" w:cs="仿宋"/>
          <w:b/>
          <w:sz w:val="24"/>
          <w:szCs w:val="24"/>
          <w:highlight w:val="none"/>
          <w:lang w:val="en-US" w:eastAsia="zh-CN"/>
        </w:rPr>
        <w:t>特别提示：本项目将按上述原则推荐中标候选人；如投标人不接受，按重大偏差处理，视为不响应招标文件要求。）</w:t>
      </w:r>
    </w:p>
    <w:p w14:paraId="3240AD2E">
      <w:pPr>
        <w:pStyle w:val="14"/>
        <w:widowControl/>
        <w:spacing w:before="255" w:beforeAutospacing="0" w:after="255" w:afterAutospacing="0" w:line="480" w:lineRule="atLeast"/>
        <w:jc w:val="both"/>
        <w:rPr>
          <w:rFonts w:hint="eastAsia" w:ascii="仿宋" w:hAnsi="仿宋" w:eastAsia="仿宋" w:cs="仿宋"/>
          <w:szCs w:val="24"/>
          <w:highlight w:val="none"/>
        </w:rPr>
      </w:pPr>
      <w:r>
        <w:rPr>
          <w:rStyle w:val="20"/>
          <w:rFonts w:hint="eastAsia" w:ascii="仿宋" w:hAnsi="仿宋" w:eastAsia="仿宋" w:cs="仿宋"/>
          <w:szCs w:val="24"/>
          <w:highlight w:val="none"/>
        </w:rPr>
        <w:t>七、对本次采购提出询问，请按以下方式联系</w:t>
      </w:r>
    </w:p>
    <w:p w14:paraId="4033A46E">
      <w:pPr>
        <w:pStyle w:val="14"/>
        <w:widowControl/>
        <w:spacing w:before="75" w:beforeAutospacing="0" w:after="75" w:afterAutospacing="0"/>
        <w:ind w:firstLine="420"/>
        <w:rPr>
          <w:rFonts w:hint="eastAsia" w:ascii="仿宋" w:hAnsi="仿宋" w:eastAsia="仿宋" w:cs="仿宋"/>
          <w:szCs w:val="24"/>
          <w:highlight w:val="none"/>
        </w:rPr>
      </w:pPr>
      <w:r>
        <w:rPr>
          <w:rFonts w:hint="eastAsia" w:ascii="仿宋" w:hAnsi="仿宋" w:eastAsia="仿宋" w:cs="仿宋"/>
          <w:szCs w:val="24"/>
          <w:highlight w:val="none"/>
        </w:rPr>
        <w:t>1.采购人信息</w:t>
      </w:r>
    </w:p>
    <w:p w14:paraId="080BD1B4">
      <w:pPr>
        <w:pStyle w:val="14"/>
        <w:widowControl/>
        <w:spacing w:before="75" w:beforeAutospacing="0" w:after="75" w:afterAutospacing="0"/>
        <w:ind w:firstLine="420"/>
        <w:rPr>
          <w:rFonts w:hint="eastAsia" w:ascii="仿宋" w:hAnsi="仿宋" w:eastAsia="仿宋" w:cs="仿宋"/>
          <w:szCs w:val="24"/>
          <w:highlight w:val="none"/>
        </w:rPr>
      </w:pPr>
      <w:r>
        <w:rPr>
          <w:rFonts w:hint="eastAsia" w:ascii="仿宋" w:hAnsi="仿宋" w:eastAsia="仿宋" w:cs="仿宋"/>
          <w:szCs w:val="24"/>
          <w:highlight w:val="none"/>
        </w:rPr>
        <w:t>名 称：</w:t>
      </w:r>
      <w:r>
        <w:rPr>
          <w:rStyle w:val="22"/>
          <w:rFonts w:hint="eastAsia" w:ascii="仿宋" w:hAnsi="仿宋" w:eastAsia="仿宋" w:cs="仿宋"/>
          <w:szCs w:val="24"/>
          <w:highlight w:val="none"/>
        </w:rPr>
        <w:t>新疆大学</w:t>
      </w:r>
    </w:p>
    <w:p w14:paraId="60149AC3">
      <w:pPr>
        <w:pStyle w:val="14"/>
        <w:widowControl/>
        <w:spacing w:before="75" w:beforeAutospacing="0" w:after="75" w:afterAutospacing="0"/>
        <w:ind w:firstLine="420"/>
        <w:rPr>
          <w:rFonts w:hint="eastAsia" w:ascii="仿宋" w:hAnsi="仿宋" w:eastAsia="仿宋" w:cs="仿宋"/>
          <w:szCs w:val="24"/>
          <w:highlight w:val="none"/>
        </w:rPr>
      </w:pPr>
      <w:r>
        <w:rPr>
          <w:rFonts w:hint="eastAsia" w:ascii="仿宋" w:hAnsi="仿宋" w:eastAsia="仿宋" w:cs="仿宋"/>
          <w:szCs w:val="24"/>
          <w:highlight w:val="none"/>
        </w:rPr>
        <w:t>地 址：乌鲁木齐市天山区胜利路666号</w:t>
      </w:r>
    </w:p>
    <w:p w14:paraId="4D614360">
      <w:pPr>
        <w:pStyle w:val="14"/>
        <w:widowControl/>
        <w:spacing w:before="75" w:beforeAutospacing="0" w:after="75" w:afterAutospacing="0"/>
        <w:ind w:firstLine="420"/>
        <w:rPr>
          <w:rFonts w:hint="eastAsia" w:ascii="仿宋" w:hAnsi="仿宋" w:eastAsia="仿宋" w:cs="仿宋"/>
          <w:szCs w:val="24"/>
          <w:highlight w:val="none"/>
          <w:lang w:val="en-US" w:eastAsia="zh-CN"/>
        </w:rPr>
      </w:pPr>
      <w:r>
        <w:rPr>
          <w:rFonts w:hint="eastAsia" w:ascii="仿宋" w:hAnsi="仿宋" w:eastAsia="仿宋" w:cs="仿宋"/>
          <w:szCs w:val="24"/>
          <w:highlight w:val="none"/>
        </w:rPr>
        <w:t>联系方式：0991-</w:t>
      </w:r>
      <w:r>
        <w:rPr>
          <w:rFonts w:hint="eastAsia" w:ascii="仿宋" w:hAnsi="仿宋" w:eastAsia="仿宋" w:cs="仿宋"/>
          <w:szCs w:val="24"/>
          <w:highlight w:val="none"/>
          <w:lang w:eastAsia="zh-CN"/>
        </w:rPr>
        <w:t>8580035</w:t>
      </w:r>
    </w:p>
    <w:p w14:paraId="08ADB4F3">
      <w:pPr>
        <w:pStyle w:val="14"/>
        <w:widowControl/>
        <w:spacing w:before="75" w:beforeAutospacing="0" w:after="75" w:afterAutospacing="0"/>
        <w:ind w:firstLine="420"/>
        <w:rPr>
          <w:rFonts w:hint="eastAsia" w:ascii="仿宋" w:hAnsi="仿宋" w:eastAsia="仿宋" w:cs="仿宋"/>
          <w:szCs w:val="24"/>
          <w:highlight w:val="none"/>
        </w:rPr>
      </w:pPr>
      <w:r>
        <w:rPr>
          <w:rFonts w:hint="eastAsia" w:ascii="仿宋" w:hAnsi="仿宋" w:eastAsia="仿宋" w:cs="仿宋"/>
          <w:szCs w:val="24"/>
          <w:highlight w:val="none"/>
        </w:rPr>
        <w:t>2.采购代理机构信息</w:t>
      </w:r>
    </w:p>
    <w:p w14:paraId="51803E0B">
      <w:pPr>
        <w:pStyle w:val="14"/>
        <w:widowControl/>
        <w:spacing w:before="75" w:beforeAutospacing="0" w:after="75" w:afterAutospacing="0"/>
        <w:ind w:firstLine="420"/>
        <w:rPr>
          <w:rFonts w:hint="eastAsia" w:ascii="仿宋" w:hAnsi="仿宋" w:eastAsia="仿宋" w:cs="仿宋"/>
          <w:szCs w:val="24"/>
          <w:highlight w:val="none"/>
        </w:rPr>
      </w:pPr>
      <w:r>
        <w:rPr>
          <w:rFonts w:hint="eastAsia" w:ascii="仿宋" w:hAnsi="仿宋" w:eastAsia="仿宋" w:cs="仿宋"/>
          <w:szCs w:val="24"/>
          <w:highlight w:val="none"/>
        </w:rPr>
        <w:t>名 称：新疆华域建设工程项目管理咨询有限公司</w:t>
      </w:r>
    </w:p>
    <w:p w14:paraId="0AD4FC9C">
      <w:pPr>
        <w:pStyle w:val="14"/>
        <w:widowControl/>
        <w:spacing w:before="75" w:beforeAutospacing="0" w:after="75" w:afterAutospacing="0"/>
        <w:ind w:firstLine="420"/>
        <w:rPr>
          <w:rFonts w:hint="eastAsia" w:ascii="仿宋" w:hAnsi="仿宋" w:eastAsia="仿宋" w:cs="仿宋"/>
          <w:szCs w:val="24"/>
          <w:highlight w:val="none"/>
        </w:rPr>
      </w:pPr>
      <w:r>
        <w:rPr>
          <w:rFonts w:hint="eastAsia" w:ascii="仿宋" w:hAnsi="仿宋" w:eastAsia="仿宋" w:cs="仿宋"/>
          <w:szCs w:val="24"/>
          <w:highlight w:val="none"/>
        </w:rPr>
        <w:t>地 址：乌鲁木齐市水磨沟区五星北路194号</w:t>
      </w:r>
    </w:p>
    <w:p w14:paraId="4917CDEA">
      <w:pPr>
        <w:pStyle w:val="14"/>
        <w:widowControl/>
        <w:spacing w:before="75" w:beforeAutospacing="0" w:after="75" w:afterAutospacing="0"/>
        <w:ind w:firstLine="420"/>
        <w:rPr>
          <w:rFonts w:hint="eastAsia" w:ascii="仿宋" w:hAnsi="仿宋" w:eastAsia="仿宋" w:cs="仿宋"/>
          <w:szCs w:val="24"/>
          <w:highlight w:val="none"/>
          <w:lang w:val="en-US" w:eastAsia="zh-CN"/>
        </w:rPr>
      </w:pPr>
      <w:r>
        <w:rPr>
          <w:rFonts w:hint="eastAsia" w:ascii="仿宋" w:hAnsi="仿宋" w:eastAsia="仿宋" w:cs="仿宋"/>
          <w:szCs w:val="24"/>
          <w:highlight w:val="none"/>
        </w:rPr>
        <w:t>联系方式：</w:t>
      </w:r>
      <w:r>
        <w:rPr>
          <w:rFonts w:hint="eastAsia" w:ascii="仿宋" w:hAnsi="仿宋" w:eastAsia="仿宋" w:cs="仿宋"/>
          <w:szCs w:val="24"/>
          <w:highlight w:val="none"/>
          <w:lang w:val="en-US" w:eastAsia="zh-CN"/>
        </w:rPr>
        <w:t>16699192061</w:t>
      </w:r>
    </w:p>
    <w:p w14:paraId="7E1E2086">
      <w:pPr>
        <w:pStyle w:val="14"/>
        <w:widowControl/>
        <w:spacing w:before="75" w:beforeAutospacing="0" w:after="75" w:afterAutospacing="0"/>
        <w:ind w:firstLine="420"/>
        <w:rPr>
          <w:rFonts w:hint="eastAsia" w:ascii="仿宋" w:hAnsi="仿宋" w:eastAsia="仿宋" w:cs="仿宋"/>
          <w:szCs w:val="24"/>
          <w:highlight w:val="none"/>
        </w:rPr>
      </w:pPr>
      <w:r>
        <w:rPr>
          <w:rFonts w:hint="eastAsia" w:ascii="仿宋" w:hAnsi="仿宋" w:eastAsia="仿宋" w:cs="仿宋"/>
          <w:szCs w:val="24"/>
          <w:highlight w:val="none"/>
        </w:rPr>
        <w:t>3.项目联系方式</w:t>
      </w:r>
    </w:p>
    <w:p w14:paraId="0BA4FA7D">
      <w:pPr>
        <w:pStyle w:val="14"/>
        <w:widowControl/>
        <w:spacing w:before="75" w:beforeAutospacing="0" w:after="75" w:afterAutospacing="0"/>
        <w:ind w:firstLine="420"/>
        <w:rPr>
          <w:rFonts w:hint="eastAsia" w:ascii="仿宋" w:hAnsi="仿宋" w:eastAsia="仿宋" w:cs="仿宋"/>
          <w:szCs w:val="24"/>
          <w:highlight w:val="none"/>
          <w:lang w:val="en-US" w:eastAsia="zh-CN"/>
        </w:rPr>
      </w:pPr>
      <w:r>
        <w:rPr>
          <w:rFonts w:hint="eastAsia" w:ascii="仿宋" w:hAnsi="仿宋" w:eastAsia="仿宋" w:cs="仿宋"/>
          <w:szCs w:val="24"/>
          <w:highlight w:val="none"/>
        </w:rPr>
        <w:t>联系人：</w:t>
      </w:r>
      <w:r>
        <w:rPr>
          <w:rFonts w:hint="eastAsia" w:ascii="仿宋" w:hAnsi="仿宋" w:eastAsia="仿宋" w:cs="仿宋"/>
          <w:szCs w:val="24"/>
          <w:highlight w:val="none"/>
          <w:lang w:val="en-US"/>
        </w:rPr>
        <w:t>张伟、李堰达、王文周、</w:t>
      </w:r>
      <w:r>
        <w:rPr>
          <w:rFonts w:hint="eastAsia" w:ascii="仿宋" w:hAnsi="仿宋" w:eastAsia="仿宋" w:cs="仿宋"/>
          <w:szCs w:val="24"/>
          <w:highlight w:val="none"/>
          <w:lang w:eastAsia="zh-CN"/>
        </w:rPr>
        <w:t xml:space="preserve">胡春 </w:t>
      </w:r>
    </w:p>
    <w:p w14:paraId="44887AFD">
      <w:pPr>
        <w:pStyle w:val="14"/>
        <w:widowControl/>
        <w:spacing w:before="75" w:beforeAutospacing="0" w:after="75" w:afterAutospacing="0"/>
        <w:ind w:firstLine="420"/>
        <w:rPr>
          <w:rFonts w:hint="eastAsia" w:ascii="仿宋" w:hAnsi="仿宋" w:eastAsia="仿宋" w:cs="仿宋"/>
          <w:szCs w:val="24"/>
          <w:highlight w:val="none"/>
        </w:rPr>
      </w:pPr>
      <w:r>
        <w:rPr>
          <w:rFonts w:hint="eastAsia" w:ascii="仿宋" w:hAnsi="仿宋" w:eastAsia="仿宋" w:cs="仿宋"/>
          <w:szCs w:val="24"/>
          <w:highlight w:val="none"/>
        </w:rPr>
        <w:t>联系电话：</w:t>
      </w:r>
      <w:r>
        <w:rPr>
          <w:rFonts w:hint="eastAsia" w:ascii="仿宋" w:hAnsi="仿宋" w:eastAsia="仿宋" w:cs="仿宋"/>
          <w:szCs w:val="24"/>
          <w:highlight w:val="none"/>
          <w:lang w:val="en-US" w:eastAsia="zh-CN"/>
        </w:rPr>
        <w:t>16699192061</w:t>
      </w:r>
      <w:r>
        <w:rPr>
          <w:rFonts w:hint="eastAsia" w:ascii="仿宋" w:hAnsi="仿宋" w:eastAsia="仿宋" w:cs="仿宋"/>
          <w:szCs w:val="24"/>
          <w:highlight w:val="none"/>
          <w:lang w:val="en-US"/>
        </w:rPr>
        <w:t>、13565957217</w:t>
      </w:r>
    </w:p>
    <w:p w14:paraId="0137A04B">
      <w:pPr>
        <w:adjustRightInd w:val="0"/>
        <w:snapToGrid w:val="0"/>
        <w:spacing w:line="500" w:lineRule="exact"/>
        <w:rPr>
          <w:rFonts w:hint="eastAsia" w:ascii="仿宋" w:hAnsi="仿宋" w:eastAsia="仿宋" w:cs="仿宋"/>
          <w:sz w:val="24"/>
          <w:szCs w:val="24"/>
          <w:highlight w:val="none"/>
        </w:rPr>
        <w:sectPr>
          <w:footerReference r:id="rId5" w:type="default"/>
          <w:pgSz w:w="11910" w:h="16840"/>
          <w:pgMar w:top="1440" w:right="1800" w:bottom="1440" w:left="1800" w:header="878" w:footer="993" w:gutter="0"/>
          <w:cols w:space="720" w:num="1"/>
        </w:sectPr>
      </w:pPr>
    </w:p>
    <w:p w14:paraId="7CAAD712">
      <w:pPr>
        <w:pStyle w:val="2"/>
        <w:spacing w:before="2"/>
        <w:ind w:left="0" w:leftChars="0" w:right="0" w:rightChars="0"/>
        <w:rPr>
          <w:rFonts w:hint="eastAsia" w:ascii="仿宋" w:hAnsi="仿宋" w:eastAsia="仿宋" w:cs="仿宋"/>
          <w:highlight w:val="none"/>
        </w:rPr>
      </w:pPr>
      <w:r>
        <w:rPr>
          <w:rFonts w:hint="eastAsia" w:ascii="仿宋" w:hAnsi="仿宋" w:eastAsia="仿宋" w:cs="仿宋"/>
          <w:highlight w:val="none"/>
        </w:rPr>
        <w:t>第二部分 投标须知</w:t>
      </w:r>
    </w:p>
    <w:p w14:paraId="3C5C30A1">
      <w:pPr>
        <w:rPr>
          <w:rFonts w:hint="eastAsia" w:ascii="仿宋" w:hAnsi="仿宋" w:eastAsia="仿宋" w:cs="仿宋"/>
          <w:highlight w:val="none"/>
          <w:lang w:val="en-US"/>
        </w:rPr>
      </w:pPr>
      <w:r>
        <w:rPr>
          <w:rFonts w:hint="eastAsia" w:ascii="仿宋" w:hAnsi="仿宋" w:eastAsia="仿宋" w:cs="仿宋"/>
          <w:highlight w:val="none"/>
          <w:lang w:val="en-US"/>
        </w:rPr>
        <w:t xml:space="preserve">                                </w:t>
      </w:r>
      <w:r>
        <w:rPr>
          <w:rFonts w:hint="eastAsia" w:ascii="仿宋" w:hAnsi="仿宋" w:eastAsia="仿宋" w:cs="仿宋"/>
          <w:b/>
          <w:bCs/>
          <w:sz w:val="28"/>
          <w:szCs w:val="28"/>
          <w:highlight w:val="none"/>
          <w:lang w:val="en-US"/>
        </w:rPr>
        <w:t xml:space="preserve">     投标须知前附表</w:t>
      </w:r>
    </w:p>
    <w:tbl>
      <w:tblPr>
        <w:tblStyle w:val="18"/>
        <w:tblW w:w="98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22"/>
        <w:gridCol w:w="2128"/>
        <w:gridCol w:w="6968"/>
      </w:tblGrid>
      <w:tr w14:paraId="7AD94B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22" w:type="dxa"/>
            <w:vAlign w:val="center"/>
          </w:tcPr>
          <w:p w14:paraId="056A0618">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128" w:type="dxa"/>
            <w:vAlign w:val="center"/>
          </w:tcPr>
          <w:p w14:paraId="36524484">
            <w:pPr>
              <w:spacing w:line="400" w:lineRule="exact"/>
              <w:ind w:firstLine="240" w:firstLineChars="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p>
        </w:tc>
        <w:tc>
          <w:tcPr>
            <w:tcW w:w="6968" w:type="dxa"/>
            <w:vAlign w:val="center"/>
          </w:tcPr>
          <w:p w14:paraId="28E6B47A">
            <w:pPr>
              <w:spacing w:line="400" w:lineRule="exact"/>
              <w:ind w:firstLine="240" w:firstLineChars="10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内容</w:t>
            </w:r>
          </w:p>
        </w:tc>
      </w:tr>
      <w:tr w14:paraId="11AC32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722" w:type="dxa"/>
            <w:vAlign w:val="center"/>
          </w:tcPr>
          <w:p w14:paraId="28798729">
            <w:pPr>
              <w:spacing w:line="40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w:t>
            </w:r>
          </w:p>
        </w:tc>
        <w:tc>
          <w:tcPr>
            <w:tcW w:w="2128" w:type="dxa"/>
            <w:vAlign w:val="center"/>
          </w:tcPr>
          <w:p w14:paraId="5DB97685">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采购人</w:t>
            </w:r>
          </w:p>
        </w:tc>
        <w:tc>
          <w:tcPr>
            <w:tcW w:w="6968" w:type="dxa"/>
            <w:vAlign w:val="center"/>
          </w:tcPr>
          <w:p w14:paraId="66F427FF">
            <w:pPr>
              <w:rPr>
                <w:rFonts w:hint="eastAsia" w:ascii="仿宋" w:hAnsi="仿宋" w:eastAsia="仿宋" w:cs="仿宋"/>
                <w:sz w:val="24"/>
                <w:szCs w:val="24"/>
                <w:highlight w:val="none"/>
              </w:rPr>
            </w:pP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en-US"/>
              </w:rPr>
              <w:t>新疆大学</w:t>
            </w:r>
          </w:p>
          <w:p w14:paraId="045A2E7B">
            <w:pPr>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rPr>
              <w:t>王老师</w:t>
            </w:r>
          </w:p>
          <w:p w14:paraId="1FF9D9B9">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联系电话：0991-</w:t>
            </w:r>
            <w:r>
              <w:rPr>
                <w:rFonts w:hint="eastAsia" w:ascii="仿宋" w:hAnsi="仿宋" w:eastAsia="仿宋" w:cs="仿宋"/>
                <w:sz w:val="24"/>
                <w:szCs w:val="24"/>
                <w:highlight w:val="none"/>
                <w:lang w:eastAsia="zh-CN"/>
              </w:rPr>
              <w:t>8580035</w:t>
            </w:r>
          </w:p>
        </w:tc>
      </w:tr>
      <w:tr w14:paraId="3D5180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14:paraId="21C44232">
            <w:pPr>
              <w:spacing w:line="40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w:t>
            </w:r>
          </w:p>
        </w:tc>
        <w:tc>
          <w:tcPr>
            <w:tcW w:w="2128" w:type="dxa"/>
            <w:vAlign w:val="center"/>
          </w:tcPr>
          <w:p w14:paraId="527FA867">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w:t>
            </w:r>
          </w:p>
        </w:tc>
        <w:tc>
          <w:tcPr>
            <w:tcW w:w="6968" w:type="dxa"/>
            <w:vAlign w:val="center"/>
          </w:tcPr>
          <w:p w14:paraId="57A40055">
            <w:pPr>
              <w:rPr>
                <w:rFonts w:hint="eastAsia" w:ascii="仿宋" w:hAnsi="仿宋" w:eastAsia="仿宋" w:cs="仿宋"/>
                <w:sz w:val="24"/>
                <w:szCs w:val="24"/>
                <w:highlight w:val="none"/>
              </w:rPr>
            </w:pPr>
            <w:r>
              <w:rPr>
                <w:rFonts w:hint="eastAsia" w:ascii="仿宋" w:hAnsi="仿宋" w:eastAsia="仿宋" w:cs="仿宋"/>
                <w:sz w:val="24"/>
                <w:szCs w:val="24"/>
                <w:highlight w:val="none"/>
              </w:rPr>
              <w:t>名称：新疆华域建设工程项目管理咨询有限公司</w:t>
            </w:r>
          </w:p>
          <w:p w14:paraId="56F8606C">
            <w:pPr>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lang w:val="en-US"/>
              </w:rPr>
              <w:t>新疆乌鲁木齐市水磨沟区五星北路194号1栋1401号</w:t>
            </w:r>
          </w:p>
          <w:p w14:paraId="7D8F35FE">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val="en-US"/>
              </w:rPr>
              <w:t>张伟、李堰达、王文周、</w:t>
            </w:r>
            <w:r>
              <w:rPr>
                <w:rFonts w:hint="eastAsia" w:ascii="仿宋" w:hAnsi="仿宋" w:eastAsia="仿宋" w:cs="仿宋"/>
                <w:sz w:val="24"/>
                <w:szCs w:val="24"/>
                <w:highlight w:val="none"/>
                <w:lang w:eastAsia="zh-CN"/>
              </w:rPr>
              <w:t xml:space="preserve">胡春 </w:t>
            </w:r>
          </w:p>
          <w:p w14:paraId="3D7F83E1">
            <w:pPr>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val="en-US" w:eastAsia="zh-CN"/>
              </w:rPr>
              <w:t>16699192061</w:t>
            </w:r>
            <w:r>
              <w:rPr>
                <w:rFonts w:hint="eastAsia" w:ascii="仿宋" w:hAnsi="仿宋" w:eastAsia="仿宋" w:cs="仿宋"/>
                <w:sz w:val="24"/>
                <w:szCs w:val="24"/>
                <w:highlight w:val="none"/>
                <w:lang w:val="en-US"/>
              </w:rPr>
              <w:t>、13565957217</w:t>
            </w:r>
          </w:p>
        </w:tc>
      </w:tr>
      <w:tr w14:paraId="1DE407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restart"/>
            <w:vAlign w:val="center"/>
          </w:tcPr>
          <w:p w14:paraId="21D12F6C">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3</w:t>
            </w:r>
          </w:p>
        </w:tc>
        <w:tc>
          <w:tcPr>
            <w:tcW w:w="2128" w:type="dxa"/>
            <w:vAlign w:val="center"/>
          </w:tcPr>
          <w:p w14:paraId="05C6B6E6">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tc>
        <w:tc>
          <w:tcPr>
            <w:tcW w:w="6968" w:type="dxa"/>
            <w:vAlign w:val="center"/>
          </w:tcPr>
          <w:p w14:paraId="0DAC3311">
            <w:pPr>
              <w:spacing w:line="400" w:lineRule="exact"/>
              <w:rPr>
                <w:rFonts w:hint="eastAsia" w:ascii="仿宋" w:hAnsi="仿宋" w:eastAsia="仿宋" w:cs="仿宋"/>
                <w:sz w:val="24"/>
                <w:szCs w:val="24"/>
                <w:highlight w:val="none"/>
                <w:lang w:val="en-US"/>
              </w:rPr>
            </w:pPr>
            <w:r>
              <w:rPr>
                <w:rFonts w:hint="eastAsia" w:ascii="仿宋" w:hAnsi="仿宋" w:eastAsia="仿宋" w:cs="仿宋"/>
                <w:szCs w:val="24"/>
                <w:highlight w:val="none"/>
                <w:lang w:val="en-US"/>
              </w:rPr>
              <w:t>2026年新疆大学药学院“双一流”建设项目（新疆特色中药民族药综合开发利用平台）</w:t>
            </w:r>
            <w:r>
              <w:rPr>
                <w:rFonts w:hint="eastAsia" w:ascii="仿宋" w:hAnsi="仿宋" w:eastAsia="仿宋" w:cs="仿宋"/>
                <w:kern w:val="1"/>
                <w:sz w:val="24"/>
                <w:szCs w:val="24"/>
                <w:highlight w:val="none"/>
                <w:lang w:val="en-US"/>
              </w:rPr>
              <w:t>第一包：</w:t>
            </w:r>
            <w:r>
              <w:rPr>
                <w:rFonts w:hint="eastAsia" w:ascii="仿宋" w:hAnsi="仿宋" w:eastAsia="仿宋" w:cs="仿宋"/>
                <w:sz w:val="24"/>
                <w:szCs w:val="24"/>
                <w:highlight w:val="none"/>
                <w:lang w:val="en-US" w:eastAsia="zh-CN"/>
              </w:rPr>
              <w:t>XJHY-2026-007</w:t>
            </w:r>
          </w:p>
          <w:p w14:paraId="1B1F9BCD">
            <w:pPr>
              <w:pStyle w:val="9"/>
              <w:ind w:left="0"/>
              <w:rPr>
                <w:rFonts w:hint="eastAsia" w:ascii="仿宋" w:hAnsi="仿宋" w:eastAsia="仿宋" w:cs="仿宋"/>
                <w:highlight w:val="none"/>
                <w:lang w:val="en-US" w:eastAsia="zh-CN"/>
              </w:rPr>
            </w:pPr>
            <w:r>
              <w:rPr>
                <w:rFonts w:hint="eastAsia" w:ascii="仿宋" w:hAnsi="仿宋" w:eastAsia="仿宋" w:cs="仿宋"/>
                <w:highlight w:val="none"/>
                <w:lang w:val="en-US"/>
              </w:rPr>
              <w:t>2026年新疆大学药学院“双一流”建设项目（新疆特色中药民族药综合开发利用平台）</w:t>
            </w:r>
            <w:r>
              <w:rPr>
                <w:rFonts w:hint="eastAsia" w:ascii="仿宋" w:hAnsi="仿宋" w:eastAsia="仿宋" w:cs="仿宋"/>
                <w:kern w:val="1"/>
                <w:highlight w:val="none"/>
                <w:lang w:val="en-US"/>
              </w:rPr>
              <w:t>第二包：</w:t>
            </w:r>
            <w:r>
              <w:rPr>
                <w:rFonts w:hint="eastAsia" w:ascii="仿宋" w:hAnsi="仿宋" w:eastAsia="仿宋" w:cs="仿宋"/>
                <w:highlight w:val="none"/>
                <w:lang w:val="en-US" w:eastAsia="zh-CN"/>
              </w:rPr>
              <w:t>XJHY-2026-007</w:t>
            </w:r>
          </w:p>
        </w:tc>
      </w:tr>
      <w:tr w14:paraId="2BF7D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259A8519">
            <w:pPr>
              <w:spacing w:line="400" w:lineRule="exact"/>
              <w:jc w:val="center"/>
              <w:rPr>
                <w:rFonts w:hint="eastAsia" w:ascii="仿宋" w:hAnsi="仿宋" w:eastAsia="仿宋" w:cs="仿宋"/>
                <w:sz w:val="24"/>
                <w:szCs w:val="24"/>
                <w:highlight w:val="none"/>
              </w:rPr>
            </w:pPr>
          </w:p>
        </w:tc>
        <w:tc>
          <w:tcPr>
            <w:tcW w:w="2128" w:type="dxa"/>
            <w:vAlign w:val="center"/>
          </w:tcPr>
          <w:p w14:paraId="2D00253A">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6968" w:type="dxa"/>
          </w:tcPr>
          <w:p w14:paraId="06847E22">
            <w:pPr>
              <w:spacing w:line="400" w:lineRule="exact"/>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2026年新疆大学药学院“双一流”建设项目（新疆特色中药民族药综合开发利用平台） </w:t>
            </w:r>
          </w:p>
        </w:tc>
      </w:tr>
      <w:tr w14:paraId="1A6CB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722" w:type="dxa"/>
            <w:vMerge w:val="continue"/>
            <w:vAlign w:val="center"/>
          </w:tcPr>
          <w:p w14:paraId="0B7AB27A">
            <w:pPr>
              <w:spacing w:line="400" w:lineRule="exact"/>
              <w:jc w:val="center"/>
              <w:rPr>
                <w:rFonts w:hint="eastAsia" w:ascii="仿宋" w:hAnsi="仿宋" w:eastAsia="仿宋" w:cs="仿宋"/>
                <w:sz w:val="24"/>
                <w:szCs w:val="24"/>
                <w:highlight w:val="none"/>
              </w:rPr>
            </w:pPr>
          </w:p>
        </w:tc>
        <w:tc>
          <w:tcPr>
            <w:tcW w:w="2128" w:type="dxa"/>
            <w:vAlign w:val="center"/>
          </w:tcPr>
          <w:p w14:paraId="28BD9B05">
            <w:pPr>
              <w:spacing w:line="40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采购方式</w:t>
            </w:r>
          </w:p>
        </w:tc>
        <w:tc>
          <w:tcPr>
            <w:tcW w:w="6968" w:type="dxa"/>
          </w:tcPr>
          <w:p w14:paraId="3D0A5837">
            <w:pPr>
              <w:spacing w:line="400" w:lineRule="exact"/>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公开招标</w:t>
            </w:r>
          </w:p>
        </w:tc>
      </w:tr>
      <w:tr w14:paraId="01C25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28988F84">
            <w:pPr>
              <w:spacing w:line="400" w:lineRule="exact"/>
              <w:jc w:val="center"/>
              <w:rPr>
                <w:rFonts w:hint="eastAsia" w:ascii="仿宋" w:hAnsi="仿宋" w:eastAsia="仿宋" w:cs="仿宋"/>
                <w:sz w:val="24"/>
                <w:szCs w:val="24"/>
                <w:highlight w:val="none"/>
              </w:rPr>
            </w:pPr>
          </w:p>
        </w:tc>
        <w:tc>
          <w:tcPr>
            <w:tcW w:w="2128" w:type="dxa"/>
            <w:vAlign w:val="center"/>
          </w:tcPr>
          <w:p w14:paraId="4476DA08">
            <w:pPr>
              <w:pStyle w:val="23"/>
              <w:spacing w:line="400" w:lineRule="exact"/>
              <w:jc w:val="center"/>
              <w:outlineLvl w:val="0"/>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资金来源</w:t>
            </w:r>
          </w:p>
        </w:tc>
        <w:tc>
          <w:tcPr>
            <w:tcW w:w="6968" w:type="dxa"/>
          </w:tcPr>
          <w:p w14:paraId="68BBC8EE">
            <w:pPr>
              <w:pStyle w:val="23"/>
              <w:spacing w:line="400" w:lineRule="exact"/>
              <w:jc w:val="both"/>
              <w:outlineLvl w:val="0"/>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财政资金</w:t>
            </w:r>
          </w:p>
        </w:tc>
      </w:tr>
      <w:tr w14:paraId="3030F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6A3194AD">
            <w:pPr>
              <w:spacing w:line="400" w:lineRule="exact"/>
              <w:jc w:val="center"/>
              <w:rPr>
                <w:rFonts w:hint="eastAsia" w:ascii="仿宋" w:hAnsi="仿宋" w:eastAsia="仿宋" w:cs="仿宋"/>
                <w:sz w:val="24"/>
                <w:szCs w:val="24"/>
                <w:highlight w:val="none"/>
              </w:rPr>
            </w:pPr>
          </w:p>
        </w:tc>
        <w:tc>
          <w:tcPr>
            <w:tcW w:w="2128" w:type="dxa"/>
            <w:vAlign w:val="center"/>
          </w:tcPr>
          <w:p w14:paraId="0991F28F">
            <w:pPr>
              <w:spacing w:line="40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资格审查方式</w:t>
            </w:r>
          </w:p>
        </w:tc>
        <w:tc>
          <w:tcPr>
            <w:tcW w:w="6968" w:type="dxa"/>
            <w:vAlign w:val="center"/>
          </w:tcPr>
          <w:p w14:paraId="064BB36D">
            <w:pPr>
              <w:pStyle w:val="23"/>
              <w:spacing w:line="400" w:lineRule="exact"/>
              <w:jc w:val="both"/>
              <w:outlineLvl w:val="0"/>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资格后审</w:t>
            </w:r>
          </w:p>
        </w:tc>
      </w:tr>
      <w:tr w14:paraId="6B4DB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722" w:type="dxa"/>
            <w:vMerge w:val="continue"/>
            <w:vAlign w:val="center"/>
          </w:tcPr>
          <w:p w14:paraId="3E438C48">
            <w:pPr>
              <w:spacing w:line="400" w:lineRule="exact"/>
              <w:jc w:val="center"/>
              <w:rPr>
                <w:rFonts w:hint="eastAsia" w:ascii="仿宋" w:hAnsi="仿宋" w:eastAsia="仿宋" w:cs="仿宋"/>
                <w:sz w:val="24"/>
                <w:szCs w:val="24"/>
                <w:highlight w:val="none"/>
              </w:rPr>
            </w:pPr>
          </w:p>
        </w:tc>
        <w:tc>
          <w:tcPr>
            <w:tcW w:w="2128" w:type="dxa"/>
            <w:vAlign w:val="center"/>
          </w:tcPr>
          <w:p w14:paraId="23C6079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采购内容</w:t>
            </w:r>
          </w:p>
        </w:tc>
        <w:tc>
          <w:tcPr>
            <w:tcW w:w="6968" w:type="dxa"/>
            <w:vAlign w:val="center"/>
          </w:tcPr>
          <w:p w14:paraId="3779F683">
            <w:pPr>
              <w:pStyle w:val="14"/>
              <w:widowControl/>
              <w:spacing w:before="75" w:beforeAutospacing="0" w:after="75" w:afterAutospacing="0" w:line="300" w:lineRule="atLeast"/>
              <w:rPr>
                <w:rFonts w:hint="eastAsia" w:ascii="仿宋" w:hAnsi="仿宋" w:eastAsia="仿宋" w:cs="仿宋"/>
                <w:szCs w:val="24"/>
                <w:highlight w:val="none"/>
                <w:lang w:val="en-US"/>
              </w:rPr>
            </w:pPr>
            <w:r>
              <w:rPr>
                <w:rFonts w:hint="eastAsia" w:ascii="仿宋" w:hAnsi="仿宋" w:eastAsia="仿宋" w:cs="仿宋"/>
                <w:szCs w:val="24"/>
                <w:highlight w:val="none"/>
                <w:lang w:val="en-US"/>
              </w:rPr>
              <w:t>2026年新疆大学药学院“双一流”建设项目（新疆特色中药民族药综合开发利用平台）第一包：为新疆大学药学院“双一流”建设，采购及安装</w:t>
            </w:r>
            <w:r>
              <w:rPr>
                <w:rFonts w:hint="eastAsia" w:ascii="仿宋" w:hAnsi="仿宋" w:eastAsia="仿宋" w:cs="仿宋"/>
                <w:szCs w:val="24"/>
                <w:highlight w:val="none"/>
              </w:rPr>
              <w:t>防爆药品柜、酸碱柜、动物细胞培养与复杂蛋白制备系统、落地冷冻离心机、台式高速冷冻离心机</w:t>
            </w:r>
            <w:r>
              <w:rPr>
                <w:rFonts w:hint="eastAsia" w:ascii="仿宋" w:hAnsi="仿宋" w:eastAsia="仿宋" w:cs="仿宋"/>
                <w:szCs w:val="24"/>
                <w:highlight w:val="none"/>
                <w:lang w:val="en-US"/>
              </w:rPr>
              <w:t>等，</w:t>
            </w:r>
            <w:r>
              <w:rPr>
                <w:rFonts w:hint="eastAsia" w:ascii="仿宋" w:hAnsi="仿宋" w:eastAsia="仿宋" w:cs="仿宋"/>
                <w:szCs w:val="24"/>
                <w:highlight w:val="none"/>
              </w:rPr>
              <w:t>具体详见采购</w:t>
            </w:r>
            <w:r>
              <w:rPr>
                <w:rFonts w:hint="eastAsia" w:ascii="仿宋" w:hAnsi="仿宋" w:eastAsia="仿宋" w:cs="仿宋"/>
                <w:szCs w:val="24"/>
                <w:highlight w:val="none"/>
                <w:lang w:val="en-US"/>
              </w:rPr>
              <w:t>文件。</w:t>
            </w:r>
          </w:p>
          <w:p w14:paraId="0E9BDF5B">
            <w:pPr>
              <w:pStyle w:val="14"/>
              <w:widowControl/>
              <w:spacing w:before="75" w:beforeAutospacing="0" w:after="75" w:afterAutospacing="0" w:line="300" w:lineRule="atLeast"/>
              <w:rPr>
                <w:rFonts w:hint="eastAsia" w:ascii="仿宋" w:hAnsi="仿宋" w:eastAsia="仿宋" w:cs="仿宋"/>
                <w:highlight w:val="none"/>
              </w:rPr>
            </w:pPr>
            <w:r>
              <w:rPr>
                <w:rFonts w:hint="eastAsia" w:ascii="仿宋" w:hAnsi="仿宋" w:eastAsia="仿宋" w:cs="仿宋"/>
                <w:szCs w:val="24"/>
                <w:highlight w:val="none"/>
                <w:lang w:val="en-US"/>
              </w:rPr>
              <w:t>2026年新疆大学药学院“双一流”建设项目（新疆特色中药民族药综合开发利用平台）第二包：为新疆大学药学院“双一流”建设，采购及安装</w:t>
            </w:r>
            <w:r>
              <w:rPr>
                <w:rFonts w:hint="eastAsia" w:ascii="仿宋" w:hAnsi="仿宋" w:eastAsia="仿宋" w:cs="仿宋"/>
                <w:szCs w:val="24"/>
                <w:highlight w:val="none"/>
              </w:rPr>
              <w:t>高效液相色谱仪</w:t>
            </w:r>
            <w:r>
              <w:rPr>
                <w:rFonts w:hint="eastAsia" w:ascii="仿宋" w:hAnsi="仿宋" w:eastAsia="仿宋" w:cs="仿宋"/>
                <w:szCs w:val="24"/>
                <w:highlight w:val="none"/>
                <w:lang w:val="en-US"/>
              </w:rPr>
              <w:t>等，</w:t>
            </w:r>
            <w:r>
              <w:rPr>
                <w:rFonts w:hint="eastAsia" w:ascii="仿宋" w:hAnsi="仿宋" w:eastAsia="仿宋" w:cs="仿宋"/>
                <w:szCs w:val="24"/>
                <w:highlight w:val="none"/>
              </w:rPr>
              <w:t>具体详见采购文件。</w:t>
            </w:r>
          </w:p>
        </w:tc>
      </w:tr>
      <w:tr w14:paraId="6CB63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22" w:type="dxa"/>
            <w:vMerge w:val="continue"/>
            <w:vAlign w:val="center"/>
          </w:tcPr>
          <w:p w14:paraId="20797079">
            <w:pPr>
              <w:spacing w:line="400" w:lineRule="exact"/>
              <w:jc w:val="center"/>
              <w:rPr>
                <w:rFonts w:hint="eastAsia" w:ascii="仿宋" w:hAnsi="仿宋" w:eastAsia="仿宋" w:cs="仿宋"/>
                <w:sz w:val="24"/>
                <w:szCs w:val="24"/>
                <w:highlight w:val="none"/>
              </w:rPr>
            </w:pPr>
          </w:p>
        </w:tc>
        <w:tc>
          <w:tcPr>
            <w:tcW w:w="2128" w:type="dxa"/>
            <w:vAlign w:val="center"/>
          </w:tcPr>
          <w:p w14:paraId="347F5BA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是否允许采购进口产品</w:t>
            </w:r>
          </w:p>
        </w:tc>
        <w:tc>
          <w:tcPr>
            <w:tcW w:w="6968" w:type="dxa"/>
            <w:vAlign w:val="center"/>
          </w:tcPr>
          <w:p w14:paraId="3CB1D4C8">
            <w:pPr>
              <w:pStyle w:val="23"/>
              <w:spacing w:line="400" w:lineRule="exact"/>
              <w:jc w:val="both"/>
              <w:outlineLvl w:val="0"/>
              <w:rPr>
                <w:rFonts w:hint="eastAsia" w:ascii="仿宋" w:hAnsi="仿宋" w:eastAsia="仿宋" w:cs="仿宋"/>
                <w:color w:val="auto"/>
                <w:highlight w:val="none"/>
                <w:lang w:bidi="zh-CN"/>
              </w:rPr>
            </w:pPr>
            <w:r>
              <w:rPr>
                <w:rFonts w:hint="eastAsia" w:ascii="仿宋" w:hAnsi="仿宋" w:eastAsia="仿宋" w:cs="仿宋"/>
                <w:color w:val="auto"/>
                <w:highlight w:val="none"/>
                <w:lang w:bidi="zh-CN"/>
              </w:rPr>
              <w:t>不允许</w:t>
            </w:r>
          </w:p>
        </w:tc>
      </w:tr>
      <w:tr w14:paraId="28CCB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58" w:hRule="atLeast"/>
          <w:jc w:val="center"/>
        </w:trPr>
        <w:tc>
          <w:tcPr>
            <w:tcW w:w="722" w:type="dxa"/>
            <w:vAlign w:val="center"/>
          </w:tcPr>
          <w:p w14:paraId="392FFD70">
            <w:pPr>
              <w:spacing w:line="40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4</w:t>
            </w:r>
          </w:p>
        </w:tc>
        <w:tc>
          <w:tcPr>
            <w:tcW w:w="2128" w:type="dxa"/>
            <w:vAlign w:val="center"/>
          </w:tcPr>
          <w:p w14:paraId="4A141E5E">
            <w:pPr>
              <w:overflowPunct w:val="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rPr>
              <w:t>采购</w:t>
            </w:r>
            <w:r>
              <w:rPr>
                <w:rFonts w:hint="eastAsia" w:ascii="仿宋" w:hAnsi="仿宋" w:eastAsia="仿宋" w:cs="仿宋"/>
                <w:b/>
                <w:bCs/>
                <w:color w:val="auto"/>
                <w:sz w:val="24"/>
                <w:szCs w:val="24"/>
                <w:highlight w:val="none"/>
              </w:rPr>
              <w:t>预算</w:t>
            </w:r>
          </w:p>
          <w:p w14:paraId="719FE04B">
            <w:pPr>
              <w:overflowPunct w:val="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rPr>
              <w:t>（最高限价、</w:t>
            </w:r>
            <w:r>
              <w:rPr>
                <w:rFonts w:hint="eastAsia" w:ascii="仿宋" w:hAnsi="仿宋" w:eastAsia="仿宋" w:cs="仿宋"/>
                <w:b/>
                <w:bCs/>
                <w:color w:val="auto"/>
                <w:sz w:val="24"/>
                <w:szCs w:val="24"/>
                <w:highlight w:val="none"/>
                <w:lang w:val="en-US"/>
              </w:rPr>
              <w:t>单项限价</w:t>
            </w:r>
            <w:r>
              <w:rPr>
                <w:rFonts w:hint="eastAsia" w:ascii="仿宋" w:hAnsi="仿宋" w:eastAsia="仿宋" w:cs="仿宋"/>
                <w:b/>
                <w:bCs/>
                <w:color w:val="auto"/>
                <w:sz w:val="24"/>
                <w:szCs w:val="24"/>
                <w:highlight w:val="none"/>
              </w:rPr>
              <w:t>）</w:t>
            </w:r>
          </w:p>
        </w:tc>
        <w:tc>
          <w:tcPr>
            <w:tcW w:w="6968" w:type="dxa"/>
            <w:vAlign w:val="center"/>
          </w:tcPr>
          <w:p w14:paraId="30C47D95">
            <w:pPr>
              <w:pStyle w:val="14"/>
              <w:widowControl/>
              <w:spacing w:before="75" w:after="75" w:line="300" w:lineRule="atLeast"/>
              <w:rPr>
                <w:rFonts w:hint="eastAsia" w:ascii="仿宋" w:hAnsi="仿宋" w:eastAsia="仿宋" w:cs="仿宋"/>
                <w:b/>
                <w:bCs/>
                <w:color w:val="auto"/>
                <w:sz w:val="24"/>
                <w:szCs w:val="24"/>
                <w:highlight w:val="none"/>
                <w:lang w:val="en-US" w:bidi="zh-CN"/>
              </w:rPr>
            </w:pPr>
            <w:r>
              <w:rPr>
                <w:rFonts w:hint="eastAsia" w:ascii="仿宋" w:hAnsi="仿宋" w:eastAsia="仿宋" w:cs="仿宋"/>
                <w:szCs w:val="24"/>
                <w:highlight w:val="none"/>
                <w:lang w:val="en-US"/>
              </w:rPr>
              <w:t>1970000.00</w:t>
            </w:r>
            <w:r>
              <w:rPr>
                <w:rFonts w:hint="eastAsia" w:ascii="仿宋" w:hAnsi="仿宋" w:eastAsia="仿宋" w:cs="仿宋"/>
                <w:b/>
                <w:bCs/>
                <w:color w:val="auto"/>
                <w:sz w:val="24"/>
                <w:szCs w:val="24"/>
                <w:highlight w:val="none"/>
                <w:lang w:val="en-US" w:bidi="zh-CN"/>
              </w:rPr>
              <w:t>元。供应商投标报价超过采购预算、最高限价及</w:t>
            </w:r>
            <w:r>
              <w:rPr>
                <w:rFonts w:hint="eastAsia" w:ascii="仿宋" w:hAnsi="仿宋" w:eastAsia="仿宋" w:cs="仿宋"/>
                <w:b/>
                <w:bCs/>
                <w:color w:val="auto"/>
                <w:sz w:val="24"/>
                <w:szCs w:val="24"/>
                <w:highlight w:val="none"/>
                <w:lang w:val="en-US" w:eastAsia="zh-CN"/>
              </w:rPr>
              <w:t>分项</w:t>
            </w:r>
            <w:r>
              <w:rPr>
                <w:rFonts w:hint="eastAsia" w:ascii="仿宋" w:hAnsi="仿宋" w:eastAsia="仿宋" w:cs="仿宋"/>
                <w:b/>
                <w:bCs/>
                <w:color w:val="auto"/>
                <w:sz w:val="24"/>
                <w:szCs w:val="24"/>
                <w:highlight w:val="none"/>
                <w:lang w:val="en-US" w:bidi="zh-CN"/>
              </w:rPr>
              <w:t>总价限价的按无效投标处理。</w:t>
            </w:r>
          </w:p>
          <w:p w14:paraId="2865DBA5">
            <w:pPr>
              <w:pStyle w:val="14"/>
              <w:widowControl/>
              <w:spacing w:before="75" w:after="75" w:line="300" w:lineRule="atLeast"/>
              <w:rPr>
                <w:rFonts w:hint="eastAsia" w:ascii="仿宋" w:hAnsi="仿宋" w:eastAsia="仿宋" w:cs="仿宋"/>
                <w:b/>
                <w:bCs/>
                <w:color w:val="auto"/>
                <w:highlight w:val="none"/>
                <w:lang w:bidi="zh-CN"/>
              </w:rPr>
            </w:pPr>
            <w:r>
              <w:rPr>
                <w:rFonts w:hint="eastAsia" w:ascii="仿宋" w:hAnsi="仿宋" w:eastAsia="仿宋" w:cs="仿宋"/>
                <w:b/>
                <w:bCs/>
                <w:color w:val="auto"/>
                <w:sz w:val="24"/>
                <w:szCs w:val="24"/>
                <w:highlight w:val="none"/>
                <w:lang w:val="en-US" w:eastAsia="zh-CN"/>
              </w:rPr>
              <w:t>分项</w:t>
            </w:r>
            <w:r>
              <w:rPr>
                <w:rFonts w:hint="eastAsia" w:ascii="仿宋" w:hAnsi="仿宋" w:eastAsia="仿宋" w:cs="仿宋"/>
                <w:b/>
                <w:bCs/>
                <w:color w:val="auto"/>
                <w:sz w:val="24"/>
                <w:szCs w:val="24"/>
                <w:highlight w:val="none"/>
                <w:lang w:val="en-US" w:bidi="zh-CN"/>
              </w:rPr>
              <w:t>总价限价：</w:t>
            </w:r>
            <w:r>
              <w:rPr>
                <w:rFonts w:hint="eastAsia" w:ascii="仿宋" w:hAnsi="仿宋" w:eastAsia="仿宋" w:cs="仿宋"/>
                <w:b/>
                <w:bCs/>
                <w:color w:val="auto"/>
                <w:sz w:val="24"/>
                <w:szCs w:val="24"/>
                <w:highlight w:val="none"/>
                <w:lang w:val="en-US" w:eastAsia="zh-CN"/>
              </w:rPr>
              <w:t>详见第六部分</w:t>
            </w:r>
            <w:r>
              <w:rPr>
                <w:rFonts w:hint="eastAsia" w:ascii="仿宋" w:hAnsi="仿宋" w:eastAsia="仿宋" w:cs="仿宋"/>
                <w:b/>
                <w:bCs/>
                <w:color w:val="auto"/>
                <w:sz w:val="24"/>
                <w:szCs w:val="24"/>
                <w:highlight w:val="none"/>
                <w:lang w:val="en-US"/>
              </w:rPr>
              <w:t>货物需求、技术规格说明</w:t>
            </w:r>
          </w:p>
        </w:tc>
      </w:tr>
      <w:tr w14:paraId="1622D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722" w:type="dxa"/>
            <w:vMerge w:val="restart"/>
            <w:vAlign w:val="center"/>
          </w:tcPr>
          <w:p w14:paraId="77E039F2">
            <w:pPr>
              <w:overflowPunct w:val="0"/>
              <w:spacing w:line="44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5</w:t>
            </w:r>
          </w:p>
        </w:tc>
        <w:tc>
          <w:tcPr>
            <w:tcW w:w="2128" w:type="dxa"/>
            <w:vAlign w:val="center"/>
          </w:tcPr>
          <w:p w14:paraId="4A5638DD">
            <w:pPr>
              <w:spacing w:line="400" w:lineRule="exact"/>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交货期</w:t>
            </w:r>
          </w:p>
        </w:tc>
        <w:tc>
          <w:tcPr>
            <w:tcW w:w="6968" w:type="dxa"/>
            <w:vAlign w:val="center"/>
          </w:tcPr>
          <w:p w14:paraId="2C3FE17E">
            <w:pPr>
              <w:pStyle w:val="23"/>
              <w:jc w:val="both"/>
              <w:outlineLvl w:val="0"/>
              <w:rPr>
                <w:rFonts w:hint="eastAsia" w:ascii="仿宋" w:hAnsi="仿宋" w:eastAsia="仿宋" w:cs="仿宋"/>
                <w:b/>
                <w:bCs/>
                <w:color w:val="auto"/>
                <w:kern w:val="1"/>
                <w:highlight w:val="none"/>
              </w:rPr>
            </w:pPr>
            <w:r>
              <w:rPr>
                <w:rFonts w:hint="eastAsia" w:ascii="仿宋" w:hAnsi="仿宋" w:eastAsia="仿宋" w:cs="仿宋"/>
                <w:b/>
                <w:bCs/>
                <w:color w:val="auto"/>
                <w:sz w:val="24"/>
                <w:szCs w:val="24"/>
                <w:highlight w:val="none"/>
                <w:lang w:val="en-US" w:eastAsia="zh-CN"/>
              </w:rPr>
              <w:t>详见第六部分</w:t>
            </w:r>
            <w:r>
              <w:rPr>
                <w:rFonts w:hint="eastAsia" w:ascii="仿宋" w:hAnsi="仿宋" w:eastAsia="仿宋" w:cs="仿宋"/>
                <w:b/>
                <w:bCs/>
                <w:color w:val="auto"/>
                <w:sz w:val="24"/>
                <w:szCs w:val="24"/>
                <w:highlight w:val="none"/>
                <w:lang w:val="en-US"/>
              </w:rPr>
              <w:t>货物需求、技术规格说明</w:t>
            </w:r>
          </w:p>
        </w:tc>
      </w:tr>
      <w:tr w14:paraId="201B3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722" w:type="dxa"/>
            <w:vMerge w:val="continue"/>
            <w:vAlign w:val="center"/>
          </w:tcPr>
          <w:p w14:paraId="030A7366">
            <w:pPr>
              <w:overflowPunct w:val="0"/>
              <w:spacing w:line="440" w:lineRule="exact"/>
              <w:jc w:val="center"/>
              <w:rPr>
                <w:rFonts w:hint="eastAsia" w:ascii="仿宋" w:hAnsi="仿宋" w:eastAsia="仿宋" w:cs="仿宋"/>
                <w:sz w:val="24"/>
                <w:szCs w:val="24"/>
                <w:highlight w:val="none"/>
                <w:lang w:val="en-US"/>
              </w:rPr>
            </w:pPr>
          </w:p>
        </w:tc>
        <w:tc>
          <w:tcPr>
            <w:tcW w:w="2128" w:type="dxa"/>
            <w:vAlign w:val="center"/>
          </w:tcPr>
          <w:p w14:paraId="3BD0F486">
            <w:pPr>
              <w:spacing w:line="400" w:lineRule="exact"/>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质保期</w:t>
            </w:r>
          </w:p>
        </w:tc>
        <w:tc>
          <w:tcPr>
            <w:tcW w:w="6968" w:type="dxa"/>
            <w:vAlign w:val="center"/>
          </w:tcPr>
          <w:p w14:paraId="29637A68">
            <w:pPr>
              <w:rPr>
                <w:rFonts w:hint="eastAsia" w:ascii="仿宋" w:hAnsi="仿宋" w:eastAsia="仿宋" w:cs="仿宋"/>
                <w:b/>
                <w:bCs/>
                <w:color w:val="auto"/>
                <w:kern w:val="1"/>
                <w:sz w:val="24"/>
                <w:szCs w:val="24"/>
                <w:highlight w:val="none"/>
                <w:lang w:val="en-US"/>
              </w:rPr>
            </w:pPr>
            <w:r>
              <w:rPr>
                <w:rFonts w:hint="eastAsia" w:ascii="仿宋" w:hAnsi="仿宋" w:eastAsia="仿宋" w:cs="仿宋"/>
                <w:b/>
                <w:bCs/>
                <w:color w:val="auto"/>
                <w:sz w:val="24"/>
                <w:szCs w:val="24"/>
                <w:highlight w:val="none"/>
                <w:lang w:val="en-US" w:eastAsia="zh-CN"/>
              </w:rPr>
              <w:t>详见第六部分</w:t>
            </w:r>
            <w:r>
              <w:rPr>
                <w:rFonts w:hint="eastAsia" w:ascii="仿宋" w:hAnsi="仿宋" w:eastAsia="仿宋" w:cs="仿宋"/>
                <w:b/>
                <w:bCs/>
                <w:color w:val="auto"/>
                <w:sz w:val="24"/>
                <w:szCs w:val="24"/>
                <w:highlight w:val="none"/>
                <w:lang w:val="en-US"/>
              </w:rPr>
              <w:t>货物需求、技术规格说明</w:t>
            </w:r>
          </w:p>
        </w:tc>
      </w:tr>
      <w:tr w14:paraId="29971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4B79D60A">
            <w:pPr>
              <w:overflowPunct w:val="0"/>
              <w:spacing w:line="440" w:lineRule="exact"/>
              <w:jc w:val="center"/>
              <w:rPr>
                <w:rFonts w:hint="eastAsia" w:ascii="仿宋" w:hAnsi="仿宋" w:eastAsia="仿宋" w:cs="仿宋"/>
                <w:sz w:val="24"/>
                <w:szCs w:val="24"/>
                <w:highlight w:val="none"/>
              </w:rPr>
            </w:pPr>
          </w:p>
        </w:tc>
        <w:tc>
          <w:tcPr>
            <w:tcW w:w="2128" w:type="dxa"/>
            <w:vAlign w:val="center"/>
          </w:tcPr>
          <w:p w14:paraId="1DA090E9">
            <w:pPr>
              <w:spacing w:line="44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供货地点</w:t>
            </w:r>
          </w:p>
        </w:tc>
        <w:tc>
          <w:tcPr>
            <w:tcW w:w="6968" w:type="dxa"/>
            <w:vAlign w:val="center"/>
          </w:tcPr>
          <w:p w14:paraId="28712FCC">
            <w:pPr>
              <w:spacing w:line="440" w:lineRule="exact"/>
              <w:rPr>
                <w:rFonts w:hint="eastAsia" w:ascii="仿宋" w:hAnsi="仿宋" w:eastAsia="仿宋" w:cs="仿宋"/>
                <w:b/>
                <w:bCs/>
                <w:sz w:val="24"/>
                <w:szCs w:val="24"/>
                <w:highlight w:val="none"/>
                <w:lang w:val="en-US"/>
              </w:rPr>
            </w:pPr>
            <w:r>
              <w:rPr>
                <w:rFonts w:hint="eastAsia" w:ascii="仿宋" w:hAnsi="仿宋" w:eastAsia="仿宋" w:cs="仿宋"/>
                <w:b/>
                <w:bCs/>
                <w:sz w:val="24"/>
                <w:szCs w:val="24"/>
                <w:highlight w:val="none"/>
                <w:lang w:val="en-US"/>
              </w:rPr>
              <w:t xml:space="preserve"> 新疆大学药学院</w:t>
            </w:r>
          </w:p>
        </w:tc>
      </w:tr>
      <w:tr w14:paraId="4150A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00D02E69">
            <w:pPr>
              <w:overflowPunct w:val="0"/>
              <w:spacing w:line="440" w:lineRule="exact"/>
              <w:jc w:val="center"/>
              <w:rPr>
                <w:rFonts w:hint="eastAsia" w:ascii="仿宋" w:hAnsi="仿宋" w:eastAsia="仿宋" w:cs="仿宋"/>
                <w:sz w:val="24"/>
                <w:szCs w:val="24"/>
                <w:highlight w:val="none"/>
              </w:rPr>
            </w:pPr>
          </w:p>
        </w:tc>
        <w:tc>
          <w:tcPr>
            <w:tcW w:w="2128" w:type="dxa"/>
            <w:vAlign w:val="center"/>
          </w:tcPr>
          <w:p w14:paraId="670E6E20">
            <w:pPr>
              <w:spacing w:line="44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质量要求</w:t>
            </w:r>
          </w:p>
        </w:tc>
        <w:tc>
          <w:tcPr>
            <w:tcW w:w="6968" w:type="dxa"/>
            <w:vAlign w:val="center"/>
          </w:tcPr>
          <w:p w14:paraId="41D08ACB">
            <w:pPr>
              <w:spacing w:line="440" w:lineRule="exact"/>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合格</w:t>
            </w:r>
          </w:p>
        </w:tc>
      </w:tr>
      <w:tr w14:paraId="04708B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5AAE1AAB">
            <w:pPr>
              <w:overflowPunct w:val="0"/>
              <w:spacing w:line="440" w:lineRule="exact"/>
              <w:jc w:val="center"/>
              <w:rPr>
                <w:rFonts w:hint="eastAsia" w:ascii="仿宋" w:hAnsi="仿宋" w:eastAsia="仿宋" w:cs="仿宋"/>
                <w:sz w:val="24"/>
                <w:szCs w:val="24"/>
                <w:highlight w:val="none"/>
              </w:rPr>
            </w:pPr>
          </w:p>
        </w:tc>
        <w:tc>
          <w:tcPr>
            <w:tcW w:w="2128" w:type="dxa"/>
            <w:vAlign w:val="center"/>
          </w:tcPr>
          <w:p w14:paraId="16C4833C">
            <w:pPr>
              <w:jc w:val="center"/>
              <w:rPr>
                <w:rFonts w:hint="eastAsia" w:ascii="仿宋" w:hAnsi="仿宋" w:eastAsia="仿宋" w:cs="仿宋"/>
                <w:b/>
                <w:bCs/>
                <w:sz w:val="24"/>
                <w:szCs w:val="24"/>
                <w:highlight w:val="none"/>
                <w:lang w:val="en-US"/>
              </w:rPr>
            </w:pPr>
            <w:r>
              <w:rPr>
                <w:rFonts w:hint="eastAsia" w:ascii="仿宋" w:hAnsi="仿宋" w:eastAsia="仿宋" w:cs="仿宋"/>
                <w:b/>
                <w:bCs/>
                <w:sz w:val="24"/>
                <w:szCs w:val="24"/>
                <w:highlight w:val="none"/>
                <w:lang w:val="en-US"/>
              </w:rPr>
              <w:t>所属行业</w:t>
            </w:r>
          </w:p>
        </w:tc>
        <w:tc>
          <w:tcPr>
            <w:tcW w:w="6968" w:type="dxa"/>
            <w:vAlign w:val="center"/>
          </w:tcPr>
          <w:p w14:paraId="1CD76973">
            <w:pPr>
              <w:pStyle w:val="23"/>
              <w:jc w:val="both"/>
              <w:outlineLvl w:val="0"/>
              <w:rPr>
                <w:rFonts w:hint="eastAsia" w:ascii="仿宋" w:hAnsi="仿宋" w:eastAsia="仿宋" w:cs="仿宋"/>
                <w:b/>
                <w:bCs/>
                <w:color w:val="auto"/>
                <w:highlight w:val="none"/>
                <w:lang w:bidi="zh-CN"/>
              </w:rPr>
            </w:pPr>
            <w:r>
              <w:rPr>
                <w:rFonts w:hint="eastAsia" w:ascii="仿宋" w:hAnsi="仿宋" w:eastAsia="仿宋" w:cs="仿宋"/>
                <w:b/>
                <w:bCs/>
                <w:color w:val="auto"/>
                <w:highlight w:val="none"/>
                <w:lang w:bidi="zh-CN"/>
              </w:rPr>
              <w:t>本项目采购标的对应的中小企业划分标准所属行业：</w:t>
            </w:r>
          </w:p>
          <w:p w14:paraId="729042A4">
            <w:pPr>
              <w:pStyle w:val="23"/>
              <w:jc w:val="both"/>
              <w:outlineLvl w:val="0"/>
              <w:rPr>
                <w:rFonts w:hint="eastAsia" w:ascii="仿宋" w:hAnsi="仿宋" w:eastAsia="仿宋" w:cs="仿宋"/>
                <w:b/>
                <w:bCs/>
                <w:color w:val="auto"/>
                <w:highlight w:val="none"/>
                <w:lang w:eastAsia="zh-CN" w:bidi="zh-CN"/>
              </w:rPr>
            </w:pPr>
            <w:r>
              <w:rPr>
                <w:rFonts w:hint="eastAsia" w:ascii="仿宋" w:hAnsi="仿宋" w:eastAsia="仿宋" w:cs="仿宋"/>
                <w:b/>
                <w:bCs/>
                <w:color w:val="auto"/>
                <w:highlight w:val="none"/>
              </w:rPr>
              <w:t>2026年新疆大学药学院“双一流”建设项目（新疆特色中药民族药</w:t>
            </w:r>
            <w:r>
              <w:rPr>
                <w:rFonts w:hint="eastAsia" w:ascii="仿宋" w:hAnsi="仿宋" w:eastAsia="仿宋" w:cs="仿宋"/>
                <w:b/>
                <w:bCs/>
                <w:color w:val="auto"/>
                <w:highlight w:val="none"/>
                <w:lang w:bidi="zh-CN"/>
              </w:rPr>
              <w:t>：</w:t>
            </w:r>
            <w:r>
              <w:rPr>
                <w:rFonts w:hint="eastAsia" w:ascii="仿宋" w:hAnsi="仿宋" w:eastAsia="仿宋" w:cs="仿宋"/>
                <w:b/>
                <w:bCs/>
                <w:sz w:val="24"/>
                <w:szCs w:val="24"/>
                <w:highlight w:val="none"/>
                <w:lang w:val="en-US" w:eastAsia="zh-CN"/>
              </w:rPr>
              <w:t>详见第六部分</w:t>
            </w:r>
            <w:r>
              <w:rPr>
                <w:rFonts w:hint="eastAsia" w:ascii="仿宋" w:hAnsi="仿宋" w:eastAsia="仿宋" w:cs="仿宋"/>
                <w:b/>
                <w:bCs/>
                <w:sz w:val="24"/>
                <w:szCs w:val="24"/>
                <w:highlight w:val="none"/>
                <w:lang w:val="en-US"/>
              </w:rPr>
              <w:t>货物需求、技术规格说明</w:t>
            </w:r>
            <w:r>
              <w:rPr>
                <w:rFonts w:hint="eastAsia" w:ascii="仿宋" w:hAnsi="仿宋" w:eastAsia="仿宋" w:cs="仿宋"/>
                <w:b/>
                <w:bCs/>
                <w:sz w:val="24"/>
                <w:szCs w:val="24"/>
                <w:highlight w:val="none"/>
                <w:lang w:val="en-US" w:eastAsia="zh-CN"/>
              </w:rPr>
              <w:t>。</w:t>
            </w:r>
          </w:p>
          <w:p w14:paraId="06439A60">
            <w:pPr>
              <w:rPr>
                <w:rFonts w:hint="eastAsia" w:ascii="仿宋" w:hAnsi="仿宋" w:eastAsia="仿宋" w:cs="仿宋"/>
                <w:b/>
                <w:bCs/>
                <w:sz w:val="24"/>
                <w:szCs w:val="24"/>
                <w:highlight w:val="none"/>
                <w:lang w:val="en-US"/>
              </w:rPr>
            </w:pPr>
            <w:r>
              <w:rPr>
                <w:rFonts w:hint="eastAsia" w:ascii="仿宋" w:hAnsi="仿宋" w:eastAsia="仿宋" w:cs="仿宋"/>
                <w:b/>
                <w:bCs/>
                <w:sz w:val="24"/>
                <w:szCs w:val="24"/>
                <w:highlight w:val="none"/>
                <w:lang w:val="en-US"/>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48E14F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Merge w:val="continue"/>
            <w:vAlign w:val="center"/>
          </w:tcPr>
          <w:p w14:paraId="2518EAB9">
            <w:pPr>
              <w:overflowPunct w:val="0"/>
              <w:spacing w:line="440" w:lineRule="exact"/>
              <w:jc w:val="center"/>
              <w:rPr>
                <w:rFonts w:hint="eastAsia" w:ascii="仿宋" w:hAnsi="仿宋" w:eastAsia="仿宋" w:cs="仿宋"/>
                <w:sz w:val="24"/>
                <w:szCs w:val="24"/>
                <w:highlight w:val="none"/>
              </w:rPr>
            </w:pPr>
          </w:p>
        </w:tc>
        <w:tc>
          <w:tcPr>
            <w:tcW w:w="2128" w:type="dxa"/>
            <w:vAlign w:val="center"/>
          </w:tcPr>
          <w:p w14:paraId="389A29CA">
            <w:pPr>
              <w:jc w:val="center"/>
              <w:rPr>
                <w:rFonts w:hint="eastAsia" w:ascii="仿宋" w:hAnsi="仿宋" w:eastAsia="仿宋" w:cs="仿宋"/>
                <w:b/>
                <w:bCs/>
                <w:sz w:val="24"/>
                <w:szCs w:val="24"/>
                <w:highlight w:val="none"/>
                <w:lang w:val="en-US"/>
              </w:rPr>
            </w:pPr>
            <w:r>
              <w:rPr>
                <w:rFonts w:hint="eastAsia" w:ascii="仿宋" w:hAnsi="仿宋" w:eastAsia="仿宋" w:cs="仿宋"/>
                <w:b/>
                <w:bCs/>
                <w:sz w:val="24"/>
                <w:szCs w:val="24"/>
                <w:highlight w:val="none"/>
                <w:lang w:val="en-US"/>
              </w:rPr>
              <w:t>核心设备</w:t>
            </w:r>
          </w:p>
        </w:tc>
        <w:tc>
          <w:tcPr>
            <w:tcW w:w="6968" w:type="dxa"/>
            <w:vAlign w:val="center"/>
          </w:tcPr>
          <w:p w14:paraId="16771C19">
            <w:pPr>
              <w:pStyle w:val="23"/>
              <w:jc w:val="both"/>
              <w:outlineLvl w:val="0"/>
              <w:rPr>
                <w:rFonts w:hint="eastAsia" w:ascii="仿宋" w:hAnsi="仿宋" w:eastAsia="仿宋" w:cs="仿宋"/>
                <w:b/>
                <w:bCs/>
                <w:color w:val="auto"/>
                <w:highlight w:val="none"/>
                <w:lang w:bidi="zh-CN"/>
              </w:rPr>
            </w:pPr>
            <w:r>
              <w:rPr>
                <w:rFonts w:hint="eastAsia" w:ascii="仿宋" w:hAnsi="仿宋" w:eastAsia="仿宋" w:cs="仿宋"/>
                <w:b/>
                <w:bCs/>
                <w:color w:val="auto"/>
                <w:highlight w:val="none"/>
              </w:rPr>
              <w:t>2026年新疆大学药学院“双一流”建设项目（新疆特色中药民族药综合开发利用平台）第一包：动物细胞培养与复杂蛋白制备系统</w:t>
            </w:r>
          </w:p>
          <w:p w14:paraId="654841C4">
            <w:pPr>
              <w:pStyle w:val="23"/>
              <w:jc w:val="both"/>
              <w:outlineLvl w:val="0"/>
              <w:rPr>
                <w:rFonts w:hint="eastAsia" w:ascii="仿宋" w:hAnsi="仿宋" w:eastAsia="仿宋" w:cs="仿宋"/>
                <w:b/>
                <w:bCs/>
                <w:color w:val="auto"/>
                <w:highlight w:val="none"/>
              </w:rPr>
            </w:pPr>
            <w:r>
              <w:rPr>
                <w:rFonts w:hint="eastAsia" w:ascii="仿宋" w:hAnsi="仿宋" w:eastAsia="仿宋" w:cs="仿宋"/>
                <w:b/>
                <w:bCs/>
                <w:color w:val="auto"/>
                <w:highlight w:val="none"/>
              </w:rPr>
              <w:t>2026年新疆大学药学院“双一流”建设项目（新疆特色中药民族药综合开发利用平台）第二包：高效液相色谱仪</w:t>
            </w:r>
          </w:p>
        </w:tc>
      </w:tr>
      <w:tr w14:paraId="6E851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722" w:type="dxa"/>
            <w:vMerge w:val="continue"/>
            <w:vAlign w:val="center"/>
          </w:tcPr>
          <w:p w14:paraId="196F25AC">
            <w:pPr>
              <w:overflowPunct w:val="0"/>
              <w:spacing w:line="440" w:lineRule="exact"/>
              <w:jc w:val="center"/>
              <w:rPr>
                <w:rFonts w:hint="eastAsia" w:ascii="仿宋" w:hAnsi="仿宋" w:eastAsia="仿宋" w:cs="仿宋"/>
                <w:sz w:val="24"/>
                <w:szCs w:val="24"/>
                <w:highlight w:val="none"/>
              </w:rPr>
            </w:pPr>
          </w:p>
        </w:tc>
        <w:tc>
          <w:tcPr>
            <w:tcW w:w="2128" w:type="dxa"/>
            <w:vAlign w:val="center"/>
          </w:tcPr>
          <w:p w14:paraId="73F03E72">
            <w:pPr>
              <w:spacing w:line="44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付款方式</w:t>
            </w:r>
          </w:p>
        </w:tc>
        <w:tc>
          <w:tcPr>
            <w:tcW w:w="6968" w:type="dxa"/>
            <w:vAlign w:val="center"/>
          </w:tcPr>
          <w:p w14:paraId="462A8AF4">
            <w:pPr>
              <w:spacing w:line="360" w:lineRule="auto"/>
              <w:ind w:firstLine="482" w:firstLineChars="200"/>
              <w:jc w:val="both"/>
              <w:rPr>
                <w:rFonts w:hint="eastAsia" w:ascii="仿宋" w:hAnsi="仿宋" w:eastAsia="仿宋" w:cs="仿宋"/>
                <w:b/>
                <w:bCs/>
                <w:sz w:val="24"/>
                <w:szCs w:val="24"/>
                <w:highlight w:val="none"/>
                <w:lang w:val="en-US" w:bidi="ar-SA"/>
              </w:rPr>
            </w:pPr>
            <w:r>
              <w:rPr>
                <w:rFonts w:hint="eastAsia" w:ascii="仿宋" w:hAnsi="仿宋" w:eastAsia="仿宋" w:cs="仿宋"/>
                <w:b/>
                <w:bCs/>
                <w:sz w:val="24"/>
                <w:szCs w:val="24"/>
                <w:highlight w:val="none"/>
                <w:lang w:val="en-US" w:bidi="ar-SA"/>
              </w:rPr>
              <w:t>甲乙双方合同签订后，甲方向乙方支付合同总金额40%的预付款（乙方需提供甲方认可的预付款保函），乙方</w:t>
            </w:r>
            <w:r>
              <w:rPr>
                <w:rFonts w:hint="eastAsia" w:ascii="仿宋" w:hAnsi="仿宋" w:eastAsia="仿宋" w:cs="仿宋"/>
                <w:b/>
                <w:bCs/>
                <w:sz w:val="24"/>
                <w:szCs w:val="24"/>
                <w:highlight w:val="none"/>
                <w:lang w:val="en-US" w:eastAsia="zh-CN" w:bidi="ar-SA"/>
              </w:rPr>
              <w:t>应在</w:t>
            </w:r>
            <w:r>
              <w:rPr>
                <w:rFonts w:hint="eastAsia" w:ascii="仿宋" w:hAnsi="仿宋" w:eastAsia="仿宋" w:cs="仿宋"/>
                <w:b/>
                <w:bCs/>
                <w:sz w:val="24"/>
                <w:szCs w:val="24"/>
                <w:highlight w:val="none"/>
                <w:lang w:val="en-US" w:bidi="ar-SA"/>
              </w:rPr>
              <w:t>合同约定的时间内将所供合同标的物运至甲方指定地点，</w:t>
            </w:r>
            <w:r>
              <w:rPr>
                <w:rFonts w:hint="eastAsia" w:ascii="仿宋" w:hAnsi="仿宋" w:eastAsia="仿宋" w:cs="仿宋"/>
                <w:b/>
                <w:bCs/>
                <w:sz w:val="24"/>
                <w:szCs w:val="24"/>
                <w:highlight w:val="none"/>
                <w:lang w:val="en-US" w:eastAsia="zh-CN" w:bidi="ar-SA"/>
              </w:rPr>
              <w:t>并</w:t>
            </w:r>
            <w:r>
              <w:rPr>
                <w:rFonts w:hint="eastAsia" w:ascii="仿宋" w:hAnsi="仿宋" w:eastAsia="仿宋" w:cs="仿宋"/>
                <w:b/>
                <w:bCs/>
                <w:sz w:val="24"/>
                <w:szCs w:val="24"/>
                <w:highlight w:val="none"/>
                <w:lang w:val="en-US" w:bidi="ar-SA"/>
              </w:rPr>
              <w:t>在甲方收到合同标的物5日内对合同标的物进行安装调试</w:t>
            </w:r>
            <w:r>
              <w:rPr>
                <w:rFonts w:hint="eastAsia" w:ascii="仿宋" w:hAnsi="仿宋" w:eastAsia="仿宋" w:cs="仿宋"/>
                <w:b/>
                <w:bCs/>
                <w:sz w:val="24"/>
                <w:szCs w:val="24"/>
                <w:highlight w:val="none"/>
                <w:lang w:val="en-US" w:eastAsia="zh-CN" w:bidi="ar-SA"/>
              </w:rPr>
              <w:t>。</w:t>
            </w:r>
            <w:r>
              <w:rPr>
                <w:rFonts w:hint="eastAsia" w:ascii="仿宋" w:hAnsi="仿宋" w:eastAsia="仿宋" w:cs="仿宋"/>
                <w:b/>
                <w:bCs/>
                <w:sz w:val="24"/>
                <w:szCs w:val="24"/>
                <w:highlight w:val="none"/>
                <w:lang w:val="en-US" w:bidi="ar-SA"/>
              </w:rPr>
              <w:t>经甲方书面验收合格后，甲方向乙方支付合同总金额55%的货款。</w:t>
            </w:r>
            <w:r>
              <w:rPr>
                <w:rFonts w:hint="eastAsia" w:ascii="仿宋" w:hAnsi="仿宋" w:eastAsia="仿宋" w:cs="仿宋"/>
                <w:b/>
                <w:bCs/>
                <w:sz w:val="24"/>
                <w:szCs w:val="24"/>
                <w:highlight w:val="none"/>
                <w:lang w:val="en-US" w:eastAsia="zh-CN" w:bidi="ar-SA"/>
              </w:rPr>
              <w:t>剩余</w:t>
            </w:r>
            <w:r>
              <w:rPr>
                <w:rFonts w:hint="eastAsia" w:ascii="仿宋" w:hAnsi="仿宋" w:eastAsia="仿宋" w:cs="仿宋"/>
                <w:b/>
                <w:bCs/>
                <w:sz w:val="24"/>
                <w:szCs w:val="24"/>
                <w:highlight w:val="none"/>
                <w:lang w:val="en-US" w:bidi="ar-SA"/>
              </w:rPr>
              <w:t>合同总金额5%的货款，自甲方书面验收合格之日起满</w:t>
            </w:r>
            <w:r>
              <w:rPr>
                <w:rFonts w:hint="eastAsia" w:ascii="仿宋" w:hAnsi="仿宋" w:eastAsia="仿宋" w:cs="仿宋"/>
                <w:b/>
                <w:bCs/>
                <w:sz w:val="24"/>
                <w:szCs w:val="24"/>
                <w:highlight w:val="none"/>
                <w:lang w:val="en-US" w:eastAsia="zh-CN" w:bidi="ar-SA"/>
              </w:rPr>
              <w:t>一年</w:t>
            </w:r>
            <w:r>
              <w:rPr>
                <w:rFonts w:hint="eastAsia" w:ascii="仿宋" w:hAnsi="仿宋" w:eastAsia="仿宋" w:cs="仿宋"/>
                <w:b/>
                <w:bCs/>
                <w:sz w:val="24"/>
                <w:szCs w:val="24"/>
                <w:highlight w:val="none"/>
                <w:lang w:val="en-US" w:bidi="ar-SA"/>
              </w:rPr>
              <w:t>，经甲方再次验收，无质量问题后，甲方无息支付给乙方。</w:t>
            </w:r>
          </w:p>
          <w:p w14:paraId="529C2DF7">
            <w:pPr>
              <w:pStyle w:val="5"/>
              <w:ind w:left="0" w:firstLine="482" w:firstLineChars="200"/>
              <w:jc w:val="both"/>
              <w:rPr>
                <w:rFonts w:hint="eastAsia" w:ascii="仿宋" w:hAnsi="仿宋" w:eastAsia="仿宋" w:cs="仿宋"/>
                <w:highlight w:val="none"/>
                <w:lang w:val="en-US"/>
              </w:rPr>
            </w:pPr>
            <w:r>
              <w:rPr>
                <w:rFonts w:hint="eastAsia" w:ascii="仿宋" w:hAnsi="仿宋" w:eastAsia="仿宋" w:cs="仿宋"/>
                <w:sz w:val="24"/>
                <w:highlight w:val="none"/>
                <w:lang w:val="en-US"/>
              </w:rPr>
              <w:t>★中标后中标单位在首次申请预付款支付时，应开具等额预付款保函，具体以新疆大学要求为准，预付款保函时效不得短于供货期后60日。</w:t>
            </w:r>
          </w:p>
        </w:tc>
      </w:tr>
      <w:tr w14:paraId="7CF9A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tcBorders>
              <w:bottom w:val="single" w:color="auto" w:sz="4" w:space="0"/>
            </w:tcBorders>
            <w:vAlign w:val="center"/>
          </w:tcPr>
          <w:p w14:paraId="456E0CC5">
            <w:pPr>
              <w:overflowPunct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2128" w:type="dxa"/>
            <w:tcBorders>
              <w:bottom w:val="single" w:color="auto" w:sz="4" w:space="0"/>
              <w:right w:val="single" w:color="auto" w:sz="4" w:space="0"/>
            </w:tcBorders>
            <w:vAlign w:val="center"/>
          </w:tcPr>
          <w:p w14:paraId="50D960E1">
            <w:pPr>
              <w:overflowPunct w:val="0"/>
              <w:spacing w:line="440" w:lineRule="exact"/>
              <w:jc w:val="center"/>
              <w:rPr>
                <w:rFonts w:hint="eastAsia" w:ascii="仿宋" w:hAnsi="仿宋" w:eastAsia="仿宋" w:cs="仿宋"/>
                <w:sz w:val="24"/>
                <w:szCs w:val="24"/>
                <w:highlight w:val="none"/>
              </w:rPr>
            </w:pPr>
          </w:p>
          <w:p w14:paraId="111352CA">
            <w:pPr>
              <w:overflowPunct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投标资格</w:t>
            </w:r>
          </w:p>
        </w:tc>
        <w:tc>
          <w:tcPr>
            <w:tcW w:w="6968" w:type="dxa"/>
            <w:tcBorders>
              <w:left w:val="single" w:color="auto" w:sz="4" w:space="0"/>
              <w:bottom w:val="single" w:color="auto" w:sz="4" w:space="0"/>
            </w:tcBorders>
            <w:vAlign w:val="center"/>
          </w:tcPr>
          <w:p w14:paraId="2AB84109">
            <w:pPr>
              <w:pStyle w:val="14"/>
              <w:widowControl/>
              <w:spacing w:before="75" w:beforeAutospacing="0" w:after="75" w:afterAutospacing="0" w:line="300" w:lineRule="atLeast"/>
              <w:ind w:firstLine="420"/>
              <w:rPr>
                <w:rFonts w:hint="eastAsia" w:ascii="仿宋" w:hAnsi="仿宋" w:eastAsia="仿宋" w:cs="仿宋"/>
                <w:szCs w:val="24"/>
                <w:highlight w:val="none"/>
              </w:rPr>
            </w:pPr>
            <w:r>
              <w:rPr>
                <w:rFonts w:hint="eastAsia" w:ascii="仿宋" w:hAnsi="仿宋" w:eastAsia="仿宋" w:cs="仿宋"/>
                <w:szCs w:val="24"/>
                <w:highlight w:val="none"/>
              </w:rPr>
              <w:t>1.满足《中华人民共和国政府采购法》第二十二条规定；</w:t>
            </w:r>
          </w:p>
          <w:p w14:paraId="18439D49">
            <w:pPr>
              <w:pStyle w:val="14"/>
              <w:widowControl/>
              <w:autoSpaceDE/>
              <w:autoSpaceDN/>
              <w:spacing w:before="75" w:beforeAutospacing="0" w:after="75" w:afterAutospacing="0" w:line="300" w:lineRule="atLeast"/>
              <w:ind w:left="0" w:leftChars="0" w:firstLine="420" w:firstLineChars="0"/>
              <w:rPr>
                <w:rFonts w:hint="eastAsia" w:ascii="仿宋" w:hAnsi="仿宋" w:eastAsia="仿宋" w:cs="仿宋"/>
                <w:szCs w:val="24"/>
                <w:highlight w:val="none"/>
              </w:rPr>
            </w:pPr>
            <w:r>
              <w:rPr>
                <w:rFonts w:hint="eastAsia" w:ascii="仿宋" w:hAnsi="仿宋" w:eastAsia="仿宋" w:cs="仿宋"/>
                <w:szCs w:val="24"/>
                <w:highlight w:val="none"/>
              </w:rPr>
              <w:t>2.落实政府采购政策需满足的资格要求：符合政府采购优先（节约能源、保护环境）采购政策及促进中小企业（监狱企业、残疾人福利性单位）发展政策的，依据规定给予评审优惠。</w:t>
            </w:r>
          </w:p>
          <w:p w14:paraId="118A6AF4">
            <w:pPr>
              <w:pStyle w:val="14"/>
              <w:widowControl/>
              <w:spacing w:before="75" w:beforeAutospacing="0" w:after="75" w:afterAutospacing="0" w:line="300" w:lineRule="atLeast"/>
              <w:ind w:firstLine="420"/>
              <w:rPr>
                <w:rFonts w:hint="eastAsia" w:ascii="仿宋" w:hAnsi="仿宋" w:eastAsia="仿宋" w:cs="仿宋"/>
                <w:szCs w:val="24"/>
                <w:highlight w:val="none"/>
                <w:lang w:val="en-US" w:eastAsia="zh-CN"/>
              </w:rPr>
            </w:pPr>
            <w:r>
              <w:rPr>
                <w:rFonts w:hint="eastAsia" w:ascii="仿宋" w:hAnsi="仿宋" w:eastAsia="仿宋" w:cs="仿宋"/>
                <w:szCs w:val="24"/>
                <w:highlight w:val="none"/>
              </w:rPr>
              <w:t>3.本项目的特定资格要求：</w:t>
            </w:r>
          </w:p>
          <w:p w14:paraId="5E14ECE8">
            <w:pPr>
              <w:pStyle w:val="14"/>
              <w:widowControl/>
              <w:spacing w:before="75" w:beforeAutospacing="0" w:after="75" w:afterAutospacing="0" w:line="300" w:lineRule="atLeast"/>
              <w:ind w:firstLine="420"/>
              <w:jc w:val="left"/>
              <w:rPr>
                <w:rFonts w:hint="eastAsia" w:ascii="仿宋" w:hAnsi="仿宋" w:eastAsia="仿宋" w:cs="仿宋"/>
                <w:sz w:val="24"/>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auto"/>
                <w:szCs w:val="24"/>
                <w:highlight w:val="none"/>
                <w:lang w:val="en-US" w:eastAsia="zh-CN"/>
              </w:rPr>
              <w:t>1</w:t>
            </w:r>
            <w:r>
              <w:rPr>
                <w:rFonts w:hint="eastAsia" w:ascii="仿宋" w:hAnsi="仿宋" w:eastAsia="仿宋" w:cs="仿宋"/>
                <w:color w:val="auto"/>
                <w:szCs w:val="24"/>
                <w:highlight w:val="none"/>
              </w:rPr>
              <w:t>）凡拟参加本次招标项目的投标人须具有良好的信誉，未在“信用中国”网站（www.creditchina.gov.cn）被列入失信被执行人、</w:t>
            </w:r>
            <w:r>
              <w:rPr>
                <w:rFonts w:hint="eastAsia" w:ascii="仿宋" w:hAnsi="仿宋" w:eastAsia="仿宋" w:cs="仿宋"/>
                <w:szCs w:val="24"/>
                <w:highlight w:val="none"/>
                <w:lang w:eastAsia="zh-CN"/>
              </w:rPr>
              <w:t>重大税收违法失信主体</w:t>
            </w:r>
            <w:r>
              <w:rPr>
                <w:rFonts w:hint="eastAsia" w:ascii="仿宋" w:hAnsi="仿宋" w:eastAsia="仿宋" w:cs="仿宋"/>
                <w:color w:val="auto"/>
                <w:szCs w:val="24"/>
                <w:highlight w:val="none"/>
              </w:rPr>
              <w:t>、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w:t>
            </w:r>
            <w:r>
              <w:rPr>
                <w:rFonts w:hint="eastAsia" w:ascii="仿宋" w:hAnsi="仿宋" w:eastAsia="仿宋" w:cs="仿宋"/>
                <w:color w:val="auto"/>
                <w:szCs w:val="24"/>
                <w:highlight w:val="none"/>
                <w:lang w:eastAsia="zh-CN"/>
              </w:rPr>
              <w:t>参与</w:t>
            </w:r>
            <w:r>
              <w:rPr>
                <w:rFonts w:hint="eastAsia" w:ascii="仿宋" w:hAnsi="仿宋" w:eastAsia="仿宋" w:cs="仿宋"/>
                <w:color w:val="auto"/>
                <w:szCs w:val="24"/>
                <w:highlight w:val="none"/>
              </w:rPr>
              <w:t>本次招标活动；</w:t>
            </w:r>
          </w:p>
        </w:tc>
      </w:tr>
      <w:tr w14:paraId="475FA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722" w:type="dxa"/>
            <w:tcBorders>
              <w:bottom w:val="single" w:color="auto" w:sz="4" w:space="0"/>
            </w:tcBorders>
            <w:vAlign w:val="center"/>
          </w:tcPr>
          <w:p w14:paraId="352B5B3D">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2128" w:type="dxa"/>
            <w:tcBorders>
              <w:bottom w:val="single" w:color="auto" w:sz="4" w:space="0"/>
              <w:right w:val="single" w:color="auto" w:sz="4" w:space="0"/>
            </w:tcBorders>
            <w:vAlign w:val="center"/>
          </w:tcPr>
          <w:p w14:paraId="0F3AFAF8">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信用情况</w:t>
            </w:r>
          </w:p>
        </w:tc>
        <w:tc>
          <w:tcPr>
            <w:tcW w:w="6968" w:type="dxa"/>
            <w:tcBorders>
              <w:left w:val="single" w:color="auto" w:sz="4" w:space="0"/>
              <w:bottom w:val="single" w:color="auto" w:sz="4" w:space="0"/>
            </w:tcBorders>
            <w:vAlign w:val="center"/>
          </w:tcPr>
          <w:p w14:paraId="4C83A1E9">
            <w:pPr>
              <w:pStyle w:val="3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查询渠道：信用中国网站、中国政府采购网和新疆税务局官网；</w:t>
            </w:r>
          </w:p>
          <w:p w14:paraId="4BC0FFF8">
            <w:pPr>
              <w:pStyle w:val="3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查询时间：投标截止时间以后</w:t>
            </w:r>
            <w:r>
              <w:rPr>
                <w:rFonts w:hint="eastAsia" w:ascii="仿宋" w:hAnsi="仿宋" w:eastAsia="仿宋" w:cs="仿宋"/>
                <w:sz w:val="24"/>
                <w:szCs w:val="24"/>
                <w:highlight w:val="none"/>
                <w:lang w:eastAsia="zh-CN"/>
              </w:rPr>
              <w:t>至</w:t>
            </w:r>
            <w:r>
              <w:rPr>
                <w:rFonts w:hint="eastAsia" w:ascii="仿宋" w:hAnsi="仿宋" w:eastAsia="仿宋" w:cs="仿宋"/>
                <w:sz w:val="24"/>
                <w:szCs w:val="24"/>
                <w:highlight w:val="none"/>
              </w:rPr>
              <w:t>资格审查阶段采购人或采购代理机构的实际查询时间；</w:t>
            </w:r>
          </w:p>
          <w:p w14:paraId="350E7E1C">
            <w:pPr>
              <w:pStyle w:val="3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信用信息查询记录和证据留存具体方式：查询结果网页打印页作为查询记录和证据，与其他采购文件一并保存；信用信息的使用原则：经认定的“中国执行信息公开网”被列入失信被执行人、“信用中国”网站被列入重大税收违法失信主体、政府采购严重违法失信名单的（尚在处罚期内的）、中国政府采购网被列入政府采购严重违法失信行为记录名单（尚在处罚期内的）以及被列入新疆税务局失信惩戒企业名单的供应商，其投标无效。</w:t>
            </w:r>
          </w:p>
          <w:p w14:paraId="30559F93">
            <w:pPr>
              <w:ind w:firstLine="241" w:firstLineChars="100"/>
              <w:rPr>
                <w:rFonts w:hint="eastAsia" w:ascii="仿宋" w:hAnsi="仿宋" w:eastAsia="仿宋" w:cs="仿宋"/>
                <w:sz w:val="24"/>
                <w:szCs w:val="24"/>
                <w:highlight w:val="none"/>
              </w:rPr>
            </w:pPr>
            <w:r>
              <w:rPr>
                <w:rFonts w:hint="eastAsia" w:ascii="仿宋" w:hAnsi="仿宋" w:eastAsia="仿宋" w:cs="仿宋"/>
                <w:b/>
                <w:bCs/>
                <w:color w:val="auto"/>
                <w:sz w:val="24"/>
                <w:szCs w:val="24"/>
                <w:highlight w:val="none"/>
                <w:lang w:eastAsia="zh-CN"/>
              </w:rPr>
              <w:t>注：由采购人或采购代理机构查询。</w:t>
            </w:r>
          </w:p>
        </w:tc>
      </w:tr>
      <w:tr w14:paraId="3E5BA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tcBorders>
              <w:top w:val="single" w:color="auto" w:sz="4" w:space="0"/>
            </w:tcBorders>
            <w:vAlign w:val="center"/>
          </w:tcPr>
          <w:p w14:paraId="2052F3BC">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2128" w:type="dxa"/>
            <w:tcBorders>
              <w:top w:val="single" w:color="auto" w:sz="4" w:space="0"/>
            </w:tcBorders>
            <w:vAlign w:val="center"/>
          </w:tcPr>
          <w:p w14:paraId="5C799166">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6968" w:type="dxa"/>
            <w:tcBorders>
              <w:top w:val="single" w:color="auto" w:sz="4" w:space="0"/>
            </w:tcBorders>
            <w:vAlign w:val="center"/>
          </w:tcPr>
          <w:p w14:paraId="76EE7B9E">
            <w:pPr>
              <w:spacing w:line="400" w:lineRule="exact"/>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90天</w:t>
            </w:r>
          </w:p>
        </w:tc>
      </w:tr>
      <w:tr w14:paraId="669F2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5" w:hRule="atLeast"/>
          <w:jc w:val="center"/>
        </w:trPr>
        <w:tc>
          <w:tcPr>
            <w:tcW w:w="722" w:type="dxa"/>
            <w:tcBorders>
              <w:bottom w:val="single" w:color="auto" w:sz="4" w:space="0"/>
            </w:tcBorders>
            <w:vAlign w:val="center"/>
          </w:tcPr>
          <w:p w14:paraId="154628E8">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2128" w:type="dxa"/>
            <w:tcBorders>
              <w:bottom w:val="single" w:color="auto" w:sz="4" w:space="0"/>
            </w:tcBorders>
            <w:vAlign w:val="center"/>
          </w:tcPr>
          <w:p w14:paraId="4BF02569">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评标方法</w:t>
            </w:r>
          </w:p>
        </w:tc>
        <w:tc>
          <w:tcPr>
            <w:tcW w:w="6968" w:type="dxa"/>
            <w:tcBorders>
              <w:bottom w:val="single" w:color="auto" w:sz="4" w:space="0"/>
            </w:tcBorders>
            <w:vAlign w:val="center"/>
          </w:tcPr>
          <w:p w14:paraId="14171103">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综合评分法</w:t>
            </w:r>
          </w:p>
        </w:tc>
      </w:tr>
      <w:tr w14:paraId="6056C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722" w:type="dxa"/>
            <w:tcBorders>
              <w:top w:val="single" w:color="auto" w:sz="4" w:space="0"/>
            </w:tcBorders>
            <w:vAlign w:val="center"/>
          </w:tcPr>
          <w:p w14:paraId="6973C73F">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2128" w:type="dxa"/>
            <w:tcBorders>
              <w:top w:val="single" w:color="auto" w:sz="4" w:space="0"/>
            </w:tcBorders>
            <w:vAlign w:val="center"/>
          </w:tcPr>
          <w:p w14:paraId="0E18ED9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是否接受</w:t>
            </w:r>
          </w:p>
          <w:p w14:paraId="192B810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联合体投标</w:t>
            </w:r>
          </w:p>
        </w:tc>
        <w:tc>
          <w:tcPr>
            <w:tcW w:w="6968" w:type="dxa"/>
            <w:tcBorders>
              <w:top w:val="single" w:color="auto" w:sz="4" w:space="0"/>
            </w:tcBorders>
            <w:vAlign w:val="center"/>
          </w:tcPr>
          <w:p w14:paraId="511EF9F3">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不接受</w:t>
            </w:r>
          </w:p>
        </w:tc>
      </w:tr>
      <w:tr w14:paraId="73ABB0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3" w:hRule="atLeast"/>
          <w:jc w:val="center"/>
        </w:trPr>
        <w:tc>
          <w:tcPr>
            <w:tcW w:w="722" w:type="dxa"/>
            <w:tcBorders>
              <w:top w:val="single" w:color="auto" w:sz="4" w:space="0"/>
            </w:tcBorders>
            <w:vAlign w:val="center"/>
          </w:tcPr>
          <w:p w14:paraId="28AD7920">
            <w:pPr>
              <w:spacing w:line="40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11</w:t>
            </w:r>
          </w:p>
        </w:tc>
        <w:tc>
          <w:tcPr>
            <w:tcW w:w="2128" w:type="dxa"/>
            <w:tcBorders>
              <w:top w:val="single" w:color="auto" w:sz="4" w:space="0"/>
            </w:tcBorders>
            <w:vAlign w:val="center"/>
          </w:tcPr>
          <w:p w14:paraId="39A5CEFC">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tc>
        <w:tc>
          <w:tcPr>
            <w:tcW w:w="6968" w:type="dxa"/>
            <w:tcBorders>
              <w:top w:val="single" w:color="auto" w:sz="4" w:space="0"/>
            </w:tcBorders>
            <w:vAlign w:val="center"/>
          </w:tcPr>
          <w:p w14:paraId="3426A44D">
            <w:pP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缴纳方式：电汇、保函等非现金形式</w:t>
            </w:r>
          </w:p>
          <w:p w14:paraId="32FA2BCA">
            <w:pPr>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w:t>
            </w:r>
          </w:p>
          <w:p w14:paraId="31E8C283">
            <w:pPr>
              <w:rPr>
                <w:rFonts w:hint="eastAsia" w:ascii="仿宋" w:hAnsi="仿宋" w:eastAsia="仿宋" w:cs="仿宋"/>
                <w:b/>
                <w:bCs/>
                <w:sz w:val="24"/>
                <w:szCs w:val="24"/>
                <w:highlight w:val="none"/>
                <w:lang w:val="en-US"/>
              </w:rPr>
            </w:pPr>
            <w:r>
              <w:rPr>
                <w:rFonts w:hint="eastAsia" w:ascii="仿宋" w:hAnsi="仿宋" w:eastAsia="仿宋" w:cs="仿宋"/>
                <w:b/>
                <w:bCs/>
                <w:szCs w:val="24"/>
                <w:highlight w:val="none"/>
                <w:lang w:val="en-US"/>
              </w:rPr>
              <w:t>2026年新疆大学药学院“双一流”建设项目（新疆特色中药民族药综合开发利用平台）</w:t>
            </w:r>
            <w:r>
              <w:rPr>
                <w:rFonts w:hint="eastAsia" w:ascii="仿宋" w:hAnsi="仿宋" w:eastAsia="仿宋" w:cs="仿宋"/>
                <w:b/>
                <w:bCs/>
                <w:sz w:val="24"/>
                <w:szCs w:val="24"/>
                <w:highlight w:val="none"/>
                <w:lang w:val="en-US"/>
              </w:rPr>
              <w:t>第一包：2600</w:t>
            </w:r>
            <w:r>
              <w:rPr>
                <w:rFonts w:hint="eastAsia" w:ascii="仿宋" w:hAnsi="仿宋" w:eastAsia="仿宋" w:cs="仿宋"/>
                <w:b/>
                <w:bCs/>
                <w:sz w:val="24"/>
                <w:szCs w:val="24"/>
                <w:highlight w:val="none"/>
                <w:lang w:val="en-US" w:eastAsia="zh-CN"/>
              </w:rPr>
              <w:t>2.00</w:t>
            </w:r>
            <w:r>
              <w:rPr>
                <w:rFonts w:hint="eastAsia" w:ascii="仿宋" w:hAnsi="仿宋" w:eastAsia="仿宋" w:cs="仿宋"/>
                <w:b/>
                <w:bCs/>
                <w:sz w:val="24"/>
                <w:szCs w:val="24"/>
                <w:highlight w:val="none"/>
                <w:lang w:val="en-US"/>
              </w:rPr>
              <w:t>元</w:t>
            </w:r>
          </w:p>
          <w:p w14:paraId="5143F9CC">
            <w:pPr>
              <w:rPr>
                <w:rFonts w:hint="eastAsia" w:ascii="仿宋" w:hAnsi="仿宋" w:eastAsia="仿宋" w:cs="仿宋"/>
                <w:b/>
                <w:bCs/>
                <w:sz w:val="24"/>
                <w:szCs w:val="24"/>
                <w:highlight w:val="none"/>
                <w:lang w:val="en-US"/>
              </w:rPr>
            </w:pPr>
            <w:r>
              <w:rPr>
                <w:rFonts w:hint="eastAsia" w:ascii="仿宋" w:hAnsi="仿宋" w:eastAsia="仿宋" w:cs="仿宋"/>
                <w:b/>
                <w:bCs/>
                <w:szCs w:val="24"/>
                <w:highlight w:val="none"/>
                <w:lang w:val="en-US"/>
              </w:rPr>
              <w:t>2026年新疆大学药学院“双一流”建设项目（新疆特色中药民族药综合开发利用平台）</w:t>
            </w:r>
            <w:r>
              <w:rPr>
                <w:rFonts w:hint="eastAsia" w:ascii="仿宋" w:hAnsi="仿宋" w:eastAsia="仿宋" w:cs="仿宋"/>
                <w:b/>
                <w:bCs/>
                <w:sz w:val="24"/>
                <w:szCs w:val="24"/>
                <w:highlight w:val="none"/>
                <w:lang w:val="en-US"/>
              </w:rPr>
              <w:t>第二包：1200</w:t>
            </w:r>
            <w:r>
              <w:rPr>
                <w:rFonts w:hint="eastAsia" w:ascii="仿宋" w:hAnsi="仿宋" w:eastAsia="仿宋" w:cs="仿宋"/>
                <w:b/>
                <w:bCs/>
                <w:sz w:val="24"/>
                <w:szCs w:val="24"/>
                <w:highlight w:val="none"/>
                <w:lang w:val="en-US" w:eastAsia="zh-CN"/>
              </w:rPr>
              <w:t>2.00</w:t>
            </w:r>
            <w:r>
              <w:rPr>
                <w:rFonts w:hint="eastAsia" w:ascii="仿宋" w:hAnsi="仿宋" w:eastAsia="仿宋" w:cs="仿宋"/>
                <w:b/>
                <w:bCs/>
                <w:sz w:val="24"/>
                <w:szCs w:val="24"/>
                <w:highlight w:val="none"/>
                <w:lang w:val="en-US"/>
              </w:rPr>
              <w:t>元</w:t>
            </w:r>
          </w:p>
          <w:p w14:paraId="632E2047">
            <w:pPr>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投标保证金缴纳账号：</w:t>
            </w:r>
          </w:p>
          <w:p w14:paraId="78014F6E">
            <w:pPr>
              <w:overflowPunct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开户名称：新疆华域建设工程项目管理咨询有限公司</w:t>
            </w:r>
          </w:p>
          <w:p w14:paraId="4F98B1BE">
            <w:pPr>
              <w:overflowPunct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开户银行：中国银行乌鲁木齐南湖东路支行</w:t>
            </w:r>
          </w:p>
          <w:p w14:paraId="16FB7E6C">
            <w:pPr>
              <w:overflowPunct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 xml:space="preserve">开户行行号：104881006151 </w:t>
            </w:r>
          </w:p>
          <w:p w14:paraId="753F9F53">
            <w:pPr>
              <w:overflowPunct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账   号： 107083025521</w:t>
            </w:r>
          </w:p>
          <w:p w14:paraId="0B217AE1">
            <w:pPr>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注：汇款单上需注明</w:t>
            </w:r>
            <w:r>
              <w:rPr>
                <w:rFonts w:hint="eastAsia" w:ascii="仿宋" w:hAnsi="仿宋" w:eastAsia="仿宋" w:cs="仿宋"/>
                <w:sz w:val="24"/>
                <w:szCs w:val="24"/>
                <w:highlight w:val="none"/>
                <w:lang w:val="en-US"/>
              </w:rPr>
              <w:t>项目编号或项目名称。</w:t>
            </w:r>
          </w:p>
          <w:p w14:paraId="7323D5CF">
            <w:pPr>
              <w:rPr>
                <w:rFonts w:hint="eastAsia" w:ascii="仿宋" w:hAnsi="仿宋" w:eastAsia="仿宋" w:cs="仿宋"/>
                <w:sz w:val="24"/>
                <w:szCs w:val="24"/>
                <w:highlight w:val="none"/>
              </w:rPr>
            </w:pPr>
            <w:r>
              <w:rPr>
                <w:rFonts w:hint="eastAsia" w:ascii="仿宋" w:hAnsi="仿宋" w:eastAsia="仿宋" w:cs="仿宋"/>
                <w:sz w:val="24"/>
                <w:szCs w:val="24"/>
                <w:highlight w:val="none"/>
              </w:rPr>
              <w:t>投标保证金缴纳期限：凡拟参加本次招标项目的供应商，必须在开标前将投标保证金汇入指定账户。</w:t>
            </w:r>
          </w:p>
          <w:p w14:paraId="3C33D688">
            <w:pPr>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注：供应商缴纳投标保证金时，</w:t>
            </w:r>
            <w:r>
              <w:rPr>
                <w:rFonts w:hint="eastAsia" w:ascii="仿宋" w:hAnsi="仿宋" w:eastAsia="仿宋" w:cs="仿宋"/>
                <w:b/>
                <w:bCs/>
                <w:sz w:val="24"/>
                <w:szCs w:val="24"/>
                <w:highlight w:val="none"/>
              </w:rPr>
              <w:t>须备注所投</w:t>
            </w:r>
            <w:r>
              <w:rPr>
                <w:rFonts w:hint="eastAsia" w:ascii="仿宋" w:hAnsi="仿宋" w:eastAsia="仿宋" w:cs="仿宋"/>
                <w:b/>
                <w:bCs/>
                <w:sz w:val="24"/>
                <w:szCs w:val="24"/>
                <w:highlight w:val="none"/>
                <w:lang w:val="en-US"/>
              </w:rPr>
              <w:t>项目编号或项目名称</w:t>
            </w:r>
            <w:r>
              <w:rPr>
                <w:rFonts w:hint="eastAsia" w:ascii="仿宋" w:hAnsi="仿宋" w:eastAsia="仿宋" w:cs="仿宋"/>
                <w:sz w:val="24"/>
                <w:szCs w:val="24"/>
                <w:highlight w:val="none"/>
              </w:rPr>
              <w:t>。</w:t>
            </w:r>
          </w:p>
        </w:tc>
      </w:tr>
      <w:tr w14:paraId="2BB36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722" w:type="dxa"/>
            <w:vAlign w:val="center"/>
          </w:tcPr>
          <w:p w14:paraId="6D4712CC">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2128" w:type="dxa"/>
            <w:vAlign w:val="center"/>
          </w:tcPr>
          <w:p w14:paraId="4CC65206">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采购文件</w:t>
            </w:r>
            <w:r>
              <w:rPr>
                <w:rFonts w:hint="eastAsia" w:ascii="仿宋" w:hAnsi="仿宋" w:eastAsia="仿宋" w:cs="仿宋"/>
                <w:sz w:val="24"/>
                <w:szCs w:val="24"/>
                <w:highlight w:val="none"/>
              </w:rPr>
              <w:t>发放</w:t>
            </w:r>
          </w:p>
        </w:tc>
        <w:tc>
          <w:tcPr>
            <w:tcW w:w="6968" w:type="dxa"/>
            <w:vAlign w:val="center"/>
          </w:tcPr>
          <w:p w14:paraId="33F27EC0">
            <w:pP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登录政采云平台https://www.zcygov.cn/平台后进入“项目采购”应用，在获取文件菜单中选择项目，申请获取采购文件，投标单位须办理CA数字证书，通过CA数字证书登录政采云平台https://www.zcygov.cn/，进行下载采购文件。</w:t>
            </w:r>
          </w:p>
        </w:tc>
      </w:tr>
      <w:tr w14:paraId="2555E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14:paraId="1A9D0A07">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2128" w:type="dxa"/>
            <w:vAlign w:val="center"/>
          </w:tcPr>
          <w:p w14:paraId="1E92F0F0">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采购文件售价</w:t>
            </w:r>
          </w:p>
        </w:tc>
        <w:tc>
          <w:tcPr>
            <w:tcW w:w="6968" w:type="dxa"/>
            <w:vAlign w:val="center"/>
          </w:tcPr>
          <w:p w14:paraId="6AAB4B6C">
            <w:pPr>
              <w:overflowPunct w:val="0"/>
              <w:spacing w:line="440" w:lineRule="exact"/>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0元/标项</w:t>
            </w:r>
          </w:p>
        </w:tc>
      </w:tr>
      <w:tr w14:paraId="32CA4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14:paraId="5A718A4B">
            <w:pPr>
              <w:overflowPunct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2128" w:type="dxa"/>
            <w:vAlign w:val="center"/>
          </w:tcPr>
          <w:p w14:paraId="7EA57D1D">
            <w:pPr>
              <w:overflowPunct w:val="0"/>
              <w:spacing w:line="44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开标查验</w:t>
            </w:r>
          </w:p>
        </w:tc>
        <w:tc>
          <w:tcPr>
            <w:tcW w:w="6968" w:type="dxa"/>
            <w:vAlign w:val="center"/>
          </w:tcPr>
          <w:p w14:paraId="271DD91E">
            <w:pPr>
              <w:rPr>
                <w:rFonts w:hint="eastAsia" w:ascii="仿宋" w:hAnsi="仿宋" w:eastAsia="仿宋" w:cs="仿宋"/>
                <w:b/>
                <w:bCs/>
                <w:sz w:val="24"/>
                <w:szCs w:val="24"/>
                <w:highlight w:val="none"/>
                <w:lang w:val="en-US"/>
              </w:rPr>
            </w:pPr>
            <w:r>
              <w:rPr>
                <w:rFonts w:hint="eastAsia" w:ascii="仿宋" w:hAnsi="仿宋" w:eastAsia="仿宋" w:cs="仿宋"/>
                <w:b/>
                <w:bCs/>
                <w:sz w:val="24"/>
                <w:szCs w:val="24"/>
                <w:highlight w:val="none"/>
                <w:lang w:val="en-US"/>
              </w:rPr>
              <w:t>无</w:t>
            </w:r>
          </w:p>
        </w:tc>
      </w:tr>
      <w:tr w14:paraId="6DECA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722" w:type="dxa"/>
            <w:vAlign w:val="center"/>
          </w:tcPr>
          <w:p w14:paraId="237AAB5C">
            <w:pPr>
              <w:overflowPunct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2128" w:type="dxa"/>
            <w:vAlign w:val="center"/>
          </w:tcPr>
          <w:p w14:paraId="2E06CD81">
            <w:pPr>
              <w:overflowPunct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开标地点及投标文件递交</w:t>
            </w:r>
          </w:p>
        </w:tc>
        <w:tc>
          <w:tcPr>
            <w:tcW w:w="6968" w:type="dxa"/>
            <w:vAlign w:val="center"/>
          </w:tcPr>
          <w:p w14:paraId="72149B9C">
            <w:pPr>
              <w:overflowPunct w:val="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（1）开标地点：政采云平台https://login.zcygov.cn/。（</w:t>
            </w:r>
            <w:r>
              <w:rPr>
                <w:rFonts w:hint="eastAsia" w:ascii="仿宋" w:hAnsi="仿宋" w:eastAsia="仿宋" w:cs="仿宋"/>
                <w:sz w:val="24"/>
                <w:szCs w:val="24"/>
                <w:highlight w:val="none"/>
                <w:lang w:val="en-US"/>
              </w:rPr>
              <w:t>全流程不见面开标</w:t>
            </w:r>
            <w:r>
              <w:rPr>
                <w:rFonts w:hint="eastAsia" w:ascii="仿宋" w:hAnsi="仿宋" w:eastAsia="仿宋" w:cs="仿宋"/>
                <w:sz w:val="24"/>
                <w:szCs w:val="24"/>
                <w:highlight w:val="none"/>
              </w:rPr>
              <w:t>）</w:t>
            </w:r>
          </w:p>
          <w:p w14:paraId="1F53054E">
            <w:pPr>
              <w:overflowPunct w:val="0"/>
              <w:rPr>
                <w:rFonts w:hint="eastAsia" w:ascii="仿宋" w:hAnsi="仿宋" w:eastAsia="仿宋" w:cs="仿宋"/>
                <w:b/>
                <w:bCs/>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rPr>
              <w:t>开标时间：</w:t>
            </w:r>
            <w:r>
              <w:rPr>
                <w:rStyle w:val="20"/>
                <w:rFonts w:hint="eastAsia" w:ascii="仿宋" w:hAnsi="仿宋" w:eastAsia="仿宋" w:cs="仿宋"/>
                <w:b w:val="0"/>
                <w:bCs/>
                <w:szCs w:val="24"/>
                <w:highlight w:val="none"/>
              </w:rPr>
              <w:t>2026年</w:t>
            </w:r>
            <w:r>
              <w:rPr>
                <w:rStyle w:val="20"/>
                <w:rFonts w:hint="eastAsia" w:ascii="仿宋" w:hAnsi="仿宋" w:eastAsia="仿宋" w:cs="仿宋"/>
                <w:b w:val="0"/>
                <w:bCs/>
                <w:szCs w:val="24"/>
                <w:highlight w:val="none"/>
                <w:lang w:val="en-US" w:eastAsia="zh-CN"/>
              </w:rPr>
              <w:t>5</w:t>
            </w:r>
            <w:r>
              <w:rPr>
                <w:rStyle w:val="20"/>
                <w:rFonts w:hint="eastAsia" w:ascii="仿宋" w:hAnsi="仿宋" w:eastAsia="仿宋" w:cs="仿宋"/>
                <w:b w:val="0"/>
                <w:bCs/>
                <w:szCs w:val="24"/>
                <w:highlight w:val="none"/>
              </w:rPr>
              <w:t>月</w:t>
            </w:r>
            <w:r>
              <w:rPr>
                <w:rStyle w:val="20"/>
                <w:rFonts w:hint="eastAsia" w:ascii="仿宋" w:hAnsi="仿宋" w:eastAsia="仿宋" w:cs="仿宋"/>
                <w:b w:val="0"/>
                <w:bCs/>
                <w:szCs w:val="24"/>
                <w:highlight w:val="none"/>
                <w:lang w:val="en-US" w:eastAsia="zh-CN"/>
              </w:rPr>
              <w:t>14</w:t>
            </w:r>
            <w:r>
              <w:rPr>
                <w:rStyle w:val="20"/>
                <w:rFonts w:hint="eastAsia" w:ascii="仿宋" w:hAnsi="仿宋" w:eastAsia="仿宋" w:cs="仿宋"/>
                <w:b w:val="0"/>
                <w:bCs/>
                <w:szCs w:val="24"/>
                <w:highlight w:val="none"/>
              </w:rPr>
              <w:t>日 11:00</w:t>
            </w:r>
          </w:p>
        </w:tc>
      </w:tr>
      <w:tr w14:paraId="12797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722" w:type="dxa"/>
            <w:tcBorders>
              <w:top w:val="single" w:color="auto" w:sz="4" w:space="0"/>
              <w:bottom w:val="single" w:color="auto" w:sz="4" w:space="0"/>
            </w:tcBorders>
            <w:vAlign w:val="center"/>
          </w:tcPr>
          <w:p w14:paraId="6A7014FE">
            <w:pPr>
              <w:overflowPunct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6</w:t>
            </w:r>
          </w:p>
        </w:tc>
        <w:tc>
          <w:tcPr>
            <w:tcW w:w="2128" w:type="dxa"/>
            <w:tcBorders>
              <w:top w:val="single" w:color="auto" w:sz="4" w:space="0"/>
              <w:bottom w:val="single" w:color="auto" w:sz="4" w:space="0"/>
            </w:tcBorders>
            <w:vAlign w:val="center"/>
          </w:tcPr>
          <w:p w14:paraId="50F527C2">
            <w:pPr>
              <w:overflowPunct w:val="0"/>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rPr>
              <w:t>投标文件份数</w:t>
            </w:r>
          </w:p>
        </w:tc>
        <w:tc>
          <w:tcPr>
            <w:tcW w:w="6968" w:type="dxa"/>
            <w:tcBorders>
              <w:top w:val="single" w:color="auto" w:sz="4" w:space="0"/>
              <w:bottom w:val="single" w:color="auto" w:sz="4" w:space="0"/>
            </w:tcBorders>
            <w:vAlign w:val="center"/>
          </w:tcPr>
          <w:p w14:paraId="52E28366">
            <w:pP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开标时无需递交纸质版投标文件，将投标文件上传至政采云平台https://www.zcygov.cn/对应位置（逾期未上传的或不符合规定的投标文件将被拒绝接收）。</w:t>
            </w:r>
          </w:p>
        </w:tc>
      </w:tr>
      <w:tr w14:paraId="0C19A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722" w:type="dxa"/>
            <w:vAlign w:val="center"/>
          </w:tcPr>
          <w:p w14:paraId="2D639137">
            <w:pPr>
              <w:overflowPunct w:val="0"/>
              <w:spacing w:line="44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7</w:t>
            </w:r>
          </w:p>
        </w:tc>
        <w:tc>
          <w:tcPr>
            <w:tcW w:w="2128" w:type="dxa"/>
            <w:vAlign w:val="center"/>
          </w:tcPr>
          <w:p w14:paraId="63ACAD54">
            <w:pPr>
              <w:overflowPunct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w:t>
            </w:r>
          </w:p>
          <w:p w14:paraId="37710435">
            <w:pPr>
              <w:overflowPunct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服务费</w:t>
            </w:r>
          </w:p>
        </w:tc>
        <w:tc>
          <w:tcPr>
            <w:tcW w:w="6968" w:type="dxa"/>
            <w:vAlign w:val="center"/>
          </w:tcPr>
          <w:p w14:paraId="11CFE637">
            <w:pPr>
              <w:overflowPunct w:val="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参照：发改价格[2011]534号及计价格[2002]1980号文件计算的招标代理服务收费标准下浮4</w:t>
            </w:r>
            <w:r>
              <w:rPr>
                <w:rFonts w:hint="eastAsia" w:ascii="仿宋" w:hAnsi="仿宋" w:eastAsia="仿宋" w:cs="仿宋"/>
                <w:b/>
                <w:bCs/>
                <w:sz w:val="24"/>
                <w:szCs w:val="24"/>
                <w:highlight w:val="none"/>
                <w:lang w:val="en-US"/>
              </w:rPr>
              <w:t>3</w:t>
            </w:r>
            <w:r>
              <w:rPr>
                <w:rFonts w:hint="eastAsia" w:ascii="仿宋" w:hAnsi="仿宋" w:eastAsia="仿宋" w:cs="仿宋"/>
                <w:b/>
                <w:bCs/>
                <w:sz w:val="24"/>
                <w:szCs w:val="24"/>
                <w:highlight w:val="none"/>
              </w:rPr>
              <w:t xml:space="preserve">%，代理服务费由中标人支付。   </w:t>
            </w:r>
          </w:p>
          <w:p w14:paraId="1E7E0A4D">
            <w:pPr>
              <w:overflowPunct w:val="0"/>
              <w:rPr>
                <w:rFonts w:hint="eastAsia" w:ascii="仿宋" w:hAnsi="仿宋" w:eastAsia="仿宋" w:cs="仿宋"/>
                <w:sz w:val="24"/>
                <w:szCs w:val="24"/>
                <w:highlight w:val="none"/>
              </w:rPr>
            </w:pPr>
            <w:r>
              <w:rPr>
                <w:rFonts w:hint="eastAsia" w:ascii="仿宋" w:hAnsi="仿宋" w:eastAsia="仿宋" w:cs="仿宋"/>
                <w:b/>
                <w:bCs/>
                <w:sz w:val="24"/>
                <w:szCs w:val="24"/>
                <w:highlight w:val="none"/>
              </w:rPr>
              <w:t>支付时间：在中标人领取中标通知书时，由中标人向采购代理机构一次性支付全部招标代理服务费。</w:t>
            </w:r>
          </w:p>
        </w:tc>
      </w:tr>
      <w:tr w14:paraId="07A99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1B6649FE">
            <w:pPr>
              <w:overflowPunct w:val="0"/>
              <w:spacing w:line="44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8</w:t>
            </w:r>
          </w:p>
        </w:tc>
        <w:tc>
          <w:tcPr>
            <w:tcW w:w="2128" w:type="dxa"/>
            <w:vAlign w:val="center"/>
          </w:tcPr>
          <w:p w14:paraId="5F21648C">
            <w:pPr>
              <w:overflowPunct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关于推动解决政府采购异常低价问题</w:t>
            </w:r>
          </w:p>
        </w:tc>
        <w:tc>
          <w:tcPr>
            <w:tcW w:w="6968" w:type="dxa"/>
            <w:vAlign w:val="center"/>
          </w:tcPr>
          <w:p w14:paraId="20AA3231">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一、</w:t>
            </w:r>
            <w:r>
              <w:rPr>
                <w:rFonts w:hint="eastAsia" w:ascii="仿宋" w:hAnsi="仿宋" w:eastAsia="仿宋" w:cs="仿宋"/>
                <w:sz w:val="24"/>
                <w:szCs w:val="24"/>
                <w:highlight w:val="none"/>
              </w:rPr>
              <w:t>政府采购评审中出现下列情形之一的，评审委员会应当启动异常低价投标审查程序：</w:t>
            </w:r>
          </w:p>
          <w:p w14:paraId="3565FB70">
            <w:pPr>
              <w:rPr>
                <w:rFonts w:hint="eastAsia" w:ascii="仿宋" w:hAnsi="仿宋" w:eastAsia="仿宋" w:cs="仿宋"/>
                <w:sz w:val="24"/>
                <w:szCs w:val="24"/>
                <w:highlight w:val="none"/>
              </w:rPr>
            </w:pPr>
            <w:r>
              <w:rPr>
                <w:rFonts w:hint="eastAsia" w:ascii="仿宋" w:hAnsi="仿宋" w:eastAsia="仿宋" w:cs="仿宋"/>
                <w:sz w:val="24"/>
                <w:szCs w:val="24"/>
                <w:highlight w:val="none"/>
              </w:rPr>
              <w:t>1.投标报价低于全部通过符合性审查供应商投标报价平均值</w:t>
            </w:r>
            <w:r>
              <w:rPr>
                <w:rFonts w:hint="eastAsia" w:ascii="仿宋" w:hAnsi="仿宋" w:eastAsia="仿宋" w:cs="仿宋"/>
                <w:sz w:val="24"/>
                <w:szCs w:val="24"/>
                <w:highlight w:val="none"/>
                <w:lang w:val="en-US" w:eastAsia="zh-CN"/>
              </w:rPr>
              <w:t>65</w:t>
            </w:r>
            <w:r>
              <w:rPr>
                <w:rFonts w:hint="eastAsia" w:ascii="仿宋" w:hAnsi="仿宋" w:eastAsia="仿宋" w:cs="仿宋"/>
                <w:sz w:val="24"/>
                <w:szCs w:val="24"/>
                <w:highlight w:val="none"/>
              </w:rPr>
              <w:t>%的，即投标报价〈全部通过符合性审查供应商投标报价平均值×</w:t>
            </w:r>
            <w:r>
              <w:rPr>
                <w:rFonts w:hint="eastAsia" w:ascii="仿宋" w:hAnsi="仿宋" w:eastAsia="仿宋" w:cs="仿宋"/>
                <w:sz w:val="24"/>
                <w:szCs w:val="24"/>
                <w:highlight w:val="none"/>
                <w:lang w:val="en-US" w:eastAsia="zh-CN"/>
              </w:rPr>
              <w:t>65</w:t>
            </w:r>
            <w:r>
              <w:rPr>
                <w:rFonts w:hint="eastAsia" w:ascii="仿宋" w:hAnsi="仿宋" w:eastAsia="仿宋" w:cs="仿宋"/>
                <w:sz w:val="24"/>
                <w:szCs w:val="24"/>
                <w:highlight w:val="none"/>
              </w:rPr>
              <w:t>%；</w:t>
            </w:r>
          </w:p>
          <w:p w14:paraId="03902B6B">
            <w:pPr>
              <w:rPr>
                <w:rFonts w:hint="eastAsia" w:ascii="仿宋" w:hAnsi="仿宋" w:eastAsia="仿宋" w:cs="仿宋"/>
                <w:sz w:val="24"/>
                <w:szCs w:val="24"/>
                <w:highlight w:val="none"/>
              </w:rPr>
            </w:pPr>
            <w:r>
              <w:rPr>
                <w:rFonts w:hint="eastAsia" w:ascii="仿宋" w:hAnsi="仿宋" w:eastAsia="仿宋" w:cs="仿宋"/>
                <w:sz w:val="24"/>
                <w:szCs w:val="24"/>
                <w:highlight w:val="none"/>
              </w:rPr>
              <w:t>2.投标报价低于通过符合性审查的次低报价供应商投标报价</w:t>
            </w:r>
            <w:r>
              <w:rPr>
                <w:rFonts w:hint="eastAsia" w:ascii="仿宋" w:hAnsi="仿宋" w:eastAsia="仿宋" w:cs="仿宋"/>
                <w:sz w:val="24"/>
                <w:szCs w:val="24"/>
                <w:highlight w:val="none"/>
                <w:lang w:val="en-US" w:eastAsia="zh-CN"/>
              </w:rPr>
              <w:t>65</w:t>
            </w:r>
            <w:r>
              <w:rPr>
                <w:rFonts w:hint="eastAsia" w:ascii="仿宋" w:hAnsi="仿宋" w:eastAsia="仿宋" w:cs="仿宋"/>
                <w:sz w:val="24"/>
                <w:szCs w:val="24"/>
                <w:highlight w:val="none"/>
              </w:rPr>
              <w:t>%的，即投标报价〈通过符合性审查的次低报价供应商投标报价×</w:t>
            </w:r>
            <w:r>
              <w:rPr>
                <w:rFonts w:hint="eastAsia" w:ascii="仿宋" w:hAnsi="仿宋" w:eastAsia="仿宋" w:cs="仿宋"/>
                <w:sz w:val="24"/>
                <w:szCs w:val="24"/>
                <w:highlight w:val="none"/>
                <w:lang w:val="en-US" w:eastAsia="zh-CN"/>
              </w:rPr>
              <w:t>65</w:t>
            </w:r>
            <w:r>
              <w:rPr>
                <w:rFonts w:hint="eastAsia" w:ascii="仿宋" w:hAnsi="仿宋" w:eastAsia="仿宋" w:cs="仿宋"/>
                <w:sz w:val="24"/>
                <w:szCs w:val="24"/>
                <w:highlight w:val="none"/>
              </w:rPr>
              <w:t>%；</w:t>
            </w:r>
          </w:p>
          <w:p w14:paraId="6FD4F262">
            <w:pPr>
              <w:rPr>
                <w:rFonts w:hint="eastAsia" w:ascii="仿宋" w:hAnsi="仿宋" w:eastAsia="仿宋" w:cs="仿宋"/>
                <w:sz w:val="24"/>
                <w:szCs w:val="24"/>
                <w:highlight w:val="none"/>
              </w:rPr>
            </w:pPr>
            <w:r>
              <w:rPr>
                <w:rFonts w:hint="eastAsia" w:ascii="仿宋" w:hAnsi="仿宋" w:eastAsia="仿宋" w:cs="仿宋"/>
                <w:sz w:val="24"/>
                <w:szCs w:val="24"/>
                <w:highlight w:val="none"/>
              </w:rPr>
              <w:t>3.投标报价低于采购项目最高限价</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5%的，即投标报价〈采购项目最高限价×</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5%；</w:t>
            </w:r>
          </w:p>
          <w:p w14:paraId="1F0717D8">
            <w:pPr>
              <w:rPr>
                <w:rFonts w:hint="eastAsia" w:ascii="仿宋" w:hAnsi="仿宋" w:eastAsia="仿宋" w:cs="仿宋"/>
                <w:sz w:val="24"/>
                <w:szCs w:val="24"/>
                <w:highlight w:val="none"/>
              </w:rPr>
            </w:pPr>
            <w:r>
              <w:rPr>
                <w:rFonts w:hint="eastAsia" w:ascii="仿宋" w:hAnsi="仿宋" w:eastAsia="仿宋" w:cs="仿宋"/>
                <w:sz w:val="24"/>
                <w:szCs w:val="24"/>
                <w:highlight w:val="none"/>
              </w:rPr>
              <w:t>4.评审委员会基于专业判断，认为供应商报价过低，有可能影响产品质量或者不能诚信履约的其他情形。</w:t>
            </w:r>
          </w:p>
          <w:p w14:paraId="2BFBFB96">
            <w:pPr>
              <w:ind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采购人可以结合具体项目实际情况，提高上述第1项至第3项中启动异常低价投标审查的数值标准，但是最高不得超过65%。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新疆大学根据项目实际情况启动异常低价投标（响应）审查的数值标准设置为65%</w:t>
            </w:r>
            <w:r>
              <w:rPr>
                <w:rFonts w:hint="eastAsia" w:ascii="仿宋" w:hAnsi="仿宋" w:eastAsia="仿宋" w:cs="仿宋"/>
                <w:sz w:val="24"/>
                <w:szCs w:val="24"/>
                <w:highlight w:val="none"/>
                <w:lang w:eastAsia="zh-CN"/>
              </w:rPr>
              <w:t>）</w:t>
            </w:r>
          </w:p>
          <w:p w14:paraId="093CB81A">
            <w:pPr>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相关法律法规对供应商报价有规定的，从其规定。 </w:t>
            </w:r>
          </w:p>
          <w:p w14:paraId="0ADB8E9F">
            <w:pPr>
              <w:rPr>
                <w:rFonts w:hint="eastAsia" w:ascii="仿宋" w:hAnsi="仿宋" w:eastAsia="仿宋" w:cs="仿宋"/>
                <w:sz w:val="24"/>
                <w:szCs w:val="24"/>
                <w:highlight w:val="none"/>
              </w:rPr>
            </w:pPr>
            <w:r>
              <w:rPr>
                <w:rFonts w:hint="eastAsia" w:ascii="仿宋" w:hAnsi="仿宋" w:eastAsia="仿宋" w:cs="仿宋"/>
                <w:sz w:val="24"/>
                <w:szCs w:val="24"/>
                <w:highlight w:val="none"/>
              </w:rPr>
              <w:t>二、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192D39F1">
            <w:pPr>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评审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tc>
      </w:tr>
      <w:tr w14:paraId="4C046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42407315">
            <w:pPr>
              <w:overflowPunct w:val="0"/>
              <w:spacing w:line="44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19</w:t>
            </w:r>
          </w:p>
        </w:tc>
        <w:tc>
          <w:tcPr>
            <w:tcW w:w="2128" w:type="dxa"/>
            <w:vAlign w:val="center"/>
          </w:tcPr>
          <w:p w14:paraId="0FA7F7DB">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政府采购政策支持</w:t>
            </w:r>
          </w:p>
        </w:tc>
        <w:tc>
          <w:tcPr>
            <w:tcW w:w="6968" w:type="dxa"/>
          </w:tcPr>
          <w:p w14:paraId="0B28AF9C">
            <w:pPr>
              <w:rPr>
                <w:rFonts w:hint="eastAsia" w:ascii="仿宋" w:hAnsi="仿宋" w:eastAsia="仿宋" w:cs="仿宋"/>
                <w:sz w:val="24"/>
                <w:szCs w:val="24"/>
                <w:highlight w:val="none"/>
              </w:rPr>
            </w:pPr>
            <w:r>
              <w:rPr>
                <w:rFonts w:hint="eastAsia" w:ascii="仿宋" w:hAnsi="仿宋" w:eastAsia="仿宋" w:cs="仿宋"/>
                <w:sz w:val="24"/>
                <w:szCs w:val="24"/>
                <w:highlight w:val="none"/>
              </w:rPr>
              <w:t>1、本项目</w:t>
            </w:r>
            <w:r>
              <w:rPr>
                <w:rFonts w:hint="eastAsia" w:ascii="仿宋" w:hAnsi="仿宋" w:eastAsia="仿宋" w:cs="仿宋"/>
                <w:sz w:val="24"/>
                <w:szCs w:val="24"/>
                <w:highlight w:val="none"/>
                <w:lang w:val="en-US"/>
              </w:rPr>
              <w:t>不</w:t>
            </w:r>
            <w:r>
              <w:rPr>
                <w:rFonts w:hint="eastAsia" w:ascii="仿宋" w:hAnsi="仿宋" w:eastAsia="仿宋" w:cs="仿宋"/>
                <w:sz w:val="24"/>
                <w:szCs w:val="24"/>
                <w:highlight w:val="none"/>
              </w:rPr>
              <w:t>专门面向中小企业采购项目，根据《政府采购促进中小企业发展管理办法》（财库﹝2020﹞46 号）</w:t>
            </w:r>
            <w:r>
              <w:rPr>
                <w:rFonts w:hint="eastAsia" w:ascii="仿宋" w:hAnsi="仿宋" w:eastAsia="仿宋" w:cs="仿宋"/>
                <w:sz w:val="24"/>
                <w:szCs w:val="24"/>
                <w:highlight w:val="none"/>
                <w:lang w:val="en-US"/>
              </w:rPr>
              <w:t>及其财政部门相关</w:t>
            </w:r>
            <w:r>
              <w:rPr>
                <w:rFonts w:hint="eastAsia" w:ascii="仿宋" w:hAnsi="仿宋" w:eastAsia="仿宋" w:cs="仿宋"/>
                <w:sz w:val="24"/>
                <w:szCs w:val="24"/>
                <w:highlight w:val="none"/>
              </w:rPr>
              <w:t>的规定，评标时将给予</w:t>
            </w:r>
            <w:r>
              <w:rPr>
                <w:rFonts w:hint="eastAsia" w:ascii="仿宋" w:hAnsi="仿宋" w:eastAsia="仿宋" w:cs="仿宋"/>
                <w:sz w:val="24"/>
                <w:szCs w:val="24"/>
                <w:highlight w:val="none"/>
                <w:lang w:val="en-US"/>
              </w:rPr>
              <w:t>小型、微型</w:t>
            </w:r>
            <w:r>
              <w:rPr>
                <w:rFonts w:hint="eastAsia" w:ascii="仿宋" w:hAnsi="仿宋" w:eastAsia="仿宋" w:cs="仿宋"/>
                <w:sz w:val="24"/>
                <w:szCs w:val="24"/>
                <w:highlight w:val="none"/>
              </w:rPr>
              <w:t>企业进行价格10%的优惠，监狱企业、残疾人福利性单位视同为小微企业，用优惠后的价格参与评审。</w:t>
            </w:r>
          </w:p>
          <w:p w14:paraId="7B934565">
            <w:pPr>
              <w:overflowPunct w:val="0"/>
              <w:rPr>
                <w:rFonts w:hint="eastAsia" w:ascii="仿宋" w:hAnsi="仿宋" w:eastAsia="仿宋" w:cs="仿宋"/>
                <w:b/>
                <w:sz w:val="24"/>
                <w:szCs w:val="24"/>
                <w:highlight w:val="none"/>
              </w:rPr>
            </w:pPr>
            <w:r>
              <w:rPr>
                <w:rFonts w:hint="eastAsia" w:ascii="仿宋" w:hAnsi="仿宋" w:eastAsia="仿宋" w:cs="仿宋"/>
                <w:sz w:val="24"/>
                <w:szCs w:val="24"/>
                <w:highlight w:val="none"/>
              </w:rPr>
              <w:t>2、节能环保产品：根据财政部、发展改革委、生态环境部等部门发布的“节能产品政府采购品目清单”“环境标志产品政府采购品目清单”，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5EB378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3021572F">
            <w:pPr>
              <w:overflowPunct w:val="0"/>
              <w:spacing w:line="44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21</w:t>
            </w:r>
          </w:p>
        </w:tc>
        <w:tc>
          <w:tcPr>
            <w:tcW w:w="2128" w:type="dxa"/>
            <w:vAlign w:val="center"/>
          </w:tcPr>
          <w:p w14:paraId="5EC86E33">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支持本国产品</w:t>
            </w:r>
          </w:p>
        </w:tc>
        <w:tc>
          <w:tcPr>
            <w:tcW w:w="6968" w:type="dxa"/>
          </w:tcPr>
          <w:p w14:paraId="284FA99B">
            <w:pPr>
              <w:overflowPunct w:val="0"/>
              <w:rPr>
                <w:rFonts w:hint="eastAsia" w:ascii="仿宋" w:hAnsi="仿宋" w:eastAsia="仿宋" w:cs="仿宋"/>
                <w:sz w:val="24"/>
                <w:szCs w:val="24"/>
                <w:highlight w:val="none"/>
              </w:rPr>
            </w:pPr>
            <w:r>
              <w:rPr>
                <w:rFonts w:hint="eastAsia" w:ascii="仿宋" w:hAnsi="仿宋" w:eastAsia="仿宋" w:cs="仿宋"/>
                <w:sz w:val="24"/>
                <w:szCs w:val="24"/>
                <w:highlight w:val="none"/>
              </w:rPr>
              <w:t>1、本国产品标准的适用范围：</w:t>
            </w:r>
          </w:p>
          <w:p w14:paraId="3C95B393">
            <w:pPr>
              <w:overflowPunct w:val="0"/>
              <w:rPr>
                <w:rFonts w:hint="eastAsia" w:ascii="仿宋" w:hAnsi="仿宋" w:eastAsia="仿宋" w:cs="仿宋"/>
                <w:sz w:val="24"/>
                <w:szCs w:val="24"/>
                <w:highlight w:val="none"/>
              </w:rPr>
            </w:pPr>
            <w:r>
              <w:rPr>
                <w:rFonts w:hint="eastAsia" w:ascii="仿宋" w:hAnsi="仿宋" w:eastAsia="仿宋" w:cs="仿宋"/>
                <w:sz w:val="24"/>
                <w:szCs w:val="24"/>
                <w:highlight w:val="none"/>
              </w:rPr>
              <w:t>本国产品标准适用于货物，包括政府采购货物项目和服务项目中涉及的货物。</w:t>
            </w:r>
          </w:p>
          <w:p w14:paraId="0D08299A">
            <w:pPr>
              <w:overflowPunct w:val="0"/>
              <w:rPr>
                <w:rFonts w:hint="eastAsia" w:ascii="仿宋" w:hAnsi="仿宋" w:eastAsia="仿宋" w:cs="仿宋"/>
                <w:sz w:val="24"/>
                <w:szCs w:val="24"/>
                <w:highlight w:val="none"/>
              </w:rPr>
            </w:pPr>
            <w:r>
              <w:rPr>
                <w:rFonts w:hint="eastAsia" w:ascii="仿宋" w:hAnsi="仿宋" w:eastAsia="仿宋" w:cs="仿宋"/>
                <w:sz w:val="24"/>
                <w:szCs w:val="24"/>
                <w:highlight w:val="none"/>
              </w:rPr>
              <w:t>2、本采购项目：</w:t>
            </w:r>
          </w:p>
          <w:p w14:paraId="44D4E1DD">
            <w:pPr>
              <w:overflowPunct w:val="0"/>
              <w:rPr>
                <w:rFonts w:hint="eastAsia" w:ascii="仿宋" w:hAnsi="仿宋" w:eastAsia="仿宋" w:cs="仿宋"/>
                <w:sz w:val="24"/>
                <w:szCs w:val="24"/>
                <w:highlight w:val="none"/>
              </w:rPr>
            </w:pPr>
            <w:r>
              <w:rPr>
                <w:rFonts w:hint="eastAsia" w:ascii="仿宋" w:hAnsi="仿宋" w:eastAsia="仿宋" w:cs="仿宋"/>
                <w:sz w:val="24"/>
                <w:szCs w:val="24"/>
                <w:highlight w:val="none"/>
              </w:rPr>
              <w:t>☐ 不适用本国产品标准及相关政策。</w:t>
            </w:r>
          </w:p>
          <w:p w14:paraId="49AEFF68">
            <w:pPr>
              <w:overflowPunct w:val="0"/>
              <w:rPr>
                <w:rFonts w:hint="eastAsia" w:ascii="仿宋" w:hAnsi="仿宋" w:eastAsia="仿宋" w:cs="仿宋"/>
                <w:sz w:val="24"/>
                <w:szCs w:val="24"/>
                <w:highlight w:val="none"/>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eq \o\ac(□,√)</w:instrTex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 xml:space="preserve"> 适用本国产品标准及相关政策。</w:t>
            </w:r>
          </w:p>
          <w:p w14:paraId="0EA10F39">
            <w:pPr>
              <w:overflowPunct w:val="0"/>
              <w:rPr>
                <w:rFonts w:hint="eastAsia" w:ascii="仿宋" w:hAnsi="仿宋" w:eastAsia="仿宋" w:cs="仿宋"/>
                <w:sz w:val="24"/>
                <w:szCs w:val="24"/>
                <w:highlight w:val="none"/>
              </w:rPr>
            </w:pPr>
            <w:r>
              <w:rPr>
                <w:rFonts w:hint="eastAsia" w:ascii="仿宋" w:hAnsi="仿宋" w:eastAsia="仿宋" w:cs="仿宋"/>
                <w:sz w:val="24"/>
                <w:szCs w:val="24"/>
                <w:highlight w:val="none"/>
              </w:rPr>
              <w:t>3、本国产品标准：</w:t>
            </w:r>
          </w:p>
          <w:p w14:paraId="72A7A6DA">
            <w:pPr>
              <w:overflowPunct w:val="0"/>
              <w:rPr>
                <w:rFonts w:hint="eastAsia" w:ascii="仿宋" w:hAnsi="仿宋" w:eastAsia="仿宋" w:cs="仿宋"/>
                <w:sz w:val="24"/>
                <w:szCs w:val="24"/>
                <w:highlight w:val="none"/>
              </w:rPr>
            </w:pPr>
            <w:r>
              <w:rPr>
                <w:rFonts w:hint="eastAsia" w:ascii="仿宋" w:hAnsi="仿宋" w:eastAsia="仿宋" w:cs="仿宋"/>
                <w:sz w:val="24"/>
                <w:szCs w:val="24"/>
                <w:highlight w:val="none"/>
              </w:rPr>
              <w:t>（1）产品在中国境内生产；</w:t>
            </w:r>
          </w:p>
          <w:p w14:paraId="1E89A673">
            <w:pPr>
              <w:overflowPunct w:val="0"/>
              <w:rPr>
                <w:rFonts w:hint="eastAsia" w:ascii="仿宋" w:hAnsi="仿宋" w:eastAsia="仿宋" w:cs="仿宋"/>
                <w:sz w:val="24"/>
                <w:szCs w:val="24"/>
                <w:highlight w:val="none"/>
              </w:rPr>
            </w:pPr>
            <w:r>
              <w:rPr>
                <w:rFonts w:hint="eastAsia" w:ascii="仿宋" w:hAnsi="仿宋" w:eastAsia="仿宋" w:cs="仿宋"/>
                <w:sz w:val="24"/>
                <w:szCs w:val="24"/>
                <w:highlight w:val="none"/>
              </w:rPr>
              <w:t>（2）产品在中国境内生产的组件成本占比达到规定比例：尚未实施</w:t>
            </w:r>
          </w:p>
          <w:p w14:paraId="567AF740">
            <w:pPr>
              <w:overflowPunct w:val="0"/>
              <w:rPr>
                <w:rFonts w:hint="eastAsia" w:ascii="仿宋" w:hAnsi="仿宋" w:eastAsia="仿宋" w:cs="仿宋"/>
                <w:sz w:val="24"/>
                <w:szCs w:val="24"/>
                <w:highlight w:val="none"/>
              </w:rPr>
            </w:pPr>
            <w:r>
              <w:rPr>
                <w:rFonts w:hint="eastAsia" w:ascii="仿宋" w:hAnsi="仿宋" w:eastAsia="仿宋" w:cs="仿宋"/>
                <w:sz w:val="24"/>
                <w:szCs w:val="24"/>
                <w:highlight w:val="none"/>
              </w:rPr>
              <w:t>（3）产品关键组件符合相关要求：尚未实施</w:t>
            </w:r>
          </w:p>
          <w:p w14:paraId="74B8C924">
            <w:pPr>
              <w:overflowPunct w:val="0"/>
              <w:rPr>
                <w:rFonts w:hint="eastAsia" w:ascii="仿宋" w:hAnsi="仿宋" w:eastAsia="仿宋" w:cs="仿宋"/>
                <w:sz w:val="24"/>
                <w:szCs w:val="24"/>
                <w:highlight w:val="none"/>
              </w:rPr>
            </w:pPr>
            <w:r>
              <w:rPr>
                <w:rFonts w:hint="eastAsia" w:ascii="仿宋" w:hAnsi="仿宋" w:eastAsia="仿宋" w:cs="仿宋"/>
                <w:sz w:val="24"/>
                <w:szCs w:val="24"/>
                <w:highlight w:val="none"/>
              </w:rPr>
              <w:t>（4）产品关键工序符合相关要求：尚未实施</w:t>
            </w:r>
          </w:p>
          <w:p w14:paraId="110C854F">
            <w:pPr>
              <w:overflowPunct w:val="0"/>
              <w:rPr>
                <w:rFonts w:hint="eastAsia" w:ascii="仿宋" w:hAnsi="仿宋" w:eastAsia="仿宋" w:cs="仿宋"/>
                <w:sz w:val="24"/>
                <w:szCs w:val="24"/>
                <w:highlight w:val="none"/>
              </w:rPr>
            </w:pPr>
            <w:r>
              <w:rPr>
                <w:rFonts w:hint="eastAsia" w:ascii="仿宋" w:hAnsi="仿宋" w:eastAsia="仿宋" w:cs="仿宋"/>
                <w:sz w:val="24"/>
                <w:szCs w:val="24"/>
                <w:highlight w:val="none"/>
              </w:rPr>
              <w:t>4、出具符合要求的《关于符合本国产品标准的声明函》（格式见第六章）或财政部会同有关部门规定的有关证明文件的，该产品视为本国产品。</w:t>
            </w:r>
          </w:p>
          <w:p w14:paraId="7E3E39CC">
            <w:pPr>
              <w:overflowPunct w:val="0"/>
              <w:rPr>
                <w:rFonts w:hint="eastAsia" w:ascii="仿宋" w:hAnsi="仿宋" w:eastAsia="仿宋" w:cs="仿宋"/>
                <w:sz w:val="24"/>
                <w:szCs w:val="24"/>
                <w:highlight w:val="none"/>
              </w:rPr>
            </w:pPr>
            <w:r>
              <w:rPr>
                <w:rFonts w:hint="eastAsia" w:ascii="仿宋" w:hAnsi="仿宋" w:eastAsia="仿宋" w:cs="仿宋"/>
                <w:sz w:val="24"/>
                <w:szCs w:val="24"/>
                <w:highlight w:val="none"/>
              </w:rPr>
              <w:t>5、对本国产品的支持政策：</w:t>
            </w:r>
          </w:p>
          <w:p w14:paraId="60B15C2F">
            <w:pPr>
              <w:overflowPunct w:val="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1</w:t>
            </w:r>
            <w:r>
              <w:rPr>
                <w:rFonts w:hint="eastAsia" w:ascii="仿宋" w:hAnsi="仿宋" w:eastAsia="仿宋" w:cs="仿宋"/>
                <w:sz w:val="24"/>
                <w:szCs w:val="24"/>
                <w:highlight w:val="none"/>
              </w:rPr>
              <w:t>）政府采购活动中既有本国产品又有非本国产品参与竞争的，依法对本国产品给予价格评审优惠，对本国产品的报价给予20%的价格扣除，用扣除后的价格参与评审。</w:t>
            </w:r>
          </w:p>
          <w:p w14:paraId="6DFB9E6C">
            <w:pPr>
              <w:overflowPunct w:val="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tc>
      </w:tr>
      <w:tr w14:paraId="1CFD9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62029646">
            <w:pPr>
              <w:overflowPunct w:val="0"/>
              <w:spacing w:line="44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22</w:t>
            </w:r>
          </w:p>
        </w:tc>
        <w:tc>
          <w:tcPr>
            <w:tcW w:w="2128" w:type="dxa"/>
            <w:vAlign w:val="center"/>
          </w:tcPr>
          <w:p w14:paraId="7E45396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履约保证金</w:t>
            </w:r>
          </w:p>
        </w:tc>
        <w:tc>
          <w:tcPr>
            <w:tcW w:w="6968" w:type="dxa"/>
          </w:tcPr>
          <w:p w14:paraId="743D67C1">
            <w:pPr>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w:t>
            </w:r>
          </w:p>
          <w:p w14:paraId="4507FAA1">
            <w:pPr>
              <w:rPr>
                <w:rFonts w:hint="eastAsia" w:ascii="仿宋" w:hAnsi="仿宋" w:eastAsia="仿宋" w:cs="仿宋"/>
                <w:sz w:val="24"/>
                <w:szCs w:val="24"/>
                <w:highlight w:val="none"/>
              </w:rPr>
            </w:pPr>
            <w:r>
              <w:rPr>
                <w:rFonts w:hint="eastAsia" w:ascii="仿宋" w:hAnsi="仿宋" w:eastAsia="仿宋" w:cs="仿宋"/>
                <w:sz w:val="24"/>
                <w:szCs w:val="24"/>
                <w:highlight w:val="none"/>
              </w:rPr>
              <w:t>第一</w:t>
            </w:r>
            <w:r>
              <w:rPr>
                <w:rFonts w:hint="eastAsia" w:ascii="仿宋" w:hAnsi="仿宋" w:eastAsia="仿宋" w:cs="仿宋"/>
                <w:sz w:val="24"/>
                <w:szCs w:val="24"/>
                <w:highlight w:val="none"/>
                <w:lang w:val="en-US"/>
              </w:rPr>
              <w:t>中标</w:t>
            </w:r>
            <w:r>
              <w:rPr>
                <w:rFonts w:hint="eastAsia" w:ascii="仿宋" w:hAnsi="仿宋" w:eastAsia="仿宋" w:cs="仿宋"/>
                <w:sz w:val="24"/>
                <w:szCs w:val="24"/>
                <w:highlight w:val="none"/>
              </w:rPr>
              <w:t>供应商签订合同前、收到</w:t>
            </w:r>
            <w:r>
              <w:rPr>
                <w:rFonts w:hint="eastAsia" w:ascii="仿宋" w:hAnsi="仿宋" w:eastAsia="仿宋" w:cs="仿宋"/>
                <w:sz w:val="24"/>
                <w:szCs w:val="24"/>
                <w:highlight w:val="none"/>
                <w:lang w:val="en-US"/>
              </w:rPr>
              <w:t>中标</w:t>
            </w:r>
            <w:r>
              <w:rPr>
                <w:rFonts w:hint="eastAsia" w:ascii="仿宋" w:hAnsi="仿宋" w:eastAsia="仿宋" w:cs="仿宋"/>
                <w:sz w:val="24"/>
                <w:szCs w:val="24"/>
                <w:highlight w:val="none"/>
              </w:rPr>
              <w:t>通知书后10日内向采购人缴纳履约保证金。否则视为自动放弃中标，由第二候选人中标，以此类推。收取履约保证金比例如下：</w:t>
            </w:r>
          </w:p>
          <w:p w14:paraId="09329E78">
            <w:pPr>
              <w:rPr>
                <w:rFonts w:hint="eastAsia" w:ascii="仿宋" w:hAnsi="仿宋" w:eastAsia="仿宋" w:cs="仿宋"/>
                <w:sz w:val="24"/>
                <w:szCs w:val="24"/>
                <w:highlight w:val="none"/>
              </w:rPr>
            </w:pPr>
            <w:r>
              <w:rPr>
                <w:rFonts w:hint="eastAsia" w:ascii="仿宋" w:hAnsi="仿宋" w:eastAsia="仿宋" w:cs="仿宋"/>
                <w:sz w:val="24"/>
                <w:szCs w:val="24"/>
                <w:highlight w:val="none"/>
              </w:rPr>
              <w:t>货物类服务类：中标价*2%</w:t>
            </w:r>
          </w:p>
          <w:p w14:paraId="56D8CFDA">
            <w:pPr>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履约保证金递交形式：转账</w:t>
            </w:r>
          </w:p>
          <w:p w14:paraId="5D0EA0C2">
            <w:pPr>
              <w:rPr>
                <w:rFonts w:hint="eastAsia" w:ascii="仿宋" w:hAnsi="仿宋" w:eastAsia="仿宋" w:cs="仿宋"/>
                <w:sz w:val="24"/>
                <w:szCs w:val="24"/>
                <w:highlight w:val="none"/>
              </w:rPr>
            </w:pPr>
            <w:r>
              <w:rPr>
                <w:rFonts w:hint="eastAsia" w:ascii="仿宋" w:hAnsi="仿宋" w:eastAsia="仿宋" w:cs="仿宋"/>
                <w:sz w:val="24"/>
                <w:szCs w:val="24"/>
                <w:highlight w:val="none"/>
              </w:rPr>
              <w:t>中标单位未按本文件规定缴纳履约保证金的，其投标保证金将不予退还。</w:t>
            </w:r>
          </w:p>
          <w:p w14:paraId="14B8880F">
            <w:pPr>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履约保证金缴纳账户信息：</w:t>
            </w:r>
          </w:p>
          <w:p w14:paraId="039D5F0C">
            <w:pPr>
              <w:rPr>
                <w:rFonts w:hint="eastAsia" w:ascii="仿宋" w:hAnsi="仿宋" w:eastAsia="仿宋" w:cs="仿宋"/>
                <w:sz w:val="24"/>
                <w:szCs w:val="24"/>
                <w:highlight w:val="none"/>
              </w:rPr>
            </w:pPr>
            <w:r>
              <w:rPr>
                <w:rFonts w:hint="eastAsia" w:ascii="仿宋" w:hAnsi="仿宋" w:eastAsia="仿宋" w:cs="仿宋"/>
                <w:sz w:val="24"/>
                <w:szCs w:val="24"/>
                <w:highlight w:val="none"/>
              </w:rPr>
              <w:t>单位名称：新疆大学</w:t>
            </w:r>
          </w:p>
          <w:p w14:paraId="6875D236">
            <w:pPr>
              <w:rPr>
                <w:rFonts w:hint="eastAsia" w:ascii="仿宋" w:hAnsi="仿宋" w:eastAsia="仿宋" w:cs="仿宋"/>
                <w:sz w:val="24"/>
                <w:szCs w:val="24"/>
                <w:highlight w:val="none"/>
              </w:rPr>
            </w:pPr>
            <w:r>
              <w:rPr>
                <w:rFonts w:hint="eastAsia" w:ascii="仿宋" w:hAnsi="仿宋" w:eastAsia="仿宋" w:cs="仿宋"/>
                <w:sz w:val="24"/>
                <w:szCs w:val="24"/>
                <w:highlight w:val="none"/>
              </w:rPr>
              <w:t>纳税人识别号：12650000457601471G</w:t>
            </w:r>
          </w:p>
          <w:p w14:paraId="27F57811">
            <w:pPr>
              <w:rPr>
                <w:rFonts w:hint="eastAsia" w:ascii="仿宋" w:hAnsi="仿宋" w:eastAsia="仿宋" w:cs="仿宋"/>
                <w:sz w:val="24"/>
                <w:szCs w:val="24"/>
                <w:highlight w:val="none"/>
              </w:rPr>
            </w:pPr>
            <w:r>
              <w:rPr>
                <w:rFonts w:hint="eastAsia" w:ascii="仿宋" w:hAnsi="仿宋" w:eastAsia="仿宋" w:cs="仿宋"/>
                <w:sz w:val="24"/>
                <w:szCs w:val="24"/>
                <w:highlight w:val="none"/>
              </w:rPr>
              <w:t>地址：新疆乌鲁木齐市天山区胜利路666号</w:t>
            </w:r>
          </w:p>
          <w:p w14:paraId="6EE2ECC1">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联系电话：0991-8585360</w:t>
            </w:r>
          </w:p>
          <w:p w14:paraId="313382E1">
            <w:pPr>
              <w:rPr>
                <w:rFonts w:hint="eastAsia" w:ascii="仿宋" w:hAnsi="仿宋" w:eastAsia="仿宋" w:cs="仿宋"/>
                <w:sz w:val="24"/>
                <w:szCs w:val="24"/>
                <w:highlight w:val="none"/>
              </w:rPr>
            </w:pPr>
            <w:r>
              <w:rPr>
                <w:rFonts w:hint="eastAsia" w:ascii="仿宋" w:hAnsi="仿宋" w:eastAsia="仿宋" w:cs="仿宋"/>
                <w:sz w:val="24"/>
                <w:szCs w:val="24"/>
                <w:highlight w:val="none"/>
              </w:rPr>
              <w:t>开户行：中国农业银行股份有限公司乌鲁木齐胜利路（兵团）支行</w:t>
            </w:r>
          </w:p>
          <w:p w14:paraId="1A471A7D">
            <w:pPr>
              <w:rPr>
                <w:rFonts w:hint="eastAsia" w:ascii="仿宋" w:hAnsi="仿宋" w:eastAsia="仿宋" w:cs="仿宋"/>
                <w:sz w:val="24"/>
                <w:szCs w:val="24"/>
                <w:highlight w:val="none"/>
              </w:rPr>
            </w:pPr>
            <w:r>
              <w:rPr>
                <w:rFonts w:hint="eastAsia" w:ascii="仿宋" w:hAnsi="仿宋" w:eastAsia="仿宋" w:cs="仿宋"/>
                <w:sz w:val="24"/>
                <w:szCs w:val="24"/>
                <w:highlight w:val="none"/>
              </w:rPr>
              <w:t>账号：30704301040002348</w:t>
            </w:r>
          </w:p>
          <w:p w14:paraId="237A2548">
            <w:pPr>
              <w:rPr>
                <w:rFonts w:hint="eastAsia" w:ascii="仿宋" w:hAnsi="仿宋" w:eastAsia="仿宋" w:cs="仿宋"/>
                <w:sz w:val="24"/>
                <w:szCs w:val="24"/>
                <w:highlight w:val="none"/>
              </w:rPr>
            </w:pPr>
            <w:r>
              <w:rPr>
                <w:rFonts w:hint="eastAsia" w:ascii="仿宋" w:hAnsi="仿宋" w:eastAsia="仿宋" w:cs="仿宋"/>
                <w:sz w:val="24"/>
                <w:szCs w:val="24"/>
                <w:highlight w:val="none"/>
              </w:rPr>
              <w:t>行号：103881070432</w:t>
            </w:r>
          </w:p>
          <w:p w14:paraId="14307D9D">
            <w:pPr>
              <w:rPr>
                <w:rFonts w:hint="eastAsia" w:ascii="仿宋" w:hAnsi="仿宋" w:eastAsia="仿宋" w:cs="仿宋"/>
                <w:sz w:val="24"/>
                <w:szCs w:val="24"/>
                <w:highlight w:val="none"/>
              </w:rPr>
            </w:pPr>
            <w:r>
              <w:rPr>
                <w:rFonts w:hint="eastAsia" w:ascii="仿宋" w:hAnsi="仿宋" w:eastAsia="仿宋" w:cs="仿宋"/>
                <w:sz w:val="24"/>
                <w:szCs w:val="24"/>
                <w:highlight w:val="none"/>
              </w:rPr>
              <w:t>统一社会信用代码：12650000457601471G</w:t>
            </w:r>
          </w:p>
          <w:p w14:paraId="56DE24D4">
            <w:pPr>
              <w:rPr>
                <w:rFonts w:hint="eastAsia" w:ascii="仿宋" w:hAnsi="仿宋" w:eastAsia="仿宋" w:cs="仿宋"/>
                <w:sz w:val="24"/>
                <w:szCs w:val="24"/>
                <w:highlight w:val="none"/>
              </w:rPr>
            </w:pPr>
            <w:r>
              <w:rPr>
                <w:rFonts w:hint="eastAsia" w:ascii="仿宋" w:hAnsi="仿宋" w:eastAsia="仿宋" w:cs="仿宋"/>
                <w:sz w:val="24"/>
                <w:szCs w:val="24"/>
                <w:highlight w:val="none"/>
              </w:rPr>
              <w:t>履约保证金的退还：合同履约完成，货物验收合格后10日内，采购人无息退还履约保证金。中标单位未按照合同、法律法规、招标文件等相关规定履行责任，采购人有权扣除履约保证金，并解除合同，由此造成的一切损失，由中标单位自行承担。</w:t>
            </w:r>
          </w:p>
        </w:tc>
      </w:tr>
      <w:tr w14:paraId="1C07F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345C3DF1">
            <w:pPr>
              <w:overflowPunct w:val="0"/>
              <w:spacing w:line="44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23</w:t>
            </w:r>
          </w:p>
        </w:tc>
        <w:tc>
          <w:tcPr>
            <w:tcW w:w="2128" w:type="dxa"/>
            <w:vAlign w:val="center"/>
          </w:tcPr>
          <w:p w14:paraId="11358552">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解密时长</w:t>
            </w:r>
          </w:p>
        </w:tc>
        <w:tc>
          <w:tcPr>
            <w:tcW w:w="6968" w:type="dxa"/>
            <w:vAlign w:val="center"/>
          </w:tcPr>
          <w:p w14:paraId="44A231C6">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解密时长：30分钟（过时未进行解密的投标文件，开标现场不进行解密时间延长。）</w:t>
            </w:r>
          </w:p>
          <w:p w14:paraId="56DA782E">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开标当日仅需在任意地点通过政采云平台不见面开标系统（登录地址详见网站操作手册）完成远程解密、提疑澄清、开标唱标、结果公布等交互环节。供应商必须在规定的时间内使用能正确解密投标文件的“CA锁”完成远程解密，因供应商原因未能解密、解密失败或解密超时，视为供应商撤销其投标文件，系统内投标文件将被退回；因网上招投标平台发生故障，导致无法按时完成投标文件解密或开、评标工作无法进行的，可根据实际情况相应延迟解密时间或调整开、评标时间。</w:t>
            </w:r>
          </w:p>
          <w:p w14:paraId="774429CB">
            <w:pPr>
              <w:ind w:right="88" w:rightChars="40"/>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（友情提示：若供应商已领取副锁（含多把副锁）请注意正副锁的使用差别，务必使用生成投标文件的那把锁解密）</w:t>
            </w:r>
          </w:p>
        </w:tc>
      </w:tr>
      <w:tr w14:paraId="24A233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78DFFED3">
            <w:pPr>
              <w:overflowPunct w:val="0"/>
              <w:spacing w:line="44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24</w:t>
            </w:r>
          </w:p>
        </w:tc>
        <w:tc>
          <w:tcPr>
            <w:tcW w:w="2128" w:type="dxa"/>
            <w:vAlign w:val="center"/>
          </w:tcPr>
          <w:p w14:paraId="250BCBB1">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投标文件编制注意1</w:t>
            </w:r>
          </w:p>
          <w:p w14:paraId="1EC856E7">
            <w:pPr>
              <w:jc w:val="center"/>
              <w:rPr>
                <w:rFonts w:hint="eastAsia" w:ascii="仿宋" w:hAnsi="仿宋" w:eastAsia="仿宋" w:cs="仿宋"/>
                <w:sz w:val="24"/>
                <w:szCs w:val="24"/>
                <w:highlight w:val="none"/>
                <w:lang w:val="en-US"/>
              </w:rPr>
            </w:pPr>
          </w:p>
        </w:tc>
        <w:tc>
          <w:tcPr>
            <w:tcW w:w="6968" w:type="dxa"/>
            <w:vAlign w:val="center"/>
          </w:tcPr>
          <w:p w14:paraId="220EE403">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1、在采购文件领取截止时间前，使用办理的CA数字证书，通过政采云平台（https://www.zcygov.cn/）窗口下载所投项目的采购文件。</w:t>
            </w:r>
          </w:p>
          <w:p w14:paraId="15BD9D37">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供应商需在新疆政府采购网（http://www.ccgp-xinjiang.gov.cn/）下载专区自行下载政采云电子投标客户端。在电子投标客户端内制作对应的投标文件。投标文件制作完成后在投标截止时间前上传至政采云平台对应项目即可。</w:t>
            </w:r>
          </w:p>
          <w:p w14:paraId="59BD615D">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3、采购文件规定：不接受投标文件中出现的可选择或可调整的投标方案和报价，任何有选择的或可调整的投标方案和报价将被视为不响应采购文件，其投标将被拒绝。</w:t>
            </w:r>
          </w:p>
          <w:p w14:paraId="48F85CDC">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特别声明：供应商在制作投标文件时，不得弄虚作假，不得使用各种手段伪造、变造本不属于供应商本身的响应材料。（如假证书、假业绩、假合同、假授权、故意隐瞒不良行为记录、夸大荣誉、使用非供应商在职员工的相关证件及其他不符合《中华人民共和国政府采购法》等规定的条款）；如在采购过程中发现有供应商出现此类问题，将按照《中华人民共和国政府采购法》等相关规定进行处理，并将其列入政府采购黑名单库。</w:t>
            </w:r>
          </w:p>
        </w:tc>
      </w:tr>
      <w:tr w14:paraId="2AE01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59FECECD">
            <w:pPr>
              <w:overflowPunct w:val="0"/>
              <w:spacing w:line="44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25</w:t>
            </w:r>
          </w:p>
        </w:tc>
        <w:tc>
          <w:tcPr>
            <w:tcW w:w="2128" w:type="dxa"/>
            <w:vAlign w:val="center"/>
          </w:tcPr>
          <w:p w14:paraId="1987060A">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投标文件编制注意2</w:t>
            </w:r>
          </w:p>
          <w:p w14:paraId="632D77FE">
            <w:pPr>
              <w:jc w:val="center"/>
              <w:rPr>
                <w:rFonts w:hint="eastAsia" w:ascii="仿宋" w:hAnsi="仿宋" w:eastAsia="仿宋" w:cs="仿宋"/>
                <w:sz w:val="24"/>
                <w:szCs w:val="24"/>
                <w:highlight w:val="none"/>
                <w:lang w:val="en-US"/>
              </w:rPr>
            </w:pPr>
          </w:p>
        </w:tc>
        <w:tc>
          <w:tcPr>
            <w:tcW w:w="6968" w:type="dxa"/>
            <w:vAlign w:val="center"/>
          </w:tcPr>
          <w:p w14:paraId="56542E59">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1、各供应商必须针对每包项目分别制作投标文件并报价，每包的投标文件均必须满足采购文件份数与制作等要求，否则将导致投标被拒绝。</w:t>
            </w:r>
          </w:p>
          <w:p w14:paraId="7C290617">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2、当出现下列情形之一，投标文件将予以退回：</w:t>
            </w:r>
          </w:p>
          <w:p w14:paraId="0AFD96D2">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（1）供应商在投标文件递交截止时间前未成功上传加密电子投标文件；</w:t>
            </w:r>
          </w:p>
          <w:p w14:paraId="2B83804E">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（2）供应商使用解密的CA数字证书与上传加密投标文件使用的CA数字证书不一致；</w:t>
            </w:r>
          </w:p>
          <w:p w14:paraId="026B8524">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（3）供应商解密时CA数字证书已过期，导致无法正常解密；</w:t>
            </w:r>
          </w:p>
          <w:p w14:paraId="040D9C82">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（4）加密投标文件时，CA数字证书未过期，解密时，显示CA数字证书已过期，导致无法正常解密；</w:t>
            </w:r>
          </w:p>
          <w:p w14:paraId="3067F298">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（5）未在规定的投标文件解密时间内进行解密的；</w:t>
            </w:r>
          </w:p>
          <w:p w14:paraId="0D7162F7">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（6）供应商个人原因导致无法解密的其他情形。 </w:t>
            </w:r>
          </w:p>
          <w:p w14:paraId="1660E371">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3、供应商应在投标截止时间前将投标时使用的计算机安装相关的浏览器（推荐使用谷歌浏览器）、CA驱动等软件，方便投标文件解密时能够正常解密。</w:t>
            </w:r>
          </w:p>
          <w:p w14:paraId="0CB0B488">
            <w:pPr>
              <w:ind w:right="88" w:rightChars="40"/>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4、供应商需在磋商投标文件递交截止时间前自行测试开标时使用的计算机，如因供应商自身原因导致投标文件解密失败的，由供应商自行承担相应后果。</w:t>
            </w:r>
          </w:p>
        </w:tc>
      </w:tr>
      <w:tr w14:paraId="4F6BC7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74E6269C">
            <w:pPr>
              <w:overflowPunct w:val="0"/>
              <w:spacing w:line="44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26</w:t>
            </w:r>
          </w:p>
        </w:tc>
        <w:tc>
          <w:tcPr>
            <w:tcW w:w="2128" w:type="dxa"/>
            <w:vAlign w:val="center"/>
          </w:tcPr>
          <w:p w14:paraId="5DDFB20C">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投标文件编制注意3</w:t>
            </w:r>
          </w:p>
          <w:p w14:paraId="5ADFFEFF">
            <w:pPr>
              <w:jc w:val="center"/>
              <w:rPr>
                <w:rFonts w:hint="eastAsia" w:ascii="仿宋" w:hAnsi="仿宋" w:eastAsia="仿宋" w:cs="仿宋"/>
                <w:sz w:val="24"/>
                <w:szCs w:val="24"/>
                <w:highlight w:val="none"/>
                <w:lang w:val="en-US"/>
              </w:rPr>
            </w:pPr>
          </w:p>
        </w:tc>
        <w:tc>
          <w:tcPr>
            <w:tcW w:w="6968" w:type="dxa"/>
            <w:vAlign w:val="center"/>
          </w:tcPr>
          <w:p w14:paraId="19686B56">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1、无论何种原因，在投标文件中未提供相应材料的，将视同其未提供。</w:t>
            </w:r>
          </w:p>
          <w:p w14:paraId="41CE5955">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2、各供应商应在开标前应确保成为新疆政府采购网正式注册入库供应商，并完成CA数字证书（符合国密标准）申领。如需咨询，请联系新疆CA服务热线0991-2819290；</w:t>
            </w:r>
          </w:p>
          <w:p w14:paraId="0F79FF8E">
            <w:pPr>
              <w:ind w:right="88" w:rightChars="40"/>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95763进行咨询。</w:t>
            </w:r>
          </w:p>
          <w:p w14:paraId="57D5E0F4">
            <w:pPr>
              <w:ind w:right="88" w:rightChars="40"/>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4、供应商首次参加政府采购活动的，可前往新疆政府采购网（ http://www.ccgp-xinjiang.gov.cn/）下载操作指南。（步骤：进入新疆政府采购网（</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"http://www.ccgp-xinjiang.gov.cn/"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lang w:val="en-US"/>
              </w:rPr>
              <w:t>http://www.ccgp-xinjiang.gov.cn/</w:t>
            </w:r>
            <w:r>
              <w:rPr>
                <w:rFonts w:hint="eastAsia" w:ascii="仿宋" w:hAnsi="仿宋" w:eastAsia="仿宋" w:cs="仿宋"/>
                <w:sz w:val="24"/>
                <w:szCs w:val="24"/>
                <w:highlight w:val="none"/>
                <w:lang w:val="en-US"/>
              </w:rPr>
              <w:fldChar w:fldCharType="end"/>
            </w:r>
            <w:r>
              <w:rPr>
                <w:rFonts w:hint="eastAsia" w:ascii="仿宋" w:hAnsi="仿宋" w:eastAsia="仿宋" w:cs="仿宋"/>
                <w:sz w:val="24"/>
                <w:szCs w:val="24"/>
                <w:highlight w:val="none"/>
                <w:lang w:val="en-US"/>
              </w:rPr>
              <w:t>）点击主页面的办事指南—选择并下载供应商政采云平台操作指南。）</w:t>
            </w:r>
          </w:p>
        </w:tc>
      </w:tr>
      <w:tr w14:paraId="620256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22" w:type="dxa"/>
            <w:vAlign w:val="center"/>
          </w:tcPr>
          <w:p w14:paraId="3C38AA47">
            <w:pPr>
              <w:overflowPunct w:val="0"/>
              <w:spacing w:line="440" w:lineRule="exact"/>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27</w:t>
            </w:r>
          </w:p>
        </w:tc>
        <w:tc>
          <w:tcPr>
            <w:tcW w:w="2128" w:type="dxa"/>
            <w:vAlign w:val="center"/>
          </w:tcPr>
          <w:p w14:paraId="4EB0C70E">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质疑</w:t>
            </w:r>
          </w:p>
        </w:tc>
        <w:tc>
          <w:tcPr>
            <w:tcW w:w="6968" w:type="dxa"/>
            <w:vAlign w:val="center"/>
          </w:tcPr>
          <w:p w14:paraId="2864BB4A">
            <w:pPr>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1.供应商认为采购文件、采购过程、中标或者中标结果使自己的权益受到损害的，可以在知道或者应知其权益受到损害之日起 7个工作日内，以书面形式向采购人、采购代理机构提出质疑。 </w:t>
            </w:r>
          </w:p>
          <w:p w14:paraId="48644078">
            <w:pPr>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2.供应商应在法定质疑期内一次性提出针对同一采购程序环节的质疑，本项目不接受供应商多次/反复质疑。 </w:t>
            </w:r>
          </w:p>
          <w:p w14:paraId="0ED2EC0A">
            <w:pPr>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3.质疑供应商应按照财政部制定的《政府采购质疑函范本》格式10（可从财政部官方网站下载）和《政府采购质疑和投诉办法》（财政部令第 94 号）的要求，在法定质疑期内以书面形式提出质疑。 </w:t>
            </w:r>
          </w:p>
          <w:p w14:paraId="53EDD8A5">
            <w:pPr>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4.超出法定质疑期、重复或分次提出的、内容或形式不符合《政府采购质疑和投诉办法》规定的质疑将被拒绝。</w:t>
            </w:r>
          </w:p>
          <w:p w14:paraId="431C070C">
            <w:pPr>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5.依据：《中华人民共和国政府采购法》第五十二条、《中华人民共和国政府采购法实施条例》第五十三条规定的供应商应知其权益受到损害之日，是指：(一)对可以质疑的采购文件提出质疑的，为收到采购文件之日或者采购文件公告期限届满之日；(二)对采购过程提出质疑的，为各采购程序环节结束之日；(三)对中标或者中标结果提出质疑的，为中标或者中标结果公告期限届满之日。</w:t>
            </w:r>
          </w:p>
          <w:p w14:paraId="55A427D3">
            <w:pPr>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6.采购代理机构质疑函接收信息</w:t>
            </w:r>
          </w:p>
          <w:p w14:paraId="7827B782">
            <w:pPr>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接收部门：新疆华域建设工程项目管理咨询有限公司　</w:t>
            </w:r>
          </w:p>
          <w:p w14:paraId="50A5F81A">
            <w:pPr>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联系人：张伟、李堰达、王文周、</w:t>
            </w:r>
            <w:r>
              <w:rPr>
                <w:rFonts w:hint="eastAsia" w:ascii="仿宋" w:hAnsi="仿宋" w:eastAsia="仿宋" w:cs="仿宋"/>
                <w:sz w:val="24"/>
                <w:szCs w:val="24"/>
                <w:highlight w:val="none"/>
                <w:lang w:val="en-US" w:eastAsia="zh-CN"/>
              </w:rPr>
              <w:t xml:space="preserve">胡春 </w:t>
            </w:r>
            <w:r>
              <w:rPr>
                <w:rFonts w:hint="eastAsia" w:ascii="仿宋" w:hAnsi="仿宋" w:eastAsia="仿宋" w:cs="仿宋"/>
                <w:sz w:val="24"/>
                <w:szCs w:val="24"/>
                <w:highlight w:val="none"/>
                <w:lang w:val="en-US"/>
              </w:rPr>
              <w:br w:type="textWrapping"/>
            </w:r>
            <w:r>
              <w:rPr>
                <w:rFonts w:hint="eastAsia" w:ascii="仿宋" w:hAnsi="仿宋" w:eastAsia="仿宋" w:cs="仿宋"/>
                <w:sz w:val="24"/>
                <w:szCs w:val="24"/>
                <w:highlight w:val="none"/>
                <w:lang w:val="en-US"/>
              </w:rPr>
              <w:t>联系电话：</w:t>
            </w:r>
            <w:r>
              <w:rPr>
                <w:rFonts w:hint="eastAsia" w:ascii="仿宋" w:hAnsi="仿宋" w:eastAsia="仿宋" w:cs="仿宋"/>
                <w:sz w:val="24"/>
                <w:szCs w:val="24"/>
                <w:highlight w:val="none"/>
                <w:lang w:val="en-US" w:eastAsia="zh-CN"/>
              </w:rPr>
              <w:t>16699192061</w:t>
            </w:r>
            <w:r>
              <w:rPr>
                <w:rFonts w:hint="eastAsia" w:ascii="仿宋" w:hAnsi="仿宋" w:eastAsia="仿宋" w:cs="仿宋"/>
                <w:sz w:val="24"/>
                <w:szCs w:val="24"/>
                <w:highlight w:val="none"/>
                <w:lang w:val="en-US"/>
              </w:rPr>
              <w:t>、13565957217</w:t>
            </w:r>
          </w:p>
          <w:p w14:paraId="291AF941">
            <w:pPr>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rPr>
              <w:t>地址：乌鲁木齐市五星北路194号新地园大厦1401</w:t>
            </w:r>
            <w:r>
              <w:rPr>
                <w:rFonts w:hint="eastAsia" w:ascii="仿宋" w:hAnsi="仿宋" w:eastAsia="仿宋" w:cs="仿宋"/>
                <w:sz w:val="24"/>
                <w:szCs w:val="24"/>
                <w:highlight w:val="none"/>
                <w:lang w:val="en-US" w:eastAsia="zh-CN"/>
              </w:rPr>
              <w:t>号</w:t>
            </w:r>
          </w:p>
          <w:p w14:paraId="06372B4A">
            <w:pPr>
              <w:jc w:val="both"/>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提交方式：提交盖章的纸质版原件，在法定质疑期内一次性提出针对同一采购程序环节的质疑。逾期未提出的视同理解和接受。</w:t>
            </w:r>
          </w:p>
          <w:p w14:paraId="3738749E">
            <w:pPr>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7.澄清、修改文件发出后（若有），供应商必须使用最新的澄清文件制作电子投标文件。</w:t>
            </w:r>
          </w:p>
        </w:tc>
      </w:tr>
      <w:tr w14:paraId="57A35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722" w:type="dxa"/>
            <w:vAlign w:val="center"/>
          </w:tcPr>
          <w:p w14:paraId="6301AB49">
            <w:pPr>
              <w:overflowPunct w:val="0"/>
              <w:spacing w:line="44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备注</w:t>
            </w:r>
          </w:p>
        </w:tc>
        <w:tc>
          <w:tcPr>
            <w:tcW w:w="9096" w:type="dxa"/>
            <w:gridSpan w:val="2"/>
            <w:vAlign w:val="center"/>
          </w:tcPr>
          <w:p w14:paraId="7109B496">
            <w:pPr>
              <w:spacing w:line="312"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1、采购文件中部分加粗、</w:t>
            </w:r>
            <w:r>
              <w:rPr>
                <w:rFonts w:hint="eastAsia" w:ascii="仿宋" w:hAnsi="仿宋" w:eastAsia="仿宋" w:cs="仿宋"/>
                <w:b/>
                <w:sz w:val="24"/>
                <w:szCs w:val="24"/>
                <w:highlight w:val="none"/>
                <w:lang w:val="en-US"/>
              </w:rPr>
              <w:t>标★</w:t>
            </w:r>
            <w:r>
              <w:rPr>
                <w:rFonts w:hint="eastAsia" w:ascii="仿宋" w:hAnsi="仿宋" w:eastAsia="仿宋" w:cs="仿宋"/>
                <w:b/>
                <w:sz w:val="24"/>
                <w:szCs w:val="24"/>
                <w:highlight w:val="none"/>
              </w:rPr>
              <w:t>、加下划线、废标、无效标、投标被拒绝字样的条款，为招标的</w:t>
            </w:r>
            <w:r>
              <w:rPr>
                <w:rFonts w:hint="eastAsia" w:ascii="仿宋" w:hAnsi="仿宋" w:eastAsia="仿宋" w:cs="仿宋"/>
                <w:b/>
                <w:sz w:val="24"/>
                <w:szCs w:val="24"/>
                <w:highlight w:val="none"/>
                <w:lang w:val="en-US"/>
              </w:rPr>
              <w:t>重要条款</w:t>
            </w:r>
            <w:r>
              <w:rPr>
                <w:rFonts w:hint="eastAsia" w:ascii="仿宋" w:hAnsi="仿宋" w:eastAsia="仿宋" w:cs="仿宋"/>
                <w:b/>
                <w:sz w:val="24"/>
                <w:szCs w:val="24"/>
                <w:highlight w:val="none"/>
              </w:rPr>
              <w:t>，着重提醒各投标人注意，并认真查看采购文件中的每一个条款及要求，因误读采购文件而造成的后果，招标人概不负责。</w:t>
            </w:r>
          </w:p>
          <w:p w14:paraId="4666E30B">
            <w:pPr>
              <w:spacing w:line="312"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rPr>
              <w:t>2、投标文件中有弄虚作假的内容，其投标文件作废。（如假证书、假业绩、隐瞒不良行为记录、夸大荣誉、使用非本单位在职员工的相关证件及不符合采购文件规定的条款等）；在签订合同之前，投标人如发现投标人的投标文件有弄虚作假内容，招标人可拒绝与其签订合同。并将其列入政府采购黑名单库。</w:t>
            </w:r>
          </w:p>
          <w:p w14:paraId="14868941">
            <w:pPr>
              <w:spacing w:line="312"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rPr>
              <w:t>3、★投标人应保证在本项目使用的任何产品和服务（包括部分使用）时，不会产生因第三方提出侵犯其专利权、商标权或其他知识产权而引起的法律和经济纠纷，如因专利权、商标权或其他知识产权而引起法律和经济纠纷，由投标人承担所有相关责任的同时不得耽误本项目实施。</w:t>
            </w:r>
          </w:p>
          <w:p w14:paraId="2237D2A2">
            <w:pPr>
              <w:spacing w:line="312" w:lineRule="auto"/>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rPr>
              <w:t>4、</w:t>
            </w:r>
            <w:r>
              <w:rPr>
                <w:rFonts w:hint="eastAsia" w:ascii="仿宋" w:hAnsi="仿宋" w:eastAsia="仿宋" w:cs="仿宋"/>
                <w:b/>
                <w:sz w:val="24"/>
                <w:szCs w:val="24"/>
                <w:highlight w:val="none"/>
              </w:rPr>
              <w:t>★投标单位所填分项报价表中的单价时请合理分配产品利润，产品单价不得出现严重偏离市场单价金额情况(如出现视为价格歧视情形);后续确实出现上述情形，采购人可针对该产品进行三方询价，以询价后均价作为单价修订偏离实际单价，签订合同。修订单价后产生的优惠，视为投标单位自行让利行为。投标单位须提供承诺函响应本条要求，否则作无效标处理。</w:t>
            </w:r>
          </w:p>
          <w:p w14:paraId="1E667214">
            <w:pPr>
              <w:spacing w:line="312" w:lineRule="auto"/>
              <w:rPr>
                <w:rFonts w:hint="eastAsia" w:ascii="仿宋" w:hAnsi="仿宋" w:eastAsia="仿宋" w:cs="仿宋"/>
                <w:b/>
                <w:sz w:val="24"/>
                <w:szCs w:val="24"/>
                <w:highlight w:val="none"/>
                <w:lang w:val="en-US"/>
              </w:rPr>
            </w:pPr>
            <w:r>
              <w:rPr>
                <w:rFonts w:hint="eastAsia" w:ascii="仿宋" w:hAnsi="仿宋" w:eastAsia="仿宋" w:cs="仿宋"/>
                <w:b/>
                <w:sz w:val="24"/>
                <w:szCs w:val="24"/>
                <w:highlight w:val="none"/>
                <w:lang w:val="en-US"/>
              </w:rPr>
              <w:t>5、投标单位所投产品，虽满足负偏离要求，但综合由于负偏离参数使得所供产品或服务无法满足甲方正常使用要求，可属于甲方不能接受的条件情形，投标单位作无效标处理。</w:t>
            </w:r>
          </w:p>
          <w:p w14:paraId="07B8F256">
            <w:pPr>
              <w:spacing w:line="312" w:lineRule="auto"/>
              <w:rPr>
                <w:rFonts w:hint="eastAsia" w:ascii="仿宋" w:hAnsi="仿宋" w:eastAsia="仿宋" w:cs="仿宋"/>
                <w:b/>
                <w:sz w:val="24"/>
                <w:szCs w:val="24"/>
                <w:highlight w:val="none"/>
                <w:lang w:val="en-US"/>
              </w:rPr>
            </w:pPr>
            <w:r>
              <w:rPr>
                <w:rFonts w:hint="eastAsia" w:ascii="仿宋" w:hAnsi="仿宋" w:eastAsia="仿宋" w:cs="仿宋"/>
                <w:b/>
                <w:sz w:val="24"/>
                <w:szCs w:val="24"/>
                <w:highlight w:val="none"/>
                <w:lang w:val="en-US"/>
              </w:rPr>
              <w:t>6、分项报价表说明：“★投标单位所填分项报价表中的单价时请合理分配产品利润，产品单价不得出现严重偏离市场单价金额情况（如出现视为价格歧视情形）；后续确实出现上述情形，采购人可针对该产品进行三方询价，以询价后均价作为单价修订偏离实际单价，签订合同。修订单价后产生的优惠，视为投标单位自行让利行为。投标单位须提供承诺函响应本条要求，否则作无效标处理。</w:t>
            </w:r>
          </w:p>
          <w:p w14:paraId="14E4EED3">
            <w:pPr>
              <w:spacing w:line="312"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7、本项目分为两个标项，可兼投不可兼中（注：已在前序标项被确定为中标候选人第一名的供应商在后续标项中仅参与评审打分、排名，不再被推荐为中标候选人。本项目评审顺序为</w:t>
            </w:r>
            <w:r>
              <w:rPr>
                <w:rFonts w:hint="eastAsia" w:ascii="仿宋" w:hAnsi="仿宋" w:eastAsia="仿宋" w:cs="仿宋"/>
                <w:b/>
                <w:bCs w:val="0"/>
                <w:sz w:val="24"/>
                <w:szCs w:val="24"/>
                <w:highlight w:val="none"/>
                <w:lang w:val="en-US"/>
              </w:rPr>
              <w:t>标项1</w:t>
            </w:r>
            <w:r>
              <w:rPr>
                <w:rFonts w:hint="eastAsia" w:ascii="仿宋" w:hAnsi="仿宋" w:eastAsia="仿宋" w:cs="仿宋"/>
                <w:b/>
                <w:sz w:val="24"/>
                <w:szCs w:val="24"/>
                <w:highlight w:val="none"/>
                <w:lang w:val="en-US" w:eastAsia="zh-CN"/>
              </w:rPr>
              <w:t>、标项2。</w:t>
            </w:r>
          </w:p>
          <w:p w14:paraId="019E62DC">
            <w:pPr>
              <w:spacing w:line="312"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注意：如因流标、质疑、投诉等原因导致项目废标、顺延或延期开标等，不影响已存在的中标结果，但澄清或更新的结果须考虑兼投不兼中。</w:t>
            </w:r>
          </w:p>
          <w:p w14:paraId="17654D73">
            <w:pPr>
              <w:spacing w:line="312" w:lineRule="auto"/>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lang w:val="en-US" w:eastAsia="zh-CN"/>
              </w:rPr>
              <w:t>特别提示：本项目将按上述原则推荐中标候选人；如投标人不接受，按重大偏差处理，视为不响应招标文件要求。）</w:t>
            </w:r>
          </w:p>
        </w:tc>
      </w:tr>
      <w:tr w14:paraId="0D0BE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818" w:type="dxa"/>
            <w:gridSpan w:val="3"/>
            <w:vAlign w:val="center"/>
          </w:tcPr>
          <w:p w14:paraId="10B16842">
            <w:pPr>
              <w:ind w:firstLine="482" w:firstLineChars="200"/>
              <w:rPr>
                <w:rFonts w:hint="eastAsia" w:ascii="仿宋" w:hAnsi="仿宋" w:eastAsia="仿宋" w:cs="仿宋"/>
                <w:b/>
                <w:sz w:val="24"/>
                <w:szCs w:val="24"/>
                <w:highlight w:val="none"/>
              </w:rPr>
            </w:pPr>
          </w:p>
        </w:tc>
      </w:tr>
    </w:tbl>
    <w:p w14:paraId="3ADF2275">
      <w:pPr>
        <w:spacing w:before="2"/>
        <w:rPr>
          <w:rFonts w:hint="eastAsia" w:ascii="仿宋" w:hAnsi="仿宋" w:eastAsia="仿宋" w:cs="仿宋"/>
          <w:b/>
          <w:bCs/>
          <w:highlight w:val="none"/>
        </w:rPr>
        <w:sectPr>
          <w:headerReference r:id="rId6" w:type="default"/>
          <w:footerReference r:id="rId7" w:type="default"/>
          <w:pgSz w:w="11910" w:h="16840"/>
          <w:pgMar w:top="1420" w:right="1134" w:bottom="1180" w:left="1134" w:header="878" w:footer="993" w:gutter="0"/>
          <w:cols w:space="720" w:num="1"/>
        </w:sectPr>
      </w:pPr>
      <w:r>
        <w:rPr>
          <w:rFonts w:hint="eastAsia" w:ascii="仿宋" w:hAnsi="仿宋" w:eastAsia="仿宋" w:cs="仿宋"/>
          <w:b/>
          <w:bCs/>
          <w:highlight w:val="none"/>
          <w:lang w:val="en-US"/>
        </w:rPr>
        <w:t>注：</w:t>
      </w:r>
      <w:r>
        <w:rPr>
          <w:rFonts w:hint="eastAsia" w:ascii="仿宋" w:hAnsi="仿宋" w:eastAsia="仿宋" w:cs="仿宋"/>
          <w:b/>
          <w:bCs/>
          <w:highlight w:val="none"/>
        </w:rPr>
        <w:t>如后文中相关格式要求表述与文件前附表，表述不一致的，以前附表为准（除资格审查、符合性审查及采购人需求外）。</w:t>
      </w:r>
    </w:p>
    <w:p w14:paraId="3ED200EC">
      <w:pPr>
        <w:jc w:val="center"/>
        <w:outlineLvl w:val="0"/>
        <w:rPr>
          <w:rFonts w:hint="eastAsia" w:ascii="仿宋" w:hAnsi="仿宋" w:eastAsia="仿宋" w:cs="仿宋"/>
          <w:highlight w:val="none"/>
        </w:rPr>
      </w:pPr>
      <w:r>
        <w:rPr>
          <w:rStyle w:val="25"/>
          <w:rFonts w:hint="eastAsia" w:ascii="仿宋" w:hAnsi="仿宋" w:eastAsia="仿宋" w:cs="仿宋"/>
          <w:highlight w:val="none"/>
        </w:rPr>
        <w:t>第三部分 招标说明</w:t>
      </w:r>
    </w:p>
    <w:p w14:paraId="1744E02E">
      <w:pPr>
        <w:spacing w:line="360" w:lineRule="auto"/>
        <w:rPr>
          <w:rFonts w:hint="eastAsia" w:ascii="仿宋" w:hAnsi="仿宋" w:eastAsia="仿宋" w:cs="仿宋"/>
          <w:highlight w:val="none"/>
        </w:rPr>
      </w:pPr>
    </w:p>
    <w:p w14:paraId="4451888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1.适用范围</w:t>
      </w:r>
    </w:p>
    <w:p w14:paraId="4897290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本采购文件仅适用于在</w:t>
      </w:r>
      <w:r>
        <w:rPr>
          <w:rFonts w:hint="eastAsia" w:ascii="仿宋" w:hAnsi="仿宋" w:eastAsia="仿宋" w:cs="仿宋"/>
          <w:sz w:val="24"/>
          <w:szCs w:val="24"/>
          <w:highlight w:val="none"/>
        </w:rPr>
        <w:t>2026年新疆大学药学院“双一流”建设项目(新疆特色中药民族药综合开发利用平台)</w:t>
      </w:r>
      <w:r>
        <w:rPr>
          <w:rFonts w:hint="eastAsia" w:ascii="仿宋" w:hAnsi="仿宋" w:eastAsia="仿宋" w:cs="仿宋"/>
          <w:sz w:val="24"/>
          <w:highlight w:val="none"/>
        </w:rPr>
        <w:t>采购文件中所叙述的本采购项目的合格投标人（包括生产商或销售商）。</w:t>
      </w:r>
    </w:p>
    <w:p w14:paraId="5C76996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2.投标资格</w:t>
      </w:r>
    </w:p>
    <w:p w14:paraId="5AC9CBB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2.1凡在中华人民共和国境内注册的合法的法人且有承担本项目的能力以及能够提供资格必备条件和审查项目条件且均合格的供应商（生产商或销售商）。</w:t>
      </w:r>
    </w:p>
    <w:p w14:paraId="4DCD8A3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2.2投标人应遵守中华人民共和国法律、法规和行政规章。</w:t>
      </w:r>
    </w:p>
    <w:p w14:paraId="578CBFD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2.3本项目不接受联合体投标。</w:t>
      </w:r>
    </w:p>
    <w:p w14:paraId="786706A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3.定义</w:t>
      </w:r>
    </w:p>
    <w:p w14:paraId="3C7FC8A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下列术语和缩写的定义为：</w:t>
      </w:r>
    </w:p>
    <w:p w14:paraId="0B7D8E0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3.1“招标方”系指</w:t>
      </w:r>
      <w:r>
        <w:rPr>
          <w:rFonts w:hint="eastAsia" w:ascii="仿宋" w:hAnsi="仿宋" w:eastAsia="仿宋" w:cs="仿宋"/>
          <w:sz w:val="24"/>
          <w:highlight w:val="none"/>
          <w:lang w:val="en-US"/>
        </w:rPr>
        <w:t>采购人和采购代理机构的统称</w:t>
      </w:r>
      <w:r>
        <w:rPr>
          <w:rFonts w:hint="eastAsia" w:ascii="仿宋" w:hAnsi="仿宋" w:eastAsia="仿宋" w:cs="仿宋"/>
          <w:sz w:val="24"/>
          <w:highlight w:val="none"/>
        </w:rPr>
        <w:t>。</w:t>
      </w:r>
    </w:p>
    <w:p w14:paraId="1133F0F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 “投标人”系指有资格的供应商（</w:t>
      </w:r>
      <w:r>
        <w:rPr>
          <w:rFonts w:hint="eastAsia" w:ascii="仿宋" w:hAnsi="仿宋" w:eastAsia="仿宋" w:cs="仿宋"/>
          <w:sz w:val="24"/>
          <w:highlight w:val="none"/>
          <w:lang w:val="en-US"/>
        </w:rPr>
        <w:t>生产</w:t>
      </w:r>
      <w:r>
        <w:rPr>
          <w:rFonts w:hint="eastAsia" w:ascii="仿宋" w:hAnsi="仿宋" w:eastAsia="仿宋" w:cs="仿宋"/>
          <w:sz w:val="24"/>
          <w:highlight w:val="none"/>
        </w:rPr>
        <w:t>商</w:t>
      </w:r>
      <w:r>
        <w:rPr>
          <w:rFonts w:hint="eastAsia" w:ascii="仿宋" w:hAnsi="仿宋" w:eastAsia="仿宋" w:cs="仿宋"/>
          <w:sz w:val="24"/>
          <w:highlight w:val="none"/>
          <w:lang w:val="en-US"/>
        </w:rPr>
        <w:t>或销售</w:t>
      </w:r>
      <w:r>
        <w:rPr>
          <w:rFonts w:hint="eastAsia" w:ascii="仿宋" w:hAnsi="仿宋" w:eastAsia="仿宋" w:cs="仿宋"/>
          <w:sz w:val="24"/>
          <w:highlight w:val="none"/>
        </w:rPr>
        <w:t>商）及投标代表。</w:t>
      </w:r>
    </w:p>
    <w:p w14:paraId="767FDD2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3.3“货物”系指采购文件规定的，投标人须向采购人提供的一切设备、附件、备品备件、工具、手册及其它有关资料和材料。</w:t>
      </w:r>
    </w:p>
    <w:p w14:paraId="46C2E64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3.4“服务”系指采购文件规定投标人须承担的保修、技术协助、培训及其他类似的责任。</w:t>
      </w:r>
    </w:p>
    <w:p w14:paraId="7ADB73A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4.投标费用</w:t>
      </w:r>
    </w:p>
    <w:p w14:paraId="0777F4F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无论投标结果如何，凡参与招标、投标活动有关的所有费用将由投标人自行承担。</w:t>
      </w:r>
    </w:p>
    <w:p w14:paraId="0F00628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投标人被视为熟悉本招标项目的各种情况以及与履行合同有关的一切情况。</w:t>
      </w:r>
    </w:p>
    <w:p w14:paraId="2199FEE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5.采购文件的构成</w:t>
      </w:r>
    </w:p>
    <w:p w14:paraId="42519B5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采购文件由</w:t>
      </w:r>
      <w:r>
        <w:rPr>
          <w:rFonts w:hint="eastAsia" w:ascii="仿宋" w:hAnsi="仿宋" w:eastAsia="仿宋" w:cs="仿宋"/>
          <w:sz w:val="24"/>
          <w:highlight w:val="none"/>
          <w:lang w:val="en-US"/>
        </w:rPr>
        <w:t>招标公告、</w:t>
      </w:r>
      <w:r>
        <w:rPr>
          <w:rFonts w:hint="eastAsia" w:ascii="仿宋" w:hAnsi="仿宋" w:eastAsia="仿宋" w:cs="仿宋"/>
          <w:sz w:val="24"/>
          <w:highlight w:val="none"/>
        </w:rPr>
        <w:t>投标须知、招标说明、投标说明、开标 评标及定标说明、货物需求及技术规格说明、商务部分、</w:t>
      </w:r>
      <w:r>
        <w:rPr>
          <w:rFonts w:hint="eastAsia" w:ascii="仿宋" w:hAnsi="仿宋" w:eastAsia="仿宋" w:cs="仿宋"/>
          <w:sz w:val="24"/>
          <w:highlight w:val="none"/>
          <w:lang w:val="en-US"/>
        </w:rPr>
        <w:t>投标文件的编制装订</w:t>
      </w:r>
      <w:r>
        <w:rPr>
          <w:rFonts w:hint="eastAsia" w:ascii="仿宋" w:hAnsi="仿宋" w:eastAsia="仿宋" w:cs="仿宋"/>
          <w:sz w:val="24"/>
          <w:highlight w:val="none"/>
        </w:rPr>
        <w:t>等组成。</w:t>
      </w:r>
    </w:p>
    <w:p w14:paraId="0DAF2FD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6.采购文件的澄清或修改</w:t>
      </w:r>
    </w:p>
    <w:p w14:paraId="097F1EC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采购人或者采购代理机构对采购文件澄清或者修改的，在投标截止时间至少15日前，通知所有获取采购文件的潜在投标人；不足15日的，采购人或者采购代理机构顺延提交投标文件的截止时间。</w:t>
      </w:r>
    </w:p>
    <w:p w14:paraId="4CBC216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投标人对采购文件如有疑点，可在投标截止日的</w:t>
      </w:r>
      <w:r>
        <w:rPr>
          <w:rFonts w:hint="eastAsia" w:ascii="仿宋" w:hAnsi="仿宋" w:eastAsia="仿宋" w:cs="仿宋"/>
          <w:sz w:val="24"/>
          <w:highlight w:val="none"/>
          <w:lang w:val="en-US"/>
        </w:rPr>
        <w:t>15</w:t>
      </w:r>
      <w:r>
        <w:rPr>
          <w:rFonts w:hint="eastAsia" w:ascii="仿宋" w:hAnsi="仿宋" w:eastAsia="仿宋" w:cs="仿宋"/>
          <w:sz w:val="24"/>
          <w:highlight w:val="none"/>
        </w:rPr>
        <w:t>日前按采购文件中载明的地址以书面形式通知采购人要求澄清。采购人将视情况确定采用适当方式予以澄清或以书面形式予以答复。采购人认为有必要时，可将答复内容（包括原提出问题， 但不包括问题的来源）分发给所有拟投标人。</w:t>
      </w:r>
    </w:p>
    <w:p w14:paraId="592A630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7.采购文件的修改或补充</w:t>
      </w:r>
    </w:p>
    <w:p w14:paraId="5AD965D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在投标截止日</w:t>
      </w:r>
      <w:r>
        <w:rPr>
          <w:rFonts w:hint="eastAsia" w:ascii="仿宋" w:hAnsi="仿宋" w:eastAsia="仿宋" w:cs="仿宋"/>
          <w:sz w:val="24"/>
          <w:highlight w:val="none"/>
          <w:lang w:val="en-US"/>
        </w:rPr>
        <w:t>15</w:t>
      </w:r>
      <w:r>
        <w:rPr>
          <w:rFonts w:hint="eastAsia" w:ascii="仿宋" w:hAnsi="仿宋" w:eastAsia="仿宋" w:cs="仿宋"/>
          <w:sz w:val="24"/>
          <w:highlight w:val="none"/>
        </w:rPr>
        <w:t>日前的任何时间，采购人可主动或依据投标人要求澄清的问题而修改或补充采购文件，并以书面或公告等形式通知所有投标人。</w:t>
      </w:r>
    </w:p>
    <w:p w14:paraId="6A4B9C9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为使投标人在准备投标时有适当的时间考虑投标文件的修改，采购人有权决定推迟投标截止日期和开标日期，并将此变更以书面或公告等形式通知所有投标人。</w:t>
      </w:r>
    </w:p>
    <w:p w14:paraId="3D2E26C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采购文件的修改和补充文件将构成采购文件的一部分，并且对投标人具有优先约束力。</w:t>
      </w:r>
    </w:p>
    <w:p w14:paraId="050F864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8.廉洁自律承诺要求：</w:t>
      </w:r>
    </w:p>
    <w:p w14:paraId="25B75DD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8.1 按照《预防职务违法违纪工作规程》规定要求，在本次招标活动中，新疆华域建设工程项目管理咨询有限公司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采购人要求参加本次项目的采购人专家、评标专家要填写和提交《廉洁自律承诺书》，所有投标人必须现场提交“信用中国”及“中国政府采购网”、中国裁判文书网网站无任何不良记录的查询截图并加盖公章；凡不填写和不提交的将视为无效招标或无效投标处理。</w:t>
      </w:r>
    </w:p>
    <w:p w14:paraId="49EAEAC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9.设备、材料性能要求</w:t>
      </w:r>
    </w:p>
    <w:p w14:paraId="4FF5F74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9.1</w:t>
      </w:r>
      <w:r>
        <w:rPr>
          <w:rFonts w:hint="eastAsia" w:ascii="仿宋" w:hAnsi="仿宋" w:eastAsia="仿宋" w:cs="仿宋"/>
          <w:sz w:val="24"/>
          <w:highlight w:val="none"/>
        </w:rPr>
        <w:t>为贯彻落实《国务院办公厅关于建立政府强制采购节能产品制度的知》， 扩大节能产品范围，发挥政府机构节能的表率作用，降低政府机构能源费用开支， 促进节能技术进步，扩大节能产品市场，根据《中华人民共和国节约能源法》、《中华人民共和国法》等相关政策法规规定，属于环境标志产品、节能产品和计算机、印机、空调、照明产品（包括双端荧光灯、自镇流荧光灯、单端荧光灯、管型荧光灯镇流器）、电视机、电热水器、显示器、便器、水嘴等九大类强制采购产品的采购，必须优先选择国家财政部、国家环保部、国家发展和改革委员会等有关部门最新发布的《节能产品清单》和《环境标志产品清单》中的产品。</w:t>
      </w:r>
    </w:p>
    <w:p w14:paraId="1E4E88C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9.2 </w:t>
      </w:r>
      <w:r>
        <w:rPr>
          <w:rFonts w:hint="eastAsia" w:ascii="仿宋" w:hAnsi="仿宋" w:eastAsia="仿宋" w:cs="仿宋"/>
          <w:sz w:val="24"/>
          <w:highlight w:val="none"/>
        </w:rPr>
        <w:t>按照上述国家政策规定，凡本次招标产品涉及国家强制采购节能、环保产品，生产制造商必须使用节能环保材料，并要将纳入节能产品清单的产品作为投标产品，要以 “</w:t>
      </w:r>
      <w:r>
        <w:rPr>
          <w:rFonts w:hint="eastAsia" w:ascii="仿宋" w:hAnsi="仿宋" w:eastAsia="仿宋" w:cs="仿宋"/>
          <w:sz w:val="24"/>
          <w:highlight w:val="none"/>
          <w:lang w:val="en-US"/>
        </w:rPr>
        <w:drawing>
          <wp:inline distT="0" distB="0" distL="114300" distR="114300">
            <wp:extent cx="159385" cy="159385"/>
            <wp:effectExtent l="0" t="0" r="8255" b="8255"/>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a:picLocks noChangeAspect="1"/>
                    </pic:cNvPicPr>
                  </pic:nvPicPr>
                  <pic:blipFill>
                    <a:blip r:embed="rId14"/>
                    <a:stretch>
                      <a:fillRect/>
                    </a:stretch>
                  </pic:blipFill>
                  <pic:spPr>
                    <a:xfrm>
                      <a:off x="0" y="0"/>
                      <a:ext cx="159385" cy="159385"/>
                    </a:xfrm>
                    <a:prstGeom prst="rect">
                      <a:avLst/>
                    </a:prstGeom>
                    <a:noFill/>
                    <a:ln>
                      <a:noFill/>
                    </a:ln>
                  </pic:spPr>
                </pic:pic>
              </a:graphicData>
            </a:graphic>
          </wp:inline>
        </w:drawing>
      </w:r>
      <w:r>
        <w:rPr>
          <w:rFonts w:hint="eastAsia" w:ascii="仿宋" w:hAnsi="仿宋" w:eastAsia="仿宋" w:cs="仿宋"/>
          <w:sz w:val="24"/>
          <w:highlight w:val="none"/>
        </w:rPr>
        <w:t>”作标注，对于获得中国环境标志认证证书的产品要以 “</w:t>
      </w:r>
      <w:r>
        <w:rPr>
          <w:rFonts w:hint="eastAsia" w:ascii="仿宋" w:hAnsi="仿宋" w:eastAsia="仿宋" w:cs="仿宋"/>
          <w:sz w:val="24"/>
          <w:highlight w:val="none"/>
          <w:lang w:val="en-US"/>
        </w:rPr>
        <w:drawing>
          <wp:inline distT="0" distB="0" distL="114300" distR="114300">
            <wp:extent cx="130810" cy="118745"/>
            <wp:effectExtent l="0" t="0" r="6350" b="3175"/>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a:picLocks noChangeAspect="1"/>
                    </pic:cNvPicPr>
                  </pic:nvPicPr>
                  <pic:blipFill>
                    <a:blip r:embed="rId15"/>
                    <a:stretch>
                      <a:fillRect/>
                    </a:stretch>
                  </pic:blipFill>
                  <pic:spPr>
                    <a:xfrm>
                      <a:off x="0" y="0"/>
                      <a:ext cx="130810" cy="118745"/>
                    </a:xfrm>
                    <a:prstGeom prst="rect">
                      <a:avLst/>
                    </a:prstGeom>
                    <a:noFill/>
                    <a:ln>
                      <a:noFill/>
                    </a:ln>
                  </pic:spPr>
                </pic:pic>
              </a:graphicData>
            </a:graphic>
          </wp:inline>
        </w:drawing>
      </w:r>
      <w:r>
        <w:rPr>
          <w:rFonts w:hint="eastAsia" w:ascii="仿宋" w:hAnsi="仿宋" w:eastAsia="仿宋" w:cs="仿宋"/>
          <w:sz w:val="24"/>
          <w:highlight w:val="none"/>
        </w:rPr>
        <w:t>”作标注。否则，届时经核实情况后，其投标将可能被拒绝。</w:t>
      </w:r>
    </w:p>
    <w:p w14:paraId="0F1534A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10</w:t>
      </w:r>
      <w:r>
        <w:rPr>
          <w:rFonts w:hint="eastAsia" w:ascii="仿宋" w:hAnsi="仿宋" w:eastAsia="仿宋" w:cs="仿宋"/>
          <w:sz w:val="24"/>
          <w:highlight w:val="none"/>
        </w:rPr>
        <w:t>.招标会场纪律及要求</w:t>
      </w:r>
    </w:p>
    <w:p w14:paraId="03219B4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10.1 </w:t>
      </w:r>
      <w:r>
        <w:rPr>
          <w:rFonts w:hint="eastAsia" w:ascii="仿宋" w:hAnsi="仿宋" w:eastAsia="仿宋" w:cs="仿宋"/>
          <w:sz w:val="24"/>
          <w:highlight w:val="none"/>
        </w:rPr>
        <w:t>会议按照“公开、公平、公正、诚信”的原则，招标采取全封闭现场开评标程序进行。</w:t>
      </w:r>
    </w:p>
    <w:p w14:paraId="6D33F05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10.2 </w:t>
      </w:r>
      <w:r>
        <w:rPr>
          <w:rFonts w:hint="eastAsia" w:ascii="仿宋" w:hAnsi="仿宋" w:eastAsia="仿宋" w:cs="仿宋"/>
          <w:sz w:val="24"/>
          <w:highlight w:val="none"/>
        </w:rPr>
        <w:t>凡没有在开标时间（投标截止时间）准时进入</w:t>
      </w:r>
      <w:r>
        <w:rPr>
          <w:rFonts w:hint="eastAsia" w:ascii="仿宋" w:hAnsi="仿宋" w:eastAsia="仿宋" w:cs="仿宋"/>
          <w:sz w:val="24"/>
          <w:highlight w:val="none"/>
          <w:lang w:val="en-US"/>
        </w:rPr>
        <w:t>开标现场的投标人，其投标将被拒绝。</w:t>
      </w:r>
      <w:r>
        <w:rPr>
          <w:rFonts w:hint="eastAsia" w:ascii="仿宋" w:hAnsi="仿宋" w:eastAsia="仿宋" w:cs="仿宋"/>
          <w:sz w:val="24"/>
          <w:highlight w:val="none"/>
        </w:rPr>
        <w:t xml:space="preserve"> </w:t>
      </w:r>
    </w:p>
    <w:p w14:paraId="1EE26B3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10.3 </w:t>
      </w:r>
      <w:r>
        <w:rPr>
          <w:rFonts w:hint="eastAsia" w:ascii="仿宋" w:hAnsi="仿宋" w:eastAsia="仿宋" w:cs="仿宋"/>
          <w:sz w:val="24"/>
          <w:highlight w:val="none"/>
        </w:rPr>
        <w:t>评标活动结束前，评标委员会各成员</w:t>
      </w:r>
      <w:r>
        <w:rPr>
          <w:rFonts w:hint="eastAsia" w:ascii="仿宋" w:hAnsi="仿宋" w:eastAsia="仿宋" w:cs="仿宋"/>
          <w:sz w:val="24"/>
          <w:highlight w:val="none"/>
          <w:lang w:val="en-US"/>
        </w:rPr>
        <w:t>严禁</w:t>
      </w:r>
      <w:r>
        <w:rPr>
          <w:rFonts w:hint="eastAsia" w:ascii="仿宋" w:hAnsi="仿宋" w:eastAsia="仿宋" w:cs="仿宋"/>
          <w:sz w:val="24"/>
          <w:highlight w:val="none"/>
        </w:rPr>
        <w:t>与外界及投标人有任何形式的联系，确有特殊原因需要外出或其他方面的，必须由监标人提交采购人后，方可</w:t>
      </w:r>
      <w:r>
        <w:rPr>
          <w:rFonts w:hint="eastAsia" w:ascii="仿宋" w:hAnsi="仿宋" w:eastAsia="仿宋" w:cs="仿宋"/>
          <w:sz w:val="24"/>
          <w:highlight w:val="none"/>
          <w:lang w:val="en-US"/>
        </w:rPr>
        <w:t>离开评标现场</w:t>
      </w:r>
      <w:r>
        <w:rPr>
          <w:rFonts w:hint="eastAsia" w:ascii="仿宋" w:hAnsi="仿宋" w:eastAsia="仿宋" w:cs="仿宋"/>
          <w:sz w:val="24"/>
          <w:highlight w:val="none"/>
        </w:rPr>
        <w:t>，外出时须有监标人员陪同。</w:t>
      </w:r>
    </w:p>
    <w:p w14:paraId="5EEA3AB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10.4 非特殊原因（如</w:t>
      </w:r>
      <w:r>
        <w:rPr>
          <w:rFonts w:hint="eastAsia" w:ascii="仿宋" w:hAnsi="仿宋" w:eastAsia="仿宋" w:cs="仿宋"/>
          <w:sz w:val="24"/>
          <w:highlight w:val="none"/>
        </w:rPr>
        <w:t>需要供应商进行必要澄清、说明或者纠正</w:t>
      </w:r>
      <w:r>
        <w:rPr>
          <w:rFonts w:hint="eastAsia" w:ascii="仿宋" w:hAnsi="仿宋" w:eastAsia="仿宋" w:cs="仿宋"/>
          <w:sz w:val="24"/>
          <w:highlight w:val="none"/>
          <w:lang w:val="en-US"/>
        </w:rPr>
        <w:t>等）除外，</w:t>
      </w:r>
      <w:r>
        <w:rPr>
          <w:rFonts w:hint="eastAsia" w:ascii="仿宋" w:hAnsi="仿宋" w:eastAsia="仿宋" w:cs="仿宋"/>
          <w:sz w:val="24"/>
          <w:highlight w:val="none"/>
        </w:rPr>
        <w:t>投标截止时间后，对投标方的所有投标</w:t>
      </w:r>
      <w:r>
        <w:rPr>
          <w:rFonts w:hint="eastAsia" w:ascii="仿宋" w:hAnsi="仿宋" w:eastAsia="仿宋" w:cs="仿宋"/>
          <w:sz w:val="24"/>
          <w:highlight w:val="none"/>
          <w:lang w:val="en-US"/>
        </w:rPr>
        <w:t>资料</w:t>
      </w:r>
      <w:r>
        <w:rPr>
          <w:rFonts w:hint="eastAsia" w:ascii="仿宋" w:hAnsi="仿宋" w:eastAsia="仿宋" w:cs="仿宋"/>
          <w:sz w:val="24"/>
          <w:highlight w:val="none"/>
        </w:rPr>
        <w:t>及评标所需的资料证明等均不接受二次提供，否则，将直接取消其投标资格。</w:t>
      </w:r>
    </w:p>
    <w:p w14:paraId="311DC1C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10.5 </w:t>
      </w:r>
      <w:r>
        <w:rPr>
          <w:rFonts w:hint="eastAsia" w:ascii="仿宋" w:hAnsi="仿宋" w:eastAsia="仿宋" w:cs="仿宋"/>
          <w:sz w:val="24"/>
          <w:highlight w:val="none"/>
        </w:rPr>
        <w:t>参加本次评标的专家成员及其他与会人员如果与其他投标人有利害关系的，可以现场申请其回避。如不申请其回避的，则视同无利害关系。</w:t>
      </w:r>
    </w:p>
    <w:p w14:paraId="2F26433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10.6 </w:t>
      </w:r>
      <w:r>
        <w:rPr>
          <w:rFonts w:hint="eastAsia" w:ascii="仿宋" w:hAnsi="仿宋" w:eastAsia="仿宋" w:cs="仿宋"/>
          <w:sz w:val="24"/>
          <w:highlight w:val="none"/>
        </w:rPr>
        <w:t>对各投标人的资质审查、开标、报价、评标、询标（答疑）、澄清、定标等工作逐一进行；评标期间</w:t>
      </w:r>
      <w:r>
        <w:rPr>
          <w:rFonts w:hint="eastAsia" w:ascii="仿宋" w:hAnsi="仿宋" w:eastAsia="仿宋" w:cs="仿宋"/>
          <w:sz w:val="24"/>
          <w:highlight w:val="none"/>
          <w:lang w:val="en-US"/>
        </w:rPr>
        <w:t>各</w:t>
      </w:r>
      <w:r>
        <w:rPr>
          <w:rFonts w:hint="eastAsia" w:ascii="仿宋" w:hAnsi="仿宋" w:eastAsia="仿宋" w:cs="仿宋"/>
          <w:sz w:val="24"/>
          <w:highlight w:val="none"/>
        </w:rPr>
        <w:t>投标人务必保持通讯工具的畅通，以便及时联络和不延误工作。若发生通讯工具不通或备案通讯工具号码有误，无法实现联络的，或无理拒绝或不执行采购人工作安排的，将视同自愿放弃本次投标权利。</w:t>
      </w:r>
    </w:p>
    <w:p w14:paraId="201A427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10.7</w:t>
      </w:r>
      <w:r>
        <w:rPr>
          <w:rFonts w:hint="eastAsia" w:ascii="仿宋" w:hAnsi="仿宋" w:eastAsia="仿宋" w:cs="仿宋"/>
          <w:sz w:val="24"/>
          <w:highlight w:val="none"/>
        </w:rPr>
        <w:t xml:space="preserve"> 投标人对开标有异议的，应当在开标现场提出，采购人当场作出答复，并记录。</w:t>
      </w:r>
    </w:p>
    <w:p w14:paraId="54E7D3B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10</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7 </w:t>
      </w:r>
      <w:r>
        <w:rPr>
          <w:rFonts w:hint="eastAsia" w:ascii="仿宋" w:hAnsi="仿宋" w:eastAsia="仿宋" w:cs="仿宋"/>
          <w:sz w:val="24"/>
          <w:highlight w:val="none"/>
        </w:rPr>
        <w:t>招标评标须在监标人的监督下由采购人组织进行。评标委员会各成员、采购人代表、投标人、特邀代表、工作人员等与会人员如有违纪、违规行为，监标人有权予以纠正或制止。</w:t>
      </w:r>
    </w:p>
    <w:p w14:paraId="4CA0532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11</w:t>
      </w:r>
      <w:r>
        <w:rPr>
          <w:rFonts w:hint="eastAsia" w:ascii="仿宋" w:hAnsi="仿宋" w:eastAsia="仿宋" w:cs="仿宋"/>
          <w:sz w:val="24"/>
          <w:highlight w:val="none"/>
        </w:rPr>
        <w:t>.与评标活动有关的工作人员。是指评标委员会成员以外的、因参与评标监督工作或者事务性工作而知悉有关评标情况的所有人员。</w:t>
      </w:r>
    </w:p>
    <w:p w14:paraId="300B65FE">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参与项目采购人员及相关人员与供应商有下列利害关系之一的，应当回避：</w:t>
      </w:r>
    </w:p>
    <w:p w14:paraId="7A4059F6">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（一）参加采购活动前3年内与供应商存在劳动关系；</w:t>
      </w:r>
    </w:p>
    <w:p w14:paraId="758933DB">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（二）参加采购活动前3年内担任供应商的董事、监事；</w:t>
      </w:r>
    </w:p>
    <w:p w14:paraId="601F0096">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（三）参加采购活动前3年内是供应商的控股股东或者实际控制人；</w:t>
      </w:r>
    </w:p>
    <w:p w14:paraId="012064C4">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（四）与供应商的法定代表人或者负责人有夫妻、直系血亲、三代以内旁系血亲或者近姻亲关系；</w:t>
      </w:r>
    </w:p>
    <w:p w14:paraId="1053B207">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rPr>
        <w:t>（五）与供应商有其他可能影响政府采购活动公平、公正进行的关系。</w:t>
      </w:r>
    </w:p>
    <w:p w14:paraId="0344E8B3">
      <w:pPr>
        <w:spacing w:line="360" w:lineRule="auto"/>
        <w:ind w:firstLine="480" w:firstLineChars="200"/>
        <w:rPr>
          <w:rFonts w:hint="eastAsia" w:ascii="仿宋" w:hAnsi="仿宋" w:eastAsia="仿宋" w:cs="仿宋"/>
          <w:sz w:val="24"/>
          <w:highlight w:val="none"/>
        </w:rPr>
      </w:pPr>
    </w:p>
    <w:p w14:paraId="01958FC3">
      <w:pPr>
        <w:rPr>
          <w:rFonts w:hint="eastAsia" w:ascii="仿宋" w:hAnsi="仿宋" w:eastAsia="仿宋" w:cs="仿宋"/>
          <w:highlight w:val="none"/>
        </w:rPr>
      </w:pPr>
      <w:r>
        <w:rPr>
          <w:rFonts w:hint="eastAsia" w:ascii="仿宋" w:hAnsi="仿宋" w:eastAsia="仿宋" w:cs="仿宋"/>
          <w:highlight w:val="none"/>
        </w:rPr>
        <w:t xml:space="preserve">  </w:t>
      </w:r>
    </w:p>
    <w:p w14:paraId="16D5056E">
      <w:pPr>
        <w:rPr>
          <w:rFonts w:hint="eastAsia" w:ascii="仿宋" w:hAnsi="仿宋" w:eastAsia="仿宋" w:cs="仿宋"/>
          <w:highlight w:val="none"/>
        </w:rPr>
      </w:pPr>
      <w:r>
        <w:rPr>
          <w:rFonts w:hint="eastAsia" w:ascii="仿宋" w:hAnsi="仿宋" w:eastAsia="仿宋" w:cs="仿宋"/>
          <w:highlight w:val="none"/>
        </w:rPr>
        <w:t xml:space="preserve"> </w:t>
      </w:r>
    </w:p>
    <w:p w14:paraId="2B666C58">
      <w:pPr>
        <w:pStyle w:val="2"/>
        <w:spacing w:before="2"/>
        <w:ind w:left="0" w:leftChars="0" w:right="0" w:rightChars="0"/>
        <w:rPr>
          <w:rFonts w:hint="eastAsia"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highlight w:val="none"/>
        </w:rPr>
        <w:t>第四部分 投标说明</w:t>
      </w:r>
    </w:p>
    <w:p w14:paraId="295A44E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                    第一章 对投标方的资质要求</w:t>
      </w:r>
    </w:p>
    <w:p w14:paraId="4CE6F0D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1.1</w:t>
      </w:r>
      <w:r>
        <w:rPr>
          <w:rFonts w:hint="eastAsia" w:ascii="仿宋" w:hAnsi="仿宋" w:eastAsia="仿宋" w:cs="仿宋"/>
          <w:sz w:val="24"/>
          <w:highlight w:val="none"/>
        </w:rPr>
        <w:t>投标人必须提交能够证明其具有履行本招标项目合同能力的资质证明文件，作为投标文件的一部分。</w:t>
      </w:r>
    </w:p>
    <w:p w14:paraId="5E63E4A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1.2</w:t>
      </w:r>
      <w:r>
        <w:rPr>
          <w:rFonts w:hint="eastAsia" w:ascii="仿宋" w:hAnsi="仿宋" w:eastAsia="仿宋" w:cs="仿宋"/>
          <w:sz w:val="24"/>
          <w:highlight w:val="none"/>
        </w:rPr>
        <w:t>投标时</w:t>
      </w:r>
      <w:r>
        <w:rPr>
          <w:rFonts w:hint="eastAsia" w:ascii="仿宋" w:hAnsi="仿宋" w:eastAsia="仿宋" w:cs="仿宋"/>
          <w:sz w:val="24"/>
          <w:highlight w:val="none"/>
          <w:lang w:val="en-US"/>
        </w:rPr>
        <w:t>资格</w:t>
      </w:r>
      <w:r>
        <w:rPr>
          <w:rFonts w:hint="eastAsia" w:ascii="仿宋" w:hAnsi="仿宋" w:eastAsia="仿宋" w:cs="仿宋"/>
          <w:sz w:val="24"/>
          <w:highlight w:val="none"/>
        </w:rPr>
        <w:t>审查的必要条件（如果不能提供或有缺项则视为对采购文件资格审查内容的不响应，其投标将被拒绝，</w:t>
      </w:r>
      <w:r>
        <w:rPr>
          <w:rFonts w:hint="eastAsia" w:ascii="仿宋" w:hAnsi="仿宋" w:eastAsia="仿宋" w:cs="仿宋"/>
          <w:sz w:val="24"/>
          <w:highlight w:val="none"/>
          <w:lang w:val="en-US"/>
        </w:rPr>
        <w:t>资格审查具体内容详见资格审核表</w:t>
      </w:r>
      <w:r>
        <w:rPr>
          <w:rFonts w:hint="eastAsia" w:ascii="仿宋" w:hAnsi="仿宋" w:eastAsia="仿宋" w:cs="仿宋"/>
          <w:sz w:val="24"/>
          <w:highlight w:val="none"/>
        </w:rPr>
        <w:t>）。</w:t>
      </w:r>
    </w:p>
    <w:p w14:paraId="6CDE987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1.3 </w:t>
      </w:r>
      <w:r>
        <w:rPr>
          <w:rFonts w:hint="eastAsia" w:ascii="仿宋" w:hAnsi="仿宋" w:eastAsia="仿宋" w:cs="仿宋"/>
          <w:sz w:val="24"/>
          <w:highlight w:val="none"/>
        </w:rPr>
        <w:t>投标时的评审审查项目。投标人如果不能提供或有缺项的，则相应本项目不得分，且本项目将作为是否中标的重要因素。</w:t>
      </w:r>
    </w:p>
    <w:p w14:paraId="4C95A769">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rPr>
        <w:t>（</w:t>
      </w:r>
      <w:r>
        <w:rPr>
          <w:rFonts w:hint="eastAsia" w:ascii="仿宋" w:hAnsi="仿宋" w:eastAsia="仿宋" w:cs="仿宋"/>
          <w:sz w:val="24"/>
          <w:highlight w:val="none"/>
          <w:lang w:val="en-US"/>
        </w:rPr>
        <w:t>1</w:t>
      </w:r>
      <w:r>
        <w:rPr>
          <w:rFonts w:hint="eastAsia" w:ascii="仿宋" w:hAnsi="仿宋" w:eastAsia="仿宋" w:cs="仿宋"/>
          <w:sz w:val="24"/>
          <w:highlight w:val="none"/>
        </w:rPr>
        <w:t>）</w:t>
      </w:r>
      <w:r>
        <w:rPr>
          <w:rFonts w:hint="eastAsia" w:ascii="仿宋" w:hAnsi="仿宋" w:eastAsia="仿宋" w:cs="仿宋"/>
          <w:sz w:val="24"/>
          <w:highlight w:val="none"/>
          <w:lang w:val="en-US"/>
        </w:rPr>
        <w:t>产品</w:t>
      </w:r>
      <w:r>
        <w:rPr>
          <w:rFonts w:hint="eastAsia" w:ascii="仿宋" w:hAnsi="仿宋" w:eastAsia="仿宋" w:cs="仿宋"/>
          <w:sz w:val="24"/>
          <w:highlight w:val="none"/>
        </w:rPr>
        <w:t>选型、配置及性能指标、</w:t>
      </w:r>
      <w:r>
        <w:rPr>
          <w:rFonts w:hint="eastAsia" w:ascii="仿宋" w:hAnsi="仿宋" w:eastAsia="仿宋" w:cs="仿宋"/>
          <w:sz w:val="24"/>
          <w:highlight w:val="none"/>
          <w:lang w:val="en-US"/>
        </w:rPr>
        <w:t>质量保证措施等；</w:t>
      </w:r>
    </w:p>
    <w:p w14:paraId="3DF5113E">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（2）</w:t>
      </w:r>
      <w:r>
        <w:rPr>
          <w:rFonts w:hint="eastAsia" w:ascii="仿宋" w:hAnsi="仿宋" w:eastAsia="仿宋" w:cs="仿宋"/>
          <w:sz w:val="24"/>
          <w:highlight w:val="none"/>
        </w:rPr>
        <w:t>货物供应、售后服务、项目业绩</w:t>
      </w:r>
      <w:r>
        <w:rPr>
          <w:rFonts w:hint="eastAsia" w:ascii="仿宋" w:hAnsi="仿宋" w:eastAsia="仿宋" w:cs="仿宋"/>
          <w:sz w:val="24"/>
          <w:highlight w:val="none"/>
          <w:lang w:val="en-US"/>
        </w:rPr>
        <w:t>等；</w:t>
      </w:r>
    </w:p>
    <w:p w14:paraId="32F221EE">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（3）利于投标方的其它证明材料；</w:t>
      </w:r>
    </w:p>
    <w:p w14:paraId="3751CC8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1.4 开标对投标人资质中的所有投标资质及评标所需的资料证明等，严格遵循“第四部分”中 1.2、1.3 条款之规定。</w:t>
      </w:r>
    </w:p>
    <w:p w14:paraId="4FF46C3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 投标方保证和承诺所投产品报价不存在恶意或有意压价、恶意或有意虚报报价，也不存在恶意或有意抬高报价等行为。</w:t>
      </w:r>
    </w:p>
    <w:p w14:paraId="141E7DB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1.6 投标方保证和承诺不存在与其它投标人有串标、陪标等行为。</w:t>
      </w:r>
    </w:p>
    <w:p w14:paraId="0C604526">
      <w:pPr>
        <w:spacing w:line="360" w:lineRule="auto"/>
        <w:ind w:firstLine="2760" w:firstLineChars="1150"/>
        <w:rPr>
          <w:rFonts w:hint="eastAsia" w:ascii="仿宋" w:hAnsi="仿宋" w:eastAsia="仿宋" w:cs="仿宋"/>
          <w:sz w:val="24"/>
          <w:highlight w:val="none"/>
        </w:rPr>
      </w:pPr>
      <w:r>
        <w:rPr>
          <w:rFonts w:hint="eastAsia" w:ascii="仿宋" w:hAnsi="仿宋" w:eastAsia="仿宋" w:cs="仿宋"/>
          <w:sz w:val="24"/>
          <w:highlight w:val="none"/>
        </w:rPr>
        <w:t>第二章 投标文件的编写</w:t>
      </w:r>
    </w:p>
    <w:p w14:paraId="56B0AE9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2.要求</w:t>
      </w:r>
    </w:p>
    <w:p w14:paraId="39AAB73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2.1投标人应详细阅读采购人的采购文件中的条款、规范、表述、条件和格式等所有内容，按采购文件的要求编制投标文件和</w:t>
      </w:r>
      <w:r>
        <w:rPr>
          <w:rFonts w:hint="eastAsia" w:ascii="仿宋" w:hAnsi="仿宋" w:eastAsia="仿宋" w:cs="仿宋"/>
          <w:sz w:val="24"/>
          <w:highlight w:val="none"/>
          <w:lang w:val="en-US"/>
        </w:rPr>
        <w:t>按时</w:t>
      </w:r>
      <w:r>
        <w:rPr>
          <w:rFonts w:hint="eastAsia" w:ascii="仿宋" w:hAnsi="仿宋" w:eastAsia="仿宋" w:cs="仿宋"/>
          <w:sz w:val="24"/>
          <w:highlight w:val="none"/>
        </w:rPr>
        <w:t>上传投标文件，并保证所提供全部材料的真实性；投标文件必须对采购文件提出的要求和条件作出实质性响应。否则，其投标可能将被拒绝。</w:t>
      </w:r>
    </w:p>
    <w:p w14:paraId="6C045C4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2.2允许投标人对采购文件中的所有包投标，也可根据本企业生产或</w:t>
      </w:r>
      <w:r>
        <w:rPr>
          <w:rFonts w:hint="eastAsia" w:ascii="仿宋" w:hAnsi="仿宋" w:eastAsia="仿宋" w:cs="仿宋"/>
          <w:sz w:val="24"/>
          <w:highlight w:val="none"/>
          <w:lang w:val="en-US"/>
        </w:rPr>
        <w:t>本企业销售</w:t>
      </w:r>
      <w:r>
        <w:rPr>
          <w:rFonts w:hint="eastAsia" w:ascii="仿宋" w:hAnsi="仿宋" w:eastAsia="仿宋" w:cs="仿宋"/>
          <w:sz w:val="24"/>
          <w:highlight w:val="none"/>
        </w:rPr>
        <w:t>产品的情况对部分包进行投标，但不允许投标人对某一包中的一项或部分项进行投标。采购人可选择一家投标人为所有包的成交人，也可选择若干个分别中标。</w:t>
      </w:r>
    </w:p>
    <w:p w14:paraId="04E4ED5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3.投标文件语言和度量单位</w:t>
      </w:r>
    </w:p>
    <w:p w14:paraId="47D6E8E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3.1采购文件及投标人和采购人就招标、投标交换的文件和往来信件，须以中文书写。</w:t>
      </w:r>
    </w:p>
    <w:p w14:paraId="5F11371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3.2除在采购文件的技术规格中另有规定外，计量单位应使用中华人民共和国法定计量单位。</w:t>
      </w:r>
    </w:p>
    <w:p w14:paraId="636DEAA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4.投标文件的组成</w:t>
      </w:r>
    </w:p>
    <w:p w14:paraId="4BFED32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4.1投标人编写的投标文件应</w:t>
      </w:r>
      <w:r>
        <w:rPr>
          <w:rFonts w:hint="eastAsia" w:ascii="仿宋" w:hAnsi="仿宋" w:eastAsia="仿宋" w:cs="仿宋"/>
          <w:sz w:val="24"/>
          <w:highlight w:val="none"/>
          <w:lang w:val="en-US"/>
        </w:rPr>
        <w:t>主要</w:t>
      </w:r>
      <w:r>
        <w:rPr>
          <w:rFonts w:hint="eastAsia" w:ascii="仿宋" w:hAnsi="仿宋" w:eastAsia="仿宋" w:cs="仿宋"/>
          <w:sz w:val="24"/>
          <w:highlight w:val="none"/>
        </w:rPr>
        <w:t>包括下列内容：（</w:t>
      </w:r>
      <w:r>
        <w:rPr>
          <w:rFonts w:hint="eastAsia" w:ascii="仿宋" w:hAnsi="仿宋" w:eastAsia="仿宋" w:cs="仿宋"/>
          <w:sz w:val="24"/>
          <w:highlight w:val="none"/>
          <w:lang w:val="en-US"/>
        </w:rPr>
        <w:t>包含但不限于</w:t>
      </w:r>
      <w:r>
        <w:rPr>
          <w:rFonts w:hint="eastAsia" w:ascii="仿宋" w:hAnsi="仿宋" w:eastAsia="仿宋" w:cs="仿宋"/>
          <w:sz w:val="24"/>
          <w:highlight w:val="none"/>
        </w:rPr>
        <w:t>）</w:t>
      </w:r>
    </w:p>
    <w:p w14:paraId="7FF0487C">
      <w:pPr>
        <w:pStyle w:val="9"/>
        <w:spacing w:before="2" w:line="360" w:lineRule="auto"/>
        <w:ind w:left="0" w:firstLine="597"/>
        <w:rPr>
          <w:rFonts w:hint="eastAsia" w:ascii="仿宋" w:hAnsi="仿宋" w:eastAsia="仿宋" w:cs="仿宋"/>
          <w:highlight w:val="none"/>
        </w:rPr>
      </w:pPr>
      <w:r>
        <w:rPr>
          <w:rFonts w:hint="eastAsia" w:ascii="仿宋" w:hAnsi="仿宋" w:eastAsia="仿宋" w:cs="仿宋"/>
          <w:highlight w:val="none"/>
        </w:rPr>
        <w:t>1、投标函</w:t>
      </w:r>
    </w:p>
    <w:p w14:paraId="203C229F">
      <w:pPr>
        <w:pStyle w:val="9"/>
        <w:spacing w:before="2" w:line="360" w:lineRule="auto"/>
        <w:ind w:left="0" w:firstLine="597"/>
        <w:rPr>
          <w:rFonts w:hint="eastAsia" w:ascii="仿宋" w:hAnsi="仿宋" w:eastAsia="仿宋" w:cs="仿宋"/>
          <w:highlight w:val="none"/>
        </w:rPr>
      </w:pPr>
      <w:r>
        <w:rPr>
          <w:rFonts w:hint="eastAsia" w:ascii="仿宋" w:hAnsi="仿宋" w:eastAsia="仿宋" w:cs="仿宋"/>
          <w:highlight w:val="none"/>
        </w:rPr>
        <w:t>2、法定代表人资格证明书或法定代表人授权委托书</w:t>
      </w:r>
    </w:p>
    <w:p w14:paraId="42EEE908">
      <w:pPr>
        <w:pStyle w:val="9"/>
        <w:spacing w:before="2" w:line="360" w:lineRule="auto"/>
        <w:ind w:left="0" w:firstLine="597"/>
        <w:rPr>
          <w:rFonts w:hint="eastAsia" w:ascii="仿宋" w:hAnsi="仿宋" w:eastAsia="仿宋" w:cs="仿宋"/>
          <w:highlight w:val="none"/>
        </w:rPr>
      </w:pPr>
      <w:r>
        <w:rPr>
          <w:rFonts w:hint="eastAsia" w:ascii="仿宋" w:hAnsi="仿宋" w:eastAsia="仿宋" w:cs="仿宋"/>
          <w:highlight w:val="none"/>
        </w:rPr>
        <w:t>3、开标一览表</w:t>
      </w:r>
    </w:p>
    <w:p w14:paraId="605DD01F">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4、产品规格报价明细表；</w:t>
      </w:r>
    </w:p>
    <w:p w14:paraId="27AE03CB">
      <w:pPr>
        <w:pStyle w:val="9"/>
        <w:spacing w:before="2" w:line="360" w:lineRule="auto"/>
        <w:ind w:left="0" w:firstLine="597"/>
        <w:rPr>
          <w:rFonts w:hint="eastAsia" w:ascii="仿宋" w:hAnsi="仿宋" w:eastAsia="仿宋" w:cs="仿宋"/>
          <w:highlight w:val="none"/>
        </w:rPr>
      </w:pPr>
      <w:r>
        <w:rPr>
          <w:rFonts w:hint="eastAsia" w:ascii="仿宋" w:hAnsi="仿宋" w:eastAsia="仿宋" w:cs="仿宋"/>
          <w:highlight w:val="none"/>
          <w:lang w:val="en-US"/>
        </w:rPr>
        <w:t>5、核心设备规格型号一览表（</w:t>
      </w:r>
      <w:r>
        <w:rPr>
          <w:rFonts w:hint="eastAsia" w:ascii="仿宋" w:hAnsi="仿宋" w:eastAsia="仿宋" w:cs="仿宋"/>
          <w:highlight w:val="none"/>
        </w:rPr>
        <w:t>格式附后</w:t>
      </w:r>
      <w:r>
        <w:rPr>
          <w:rFonts w:hint="eastAsia" w:ascii="仿宋" w:hAnsi="仿宋" w:eastAsia="仿宋" w:cs="仿宋"/>
          <w:highlight w:val="none"/>
          <w:lang w:val="en-US"/>
        </w:rPr>
        <w:t>）</w:t>
      </w:r>
    </w:p>
    <w:p w14:paraId="0401AADA">
      <w:pPr>
        <w:pStyle w:val="9"/>
        <w:spacing w:before="2" w:line="360" w:lineRule="auto"/>
        <w:ind w:left="0" w:firstLine="597"/>
        <w:rPr>
          <w:rFonts w:hint="eastAsia" w:ascii="仿宋" w:hAnsi="仿宋" w:eastAsia="仿宋" w:cs="仿宋"/>
          <w:highlight w:val="none"/>
        </w:rPr>
      </w:pPr>
      <w:r>
        <w:rPr>
          <w:rFonts w:hint="eastAsia" w:ascii="仿宋" w:hAnsi="仿宋" w:eastAsia="仿宋" w:cs="仿宋"/>
          <w:highlight w:val="none"/>
          <w:lang w:val="en-US"/>
        </w:rPr>
        <w:t>6</w:t>
      </w:r>
      <w:r>
        <w:rPr>
          <w:rFonts w:hint="eastAsia" w:ascii="仿宋" w:hAnsi="仿宋" w:eastAsia="仿宋" w:cs="仿宋"/>
          <w:highlight w:val="none"/>
        </w:rPr>
        <w:t>、投标人资质证明文件，包括：（</w:t>
      </w:r>
      <w:r>
        <w:rPr>
          <w:rFonts w:hint="eastAsia" w:ascii="仿宋" w:hAnsi="仿宋" w:eastAsia="仿宋" w:cs="仿宋"/>
          <w:highlight w:val="none"/>
          <w:lang w:val="en-US"/>
        </w:rPr>
        <w:t>但不限于</w:t>
      </w:r>
      <w:r>
        <w:rPr>
          <w:rFonts w:hint="eastAsia" w:ascii="仿宋" w:hAnsi="仿宋" w:eastAsia="仿宋" w:cs="仿宋"/>
          <w:highlight w:val="none"/>
        </w:rPr>
        <w:t>）</w:t>
      </w:r>
    </w:p>
    <w:p w14:paraId="6B75C670">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（1）关于资格的声明函</w:t>
      </w:r>
    </w:p>
    <w:p w14:paraId="08942E2A">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（2）法人营业执照或其他资格证明</w:t>
      </w:r>
    </w:p>
    <w:p w14:paraId="2217F3B0">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（3）法定代表人授权书</w:t>
      </w:r>
    </w:p>
    <w:p w14:paraId="7110A9D9">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（4）供应商财务状况报告（提供上年度财务审计报告）</w:t>
      </w:r>
    </w:p>
    <w:p w14:paraId="544BD7CC">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（5）社会保障资金缴纳记录（提供近半年社保缴纳凭证）</w:t>
      </w:r>
    </w:p>
    <w:p w14:paraId="1C2A483B">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（6）依法缴纳税收的证明材料（提供近半年完税证明）</w:t>
      </w:r>
    </w:p>
    <w:p w14:paraId="714AD7A5">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（7）具备履行合同所必需的设备和专业技术能力的书面声明</w:t>
      </w:r>
    </w:p>
    <w:p w14:paraId="3619CCA8">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（8） 参加本次采购活动前三年内，在经营活动中没有重大违法记录的书面声明</w:t>
      </w:r>
    </w:p>
    <w:p w14:paraId="377667B4">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（9）未参与本项目整体设计、规范编制或者项目管理、监理、检测等服务、与参与本次政府采购活动的其他供应商不存在法人(单位负责人)为同一人或者直接控股、管理关系的，</w:t>
      </w:r>
      <w:r>
        <w:rPr>
          <w:rFonts w:hint="eastAsia" w:ascii="仿宋" w:hAnsi="仿宋" w:eastAsia="仿宋" w:cs="仿宋"/>
          <w:highlight w:val="none"/>
        </w:rPr>
        <w:t>与采购人</w:t>
      </w:r>
      <w:r>
        <w:rPr>
          <w:rFonts w:hint="eastAsia" w:ascii="仿宋" w:hAnsi="仿宋" w:eastAsia="仿宋" w:cs="仿宋"/>
          <w:highlight w:val="none"/>
          <w:lang w:val="en-US"/>
        </w:rPr>
        <w:t>不</w:t>
      </w:r>
      <w:r>
        <w:rPr>
          <w:rFonts w:hint="eastAsia" w:ascii="仿宋" w:hAnsi="仿宋" w:eastAsia="仿宋" w:cs="仿宋"/>
          <w:highlight w:val="none"/>
        </w:rPr>
        <w:t>存在利害关系可能影响采购公正性的</w:t>
      </w:r>
      <w:r>
        <w:rPr>
          <w:rFonts w:hint="eastAsia" w:ascii="仿宋" w:hAnsi="仿宋" w:eastAsia="仿宋" w:cs="仿宋"/>
          <w:highlight w:val="none"/>
          <w:lang w:val="en-US"/>
        </w:rPr>
        <w:t>（提供承诺书）</w:t>
      </w:r>
    </w:p>
    <w:p w14:paraId="4E78F742">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（10）投标保证金（提供汇款凭证）</w:t>
      </w:r>
    </w:p>
    <w:p w14:paraId="40D23637">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（11）信用信息查询截图（包含不限于信用中国网站（</w:t>
      </w:r>
      <w:r>
        <w:rPr>
          <w:rFonts w:hint="eastAsia" w:ascii="仿宋" w:hAnsi="仿宋" w:eastAsia="仿宋" w:cs="仿宋"/>
          <w:highlight w:val="none"/>
          <w:lang w:val="en-US" w:eastAsia="zh-CN"/>
        </w:rPr>
        <w:t>重大税收违法失信主体</w:t>
      </w:r>
      <w:r>
        <w:rPr>
          <w:rFonts w:hint="eastAsia" w:ascii="仿宋" w:hAnsi="仿宋" w:eastAsia="仿宋" w:cs="仿宋"/>
          <w:highlight w:val="none"/>
          <w:lang w:val="en-US"/>
        </w:rPr>
        <w:t>查询）、中国政府采购网（政府采购严重违法失信名单查询）、中国执行信息公开网（失信被执行人名单查询）、国家企业信用信息公示系统（行政处罚信息、列入经营异常名录信息、列入严重违法失信名单（黑名单）信息）、裁判文书网（行贿犯罪记录查询））；</w:t>
      </w:r>
    </w:p>
    <w:p w14:paraId="03995E6D">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（12）投标单位（供应商）《反商业贿赂承诺书》；</w:t>
      </w:r>
    </w:p>
    <w:p w14:paraId="7CFF9C2D">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（13）未组成联合体进行投标的声明。</w:t>
      </w:r>
    </w:p>
    <w:p w14:paraId="0FFA0B4F">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（14）其它补充资料</w:t>
      </w:r>
    </w:p>
    <w:p w14:paraId="675F3096">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7、技术及商务响应（偏离）表；</w:t>
      </w:r>
    </w:p>
    <w:p w14:paraId="46861E48">
      <w:pPr>
        <w:spacing w:line="360" w:lineRule="auto"/>
        <w:ind w:firstLine="480" w:firstLineChars="200"/>
        <w:rPr>
          <w:rFonts w:hint="eastAsia" w:ascii="仿宋" w:hAnsi="仿宋" w:eastAsia="仿宋" w:cs="仿宋"/>
          <w:highlight w:val="none"/>
          <w:lang w:val="en-US"/>
        </w:rPr>
      </w:pPr>
      <w:r>
        <w:rPr>
          <w:rFonts w:hint="eastAsia" w:ascii="仿宋" w:hAnsi="仿宋" w:eastAsia="仿宋" w:cs="仿宋"/>
          <w:sz w:val="24"/>
          <w:highlight w:val="none"/>
          <w:lang w:val="en-US"/>
        </w:rPr>
        <w:t>8、产品</w:t>
      </w:r>
      <w:r>
        <w:rPr>
          <w:rFonts w:hint="eastAsia" w:ascii="仿宋" w:hAnsi="仿宋" w:eastAsia="仿宋" w:cs="仿宋"/>
          <w:sz w:val="24"/>
          <w:highlight w:val="none"/>
        </w:rPr>
        <w:t>配置及性能指标；</w:t>
      </w:r>
    </w:p>
    <w:p w14:paraId="180496A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9、质量保证措施；</w:t>
      </w:r>
    </w:p>
    <w:p w14:paraId="0D4A009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10、</w:t>
      </w:r>
      <w:r>
        <w:rPr>
          <w:rFonts w:hint="eastAsia" w:ascii="仿宋" w:hAnsi="仿宋" w:eastAsia="仿宋" w:cs="仿宋"/>
          <w:sz w:val="24"/>
          <w:highlight w:val="none"/>
        </w:rPr>
        <w:t>货物供应</w:t>
      </w:r>
      <w:r>
        <w:rPr>
          <w:rFonts w:hint="eastAsia" w:ascii="仿宋" w:hAnsi="仿宋" w:eastAsia="仿宋" w:cs="仿宋"/>
          <w:sz w:val="24"/>
          <w:highlight w:val="none"/>
          <w:lang w:val="en-US"/>
        </w:rPr>
        <w:t>服务方案</w:t>
      </w:r>
      <w:r>
        <w:rPr>
          <w:rFonts w:hint="eastAsia" w:ascii="仿宋" w:hAnsi="仿宋" w:eastAsia="仿宋" w:cs="仿宋"/>
          <w:sz w:val="24"/>
          <w:highlight w:val="none"/>
        </w:rPr>
        <w:t>；</w:t>
      </w:r>
    </w:p>
    <w:p w14:paraId="693CEF6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11、</w:t>
      </w:r>
      <w:r>
        <w:rPr>
          <w:rFonts w:hint="eastAsia" w:ascii="仿宋" w:hAnsi="仿宋" w:eastAsia="仿宋" w:cs="仿宋"/>
          <w:sz w:val="24"/>
          <w:highlight w:val="none"/>
        </w:rPr>
        <w:t>售后服务；</w:t>
      </w:r>
    </w:p>
    <w:p w14:paraId="55300E5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12、</w:t>
      </w:r>
      <w:r>
        <w:rPr>
          <w:rFonts w:hint="eastAsia" w:ascii="仿宋" w:hAnsi="仿宋" w:eastAsia="仿宋" w:cs="仿宋"/>
          <w:sz w:val="24"/>
          <w:highlight w:val="none"/>
        </w:rPr>
        <w:t>项目的业绩；</w:t>
      </w:r>
    </w:p>
    <w:p w14:paraId="27A674C2">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13、提供其它有利于投标的资料；</w:t>
      </w:r>
    </w:p>
    <w:p w14:paraId="0C3F22B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具体编制顺序严格按附件中投标文件编制顺序进行</w:t>
      </w:r>
      <w:r>
        <w:rPr>
          <w:rFonts w:hint="eastAsia" w:ascii="仿宋" w:hAnsi="仿宋" w:eastAsia="仿宋" w:cs="仿宋"/>
          <w:sz w:val="24"/>
          <w:highlight w:val="none"/>
          <w:lang w:val="en-US"/>
        </w:rPr>
        <w:t>编制</w:t>
      </w:r>
      <w:r>
        <w:rPr>
          <w:rFonts w:hint="eastAsia" w:ascii="仿宋" w:hAnsi="仿宋" w:eastAsia="仿宋" w:cs="仿宋"/>
          <w:sz w:val="24"/>
          <w:highlight w:val="none"/>
        </w:rPr>
        <w:t>。</w:t>
      </w:r>
    </w:p>
    <w:p w14:paraId="64845BB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5．投标文件格式</w:t>
      </w:r>
    </w:p>
    <w:p w14:paraId="6831561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5.1 投标方应按采购文件范本格式中提供的投标文件格式认真填写投标</w:t>
      </w:r>
      <w:r>
        <w:rPr>
          <w:rFonts w:hint="eastAsia" w:ascii="仿宋" w:hAnsi="仿宋" w:eastAsia="仿宋" w:cs="仿宋"/>
          <w:sz w:val="24"/>
          <w:highlight w:val="none"/>
          <w:lang w:val="en-US"/>
        </w:rPr>
        <w:t>函</w:t>
      </w:r>
      <w:r>
        <w:rPr>
          <w:rFonts w:hint="eastAsia" w:ascii="仿宋" w:hAnsi="仿宋" w:eastAsia="仿宋" w:cs="仿宋"/>
          <w:sz w:val="24"/>
          <w:highlight w:val="none"/>
        </w:rPr>
        <w:t>、开标一览表、产品规格报价明细表等，并</w:t>
      </w:r>
      <w:r>
        <w:rPr>
          <w:rFonts w:hint="eastAsia" w:ascii="仿宋" w:hAnsi="仿宋" w:eastAsia="仿宋" w:cs="仿宋"/>
          <w:sz w:val="24"/>
          <w:highlight w:val="none"/>
          <w:lang w:val="en-US"/>
        </w:rPr>
        <w:t>按表格要求</w:t>
      </w:r>
      <w:r>
        <w:rPr>
          <w:rFonts w:hint="eastAsia" w:ascii="仿宋" w:hAnsi="仿宋" w:eastAsia="仿宋" w:cs="仿宋"/>
          <w:sz w:val="24"/>
          <w:highlight w:val="none"/>
        </w:rPr>
        <w:t>注明投标货物的名称、货物</w:t>
      </w:r>
      <w:r>
        <w:rPr>
          <w:rFonts w:hint="eastAsia" w:ascii="仿宋" w:hAnsi="仿宋" w:eastAsia="仿宋" w:cs="仿宋"/>
          <w:sz w:val="24"/>
          <w:highlight w:val="none"/>
          <w:lang w:val="en-US"/>
        </w:rPr>
        <w:t>规格及型号</w:t>
      </w:r>
      <w:r>
        <w:rPr>
          <w:rFonts w:hint="eastAsia" w:ascii="仿宋" w:hAnsi="仿宋" w:eastAsia="仿宋" w:cs="仿宋"/>
          <w:sz w:val="24"/>
          <w:highlight w:val="none"/>
        </w:rPr>
        <w:t>、原产地、数量和价格等。</w:t>
      </w:r>
    </w:p>
    <w:p w14:paraId="7C842F7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6.投标报价</w:t>
      </w:r>
    </w:p>
    <w:p w14:paraId="345D5F8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6.1投标人须在</w:t>
      </w:r>
      <w:r>
        <w:rPr>
          <w:rFonts w:hint="eastAsia" w:ascii="仿宋" w:hAnsi="仿宋" w:eastAsia="仿宋" w:cs="仿宋"/>
          <w:sz w:val="24"/>
          <w:highlight w:val="none"/>
          <w:lang w:val="en-US"/>
        </w:rPr>
        <w:t>产品规格</w:t>
      </w:r>
      <w:r>
        <w:rPr>
          <w:rFonts w:hint="eastAsia" w:ascii="仿宋" w:hAnsi="仿宋" w:eastAsia="仿宋" w:cs="仿宋"/>
          <w:sz w:val="24"/>
          <w:highlight w:val="none"/>
        </w:rPr>
        <w:t>报价</w:t>
      </w:r>
      <w:r>
        <w:rPr>
          <w:rFonts w:hint="eastAsia" w:ascii="仿宋" w:hAnsi="仿宋" w:eastAsia="仿宋" w:cs="仿宋"/>
          <w:sz w:val="24"/>
          <w:highlight w:val="none"/>
          <w:lang w:val="en-US"/>
        </w:rPr>
        <w:t>明细</w:t>
      </w:r>
      <w:r>
        <w:rPr>
          <w:rFonts w:hint="eastAsia" w:ascii="仿宋" w:hAnsi="仿宋" w:eastAsia="仿宋" w:cs="仿宋"/>
          <w:sz w:val="24"/>
          <w:highlight w:val="none"/>
        </w:rPr>
        <w:t>表上标明单价和总价。</w:t>
      </w:r>
    </w:p>
    <w:p w14:paraId="0CF3C92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文件中开标一览表（报价表）内容与投标文件中相应内容不一致的，以开标一览表（报价表）为准；大写金额和小写金额不一致的，以大写金额为准；单价金额小数点或者百分比有明显错位的，以开标一览表的总价为准，并修改单价；总价金额与按单价汇总金额不一致的，以单价金额计算结果为准。</w:t>
      </w:r>
    </w:p>
    <w:p w14:paraId="270A058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同时出现两种以上不一致的，按照规定的顺序修正。修正后的报价按照规定经投标人确认后产生约束力，投标人不确认的，其投标无效。</w:t>
      </w:r>
    </w:p>
    <w:p w14:paraId="42F2EB9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投标人应标明其提供的所有货物及其相关工作范围内所有费用的总价，采购人不接受有任何选择性的报价。</w:t>
      </w:r>
    </w:p>
    <w:p w14:paraId="1C49E6A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6.2投标时应注意下列几点：</w:t>
      </w:r>
    </w:p>
    <w:p w14:paraId="34EEE73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6.2.1采购文件中特别要求的备品备件、易损件和专用工具的费用；</w:t>
      </w:r>
    </w:p>
    <w:p w14:paraId="3B602A3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6.2.2采购文件中特别要求的安装、调试、培训、运输、保险及其它附带服务的全部费用；</w:t>
      </w:r>
    </w:p>
    <w:p w14:paraId="1116AA4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6.2.3投标人提供的在中华人民共和国制造的货物，其货物的投标价即交货价</w:t>
      </w:r>
      <w:r>
        <w:rPr>
          <w:rFonts w:hint="eastAsia" w:ascii="仿宋" w:hAnsi="仿宋" w:eastAsia="仿宋" w:cs="仿宋"/>
          <w:sz w:val="24"/>
          <w:highlight w:val="none"/>
          <w:lang w:val="en-US"/>
        </w:rPr>
        <w:t>中</w:t>
      </w:r>
      <w:r>
        <w:rPr>
          <w:rFonts w:hint="eastAsia" w:ascii="仿宋" w:hAnsi="仿宋" w:eastAsia="仿宋" w:cs="仿宋"/>
          <w:sz w:val="24"/>
          <w:highlight w:val="none"/>
        </w:rPr>
        <w:t>包括</w:t>
      </w:r>
      <w:r>
        <w:rPr>
          <w:rFonts w:hint="eastAsia" w:ascii="仿宋" w:hAnsi="仿宋" w:eastAsia="仿宋" w:cs="仿宋"/>
          <w:sz w:val="24"/>
          <w:highlight w:val="none"/>
          <w:lang w:val="en-US"/>
        </w:rPr>
        <w:t>但不限于以下费用:货物</w:t>
      </w:r>
      <w:r>
        <w:rPr>
          <w:rFonts w:hint="eastAsia" w:ascii="仿宋" w:hAnsi="仿宋" w:eastAsia="仿宋" w:cs="仿宋"/>
          <w:sz w:val="24"/>
          <w:highlight w:val="none"/>
        </w:rPr>
        <w:t>制造、</w:t>
      </w:r>
      <w:r>
        <w:rPr>
          <w:rFonts w:hint="eastAsia" w:ascii="仿宋" w:hAnsi="仿宋" w:eastAsia="仿宋" w:cs="仿宋"/>
          <w:sz w:val="24"/>
          <w:highlight w:val="none"/>
          <w:lang w:val="en-US"/>
        </w:rPr>
        <w:t>运输、包装、保险、安装调试、后期服务、利润、税金等全部费用</w:t>
      </w:r>
      <w:r>
        <w:rPr>
          <w:rFonts w:hint="eastAsia" w:ascii="仿宋" w:hAnsi="仿宋" w:eastAsia="仿宋" w:cs="仿宋"/>
          <w:sz w:val="24"/>
          <w:highlight w:val="none"/>
        </w:rPr>
        <w:t>。</w:t>
      </w:r>
    </w:p>
    <w:p w14:paraId="3F6C846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7.投标报价的货币单位</w:t>
      </w:r>
    </w:p>
    <w:p w14:paraId="230DD36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7.1投标报价单位为人民币。</w:t>
      </w:r>
    </w:p>
    <w:p w14:paraId="348E484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8．投标文件规定的技术文件</w:t>
      </w:r>
    </w:p>
    <w:p w14:paraId="7C29FF0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8.1投标人须提交证明拟供货物和服务符合采购文件规定的技术文件，作为投标文件的一部分。</w:t>
      </w:r>
    </w:p>
    <w:p w14:paraId="5A76CCF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8.2上述文件可以是文字资料、图纸和数据，并提供：</w:t>
      </w:r>
    </w:p>
    <w:p w14:paraId="0F8ED54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（1）货物主要技术及性能特点的详细描述；</w:t>
      </w:r>
    </w:p>
    <w:p w14:paraId="20F6306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（2）货物的详细资料，包括检验报告等；</w:t>
      </w:r>
    </w:p>
    <w:p w14:paraId="4144E2E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9.</w:t>
      </w:r>
      <w:r>
        <w:rPr>
          <w:rFonts w:hint="eastAsia" w:ascii="仿宋" w:hAnsi="仿宋" w:eastAsia="仿宋" w:cs="仿宋"/>
          <w:sz w:val="24"/>
          <w:highlight w:val="none"/>
        </w:rPr>
        <w:t>投标有效期</w:t>
      </w:r>
    </w:p>
    <w:p w14:paraId="1BC84D98">
      <w:pPr>
        <w:spacing w:line="360" w:lineRule="auto"/>
        <w:ind w:firstLine="482" w:firstLineChars="200"/>
        <w:jc w:val="center"/>
        <w:rPr>
          <w:rFonts w:hint="eastAsia" w:ascii="仿宋" w:hAnsi="仿宋" w:eastAsia="仿宋" w:cs="仿宋"/>
          <w:b/>
          <w:bCs/>
          <w:sz w:val="24"/>
          <w:highlight w:val="none"/>
        </w:rPr>
      </w:pPr>
      <w:r>
        <w:rPr>
          <w:rFonts w:hint="eastAsia" w:ascii="仿宋" w:hAnsi="仿宋" w:eastAsia="仿宋" w:cs="仿宋"/>
          <w:b/>
          <w:bCs/>
          <w:sz w:val="24"/>
          <w:highlight w:val="none"/>
        </w:rPr>
        <w:t>投标有效期</w:t>
      </w:r>
      <w:r>
        <w:rPr>
          <w:rFonts w:hint="eastAsia" w:ascii="仿宋" w:hAnsi="仿宋" w:eastAsia="仿宋" w:cs="仿宋"/>
          <w:b/>
          <w:bCs/>
          <w:sz w:val="24"/>
          <w:highlight w:val="none"/>
          <w:lang w:val="zh-CN"/>
        </w:rPr>
        <w:t>9</w:t>
      </w:r>
      <w:r>
        <w:rPr>
          <w:rFonts w:hint="eastAsia" w:ascii="仿宋" w:hAnsi="仿宋" w:eastAsia="仿宋" w:cs="仿宋"/>
          <w:b/>
          <w:bCs/>
          <w:sz w:val="24"/>
          <w:highlight w:val="none"/>
        </w:rPr>
        <w:t>0天；</w:t>
      </w:r>
    </w:p>
    <w:p w14:paraId="41079439">
      <w:pPr>
        <w:rPr>
          <w:rFonts w:hint="eastAsia" w:ascii="仿宋" w:hAnsi="仿宋" w:eastAsia="仿宋" w:cs="仿宋"/>
          <w:highlight w:val="none"/>
        </w:rPr>
      </w:pPr>
    </w:p>
    <w:p w14:paraId="48CE525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10.1　投标文件应清楚工整，一般不准修改。个别非实质性修改之处必须由投标人的法定代表人或</w:t>
      </w:r>
      <w:r>
        <w:rPr>
          <w:rFonts w:hint="eastAsia" w:ascii="仿宋" w:hAnsi="仿宋" w:eastAsia="仿宋" w:cs="仿宋"/>
          <w:sz w:val="24"/>
          <w:highlight w:val="none"/>
          <w:lang w:val="en-US"/>
        </w:rPr>
        <w:t>委托代理人</w:t>
      </w:r>
      <w:r>
        <w:rPr>
          <w:rFonts w:hint="eastAsia" w:ascii="仿宋" w:hAnsi="仿宋" w:eastAsia="仿宋" w:cs="仿宋"/>
          <w:sz w:val="24"/>
          <w:highlight w:val="none"/>
        </w:rPr>
        <w:t>在修改的每一页上签字或盖投标单位公章后</w:t>
      </w:r>
      <w:r>
        <w:rPr>
          <w:rFonts w:hint="eastAsia" w:ascii="仿宋" w:hAnsi="仿宋" w:eastAsia="仿宋" w:cs="仿宋"/>
          <w:sz w:val="24"/>
          <w:highlight w:val="none"/>
          <w:lang w:val="en-US"/>
        </w:rPr>
        <w:t>方才</w:t>
      </w:r>
      <w:r>
        <w:rPr>
          <w:rFonts w:hint="eastAsia" w:ascii="仿宋" w:hAnsi="仿宋" w:eastAsia="仿宋" w:cs="仿宋"/>
          <w:sz w:val="24"/>
          <w:highlight w:val="none"/>
        </w:rPr>
        <w:t>有效。</w:t>
      </w:r>
    </w:p>
    <w:p w14:paraId="02546D6A">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10.2　投标文件应由法定代表人或</w:t>
      </w:r>
      <w:r>
        <w:rPr>
          <w:rFonts w:hint="eastAsia" w:ascii="仿宋" w:hAnsi="仿宋" w:eastAsia="仿宋" w:cs="仿宋"/>
          <w:b/>
          <w:bCs/>
          <w:sz w:val="24"/>
          <w:highlight w:val="none"/>
          <w:lang w:val="en-US"/>
        </w:rPr>
        <w:t>委托代理人</w:t>
      </w:r>
      <w:r>
        <w:rPr>
          <w:rFonts w:hint="eastAsia" w:ascii="仿宋" w:hAnsi="仿宋" w:eastAsia="仿宋" w:cs="仿宋"/>
          <w:b/>
          <w:bCs/>
          <w:sz w:val="24"/>
          <w:highlight w:val="none"/>
        </w:rPr>
        <w:t>在</w:t>
      </w:r>
      <w:r>
        <w:rPr>
          <w:rFonts w:hint="eastAsia" w:ascii="仿宋" w:hAnsi="仿宋" w:eastAsia="仿宋" w:cs="仿宋"/>
          <w:b/>
          <w:bCs/>
          <w:sz w:val="24"/>
          <w:highlight w:val="none"/>
          <w:lang w:val="en-US"/>
        </w:rPr>
        <w:t>规定位置</w:t>
      </w:r>
      <w:r>
        <w:rPr>
          <w:rFonts w:hint="eastAsia" w:ascii="仿宋" w:hAnsi="仿宋" w:eastAsia="仿宋" w:cs="仿宋"/>
          <w:b/>
          <w:bCs/>
          <w:sz w:val="24"/>
          <w:highlight w:val="none"/>
        </w:rPr>
        <w:t>逐一签署或加盖</w:t>
      </w:r>
      <w:r>
        <w:rPr>
          <w:rFonts w:hint="eastAsia" w:ascii="仿宋" w:hAnsi="仿宋" w:eastAsia="仿宋" w:cs="仿宋"/>
          <w:b/>
          <w:bCs/>
          <w:sz w:val="24"/>
          <w:highlight w:val="none"/>
          <w:lang w:val="en-US"/>
        </w:rPr>
        <w:t>投标</w:t>
      </w:r>
      <w:r>
        <w:rPr>
          <w:rFonts w:hint="eastAsia" w:ascii="仿宋" w:hAnsi="仿宋" w:eastAsia="仿宋" w:cs="仿宋"/>
          <w:b/>
          <w:bCs/>
          <w:sz w:val="24"/>
          <w:highlight w:val="none"/>
        </w:rPr>
        <w:t>单位公章，投标文件方为有效。</w:t>
      </w:r>
    </w:p>
    <w:p w14:paraId="3F75274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10.3  电报、电话、传真、电子邮件等形式的投标概不接受。</w:t>
      </w:r>
    </w:p>
    <w:p w14:paraId="0B15ACB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11．投标保证金</w:t>
      </w:r>
    </w:p>
    <w:p w14:paraId="5FFAD7C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1</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1 </w:t>
      </w:r>
      <w:r>
        <w:rPr>
          <w:rFonts w:hint="eastAsia" w:ascii="仿宋" w:hAnsi="仿宋" w:eastAsia="仿宋" w:cs="仿宋"/>
          <w:sz w:val="24"/>
          <w:highlight w:val="none"/>
        </w:rPr>
        <w:t>投标保证金</w:t>
      </w:r>
      <w:r>
        <w:rPr>
          <w:rFonts w:hint="eastAsia" w:ascii="仿宋" w:hAnsi="仿宋" w:eastAsia="仿宋" w:cs="仿宋"/>
          <w:sz w:val="24"/>
          <w:highlight w:val="none"/>
          <w:lang w:val="en-US"/>
        </w:rPr>
        <w:t>的</w:t>
      </w:r>
      <w:r>
        <w:rPr>
          <w:rFonts w:hint="eastAsia" w:ascii="仿宋" w:hAnsi="仿宋" w:eastAsia="仿宋" w:cs="仿宋"/>
          <w:sz w:val="24"/>
          <w:highlight w:val="none"/>
        </w:rPr>
        <w:t>有效期应不低于投标有效期。</w:t>
      </w:r>
    </w:p>
    <w:p w14:paraId="08D3B760">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rPr>
        <w:t>1</w:t>
      </w:r>
      <w:r>
        <w:rPr>
          <w:rFonts w:hint="eastAsia" w:ascii="仿宋" w:hAnsi="仿宋" w:eastAsia="仿宋" w:cs="仿宋"/>
          <w:sz w:val="24"/>
          <w:highlight w:val="none"/>
          <w:lang w:val="en-US"/>
        </w:rPr>
        <w:t>1</w:t>
      </w:r>
      <w:r>
        <w:rPr>
          <w:rFonts w:hint="eastAsia" w:ascii="仿宋" w:hAnsi="仿宋" w:eastAsia="仿宋" w:cs="仿宋"/>
          <w:sz w:val="24"/>
          <w:highlight w:val="none"/>
        </w:rPr>
        <w:t>.</w:t>
      </w:r>
      <w:r>
        <w:rPr>
          <w:rFonts w:hint="eastAsia" w:ascii="仿宋" w:hAnsi="仿宋" w:eastAsia="仿宋" w:cs="仿宋"/>
          <w:sz w:val="24"/>
          <w:highlight w:val="none"/>
          <w:lang w:val="en-US"/>
        </w:rPr>
        <w:t>2</w:t>
      </w:r>
      <w:r>
        <w:rPr>
          <w:rFonts w:hint="eastAsia" w:ascii="仿宋" w:hAnsi="仿宋" w:eastAsia="仿宋" w:cs="仿宋"/>
          <w:sz w:val="24"/>
          <w:highlight w:val="none"/>
        </w:rPr>
        <w:t>投标保证金：在投标截止时间前将本项目投标保证金</w:t>
      </w:r>
      <w:r>
        <w:rPr>
          <w:rFonts w:hint="eastAsia" w:ascii="仿宋" w:hAnsi="仿宋" w:eastAsia="仿宋" w:cs="仿宋"/>
          <w:sz w:val="24"/>
          <w:highlight w:val="none"/>
          <w:lang w:val="en-US"/>
        </w:rPr>
        <w:t>提</w:t>
      </w:r>
      <w:r>
        <w:rPr>
          <w:rFonts w:hint="eastAsia" w:ascii="仿宋" w:hAnsi="仿宋" w:eastAsia="仿宋" w:cs="仿宋"/>
          <w:sz w:val="24"/>
          <w:highlight w:val="none"/>
        </w:rPr>
        <w:t>交</w:t>
      </w:r>
      <w:r>
        <w:rPr>
          <w:rFonts w:hint="eastAsia" w:ascii="仿宋" w:hAnsi="仿宋" w:eastAsia="仿宋" w:cs="仿宋"/>
          <w:sz w:val="24"/>
          <w:highlight w:val="none"/>
          <w:lang w:val="en-US"/>
        </w:rPr>
        <w:t>至</w:t>
      </w:r>
      <w:r>
        <w:rPr>
          <w:rFonts w:hint="eastAsia" w:ascii="仿宋" w:hAnsi="仿宋" w:eastAsia="仿宋" w:cs="仿宋"/>
          <w:sz w:val="24"/>
          <w:highlight w:val="none"/>
        </w:rPr>
        <w:t>采购代理机构</w:t>
      </w:r>
      <w:r>
        <w:rPr>
          <w:rFonts w:hint="eastAsia" w:ascii="仿宋" w:hAnsi="仿宋" w:eastAsia="仿宋" w:cs="仿宋"/>
          <w:sz w:val="24"/>
          <w:highlight w:val="none"/>
          <w:lang w:val="en-US"/>
        </w:rPr>
        <w:t>。</w:t>
      </w:r>
    </w:p>
    <w:p w14:paraId="17365620">
      <w:pPr>
        <w:spacing w:line="360" w:lineRule="auto"/>
        <w:ind w:firstLine="1080" w:firstLineChars="450"/>
        <w:rPr>
          <w:rFonts w:hint="eastAsia" w:ascii="仿宋" w:hAnsi="仿宋" w:eastAsia="仿宋" w:cs="仿宋"/>
          <w:sz w:val="24"/>
          <w:highlight w:val="none"/>
        </w:rPr>
      </w:pPr>
      <w:r>
        <w:rPr>
          <w:rFonts w:hint="eastAsia" w:ascii="仿宋" w:hAnsi="仿宋" w:eastAsia="仿宋" w:cs="仿宋"/>
          <w:sz w:val="24"/>
          <w:highlight w:val="none"/>
        </w:rPr>
        <w:t>投标保证金提交形式：转  账</w:t>
      </w:r>
    </w:p>
    <w:p w14:paraId="77F8A8F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备注：办理投标保证金退付手续须</w:t>
      </w:r>
      <w:r>
        <w:rPr>
          <w:rFonts w:hint="eastAsia" w:ascii="仿宋" w:hAnsi="仿宋" w:eastAsia="仿宋" w:cs="仿宋"/>
          <w:sz w:val="24"/>
          <w:highlight w:val="none"/>
          <w:lang w:val="en-US"/>
        </w:rPr>
        <w:t>提交</w:t>
      </w:r>
      <w:r>
        <w:rPr>
          <w:rFonts w:hint="eastAsia" w:ascii="仿宋" w:hAnsi="仿宋" w:eastAsia="仿宋" w:cs="仿宋"/>
          <w:sz w:val="24"/>
          <w:highlight w:val="none"/>
        </w:rPr>
        <w:t>的资料：1、授权委托书（附身份证复印件）；2、转账凭证。请各投标人在开标结束后尽快</w:t>
      </w:r>
      <w:r>
        <w:rPr>
          <w:rFonts w:hint="eastAsia" w:ascii="仿宋" w:hAnsi="仿宋" w:eastAsia="仿宋" w:cs="仿宋"/>
          <w:sz w:val="24"/>
          <w:highlight w:val="none"/>
          <w:lang w:val="en-US"/>
        </w:rPr>
        <w:t>提交</w:t>
      </w:r>
      <w:r>
        <w:rPr>
          <w:rFonts w:hint="eastAsia" w:ascii="仿宋" w:hAnsi="仿宋" w:eastAsia="仿宋" w:cs="仿宋"/>
          <w:sz w:val="24"/>
          <w:highlight w:val="none"/>
        </w:rPr>
        <w:t>以上资料到我公司办理保证金退</w:t>
      </w:r>
      <w:r>
        <w:rPr>
          <w:rFonts w:hint="eastAsia" w:ascii="仿宋" w:hAnsi="仿宋" w:eastAsia="仿宋" w:cs="仿宋"/>
          <w:sz w:val="24"/>
          <w:highlight w:val="none"/>
          <w:lang w:val="en-US"/>
        </w:rPr>
        <w:t>还</w:t>
      </w:r>
      <w:r>
        <w:rPr>
          <w:rFonts w:hint="eastAsia" w:ascii="仿宋" w:hAnsi="仿宋" w:eastAsia="仿宋" w:cs="仿宋"/>
          <w:sz w:val="24"/>
          <w:highlight w:val="none"/>
        </w:rPr>
        <w:t>事宜。</w:t>
      </w:r>
    </w:p>
    <w:p w14:paraId="6DB4BF4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1</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3 </w:t>
      </w:r>
      <w:r>
        <w:rPr>
          <w:rFonts w:hint="eastAsia" w:ascii="仿宋" w:hAnsi="仿宋" w:eastAsia="仿宋" w:cs="仿宋"/>
          <w:sz w:val="24"/>
          <w:highlight w:val="none"/>
        </w:rPr>
        <w:t>采购人应在《中标通知书》发出后5个工作日内无息退还未成交供应商的投标保证金；在采购合同签订</w:t>
      </w:r>
      <w:r>
        <w:rPr>
          <w:rFonts w:hint="eastAsia" w:ascii="仿宋" w:hAnsi="仿宋" w:eastAsia="仿宋" w:cs="仿宋"/>
          <w:sz w:val="24"/>
          <w:highlight w:val="none"/>
          <w:lang w:val="en-US"/>
        </w:rPr>
        <w:t>后</w:t>
      </w:r>
      <w:r>
        <w:rPr>
          <w:rFonts w:hint="eastAsia" w:ascii="仿宋" w:hAnsi="仿宋" w:eastAsia="仿宋" w:cs="仿宋"/>
          <w:sz w:val="24"/>
          <w:highlight w:val="none"/>
        </w:rPr>
        <w:t>5个工作日内无息退还中标人的投标</w:t>
      </w:r>
      <w:r>
        <w:rPr>
          <w:rFonts w:hint="eastAsia" w:ascii="仿宋" w:hAnsi="仿宋" w:eastAsia="仿宋" w:cs="仿宋"/>
          <w:sz w:val="24"/>
          <w:highlight w:val="none"/>
          <w:lang w:val="en-US"/>
        </w:rPr>
        <w:t>保证金</w:t>
      </w:r>
      <w:r>
        <w:rPr>
          <w:rFonts w:hint="eastAsia" w:ascii="仿宋" w:hAnsi="仿宋" w:eastAsia="仿宋" w:cs="仿宋"/>
          <w:sz w:val="24"/>
          <w:highlight w:val="none"/>
        </w:rPr>
        <w:t>。</w:t>
      </w:r>
    </w:p>
    <w:p w14:paraId="4C22FEE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1</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 </w:t>
      </w:r>
      <w:r>
        <w:rPr>
          <w:rFonts w:hint="eastAsia" w:ascii="仿宋" w:hAnsi="仿宋" w:eastAsia="仿宋" w:cs="仿宋"/>
          <w:sz w:val="24"/>
          <w:highlight w:val="none"/>
        </w:rPr>
        <w:t>未按采购文件规定提交投标保证金的，采购人应当拒绝接受投标人的投标文件，视为无效投标。</w:t>
      </w:r>
    </w:p>
    <w:p w14:paraId="6AB4BDD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1</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5 </w:t>
      </w:r>
      <w:r>
        <w:rPr>
          <w:rFonts w:hint="eastAsia" w:ascii="仿宋" w:hAnsi="仿宋" w:eastAsia="仿宋" w:cs="仿宋"/>
          <w:sz w:val="24"/>
          <w:highlight w:val="none"/>
        </w:rPr>
        <w:t>下列任何情况发生时，投标报价保证金将被没收。</w:t>
      </w:r>
    </w:p>
    <w:p w14:paraId="7F0CBC6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1</w:t>
      </w:r>
      <w:r>
        <w:rPr>
          <w:rFonts w:hint="eastAsia" w:ascii="仿宋" w:hAnsi="仿宋" w:eastAsia="仿宋" w:cs="仿宋"/>
          <w:sz w:val="24"/>
          <w:highlight w:val="none"/>
        </w:rPr>
        <w:t>.</w:t>
      </w:r>
      <w:r>
        <w:rPr>
          <w:rFonts w:hint="eastAsia" w:ascii="仿宋" w:hAnsi="仿宋" w:eastAsia="仿宋" w:cs="仿宋"/>
          <w:sz w:val="24"/>
          <w:highlight w:val="none"/>
          <w:lang w:val="en-US"/>
        </w:rPr>
        <w:t>5.1</w:t>
      </w:r>
      <w:r>
        <w:rPr>
          <w:rFonts w:hint="eastAsia" w:ascii="仿宋" w:hAnsi="仿宋" w:eastAsia="仿宋" w:cs="仿宋"/>
          <w:sz w:val="24"/>
          <w:highlight w:val="none"/>
        </w:rPr>
        <w:t>投标有效期内投标人撤销投标文件的，采购人或者采购代理机构可以不退还投标保证金。</w:t>
      </w:r>
    </w:p>
    <w:p w14:paraId="0E6D292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1</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5.2 </w:t>
      </w:r>
      <w:r>
        <w:rPr>
          <w:rFonts w:hint="eastAsia" w:ascii="仿宋" w:hAnsi="仿宋" w:eastAsia="仿宋" w:cs="仿宋"/>
          <w:sz w:val="24"/>
          <w:highlight w:val="none"/>
        </w:rPr>
        <w:t>中标方在规定期限内未能按规定与采购人签订合同的。</w:t>
      </w:r>
    </w:p>
    <w:p w14:paraId="572F9DA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1</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5.3 </w:t>
      </w:r>
      <w:r>
        <w:rPr>
          <w:rFonts w:hint="eastAsia" w:ascii="仿宋" w:hAnsi="仿宋" w:eastAsia="仿宋" w:cs="仿宋"/>
          <w:sz w:val="24"/>
          <w:highlight w:val="none"/>
        </w:rPr>
        <w:t>投标人串通投标，其投标无效。</w:t>
      </w:r>
    </w:p>
    <w:p w14:paraId="2AAFAC8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                         </w:t>
      </w:r>
      <w:r>
        <w:rPr>
          <w:rFonts w:hint="eastAsia" w:ascii="仿宋" w:hAnsi="仿宋" w:eastAsia="仿宋" w:cs="仿宋"/>
          <w:sz w:val="24"/>
          <w:highlight w:val="none"/>
        </w:rPr>
        <w:t>投标文件的递交</w:t>
      </w:r>
    </w:p>
    <w:p w14:paraId="1E00598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 投标文件的标记</w:t>
      </w:r>
    </w:p>
    <w:p w14:paraId="65C129F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12.1　任何不完整或不满足采购文件要求的投标文件</w:t>
      </w:r>
      <w:r>
        <w:rPr>
          <w:rFonts w:hint="eastAsia" w:ascii="仿宋" w:hAnsi="仿宋" w:eastAsia="仿宋" w:cs="仿宋"/>
          <w:sz w:val="24"/>
          <w:highlight w:val="none"/>
          <w:lang w:val="en-US"/>
        </w:rPr>
        <w:t>采购人有权</w:t>
      </w:r>
      <w:r>
        <w:rPr>
          <w:rFonts w:hint="eastAsia" w:ascii="仿宋" w:hAnsi="仿宋" w:eastAsia="仿宋" w:cs="仿宋"/>
          <w:sz w:val="24"/>
          <w:highlight w:val="none"/>
        </w:rPr>
        <w:t>拒绝。</w:t>
      </w:r>
    </w:p>
    <w:p w14:paraId="61F32C7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13. 投标截止时间</w:t>
      </w:r>
    </w:p>
    <w:p w14:paraId="1101BAAD">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rPr>
        <w:t>13.1  投标文件的递交不得迟于采购文件规定的</w:t>
      </w:r>
      <w:r>
        <w:rPr>
          <w:rFonts w:hint="eastAsia" w:ascii="仿宋" w:hAnsi="仿宋" w:eastAsia="仿宋" w:cs="仿宋"/>
          <w:sz w:val="24"/>
          <w:highlight w:val="none"/>
          <w:lang w:val="en-US"/>
        </w:rPr>
        <w:t>投标</w:t>
      </w:r>
      <w:r>
        <w:rPr>
          <w:rFonts w:hint="eastAsia" w:ascii="仿宋" w:hAnsi="仿宋" w:eastAsia="仿宋" w:cs="仿宋"/>
          <w:sz w:val="24"/>
          <w:highlight w:val="none"/>
        </w:rPr>
        <w:t>截止时间，</w:t>
      </w:r>
      <w:r>
        <w:rPr>
          <w:rFonts w:hint="eastAsia" w:ascii="仿宋" w:hAnsi="仿宋" w:eastAsia="仿宋" w:cs="仿宋"/>
          <w:sz w:val="24"/>
          <w:highlight w:val="none"/>
          <w:lang w:val="en-US"/>
        </w:rPr>
        <w:t>本次投标为线上投标；</w:t>
      </w:r>
      <w:r>
        <w:rPr>
          <w:rFonts w:hint="eastAsia" w:ascii="仿宋" w:hAnsi="仿宋" w:eastAsia="仿宋" w:cs="仿宋"/>
          <w:sz w:val="24"/>
          <w:highlight w:val="none"/>
        </w:rPr>
        <w:t>在</w:t>
      </w:r>
      <w:r>
        <w:rPr>
          <w:rFonts w:hint="eastAsia" w:ascii="仿宋" w:hAnsi="仿宋" w:eastAsia="仿宋" w:cs="仿宋"/>
          <w:sz w:val="24"/>
          <w:highlight w:val="none"/>
          <w:lang w:val="en-US"/>
        </w:rPr>
        <w:t>投标截止时间后递交或上传的</w:t>
      </w:r>
      <w:r>
        <w:rPr>
          <w:rFonts w:hint="eastAsia" w:ascii="仿宋" w:hAnsi="仿宋" w:eastAsia="仿宋" w:cs="仿宋"/>
          <w:sz w:val="24"/>
          <w:highlight w:val="none"/>
        </w:rPr>
        <w:t>投标文件，为无效投标，投标文件将一律</w:t>
      </w:r>
      <w:r>
        <w:rPr>
          <w:rFonts w:hint="eastAsia" w:ascii="仿宋" w:hAnsi="仿宋" w:eastAsia="仿宋" w:cs="仿宋"/>
          <w:sz w:val="24"/>
          <w:highlight w:val="none"/>
          <w:lang w:val="en-US"/>
        </w:rPr>
        <w:t>被拒绝。</w:t>
      </w:r>
    </w:p>
    <w:p w14:paraId="38F0DDCB">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13.2  如出现因采购文件的修改而推迟投标截止时间的，投标人应在采购文件变更中重新规定的投标截止时间前递交或上传投标文件。</w:t>
      </w:r>
    </w:p>
    <w:p w14:paraId="2751ACC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                           </w:t>
      </w:r>
      <w:r>
        <w:rPr>
          <w:rFonts w:hint="eastAsia" w:ascii="仿宋" w:hAnsi="仿宋" w:eastAsia="仿宋" w:cs="仿宋"/>
          <w:sz w:val="24"/>
          <w:highlight w:val="none"/>
        </w:rPr>
        <w:t>第四章 评标委员会</w:t>
      </w:r>
    </w:p>
    <w:p w14:paraId="54AC3B8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15、评标委员会组成</w:t>
      </w:r>
    </w:p>
    <w:p w14:paraId="16BA4E0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5</w:t>
      </w:r>
      <w:r>
        <w:rPr>
          <w:rFonts w:hint="eastAsia" w:ascii="仿宋" w:hAnsi="仿宋" w:eastAsia="仿宋" w:cs="仿宋"/>
          <w:sz w:val="24"/>
          <w:highlight w:val="none"/>
        </w:rPr>
        <w:t>.1</w:t>
      </w:r>
      <w:r>
        <w:rPr>
          <w:rFonts w:hint="eastAsia" w:ascii="仿宋" w:hAnsi="仿宋" w:eastAsia="仿宋" w:cs="仿宋"/>
          <w:sz w:val="24"/>
          <w:highlight w:val="none"/>
          <w:lang w:val="en-US"/>
        </w:rPr>
        <w:t xml:space="preserve"> </w:t>
      </w:r>
      <w:r>
        <w:rPr>
          <w:rFonts w:hint="eastAsia" w:ascii="仿宋" w:hAnsi="仿宋" w:eastAsia="仿宋" w:cs="仿宋"/>
          <w:sz w:val="24"/>
          <w:highlight w:val="none"/>
        </w:rPr>
        <w:t>由采购人将根据《中华人民共和国政府采购法》规定，依法组建本次招标的评标委员会，负责组织本次招标的评标活动。评标委员会负责向采购人推荐拟中标人或者根据采购人的授权直接确定中标人。</w:t>
      </w:r>
    </w:p>
    <w:p w14:paraId="5C23120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本采购文件中所指的评标委员会及其成员，适用于公开招标（</w:t>
      </w:r>
      <w:r>
        <w:rPr>
          <w:rFonts w:hint="eastAsia" w:ascii="仿宋" w:hAnsi="仿宋" w:eastAsia="仿宋" w:cs="仿宋"/>
          <w:sz w:val="24"/>
          <w:highlight w:val="none"/>
          <w:lang w:val="en-US"/>
        </w:rPr>
        <w:t>或</w:t>
      </w:r>
      <w:r>
        <w:rPr>
          <w:rFonts w:hint="eastAsia" w:ascii="仿宋" w:hAnsi="仿宋" w:eastAsia="仿宋" w:cs="仿宋"/>
          <w:sz w:val="24"/>
          <w:highlight w:val="none"/>
        </w:rPr>
        <w:t>邀请招标）的采购方式。本采购文件中对评标委员会及其成员的要求，同时适用于采取</w:t>
      </w:r>
      <w:r>
        <w:rPr>
          <w:rFonts w:hint="eastAsia" w:ascii="仿宋" w:hAnsi="仿宋" w:eastAsia="仿宋" w:cs="仿宋"/>
          <w:sz w:val="24"/>
          <w:highlight w:val="none"/>
          <w:lang w:val="en-US"/>
        </w:rPr>
        <w:t>公开招标</w:t>
      </w:r>
      <w:r>
        <w:rPr>
          <w:rFonts w:hint="eastAsia" w:ascii="仿宋" w:hAnsi="仿宋" w:eastAsia="仿宋" w:cs="仿宋"/>
          <w:sz w:val="24"/>
          <w:highlight w:val="none"/>
        </w:rPr>
        <w:t>、竞争性谈判、询价或单一来源采购方式时依法组成的评审小组及其成员。</w:t>
      </w:r>
    </w:p>
    <w:p w14:paraId="4AE1B65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5</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2 </w:t>
      </w:r>
      <w:r>
        <w:rPr>
          <w:rFonts w:hint="eastAsia" w:ascii="仿宋" w:hAnsi="仿宋" w:eastAsia="仿宋" w:cs="仿宋"/>
          <w:sz w:val="24"/>
          <w:highlight w:val="none"/>
        </w:rPr>
        <w:t>评标委员会的成员于开标前，从</w:t>
      </w:r>
      <w:r>
        <w:rPr>
          <w:rFonts w:hint="eastAsia" w:ascii="仿宋" w:hAnsi="仿宋" w:eastAsia="仿宋" w:cs="仿宋"/>
          <w:sz w:val="24"/>
          <w:highlight w:val="none"/>
          <w:lang w:val="en-US"/>
        </w:rPr>
        <w:t>政府采购</w:t>
      </w:r>
      <w:r>
        <w:rPr>
          <w:rFonts w:hint="eastAsia" w:ascii="仿宋" w:hAnsi="仿宋" w:eastAsia="仿宋" w:cs="仿宋"/>
          <w:sz w:val="24"/>
          <w:highlight w:val="none"/>
        </w:rPr>
        <w:t>专家库中采取随机抽取的方式确定；对于技术复杂、专业性要求较高或者国家有特殊要求的招标项目，抽取的专家不能满足评标工作需要时，将采取直接确定的方式选定评标委员会的人选；评标委员会成员名单在中标结果确定前保密。</w:t>
      </w:r>
    </w:p>
    <w:p w14:paraId="0DA5B0E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5</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3 </w:t>
      </w:r>
      <w:r>
        <w:rPr>
          <w:rFonts w:hint="eastAsia" w:ascii="仿宋" w:hAnsi="仿宋" w:eastAsia="仿宋" w:cs="仿宋"/>
          <w:sz w:val="24"/>
          <w:highlight w:val="none"/>
        </w:rPr>
        <w:t>评标委员会由有关技术、经济等方面的专家和采购人熟悉相关业务的代表人员组成，成员为</w:t>
      </w:r>
      <w:r>
        <w:rPr>
          <w:rFonts w:hint="eastAsia" w:ascii="仿宋" w:hAnsi="仿宋" w:eastAsia="仿宋" w:cs="仿宋"/>
          <w:sz w:val="24"/>
          <w:highlight w:val="none"/>
          <w:lang w:val="en-US"/>
        </w:rPr>
        <w:t>五</w:t>
      </w:r>
      <w:r>
        <w:rPr>
          <w:rFonts w:hint="eastAsia" w:ascii="仿宋" w:hAnsi="仿宋" w:eastAsia="仿宋" w:cs="仿宋"/>
          <w:sz w:val="24"/>
          <w:highlight w:val="none"/>
        </w:rPr>
        <w:t>人及以上的单数，其中技术、经济等方面的成员人数不少于成员总数的三分之二。</w:t>
      </w:r>
    </w:p>
    <w:p w14:paraId="4FACF2E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评标委员会专家的条件和回避规定</w:t>
      </w:r>
    </w:p>
    <w:p w14:paraId="691754D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6</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1 </w:t>
      </w:r>
      <w:r>
        <w:rPr>
          <w:rFonts w:hint="eastAsia" w:ascii="仿宋" w:hAnsi="仿宋" w:eastAsia="仿宋" w:cs="仿宋"/>
          <w:sz w:val="24"/>
          <w:highlight w:val="none"/>
        </w:rPr>
        <w:t>评标委员会专家应符合下列条件：</w:t>
      </w:r>
    </w:p>
    <w:p w14:paraId="5A0C577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6</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1.1 </w:t>
      </w:r>
      <w:r>
        <w:rPr>
          <w:rFonts w:hint="eastAsia" w:ascii="仿宋" w:hAnsi="仿宋" w:eastAsia="仿宋" w:cs="仿宋"/>
          <w:sz w:val="24"/>
          <w:highlight w:val="none"/>
        </w:rPr>
        <w:t>熟悉有关和招标投标的法律法规；</w:t>
      </w:r>
    </w:p>
    <w:p w14:paraId="32645A8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6</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1.2 </w:t>
      </w:r>
      <w:r>
        <w:rPr>
          <w:rFonts w:hint="eastAsia" w:ascii="仿宋" w:hAnsi="仿宋" w:eastAsia="仿宋" w:cs="仿宋"/>
          <w:sz w:val="24"/>
          <w:highlight w:val="none"/>
        </w:rPr>
        <w:t>在相关专业领域工作满八年并具有高级职称或者同等专业水平；</w:t>
      </w:r>
    </w:p>
    <w:p w14:paraId="2E75014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6</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1.3 </w:t>
      </w:r>
      <w:r>
        <w:rPr>
          <w:rFonts w:hint="eastAsia" w:ascii="仿宋" w:hAnsi="仿宋" w:eastAsia="仿宋" w:cs="仿宋"/>
          <w:sz w:val="24"/>
          <w:highlight w:val="none"/>
        </w:rPr>
        <w:t>熟悉有关招标投标的法律法规，并具有与招标项目相关的实践经验；</w:t>
      </w:r>
    </w:p>
    <w:p w14:paraId="4E94555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6</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1.4 </w:t>
      </w:r>
      <w:r>
        <w:rPr>
          <w:rFonts w:hint="eastAsia" w:ascii="仿宋" w:hAnsi="仿宋" w:eastAsia="仿宋" w:cs="仿宋"/>
          <w:sz w:val="24"/>
          <w:highlight w:val="none"/>
        </w:rPr>
        <w:t>能够认真、公正、诚实、廉洁的履行职责。</w:t>
      </w:r>
    </w:p>
    <w:p w14:paraId="5A26539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6</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2 </w:t>
      </w:r>
      <w:r>
        <w:rPr>
          <w:rFonts w:hint="eastAsia" w:ascii="仿宋" w:hAnsi="仿宋" w:eastAsia="仿宋" w:cs="仿宋"/>
          <w:sz w:val="24"/>
          <w:highlight w:val="none"/>
        </w:rPr>
        <w:t>有下列情形之一的，不得担任评标委员会成员：</w:t>
      </w:r>
    </w:p>
    <w:p w14:paraId="3BD15BE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6</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2.1 </w:t>
      </w:r>
      <w:r>
        <w:rPr>
          <w:rFonts w:hint="eastAsia" w:ascii="仿宋" w:hAnsi="仿宋" w:eastAsia="仿宋" w:cs="仿宋"/>
          <w:sz w:val="24"/>
          <w:highlight w:val="none"/>
        </w:rPr>
        <w:t>与投标人或者投标人主要负责人有近亲关系的或有利害关系的；</w:t>
      </w:r>
    </w:p>
    <w:p w14:paraId="5F42E41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6</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2.2 </w:t>
      </w:r>
      <w:r>
        <w:rPr>
          <w:rFonts w:hint="eastAsia" w:ascii="仿宋" w:hAnsi="仿宋" w:eastAsia="仿宋" w:cs="仿宋"/>
          <w:sz w:val="24"/>
          <w:highlight w:val="none"/>
        </w:rPr>
        <w:t>与项目主管部门或者行政监督部门的人员有近亲关系的或有利害关系的；</w:t>
      </w:r>
    </w:p>
    <w:p w14:paraId="36F3964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6</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2.3 </w:t>
      </w:r>
      <w:r>
        <w:rPr>
          <w:rFonts w:hint="eastAsia" w:ascii="仿宋" w:hAnsi="仿宋" w:eastAsia="仿宋" w:cs="仿宋"/>
          <w:sz w:val="24"/>
          <w:highlight w:val="none"/>
        </w:rPr>
        <w:t>与投标人有经济利益关系，可能影响对投标公正评标的；</w:t>
      </w:r>
    </w:p>
    <w:p w14:paraId="36DA636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6</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2.4 </w:t>
      </w:r>
      <w:r>
        <w:rPr>
          <w:rFonts w:hint="eastAsia" w:ascii="仿宋" w:hAnsi="仿宋" w:eastAsia="仿宋" w:cs="仿宋"/>
          <w:sz w:val="24"/>
          <w:highlight w:val="none"/>
        </w:rPr>
        <w:t>曾因在招标、评标以及其他与招标、投标有关活动中从事违法行为而受过行政处罚或刑事处罚的。</w:t>
      </w:r>
    </w:p>
    <w:p w14:paraId="3C9CA19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7</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 </w:t>
      </w:r>
      <w:r>
        <w:rPr>
          <w:rFonts w:hint="eastAsia" w:ascii="仿宋" w:hAnsi="仿宋" w:eastAsia="仿宋" w:cs="仿宋"/>
          <w:sz w:val="24"/>
          <w:highlight w:val="none"/>
        </w:rPr>
        <w:t>评标委员会成员有前款规定情形之一的，应当主动提出回避。</w:t>
      </w:r>
    </w:p>
    <w:p w14:paraId="2C748AB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w:t>
      </w:r>
      <w:r>
        <w:rPr>
          <w:rFonts w:hint="eastAsia" w:ascii="仿宋" w:hAnsi="仿宋" w:eastAsia="仿宋" w:cs="仿宋"/>
          <w:sz w:val="24"/>
          <w:highlight w:val="none"/>
          <w:lang w:val="en-US"/>
        </w:rPr>
        <w:t>8</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 </w:t>
      </w:r>
      <w:r>
        <w:rPr>
          <w:rFonts w:hint="eastAsia" w:ascii="仿宋" w:hAnsi="仿宋" w:eastAsia="仿宋" w:cs="仿宋"/>
          <w:sz w:val="24"/>
          <w:highlight w:val="none"/>
        </w:rPr>
        <w:t>评标委员会成员应熟悉并认真研究采购文件，至少应了解和熟悉以下内容：</w:t>
      </w:r>
    </w:p>
    <w:p w14:paraId="0B533032">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rPr>
        <w:t>1</w:t>
      </w:r>
      <w:r>
        <w:rPr>
          <w:rFonts w:hint="eastAsia" w:ascii="仿宋" w:hAnsi="仿宋" w:eastAsia="仿宋" w:cs="仿宋"/>
          <w:sz w:val="24"/>
          <w:highlight w:val="none"/>
          <w:lang w:val="en-US"/>
        </w:rPr>
        <w:t>8</w:t>
      </w:r>
      <w:r>
        <w:rPr>
          <w:rFonts w:hint="eastAsia" w:ascii="仿宋" w:hAnsi="仿宋" w:eastAsia="仿宋" w:cs="仿宋"/>
          <w:sz w:val="24"/>
          <w:highlight w:val="none"/>
        </w:rPr>
        <w:t>.</w:t>
      </w:r>
      <w:r>
        <w:rPr>
          <w:rFonts w:hint="eastAsia" w:ascii="仿宋" w:hAnsi="仿宋" w:eastAsia="仿宋" w:cs="仿宋"/>
          <w:sz w:val="24"/>
          <w:highlight w:val="none"/>
          <w:lang w:val="en-US"/>
        </w:rPr>
        <w:t>1 招标目的。</w:t>
      </w:r>
    </w:p>
    <w:p w14:paraId="3F0B31F1">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rPr>
        <w:t>1</w:t>
      </w:r>
      <w:r>
        <w:rPr>
          <w:rFonts w:hint="eastAsia" w:ascii="仿宋" w:hAnsi="仿宋" w:eastAsia="仿宋" w:cs="仿宋"/>
          <w:sz w:val="24"/>
          <w:highlight w:val="none"/>
          <w:lang w:val="en-US"/>
        </w:rPr>
        <w:t>8</w:t>
      </w:r>
      <w:r>
        <w:rPr>
          <w:rFonts w:hint="eastAsia" w:ascii="仿宋" w:hAnsi="仿宋" w:eastAsia="仿宋" w:cs="仿宋"/>
          <w:sz w:val="24"/>
          <w:highlight w:val="none"/>
        </w:rPr>
        <w:t>.</w:t>
      </w:r>
      <w:r>
        <w:rPr>
          <w:rFonts w:hint="eastAsia" w:ascii="仿宋" w:hAnsi="仿宋" w:eastAsia="仿宋" w:cs="仿宋"/>
          <w:sz w:val="24"/>
          <w:highlight w:val="none"/>
          <w:lang w:val="en-US"/>
        </w:rPr>
        <w:t>2 招标项目的范围、性质。</w:t>
      </w:r>
    </w:p>
    <w:p w14:paraId="18AED5C0">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rPr>
        <w:t>1</w:t>
      </w:r>
      <w:r>
        <w:rPr>
          <w:rFonts w:hint="eastAsia" w:ascii="仿宋" w:hAnsi="仿宋" w:eastAsia="仿宋" w:cs="仿宋"/>
          <w:sz w:val="24"/>
          <w:highlight w:val="none"/>
          <w:lang w:val="en-US"/>
        </w:rPr>
        <w:t>8</w:t>
      </w:r>
      <w:r>
        <w:rPr>
          <w:rFonts w:hint="eastAsia" w:ascii="仿宋" w:hAnsi="仿宋" w:eastAsia="仿宋" w:cs="仿宋"/>
          <w:sz w:val="24"/>
          <w:highlight w:val="none"/>
        </w:rPr>
        <w:t>.</w:t>
      </w:r>
      <w:r>
        <w:rPr>
          <w:rFonts w:hint="eastAsia" w:ascii="仿宋" w:hAnsi="仿宋" w:eastAsia="仿宋" w:cs="仿宋"/>
          <w:sz w:val="24"/>
          <w:highlight w:val="none"/>
          <w:lang w:val="en-US"/>
        </w:rPr>
        <w:t>3 采购文件中规定的主要技术要求、标准和商务条款。</w:t>
      </w:r>
    </w:p>
    <w:p w14:paraId="44D52DD8">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rPr>
        <w:t>1</w:t>
      </w:r>
      <w:r>
        <w:rPr>
          <w:rFonts w:hint="eastAsia" w:ascii="仿宋" w:hAnsi="仿宋" w:eastAsia="仿宋" w:cs="仿宋"/>
          <w:sz w:val="24"/>
          <w:highlight w:val="none"/>
          <w:lang w:val="en-US"/>
        </w:rPr>
        <w:t>8</w:t>
      </w:r>
      <w:r>
        <w:rPr>
          <w:rFonts w:hint="eastAsia" w:ascii="仿宋" w:hAnsi="仿宋" w:eastAsia="仿宋" w:cs="仿宋"/>
          <w:sz w:val="24"/>
          <w:highlight w:val="none"/>
        </w:rPr>
        <w:t>.</w:t>
      </w:r>
      <w:r>
        <w:rPr>
          <w:rFonts w:hint="eastAsia" w:ascii="仿宋" w:hAnsi="仿宋" w:eastAsia="仿宋" w:cs="仿宋"/>
          <w:sz w:val="24"/>
          <w:highlight w:val="none"/>
          <w:lang w:val="en-US"/>
        </w:rPr>
        <w:t>4 采购文件规定的评标原则、评标标准、评标方法和在评标过程中应考虑的相关因素。</w:t>
      </w:r>
    </w:p>
    <w:p w14:paraId="499D09D2">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rPr>
        <w:t>1</w:t>
      </w:r>
      <w:r>
        <w:rPr>
          <w:rFonts w:hint="eastAsia" w:ascii="仿宋" w:hAnsi="仿宋" w:eastAsia="仿宋" w:cs="仿宋"/>
          <w:sz w:val="24"/>
          <w:highlight w:val="none"/>
          <w:lang w:val="en-US"/>
        </w:rPr>
        <w:t>9</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 采购人应当向评标委员会提供评标所需的重要信息和数据。</w:t>
      </w:r>
    </w:p>
    <w:p w14:paraId="47A8BE0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20</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 </w:t>
      </w:r>
      <w:r>
        <w:rPr>
          <w:rFonts w:hint="eastAsia" w:ascii="仿宋" w:hAnsi="仿宋" w:eastAsia="仿宋" w:cs="仿宋"/>
          <w:sz w:val="24"/>
          <w:highlight w:val="none"/>
        </w:rPr>
        <w:t>评标委员会及其成员应当履行的义务：</w:t>
      </w:r>
    </w:p>
    <w:p w14:paraId="0E9E95F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20</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1 </w:t>
      </w:r>
      <w:r>
        <w:rPr>
          <w:rFonts w:hint="eastAsia" w:ascii="仿宋" w:hAnsi="仿宋" w:eastAsia="仿宋" w:cs="仿宋"/>
          <w:sz w:val="24"/>
          <w:highlight w:val="none"/>
        </w:rPr>
        <w:t>遵纪守法，客观、公正、廉洁地履行职责；</w:t>
      </w:r>
    </w:p>
    <w:p w14:paraId="3544019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20</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2 </w:t>
      </w:r>
      <w:r>
        <w:rPr>
          <w:rFonts w:hint="eastAsia" w:ascii="仿宋" w:hAnsi="仿宋" w:eastAsia="仿宋" w:cs="仿宋"/>
          <w:sz w:val="24"/>
          <w:highlight w:val="none"/>
        </w:rPr>
        <w:t>按照采购文件规定的评标方法和标准进行评标，严格履行签字确认手续， 对评标意见承担个人责任；</w:t>
      </w:r>
    </w:p>
    <w:p w14:paraId="5EA00F8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20</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3 </w:t>
      </w:r>
      <w:r>
        <w:rPr>
          <w:rFonts w:hint="eastAsia" w:ascii="仿宋" w:hAnsi="仿宋" w:eastAsia="仿宋" w:cs="仿宋"/>
          <w:sz w:val="24"/>
          <w:highlight w:val="none"/>
        </w:rPr>
        <w:t>对评标过程和结果，以及供应商的商业秘密保密；</w:t>
      </w:r>
    </w:p>
    <w:p w14:paraId="443C47D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20</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 </w:t>
      </w:r>
      <w:r>
        <w:rPr>
          <w:rFonts w:hint="eastAsia" w:ascii="仿宋" w:hAnsi="仿宋" w:eastAsia="仿宋" w:cs="仿宋"/>
          <w:sz w:val="24"/>
          <w:highlight w:val="none"/>
        </w:rPr>
        <w:t>参与评标报告的起草；</w:t>
      </w:r>
    </w:p>
    <w:p w14:paraId="541CFE8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20</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5 </w:t>
      </w:r>
      <w:r>
        <w:rPr>
          <w:rFonts w:hint="eastAsia" w:ascii="仿宋" w:hAnsi="仿宋" w:eastAsia="仿宋" w:cs="仿宋"/>
          <w:sz w:val="24"/>
          <w:highlight w:val="none"/>
        </w:rPr>
        <w:t>配合财政部门的投诉处理工作；</w:t>
      </w:r>
    </w:p>
    <w:p w14:paraId="5D4696A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20</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6 </w:t>
      </w:r>
      <w:r>
        <w:rPr>
          <w:rFonts w:hint="eastAsia" w:ascii="仿宋" w:hAnsi="仿宋" w:eastAsia="仿宋" w:cs="仿宋"/>
          <w:sz w:val="24"/>
          <w:highlight w:val="none"/>
        </w:rPr>
        <w:t>配合采购人答复投标人提出的质疑。</w:t>
      </w:r>
    </w:p>
    <w:p w14:paraId="0A96C92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21</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 </w:t>
      </w:r>
      <w:r>
        <w:rPr>
          <w:rFonts w:hint="eastAsia" w:ascii="仿宋" w:hAnsi="仿宋" w:eastAsia="仿宋" w:cs="仿宋"/>
          <w:sz w:val="24"/>
          <w:highlight w:val="none"/>
        </w:rPr>
        <w:t>评标委员会及其成员应注意事项：</w:t>
      </w:r>
    </w:p>
    <w:p w14:paraId="4C34B72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21</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1 </w:t>
      </w:r>
      <w:r>
        <w:rPr>
          <w:rFonts w:hint="eastAsia" w:ascii="仿宋" w:hAnsi="仿宋" w:eastAsia="仿宋" w:cs="仿宋"/>
          <w:sz w:val="24"/>
          <w:highlight w:val="none"/>
        </w:rPr>
        <w:t>评标委员会应当客观、公正地履行职责，遵守职业道德，不得与任何投标人或者与招标结果有利害关系的人员进行私下接触，须响应前款“第三部分”中</w:t>
      </w:r>
    </w:p>
    <w:p w14:paraId="593FA67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8.1 条款之规定要求。</w:t>
      </w:r>
    </w:p>
    <w:p w14:paraId="745D1F3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21</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2 </w:t>
      </w:r>
      <w:r>
        <w:rPr>
          <w:rFonts w:hint="eastAsia" w:ascii="仿宋" w:hAnsi="仿宋" w:eastAsia="仿宋" w:cs="仿宋"/>
          <w:sz w:val="24"/>
          <w:highlight w:val="none"/>
        </w:rPr>
        <w:t>评标委员会应当遵循独立评标的原则，按照《中华人民共和国政府采购法》，要以采购文件为评标的唯一依据，不做标书以外无关问题讨论和将采购文件中没有规定的标准和方法不得作为评标的依据。应本着“实事求是、公正诚信”的原则，根据采购文件规定的评标标准和方法，对投标人的投标文件进行系统地评标和比较。并按要求做好相关书面原始署名记录。</w:t>
      </w:r>
    </w:p>
    <w:p w14:paraId="55FE495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21</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3 </w:t>
      </w:r>
      <w:r>
        <w:rPr>
          <w:rFonts w:hint="eastAsia" w:ascii="仿宋" w:hAnsi="仿宋" w:eastAsia="仿宋" w:cs="仿宋"/>
          <w:sz w:val="24"/>
          <w:highlight w:val="none"/>
        </w:rPr>
        <w:t>评标委员会应当客观、公正地履行职责。评标时，严禁存在个人印象、个人关系或带有明显倾向性的行为发生。否则，经核实后，采购人将有权予以制止此类行为的发生，责成其修正不果的，将做为不良记录记录在案，并按相关政策法规的规定和程序，向财政监管部门提出处罚建议意见。</w:t>
      </w:r>
    </w:p>
    <w:p w14:paraId="09DC6DE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21</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 </w:t>
      </w:r>
      <w:r>
        <w:rPr>
          <w:rFonts w:hint="eastAsia" w:ascii="仿宋" w:hAnsi="仿宋" w:eastAsia="仿宋" w:cs="仿宋"/>
          <w:sz w:val="24"/>
          <w:highlight w:val="none"/>
        </w:rPr>
        <w:t>评标委员会成员和与本次评标活动有关的工作人员，不得透露对投标文件的评标和比较、中标候选人的推荐情况以及与评标有关的其他情况。</w:t>
      </w:r>
    </w:p>
    <w:p w14:paraId="2CEE095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21</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5 </w:t>
      </w:r>
      <w:r>
        <w:rPr>
          <w:rFonts w:hint="eastAsia" w:ascii="仿宋" w:hAnsi="仿宋" w:eastAsia="仿宋" w:cs="仿宋"/>
          <w:sz w:val="24"/>
          <w:highlight w:val="none"/>
        </w:rPr>
        <w:t>除法律需要外，自开标直至宣布中标及签订合同为止，有关投标文件的审查、澄清、评定及关于评标的建议等情况，评标委员会及其成员任何人均不得以任何形式泄露，评标过程中如有不明事宜，需要投标人进行解释的，只能由评标委员会各成员进行询标（答疑）。</w:t>
      </w:r>
    </w:p>
    <w:p w14:paraId="215B015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22</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 </w:t>
      </w:r>
      <w:r>
        <w:rPr>
          <w:rFonts w:hint="eastAsia" w:ascii="仿宋" w:hAnsi="仿宋" w:eastAsia="仿宋" w:cs="仿宋"/>
          <w:sz w:val="24"/>
          <w:highlight w:val="none"/>
        </w:rPr>
        <w:t>与评标活动有关的工作人员，自开标之日起至定标日止，在此期间任何监标人、采购人代表、特邀代表、工作人员及供应商不得干扰评标委员会正常及其它评标工作，否则，采购人将有权取消其权利资格。</w:t>
      </w:r>
    </w:p>
    <w:p w14:paraId="56DBE4B6">
      <w:pPr>
        <w:pStyle w:val="2"/>
        <w:spacing w:before="2"/>
        <w:ind w:left="0" w:leftChars="0" w:right="0" w:rightChars="0"/>
        <w:rPr>
          <w:rFonts w:hint="eastAsia" w:ascii="仿宋" w:hAnsi="仿宋" w:eastAsia="仿宋" w:cs="仿宋"/>
          <w:highlight w:val="none"/>
        </w:rPr>
      </w:pPr>
      <w:r>
        <w:rPr>
          <w:rFonts w:hint="eastAsia" w:ascii="仿宋" w:hAnsi="仿宋" w:eastAsia="仿宋" w:cs="仿宋"/>
          <w:highlight w:val="none"/>
        </w:rPr>
        <w:t>第五部分 开标 评标 定标说明</w:t>
      </w:r>
    </w:p>
    <w:p w14:paraId="17CFEAFA">
      <w:pPr>
        <w:pStyle w:val="4"/>
        <w:ind w:right="0"/>
        <w:rPr>
          <w:rFonts w:hint="eastAsia" w:ascii="仿宋" w:hAnsi="仿宋" w:eastAsia="仿宋" w:cs="仿宋"/>
          <w:sz w:val="24"/>
          <w:highlight w:val="none"/>
        </w:rPr>
      </w:pPr>
      <w:r>
        <w:rPr>
          <w:rFonts w:hint="eastAsia" w:ascii="仿宋" w:hAnsi="仿宋" w:eastAsia="仿宋" w:cs="仿宋"/>
          <w:sz w:val="24"/>
          <w:highlight w:val="none"/>
        </w:rPr>
        <w:t>第一章 开</w:t>
      </w:r>
      <w:r>
        <w:rPr>
          <w:rFonts w:hint="eastAsia" w:ascii="仿宋" w:hAnsi="仿宋" w:eastAsia="仿宋" w:cs="仿宋"/>
          <w:sz w:val="24"/>
          <w:highlight w:val="none"/>
        </w:rPr>
        <w:tab/>
      </w:r>
      <w:r>
        <w:rPr>
          <w:rFonts w:hint="eastAsia" w:ascii="仿宋" w:hAnsi="仿宋" w:eastAsia="仿宋" w:cs="仿宋"/>
          <w:sz w:val="24"/>
          <w:highlight w:val="none"/>
        </w:rPr>
        <w:t>标</w:t>
      </w:r>
    </w:p>
    <w:p w14:paraId="53755A8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 </w:t>
      </w:r>
      <w:r>
        <w:rPr>
          <w:rFonts w:hint="eastAsia" w:ascii="仿宋" w:hAnsi="仿宋" w:eastAsia="仿宋" w:cs="仿宋"/>
          <w:sz w:val="24"/>
          <w:highlight w:val="none"/>
        </w:rPr>
        <w:t>开标</w:t>
      </w:r>
    </w:p>
    <w:p w14:paraId="0028762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1 </w:t>
      </w:r>
      <w:r>
        <w:rPr>
          <w:rFonts w:hint="eastAsia" w:ascii="仿宋" w:hAnsi="仿宋" w:eastAsia="仿宋" w:cs="仿宋"/>
          <w:sz w:val="24"/>
          <w:highlight w:val="none"/>
        </w:rPr>
        <w:t>本次招标按采购文件</w:t>
      </w:r>
      <w:r>
        <w:rPr>
          <w:rFonts w:hint="eastAsia" w:ascii="仿宋" w:hAnsi="仿宋" w:eastAsia="仿宋" w:cs="仿宋"/>
          <w:sz w:val="24"/>
          <w:highlight w:val="none"/>
          <w:lang w:val="en-US"/>
        </w:rPr>
        <w:t>中</w:t>
      </w:r>
      <w:r>
        <w:rPr>
          <w:rFonts w:hint="eastAsia" w:ascii="仿宋" w:hAnsi="仿宋" w:eastAsia="仿宋" w:cs="仿宋"/>
          <w:sz w:val="24"/>
          <w:highlight w:val="none"/>
        </w:rPr>
        <w:t>规定的时间和地点进行公开开标，允许投标人的法定代表人或其</w:t>
      </w:r>
      <w:r>
        <w:rPr>
          <w:rFonts w:hint="eastAsia" w:ascii="仿宋" w:hAnsi="仿宋" w:eastAsia="仿宋" w:cs="仿宋"/>
          <w:sz w:val="24"/>
          <w:highlight w:val="none"/>
          <w:lang w:val="en-US"/>
        </w:rPr>
        <w:t>委托代理人</w:t>
      </w:r>
      <w:r>
        <w:rPr>
          <w:rFonts w:hint="eastAsia" w:ascii="仿宋" w:hAnsi="仿宋" w:eastAsia="仿宋" w:cs="仿宋"/>
          <w:sz w:val="24"/>
          <w:highlight w:val="none"/>
        </w:rPr>
        <w:t>参加开标</w:t>
      </w:r>
      <w:r>
        <w:rPr>
          <w:rFonts w:hint="eastAsia" w:ascii="仿宋" w:hAnsi="仿宋" w:eastAsia="仿宋" w:cs="仿宋"/>
          <w:sz w:val="24"/>
          <w:highlight w:val="none"/>
          <w:lang w:val="en-US"/>
        </w:rPr>
        <w:t>会议</w:t>
      </w:r>
      <w:r>
        <w:rPr>
          <w:rFonts w:hint="eastAsia" w:ascii="仿宋" w:hAnsi="仿宋" w:eastAsia="仿宋" w:cs="仿宋"/>
          <w:sz w:val="24"/>
          <w:highlight w:val="none"/>
        </w:rPr>
        <w:t>。</w:t>
      </w:r>
    </w:p>
    <w:p w14:paraId="75B2444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2 </w:t>
      </w:r>
      <w:r>
        <w:rPr>
          <w:rFonts w:hint="eastAsia" w:ascii="仿宋" w:hAnsi="仿宋" w:eastAsia="仿宋" w:cs="仿宋"/>
          <w:sz w:val="24"/>
          <w:highlight w:val="none"/>
        </w:rPr>
        <w:t>为了体现投标人的合法权益，和确保评标工作的公平、公正，如果评标委员会成员及其他与会人员与其他投标人有利害关系的，在开</w:t>
      </w:r>
      <w:r>
        <w:rPr>
          <w:rFonts w:hint="eastAsia" w:ascii="仿宋" w:hAnsi="仿宋" w:eastAsia="仿宋" w:cs="仿宋"/>
          <w:sz w:val="24"/>
          <w:highlight w:val="none"/>
          <w:lang w:val="en-US"/>
        </w:rPr>
        <w:t>评</w:t>
      </w:r>
      <w:r>
        <w:rPr>
          <w:rFonts w:hint="eastAsia" w:ascii="仿宋" w:hAnsi="仿宋" w:eastAsia="仿宋" w:cs="仿宋"/>
          <w:sz w:val="24"/>
          <w:highlight w:val="none"/>
        </w:rPr>
        <w:t>标现场以举手示意的方式向采购人申请其回避。如现场不提请采购人申请其回避的，则视同无利害关系。</w:t>
      </w:r>
    </w:p>
    <w:p w14:paraId="4ADD9A3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3 各</w:t>
      </w:r>
      <w:r>
        <w:rPr>
          <w:rFonts w:hint="eastAsia" w:ascii="仿宋" w:hAnsi="仿宋" w:eastAsia="仿宋" w:cs="仿宋"/>
          <w:sz w:val="24"/>
          <w:highlight w:val="none"/>
        </w:rPr>
        <w:t>投标人</w:t>
      </w:r>
      <w:r>
        <w:rPr>
          <w:rFonts w:hint="eastAsia" w:ascii="仿宋" w:hAnsi="仿宋" w:eastAsia="仿宋" w:cs="仿宋"/>
          <w:sz w:val="24"/>
          <w:highlight w:val="none"/>
          <w:lang w:val="en-US"/>
        </w:rPr>
        <w:t>如对本次招标过程存有异议</w:t>
      </w:r>
      <w:r>
        <w:rPr>
          <w:rFonts w:hint="eastAsia" w:ascii="仿宋" w:hAnsi="仿宋" w:eastAsia="仿宋" w:cs="仿宋"/>
          <w:sz w:val="24"/>
          <w:highlight w:val="none"/>
        </w:rPr>
        <w:t>，</w:t>
      </w:r>
      <w:r>
        <w:rPr>
          <w:rFonts w:hint="eastAsia" w:ascii="仿宋" w:hAnsi="仿宋" w:eastAsia="仿宋" w:cs="仿宋"/>
          <w:sz w:val="24"/>
          <w:highlight w:val="none"/>
          <w:lang w:val="en-US"/>
        </w:rPr>
        <w:t>应及时提出以便进行答疑回复；</w:t>
      </w:r>
      <w:r>
        <w:rPr>
          <w:rFonts w:hint="eastAsia" w:ascii="仿宋" w:hAnsi="仿宋" w:eastAsia="仿宋" w:cs="仿宋"/>
          <w:sz w:val="24"/>
          <w:highlight w:val="none"/>
        </w:rPr>
        <w:t>如</w:t>
      </w:r>
      <w:r>
        <w:rPr>
          <w:rFonts w:hint="eastAsia" w:ascii="仿宋" w:hAnsi="仿宋" w:eastAsia="仿宋" w:cs="仿宋"/>
          <w:sz w:val="24"/>
          <w:highlight w:val="none"/>
          <w:lang w:val="en-US"/>
        </w:rPr>
        <w:t>待评标结果产生</w:t>
      </w:r>
      <w:r>
        <w:rPr>
          <w:rFonts w:hint="eastAsia" w:ascii="仿宋" w:hAnsi="仿宋" w:eastAsia="仿宋" w:cs="仿宋"/>
          <w:sz w:val="24"/>
          <w:highlight w:val="none"/>
        </w:rPr>
        <w:t>后发生的</w:t>
      </w:r>
      <w:r>
        <w:rPr>
          <w:rFonts w:hint="eastAsia" w:ascii="仿宋" w:hAnsi="仿宋" w:eastAsia="仿宋" w:cs="仿宋"/>
          <w:sz w:val="24"/>
          <w:highlight w:val="none"/>
          <w:lang w:val="en-US"/>
        </w:rPr>
        <w:t>恶意</w:t>
      </w:r>
      <w:r>
        <w:rPr>
          <w:rFonts w:hint="eastAsia" w:ascii="仿宋" w:hAnsi="仿宋" w:eastAsia="仿宋" w:cs="仿宋"/>
          <w:sz w:val="24"/>
          <w:highlight w:val="none"/>
        </w:rPr>
        <w:t>质疑或投诉事项，新疆华域建设工程项目管理咨询有限公司将不予采信。</w:t>
      </w:r>
    </w:p>
    <w:p w14:paraId="59A6234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 </w:t>
      </w:r>
      <w:r>
        <w:rPr>
          <w:rFonts w:hint="eastAsia" w:ascii="仿宋" w:hAnsi="仿宋" w:eastAsia="仿宋" w:cs="仿宋"/>
          <w:sz w:val="24"/>
          <w:highlight w:val="none"/>
        </w:rPr>
        <w:t>投标人资格审查</w:t>
      </w:r>
    </w:p>
    <w:p w14:paraId="3BBD20F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4.1 </w:t>
      </w:r>
      <w:r>
        <w:rPr>
          <w:rFonts w:hint="eastAsia" w:ascii="仿宋" w:hAnsi="仿宋" w:eastAsia="仿宋" w:cs="仿宋"/>
          <w:sz w:val="24"/>
          <w:highlight w:val="none"/>
        </w:rPr>
        <w:t>各投标人的资格审查</w:t>
      </w:r>
      <w:r>
        <w:rPr>
          <w:rFonts w:hint="eastAsia" w:ascii="仿宋" w:hAnsi="仿宋" w:eastAsia="仿宋" w:cs="仿宋"/>
          <w:sz w:val="24"/>
          <w:highlight w:val="none"/>
          <w:lang w:val="en-US"/>
        </w:rPr>
        <w:t>资料交由招标人或招标代理机构审核，审核合格后为有效投标人</w:t>
      </w:r>
      <w:r>
        <w:rPr>
          <w:rFonts w:hint="eastAsia" w:ascii="仿宋" w:hAnsi="仿宋" w:eastAsia="仿宋" w:cs="仿宋"/>
          <w:sz w:val="24"/>
          <w:highlight w:val="none"/>
        </w:rPr>
        <w:t>。</w:t>
      </w:r>
    </w:p>
    <w:p w14:paraId="773158BF">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4.2 </w:t>
      </w:r>
      <w:r>
        <w:rPr>
          <w:rFonts w:hint="eastAsia" w:ascii="仿宋" w:hAnsi="仿宋" w:eastAsia="仿宋" w:cs="仿宋"/>
          <w:sz w:val="24"/>
          <w:highlight w:val="none"/>
        </w:rPr>
        <w:t>依据采购文件规定</w:t>
      </w:r>
      <w:r>
        <w:rPr>
          <w:rFonts w:hint="eastAsia" w:ascii="仿宋" w:hAnsi="仿宋" w:eastAsia="仿宋" w:cs="仿宋"/>
          <w:sz w:val="24"/>
          <w:highlight w:val="none"/>
          <w:lang w:val="en-US"/>
        </w:rPr>
        <w:t>对各投标人的</w:t>
      </w:r>
      <w:r>
        <w:rPr>
          <w:rFonts w:hint="eastAsia" w:ascii="仿宋" w:hAnsi="仿宋" w:eastAsia="仿宋" w:cs="仿宋"/>
          <w:sz w:val="24"/>
          <w:highlight w:val="none"/>
        </w:rPr>
        <w:t xml:space="preserve">投保保证金缴纳情况等进行审查。凡不符合前款“第四部分”中 1.2 条款之规定要求的， </w:t>
      </w:r>
      <w:r>
        <w:rPr>
          <w:rFonts w:hint="eastAsia" w:ascii="仿宋" w:hAnsi="仿宋" w:eastAsia="仿宋" w:cs="仿宋"/>
          <w:sz w:val="24"/>
          <w:highlight w:val="none"/>
          <w:lang w:val="en-US"/>
        </w:rPr>
        <w:t>其投标将被直接拒绝。</w:t>
      </w:r>
    </w:p>
    <w:p w14:paraId="0B1A200E">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4.4 </w:t>
      </w:r>
      <w:r>
        <w:rPr>
          <w:rFonts w:hint="eastAsia" w:ascii="仿宋" w:hAnsi="仿宋" w:eastAsia="仿宋" w:cs="仿宋"/>
          <w:sz w:val="24"/>
          <w:highlight w:val="none"/>
        </w:rPr>
        <w:t>投标人资格审查</w:t>
      </w:r>
      <w:r>
        <w:rPr>
          <w:rFonts w:hint="eastAsia" w:ascii="仿宋" w:hAnsi="仿宋" w:eastAsia="仿宋" w:cs="仿宋"/>
          <w:sz w:val="24"/>
          <w:highlight w:val="none"/>
          <w:lang w:val="en-US"/>
        </w:rPr>
        <w:t>合格后方可进入到</w:t>
      </w:r>
      <w:r>
        <w:rPr>
          <w:rFonts w:hint="eastAsia" w:ascii="仿宋" w:hAnsi="仿宋" w:eastAsia="仿宋" w:cs="仿宋"/>
          <w:sz w:val="24"/>
          <w:highlight w:val="none"/>
        </w:rPr>
        <w:t>投标文件初步审查审查</w:t>
      </w:r>
      <w:r>
        <w:rPr>
          <w:rFonts w:hint="eastAsia" w:ascii="仿宋" w:hAnsi="仿宋" w:eastAsia="仿宋" w:cs="仿宋"/>
          <w:sz w:val="24"/>
          <w:highlight w:val="none"/>
          <w:lang w:val="en-US"/>
        </w:rPr>
        <w:t>阶段。</w:t>
      </w:r>
    </w:p>
    <w:p w14:paraId="14C9851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4.3 </w:t>
      </w:r>
      <w:r>
        <w:rPr>
          <w:rFonts w:hint="eastAsia" w:ascii="仿宋" w:hAnsi="仿宋" w:eastAsia="仿宋" w:cs="仿宋"/>
          <w:sz w:val="24"/>
          <w:highlight w:val="none"/>
        </w:rPr>
        <w:t>资格审查合格的供应商不足法定数量时，可以比照“第五部分” 中 23.</w:t>
      </w:r>
      <w:r>
        <w:rPr>
          <w:rFonts w:hint="eastAsia" w:ascii="仿宋" w:hAnsi="仿宋" w:eastAsia="仿宋" w:cs="仿宋"/>
          <w:sz w:val="24"/>
          <w:highlight w:val="none"/>
          <w:lang w:val="en-US"/>
        </w:rPr>
        <w:t>6</w:t>
      </w:r>
      <w:r>
        <w:rPr>
          <w:rFonts w:hint="eastAsia" w:ascii="仿宋" w:hAnsi="仿宋" w:eastAsia="仿宋" w:cs="仿宋"/>
          <w:sz w:val="24"/>
          <w:highlight w:val="none"/>
        </w:rPr>
        <w:t xml:space="preserve"> 条款中的 23.</w:t>
      </w:r>
      <w:r>
        <w:rPr>
          <w:rFonts w:hint="eastAsia" w:ascii="仿宋" w:hAnsi="仿宋" w:eastAsia="仿宋" w:cs="仿宋"/>
          <w:sz w:val="24"/>
          <w:highlight w:val="none"/>
          <w:lang w:val="en-US"/>
        </w:rPr>
        <w:t>6</w:t>
      </w:r>
      <w:r>
        <w:rPr>
          <w:rFonts w:hint="eastAsia" w:ascii="仿宋" w:hAnsi="仿宋" w:eastAsia="仿宋" w:cs="仿宋"/>
          <w:sz w:val="24"/>
          <w:highlight w:val="none"/>
        </w:rPr>
        <w:t>.2 条款和 23.</w:t>
      </w:r>
      <w:r>
        <w:rPr>
          <w:rFonts w:hint="eastAsia" w:ascii="仿宋" w:hAnsi="仿宋" w:eastAsia="仿宋" w:cs="仿宋"/>
          <w:sz w:val="24"/>
          <w:highlight w:val="none"/>
          <w:lang w:val="en-US"/>
        </w:rPr>
        <w:t>6</w:t>
      </w:r>
      <w:r>
        <w:rPr>
          <w:rFonts w:hint="eastAsia" w:ascii="仿宋" w:hAnsi="仿宋" w:eastAsia="仿宋" w:cs="仿宋"/>
          <w:sz w:val="24"/>
          <w:highlight w:val="none"/>
        </w:rPr>
        <w:t>.3 条款之规定执行。</w:t>
      </w:r>
    </w:p>
    <w:p w14:paraId="5469B76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5 </w:t>
      </w:r>
      <w:r>
        <w:rPr>
          <w:rFonts w:hint="eastAsia" w:ascii="仿宋" w:hAnsi="仿宋" w:eastAsia="仿宋" w:cs="仿宋"/>
          <w:sz w:val="24"/>
          <w:highlight w:val="none"/>
        </w:rPr>
        <w:t>投标文件响应性审查</w:t>
      </w:r>
    </w:p>
    <w:p w14:paraId="37B8802F">
      <w:pPr>
        <w:spacing w:line="360" w:lineRule="auto"/>
        <w:rPr>
          <w:rFonts w:hint="eastAsia" w:ascii="仿宋" w:hAnsi="仿宋" w:eastAsia="仿宋" w:cs="仿宋"/>
          <w:sz w:val="24"/>
          <w:highlight w:val="none"/>
          <w:lang w:val="en-US"/>
        </w:rPr>
      </w:pPr>
      <w:r>
        <w:rPr>
          <w:rFonts w:hint="eastAsia" w:ascii="仿宋" w:hAnsi="仿宋" w:eastAsia="仿宋" w:cs="仿宋"/>
          <w:sz w:val="24"/>
          <w:highlight w:val="none"/>
          <w:lang w:val="en-US"/>
        </w:rPr>
        <w:t xml:space="preserve">    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5.1 </w:t>
      </w:r>
      <w:r>
        <w:rPr>
          <w:rFonts w:hint="eastAsia" w:ascii="仿宋" w:hAnsi="仿宋" w:eastAsia="仿宋" w:cs="仿宋"/>
          <w:sz w:val="24"/>
          <w:highlight w:val="none"/>
        </w:rPr>
        <w:t>开标后，采购人将组织对投标文件进行审查，</w:t>
      </w:r>
      <w:r>
        <w:rPr>
          <w:rFonts w:hint="eastAsia" w:ascii="仿宋" w:hAnsi="仿宋" w:eastAsia="仿宋" w:cs="仿宋"/>
          <w:sz w:val="24"/>
          <w:highlight w:val="none"/>
          <w:lang w:val="en-US"/>
        </w:rPr>
        <w:t>包括</w:t>
      </w:r>
      <w:r>
        <w:rPr>
          <w:rFonts w:hint="eastAsia" w:ascii="仿宋" w:hAnsi="仿宋" w:eastAsia="仿宋" w:cs="仿宋"/>
          <w:sz w:val="24"/>
          <w:highlight w:val="none"/>
        </w:rPr>
        <w:t>响应程度初步审查</w:t>
      </w:r>
      <w:r>
        <w:rPr>
          <w:rFonts w:hint="eastAsia" w:ascii="仿宋" w:hAnsi="仿宋" w:eastAsia="仿宋" w:cs="仿宋"/>
          <w:sz w:val="24"/>
          <w:highlight w:val="none"/>
          <w:lang w:val="en-US"/>
        </w:rPr>
        <w:t>阶段</w:t>
      </w:r>
      <w:r>
        <w:rPr>
          <w:rFonts w:hint="eastAsia" w:ascii="仿宋" w:hAnsi="仿宋" w:eastAsia="仿宋" w:cs="仿宋"/>
          <w:sz w:val="24"/>
          <w:highlight w:val="none"/>
        </w:rPr>
        <w:t>（</w:t>
      </w:r>
      <w:r>
        <w:rPr>
          <w:rFonts w:hint="eastAsia" w:ascii="仿宋" w:hAnsi="仿宋" w:eastAsia="仿宋" w:cs="仿宋"/>
          <w:sz w:val="24"/>
          <w:highlight w:val="none"/>
          <w:lang w:val="en-US"/>
        </w:rPr>
        <w:t>资格性审查和符合性审查）和</w:t>
      </w:r>
      <w:r>
        <w:rPr>
          <w:rFonts w:hint="eastAsia" w:ascii="仿宋" w:hAnsi="仿宋" w:eastAsia="仿宋" w:cs="仿宋"/>
          <w:sz w:val="24"/>
          <w:highlight w:val="none"/>
        </w:rPr>
        <w:t>技术商务</w:t>
      </w:r>
      <w:r>
        <w:rPr>
          <w:rFonts w:hint="eastAsia" w:ascii="仿宋" w:hAnsi="仿宋" w:eastAsia="仿宋" w:cs="仿宋"/>
          <w:sz w:val="24"/>
          <w:highlight w:val="none"/>
          <w:lang w:val="en-US"/>
        </w:rPr>
        <w:t>详细评审阶段；</w:t>
      </w:r>
      <w:r>
        <w:rPr>
          <w:rFonts w:hint="eastAsia" w:ascii="仿宋" w:hAnsi="仿宋" w:eastAsia="仿宋" w:cs="仿宋"/>
          <w:sz w:val="24"/>
          <w:highlight w:val="none"/>
        </w:rPr>
        <w:t>投标文件响应程度初步审查通过的投标企业，进入下一步详细评审阶段，未通过投标文件响应程度初步审查的企业，其投标作为无效标，不进入后期评审阶段；</w:t>
      </w:r>
      <w:r>
        <w:rPr>
          <w:rFonts w:hint="eastAsia" w:ascii="仿宋" w:hAnsi="仿宋" w:eastAsia="仿宋" w:cs="仿宋"/>
          <w:sz w:val="24"/>
          <w:highlight w:val="none"/>
          <w:lang w:val="en-US"/>
        </w:rPr>
        <w:t>具体评审详见</w:t>
      </w:r>
      <w:r>
        <w:rPr>
          <w:rFonts w:hint="eastAsia" w:ascii="仿宋" w:hAnsi="仿宋" w:eastAsia="仿宋" w:cs="仿宋"/>
          <w:sz w:val="24"/>
          <w:highlight w:val="none"/>
        </w:rPr>
        <w:t>投标文件《投标文件初步审查表》《</w:t>
      </w:r>
      <w:r>
        <w:rPr>
          <w:rFonts w:hint="eastAsia" w:ascii="仿宋" w:hAnsi="仿宋" w:eastAsia="仿宋" w:cs="仿宋"/>
          <w:sz w:val="24"/>
          <w:highlight w:val="none"/>
          <w:lang w:val="en-US"/>
        </w:rPr>
        <w:t>详细评审</w:t>
      </w:r>
      <w:r>
        <w:rPr>
          <w:rFonts w:hint="eastAsia" w:ascii="仿宋" w:hAnsi="仿宋" w:eastAsia="仿宋" w:cs="仿宋"/>
          <w:sz w:val="24"/>
          <w:highlight w:val="none"/>
        </w:rPr>
        <w:t>明细表》。</w:t>
      </w:r>
    </w:p>
    <w:p w14:paraId="7677C9E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5.2 </w:t>
      </w:r>
      <w:r>
        <w:rPr>
          <w:rFonts w:hint="eastAsia" w:ascii="仿宋" w:hAnsi="仿宋" w:eastAsia="仿宋" w:cs="仿宋"/>
          <w:sz w:val="24"/>
          <w:highlight w:val="none"/>
        </w:rPr>
        <w:t>评标委员会将确定每一投标人是否对投标文件的要求做出了实质性响应，而没有重大偏离。实质性响应的投标是指符合采购文件的所有条款、条件和规定且没有重大偏离和保留的投标。</w:t>
      </w:r>
    </w:p>
    <w:p w14:paraId="6C399C3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5.3 </w:t>
      </w:r>
      <w:r>
        <w:rPr>
          <w:rFonts w:hint="eastAsia" w:ascii="仿宋" w:hAnsi="仿宋" w:eastAsia="仿宋" w:cs="仿宋"/>
          <w:sz w:val="24"/>
          <w:highlight w:val="none"/>
        </w:rPr>
        <w:t>评标委员会判断投标文件的响应性仅基于投标文件本身而不靠外部证据。</w:t>
      </w:r>
    </w:p>
    <w:p w14:paraId="2FE446E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5.4 </w:t>
      </w:r>
      <w:r>
        <w:rPr>
          <w:rFonts w:hint="eastAsia" w:ascii="仿宋" w:hAnsi="仿宋" w:eastAsia="仿宋" w:cs="仿宋"/>
          <w:sz w:val="24"/>
          <w:highlight w:val="none"/>
        </w:rPr>
        <w:t>评标委员会将拒绝被确定为非实质性响应的投标。投标人不能通过修正或撤回不符合之处而使其投标成为实质性响应的投标。</w:t>
      </w:r>
    </w:p>
    <w:p w14:paraId="41CC64F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6 </w:t>
      </w:r>
      <w:r>
        <w:rPr>
          <w:rFonts w:hint="eastAsia" w:ascii="仿宋" w:hAnsi="仿宋" w:eastAsia="仿宋" w:cs="仿宋"/>
          <w:sz w:val="24"/>
          <w:highlight w:val="none"/>
        </w:rPr>
        <w:t>投标登记确认的审查</w:t>
      </w:r>
    </w:p>
    <w:p w14:paraId="5FEA55F1">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6.1 投标人应按采购文件要求递交投标文件，否则，其投标将直接被拒绝</w:t>
      </w:r>
      <w:r>
        <w:rPr>
          <w:rFonts w:hint="eastAsia" w:ascii="仿宋" w:hAnsi="仿宋" w:eastAsia="仿宋" w:cs="仿宋"/>
          <w:sz w:val="24"/>
          <w:highlight w:val="none"/>
        </w:rPr>
        <w:t>。</w:t>
      </w:r>
    </w:p>
    <w:p w14:paraId="681D016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6.2 </w:t>
      </w:r>
      <w:r>
        <w:rPr>
          <w:rFonts w:hint="eastAsia" w:ascii="仿宋" w:hAnsi="仿宋" w:eastAsia="仿宋" w:cs="仿宋"/>
          <w:sz w:val="24"/>
          <w:highlight w:val="none"/>
        </w:rPr>
        <w:t>在采购文件及程序符合法律规定的前提下，对采购文件做出实质性响应的供应商只有两家时，且是第一次开标，采购人应中止</w:t>
      </w:r>
      <w:r>
        <w:rPr>
          <w:rFonts w:hint="eastAsia" w:ascii="仿宋" w:hAnsi="仿宋" w:eastAsia="仿宋" w:cs="仿宋"/>
          <w:sz w:val="24"/>
          <w:highlight w:val="none"/>
          <w:lang w:val="en-US"/>
        </w:rPr>
        <w:t>采购</w:t>
      </w:r>
      <w:r>
        <w:rPr>
          <w:rFonts w:hint="eastAsia" w:ascii="仿宋" w:hAnsi="仿宋" w:eastAsia="仿宋" w:cs="仿宋"/>
          <w:sz w:val="24"/>
          <w:highlight w:val="none"/>
        </w:rPr>
        <w:t>，重新组织采购；如果是第</w:t>
      </w:r>
      <w:r>
        <w:rPr>
          <w:rFonts w:hint="eastAsia" w:ascii="仿宋" w:hAnsi="仿宋" w:eastAsia="仿宋" w:cs="仿宋"/>
          <w:sz w:val="24"/>
          <w:highlight w:val="none"/>
          <w:lang w:val="en-US"/>
        </w:rPr>
        <w:t>二</w:t>
      </w:r>
      <w:r>
        <w:rPr>
          <w:rFonts w:hint="eastAsia" w:ascii="仿宋" w:hAnsi="仿宋" w:eastAsia="仿宋" w:cs="仿宋"/>
          <w:sz w:val="24"/>
          <w:highlight w:val="none"/>
        </w:rPr>
        <w:t>次开标，按照公开、公平和竞争的原则，采购人可以提出转竞争性谈判方式进行，</w:t>
      </w:r>
      <w:r>
        <w:rPr>
          <w:rFonts w:hint="eastAsia" w:ascii="仿宋" w:hAnsi="仿宋" w:eastAsia="仿宋" w:cs="仿宋"/>
          <w:sz w:val="24"/>
          <w:highlight w:val="none"/>
          <w:lang w:val="en-US"/>
        </w:rPr>
        <w:t>经批准</w:t>
      </w:r>
      <w:r>
        <w:rPr>
          <w:rFonts w:hint="eastAsia" w:ascii="仿宋" w:hAnsi="仿宋" w:eastAsia="仿宋" w:cs="仿宋"/>
          <w:sz w:val="24"/>
          <w:highlight w:val="none"/>
        </w:rPr>
        <w:t>后，按批准后的采购方式继续开标。反之，则应直接作废标处理，并依法重新组织采购。</w:t>
      </w:r>
    </w:p>
    <w:p w14:paraId="401EEAD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6.3 评审后</w:t>
      </w:r>
      <w:r>
        <w:rPr>
          <w:rFonts w:hint="eastAsia" w:ascii="仿宋" w:hAnsi="仿宋" w:eastAsia="仿宋" w:cs="仿宋"/>
          <w:sz w:val="24"/>
          <w:highlight w:val="none"/>
        </w:rPr>
        <w:t>如果合格供应商只有一家时，且是第一次开标，采购人应中止</w:t>
      </w:r>
      <w:r>
        <w:rPr>
          <w:rFonts w:hint="eastAsia" w:ascii="仿宋" w:hAnsi="仿宋" w:eastAsia="仿宋" w:cs="仿宋"/>
          <w:sz w:val="24"/>
          <w:highlight w:val="none"/>
          <w:lang w:val="en-US"/>
        </w:rPr>
        <w:t>采购</w:t>
      </w:r>
      <w:r>
        <w:rPr>
          <w:rFonts w:hint="eastAsia" w:ascii="仿宋" w:hAnsi="仿宋" w:eastAsia="仿宋" w:cs="仿宋"/>
          <w:sz w:val="24"/>
          <w:highlight w:val="none"/>
        </w:rPr>
        <w:t>，重新组织采购；如果是第</w:t>
      </w:r>
      <w:r>
        <w:rPr>
          <w:rFonts w:hint="eastAsia" w:ascii="仿宋" w:hAnsi="仿宋" w:eastAsia="仿宋" w:cs="仿宋"/>
          <w:sz w:val="24"/>
          <w:highlight w:val="none"/>
          <w:lang w:val="en-US"/>
        </w:rPr>
        <w:t>二</w:t>
      </w:r>
      <w:r>
        <w:rPr>
          <w:rFonts w:hint="eastAsia" w:ascii="仿宋" w:hAnsi="仿宋" w:eastAsia="仿宋" w:cs="仿宋"/>
          <w:sz w:val="24"/>
          <w:highlight w:val="none"/>
        </w:rPr>
        <w:t>次开标，采购人和投标商既没有过不良行为记录，也不存在明显或恶意的投标倾向性行为，采购人可以申请单一来源方式采购，经批准后，按批准后的采购方式依法按程序组织采购。反之，则应直接作废标处理，并依法重新组织采购。</w:t>
      </w:r>
    </w:p>
    <w:p w14:paraId="595C82E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7 </w:t>
      </w:r>
      <w:r>
        <w:rPr>
          <w:rFonts w:hint="eastAsia" w:ascii="仿宋" w:hAnsi="仿宋" w:eastAsia="仿宋" w:cs="仿宋"/>
          <w:sz w:val="24"/>
          <w:highlight w:val="none"/>
        </w:rPr>
        <w:t>评标前的意见征求</w:t>
      </w:r>
    </w:p>
    <w:p w14:paraId="5255A14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7.1 </w:t>
      </w:r>
      <w:r>
        <w:rPr>
          <w:rFonts w:hint="eastAsia" w:ascii="仿宋" w:hAnsi="仿宋" w:eastAsia="仿宋" w:cs="仿宋"/>
          <w:sz w:val="24"/>
          <w:highlight w:val="none"/>
        </w:rPr>
        <w:t>严格在采购文件的规定范围内，由采购人现场以书面的方式，征求采购人代表对本次评标委员会评标时应注意的事项及意见建议，并签字确认。</w:t>
      </w:r>
    </w:p>
    <w:p w14:paraId="3E9DF8F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7.2 </w:t>
      </w:r>
      <w:r>
        <w:rPr>
          <w:rFonts w:hint="eastAsia" w:ascii="仿宋" w:hAnsi="仿宋" w:eastAsia="仿宋" w:cs="仿宋"/>
          <w:sz w:val="24"/>
          <w:highlight w:val="none"/>
        </w:rPr>
        <w:t>由采购人本次项目承办责任人严格按照采购文件的规定范围，核实并提出是否采信的意见并签字确认。</w:t>
      </w:r>
    </w:p>
    <w:p w14:paraId="764EA4E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23</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7.3 </w:t>
      </w:r>
      <w:r>
        <w:rPr>
          <w:rFonts w:hint="eastAsia" w:ascii="仿宋" w:hAnsi="仿宋" w:eastAsia="仿宋" w:cs="仿宋"/>
          <w:sz w:val="24"/>
          <w:highlight w:val="none"/>
        </w:rPr>
        <w:t>由采购人将可采信的上述意见建议，现场向评标委员会及成员提出可以予以采纳的决定。反之，则不予采纳。</w:t>
      </w:r>
    </w:p>
    <w:p w14:paraId="771F69E5">
      <w:pPr>
        <w:pStyle w:val="4"/>
        <w:ind w:right="0"/>
        <w:rPr>
          <w:rFonts w:hint="eastAsia" w:ascii="仿宋" w:hAnsi="仿宋" w:eastAsia="仿宋" w:cs="仿宋"/>
          <w:sz w:val="24"/>
          <w:highlight w:val="none"/>
        </w:rPr>
      </w:pPr>
      <w:r>
        <w:rPr>
          <w:rFonts w:hint="eastAsia" w:ascii="仿宋" w:hAnsi="仿宋" w:eastAsia="仿宋" w:cs="仿宋"/>
          <w:sz w:val="24"/>
          <w:highlight w:val="none"/>
        </w:rPr>
        <w:t>第二章 评</w:t>
      </w:r>
      <w:r>
        <w:rPr>
          <w:rFonts w:hint="eastAsia" w:ascii="仿宋" w:hAnsi="仿宋" w:eastAsia="仿宋" w:cs="仿宋"/>
          <w:sz w:val="24"/>
          <w:highlight w:val="none"/>
        </w:rPr>
        <w:tab/>
      </w:r>
      <w:r>
        <w:rPr>
          <w:rFonts w:hint="eastAsia" w:ascii="仿宋" w:hAnsi="仿宋" w:eastAsia="仿宋" w:cs="仿宋"/>
          <w:sz w:val="24"/>
          <w:highlight w:val="none"/>
        </w:rPr>
        <w:t>标</w:t>
      </w:r>
    </w:p>
    <w:p w14:paraId="4EAB329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 </w:t>
      </w:r>
      <w:r>
        <w:rPr>
          <w:rFonts w:hint="eastAsia" w:ascii="仿宋" w:hAnsi="仿宋" w:eastAsia="仿宋" w:cs="仿宋"/>
          <w:sz w:val="24"/>
          <w:highlight w:val="none"/>
        </w:rPr>
        <w:t>开标报价</w:t>
      </w:r>
    </w:p>
    <w:p w14:paraId="6419EF1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1 </w:t>
      </w:r>
      <w:r>
        <w:rPr>
          <w:rFonts w:hint="eastAsia" w:ascii="仿宋" w:hAnsi="仿宋" w:eastAsia="仿宋" w:cs="仿宋"/>
          <w:sz w:val="24"/>
          <w:highlight w:val="none"/>
        </w:rPr>
        <w:t>评标依据</w:t>
      </w:r>
    </w:p>
    <w:p w14:paraId="643FEA2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1.1 </w:t>
      </w:r>
      <w:r>
        <w:rPr>
          <w:rFonts w:hint="eastAsia" w:ascii="仿宋" w:hAnsi="仿宋" w:eastAsia="仿宋" w:cs="仿宋"/>
          <w:sz w:val="24"/>
          <w:highlight w:val="none"/>
        </w:rPr>
        <w:t>采购文件是评标的唯一依据。评标委员会评标要依据采购人的采购文件和投标人的投标文件进行比较与评标。</w:t>
      </w:r>
    </w:p>
    <w:p w14:paraId="2B66A15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1.2 </w:t>
      </w:r>
      <w:r>
        <w:rPr>
          <w:rFonts w:hint="eastAsia" w:ascii="仿宋" w:hAnsi="仿宋" w:eastAsia="仿宋" w:cs="仿宋"/>
          <w:sz w:val="24"/>
          <w:highlight w:val="none"/>
        </w:rPr>
        <w:t>采购文件中的主要产品（核心产品），提供相同品牌产品且通过资格审查、符合性审查的不同投标人，按一家投标人计算，评审后得分最高的同品牌投标人获得中标人推荐资格。</w:t>
      </w:r>
    </w:p>
    <w:p w14:paraId="4157A7B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1.3 </w:t>
      </w:r>
      <w:r>
        <w:rPr>
          <w:rFonts w:hint="eastAsia" w:ascii="仿宋" w:hAnsi="仿宋" w:eastAsia="仿宋" w:cs="仿宋"/>
          <w:sz w:val="24"/>
          <w:highlight w:val="none"/>
        </w:rPr>
        <w:t>当发现投标人的投标文件有以下情形时，将认定为有串标嫌疑而对其予以废标：总报价相近，但其中分项报价不合理，且没有合理解释的；总报价相近， 且其中款项报价雷同，又提不出计算依据的；总报价相近，数项子目单价完全相同， 且提不出合理的单价组成的；总报价相近，主要材料设备价格极其相近的；总价相</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"http://www.shenmeshi.com/Education/Education_20070429223431.html" \h </w:instrText>
      </w:r>
      <w:r>
        <w:rPr>
          <w:rFonts w:hint="eastAsia" w:ascii="仿宋" w:hAnsi="仿宋" w:eastAsia="仿宋" w:cs="仿宋"/>
          <w:highlight w:val="none"/>
        </w:rPr>
        <w:fldChar w:fldCharType="separate"/>
      </w:r>
      <w:r>
        <w:rPr>
          <w:rFonts w:hint="eastAsia" w:ascii="仿宋" w:hAnsi="仿宋" w:eastAsia="仿宋" w:cs="仿宋"/>
          <w:sz w:val="24"/>
          <w:highlight w:val="none"/>
        </w:rPr>
        <w:t>同，没有成本分析</w:t>
      </w:r>
      <w:r>
        <w:rPr>
          <w:rFonts w:hint="eastAsia" w:ascii="仿宋" w:hAnsi="仿宋" w:eastAsia="仿宋" w:cs="仿宋"/>
          <w:sz w:val="24"/>
          <w:highlight w:val="none"/>
        </w:rPr>
        <w:fldChar w:fldCharType="end"/>
      </w:r>
      <w:r>
        <w:rPr>
          <w:rFonts w:hint="eastAsia" w:ascii="仿宋" w:hAnsi="仿宋" w:eastAsia="仿宋" w:cs="仿宋"/>
          <w:sz w:val="24"/>
          <w:highlight w:val="none"/>
        </w:rPr>
        <w:t>，分项乱调的；几个投标人的</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"http://www.shenmeshi.com/Science/Index.html" \h </w:instrText>
      </w:r>
      <w:r>
        <w:rPr>
          <w:rFonts w:hint="eastAsia" w:ascii="仿宋" w:hAnsi="仿宋" w:eastAsia="仿宋" w:cs="仿宋"/>
          <w:highlight w:val="none"/>
        </w:rPr>
        <w:fldChar w:fldCharType="separate"/>
      </w:r>
      <w:r>
        <w:rPr>
          <w:rFonts w:hint="eastAsia" w:ascii="仿宋" w:hAnsi="仿宋" w:eastAsia="仿宋" w:cs="仿宋"/>
          <w:sz w:val="24"/>
          <w:highlight w:val="none"/>
        </w:rPr>
        <w:t>技术</w:t>
      </w:r>
      <w:r>
        <w:rPr>
          <w:rFonts w:hint="eastAsia" w:ascii="仿宋" w:hAnsi="仿宋" w:eastAsia="仿宋" w:cs="仿宋"/>
          <w:sz w:val="24"/>
          <w:highlight w:val="none"/>
        </w:rPr>
        <w:fldChar w:fldCharType="end"/>
      </w:r>
      <w:r>
        <w:rPr>
          <w:rFonts w:hint="eastAsia" w:ascii="仿宋" w:hAnsi="仿宋" w:eastAsia="仿宋" w:cs="仿宋"/>
          <w:sz w:val="24"/>
          <w:highlight w:val="none"/>
        </w:rPr>
        <w:t>标都雷同的。</w:t>
      </w:r>
    </w:p>
    <w:p w14:paraId="1A655D1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1.4 </w:t>
      </w:r>
      <w:r>
        <w:rPr>
          <w:rFonts w:hint="eastAsia" w:ascii="仿宋" w:hAnsi="仿宋" w:eastAsia="仿宋" w:cs="仿宋"/>
          <w:sz w:val="24"/>
          <w:highlight w:val="none"/>
        </w:rPr>
        <w:t>本次评标采取综合评分法。</w:t>
      </w:r>
    </w:p>
    <w:p w14:paraId="25DA665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2 </w:t>
      </w:r>
      <w:r>
        <w:rPr>
          <w:rFonts w:hint="eastAsia" w:ascii="仿宋" w:hAnsi="仿宋" w:eastAsia="仿宋" w:cs="仿宋"/>
          <w:sz w:val="24"/>
          <w:highlight w:val="none"/>
        </w:rPr>
        <w:t>评标过程的保密性</w:t>
      </w:r>
    </w:p>
    <w:p w14:paraId="5C2B5E6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2.1  </w:t>
      </w:r>
      <w:r>
        <w:rPr>
          <w:rFonts w:hint="eastAsia" w:ascii="仿宋" w:hAnsi="仿宋" w:eastAsia="仿宋" w:cs="仿宋"/>
          <w:sz w:val="24"/>
          <w:highlight w:val="none"/>
        </w:rPr>
        <w:t>所有与本次招标及评标有关的人员，均不得向供应商及与招标项目无关的其他人员，透露与评标有关的资料以及授予合同的意见等。</w:t>
      </w:r>
    </w:p>
    <w:p w14:paraId="624A0F2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2.2 </w:t>
      </w:r>
      <w:r>
        <w:rPr>
          <w:rFonts w:hint="eastAsia" w:ascii="仿宋" w:hAnsi="仿宋" w:eastAsia="仿宋" w:cs="仿宋"/>
          <w:sz w:val="24"/>
          <w:highlight w:val="none"/>
        </w:rPr>
        <w:t>在评标过程中，供应商试图在投标文件审查、报价、询标（答疑）、</w:t>
      </w:r>
    </w:p>
    <w:p w14:paraId="57A4F03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澄清、比较及授予合同方面向采购人员施加影响的任何行为，都可能导致其投标文件被拒绝。</w:t>
      </w:r>
    </w:p>
    <w:p w14:paraId="1BC48BA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2.3 </w:t>
      </w:r>
      <w:r>
        <w:rPr>
          <w:rFonts w:hint="eastAsia" w:ascii="仿宋" w:hAnsi="仿宋" w:eastAsia="仿宋" w:cs="仿宋"/>
          <w:sz w:val="24"/>
          <w:highlight w:val="none"/>
        </w:rPr>
        <w:t>开标后直到授予投标人合同为止，凡是属于审查、报价、询标（答疑）、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4B855FD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2.4 </w:t>
      </w:r>
      <w:r>
        <w:rPr>
          <w:rFonts w:hint="eastAsia" w:ascii="仿宋" w:hAnsi="仿宋" w:eastAsia="仿宋" w:cs="仿宋"/>
          <w:sz w:val="24"/>
          <w:highlight w:val="none"/>
        </w:rPr>
        <w:t>投标人在评标过程中，所进行的力图影响评标结果的不符合《政府采购法》及本次招标有关规定的活动，将被取消中标资格。</w:t>
      </w:r>
    </w:p>
    <w:p w14:paraId="34F491B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3 </w:t>
      </w:r>
      <w:r>
        <w:rPr>
          <w:rFonts w:hint="eastAsia" w:ascii="仿宋" w:hAnsi="仿宋" w:eastAsia="仿宋" w:cs="仿宋"/>
          <w:sz w:val="24"/>
          <w:highlight w:val="none"/>
        </w:rPr>
        <w:t>评标有关规定要求</w:t>
      </w:r>
    </w:p>
    <w:p w14:paraId="569A6BE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3.1 </w:t>
      </w:r>
      <w:r>
        <w:rPr>
          <w:rFonts w:hint="eastAsia" w:ascii="仿宋" w:hAnsi="仿宋" w:eastAsia="仿宋" w:cs="仿宋"/>
          <w:sz w:val="24"/>
          <w:highlight w:val="none"/>
        </w:rPr>
        <w:t>参加本次评标的专家成员及其他与会人员</w:t>
      </w:r>
      <w:r>
        <w:rPr>
          <w:rFonts w:hint="eastAsia" w:ascii="仿宋" w:hAnsi="仿宋" w:eastAsia="仿宋" w:cs="仿宋"/>
          <w:sz w:val="24"/>
          <w:highlight w:val="none"/>
          <w:lang w:val="en-US"/>
        </w:rPr>
        <w:t>应</w:t>
      </w:r>
      <w:r>
        <w:rPr>
          <w:rFonts w:hint="eastAsia" w:ascii="仿宋" w:hAnsi="仿宋" w:eastAsia="仿宋" w:cs="仿宋"/>
          <w:sz w:val="24"/>
          <w:highlight w:val="none"/>
        </w:rPr>
        <w:t>严格遵守前款“第三部分”中10.</w:t>
      </w:r>
      <w:r>
        <w:rPr>
          <w:rFonts w:hint="eastAsia" w:ascii="仿宋" w:hAnsi="仿宋" w:eastAsia="仿宋" w:cs="仿宋"/>
          <w:sz w:val="24"/>
          <w:highlight w:val="none"/>
          <w:lang w:val="en-US"/>
        </w:rPr>
        <w:t>4</w:t>
      </w:r>
      <w:r>
        <w:rPr>
          <w:rFonts w:hint="eastAsia" w:ascii="仿宋" w:hAnsi="仿宋" w:eastAsia="仿宋" w:cs="仿宋"/>
          <w:sz w:val="24"/>
          <w:highlight w:val="none"/>
        </w:rPr>
        <w:t>条款之规定进行评标。</w:t>
      </w:r>
    </w:p>
    <w:p w14:paraId="4388C67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3.2 </w:t>
      </w:r>
      <w:r>
        <w:rPr>
          <w:rFonts w:hint="eastAsia" w:ascii="仿宋" w:hAnsi="仿宋" w:eastAsia="仿宋" w:cs="仿宋"/>
          <w:sz w:val="24"/>
          <w:highlight w:val="none"/>
        </w:rPr>
        <w:t>评标、报价、询标（答疑）、澄清应按照投标人递交投标文件的正顺序进行。</w:t>
      </w:r>
    </w:p>
    <w:p w14:paraId="630931B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3.3 </w:t>
      </w:r>
      <w:r>
        <w:rPr>
          <w:rFonts w:hint="eastAsia" w:ascii="仿宋" w:hAnsi="仿宋" w:eastAsia="仿宋" w:cs="仿宋"/>
          <w:sz w:val="24"/>
          <w:highlight w:val="none"/>
        </w:rPr>
        <w:t>评标委员会成员和与本次评标活动有关的工作人员，应遵循前款“第四部分”“第四章”中 21 条款和 22.条款之规定。</w:t>
      </w:r>
    </w:p>
    <w:p w14:paraId="0395AD9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3.4 </w:t>
      </w:r>
      <w:r>
        <w:rPr>
          <w:rFonts w:hint="eastAsia" w:ascii="仿宋" w:hAnsi="仿宋" w:eastAsia="仿宋" w:cs="仿宋"/>
          <w:sz w:val="24"/>
          <w:highlight w:val="none"/>
        </w:rPr>
        <w:t>评标现场凡供应商提供所涉及的投标资料，严格按照前款“第三部分” 中 10.4 条款执行。</w:t>
      </w:r>
    </w:p>
    <w:p w14:paraId="5071E13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3.5 </w:t>
      </w:r>
      <w:r>
        <w:rPr>
          <w:rFonts w:hint="eastAsia" w:ascii="仿宋" w:hAnsi="仿宋" w:eastAsia="仿宋" w:cs="仿宋"/>
          <w:sz w:val="24"/>
          <w:highlight w:val="none"/>
        </w:rPr>
        <w:t>采购人要对当事双方的评标、报价、询标（答疑）、澄清等，做好书面记录，经评标委员会、投标人确认的记录与采购文件、投标人投标文件具有同等法律地位；也是供应商一旦中标后，与采购人签订中标合同和发生质疑或投诉事项时的重要法律依据。</w:t>
      </w:r>
    </w:p>
    <w:p w14:paraId="7C663FD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3.6 </w:t>
      </w:r>
      <w:r>
        <w:rPr>
          <w:rFonts w:hint="eastAsia" w:ascii="仿宋" w:hAnsi="仿宋" w:eastAsia="仿宋" w:cs="仿宋"/>
          <w:sz w:val="24"/>
          <w:highlight w:val="none"/>
        </w:rPr>
        <w:t>评标委员会各成员应在采购人规定时间内阅读和熟悉采购文件，当要提出采购文件疑问事项时，应由采购人本次招标项目的责任人作为主体解答者，解答不清的，由会议主持进行补充解答。</w:t>
      </w:r>
    </w:p>
    <w:p w14:paraId="09908E5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 </w:t>
      </w:r>
      <w:r>
        <w:rPr>
          <w:rFonts w:hint="eastAsia" w:ascii="仿宋" w:hAnsi="仿宋" w:eastAsia="仿宋" w:cs="仿宋"/>
          <w:sz w:val="24"/>
          <w:highlight w:val="none"/>
        </w:rPr>
        <w:t>报价</w:t>
      </w:r>
    </w:p>
    <w:p w14:paraId="0F30D59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4.1 </w:t>
      </w:r>
      <w:r>
        <w:rPr>
          <w:rFonts w:hint="eastAsia" w:ascii="仿宋" w:hAnsi="仿宋" w:eastAsia="仿宋" w:cs="仿宋"/>
          <w:sz w:val="24"/>
          <w:highlight w:val="none"/>
        </w:rPr>
        <w:t>投标报价的审查和原则要求</w:t>
      </w:r>
    </w:p>
    <w:p w14:paraId="75E1DB2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4.1.1 </w:t>
      </w:r>
      <w:r>
        <w:rPr>
          <w:rFonts w:hint="eastAsia" w:ascii="仿宋" w:hAnsi="仿宋" w:eastAsia="仿宋" w:cs="仿宋"/>
          <w:sz w:val="24"/>
          <w:highlight w:val="none"/>
        </w:rPr>
        <w:t>采购人应须对评标委员会确定为实质上响应采购文件要求的投标文件中的价格进行审核，检查看其是否有计算和累加上的错误。</w:t>
      </w:r>
    </w:p>
    <w:p w14:paraId="0C3FDA3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4.1.2 </w:t>
      </w:r>
      <w:r>
        <w:rPr>
          <w:rFonts w:hint="eastAsia" w:ascii="仿宋" w:hAnsi="仿宋" w:eastAsia="仿宋" w:cs="仿宋"/>
          <w:sz w:val="24"/>
          <w:highlight w:val="none"/>
        </w:rPr>
        <w:t>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供应商具有约束力。如果供应商不接受修正后的价格，则其报价将被拒绝，其投标报价保证金将被没收。</w:t>
      </w:r>
    </w:p>
    <w:p w14:paraId="1FF82FC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4.1.3 开标时进行</w:t>
      </w:r>
      <w:r>
        <w:rPr>
          <w:rFonts w:hint="eastAsia" w:ascii="仿宋" w:hAnsi="仿宋" w:eastAsia="仿宋" w:cs="仿宋"/>
          <w:sz w:val="24"/>
          <w:highlight w:val="none"/>
        </w:rPr>
        <w:t>公开唱标</w:t>
      </w:r>
      <w:r>
        <w:rPr>
          <w:rFonts w:hint="eastAsia" w:ascii="仿宋" w:hAnsi="仿宋" w:eastAsia="仿宋" w:cs="仿宋"/>
          <w:sz w:val="24"/>
          <w:highlight w:val="none"/>
          <w:lang w:val="en-US"/>
        </w:rPr>
        <w:t>并由各投标人进行确认</w:t>
      </w:r>
      <w:r>
        <w:rPr>
          <w:rFonts w:hint="eastAsia" w:ascii="仿宋" w:hAnsi="仿宋" w:eastAsia="仿宋" w:cs="仿宋"/>
          <w:sz w:val="24"/>
          <w:highlight w:val="none"/>
        </w:rPr>
        <w:t>；报价采用一次性报价方式，不接受</w:t>
      </w:r>
      <w:r>
        <w:rPr>
          <w:rFonts w:hint="eastAsia" w:ascii="仿宋" w:hAnsi="仿宋" w:eastAsia="仿宋" w:cs="仿宋"/>
          <w:sz w:val="24"/>
          <w:highlight w:val="none"/>
          <w:lang w:val="en-US"/>
        </w:rPr>
        <w:t>二</w:t>
      </w:r>
      <w:r>
        <w:rPr>
          <w:rFonts w:hint="eastAsia" w:ascii="仿宋" w:hAnsi="仿宋" w:eastAsia="仿宋" w:cs="仿宋"/>
          <w:sz w:val="24"/>
          <w:highlight w:val="none"/>
        </w:rPr>
        <w:t>次提供，否则，将直接取消其投标报价资格。</w:t>
      </w:r>
    </w:p>
    <w:p w14:paraId="60B2E8E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4.1.4 </w:t>
      </w:r>
      <w:r>
        <w:rPr>
          <w:rFonts w:hint="eastAsia" w:ascii="仿宋" w:hAnsi="仿宋" w:eastAsia="仿宋" w:cs="仿宋"/>
          <w:sz w:val="24"/>
          <w:highlight w:val="none"/>
        </w:rPr>
        <w:t>投标人的报价均应报出拟提供货物的单价和总价。</w:t>
      </w:r>
    </w:p>
    <w:p w14:paraId="1DBED12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4.1.5 </w:t>
      </w:r>
      <w:r>
        <w:rPr>
          <w:rFonts w:hint="eastAsia" w:ascii="仿宋" w:hAnsi="仿宋" w:eastAsia="仿宋" w:cs="仿宋"/>
          <w:sz w:val="24"/>
          <w:highlight w:val="none"/>
        </w:rPr>
        <w:t>各投标人须</w:t>
      </w:r>
      <w:r>
        <w:rPr>
          <w:rFonts w:hint="eastAsia" w:ascii="仿宋" w:hAnsi="仿宋" w:eastAsia="仿宋" w:cs="仿宋"/>
          <w:sz w:val="24"/>
          <w:highlight w:val="none"/>
          <w:lang w:val="en-US"/>
        </w:rPr>
        <w:t>在</w:t>
      </w:r>
      <w:r>
        <w:rPr>
          <w:rFonts w:hint="eastAsia" w:ascii="仿宋" w:hAnsi="仿宋" w:eastAsia="仿宋" w:cs="仿宋"/>
          <w:sz w:val="24"/>
          <w:highlight w:val="none"/>
        </w:rPr>
        <w:t>采购人规定的时间</w:t>
      </w:r>
      <w:r>
        <w:rPr>
          <w:rFonts w:hint="eastAsia" w:ascii="仿宋" w:hAnsi="仿宋" w:eastAsia="仿宋" w:cs="仿宋"/>
          <w:sz w:val="24"/>
          <w:highlight w:val="none"/>
          <w:lang w:val="en-US"/>
        </w:rPr>
        <w:t>内</w:t>
      </w:r>
      <w:r>
        <w:rPr>
          <w:rFonts w:hint="eastAsia" w:ascii="仿宋" w:hAnsi="仿宋" w:eastAsia="仿宋" w:cs="仿宋"/>
          <w:sz w:val="24"/>
          <w:highlight w:val="none"/>
        </w:rPr>
        <w:t>进行报价，严格遵守前款“第三部分”中10.</w:t>
      </w:r>
      <w:r>
        <w:rPr>
          <w:rFonts w:hint="eastAsia" w:ascii="仿宋" w:hAnsi="仿宋" w:eastAsia="仿宋" w:cs="仿宋"/>
          <w:sz w:val="24"/>
          <w:highlight w:val="none"/>
          <w:lang w:val="en-US"/>
        </w:rPr>
        <w:t>6</w:t>
      </w:r>
      <w:r>
        <w:rPr>
          <w:rFonts w:hint="eastAsia" w:ascii="仿宋" w:hAnsi="仿宋" w:eastAsia="仿宋" w:cs="仿宋"/>
          <w:sz w:val="24"/>
          <w:highlight w:val="none"/>
        </w:rPr>
        <w:t>条款之规定。</w:t>
      </w:r>
    </w:p>
    <w:p w14:paraId="1270DDE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4.2 </w:t>
      </w:r>
      <w:r>
        <w:rPr>
          <w:rFonts w:hint="eastAsia" w:ascii="仿宋" w:hAnsi="仿宋" w:eastAsia="仿宋" w:cs="仿宋"/>
          <w:sz w:val="24"/>
          <w:highlight w:val="none"/>
        </w:rPr>
        <w:t>唱标、记标</w:t>
      </w:r>
    </w:p>
    <w:p w14:paraId="2967408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4.2.1 </w:t>
      </w:r>
      <w:r>
        <w:rPr>
          <w:rFonts w:hint="eastAsia" w:ascii="仿宋" w:hAnsi="仿宋" w:eastAsia="仿宋" w:cs="仿宋"/>
          <w:sz w:val="24"/>
          <w:highlight w:val="none"/>
        </w:rPr>
        <w:t>采购人对投标报价登记确认、资格资质审查合格，及对采购文件做出实质性响应的供应商的报价，要给予每个正在参加评标的供应商相同的机会，并对报价采取公开的方式，按照供应商现场递交投标文件的正顺序，采取书面记录方式，在现场开标现场当场进行唱标公布。该报价只允许有一个报价，投标人任何有选择性的报价将不予接受。</w:t>
      </w:r>
    </w:p>
    <w:p w14:paraId="28C94AD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4.2.2 </w:t>
      </w:r>
      <w:r>
        <w:rPr>
          <w:rFonts w:hint="eastAsia" w:ascii="仿宋" w:hAnsi="仿宋" w:eastAsia="仿宋" w:cs="仿宋"/>
          <w:sz w:val="24"/>
          <w:highlight w:val="none"/>
        </w:rPr>
        <w:t>报价以供应商提交的投标文件中“开标一览表”的内容为准。</w:t>
      </w:r>
    </w:p>
    <w:p w14:paraId="0E4961C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4.2.3 </w:t>
      </w:r>
      <w:r>
        <w:rPr>
          <w:rFonts w:hint="eastAsia" w:ascii="仿宋" w:hAnsi="仿宋" w:eastAsia="仿宋" w:cs="仿宋"/>
          <w:sz w:val="24"/>
          <w:highlight w:val="none"/>
        </w:rPr>
        <w:t>唱标和记标的顺序，按照投标人现场递交投标文件的正顺序依次进行。</w:t>
      </w:r>
    </w:p>
    <w:p w14:paraId="5D22C3E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4.3 </w:t>
      </w:r>
      <w:r>
        <w:rPr>
          <w:rFonts w:hint="eastAsia" w:ascii="仿宋" w:hAnsi="仿宋" w:eastAsia="仿宋" w:cs="仿宋"/>
          <w:sz w:val="24"/>
          <w:highlight w:val="none"/>
        </w:rPr>
        <w:t>最终报价是否均超过采购预算的审查确认</w:t>
      </w:r>
    </w:p>
    <w:p w14:paraId="09778589">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4.3.1 </w:t>
      </w:r>
      <w:r>
        <w:rPr>
          <w:rFonts w:hint="eastAsia" w:ascii="仿宋" w:hAnsi="仿宋" w:eastAsia="仿宋" w:cs="仿宋"/>
          <w:sz w:val="24"/>
          <w:highlight w:val="none"/>
        </w:rPr>
        <w:t>报价唱标结束后，采购人须根据《中华人民共和国政府采购法》及采购文件</w:t>
      </w:r>
      <w:r>
        <w:rPr>
          <w:rFonts w:hint="eastAsia" w:ascii="仿宋" w:hAnsi="仿宋" w:eastAsia="仿宋" w:cs="仿宋"/>
          <w:sz w:val="24"/>
          <w:highlight w:val="none"/>
          <w:lang w:val="en-US"/>
        </w:rPr>
        <w:t>的规定，按照最终报价不接受超过采购预算的原则，对最终报价是否均超过采购预算进行审查确认，并在开标现场公布结果。</w:t>
      </w:r>
    </w:p>
    <w:p w14:paraId="06B25197">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24.4.3.2 唱标结束后，如所有报价均超过采购预算，且采购人不能支付时，采购人现场应宣布本次招标废标。出现此种情况时，评标委员会有权决定拒绝所有的投标文件。</w:t>
      </w:r>
    </w:p>
    <w:p w14:paraId="1C77799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5 </w:t>
      </w:r>
      <w:r>
        <w:rPr>
          <w:rFonts w:hint="eastAsia" w:ascii="仿宋" w:hAnsi="仿宋" w:eastAsia="仿宋" w:cs="仿宋"/>
          <w:sz w:val="24"/>
          <w:highlight w:val="none"/>
        </w:rPr>
        <w:t>评标程序</w:t>
      </w:r>
    </w:p>
    <w:p w14:paraId="261F161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24.5.1 </w:t>
      </w:r>
      <w:r>
        <w:rPr>
          <w:rFonts w:hint="eastAsia" w:ascii="仿宋" w:hAnsi="仿宋" w:eastAsia="仿宋" w:cs="仿宋"/>
          <w:sz w:val="24"/>
          <w:highlight w:val="none"/>
        </w:rPr>
        <w:t>评标委员会及其成员应当遵循独立评标的原则，按照独立初审、单独（或集中）询标（答疑）、独立综合评审、独立推荐拟中标候选人、集体定标、出具评标报告的工作程序进行。</w:t>
      </w:r>
    </w:p>
    <w:p w14:paraId="3FA76B7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24.5.2 </w:t>
      </w:r>
      <w:r>
        <w:rPr>
          <w:rFonts w:hint="eastAsia" w:ascii="仿宋" w:hAnsi="仿宋" w:eastAsia="仿宋" w:cs="仿宋"/>
          <w:sz w:val="24"/>
          <w:highlight w:val="none"/>
        </w:rPr>
        <w:t>评标委员会应单独（或集中）与资格资质审查合格的投标人分别进行技术和商务评审与比较。</w:t>
      </w:r>
    </w:p>
    <w:p w14:paraId="64ADAA91">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24.5.3 </w:t>
      </w:r>
      <w:r>
        <w:rPr>
          <w:rFonts w:hint="eastAsia" w:ascii="仿宋" w:hAnsi="仿宋" w:eastAsia="仿宋" w:cs="仿宋"/>
          <w:sz w:val="24"/>
          <w:highlight w:val="none"/>
        </w:rPr>
        <w:t>按照采购人规定程序，评标当事双方应本着“实事求是、公正诚信” 的原则，以采购人的采购文件为评标的唯一依据，不允许做采购文件以外无关问题讨论；评标委员会成员可以采取单独（或集中）的方式与供应商分别逐一进行评标、询标（答疑）、澄清。</w:t>
      </w:r>
    </w:p>
    <w:p w14:paraId="05E0059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5.5 </w:t>
      </w:r>
      <w:r>
        <w:rPr>
          <w:rFonts w:hint="eastAsia" w:ascii="仿宋" w:hAnsi="仿宋" w:eastAsia="仿宋" w:cs="仿宋"/>
          <w:sz w:val="24"/>
          <w:highlight w:val="none"/>
        </w:rPr>
        <w:t>询标（答疑）、澄清</w:t>
      </w:r>
    </w:p>
    <w:p w14:paraId="12288F1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24.5.5.1 </w:t>
      </w:r>
      <w:r>
        <w:rPr>
          <w:rFonts w:hint="eastAsia" w:ascii="仿宋" w:hAnsi="仿宋" w:eastAsia="仿宋" w:cs="仿宋"/>
          <w:sz w:val="24"/>
          <w:highlight w:val="none"/>
        </w:rPr>
        <w:t>在评标过程中，评标委员会各成员如对投标文件中含义不明确、同类问题表述不一致或者有明显文字和计算错误的内容，需要供应商进行必要澄清、说明或者纠正</w:t>
      </w:r>
      <w:r>
        <w:rPr>
          <w:rFonts w:hint="eastAsia" w:ascii="仿宋" w:hAnsi="仿宋" w:eastAsia="仿宋" w:cs="仿宋"/>
          <w:sz w:val="24"/>
          <w:highlight w:val="none"/>
          <w:lang w:val="en-US"/>
        </w:rPr>
        <w:t>的</w:t>
      </w:r>
      <w:r>
        <w:rPr>
          <w:rFonts w:hint="eastAsia" w:ascii="仿宋" w:hAnsi="仿宋" w:eastAsia="仿宋" w:cs="仿宋"/>
          <w:sz w:val="24"/>
          <w:highlight w:val="none"/>
        </w:rPr>
        <w:t>，</w:t>
      </w:r>
      <w:r>
        <w:rPr>
          <w:rFonts w:hint="eastAsia" w:ascii="仿宋" w:hAnsi="仿宋" w:eastAsia="仿宋" w:cs="仿宋"/>
          <w:sz w:val="24"/>
          <w:highlight w:val="none"/>
          <w:lang w:val="en-US"/>
        </w:rPr>
        <w:t>各投标人应按</w:t>
      </w:r>
      <w:r>
        <w:rPr>
          <w:rFonts w:hint="eastAsia" w:ascii="仿宋" w:hAnsi="仿宋" w:eastAsia="仿宋" w:cs="仿宋"/>
          <w:sz w:val="24"/>
          <w:highlight w:val="none"/>
        </w:rPr>
        <w:t>采购人</w:t>
      </w:r>
      <w:r>
        <w:rPr>
          <w:rFonts w:hint="eastAsia" w:ascii="仿宋" w:hAnsi="仿宋" w:eastAsia="仿宋" w:cs="仿宋"/>
          <w:sz w:val="24"/>
          <w:highlight w:val="none"/>
          <w:lang w:val="en-US"/>
        </w:rPr>
        <w:t>的</w:t>
      </w:r>
      <w:r>
        <w:rPr>
          <w:rFonts w:hint="eastAsia" w:ascii="仿宋" w:hAnsi="仿宋" w:eastAsia="仿宋" w:cs="仿宋"/>
          <w:sz w:val="24"/>
          <w:highlight w:val="none"/>
        </w:rPr>
        <w:t>规定作出必要的澄清、说明或者补正，和分别单独（或集中）进行询标（答疑）。</w:t>
      </w:r>
    </w:p>
    <w:p w14:paraId="1166C79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24.5.5.2 </w:t>
      </w:r>
      <w:r>
        <w:rPr>
          <w:rFonts w:hint="eastAsia" w:ascii="仿宋" w:hAnsi="仿宋" w:eastAsia="仿宋" w:cs="仿宋"/>
          <w:sz w:val="24"/>
          <w:highlight w:val="none"/>
        </w:rPr>
        <w:t>为有助于对投标文件进行审查、评估和比较，评标委员会及其成员将对认为需要投标人进行询标（答疑）、澄清等时，投标人有责任按照采购人通知的时间、地点进行询标（答疑）和澄清。询标（答疑）和澄清时，投标人代表应作书面记录，并对重要内容做出书面答复。</w:t>
      </w:r>
    </w:p>
    <w:p w14:paraId="0A9F187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24.5.5.3 </w:t>
      </w:r>
      <w:r>
        <w:rPr>
          <w:rFonts w:hint="eastAsia" w:ascii="仿宋" w:hAnsi="仿宋" w:eastAsia="仿宋" w:cs="仿宋"/>
          <w:sz w:val="24"/>
          <w:highlight w:val="none"/>
        </w:rPr>
        <w:t>评标委员会在初步评审的基础上，单独（或集体）讨论、分析、综合各种因素后，可决定是否与各投标人再次进行询标（答疑）。</w:t>
      </w:r>
    </w:p>
    <w:p w14:paraId="45106BE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24.5.5.4 </w:t>
      </w:r>
      <w:r>
        <w:rPr>
          <w:rFonts w:hint="eastAsia" w:ascii="仿宋" w:hAnsi="仿宋" w:eastAsia="仿宋" w:cs="仿宋"/>
          <w:sz w:val="24"/>
          <w:highlight w:val="none"/>
        </w:rPr>
        <w:t>采购人要对供应商的澄清、说明或者补正采用现场</w:t>
      </w:r>
      <w:r>
        <w:rPr>
          <w:rFonts w:hint="eastAsia" w:ascii="仿宋" w:hAnsi="仿宋" w:eastAsia="仿宋" w:cs="仿宋"/>
          <w:sz w:val="24"/>
          <w:highlight w:val="none"/>
          <w:lang w:val="en-US"/>
        </w:rPr>
        <w:t>递交</w:t>
      </w:r>
      <w:r>
        <w:rPr>
          <w:rFonts w:hint="eastAsia" w:ascii="仿宋" w:hAnsi="仿宋" w:eastAsia="仿宋" w:cs="仿宋"/>
          <w:sz w:val="24"/>
          <w:highlight w:val="none"/>
        </w:rPr>
        <w:t>形式，由采购人做好书面记录，并由其法定代表人或授权的代表签字或加盖公章，其澄清、说明或者补正不得超出投标报价文件的范围或者改变其实质性内容，并作为投标文件的组成部分。</w:t>
      </w:r>
    </w:p>
    <w:p w14:paraId="0D996B5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24.5.5.5</w:t>
      </w:r>
      <w:r>
        <w:rPr>
          <w:rFonts w:hint="eastAsia" w:ascii="仿宋" w:hAnsi="仿宋" w:eastAsia="仿宋" w:cs="仿宋"/>
          <w:sz w:val="24"/>
          <w:highlight w:val="none"/>
        </w:rPr>
        <w:t>投标人拒不进行澄清、说明或者补正的，或者不能在采购人规定时间内做出书面澄清、说明或者补正的，评标委员会将取消其继续参加评标的资格。</w:t>
      </w:r>
    </w:p>
    <w:p w14:paraId="777961B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24.5.5.6</w:t>
      </w:r>
      <w:r>
        <w:rPr>
          <w:rFonts w:hint="eastAsia" w:ascii="仿宋" w:hAnsi="仿宋" w:eastAsia="仿宋" w:cs="仿宋"/>
          <w:sz w:val="24"/>
          <w:highlight w:val="none"/>
        </w:rPr>
        <w:t>参加投标的供应商应当对评标（审）的承诺和最终报价以书面形式确认，并由其法定代表人（或其授权人）签署或加盖公章。</w:t>
      </w:r>
    </w:p>
    <w:p w14:paraId="73FAAC1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24</w:t>
      </w:r>
      <w:r>
        <w:rPr>
          <w:rFonts w:hint="eastAsia" w:ascii="仿宋" w:hAnsi="仿宋" w:eastAsia="仿宋" w:cs="仿宋"/>
          <w:sz w:val="24"/>
          <w:highlight w:val="none"/>
        </w:rPr>
        <w:t>.</w:t>
      </w:r>
      <w:r>
        <w:rPr>
          <w:rFonts w:hint="eastAsia" w:ascii="仿宋" w:hAnsi="仿宋" w:eastAsia="仿宋" w:cs="仿宋"/>
          <w:sz w:val="24"/>
          <w:highlight w:val="none"/>
          <w:lang w:val="en-US"/>
        </w:rPr>
        <w:t xml:space="preserve">5.6 </w:t>
      </w:r>
      <w:r>
        <w:rPr>
          <w:rFonts w:hint="eastAsia" w:ascii="仿宋" w:hAnsi="仿宋" w:eastAsia="仿宋" w:cs="仿宋"/>
          <w:sz w:val="24"/>
          <w:highlight w:val="none"/>
        </w:rPr>
        <w:t>符合性审查</w:t>
      </w:r>
    </w:p>
    <w:p w14:paraId="0552523F">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24.5.6.1 </w:t>
      </w:r>
      <w:r>
        <w:rPr>
          <w:rFonts w:hint="eastAsia" w:ascii="仿宋" w:hAnsi="仿宋" w:eastAsia="仿宋" w:cs="仿宋"/>
          <w:sz w:val="24"/>
          <w:highlight w:val="none"/>
        </w:rPr>
        <w:t>评标委员会应依据采购文件的规定，对投标人报价文件的有效性、完整性和对采购文件的响应程度进行审查，以确定是否对采购文件的要求做出实质性响应，对采购文件的要求未做出实质性响应的投标人，不得进入具体评标程序。</w:t>
      </w:r>
    </w:p>
    <w:p w14:paraId="5134EEA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24.5.6.2 </w:t>
      </w:r>
      <w:r>
        <w:rPr>
          <w:rFonts w:hint="eastAsia" w:ascii="仿宋" w:hAnsi="仿宋" w:eastAsia="仿宋" w:cs="仿宋"/>
          <w:sz w:val="24"/>
          <w:highlight w:val="none"/>
        </w:rPr>
        <w:t>评标委员会应当根据采购文件，审查并逐项列出每一个投标文件的全部投标偏差。投标偏差分为重大偏差和细微偏差。</w:t>
      </w:r>
    </w:p>
    <w:p w14:paraId="32A91E7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细微偏差是指投标实质上响应了采购文件要求，但在个别地方存在漏项或者提供了不完整的技术信息和数据等情况，并且补正这些遗漏或不完整不会对其他投标人造成不公平的结果。细微偏差不影响投标文件的有效性。</w:t>
      </w:r>
    </w:p>
    <w:p w14:paraId="2362840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rPr>
        <w:t>2</w:t>
      </w:r>
      <w:r>
        <w:rPr>
          <w:rFonts w:hint="eastAsia" w:ascii="仿宋" w:hAnsi="仿宋" w:eastAsia="仿宋" w:cs="仿宋"/>
          <w:sz w:val="24"/>
          <w:highlight w:val="none"/>
        </w:rPr>
        <w:t>）应当要求存在细小偏差的投标人在评标结束前以书面形式予以补正。拒绝补正的，在综合评审时可以对细微偏差作不利于该投标人的量化。</w:t>
      </w:r>
    </w:p>
    <w:p w14:paraId="5B22DF1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rPr>
        <w:t>3</w:t>
      </w:r>
      <w:r>
        <w:rPr>
          <w:rFonts w:hint="eastAsia" w:ascii="仿宋" w:hAnsi="仿宋" w:eastAsia="仿宋" w:cs="仿宋"/>
          <w:sz w:val="24"/>
          <w:highlight w:val="none"/>
        </w:rPr>
        <w:t>）重大偏离或保留系指影响到采购文件规定的</w:t>
      </w:r>
      <w:r>
        <w:rPr>
          <w:rFonts w:hint="eastAsia" w:ascii="仿宋" w:hAnsi="仿宋" w:eastAsia="仿宋" w:cs="仿宋"/>
          <w:sz w:val="24"/>
          <w:highlight w:val="none"/>
          <w:lang w:val="en-US"/>
        </w:rPr>
        <w:t>供货、</w:t>
      </w:r>
      <w:r>
        <w:rPr>
          <w:rFonts w:hint="eastAsia" w:ascii="仿宋" w:hAnsi="仿宋" w:eastAsia="仿宋" w:cs="仿宋"/>
          <w:sz w:val="24"/>
          <w:highlight w:val="none"/>
        </w:rPr>
        <w:t>服务范围和质量，或限制了采购人的权力和义务的规定，而纠正这些偏离将影响到其他提交实质性响应的投标人的公平竞争地位。主要表现有投标文件没有按照采购文件要求提供投标保证金的， 投标文件没有</w:t>
      </w:r>
      <w:r>
        <w:rPr>
          <w:rFonts w:hint="eastAsia" w:ascii="仿宋" w:hAnsi="仿宋" w:eastAsia="仿宋" w:cs="仿宋"/>
          <w:sz w:val="24"/>
          <w:highlight w:val="none"/>
          <w:lang w:val="en-US"/>
        </w:rPr>
        <w:t>按采购文件要求进行签章或盖章的</w:t>
      </w:r>
      <w:r>
        <w:rPr>
          <w:rFonts w:hint="eastAsia" w:ascii="仿宋" w:hAnsi="仿宋" w:eastAsia="仿宋" w:cs="仿宋"/>
          <w:sz w:val="24"/>
          <w:highlight w:val="none"/>
        </w:rPr>
        <w:t>，投标文件中附有采购人不能接受的条件的，和不符合采购文件中规定的其他实质性要求的等。</w:t>
      </w:r>
    </w:p>
    <w:p w14:paraId="4E700F5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rPr>
        <w:t>4</w:t>
      </w:r>
      <w:r>
        <w:rPr>
          <w:rFonts w:hint="eastAsia" w:ascii="仿宋" w:hAnsi="仿宋" w:eastAsia="仿宋" w:cs="仿宋"/>
          <w:sz w:val="24"/>
          <w:highlight w:val="none"/>
        </w:rPr>
        <w:t>）发现有重大偏差时，评标委员会及其成员应按采购文件中的规定，可以取消其投标的权利。</w:t>
      </w:r>
    </w:p>
    <w:p w14:paraId="26089C2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24.5.6.3 </w:t>
      </w:r>
      <w:r>
        <w:rPr>
          <w:rFonts w:hint="eastAsia" w:ascii="仿宋" w:hAnsi="仿宋" w:eastAsia="仿宋" w:cs="仿宋"/>
          <w:sz w:val="24"/>
          <w:highlight w:val="none"/>
        </w:rPr>
        <w:t>进行符合性审查时，评标委员会应当审查每一个投标文件是否对采购文件提出的所有实质性要求和条件作出响应。未能实质上响应的，视情况按照采购文件的规定，应不得进入综合评审程序。主要有下列情况：</w:t>
      </w:r>
    </w:p>
    <w:p w14:paraId="406B12C9">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1.投标文件组成是否完整，主要内容是否齐全；</w:t>
      </w:r>
    </w:p>
    <w:p w14:paraId="7D58A8E4">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2.投标文件是否按采购文件要求进行签字或盖章；</w:t>
      </w:r>
    </w:p>
    <w:p w14:paraId="1B03A710">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3.投标报价是否高于采购文件公布的采购预算金额（或最高限价）；</w:t>
      </w:r>
    </w:p>
    <w:p w14:paraId="74BAFA29">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4.投标文件载明的投标有效期是否满足采购文件要求；</w:t>
      </w:r>
    </w:p>
    <w:p w14:paraId="768C9694">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5.投标文件载明的质量要求、质保期是否满足采购文件要求；</w:t>
      </w:r>
    </w:p>
    <w:p w14:paraId="4F6A3BA4">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6.投标文件是否附有招标人不能接受的条件；</w:t>
      </w:r>
    </w:p>
    <w:p w14:paraId="3BDC3314">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7.是否符合法律、法规和采购文件中规定的其他实质性要求；</w:t>
      </w:r>
    </w:p>
    <w:p w14:paraId="6F3C26A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24.5.7 </w:t>
      </w:r>
      <w:r>
        <w:rPr>
          <w:rFonts w:hint="eastAsia" w:ascii="仿宋" w:hAnsi="仿宋" w:eastAsia="仿宋" w:cs="仿宋"/>
          <w:sz w:val="24"/>
          <w:highlight w:val="none"/>
        </w:rPr>
        <w:t>评标委员会根据上述规定否决不合格投标或者界定为废标后，因有效投标不足三个使得投标明显缺乏竞争性时，根据《中华人民共和国政府采购法》及采购文件的相关规定，可以作出废标处理，并由采购人依法重新组织采购活动。</w:t>
      </w:r>
    </w:p>
    <w:p w14:paraId="586205B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综合评审</w:t>
      </w:r>
    </w:p>
    <w:p w14:paraId="22870C8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标委员会各成员应当遵循独立评审原则，按照采购文件的评标方法和标准，对资质资格资质检查和复合性检查合格的投标文件的商务和技术进行评估，综合比较与评价。并应当以书面方式发表各自（或集体）的具体综合评审意见。</w:t>
      </w:r>
    </w:p>
    <w:p w14:paraId="329F73E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评估和综合比较与评价，应当严格按照采购人设计格式要求，做好书面原始署名记录，连同书面评标报告提交采购人。</w:t>
      </w:r>
    </w:p>
    <w:p w14:paraId="493666D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rPr>
        <w:t>公开招标</w:t>
      </w:r>
      <w:r>
        <w:rPr>
          <w:rFonts w:hint="eastAsia" w:ascii="仿宋" w:hAnsi="仿宋" w:eastAsia="仿宋" w:cs="仿宋"/>
          <w:sz w:val="24"/>
          <w:highlight w:val="none"/>
        </w:rPr>
        <w:t>”应当载明投标人的投标项目、所作的任何修正、对商业偏差的调整、对技术偏差的调整、对各评审因素的评估，以及对每一投标的最终评标结果。</w:t>
      </w:r>
    </w:p>
    <w:p w14:paraId="1F92C93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综合评审记录要突出重点、抓住关键（核心）、真实准确、简明扼要，体现公平、公正、合理。否则，经核实后，将按前款“第四部分”中“第四章” 的21.3条款之规定执行。</w:t>
      </w:r>
    </w:p>
    <w:p w14:paraId="6F9903D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24.5.8 比较与评价</w:t>
      </w:r>
    </w:p>
    <w:p w14:paraId="666E8C3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综合评标时，评标委员会各成员应当</w:t>
      </w:r>
      <w:r>
        <w:rPr>
          <w:rFonts w:hint="eastAsia" w:ascii="仿宋" w:hAnsi="仿宋" w:eastAsia="仿宋" w:cs="仿宋"/>
          <w:sz w:val="24"/>
          <w:highlight w:val="none"/>
          <w:lang w:val="en-US"/>
        </w:rPr>
        <w:t>独立</w:t>
      </w:r>
      <w:r>
        <w:rPr>
          <w:rFonts w:hint="eastAsia" w:ascii="仿宋" w:hAnsi="仿宋" w:eastAsia="仿宋" w:cs="仿宋"/>
          <w:sz w:val="24"/>
          <w:highlight w:val="none"/>
        </w:rPr>
        <w:t>对每一个有效投标人投标文件， 根据采购文件中要求的产品价格、</w:t>
      </w:r>
      <w:r>
        <w:rPr>
          <w:rFonts w:hint="eastAsia" w:ascii="仿宋" w:hAnsi="仿宋" w:eastAsia="仿宋" w:cs="仿宋"/>
          <w:sz w:val="24"/>
          <w:highlight w:val="none"/>
          <w:lang w:val="en-US"/>
        </w:rPr>
        <w:t>产品</w:t>
      </w:r>
      <w:r>
        <w:rPr>
          <w:rFonts w:hint="eastAsia" w:ascii="仿宋" w:hAnsi="仿宋" w:eastAsia="仿宋" w:cs="仿宋"/>
          <w:sz w:val="24"/>
          <w:highlight w:val="none"/>
        </w:rPr>
        <w:t>选型、配置及性能指标、</w:t>
      </w:r>
      <w:r>
        <w:rPr>
          <w:rFonts w:hint="eastAsia" w:ascii="仿宋" w:hAnsi="仿宋" w:eastAsia="仿宋" w:cs="仿宋"/>
          <w:sz w:val="24"/>
          <w:highlight w:val="none"/>
          <w:lang w:val="en-US"/>
        </w:rPr>
        <w:t>质量保证措施、</w:t>
      </w:r>
      <w:r>
        <w:rPr>
          <w:rFonts w:hint="eastAsia" w:ascii="仿宋" w:hAnsi="仿宋" w:eastAsia="仿宋" w:cs="仿宋"/>
          <w:sz w:val="24"/>
          <w:highlight w:val="none"/>
        </w:rPr>
        <w:t>货物供应、售后服务、类似项目业绩</w:t>
      </w:r>
      <w:r>
        <w:rPr>
          <w:rFonts w:hint="eastAsia" w:ascii="仿宋" w:hAnsi="仿宋" w:eastAsia="仿宋" w:cs="仿宋"/>
          <w:sz w:val="24"/>
          <w:highlight w:val="none"/>
          <w:lang w:val="en-US"/>
        </w:rPr>
        <w:t>等</w:t>
      </w:r>
      <w:r>
        <w:rPr>
          <w:rFonts w:hint="eastAsia" w:ascii="仿宋" w:hAnsi="仿宋" w:eastAsia="仿宋" w:cs="仿宋"/>
          <w:sz w:val="24"/>
          <w:highlight w:val="none"/>
        </w:rPr>
        <w:t>因素</w:t>
      </w:r>
      <w:r>
        <w:rPr>
          <w:rFonts w:hint="eastAsia" w:ascii="仿宋" w:hAnsi="仿宋" w:eastAsia="仿宋" w:cs="仿宋"/>
          <w:sz w:val="24"/>
          <w:highlight w:val="none"/>
          <w:lang w:val="en-US"/>
        </w:rPr>
        <w:t>进行</w:t>
      </w:r>
      <w:r>
        <w:rPr>
          <w:rFonts w:hint="eastAsia" w:ascii="仿宋" w:hAnsi="仿宋" w:eastAsia="仿宋" w:cs="仿宋"/>
          <w:sz w:val="24"/>
          <w:highlight w:val="none"/>
        </w:rPr>
        <w:t>比较与</w:t>
      </w:r>
      <w:r>
        <w:rPr>
          <w:rFonts w:hint="eastAsia" w:ascii="仿宋" w:hAnsi="仿宋" w:eastAsia="仿宋" w:cs="仿宋"/>
          <w:sz w:val="24"/>
          <w:highlight w:val="none"/>
          <w:lang w:val="en-US"/>
        </w:rPr>
        <w:t>及具体</w:t>
      </w:r>
      <w:r>
        <w:rPr>
          <w:rFonts w:hint="eastAsia" w:ascii="仿宋" w:hAnsi="仿宋" w:eastAsia="仿宋" w:cs="仿宋"/>
          <w:sz w:val="24"/>
          <w:highlight w:val="none"/>
        </w:rPr>
        <w:t>评估。</w:t>
      </w:r>
    </w:p>
    <w:p w14:paraId="2C157C02">
      <w:pPr>
        <w:spacing w:line="360" w:lineRule="auto"/>
        <w:ind w:firstLine="440" w:firstLineChars="200"/>
        <w:rPr>
          <w:rFonts w:hint="eastAsia" w:ascii="仿宋" w:hAnsi="仿宋" w:eastAsia="仿宋" w:cs="仿宋"/>
          <w:sz w:val="24"/>
          <w:highlight w:val="none"/>
        </w:rPr>
      </w:pPr>
      <w:r>
        <w:rPr>
          <w:rFonts w:hint="eastAsia" w:ascii="仿宋" w:hAnsi="仿宋" w:eastAsia="仿宋" w:cs="仿宋"/>
          <w:highlight w:val="none"/>
          <w:lang w:val="en-US"/>
        </w:rPr>
        <w:t>公开招标</w:t>
      </w:r>
      <w:r>
        <w:rPr>
          <w:rFonts w:hint="eastAsia" w:ascii="仿宋" w:hAnsi="仿宋" w:eastAsia="仿宋" w:cs="仿宋"/>
          <w:sz w:val="24"/>
          <w:highlight w:val="none"/>
        </w:rPr>
        <w:t>的原则、方法和标准</w:t>
      </w:r>
    </w:p>
    <w:p w14:paraId="7F82B6BB">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采用</w:t>
      </w:r>
      <w:r>
        <w:rPr>
          <w:rFonts w:hint="eastAsia" w:ascii="仿宋" w:hAnsi="仿宋" w:eastAsia="仿宋" w:cs="仿宋"/>
          <w:sz w:val="24"/>
          <w:highlight w:val="none"/>
          <w:lang w:val="en-US"/>
        </w:rPr>
        <w:t>公开招标</w:t>
      </w:r>
      <w:r>
        <w:rPr>
          <w:rFonts w:hint="eastAsia" w:ascii="仿宋" w:hAnsi="仿宋" w:eastAsia="仿宋" w:cs="仿宋"/>
          <w:sz w:val="24"/>
          <w:highlight w:val="none"/>
        </w:rPr>
        <w:t>，是指在最大限度地满足采购文件实质性要求前提下，按照采购文件中规定的各项因素进行综合评审后，以评分得分最高的投标人作为中标候选人或者中标人的评标方法。</w:t>
      </w:r>
    </w:p>
    <w:p w14:paraId="73C2875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公开招标</w:t>
      </w:r>
      <w:r>
        <w:rPr>
          <w:rFonts w:hint="eastAsia" w:ascii="仿宋" w:hAnsi="仿宋" w:eastAsia="仿宋" w:cs="仿宋"/>
          <w:sz w:val="24"/>
          <w:highlight w:val="none"/>
        </w:rPr>
        <w:t>：评标委员会成员应按照独立综合评审原则，根据对采购文件的响应程度和具体评标情况，独立对具体投标文件的商务和技术指标进行评估和综合比较与评价后，独立（或集体）发表综合评审（议）意见，对每一个投标人做出打分决定；经采购人核对和汇总后，按得高分原则，由高到低进行排序后，最后根据评标委员会各成员签署的打分结果，得出评标结论。</w:t>
      </w:r>
    </w:p>
    <w:p w14:paraId="6A69F1E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评标时，评标委员会各成员应当独立对每个有效投标人的投标文件进行评价、打分，然后由采购人核对汇总出每个投标人每项评分因素的得分。</w:t>
      </w:r>
    </w:p>
    <w:p w14:paraId="1B84DB9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综合评分，应严格遵守前款“24.5.8 综合评审”条款之规定。否则， 经核实后，将按前款“第四部分”中“第四章”的规定执行。</w:t>
      </w:r>
    </w:p>
    <w:p w14:paraId="715FB55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评标委员会各成员要按照采购人规定格式，将每一个投标人的综合评审意见、打分结果、推荐理由等进行署名原始记录。</w:t>
      </w:r>
    </w:p>
    <w:p w14:paraId="4BA6E8E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综合评分主要包括技术、商务、报价等指标</w:t>
      </w:r>
    </w:p>
    <w:p w14:paraId="0574685E">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rPr>
        <w:t xml:space="preserve">         1、</w:t>
      </w:r>
      <w:r>
        <w:rPr>
          <w:rFonts w:hint="eastAsia" w:ascii="仿宋" w:hAnsi="仿宋" w:eastAsia="仿宋" w:cs="仿宋"/>
          <w:sz w:val="24"/>
          <w:highlight w:val="none"/>
        </w:rPr>
        <w:t>技术部分主要包括：技术参数、质量管理与措施</w:t>
      </w:r>
      <w:r>
        <w:rPr>
          <w:rFonts w:hint="eastAsia" w:ascii="仿宋" w:hAnsi="仿宋" w:eastAsia="仿宋" w:cs="仿宋"/>
          <w:sz w:val="24"/>
          <w:highlight w:val="none"/>
          <w:lang w:val="en-US"/>
        </w:rPr>
        <w:t>等</w:t>
      </w:r>
      <w:r>
        <w:rPr>
          <w:rFonts w:hint="eastAsia" w:ascii="仿宋" w:hAnsi="仿宋" w:eastAsia="仿宋" w:cs="仿宋"/>
          <w:sz w:val="24"/>
          <w:highlight w:val="none"/>
        </w:rPr>
        <w:t>指标。</w:t>
      </w:r>
    </w:p>
    <w:p w14:paraId="54646F7E">
      <w:pPr>
        <w:spacing w:line="360" w:lineRule="auto"/>
        <w:rPr>
          <w:rFonts w:hint="eastAsia" w:ascii="仿宋" w:hAnsi="仿宋" w:eastAsia="仿宋" w:cs="仿宋"/>
          <w:sz w:val="24"/>
          <w:highlight w:val="none"/>
        </w:rPr>
      </w:pPr>
      <w:r>
        <w:rPr>
          <w:rFonts w:hint="eastAsia" w:ascii="仿宋" w:hAnsi="仿宋" w:eastAsia="仿宋" w:cs="仿宋"/>
          <w:sz w:val="24"/>
          <w:highlight w:val="none"/>
          <w:lang w:val="en-US"/>
        </w:rPr>
        <w:t xml:space="preserve">         2、</w:t>
      </w:r>
      <w:r>
        <w:rPr>
          <w:rFonts w:hint="eastAsia" w:ascii="仿宋" w:hAnsi="仿宋" w:eastAsia="仿宋" w:cs="仿宋"/>
          <w:sz w:val="24"/>
          <w:highlight w:val="none"/>
        </w:rPr>
        <w:t>商务部分主要包括：财务能力和状况、售后服务、项目业绩等指标。</w:t>
      </w:r>
    </w:p>
    <w:p w14:paraId="263AB96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     </w:t>
      </w:r>
      <w:r>
        <w:rPr>
          <w:rFonts w:hint="eastAsia" w:ascii="仿宋" w:hAnsi="仿宋" w:eastAsia="仿宋" w:cs="仿宋"/>
          <w:sz w:val="24"/>
          <w:highlight w:val="none"/>
        </w:rPr>
        <w:t>3、报价：有效投标人的投标报价。</w:t>
      </w:r>
    </w:p>
    <w:p w14:paraId="3E3B680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 xml:space="preserve">     </w:t>
      </w:r>
      <w:r>
        <w:rPr>
          <w:rFonts w:hint="eastAsia" w:ascii="仿宋" w:hAnsi="仿宋" w:eastAsia="仿宋" w:cs="仿宋"/>
          <w:sz w:val="24"/>
          <w:highlight w:val="none"/>
        </w:rPr>
        <w:t>4、综合评分具体指标和标准，见《评标（分）记录明细表》。</w:t>
      </w:r>
    </w:p>
    <w:p w14:paraId="6517095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综合评分原则</w:t>
      </w:r>
    </w:p>
    <w:p w14:paraId="38333F49">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rPr>
        <w:t>1</w:t>
      </w:r>
      <w:r>
        <w:rPr>
          <w:rFonts w:hint="eastAsia" w:ascii="仿宋" w:hAnsi="仿宋" w:eastAsia="仿宋" w:cs="仿宋"/>
          <w:sz w:val="24"/>
          <w:highlight w:val="none"/>
        </w:rPr>
        <w:t>）评标委员会对所报产品价格、</w:t>
      </w:r>
      <w:r>
        <w:rPr>
          <w:rFonts w:hint="eastAsia" w:ascii="仿宋" w:hAnsi="仿宋" w:eastAsia="仿宋" w:cs="仿宋"/>
          <w:sz w:val="24"/>
          <w:highlight w:val="none"/>
          <w:lang w:val="en-US"/>
        </w:rPr>
        <w:t>产品</w:t>
      </w:r>
      <w:r>
        <w:rPr>
          <w:rFonts w:hint="eastAsia" w:ascii="仿宋" w:hAnsi="仿宋" w:eastAsia="仿宋" w:cs="仿宋"/>
          <w:sz w:val="24"/>
          <w:highlight w:val="none"/>
        </w:rPr>
        <w:t>选型、配置及性能指标、</w:t>
      </w:r>
      <w:r>
        <w:rPr>
          <w:rFonts w:hint="eastAsia" w:ascii="仿宋" w:hAnsi="仿宋" w:eastAsia="仿宋" w:cs="仿宋"/>
          <w:sz w:val="24"/>
          <w:highlight w:val="none"/>
          <w:lang w:val="en-US"/>
        </w:rPr>
        <w:t>质量保证措施、</w:t>
      </w:r>
      <w:r>
        <w:rPr>
          <w:rFonts w:hint="eastAsia" w:ascii="仿宋" w:hAnsi="仿宋" w:eastAsia="仿宋" w:cs="仿宋"/>
          <w:sz w:val="24"/>
          <w:highlight w:val="none"/>
        </w:rPr>
        <w:t>货物供应、售后服务、类似项目的业绩</w:t>
      </w:r>
      <w:r>
        <w:rPr>
          <w:rFonts w:hint="eastAsia" w:ascii="仿宋" w:hAnsi="仿宋" w:eastAsia="仿宋" w:cs="仿宋"/>
          <w:sz w:val="24"/>
          <w:highlight w:val="none"/>
          <w:lang w:val="en-US"/>
        </w:rPr>
        <w:t>等</w:t>
      </w:r>
      <w:r>
        <w:rPr>
          <w:rFonts w:hint="eastAsia" w:ascii="仿宋" w:hAnsi="仿宋" w:eastAsia="仿宋" w:cs="仿宋"/>
          <w:sz w:val="24"/>
          <w:highlight w:val="none"/>
        </w:rPr>
        <w:t>因素</w:t>
      </w:r>
      <w:r>
        <w:rPr>
          <w:rFonts w:hint="eastAsia" w:ascii="仿宋" w:hAnsi="仿宋" w:eastAsia="仿宋" w:cs="仿宋"/>
          <w:sz w:val="24"/>
          <w:highlight w:val="none"/>
          <w:lang w:val="en-US"/>
        </w:rPr>
        <w:t>进行</w:t>
      </w:r>
      <w:r>
        <w:rPr>
          <w:rFonts w:hint="eastAsia" w:ascii="仿宋" w:hAnsi="仿宋" w:eastAsia="仿宋" w:cs="仿宋"/>
          <w:sz w:val="24"/>
          <w:highlight w:val="none"/>
        </w:rPr>
        <w:t>比较与</w:t>
      </w:r>
      <w:r>
        <w:rPr>
          <w:rFonts w:hint="eastAsia" w:ascii="仿宋" w:hAnsi="仿宋" w:eastAsia="仿宋" w:cs="仿宋"/>
          <w:sz w:val="24"/>
          <w:highlight w:val="none"/>
          <w:lang w:val="en-US"/>
        </w:rPr>
        <w:t>及具体</w:t>
      </w:r>
      <w:r>
        <w:rPr>
          <w:rFonts w:hint="eastAsia" w:ascii="仿宋" w:hAnsi="仿宋" w:eastAsia="仿宋" w:cs="仿宋"/>
          <w:sz w:val="24"/>
          <w:highlight w:val="none"/>
        </w:rPr>
        <w:t>评估等因素进行比较与评价，并进行打分和汇总。详见《评标（分）记录明细表》。</w:t>
      </w:r>
    </w:p>
    <w:p w14:paraId="29580BF0">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rPr>
        <w:t>2</w:t>
      </w:r>
      <w:r>
        <w:rPr>
          <w:rFonts w:hint="eastAsia" w:ascii="仿宋" w:hAnsi="仿宋" w:eastAsia="仿宋" w:cs="仿宋"/>
          <w:sz w:val="24"/>
          <w:highlight w:val="none"/>
        </w:rPr>
        <w:t>）评标委员会小组成员评标、打分时不得协商，应独立完成。</w:t>
      </w:r>
    </w:p>
    <w:p w14:paraId="50F3D14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rPr>
        <w:t>3</w:t>
      </w:r>
      <w:r>
        <w:rPr>
          <w:rFonts w:hint="eastAsia" w:ascii="仿宋" w:hAnsi="仿宋" w:eastAsia="仿宋" w:cs="仿宋"/>
          <w:sz w:val="24"/>
          <w:highlight w:val="none"/>
        </w:rPr>
        <w:t>）未满足采购文件要求的投标人，不予评分。</w:t>
      </w:r>
    </w:p>
    <w:p w14:paraId="6C8696AE">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rPr>
        <w:t>4</w:t>
      </w:r>
      <w:r>
        <w:rPr>
          <w:rFonts w:hint="eastAsia" w:ascii="仿宋" w:hAnsi="仿宋" w:eastAsia="仿宋" w:cs="仿宋"/>
          <w:sz w:val="24"/>
          <w:highlight w:val="none"/>
        </w:rPr>
        <w:t>）评标打分应当按照技术部分、商务部分、报价部分的顺序进行，打分可保留两位小数。</w:t>
      </w:r>
    </w:p>
    <w:p w14:paraId="43B7BE54">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rPr>
        <w:t>5</w:t>
      </w:r>
      <w:r>
        <w:rPr>
          <w:rFonts w:hint="eastAsia" w:ascii="仿宋" w:hAnsi="仿宋" w:eastAsia="仿宋" w:cs="仿宋"/>
          <w:sz w:val="24"/>
          <w:highlight w:val="none"/>
        </w:rPr>
        <w:t>）技术、商务部分应按各小项分档打分，投标文件中各小项指标相近的，打分应属同一档次。在采购人同意的情况下，允许评标委员会小组各成员根据采购文件部分要求的技术、功能和《评标（分）记录明细表》表格部分的性能指标要求，可以按各投标文件（投标书和产品技术说明书）实际情况在档次打分范围内调整分值。</w:t>
      </w:r>
    </w:p>
    <w:p w14:paraId="6532D2F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rPr>
        <w:t>6</w:t>
      </w:r>
      <w:r>
        <w:rPr>
          <w:rFonts w:hint="eastAsia" w:ascii="仿宋" w:hAnsi="仿宋" w:eastAsia="仿宋" w:cs="仿宋"/>
          <w:sz w:val="24"/>
          <w:highlight w:val="none"/>
        </w:rPr>
        <w:t>）打分采取百分制：详见详细评审明细表；</w:t>
      </w:r>
    </w:p>
    <w:p w14:paraId="51F53656">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rPr>
        <w:t>7</w:t>
      </w:r>
      <w:r>
        <w:rPr>
          <w:rFonts w:hint="eastAsia" w:ascii="仿宋" w:hAnsi="仿宋" w:eastAsia="仿宋" w:cs="仿宋"/>
          <w:sz w:val="24"/>
          <w:highlight w:val="none"/>
        </w:rPr>
        <w:t>）采购人核对汇总评标委员会各成员评分时，将计算出每一个投标人技术部分和商务部分所得分数的合计数后，再计算出其合计数的算术平均数，加上该投标人报价部分的得分后，即为该投标人的最后综合得分。</w:t>
      </w:r>
    </w:p>
    <w:p w14:paraId="200166E7">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rPr>
        <w:t>8</w:t>
      </w:r>
      <w:r>
        <w:rPr>
          <w:rFonts w:hint="eastAsia" w:ascii="仿宋" w:hAnsi="仿宋" w:eastAsia="仿宋" w:cs="仿宋"/>
          <w:sz w:val="24"/>
          <w:highlight w:val="none"/>
        </w:rPr>
        <w:t>）由采购人核对录入和汇总计算出每一个投标人的所得分数值，并由高到底排序后，须有评标委员会小组各成员署名确认。如出现得分相同的，应按投标人的报价由低到高顺序排列；得分且其报价相等的，则按核心技术指标优劣顺序排列。价格、技术指标的高低或优劣由评标委员各成员确认评定。</w:t>
      </w:r>
    </w:p>
    <w:p w14:paraId="66E86CF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sz w:val="24"/>
          <w:highlight w:val="none"/>
          <w:lang w:val="en-US"/>
        </w:rPr>
        <w:t>8</w:t>
      </w:r>
      <w:r>
        <w:rPr>
          <w:rFonts w:hint="eastAsia" w:ascii="仿宋" w:hAnsi="仿宋" w:eastAsia="仿宋" w:cs="仿宋"/>
          <w:sz w:val="24"/>
          <w:highlight w:val="none"/>
        </w:rPr>
        <w:t>）若发现打分有误或者有差错的，或发现存在个人印象或带有明显倾向性时， 采购人将按前款“第四部分”中“第四章”的21.3条款之规定执行。</w:t>
      </w:r>
    </w:p>
    <w:p w14:paraId="26ECF49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《评标（分）记录明细表》</w:t>
      </w:r>
    </w:p>
    <w:p w14:paraId="56298C53">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1、明细表包括技术部分、商务部分、报价部分、评审分标准、具体评审意见、综合评审意见、分数标准、得分、其他等组成。</w:t>
      </w:r>
    </w:p>
    <w:p w14:paraId="7CAAE6ED">
      <w:pPr>
        <w:spacing w:line="360" w:lineRule="auto"/>
        <w:ind w:firstLine="480" w:firstLineChars="200"/>
        <w:rPr>
          <w:rFonts w:hint="eastAsia" w:ascii="仿宋" w:hAnsi="仿宋" w:eastAsia="仿宋" w:cs="仿宋"/>
          <w:highlight w:val="none"/>
        </w:rPr>
      </w:pPr>
      <w:r>
        <w:rPr>
          <w:rFonts w:hint="eastAsia" w:ascii="仿宋" w:hAnsi="仿宋" w:eastAsia="仿宋" w:cs="仿宋"/>
          <w:sz w:val="24"/>
          <w:highlight w:val="none"/>
        </w:rPr>
        <w:t>2、评标委员会各成员记录原则上不允许有涂改、划擦等，如有应按规定修正。不允许在采购人核对汇总且确认之后，在未经许可时，不能再要回重新记录。</w:t>
      </w:r>
    </w:p>
    <w:p w14:paraId="1761A0D4">
      <w:pPr>
        <w:pStyle w:val="5"/>
        <w:ind w:left="0"/>
        <w:rPr>
          <w:rFonts w:hint="eastAsia" w:ascii="仿宋" w:hAnsi="仿宋" w:eastAsia="仿宋" w:cs="仿宋"/>
          <w:b w:val="0"/>
          <w:bCs w:val="0"/>
          <w:sz w:val="30"/>
          <w:szCs w:val="30"/>
          <w:highlight w:val="none"/>
        </w:rPr>
      </w:pPr>
      <w:r>
        <w:rPr>
          <w:rFonts w:hint="eastAsia" w:ascii="仿宋" w:hAnsi="仿宋" w:eastAsia="仿宋" w:cs="仿宋"/>
          <w:sz w:val="30"/>
          <w:szCs w:val="30"/>
          <w:highlight w:val="none"/>
        </w:rPr>
        <w:br w:type="page"/>
      </w:r>
      <w:r>
        <w:rPr>
          <w:rFonts w:hint="eastAsia" w:ascii="仿宋" w:hAnsi="仿宋" w:eastAsia="仿宋" w:cs="仿宋"/>
          <w:sz w:val="30"/>
          <w:szCs w:val="30"/>
          <w:highlight w:val="none"/>
        </w:rPr>
        <w:t>投标文件初步审查表</w:t>
      </w:r>
    </w:p>
    <w:p w14:paraId="28AEEFA0">
      <w:pPr>
        <w:spacing w:line="44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1.资格性审查</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816"/>
        <w:gridCol w:w="2084"/>
        <w:gridCol w:w="5779"/>
      </w:tblGrid>
      <w:tr w14:paraId="768F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816" w:type="dxa"/>
            <w:shd w:val="clear" w:color="auto" w:fill="D8D8D8"/>
            <w:noWrap w:val="0"/>
            <w:vAlign w:val="center"/>
          </w:tcPr>
          <w:p w14:paraId="3FBAE225">
            <w:pPr>
              <w:pStyle w:val="36"/>
              <w:jc w:val="center"/>
              <w:rPr>
                <w:rFonts w:hint="eastAsia" w:ascii="仿宋" w:hAnsi="仿宋" w:eastAsia="仿宋" w:cs="仿宋"/>
                <w:b/>
                <w:bCs/>
                <w:szCs w:val="24"/>
                <w:highlight w:val="none"/>
              </w:rPr>
            </w:pPr>
            <w:r>
              <w:rPr>
                <w:rFonts w:hint="eastAsia" w:ascii="仿宋" w:hAnsi="仿宋" w:eastAsia="仿宋" w:cs="仿宋"/>
                <w:b/>
                <w:bCs/>
                <w:szCs w:val="24"/>
                <w:highlight w:val="none"/>
              </w:rPr>
              <w:t>序号</w:t>
            </w:r>
          </w:p>
        </w:tc>
        <w:tc>
          <w:tcPr>
            <w:tcW w:w="2084" w:type="dxa"/>
            <w:shd w:val="clear" w:color="auto" w:fill="D8D8D8"/>
            <w:noWrap w:val="0"/>
            <w:vAlign w:val="center"/>
          </w:tcPr>
          <w:p w14:paraId="142DC4BC">
            <w:pPr>
              <w:pStyle w:val="36"/>
              <w:jc w:val="center"/>
              <w:rPr>
                <w:rFonts w:hint="eastAsia" w:ascii="仿宋" w:hAnsi="仿宋" w:eastAsia="仿宋" w:cs="仿宋"/>
                <w:b/>
                <w:bCs/>
                <w:szCs w:val="24"/>
                <w:highlight w:val="none"/>
                <w:lang w:eastAsia="zh-CN"/>
              </w:rPr>
            </w:pPr>
            <w:r>
              <w:rPr>
                <w:rFonts w:hint="eastAsia" w:ascii="仿宋" w:hAnsi="仿宋" w:eastAsia="仿宋" w:cs="仿宋"/>
                <w:b/>
                <w:bCs/>
                <w:szCs w:val="24"/>
                <w:highlight w:val="none"/>
              </w:rPr>
              <w:t>审查</w:t>
            </w:r>
            <w:r>
              <w:rPr>
                <w:rFonts w:hint="eastAsia" w:ascii="仿宋" w:hAnsi="仿宋" w:eastAsia="仿宋" w:cs="仿宋"/>
                <w:b/>
                <w:bCs/>
                <w:szCs w:val="24"/>
                <w:highlight w:val="none"/>
                <w:lang w:eastAsia="zh-CN"/>
              </w:rPr>
              <w:t>内容</w:t>
            </w:r>
          </w:p>
        </w:tc>
        <w:tc>
          <w:tcPr>
            <w:tcW w:w="5779" w:type="dxa"/>
            <w:shd w:val="clear" w:color="auto" w:fill="D8D8D8"/>
            <w:noWrap w:val="0"/>
            <w:vAlign w:val="center"/>
          </w:tcPr>
          <w:p w14:paraId="6C5D57F9">
            <w:pPr>
              <w:pStyle w:val="36"/>
              <w:jc w:val="center"/>
              <w:rPr>
                <w:rFonts w:hint="eastAsia" w:ascii="仿宋" w:hAnsi="仿宋" w:eastAsia="仿宋" w:cs="仿宋"/>
                <w:b/>
                <w:bCs/>
                <w:szCs w:val="24"/>
                <w:highlight w:val="none"/>
                <w:lang w:eastAsia="zh-CN"/>
              </w:rPr>
            </w:pPr>
            <w:r>
              <w:rPr>
                <w:rFonts w:hint="eastAsia" w:ascii="仿宋" w:hAnsi="仿宋" w:eastAsia="仿宋" w:cs="仿宋"/>
                <w:b/>
                <w:bCs/>
                <w:szCs w:val="24"/>
                <w:highlight w:val="none"/>
              </w:rPr>
              <w:t>审查</w:t>
            </w:r>
            <w:r>
              <w:rPr>
                <w:rFonts w:hint="eastAsia" w:ascii="仿宋" w:hAnsi="仿宋" w:eastAsia="仿宋" w:cs="仿宋"/>
                <w:b/>
                <w:bCs/>
                <w:szCs w:val="24"/>
                <w:highlight w:val="none"/>
                <w:lang w:eastAsia="zh-CN"/>
              </w:rPr>
              <w:t>标准</w:t>
            </w:r>
          </w:p>
        </w:tc>
      </w:tr>
      <w:tr w14:paraId="74AF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533" w:hRule="atLeast"/>
          <w:jc w:val="center"/>
        </w:trPr>
        <w:tc>
          <w:tcPr>
            <w:tcW w:w="816" w:type="dxa"/>
            <w:shd w:val="clear" w:color="auto" w:fill="FFFFFF"/>
            <w:noWrap w:val="0"/>
            <w:vAlign w:val="center"/>
          </w:tcPr>
          <w:p w14:paraId="39D08C64">
            <w:pPr>
              <w:pStyle w:val="36"/>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1</w:t>
            </w:r>
          </w:p>
        </w:tc>
        <w:tc>
          <w:tcPr>
            <w:tcW w:w="2084" w:type="dxa"/>
            <w:shd w:val="clear" w:color="auto" w:fill="FFFFFF"/>
            <w:noWrap w:val="0"/>
            <w:vAlign w:val="center"/>
          </w:tcPr>
          <w:p w14:paraId="4D89918C">
            <w:pPr>
              <w:widowControl/>
              <w:spacing w:line="28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满足《中华人民共和国中华人民共和国政府采购法》第二十二条规定；</w:t>
            </w:r>
          </w:p>
          <w:p w14:paraId="4AF2302A">
            <w:pPr>
              <w:widowControl/>
              <w:spacing w:line="28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(1)具有独立承担民事责任的能力；</w:t>
            </w:r>
          </w:p>
          <w:p w14:paraId="0C1D548D">
            <w:pPr>
              <w:widowControl/>
              <w:spacing w:line="28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(2)具有良好的商业信誉和健全的财务会计制度；</w:t>
            </w:r>
          </w:p>
          <w:p w14:paraId="4384AFE2">
            <w:pPr>
              <w:widowControl/>
              <w:spacing w:line="28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(3)具有履行合同所必需的设备和专业技术能力；</w:t>
            </w:r>
          </w:p>
          <w:p w14:paraId="5B3A8129">
            <w:pPr>
              <w:widowControl/>
              <w:spacing w:line="28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(4)有依法缴纳税收和社会保障资金的良好记录；</w:t>
            </w:r>
          </w:p>
          <w:p w14:paraId="6A557A64">
            <w:pPr>
              <w:widowControl/>
              <w:spacing w:line="28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(5)参加政府采购活动前三年内，在经营活动中没有重大违法记录；</w:t>
            </w:r>
          </w:p>
          <w:p w14:paraId="432B5566">
            <w:pPr>
              <w:widowControl/>
              <w:spacing w:line="28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(6)中华人民共和国政府采购法律法规相关规定的其他条件。</w:t>
            </w:r>
          </w:p>
        </w:tc>
        <w:tc>
          <w:tcPr>
            <w:tcW w:w="5779" w:type="dxa"/>
            <w:shd w:val="clear" w:color="auto" w:fill="FFFFFF"/>
            <w:noWrap w:val="0"/>
            <w:vAlign w:val="center"/>
          </w:tcPr>
          <w:p w14:paraId="3BACB627">
            <w:pPr>
              <w:pStyle w:val="3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(1)须提供法人或其他组织或自然人的营业执照副本或事业法人登记证或执业许可证或身份证等相关证明复印件（除身份证外其余证件须加盖公章）</w:t>
            </w:r>
          </w:p>
          <w:p w14:paraId="39E11393">
            <w:pPr>
              <w:pStyle w:val="3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须提供本单位上一年度由会计师事务所出具的财务审计报告（当上一年度审计报告未出来时，可提供前一年度审计报告），审计报告须包括资产负债表、利润表、现金流量表、所有者权益变动（如有）及其附注（复印件并加盖本单位公章）。如供应商无法提供上年度审计报告，则需提供开标日前三个月内银行出具的资信证明原件或复印件加盖公章。如供应商注册成立不足三个月的则提供承诺书加盖公章（格式自拟）。</w:t>
            </w:r>
          </w:p>
          <w:p w14:paraId="610C2B72">
            <w:pPr>
              <w:pStyle w:val="3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(3)须提供具备履行合同所必需的设备和专业技术能力的书面声明函加盖公章（格式自拟）或其他证明文件。</w:t>
            </w:r>
          </w:p>
          <w:p w14:paraId="6D9C6F2C">
            <w:pPr>
              <w:pStyle w:val="3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(4)①.须提供投标文件递交截止日期之前六个月内任何一期的纳税记录或证明文件原件或复印件加盖公章（依法免税的应提供相应文件说明），如供应商注册成立不足三个月的则提供承诺书加盖公章（格式自拟）。</w:t>
            </w:r>
          </w:p>
          <w:p w14:paraId="370F7F6E">
            <w:pPr>
              <w:pStyle w:val="3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②.须提供投标文件递交截止日期之前六个月内为员工缴纳社会保障资金的证明材料原件或复印件加盖公章（任意一个月即可），证明材料是缴纳社会保险的凭据（专用收据或社会保险缴纳清单或银行回单等）（依法不需要缴纳社会保障资金的应提供相应文件说明）；如供应商注册成立不足三个月的则提供承诺书加盖公章（格式自拟）。</w:t>
            </w:r>
          </w:p>
          <w:p w14:paraId="6FC7743B">
            <w:pPr>
              <w:pStyle w:val="3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(5)参加政府采购活动前三年内，在经营活动中没有重大违法记录须提供声明函加盖公章（格式自拟）。</w:t>
            </w:r>
          </w:p>
          <w:p w14:paraId="15029B82">
            <w:pPr>
              <w:pStyle w:val="36"/>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（6）中华人民共和国政府采购法律法规相关规定的其他条件。须提供承诺书加盖公章（格式自拟）。</w:t>
            </w:r>
          </w:p>
        </w:tc>
      </w:tr>
      <w:tr w14:paraId="61F9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888" w:hRule="atLeast"/>
          <w:jc w:val="center"/>
        </w:trPr>
        <w:tc>
          <w:tcPr>
            <w:tcW w:w="816" w:type="dxa"/>
            <w:shd w:val="clear" w:color="auto" w:fill="FFFFFF"/>
            <w:noWrap w:val="0"/>
            <w:vAlign w:val="center"/>
          </w:tcPr>
          <w:p w14:paraId="50A3629D">
            <w:pPr>
              <w:pStyle w:val="36"/>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2</w:t>
            </w:r>
          </w:p>
        </w:tc>
        <w:tc>
          <w:tcPr>
            <w:tcW w:w="2084" w:type="dxa"/>
            <w:shd w:val="clear" w:color="auto" w:fill="FFFFFF"/>
            <w:noWrap w:val="0"/>
            <w:vAlign w:val="center"/>
          </w:tcPr>
          <w:p w14:paraId="5464D274">
            <w:pPr>
              <w:pStyle w:val="3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凡拟参加本次招标项目的投标人须具有良好的信誉，未在“信用中国”网站（www.creditchina.gov.cn）被列入失信被执行人、</w:t>
            </w:r>
            <w:r>
              <w:rPr>
                <w:rFonts w:hint="eastAsia" w:ascii="仿宋" w:hAnsi="仿宋" w:eastAsia="仿宋" w:cs="仿宋"/>
                <w:sz w:val="24"/>
                <w:szCs w:val="24"/>
                <w:highlight w:val="none"/>
                <w:lang w:eastAsia="zh-CN"/>
              </w:rPr>
              <w:t>重大税收违法失信主体</w:t>
            </w:r>
            <w:r>
              <w:rPr>
                <w:rFonts w:hint="eastAsia" w:ascii="仿宋" w:hAnsi="仿宋" w:eastAsia="仿宋" w:cs="仿宋"/>
                <w:sz w:val="24"/>
                <w:szCs w:val="24"/>
                <w:highlight w:val="none"/>
              </w:rPr>
              <w:t>、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w:t>
            </w:r>
            <w:r>
              <w:rPr>
                <w:rFonts w:hint="eastAsia" w:ascii="仿宋" w:hAnsi="仿宋" w:eastAsia="仿宋" w:cs="仿宋"/>
                <w:sz w:val="24"/>
                <w:szCs w:val="24"/>
                <w:highlight w:val="none"/>
                <w:lang w:eastAsia="zh-CN"/>
              </w:rPr>
              <w:t>参与</w:t>
            </w:r>
            <w:r>
              <w:rPr>
                <w:rFonts w:hint="eastAsia" w:ascii="仿宋" w:hAnsi="仿宋" w:eastAsia="仿宋" w:cs="仿宋"/>
                <w:sz w:val="24"/>
                <w:szCs w:val="24"/>
                <w:highlight w:val="none"/>
              </w:rPr>
              <w:t>本次招标活动；</w:t>
            </w:r>
          </w:p>
        </w:tc>
        <w:tc>
          <w:tcPr>
            <w:tcW w:w="5779" w:type="dxa"/>
            <w:shd w:val="clear" w:color="auto" w:fill="FFFFFF"/>
            <w:noWrap w:val="0"/>
            <w:vAlign w:val="center"/>
          </w:tcPr>
          <w:p w14:paraId="17CA1BC9">
            <w:pPr>
              <w:pStyle w:val="3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查询渠道：信用中国网站、中国政府采购网和新疆税务局官网；</w:t>
            </w:r>
          </w:p>
          <w:p w14:paraId="77FE4992">
            <w:pPr>
              <w:pStyle w:val="3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查询时间：投标截止时间以后</w:t>
            </w:r>
            <w:r>
              <w:rPr>
                <w:rFonts w:hint="eastAsia" w:ascii="仿宋" w:hAnsi="仿宋" w:eastAsia="仿宋" w:cs="仿宋"/>
                <w:sz w:val="24"/>
                <w:szCs w:val="24"/>
                <w:highlight w:val="none"/>
                <w:lang w:eastAsia="zh-CN"/>
              </w:rPr>
              <w:t>至</w:t>
            </w:r>
            <w:r>
              <w:rPr>
                <w:rFonts w:hint="eastAsia" w:ascii="仿宋" w:hAnsi="仿宋" w:eastAsia="仿宋" w:cs="仿宋"/>
                <w:sz w:val="24"/>
                <w:szCs w:val="24"/>
                <w:highlight w:val="none"/>
              </w:rPr>
              <w:t>资格审查阶段采购人或采购代理机构的实际查询时间；</w:t>
            </w:r>
          </w:p>
          <w:p w14:paraId="087359EB">
            <w:pPr>
              <w:pStyle w:val="36"/>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信用信息查询记录和证据留存具体方式：查询结果网页打印页作为查询记录和证据，与其他采购文件一并保存；信用信息的使用原则：经认定的“中国执行信息公开网”被列入失信被执行人、“信用中国”网站被列入重大税收违法失信主体、政府采购严重违法失信名单的（尚在处罚期内的）、中国政府采购网被列入政府采购严重违法失信行为记录名单（尚在处罚期内的）以及被列入新疆税务局失信惩戒企业名单的供应商，其投标无效。</w:t>
            </w:r>
          </w:p>
          <w:p w14:paraId="0B88213E">
            <w:pPr>
              <w:pStyle w:val="36"/>
              <w:jc w:val="both"/>
              <w:rPr>
                <w:rFonts w:hint="eastAsia" w:ascii="仿宋" w:hAnsi="仿宋" w:eastAsia="仿宋" w:cs="仿宋"/>
                <w:sz w:val="24"/>
                <w:szCs w:val="24"/>
                <w:highlight w:val="none"/>
                <w:lang w:eastAsia="zh-CN"/>
              </w:rPr>
            </w:pPr>
            <w:r>
              <w:rPr>
                <w:rFonts w:hint="eastAsia" w:ascii="仿宋" w:hAnsi="仿宋" w:eastAsia="仿宋" w:cs="仿宋"/>
                <w:b/>
                <w:bCs/>
                <w:color w:val="auto"/>
                <w:sz w:val="24"/>
                <w:szCs w:val="24"/>
                <w:highlight w:val="none"/>
                <w:lang w:eastAsia="zh-CN"/>
              </w:rPr>
              <w:t>注：由采购人或采购代理机构查询。</w:t>
            </w:r>
          </w:p>
        </w:tc>
      </w:tr>
      <w:tr w14:paraId="7EE6F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70" w:hRule="atLeast"/>
          <w:jc w:val="center"/>
        </w:trPr>
        <w:tc>
          <w:tcPr>
            <w:tcW w:w="816" w:type="dxa"/>
            <w:shd w:val="clear" w:color="auto" w:fill="FFFFFF"/>
            <w:noWrap w:val="0"/>
            <w:vAlign w:val="center"/>
          </w:tcPr>
          <w:p w14:paraId="18F0CC04">
            <w:pPr>
              <w:pStyle w:val="36"/>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eastAsia="zh-CN"/>
              </w:rPr>
              <w:t>3</w:t>
            </w:r>
          </w:p>
        </w:tc>
        <w:tc>
          <w:tcPr>
            <w:tcW w:w="2084" w:type="dxa"/>
            <w:shd w:val="clear" w:color="auto" w:fill="FFFFFF"/>
            <w:noWrap w:val="0"/>
            <w:vAlign w:val="center"/>
          </w:tcPr>
          <w:p w14:paraId="07FAA08C">
            <w:pPr>
              <w:pStyle w:val="36"/>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投标人</w:t>
            </w:r>
            <w:r>
              <w:rPr>
                <w:rFonts w:hint="eastAsia" w:ascii="仿宋" w:hAnsi="仿宋" w:eastAsia="仿宋" w:cs="仿宋"/>
                <w:bCs/>
                <w:sz w:val="24"/>
                <w:szCs w:val="24"/>
                <w:highlight w:val="none"/>
              </w:rPr>
              <w:t>按照招标文件规定提交投标保证金的</w:t>
            </w:r>
          </w:p>
        </w:tc>
        <w:tc>
          <w:tcPr>
            <w:tcW w:w="5779" w:type="dxa"/>
            <w:shd w:val="clear" w:color="auto" w:fill="FFFFFF"/>
            <w:noWrap w:val="0"/>
            <w:vAlign w:val="center"/>
          </w:tcPr>
          <w:p w14:paraId="72A4F64D">
            <w:pPr>
              <w:pStyle w:val="36"/>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rPr>
              <w:t>按照招标文件规定提供保证金缴纳凭证</w:t>
            </w:r>
            <w:r>
              <w:rPr>
                <w:rFonts w:hint="eastAsia" w:ascii="仿宋" w:hAnsi="仿宋" w:eastAsia="仿宋" w:cs="仿宋"/>
                <w:bCs/>
                <w:sz w:val="24"/>
                <w:szCs w:val="24"/>
                <w:highlight w:val="none"/>
                <w:lang w:eastAsia="zh-CN"/>
              </w:rPr>
              <w:t>。</w:t>
            </w:r>
          </w:p>
        </w:tc>
      </w:tr>
      <w:tr w14:paraId="18B0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5" w:hRule="atLeast"/>
          <w:jc w:val="center"/>
        </w:trPr>
        <w:tc>
          <w:tcPr>
            <w:tcW w:w="8679" w:type="dxa"/>
            <w:gridSpan w:val="3"/>
            <w:shd w:val="clear" w:color="auto" w:fill="FFFFFF"/>
            <w:noWrap w:val="0"/>
            <w:vAlign w:val="center"/>
          </w:tcPr>
          <w:p w14:paraId="5DC10084">
            <w:pPr>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u w:val="none"/>
                <w:lang w:val="en-US" w:bidi="ar-SA"/>
              </w:rPr>
              <w:t>结论：是否通过评审</w:t>
            </w:r>
          </w:p>
        </w:tc>
      </w:tr>
    </w:tbl>
    <w:p w14:paraId="1D077419">
      <w:pPr>
        <w:spacing w:line="440" w:lineRule="exact"/>
        <w:ind w:firstLine="482" w:firstLineChars="200"/>
        <w:rPr>
          <w:rFonts w:hint="eastAsia" w:ascii="仿宋" w:hAnsi="仿宋" w:eastAsia="仿宋" w:cs="仿宋"/>
          <w:b/>
          <w:bCs/>
          <w:sz w:val="24"/>
          <w:szCs w:val="24"/>
          <w:highlight w:val="none"/>
        </w:rPr>
      </w:pPr>
    </w:p>
    <w:p w14:paraId="4EB4A2FC">
      <w:pPr>
        <w:spacing w:line="440" w:lineRule="exact"/>
        <w:ind w:firstLine="482" w:firstLineChars="200"/>
        <w:rPr>
          <w:rFonts w:hint="eastAsia" w:ascii="仿宋" w:hAnsi="仿宋" w:eastAsia="仿宋" w:cs="仿宋"/>
          <w:b/>
          <w:bCs/>
          <w:sz w:val="24"/>
          <w:szCs w:val="24"/>
          <w:highlight w:val="none"/>
        </w:rPr>
      </w:pPr>
    </w:p>
    <w:p w14:paraId="48406167">
      <w:pPr>
        <w:spacing w:line="440" w:lineRule="exact"/>
        <w:ind w:firstLine="482" w:firstLineChars="200"/>
        <w:rPr>
          <w:rFonts w:hint="eastAsia" w:ascii="仿宋" w:hAnsi="仿宋" w:eastAsia="仿宋" w:cs="仿宋"/>
          <w:b/>
          <w:bCs/>
          <w:sz w:val="24"/>
          <w:szCs w:val="24"/>
          <w:highlight w:val="none"/>
        </w:rPr>
      </w:pPr>
    </w:p>
    <w:p w14:paraId="3F84D53D">
      <w:pPr>
        <w:spacing w:line="440" w:lineRule="exact"/>
        <w:ind w:firstLine="482" w:firstLineChars="20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2.符合性审查</w:t>
      </w:r>
    </w:p>
    <w:tbl>
      <w:tblPr>
        <w:tblStyle w:val="18"/>
        <w:tblW w:w="101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5"/>
        <w:gridCol w:w="8089"/>
        <w:gridCol w:w="570"/>
        <w:gridCol w:w="262"/>
        <w:gridCol w:w="355"/>
        <w:gridCol w:w="328"/>
      </w:tblGrid>
      <w:tr w14:paraId="34CB43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 w:hRule="atLeast"/>
          <w:jc w:val="center"/>
        </w:trPr>
        <w:tc>
          <w:tcPr>
            <w:tcW w:w="8644" w:type="dxa"/>
            <w:gridSpan w:val="2"/>
            <w:vMerge w:val="restart"/>
            <w:tcBorders>
              <w:top w:val="single" w:color="auto" w:sz="12" w:space="0"/>
              <w:right w:val="single" w:color="auto" w:sz="4" w:space="0"/>
            </w:tcBorders>
            <w:vAlign w:val="center"/>
          </w:tcPr>
          <w:p w14:paraId="3BE3A7D8">
            <w:pPr>
              <w:jc w:val="center"/>
              <w:rPr>
                <w:rFonts w:hint="eastAsia" w:ascii="仿宋" w:hAnsi="仿宋" w:eastAsia="仿宋" w:cs="仿宋"/>
                <w:b/>
                <w:sz w:val="24"/>
                <w:highlight w:val="none"/>
              </w:rPr>
            </w:pPr>
            <w:r>
              <w:rPr>
                <w:rFonts w:hint="eastAsia" w:ascii="仿宋" w:hAnsi="仿宋" w:eastAsia="仿宋" w:cs="仿宋"/>
                <w:b/>
                <w:sz w:val="24"/>
                <w:highlight w:val="none"/>
              </w:rPr>
              <w:t>评审内容</w:t>
            </w:r>
          </w:p>
        </w:tc>
        <w:tc>
          <w:tcPr>
            <w:tcW w:w="1515" w:type="dxa"/>
            <w:gridSpan w:val="4"/>
            <w:tcBorders>
              <w:top w:val="single" w:color="auto" w:sz="12" w:space="0"/>
              <w:left w:val="single" w:color="auto" w:sz="4" w:space="0"/>
              <w:bottom w:val="single" w:color="auto" w:sz="4" w:space="0"/>
            </w:tcBorders>
            <w:vAlign w:val="center"/>
          </w:tcPr>
          <w:p w14:paraId="69EE0CA5">
            <w:pPr>
              <w:jc w:val="center"/>
              <w:rPr>
                <w:rFonts w:hint="eastAsia" w:ascii="仿宋" w:hAnsi="仿宋" w:eastAsia="仿宋" w:cs="仿宋"/>
                <w:b/>
                <w:sz w:val="24"/>
                <w:highlight w:val="none"/>
              </w:rPr>
            </w:pPr>
            <w:r>
              <w:rPr>
                <w:rFonts w:hint="eastAsia" w:ascii="仿宋" w:hAnsi="仿宋" w:eastAsia="仿宋" w:cs="仿宋"/>
                <w:b/>
                <w:sz w:val="24"/>
                <w:highlight w:val="none"/>
              </w:rPr>
              <w:t>投标人名称</w:t>
            </w:r>
          </w:p>
        </w:tc>
      </w:tr>
      <w:tr w14:paraId="6A8EA8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6" w:hRule="atLeast"/>
          <w:jc w:val="center"/>
        </w:trPr>
        <w:tc>
          <w:tcPr>
            <w:tcW w:w="8644" w:type="dxa"/>
            <w:gridSpan w:val="2"/>
            <w:vMerge w:val="continue"/>
            <w:tcBorders>
              <w:right w:val="single" w:color="auto" w:sz="4" w:space="0"/>
            </w:tcBorders>
          </w:tcPr>
          <w:p w14:paraId="7C9CD95C">
            <w:pPr>
              <w:rPr>
                <w:rFonts w:hint="eastAsia" w:ascii="仿宋" w:hAnsi="仿宋" w:eastAsia="仿宋" w:cs="仿宋"/>
                <w:b/>
                <w:szCs w:val="21"/>
                <w:highlight w:val="none"/>
              </w:rPr>
            </w:pPr>
          </w:p>
        </w:tc>
        <w:tc>
          <w:tcPr>
            <w:tcW w:w="570" w:type="dxa"/>
            <w:tcBorders>
              <w:top w:val="single" w:color="auto" w:sz="4" w:space="0"/>
              <w:left w:val="single" w:color="auto" w:sz="4" w:space="0"/>
              <w:right w:val="single" w:color="auto" w:sz="4" w:space="0"/>
            </w:tcBorders>
            <w:vAlign w:val="center"/>
          </w:tcPr>
          <w:p w14:paraId="60A7E362">
            <w:pPr>
              <w:jc w:val="center"/>
              <w:rPr>
                <w:rFonts w:hint="eastAsia" w:ascii="仿宋" w:hAnsi="仿宋" w:eastAsia="仿宋" w:cs="仿宋"/>
                <w:b/>
                <w:szCs w:val="21"/>
                <w:highlight w:val="none"/>
              </w:rPr>
            </w:pPr>
            <w:r>
              <w:rPr>
                <w:rFonts w:hint="eastAsia" w:ascii="仿宋" w:hAnsi="仿宋" w:eastAsia="仿宋" w:cs="仿宋"/>
                <w:b/>
                <w:szCs w:val="21"/>
                <w:highlight w:val="none"/>
              </w:rPr>
              <w:t>1</w:t>
            </w:r>
          </w:p>
        </w:tc>
        <w:tc>
          <w:tcPr>
            <w:tcW w:w="262" w:type="dxa"/>
            <w:tcBorders>
              <w:top w:val="single" w:color="auto" w:sz="4" w:space="0"/>
              <w:left w:val="single" w:color="auto" w:sz="4" w:space="0"/>
            </w:tcBorders>
            <w:vAlign w:val="center"/>
          </w:tcPr>
          <w:p w14:paraId="006DF8A0">
            <w:pPr>
              <w:jc w:val="center"/>
              <w:rPr>
                <w:rFonts w:hint="eastAsia" w:ascii="仿宋" w:hAnsi="仿宋" w:eastAsia="仿宋" w:cs="仿宋"/>
                <w:b/>
                <w:szCs w:val="21"/>
                <w:highlight w:val="none"/>
              </w:rPr>
            </w:pPr>
            <w:r>
              <w:rPr>
                <w:rFonts w:hint="eastAsia" w:ascii="仿宋" w:hAnsi="仿宋" w:eastAsia="仿宋" w:cs="仿宋"/>
                <w:b/>
                <w:szCs w:val="21"/>
                <w:highlight w:val="none"/>
              </w:rPr>
              <w:t>2</w:t>
            </w:r>
          </w:p>
        </w:tc>
        <w:tc>
          <w:tcPr>
            <w:tcW w:w="355" w:type="dxa"/>
            <w:vAlign w:val="center"/>
          </w:tcPr>
          <w:p w14:paraId="734B629C">
            <w:pPr>
              <w:jc w:val="center"/>
              <w:rPr>
                <w:rFonts w:hint="eastAsia" w:ascii="仿宋" w:hAnsi="仿宋" w:eastAsia="仿宋" w:cs="仿宋"/>
                <w:b/>
                <w:szCs w:val="21"/>
                <w:highlight w:val="none"/>
              </w:rPr>
            </w:pPr>
            <w:r>
              <w:rPr>
                <w:rFonts w:hint="eastAsia" w:ascii="仿宋" w:hAnsi="仿宋" w:eastAsia="仿宋" w:cs="仿宋"/>
                <w:b/>
                <w:szCs w:val="21"/>
                <w:highlight w:val="none"/>
              </w:rPr>
              <w:t>3</w:t>
            </w:r>
          </w:p>
        </w:tc>
        <w:tc>
          <w:tcPr>
            <w:tcW w:w="328" w:type="dxa"/>
            <w:vAlign w:val="center"/>
          </w:tcPr>
          <w:p w14:paraId="2CB18E40">
            <w:pPr>
              <w:jc w:val="center"/>
              <w:rPr>
                <w:rFonts w:hint="eastAsia" w:ascii="仿宋" w:hAnsi="仿宋" w:eastAsia="仿宋" w:cs="仿宋"/>
                <w:b/>
                <w:szCs w:val="21"/>
                <w:highlight w:val="none"/>
              </w:rPr>
            </w:pPr>
            <w:r>
              <w:rPr>
                <w:rFonts w:hint="eastAsia" w:ascii="仿宋" w:hAnsi="仿宋" w:eastAsia="仿宋" w:cs="仿宋"/>
                <w:b/>
                <w:szCs w:val="21"/>
                <w:highlight w:val="none"/>
              </w:rPr>
              <w:t>…</w:t>
            </w:r>
          </w:p>
        </w:tc>
      </w:tr>
      <w:tr w14:paraId="0FDAC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555" w:type="dxa"/>
            <w:vAlign w:val="center"/>
          </w:tcPr>
          <w:p w14:paraId="764197EC">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1</w:t>
            </w:r>
          </w:p>
        </w:tc>
        <w:tc>
          <w:tcPr>
            <w:tcW w:w="8089" w:type="dxa"/>
            <w:tcBorders>
              <w:right w:val="single" w:color="auto" w:sz="4" w:space="0"/>
            </w:tcBorders>
            <w:vAlign w:val="center"/>
          </w:tcPr>
          <w:p w14:paraId="1D8D280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投标文件组成是否完整，主要内容是否齐全；</w:t>
            </w:r>
          </w:p>
        </w:tc>
        <w:tc>
          <w:tcPr>
            <w:tcW w:w="570" w:type="dxa"/>
            <w:tcBorders>
              <w:left w:val="single" w:color="auto" w:sz="4" w:space="0"/>
              <w:right w:val="single" w:color="auto" w:sz="4" w:space="0"/>
            </w:tcBorders>
            <w:vAlign w:val="center"/>
          </w:tcPr>
          <w:p w14:paraId="174759ED">
            <w:pPr>
              <w:rPr>
                <w:rFonts w:hint="eastAsia" w:ascii="仿宋" w:hAnsi="仿宋" w:eastAsia="仿宋" w:cs="仿宋"/>
                <w:sz w:val="24"/>
                <w:szCs w:val="24"/>
                <w:highlight w:val="none"/>
              </w:rPr>
            </w:pPr>
          </w:p>
        </w:tc>
        <w:tc>
          <w:tcPr>
            <w:tcW w:w="262" w:type="dxa"/>
            <w:tcBorders>
              <w:left w:val="single" w:color="auto" w:sz="4" w:space="0"/>
            </w:tcBorders>
            <w:vAlign w:val="center"/>
          </w:tcPr>
          <w:p w14:paraId="25A1F72A">
            <w:pPr>
              <w:rPr>
                <w:rFonts w:hint="eastAsia" w:ascii="仿宋" w:hAnsi="仿宋" w:eastAsia="仿宋" w:cs="仿宋"/>
                <w:sz w:val="24"/>
                <w:szCs w:val="24"/>
                <w:highlight w:val="none"/>
              </w:rPr>
            </w:pPr>
          </w:p>
        </w:tc>
        <w:tc>
          <w:tcPr>
            <w:tcW w:w="355" w:type="dxa"/>
            <w:tcBorders>
              <w:right w:val="single" w:color="auto" w:sz="4" w:space="0"/>
            </w:tcBorders>
          </w:tcPr>
          <w:p w14:paraId="6B98C36A">
            <w:pPr>
              <w:rPr>
                <w:rFonts w:hint="eastAsia" w:ascii="仿宋" w:hAnsi="仿宋" w:eastAsia="仿宋" w:cs="仿宋"/>
                <w:sz w:val="24"/>
                <w:szCs w:val="24"/>
                <w:highlight w:val="none"/>
              </w:rPr>
            </w:pPr>
          </w:p>
        </w:tc>
        <w:tc>
          <w:tcPr>
            <w:tcW w:w="328" w:type="dxa"/>
            <w:tcBorders>
              <w:left w:val="single" w:color="auto" w:sz="4" w:space="0"/>
            </w:tcBorders>
          </w:tcPr>
          <w:p w14:paraId="5B7363AC">
            <w:pPr>
              <w:rPr>
                <w:rFonts w:hint="eastAsia" w:ascii="仿宋" w:hAnsi="仿宋" w:eastAsia="仿宋" w:cs="仿宋"/>
                <w:sz w:val="24"/>
                <w:szCs w:val="24"/>
                <w:highlight w:val="none"/>
              </w:rPr>
            </w:pPr>
          </w:p>
        </w:tc>
      </w:tr>
      <w:tr w14:paraId="47EC6D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555" w:type="dxa"/>
            <w:vAlign w:val="center"/>
          </w:tcPr>
          <w:p w14:paraId="4BD09DE9">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2</w:t>
            </w:r>
          </w:p>
        </w:tc>
        <w:tc>
          <w:tcPr>
            <w:tcW w:w="8089" w:type="dxa"/>
            <w:tcBorders>
              <w:right w:val="single" w:color="auto" w:sz="4" w:space="0"/>
            </w:tcBorders>
            <w:vAlign w:val="center"/>
          </w:tcPr>
          <w:p w14:paraId="6FB8E695">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w:t>
            </w:r>
            <w:r>
              <w:rPr>
                <w:rFonts w:hint="eastAsia" w:ascii="仿宋" w:hAnsi="仿宋" w:eastAsia="仿宋" w:cs="仿宋"/>
                <w:sz w:val="24"/>
                <w:szCs w:val="24"/>
                <w:highlight w:val="none"/>
                <w:lang w:val="en-US"/>
              </w:rPr>
              <w:t>文件</w:t>
            </w:r>
            <w:r>
              <w:rPr>
                <w:rFonts w:hint="eastAsia" w:ascii="仿宋" w:hAnsi="仿宋" w:eastAsia="仿宋" w:cs="仿宋"/>
                <w:sz w:val="24"/>
                <w:szCs w:val="24"/>
                <w:highlight w:val="none"/>
              </w:rPr>
              <w:t>是否按采购文件要求</w:t>
            </w:r>
            <w:r>
              <w:rPr>
                <w:rFonts w:hint="eastAsia" w:ascii="仿宋" w:hAnsi="仿宋" w:eastAsia="仿宋" w:cs="仿宋"/>
                <w:sz w:val="24"/>
                <w:szCs w:val="24"/>
                <w:highlight w:val="none"/>
                <w:lang w:val="en-US"/>
              </w:rPr>
              <w:t>进行</w:t>
            </w:r>
            <w:r>
              <w:rPr>
                <w:rFonts w:hint="eastAsia" w:ascii="仿宋" w:hAnsi="仿宋" w:eastAsia="仿宋" w:cs="仿宋"/>
                <w:sz w:val="24"/>
                <w:szCs w:val="24"/>
                <w:highlight w:val="none"/>
              </w:rPr>
              <w:t>签字或盖章；</w:t>
            </w:r>
          </w:p>
        </w:tc>
        <w:tc>
          <w:tcPr>
            <w:tcW w:w="570" w:type="dxa"/>
            <w:tcBorders>
              <w:left w:val="single" w:color="auto" w:sz="4" w:space="0"/>
              <w:right w:val="single" w:color="auto" w:sz="4" w:space="0"/>
            </w:tcBorders>
            <w:vAlign w:val="center"/>
          </w:tcPr>
          <w:p w14:paraId="22CE9FB9">
            <w:pPr>
              <w:rPr>
                <w:rFonts w:hint="eastAsia" w:ascii="仿宋" w:hAnsi="仿宋" w:eastAsia="仿宋" w:cs="仿宋"/>
                <w:sz w:val="24"/>
                <w:szCs w:val="24"/>
                <w:highlight w:val="none"/>
              </w:rPr>
            </w:pPr>
          </w:p>
        </w:tc>
        <w:tc>
          <w:tcPr>
            <w:tcW w:w="262" w:type="dxa"/>
            <w:tcBorders>
              <w:left w:val="single" w:color="auto" w:sz="4" w:space="0"/>
            </w:tcBorders>
            <w:vAlign w:val="center"/>
          </w:tcPr>
          <w:p w14:paraId="2D73B50C">
            <w:pPr>
              <w:rPr>
                <w:rFonts w:hint="eastAsia" w:ascii="仿宋" w:hAnsi="仿宋" w:eastAsia="仿宋" w:cs="仿宋"/>
                <w:sz w:val="24"/>
                <w:szCs w:val="24"/>
                <w:highlight w:val="none"/>
              </w:rPr>
            </w:pPr>
          </w:p>
        </w:tc>
        <w:tc>
          <w:tcPr>
            <w:tcW w:w="355" w:type="dxa"/>
            <w:tcBorders>
              <w:right w:val="single" w:color="auto" w:sz="4" w:space="0"/>
            </w:tcBorders>
          </w:tcPr>
          <w:p w14:paraId="0A4BD30C">
            <w:pPr>
              <w:rPr>
                <w:rFonts w:hint="eastAsia" w:ascii="仿宋" w:hAnsi="仿宋" w:eastAsia="仿宋" w:cs="仿宋"/>
                <w:sz w:val="24"/>
                <w:szCs w:val="24"/>
                <w:highlight w:val="none"/>
              </w:rPr>
            </w:pPr>
          </w:p>
        </w:tc>
        <w:tc>
          <w:tcPr>
            <w:tcW w:w="328" w:type="dxa"/>
            <w:tcBorders>
              <w:left w:val="single" w:color="auto" w:sz="4" w:space="0"/>
            </w:tcBorders>
          </w:tcPr>
          <w:p w14:paraId="11AF2742">
            <w:pPr>
              <w:rPr>
                <w:rFonts w:hint="eastAsia" w:ascii="仿宋" w:hAnsi="仿宋" w:eastAsia="仿宋" w:cs="仿宋"/>
                <w:sz w:val="24"/>
                <w:szCs w:val="24"/>
                <w:highlight w:val="none"/>
              </w:rPr>
            </w:pPr>
          </w:p>
        </w:tc>
      </w:tr>
      <w:tr w14:paraId="417A2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555" w:type="dxa"/>
            <w:vAlign w:val="center"/>
          </w:tcPr>
          <w:p w14:paraId="052AFF2F">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3</w:t>
            </w:r>
          </w:p>
        </w:tc>
        <w:tc>
          <w:tcPr>
            <w:tcW w:w="8089" w:type="dxa"/>
            <w:tcBorders>
              <w:right w:val="single" w:color="auto" w:sz="4" w:space="0"/>
            </w:tcBorders>
            <w:vAlign w:val="center"/>
          </w:tcPr>
          <w:p w14:paraId="7D4C31F9">
            <w:pPr>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投标报价是否高于</w:t>
            </w:r>
            <w:r>
              <w:rPr>
                <w:rFonts w:hint="eastAsia" w:ascii="仿宋" w:hAnsi="仿宋" w:eastAsia="仿宋" w:cs="仿宋"/>
                <w:sz w:val="24"/>
                <w:szCs w:val="24"/>
                <w:highlight w:val="none"/>
                <w:lang w:val="en-US"/>
              </w:rPr>
              <w:t>采购文件</w:t>
            </w:r>
            <w:r>
              <w:rPr>
                <w:rFonts w:hint="eastAsia" w:ascii="仿宋" w:hAnsi="仿宋" w:eastAsia="仿宋" w:cs="仿宋"/>
                <w:sz w:val="24"/>
                <w:szCs w:val="24"/>
                <w:highlight w:val="none"/>
              </w:rPr>
              <w:t>公布的采购预算金额（或最高限价）</w:t>
            </w:r>
            <w:r>
              <w:rPr>
                <w:rFonts w:hint="eastAsia" w:ascii="仿宋" w:hAnsi="仿宋" w:eastAsia="仿宋" w:cs="仿宋"/>
                <w:sz w:val="24"/>
                <w:szCs w:val="24"/>
                <w:highlight w:val="none"/>
                <w:lang w:val="en-US"/>
              </w:rPr>
              <w:t>及</w:t>
            </w:r>
            <w:r>
              <w:rPr>
                <w:rFonts w:hint="eastAsia" w:ascii="仿宋" w:hAnsi="仿宋" w:eastAsia="仿宋" w:cs="仿宋"/>
                <w:sz w:val="24"/>
                <w:szCs w:val="24"/>
                <w:highlight w:val="none"/>
                <w:lang w:val="en-US" w:eastAsia="zh-CN"/>
              </w:rPr>
              <w:t>分项</w:t>
            </w:r>
            <w:r>
              <w:rPr>
                <w:rFonts w:hint="eastAsia" w:ascii="仿宋" w:hAnsi="仿宋" w:eastAsia="仿宋" w:cs="仿宋"/>
                <w:sz w:val="24"/>
                <w:szCs w:val="24"/>
                <w:highlight w:val="none"/>
                <w:lang w:val="en-US"/>
              </w:rPr>
              <w:t>限价</w:t>
            </w:r>
            <w:r>
              <w:rPr>
                <w:rFonts w:hint="eastAsia" w:ascii="仿宋" w:hAnsi="仿宋" w:eastAsia="仿宋" w:cs="仿宋"/>
                <w:sz w:val="24"/>
                <w:szCs w:val="24"/>
                <w:highlight w:val="none"/>
              </w:rPr>
              <w:t>；</w:t>
            </w:r>
          </w:p>
        </w:tc>
        <w:tc>
          <w:tcPr>
            <w:tcW w:w="570" w:type="dxa"/>
            <w:tcBorders>
              <w:left w:val="single" w:color="auto" w:sz="4" w:space="0"/>
              <w:right w:val="single" w:color="auto" w:sz="4" w:space="0"/>
            </w:tcBorders>
            <w:vAlign w:val="center"/>
          </w:tcPr>
          <w:p w14:paraId="2D406312">
            <w:pPr>
              <w:rPr>
                <w:rFonts w:hint="eastAsia" w:ascii="仿宋" w:hAnsi="仿宋" w:eastAsia="仿宋" w:cs="仿宋"/>
                <w:sz w:val="24"/>
                <w:szCs w:val="24"/>
                <w:highlight w:val="none"/>
              </w:rPr>
            </w:pPr>
          </w:p>
        </w:tc>
        <w:tc>
          <w:tcPr>
            <w:tcW w:w="262" w:type="dxa"/>
            <w:tcBorders>
              <w:left w:val="single" w:color="auto" w:sz="4" w:space="0"/>
            </w:tcBorders>
            <w:vAlign w:val="center"/>
          </w:tcPr>
          <w:p w14:paraId="4FA1BCBD">
            <w:pPr>
              <w:rPr>
                <w:rFonts w:hint="eastAsia" w:ascii="仿宋" w:hAnsi="仿宋" w:eastAsia="仿宋" w:cs="仿宋"/>
                <w:sz w:val="24"/>
                <w:szCs w:val="24"/>
                <w:highlight w:val="none"/>
              </w:rPr>
            </w:pPr>
          </w:p>
        </w:tc>
        <w:tc>
          <w:tcPr>
            <w:tcW w:w="355" w:type="dxa"/>
            <w:tcBorders>
              <w:right w:val="single" w:color="auto" w:sz="4" w:space="0"/>
            </w:tcBorders>
          </w:tcPr>
          <w:p w14:paraId="594C470E">
            <w:pPr>
              <w:rPr>
                <w:rFonts w:hint="eastAsia" w:ascii="仿宋" w:hAnsi="仿宋" w:eastAsia="仿宋" w:cs="仿宋"/>
                <w:sz w:val="24"/>
                <w:szCs w:val="24"/>
                <w:highlight w:val="none"/>
              </w:rPr>
            </w:pPr>
          </w:p>
        </w:tc>
        <w:tc>
          <w:tcPr>
            <w:tcW w:w="328" w:type="dxa"/>
            <w:tcBorders>
              <w:left w:val="single" w:color="auto" w:sz="4" w:space="0"/>
            </w:tcBorders>
          </w:tcPr>
          <w:p w14:paraId="1BC13B2E">
            <w:pPr>
              <w:rPr>
                <w:rFonts w:hint="eastAsia" w:ascii="仿宋" w:hAnsi="仿宋" w:eastAsia="仿宋" w:cs="仿宋"/>
                <w:sz w:val="24"/>
                <w:szCs w:val="24"/>
                <w:highlight w:val="none"/>
              </w:rPr>
            </w:pPr>
          </w:p>
        </w:tc>
      </w:tr>
      <w:tr w14:paraId="76FB2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6" w:hRule="atLeast"/>
          <w:jc w:val="center"/>
        </w:trPr>
        <w:tc>
          <w:tcPr>
            <w:tcW w:w="555" w:type="dxa"/>
            <w:vAlign w:val="center"/>
          </w:tcPr>
          <w:p w14:paraId="4C39FC68">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089" w:type="dxa"/>
            <w:tcBorders>
              <w:right w:val="single" w:color="auto" w:sz="4" w:space="0"/>
            </w:tcBorders>
            <w:vAlign w:val="center"/>
          </w:tcPr>
          <w:p w14:paraId="0E19E306">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价合理性（异常低价审查）投标人的报价不存在异常低价情况，或被启动审查的供应商，在合理时间内（不少于30分钟），就报价合理性提交书面说明，并提供项目成本测算明细、原材料采购意向协议、人工成本核算依据等可核验的证明材料证明其报价合理性的</w:t>
            </w:r>
            <w:r>
              <w:rPr>
                <w:rFonts w:hint="eastAsia" w:ascii="仿宋" w:hAnsi="仿宋" w:eastAsia="仿宋" w:cs="仿宋"/>
                <w:color w:val="auto"/>
                <w:sz w:val="24"/>
                <w:szCs w:val="24"/>
                <w:highlight w:val="none"/>
                <w:lang w:eastAsia="zh-CN"/>
              </w:rPr>
              <w:t>。</w:t>
            </w:r>
          </w:p>
        </w:tc>
        <w:tc>
          <w:tcPr>
            <w:tcW w:w="570" w:type="dxa"/>
            <w:tcBorders>
              <w:left w:val="single" w:color="auto" w:sz="4" w:space="0"/>
              <w:right w:val="single" w:color="auto" w:sz="4" w:space="0"/>
            </w:tcBorders>
            <w:vAlign w:val="center"/>
          </w:tcPr>
          <w:p w14:paraId="53F777B8">
            <w:pPr>
              <w:rPr>
                <w:rFonts w:hint="eastAsia" w:ascii="仿宋" w:hAnsi="仿宋" w:eastAsia="仿宋" w:cs="仿宋"/>
                <w:sz w:val="24"/>
                <w:szCs w:val="24"/>
                <w:highlight w:val="none"/>
              </w:rPr>
            </w:pPr>
          </w:p>
        </w:tc>
        <w:tc>
          <w:tcPr>
            <w:tcW w:w="262" w:type="dxa"/>
            <w:tcBorders>
              <w:left w:val="single" w:color="auto" w:sz="4" w:space="0"/>
            </w:tcBorders>
            <w:vAlign w:val="center"/>
          </w:tcPr>
          <w:p w14:paraId="3E2AB066">
            <w:pPr>
              <w:rPr>
                <w:rFonts w:hint="eastAsia" w:ascii="仿宋" w:hAnsi="仿宋" w:eastAsia="仿宋" w:cs="仿宋"/>
                <w:sz w:val="24"/>
                <w:szCs w:val="24"/>
                <w:highlight w:val="none"/>
              </w:rPr>
            </w:pPr>
          </w:p>
        </w:tc>
        <w:tc>
          <w:tcPr>
            <w:tcW w:w="355" w:type="dxa"/>
            <w:tcBorders>
              <w:right w:val="single" w:color="auto" w:sz="4" w:space="0"/>
            </w:tcBorders>
          </w:tcPr>
          <w:p w14:paraId="5EF7A7E2">
            <w:pPr>
              <w:rPr>
                <w:rFonts w:hint="eastAsia" w:ascii="仿宋" w:hAnsi="仿宋" w:eastAsia="仿宋" w:cs="仿宋"/>
                <w:sz w:val="24"/>
                <w:szCs w:val="24"/>
                <w:highlight w:val="none"/>
              </w:rPr>
            </w:pPr>
          </w:p>
        </w:tc>
        <w:tc>
          <w:tcPr>
            <w:tcW w:w="328" w:type="dxa"/>
            <w:tcBorders>
              <w:left w:val="single" w:color="auto" w:sz="4" w:space="0"/>
            </w:tcBorders>
          </w:tcPr>
          <w:p w14:paraId="4CD61F2A">
            <w:pPr>
              <w:rPr>
                <w:rFonts w:hint="eastAsia" w:ascii="仿宋" w:hAnsi="仿宋" w:eastAsia="仿宋" w:cs="仿宋"/>
                <w:sz w:val="24"/>
                <w:szCs w:val="24"/>
                <w:highlight w:val="none"/>
              </w:rPr>
            </w:pPr>
          </w:p>
        </w:tc>
      </w:tr>
      <w:tr w14:paraId="4E1C8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9" w:hRule="atLeast"/>
          <w:jc w:val="center"/>
        </w:trPr>
        <w:tc>
          <w:tcPr>
            <w:tcW w:w="555" w:type="dxa"/>
            <w:vAlign w:val="center"/>
          </w:tcPr>
          <w:p w14:paraId="6762B625">
            <w:pPr>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5</w:t>
            </w:r>
          </w:p>
        </w:tc>
        <w:tc>
          <w:tcPr>
            <w:tcW w:w="8089" w:type="dxa"/>
            <w:tcBorders>
              <w:right w:val="single" w:color="auto" w:sz="4" w:space="0"/>
            </w:tcBorders>
            <w:vAlign w:val="center"/>
          </w:tcPr>
          <w:p w14:paraId="7944A141">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投标文件载明的</w:t>
            </w:r>
            <w:r>
              <w:rPr>
                <w:rFonts w:hint="eastAsia" w:ascii="仿宋" w:hAnsi="仿宋" w:eastAsia="仿宋" w:cs="仿宋"/>
                <w:color w:val="auto"/>
                <w:sz w:val="24"/>
                <w:szCs w:val="24"/>
                <w:highlight w:val="none"/>
                <w:lang w:val="en-US"/>
              </w:rPr>
              <w:t>投标有效期</w:t>
            </w:r>
            <w:r>
              <w:rPr>
                <w:rFonts w:hint="eastAsia" w:ascii="仿宋" w:hAnsi="仿宋" w:eastAsia="仿宋" w:cs="仿宋"/>
                <w:color w:val="auto"/>
                <w:sz w:val="24"/>
                <w:szCs w:val="24"/>
                <w:highlight w:val="none"/>
              </w:rPr>
              <w:t>是否满足</w:t>
            </w:r>
            <w:r>
              <w:rPr>
                <w:rFonts w:hint="eastAsia" w:ascii="仿宋" w:hAnsi="仿宋" w:eastAsia="仿宋" w:cs="仿宋"/>
                <w:color w:val="auto"/>
                <w:sz w:val="24"/>
                <w:szCs w:val="24"/>
                <w:highlight w:val="none"/>
                <w:lang w:val="en-US"/>
              </w:rPr>
              <w:t>采购</w:t>
            </w:r>
            <w:r>
              <w:rPr>
                <w:rFonts w:hint="eastAsia" w:ascii="仿宋" w:hAnsi="仿宋" w:eastAsia="仿宋" w:cs="仿宋"/>
                <w:color w:val="auto"/>
                <w:sz w:val="24"/>
                <w:szCs w:val="24"/>
                <w:highlight w:val="none"/>
              </w:rPr>
              <w:t>文件要求；</w:t>
            </w:r>
          </w:p>
        </w:tc>
        <w:tc>
          <w:tcPr>
            <w:tcW w:w="570" w:type="dxa"/>
            <w:tcBorders>
              <w:left w:val="single" w:color="auto" w:sz="4" w:space="0"/>
              <w:right w:val="single" w:color="auto" w:sz="4" w:space="0"/>
            </w:tcBorders>
            <w:vAlign w:val="center"/>
          </w:tcPr>
          <w:p w14:paraId="1CF96C86">
            <w:pPr>
              <w:rPr>
                <w:rFonts w:hint="eastAsia" w:ascii="仿宋" w:hAnsi="仿宋" w:eastAsia="仿宋" w:cs="仿宋"/>
                <w:sz w:val="24"/>
                <w:szCs w:val="24"/>
                <w:highlight w:val="none"/>
              </w:rPr>
            </w:pPr>
          </w:p>
        </w:tc>
        <w:tc>
          <w:tcPr>
            <w:tcW w:w="262" w:type="dxa"/>
            <w:tcBorders>
              <w:left w:val="single" w:color="auto" w:sz="4" w:space="0"/>
            </w:tcBorders>
            <w:vAlign w:val="center"/>
          </w:tcPr>
          <w:p w14:paraId="30B944EB">
            <w:pPr>
              <w:rPr>
                <w:rFonts w:hint="eastAsia" w:ascii="仿宋" w:hAnsi="仿宋" w:eastAsia="仿宋" w:cs="仿宋"/>
                <w:sz w:val="24"/>
                <w:szCs w:val="24"/>
                <w:highlight w:val="none"/>
              </w:rPr>
            </w:pPr>
          </w:p>
        </w:tc>
        <w:tc>
          <w:tcPr>
            <w:tcW w:w="355" w:type="dxa"/>
            <w:tcBorders>
              <w:right w:val="single" w:color="auto" w:sz="4" w:space="0"/>
            </w:tcBorders>
          </w:tcPr>
          <w:p w14:paraId="04B4A456">
            <w:pPr>
              <w:rPr>
                <w:rFonts w:hint="eastAsia" w:ascii="仿宋" w:hAnsi="仿宋" w:eastAsia="仿宋" w:cs="仿宋"/>
                <w:sz w:val="24"/>
                <w:szCs w:val="24"/>
                <w:highlight w:val="none"/>
              </w:rPr>
            </w:pPr>
          </w:p>
        </w:tc>
        <w:tc>
          <w:tcPr>
            <w:tcW w:w="328" w:type="dxa"/>
            <w:tcBorders>
              <w:left w:val="single" w:color="auto" w:sz="4" w:space="0"/>
            </w:tcBorders>
          </w:tcPr>
          <w:p w14:paraId="3519F545">
            <w:pPr>
              <w:rPr>
                <w:rFonts w:hint="eastAsia" w:ascii="仿宋" w:hAnsi="仿宋" w:eastAsia="仿宋" w:cs="仿宋"/>
                <w:sz w:val="24"/>
                <w:szCs w:val="24"/>
                <w:highlight w:val="none"/>
              </w:rPr>
            </w:pPr>
          </w:p>
        </w:tc>
      </w:tr>
      <w:tr w14:paraId="5B8F9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555" w:type="dxa"/>
            <w:vAlign w:val="center"/>
          </w:tcPr>
          <w:p w14:paraId="2598C087">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089" w:type="dxa"/>
            <w:tcBorders>
              <w:right w:val="single" w:color="auto" w:sz="4" w:space="0"/>
            </w:tcBorders>
            <w:vAlign w:val="center"/>
          </w:tcPr>
          <w:p w14:paraId="19775C81">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投标文件载明的质量要求、质保期、付款方式及供货期是否满足采购文件要求；</w:t>
            </w:r>
          </w:p>
        </w:tc>
        <w:tc>
          <w:tcPr>
            <w:tcW w:w="570" w:type="dxa"/>
            <w:tcBorders>
              <w:left w:val="single" w:color="auto" w:sz="4" w:space="0"/>
              <w:right w:val="single" w:color="auto" w:sz="4" w:space="0"/>
            </w:tcBorders>
            <w:vAlign w:val="center"/>
          </w:tcPr>
          <w:p w14:paraId="6AF31D71">
            <w:pPr>
              <w:rPr>
                <w:rFonts w:hint="eastAsia" w:ascii="仿宋" w:hAnsi="仿宋" w:eastAsia="仿宋" w:cs="仿宋"/>
                <w:sz w:val="24"/>
                <w:szCs w:val="24"/>
                <w:highlight w:val="none"/>
              </w:rPr>
            </w:pPr>
          </w:p>
        </w:tc>
        <w:tc>
          <w:tcPr>
            <w:tcW w:w="262" w:type="dxa"/>
            <w:tcBorders>
              <w:left w:val="single" w:color="auto" w:sz="4" w:space="0"/>
            </w:tcBorders>
            <w:vAlign w:val="center"/>
          </w:tcPr>
          <w:p w14:paraId="28CDE85A">
            <w:pPr>
              <w:rPr>
                <w:rFonts w:hint="eastAsia" w:ascii="仿宋" w:hAnsi="仿宋" w:eastAsia="仿宋" w:cs="仿宋"/>
                <w:sz w:val="24"/>
                <w:szCs w:val="24"/>
                <w:highlight w:val="none"/>
              </w:rPr>
            </w:pPr>
          </w:p>
        </w:tc>
        <w:tc>
          <w:tcPr>
            <w:tcW w:w="355" w:type="dxa"/>
            <w:tcBorders>
              <w:right w:val="single" w:color="auto" w:sz="4" w:space="0"/>
            </w:tcBorders>
          </w:tcPr>
          <w:p w14:paraId="250A20CC">
            <w:pPr>
              <w:rPr>
                <w:rFonts w:hint="eastAsia" w:ascii="仿宋" w:hAnsi="仿宋" w:eastAsia="仿宋" w:cs="仿宋"/>
                <w:sz w:val="24"/>
                <w:szCs w:val="24"/>
                <w:highlight w:val="none"/>
              </w:rPr>
            </w:pPr>
          </w:p>
        </w:tc>
        <w:tc>
          <w:tcPr>
            <w:tcW w:w="328" w:type="dxa"/>
            <w:tcBorders>
              <w:left w:val="single" w:color="auto" w:sz="4" w:space="0"/>
            </w:tcBorders>
          </w:tcPr>
          <w:p w14:paraId="660E9E5B">
            <w:pPr>
              <w:rPr>
                <w:rFonts w:hint="eastAsia" w:ascii="仿宋" w:hAnsi="仿宋" w:eastAsia="仿宋" w:cs="仿宋"/>
                <w:sz w:val="24"/>
                <w:szCs w:val="24"/>
                <w:highlight w:val="none"/>
              </w:rPr>
            </w:pPr>
          </w:p>
        </w:tc>
      </w:tr>
      <w:tr w14:paraId="744719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555" w:type="dxa"/>
            <w:vAlign w:val="center"/>
          </w:tcPr>
          <w:p w14:paraId="5A855159">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8089" w:type="dxa"/>
            <w:tcBorders>
              <w:right w:val="single" w:color="auto" w:sz="4" w:space="0"/>
            </w:tcBorders>
            <w:vAlign w:val="center"/>
          </w:tcPr>
          <w:p w14:paraId="0161027A">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投标文件是否附有招标人不能接受的条件；</w:t>
            </w:r>
          </w:p>
        </w:tc>
        <w:tc>
          <w:tcPr>
            <w:tcW w:w="570" w:type="dxa"/>
            <w:tcBorders>
              <w:left w:val="single" w:color="auto" w:sz="4" w:space="0"/>
              <w:right w:val="single" w:color="auto" w:sz="4" w:space="0"/>
            </w:tcBorders>
            <w:vAlign w:val="center"/>
          </w:tcPr>
          <w:p w14:paraId="5D313779">
            <w:pPr>
              <w:rPr>
                <w:rFonts w:hint="eastAsia" w:ascii="仿宋" w:hAnsi="仿宋" w:eastAsia="仿宋" w:cs="仿宋"/>
                <w:sz w:val="24"/>
                <w:szCs w:val="24"/>
                <w:highlight w:val="none"/>
              </w:rPr>
            </w:pPr>
          </w:p>
        </w:tc>
        <w:tc>
          <w:tcPr>
            <w:tcW w:w="262" w:type="dxa"/>
            <w:tcBorders>
              <w:left w:val="single" w:color="auto" w:sz="4" w:space="0"/>
            </w:tcBorders>
            <w:vAlign w:val="center"/>
          </w:tcPr>
          <w:p w14:paraId="3998439A">
            <w:pPr>
              <w:snapToGrid w:val="0"/>
              <w:spacing w:line="360" w:lineRule="auto"/>
              <w:rPr>
                <w:rFonts w:hint="eastAsia" w:ascii="仿宋" w:hAnsi="仿宋" w:eastAsia="仿宋" w:cs="仿宋"/>
                <w:sz w:val="24"/>
                <w:szCs w:val="24"/>
                <w:highlight w:val="none"/>
              </w:rPr>
            </w:pPr>
          </w:p>
        </w:tc>
        <w:tc>
          <w:tcPr>
            <w:tcW w:w="355" w:type="dxa"/>
            <w:tcBorders>
              <w:right w:val="single" w:color="auto" w:sz="4" w:space="0"/>
            </w:tcBorders>
          </w:tcPr>
          <w:p w14:paraId="2F049745">
            <w:pPr>
              <w:rPr>
                <w:rFonts w:hint="eastAsia" w:ascii="仿宋" w:hAnsi="仿宋" w:eastAsia="仿宋" w:cs="仿宋"/>
                <w:sz w:val="24"/>
                <w:szCs w:val="24"/>
                <w:highlight w:val="none"/>
              </w:rPr>
            </w:pPr>
          </w:p>
        </w:tc>
        <w:tc>
          <w:tcPr>
            <w:tcW w:w="328" w:type="dxa"/>
            <w:tcBorders>
              <w:left w:val="single" w:color="auto" w:sz="4" w:space="0"/>
            </w:tcBorders>
          </w:tcPr>
          <w:p w14:paraId="64AB19F1">
            <w:pPr>
              <w:rPr>
                <w:rFonts w:hint="eastAsia" w:ascii="仿宋" w:hAnsi="仿宋" w:eastAsia="仿宋" w:cs="仿宋"/>
                <w:sz w:val="24"/>
                <w:szCs w:val="24"/>
                <w:highlight w:val="none"/>
              </w:rPr>
            </w:pPr>
          </w:p>
        </w:tc>
      </w:tr>
      <w:tr w14:paraId="3B87D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555" w:type="dxa"/>
            <w:vAlign w:val="center"/>
          </w:tcPr>
          <w:p w14:paraId="23FAF48B">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089" w:type="dxa"/>
            <w:tcBorders>
              <w:right w:val="single" w:color="auto" w:sz="4" w:space="0"/>
            </w:tcBorders>
            <w:vAlign w:val="center"/>
          </w:tcPr>
          <w:p w14:paraId="72AE5DEA">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是否符合法律、法规和采购文件中规定的其他实质性要求；</w:t>
            </w:r>
          </w:p>
        </w:tc>
        <w:tc>
          <w:tcPr>
            <w:tcW w:w="570" w:type="dxa"/>
            <w:tcBorders>
              <w:left w:val="single" w:color="auto" w:sz="4" w:space="0"/>
              <w:right w:val="single" w:color="auto" w:sz="4" w:space="0"/>
            </w:tcBorders>
            <w:vAlign w:val="center"/>
          </w:tcPr>
          <w:p w14:paraId="552DFE28">
            <w:pPr>
              <w:rPr>
                <w:rFonts w:hint="eastAsia" w:ascii="仿宋" w:hAnsi="仿宋" w:eastAsia="仿宋" w:cs="仿宋"/>
                <w:sz w:val="24"/>
                <w:szCs w:val="24"/>
                <w:highlight w:val="none"/>
              </w:rPr>
            </w:pPr>
          </w:p>
        </w:tc>
        <w:tc>
          <w:tcPr>
            <w:tcW w:w="262" w:type="dxa"/>
            <w:tcBorders>
              <w:left w:val="single" w:color="auto" w:sz="4" w:space="0"/>
            </w:tcBorders>
            <w:vAlign w:val="center"/>
          </w:tcPr>
          <w:p w14:paraId="5AA1BF61">
            <w:pPr>
              <w:rPr>
                <w:rFonts w:hint="eastAsia" w:ascii="仿宋" w:hAnsi="仿宋" w:eastAsia="仿宋" w:cs="仿宋"/>
                <w:sz w:val="24"/>
                <w:szCs w:val="24"/>
                <w:highlight w:val="none"/>
              </w:rPr>
            </w:pPr>
          </w:p>
        </w:tc>
        <w:tc>
          <w:tcPr>
            <w:tcW w:w="355" w:type="dxa"/>
            <w:tcBorders>
              <w:right w:val="single" w:color="auto" w:sz="4" w:space="0"/>
            </w:tcBorders>
          </w:tcPr>
          <w:p w14:paraId="4F9B0157">
            <w:pPr>
              <w:rPr>
                <w:rFonts w:hint="eastAsia" w:ascii="仿宋" w:hAnsi="仿宋" w:eastAsia="仿宋" w:cs="仿宋"/>
                <w:sz w:val="24"/>
                <w:szCs w:val="24"/>
                <w:highlight w:val="none"/>
              </w:rPr>
            </w:pPr>
          </w:p>
        </w:tc>
        <w:tc>
          <w:tcPr>
            <w:tcW w:w="328" w:type="dxa"/>
            <w:tcBorders>
              <w:left w:val="single" w:color="auto" w:sz="4" w:space="0"/>
            </w:tcBorders>
          </w:tcPr>
          <w:p w14:paraId="1B7F9BB6">
            <w:pPr>
              <w:rPr>
                <w:rFonts w:hint="eastAsia" w:ascii="仿宋" w:hAnsi="仿宋" w:eastAsia="仿宋" w:cs="仿宋"/>
                <w:sz w:val="24"/>
                <w:szCs w:val="24"/>
                <w:highlight w:val="none"/>
              </w:rPr>
            </w:pPr>
          </w:p>
        </w:tc>
      </w:tr>
      <w:tr w14:paraId="2C5B35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46" w:hRule="atLeast"/>
          <w:jc w:val="center"/>
        </w:trPr>
        <w:tc>
          <w:tcPr>
            <w:tcW w:w="555" w:type="dxa"/>
            <w:vAlign w:val="center"/>
          </w:tcPr>
          <w:p w14:paraId="05F01CA5">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8089" w:type="dxa"/>
            <w:tcBorders>
              <w:right w:val="single" w:color="auto" w:sz="4" w:space="0"/>
            </w:tcBorders>
            <w:vAlign w:val="center"/>
          </w:tcPr>
          <w:p w14:paraId="1F2335FC">
            <w:pP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技术性能、技术参数是否满足采购文件要求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所供产品须具有明确的品牌、型号、数量、单价、产地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（采购需求中标“★”）；（本次“★”</w:t>
            </w:r>
            <w:r>
              <w:rPr>
                <w:rFonts w:hint="eastAsia" w:ascii="仿宋" w:hAnsi="仿宋" w:eastAsia="仿宋" w:cs="仿宋"/>
                <w:color w:val="auto"/>
                <w:sz w:val="24"/>
                <w:szCs w:val="24"/>
                <w:highlight w:val="none"/>
                <w:lang w:eastAsia="zh-CN"/>
              </w:rPr>
              <w:t>项以外参数，为重要参</w:t>
            </w:r>
            <w:r>
              <w:rPr>
                <w:rFonts w:hint="eastAsia" w:ascii="仿宋" w:hAnsi="仿宋" w:eastAsia="仿宋" w:cs="仿宋"/>
                <w:color w:val="auto"/>
                <w:sz w:val="24"/>
                <w:szCs w:val="24"/>
                <w:highlight w:val="none"/>
              </w:rPr>
              <w:t>数</w:t>
            </w:r>
            <w:r>
              <w:rPr>
                <w:rFonts w:hint="eastAsia" w:ascii="仿宋" w:hAnsi="仿宋" w:eastAsia="仿宋" w:cs="仿宋"/>
                <w:color w:val="auto"/>
                <w:sz w:val="24"/>
                <w:szCs w:val="24"/>
                <w:highlight w:val="none"/>
                <w:lang w:eastAsia="zh-CN"/>
              </w:rPr>
              <w:t>允许负</w:t>
            </w:r>
            <w:r>
              <w:rPr>
                <w:rFonts w:hint="eastAsia" w:ascii="仿宋" w:hAnsi="仿宋" w:eastAsia="仿宋" w:cs="仿宋"/>
                <w:color w:val="auto"/>
                <w:sz w:val="24"/>
                <w:szCs w:val="24"/>
                <w:highlight w:val="none"/>
              </w:rPr>
              <w:t>偏离项数最多为</w:t>
            </w:r>
            <w:r>
              <w:rPr>
                <w:rFonts w:hint="eastAsia" w:ascii="仿宋" w:hAnsi="仿宋" w:eastAsia="仿宋" w:cs="仿宋"/>
                <w:color w:val="auto"/>
                <w:sz w:val="24"/>
                <w:szCs w:val="24"/>
                <w:highlight w:val="none"/>
                <w:lang w:val="en-US" w:eastAsia="zh-CN"/>
              </w:rPr>
              <w:t xml:space="preserve"> 10 </w:t>
            </w:r>
            <w:r>
              <w:rPr>
                <w:rFonts w:hint="eastAsia" w:ascii="仿宋" w:hAnsi="仿宋" w:eastAsia="仿宋" w:cs="仿宋"/>
                <w:color w:val="auto"/>
                <w:sz w:val="24"/>
                <w:szCs w:val="24"/>
                <w:highlight w:val="none"/>
                <w:lang w:val="en-US"/>
              </w:rPr>
              <w:t>项</w:t>
            </w:r>
            <w:r>
              <w:rPr>
                <w:rFonts w:hint="eastAsia" w:ascii="仿宋" w:hAnsi="仿宋" w:eastAsia="仿宋" w:cs="仿宋"/>
                <w:color w:val="auto"/>
                <w:sz w:val="24"/>
                <w:szCs w:val="24"/>
                <w:highlight w:val="none"/>
              </w:rPr>
              <w:t>(含本数)，大于</w:t>
            </w:r>
            <w:r>
              <w:rPr>
                <w:rFonts w:hint="eastAsia" w:ascii="仿宋" w:hAnsi="仿宋" w:eastAsia="仿宋" w:cs="仿宋"/>
                <w:color w:val="auto"/>
                <w:sz w:val="24"/>
                <w:szCs w:val="24"/>
                <w:highlight w:val="none"/>
                <w:lang w:val="en-US" w:eastAsia="zh-CN"/>
              </w:rPr>
              <w:t xml:space="preserve"> 10 </w:t>
            </w:r>
            <w:r>
              <w:rPr>
                <w:rFonts w:hint="eastAsia" w:ascii="仿宋" w:hAnsi="仿宋" w:eastAsia="仿宋" w:cs="仿宋"/>
                <w:color w:val="auto"/>
                <w:sz w:val="24"/>
                <w:szCs w:val="24"/>
                <w:highlight w:val="none"/>
              </w:rPr>
              <w:t>项投标文件将被否决）</w:t>
            </w:r>
            <w:r>
              <w:rPr>
                <w:rFonts w:hint="eastAsia" w:ascii="仿宋" w:hAnsi="仿宋" w:eastAsia="仿宋" w:cs="仿宋"/>
                <w:color w:val="auto"/>
                <w:sz w:val="24"/>
                <w:szCs w:val="24"/>
                <w:highlight w:val="none"/>
                <w:lang w:eastAsia="zh-CN"/>
              </w:rPr>
              <w:t>。</w:t>
            </w:r>
          </w:p>
        </w:tc>
        <w:tc>
          <w:tcPr>
            <w:tcW w:w="570" w:type="dxa"/>
            <w:tcBorders>
              <w:left w:val="single" w:color="auto" w:sz="4" w:space="0"/>
              <w:right w:val="single" w:color="auto" w:sz="4" w:space="0"/>
            </w:tcBorders>
            <w:vAlign w:val="center"/>
          </w:tcPr>
          <w:p w14:paraId="0688AE2E">
            <w:pPr>
              <w:rPr>
                <w:rFonts w:hint="eastAsia" w:ascii="仿宋" w:hAnsi="仿宋" w:eastAsia="仿宋" w:cs="仿宋"/>
                <w:sz w:val="24"/>
                <w:szCs w:val="24"/>
                <w:highlight w:val="none"/>
              </w:rPr>
            </w:pPr>
          </w:p>
        </w:tc>
        <w:tc>
          <w:tcPr>
            <w:tcW w:w="262" w:type="dxa"/>
            <w:tcBorders>
              <w:left w:val="single" w:color="auto" w:sz="4" w:space="0"/>
            </w:tcBorders>
            <w:vAlign w:val="center"/>
          </w:tcPr>
          <w:p w14:paraId="39821F16">
            <w:pPr>
              <w:rPr>
                <w:rFonts w:hint="eastAsia" w:ascii="仿宋" w:hAnsi="仿宋" w:eastAsia="仿宋" w:cs="仿宋"/>
                <w:sz w:val="24"/>
                <w:szCs w:val="24"/>
                <w:highlight w:val="none"/>
              </w:rPr>
            </w:pPr>
          </w:p>
        </w:tc>
        <w:tc>
          <w:tcPr>
            <w:tcW w:w="355" w:type="dxa"/>
            <w:tcBorders>
              <w:right w:val="single" w:color="auto" w:sz="4" w:space="0"/>
            </w:tcBorders>
          </w:tcPr>
          <w:p w14:paraId="57F4B7A7">
            <w:pPr>
              <w:rPr>
                <w:rFonts w:hint="eastAsia" w:ascii="仿宋" w:hAnsi="仿宋" w:eastAsia="仿宋" w:cs="仿宋"/>
                <w:sz w:val="24"/>
                <w:szCs w:val="24"/>
                <w:highlight w:val="none"/>
              </w:rPr>
            </w:pPr>
          </w:p>
        </w:tc>
        <w:tc>
          <w:tcPr>
            <w:tcW w:w="328" w:type="dxa"/>
            <w:tcBorders>
              <w:left w:val="single" w:color="auto" w:sz="4" w:space="0"/>
            </w:tcBorders>
          </w:tcPr>
          <w:p w14:paraId="7FF7E628">
            <w:pPr>
              <w:rPr>
                <w:rFonts w:hint="eastAsia" w:ascii="仿宋" w:hAnsi="仿宋" w:eastAsia="仿宋" w:cs="仿宋"/>
                <w:sz w:val="24"/>
                <w:szCs w:val="24"/>
                <w:highlight w:val="none"/>
              </w:rPr>
            </w:pPr>
          </w:p>
        </w:tc>
      </w:tr>
      <w:tr w14:paraId="43EE71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9" w:hRule="atLeast"/>
          <w:jc w:val="center"/>
        </w:trPr>
        <w:tc>
          <w:tcPr>
            <w:tcW w:w="8644" w:type="dxa"/>
            <w:gridSpan w:val="2"/>
            <w:tcBorders>
              <w:bottom w:val="single" w:color="auto" w:sz="12" w:space="0"/>
              <w:right w:val="single" w:color="auto" w:sz="4" w:space="0"/>
            </w:tcBorders>
            <w:vAlign w:val="center"/>
          </w:tcPr>
          <w:p w14:paraId="6074FFA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结论：是否通过评审</w:t>
            </w:r>
          </w:p>
        </w:tc>
        <w:tc>
          <w:tcPr>
            <w:tcW w:w="570" w:type="dxa"/>
            <w:tcBorders>
              <w:left w:val="single" w:color="auto" w:sz="4" w:space="0"/>
              <w:bottom w:val="single" w:color="auto" w:sz="12" w:space="0"/>
              <w:right w:val="single" w:color="auto" w:sz="4" w:space="0"/>
            </w:tcBorders>
          </w:tcPr>
          <w:p w14:paraId="36A5AD1C">
            <w:pPr>
              <w:rPr>
                <w:rFonts w:hint="eastAsia" w:ascii="仿宋" w:hAnsi="仿宋" w:eastAsia="仿宋" w:cs="仿宋"/>
                <w:sz w:val="24"/>
                <w:szCs w:val="24"/>
                <w:highlight w:val="none"/>
              </w:rPr>
            </w:pPr>
          </w:p>
        </w:tc>
        <w:tc>
          <w:tcPr>
            <w:tcW w:w="262" w:type="dxa"/>
            <w:tcBorders>
              <w:left w:val="single" w:color="auto" w:sz="4" w:space="0"/>
              <w:bottom w:val="single" w:color="auto" w:sz="12" w:space="0"/>
            </w:tcBorders>
          </w:tcPr>
          <w:p w14:paraId="4DF34C6E">
            <w:pPr>
              <w:rPr>
                <w:rFonts w:hint="eastAsia" w:ascii="仿宋" w:hAnsi="仿宋" w:eastAsia="仿宋" w:cs="仿宋"/>
                <w:sz w:val="24"/>
                <w:szCs w:val="24"/>
                <w:highlight w:val="none"/>
              </w:rPr>
            </w:pPr>
          </w:p>
        </w:tc>
        <w:tc>
          <w:tcPr>
            <w:tcW w:w="355" w:type="dxa"/>
            <w:tcBorders>
              <w:bottom w:val="single" w:color="auto" w:sz="12" w:space="0"/>
            </w:tcBorders>
          </w:tcPr>
          <w:p w14:paraId="557E83CE">
            <w:pPr>
              <w:rPr>
                <w:rFonts w:hint="eastAsia" w:ascii="仿宋" w:hAnsi="仿宋" w:eastAsia="仿宋" w:cs="仿宋"/>
                <w:sz w:val="24"/>
                <w:szCs w:val="24"/>
                <w:highlight w:val="none"/>
              </w:rPr>
            </w:pPr>
          </w:p>
        </w:tc>
        <w:tc>
          <w:tcPr>
            <w:tcW w:w="328" w:type="dxa"/>
            <w:tcBorders>
              <w:bottom w:val="single" w:color="auto" w:sz="12" w:space="0"/>
            </w:tcBorders>
          </w:tcPr>
          <w:p w14:paraId="120BBB0F">
            <w:pPr>
              <w:rPr>
                <w:rFonts w:hint="eastAsia" w:ascii="仿宋" w:hAnsi="仿宋" w:eastAsia="仿宋" w:cs="仿宋"/>
                <w:sz w:val="24"/>
                <w:szCs w:val="24"/>
                <w:highlight w:val="none"/>
              </w:rPr>
            </w:pPr>
          </w:p>
        </w:tc>
      </w:tr>
    </w:tbl>
    <w:p w14:paraId="2DAEE19E">
      <w:pPr>
        <w:spacing w:line="440" w:lineRule="exact"/>
        <w:rPr>
          <w:rFonts w:hint="eastAsia" w:ascii="仿宋" w:hAnsi="仿宋" w:eastAsia="仿宋" w:cs="仿宋"/>
          <w:b/>
          <w:bCs/>
          <w:sz w:val="32"/>
          <w:szCs w:val="28"/>
          <w:highlight w:val="none"/>
        </w:rPr>
      </w:pPr>
      <w:r>
        <w:rPr>
          <w:rFonts w:hint="eastAsia" w:ascii="仿宋" w:hAnsi="仿宋" w:eastAsia="仿宋" w:cs="仿宋"/>
          <w:b/>
          <w:bCs/>
          <w:szCs w:val="21"/>
          <w:highlight w:val="none"/>
          <w:lang w:val="en-US"/>
        </w:rPr>
        <w:t>备注：</w:t>
      </w:r>
      <w:r>
        <w:rPr>
          <w:rFonts w:hint="eastAsia" w:ascii="仿宋" w:hAnsi="仿宋" w:eastAsia="仿宋" w:cs="仿宋"/>
          <w:b/>
          <w:bCs/>
          <w:szCs w:val="21"/>
          <w:highlight w:val="none"/>
        </w:rPr>
        <w:t>投标文件响应程度初步审查通过的投标企业，进入下一步详细评审阶段，未通过投标文件响应程度初步审查的企业，其投标作为无效标，不进入后期评审阶段。</w:t>
      </w:r>
    </w:p>
    <w:p w14:paraId="293D391D">
      <w:pPr>
        <w:pStyle w:val="5"/>
        <w:ind w:left="0"/>
        <w:rPr>
          <w:rFonts w:hint="eastAsia" w:ascii="仿宋" w:hAnsi="仿宋" w:eastAsia="仿宋" w:cs="仿宋"/>
          <w:highlight w:val="none"/>
          <w:lang w:eastAsia="zh-CN"/>
        </w:rPr>
      </w:pPr>
      <w:r>
        <w:rPr>
          <w:rFonts w:hint="eastAsia" w:ascii="仿宋" w:hAnsi="仿宋" w:eastAsia="仿宋" w:cs="仿宋"/>
          <w:highlight w:val="none"/>
        </w:rPr>
        <w:br w:type="page"/>
      </w:r>
      <w:r>
        <w:rPr>
          <w:rFonts w:hint="eastAsia" w:ascii="仿宋" w:hAnsi="仿宋" w:eastAsia="仿宋" w:cs="仿宋"/>
          <w:highlight w:val="none"/>
        </w:rPr>
        <w:t>详细评审明细表</w:t>
      </w:r>
    </w:p>
    <w:tbl>
      <w:tblPr>
        <w:tblStyle w:val="18"/>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581"/>
        <w:gridCol w:w="928"/>
        <w:gridCol w:w="6656"/>
      </w:tblGrid>
      <w:tr w14:paraId="47848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2295" w:type="dxa"/>
            <w:gridSpan w:val="2"/>
            <w:vAlign w:val="center"/>
          </w:tcPr>
          <w:p w14:paraId="54636F72">
            <w:pPr>
              <w:widowControl/>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评审因素</w:t>
            </w:r>
          </w:p>
        </w:tc>
        <w:tc>
          <w:tcPr>
            <w:tcW w:w="928" w:type="dxa"/>
            <w:vAlign w:val="center"/>
          </w:tcPr>
          <w:p w14:paraId="54629005">
            <w:pPr>
              <w:widowControl/>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分值</w:t>
            </w:r>
          </w:p>
        </w:tc>
        <w:tc>
          <w:tcPr>
            <w:tcW w:w="6656" w:type="dxa"/>
            <w:vAlign w:val="center"/>
          </w:tcPr>
          <w:p w14:paraId="4EE4C1FE">
            <w:pPr>
              <w:widowControl/>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评分标准</w:t>
            </w:r>
          </w:p>
        </w:tc>
      </w:tr>
      <w:tr w14:paraId="7291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0" w:hRule="atLeast"/>
          <w:jc w:val="center"/>
        </w:trPr>
        <w:tc>
          <w:tcPr>
            <w:tcW w:w="2295" w:type="dxa"/>
            <w:gridSpan w:val="2"/>
            <w:vAlign w:val="center"/>
          </w:tcPr>
          <w:p w14:paraId="1F60D3BB">
            <w:pPr>
              <w:widowControl/>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价格部分（</w:t>
            </w:r>
            <w:r>
              <w:rPr>
                <w:rFonts w:hint="eastAsia" w:ascii="仿宋" w:hAnsi="仿宋" w:eastAsia="仿宋" w:cs="仿宋"/>
                <w:sz w:val="24"/>
                <w:szCs w:val="24"/>
                <w:highlight w:val="none"/>
                <w:lang w:val="en-US"/>
              </w:rPr>
              <w:t>40</w:t>
            </w:r>
            <w:r>
              <w:rPr>
                <w:rFonts w:hint="eastAsia" w:ascii="仿宋" w:hAnsi="仿宋" w:eastAsia="仿宋" w:cs="仿宋"/>
                <w:sz w:val="24"/>
                <w:szCs w:val="24"/>
                <w:highlight w:val="none"/>
              </w:rPr>
              <w:t>分）</w:t>
            </w:r>
          </w:p>
        </w:tc>
        <w:tc>
          <w:tcPr>
            <w:tcW w:w="928" w:type="dxa"/>
            <w:vAlign w:val="center"/>
          </w:tcPr>
          <w:p w14:paraId="59A4D80F">
            <w:pPr>
              <w:widowControl/>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40分</w:t>
            </w:r>
          </w:p>
        </w:tc>
        <w:tc>
          <w:tcPr>
            <w:tcW w:w="6656" w:type="dxa"/>
            <w:vAlign w:val="center"/>
          </w:tcPr>
          <w:p w14:paraId="09A80603">
            <w:pPr>
              <w:widowControl/>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1</w:t>
            </w:r>
            <w:r>
              <w:rPr>
                <w:rFonts w:hint="eastAsia" w:ascii="仿宋" w:hAnsi="仿宋" w:eastAsia="仿宋" w:cs="仿宋"/>
                <w:sz w:val="24"/>
                <w:szCs w:val="24"/>
                <w:highlight w:val="none"/>
              </w:rPr>
              <w:t>、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p w14:paraId="63B7C9E2">
            <w:pPr>
              <w:widowControl/>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、投标的最低报价，不作为是否成交的保证。</w:t>
            </w:r>
          </w:p>
          <w:p w14:paraId="50E32EB1">
            <w:pPr>
              <w:widowControl/>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、价格分统一采用低价优先法计算，即满足采购文件要求且最后报价最低的供应商的价格为评标基准价，其价格分为满分。其他供应商的价格分统一按照下列公式计算：</w:t>
            </w:r>
          </w:p>
          <w:p w14:paraId="79ECA770">
            <w:pPr>
              <w:widowControl/>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投标报价得分=（评标基准价/最终投标报价）×价格权值×100</w:t>
            </w:r>
          </w:p>
          <w:p w14:paraId="5D59A270">
            <w:pPr>
              <w:widowControl/>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本项目的价格权值为</w:t>
            </w:r>
            <w:r>
              <w:rPr>
                <w:rFonts w:hint="eastAsia" w:ascii="仿宋" w:hAnsi="仿宋" w:eastAsia="仿宋" w:cs="仿宋"/>
                <w:sz w:val="24"/>
                <w:szCs w:val="24"/>
                <w:highlight w:val="none"/>
                <w:lang w:val="en-US"/>
              </w:rPr>
              <w:t>4</w:t>
            </w:r>
            <w:r>
              <w:rPr>
                <w:rFonts w:hint="eastAsia" w:ascii="仿宋" w:hAnsi="仿宋" w:eastAsia="仿宋" w:cs="仿宋"/>
                <w:sz w:val="24"/>
                <w:szCs w:val="24"/>
                <w:highlight w:val="none"/>
              </w:rPr>
              <w:t>0%。</w:t>
            </w:r>
          </w:p>
          <w:p w14:paraId="75715007">
            <w:pPr>
              <w:widowControl/>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项目评审过程中，不得去掉最终报价中的最高报价和最低报价。</w:t>
            </w:r>
          </w:p>
          <w:p w14:paraId="1FE76C75">
            <w:pPr>
              <w:widowControl/>
              <w:spacing w:line="288"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p w14:paraId="58932D80">
            <w:pPr>
              <w:widowControl/>
              <w:numPr>
                <w:ilvl w:val="0"/>
                <w:numId w:val="3"/>
              </w:numPr>
              <w:spacing w:line="288" w:lineRule="auto"/>
              <w:rPr>
                <w:rFonts w:hint="eastAsia" w:ascii="仿宋" w:hAnsi="仿宋" w:eastAsia="仿宋" w:cs="仿宋"/>
                <w:b/>
                <w:bCs/>
                <w:szCs w:val="21"/>
                <w:highlight w:val="none"/>
              </w:rPr>
            </w:pPr>
            <w:r>
              <w:rPr>
                <w:rFonts w:hint="eastAsia" w:ascii="仿宋" w:hAnsi="仿宋" w:eastAsia="仿宋" w:cs="仿宋"/>
                <w:b/>
                <w:bCs/>
                <w:sz w:val="24"/>
                <w:szCs w:val="24"/>
                <w:highlight w:val="none"/>
              </w:rPr>
              <w:t>根据《政府采购促进中小企业发展管理办法》（财库﹝2020﹞46 号）和自治区相关的规定，小微企业的价格扣除比例10%，大中型企业与小微企业组成联合体或大中型企业向小微企业分包的，占到体协议合同总金额30%以上的，评审优惠幅度为4%，监狱企业、残疾人福利性单位视同为小微企业，用优惠后的价格参与评审</w:t>
            </w:r>
            <w:r>
              <w:rPr>
                <w:rFonts w:hint="eastAsia" w:ascii="仿宋" w:hAnsi="仿宋" w:eastAsia="仿宋" w:cs="仿宋"/>
                <w:b/>
                <w:bCs/>
                <w:szCs w:val="21"/>
                <w:highlight w:val="none"/>
              </w:rPr>
              <w:t>。</w:t>
            </w:r>
          </w:p>
          <w:p w14:paraId="6C82BDBC">
            <w:pPr>
              <w:widowControl/>
              <w:spacing w:line="288" w:lineRule="auto"/>
              <w:rPr>
                <w:rFonts w:hint="eastAsia" w:ascii="仿宋" w:hAnsi="仿宋" w:eastAsia="仿宋" w:cs="仿宋"/>
                <w:b/>
                <w:bCs/>
                <w:szCs w:val="21"/>
                <w:highlight w:val="none"/>
              </w:rPr>
            </w:pPr>
            <w:r>
              <w:rPr>
                <w:rFonts w:hint="eastAsia" w:ascii="仿宋" w:hAnsi="仿宋" w:eastAsia="仿宋" w:cs="仿宋"/>
                <w:b/>
                <w:bCs/>
                <w:szCs w:val="21"/>
                <w:highlight w:val="none"/>
              </w:rPr>
              <w:t>支持本国产品：</w:t>
            </w:r>
          </w:p>
          <w:p w14:paraId="3C89980C">
            <w:pPr>
              <w:widowControl/>
              <w:numPr>
                <w:ilvl w:val="0"/>
                <w:numId w:val="3"/>
              </w:numPr>
              <w:spacing w:line="288" w:lineRule="auto"/>
              <w:rPr>
                <w:rFonts w:hint="eastAsia" w:ascii="仿宋" w:hAnsi="仿宋" w:eastAsia="仿宋" w:cs="仿宋"/>
                <w:b/>
                <w:bCs/>
                <w:szCs w:val="21"/>
                <w:highlight w:val="none"/>
              </w:rPr>
            </w:pPr>
            <w:r>
              <w:rPr>
                <w:rFonts w:hint="eastAsia" w:ascii="仿宋" w:hAnsi="仿宋" w:eastAsia="仿宋" w:cs="仿宋"/>
                <w:b/>
                <w:bCs/>
                <w:szCs w:val="21"/>
                <w:highlight w:val="none"/>
              </w:rPr>
              <w:t>既有本国产品又有非本国产品参与竞争的，依法对本国产品给予价格评审优惠，对本国产品的报价给予20%的价格扣除，用扣除后的价格参与评审。</w:t>
            </w:r>
          </w:p>
          <w:p w14:paraId="6C3E0D64">
            <w:pPr>
              <w:widowControl/>
              <w:numPr>
                <w:ilvl w:val="0"/>
                <w:numId w:val="3"/>
              </w:numPr>
              <w:spacing w:line="288" w:lineRule="auto"/>
              <w:rPr>
                <w:rFonts w:hint="eastAsia" w:ascii="仿宋" w:hAnsi="仿宋" w:eastAsia="仿宋" w:cs="仿宋"/>
                <w:b/>
                <w:bCs/>
                <w:szCs w:val="21"/>
                <w:highlight w:val="none"/>
              </w:rPr>
            </w:pPr>
            <w:r>
              <w:rPr>
                <w:rFonts w:hint="eastAsia" w:ascii="仿宋" w:hAnsi="仿宋" w:eastAsia="仿宋" w:cs="仿宋"/>
                <w:b/>
                <w:bCs/>
                <w:szCs w:val="21"/>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0B2C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295" w:type="dxa"/>
            <w:gridSpan w:val="2"/>
            <w:vAlign w:val="center"/>
          </w:tcPr>
          <w:p w14:paraId="75A4DA2E">
            <w:pPr>
              <w:widowControl/>
              <w:jc w:val="center"/>
              <w:rPr>
                <w:rFonts w:hint="eastAsia" w:ascii="仿宋" w:hAnsi="仿宋" w:eastAsia="仿宋" w:cs="仿宋"/>
                <w:sz w:val="24"/>
                <w:szCs w:val="24"/>
                <w:highlight w:val="none"/>
              </w:rPr>
            </w:pPr>
            <w:r>
              <w:rPr>
                <w:rFonts w:hint="eastAsia" w:ascii="仿宋" w:hAnsi="仿宋" w:eastAsia="仿宋" w:cs="仿宋"/>
                <w:b/>
                <w:sz w:val="24"/>
                <w:highlight w:val="none"/>
              </w:rPr>
              <w:t>评审因素</w:t>
            </w:r>
          </w:p>
        </w:tc>
        <w:tc>
          <w:tcPr>
            <w:tcW w:w="928" w:type="dxa"/>
            <w:vAlign w:val="center"/>
          </w:tcPr>
          <w:p w14:paraId="2982C455">
            <w:pPr>
              <w:widowControl/>
              <w:jc w:val="center"/>
              <w:rPr>
                <w:rFonts w:hint="eastAsia" w:ascii="仿宋" w:hAnsi="仿宋" w:eastAsia="仿宋" w:cs="仿宋"/>
                <w:sz w:val="24"/>
                <w:szCs w:val="24"/>
                <w:highlight w:val="none"/>
              </w:rPr>
            </w:pPr>
            <w:r>
              <w:rPr>
                <w:rFonts w:hint="eastAsia" w:ascii="仿宋" w:hAnsi="仿宋" w:eastAsia="仿宋" w:cs="仿宋"/>
                <w:b/>
                <w:sz w:val="24"/>
                <w:highlight w:val="none"/>
              </w:rPr>
              <w:t>分值</w:t>
            </w:r>
          </w:p>
        </w:tc>
        <w:tc>
          <w:tcPr>
            <w:tcW w:w="6656" w:type="dxa"/>
            <w:vAlign w:val="center"/>
          </w:tcPr>
          <w:p w14:paraId="3657B69B">
            <w:pPr>
              <w:widowControl/>
              <w:jc w:val="center"/>
              <w:rPr>
                <w:rFonts w:hint="eastAsia" w:ascii="仿宋" w:hAnsi="仿宋" w:eastAsia="仿宋" w:cs="仿宋"/>
                <w:sz w:val="24"/>
                <w:szCs w:val="24"/>
                <w:highlight w:val="none"/>
              </w:rPr>
            </w:pPr>
            <w:r>
              <w:rPr>
                <w:rFonts w:hint="eastAsia" w:ascii="仿宋" w:hAnsi="仿宋" w:eastAsia="仿宋" w:cs="仿宋"/>
                <w:b/>
                <w:sz w:val="24"/>
                <w:highlight w:val="none"/>
              </w:rPr>
              <w:t>评分标准</w:t>
            </w:r>
          </w:p>
        </w:tc>
      </w:tr>
      <w:tr w14:paraId="7C1E0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vMerge w:val="restart"/>
            <w:vAlign w:val="center"/>
          </w:tcPr>
          <w:p w14:paraId="1995E6AF">
            <w:pPr>
              <w:widowControl/>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商务部分（</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val="en-US"/>
              </w:rPr>
              <w:t>分）</w:t>
            </w:r>
          </w:p>
        </w:tc>
        <w:tc>
          <w:tcPr>
            <w:tcW w:w="1581" w:type="dxa"/>
            <w:vAlign w:val="center"/>
          </w:tcPr>
          <w:p w14:paraId="505C2CAF">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rPr>
              <w:t>相关项目</w:t>
            </w:r>
          </w:p>
          <w:p w14:paraId="27216B2C">
            <w:pPr>
              <w:spacing w:line="360" w:lineRule="auto"/>
              <w:jc w:val="center"/>
              <w:rPr>
                <w:rFonts w:hint="eastAsia" w:ascii="仿宋" w:hAnsi="仿宋" w:eastAsia="仿宋" w:cs="仿宋"/>
                <w:sz w:val="24"/>
                <w:szCs w:val="24"/>
                <w:highlight w:val="none"/>
                <w:lang w:val="en-US"/>
              </w:rPr>
            </w:pPr>
            <w:r>
              <w:rPr>
                <w:rFonts w:hint="eastAsia" w:ascii="宋体" w:hAnsi="宋体" w:cs="宋体"/>
                <w:color w:val="000000"/>
                <w:sz w:val="24"/>
                <w:highlight w:val="none"/>
              </w:rPr>
              <w:t>业   绩</w:t>
            </w:r>
          </w:p>
        </w:tc>
        <w:tc>
          <w:tcPr>
            <w:tcW w:w="928" w:type="dxa"/>
            <w:vAlign w:val="center"/>
          </w:tcPr>
          <w:p w14:paraId="3496EC9E">
            <w:pPr>
              <w:spacing w:line="360" w:lineRule="auto"/>
              <w:jc w:val="center"/>
              <w:rPr>
                <w:rFonts w:hint="eastAsia" w:ascii="仿宋" w:hAnsi="仿宋" w:eastAsia="仿宋" w:cs="仿宋"/>
                <w:sz w:val="24"/>
                <w:szCs w:val="24"/>
                <w:highlight w:val="none"/>
                <w:lang w:val="en-US"/>
              </w:rPr>
            </w:pPr>
            <w:r>
              <w:rPr>
                <w:rFonts w:hint="eastAsia" w:ascii="宋体" w:hAnsi="宋体" w:cs="宋体"/>
                <w:color w:val="000000"/>
                <w:sz w:val="24"/>
                <w:highlight w:val="none"/>
              </w:rPr>
              <w:t>6分</w:t>
            </w:r>
          </w:p>
        </w:tc>
        <w:tc>
          <w:tcPr>
            <w:tcW w:w="6656" w:type="dxa"/>
            <w:vAlign w:val="center"/>
          </w:tcPr>
          <w:p w14:paraId="73195E11">
            <w:p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投标人2023年1月1日-至今，以合同签订</w:t>
            </w:r>
            <w:r>
              <w:rPr>
                <w:rFonts w:hint="eastAsia" w:ascii="宋体" w:hAnsi="宋体" w:eastAsia="宋体" w:cs="宋体"/>
                <w:color w:val="000000"/>
                <w:sz w:val="24"/>
                <w:highlight w:val="none"/>
                <w:lang w:eastAsia="zh-CN"/>
              </w:rPr>
              <w:t>或中标（成交）通知书时间</w:t>
            </w:r>
            <w:r>
              <w:rPr>
                <w:rFonts w:hint="eastAsia" w:ascii="宋体" w:hAnsi="宋体" w:eastAsia="宋体" w:cs="宋体"/>
                <w:color w:val="000000"/>
                <w:sz w:val="24"/>
                <w:highlight w:val="none"/>
              </w:rPr>
              <w:t>为准的类似项目业绩</w:t>
            </w:r>
            <w:r>
              <w:rPr>
                <w:rFonts w:hint="eastAsia" w:ascii="宋体" w:hAnsi="宋体" w:eastAsia="宋体" w:cs="宋体"/>
                <w:color w:val="000000"/>
                <w:sz w:val="24"/>
                <w:highlight w:val="none"/>
                <w:lang w:eastAsia="zh-CN"/>
              </w:rPr>
              <w:t>（类似业绩指：</w:t>
            </w:r>
            <w:r>
              <w:rPr>
                <w:rFonts w:hint="eastAsia" w:ascii="宋体" w:hAnsi="宋体" w:eastAsia="宋体" w:cs="宋体"/>
                <w:color w:val="000000"/>
                <w:sz w:val="24"/>
                <w:szCs w:val="24"/>
                <w:highlight w:val="none"/>
                <w:lang w:eastAsia="zh-CN"/>
              </w:rPr>
              <w:t>业绩中含有本项目核心产品类设备或与本次所购设备相关或功能大体相同</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，每提供1项得</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分，满分6分；</w:t>
            </w:r>
          </w:p>
          <w:p w14:paraId="49B57C76">
            <w:p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3C835300">
            <w:pPr>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1.须提供合同加盖公章，未提供相关证明材料或提供证明材料不全者不得分。</w:t>
            </w:r>
          </w:p>
          <w:p w14:paraId="5914AC68">
            <w:pPr>
              <w:spacing w:line="360" w:lineRule="auto"/>
              <w:jc w:val="left"/>
              <w:rPr>
                <w:rFonts w:hint="eastAsia" w:ascii="仿宋" w:hAnsi="仿宋" w:eastAsia="仿宋" w:cs="仿宋"/>
                <w:sz w:val="24"/>
                <w:szCs w:val="24"/>
                <w:highlight w:val="none"/>
              </w:rPr>
            </w:pPr>
            <w:r>
              <w:rPr>
                <w:rFonts w:hint="eastAsia" w:ascii="宋体" w:hAnsi="宋体" w:eastAsia="宋体" w:cs="宋体"/>
                <w:color w:val="000000"/>
                <w:sz w:val="24"/>
                <w:highlight w:val="none"/>
              </w:rPr>
              <w:t>2.投标人提供虚假证明材料的，按虚假投标处理。</w:t>
            </w:r>
          </w:p>
        </w:tc>
      </w:tr>
      <w:tr w14:paraId="787E3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714" w:type="dxa"/>
            <w:vMerge w:val="restart"/>
            <w:vAlign w:val="center"/>
          </w:tcPr>
          <w:p w14:paraId="15E8EC73">
            <w:pPr>
              <w:widowControl/>
              <w:spacing w:line="288" w:lineRule="auto"/>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技术</w:t>
            </w:r>
          </w:p>
          <w:p w14:paraId="09E4D42A">
            <w:pPr>
              <w:widowControl/>
              <w:spacing w:line="288"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部分</w:t>
            </w:r>
            <w:r>
              <w:rPr>
                <w:rStyle w:val="21"/>
                <w:rFonts w:hint="eastAsia" w:ascii="仿宋" w:hAnsi="仿宋" w:eastAsia="仿宋" w:cs="仿宋"/>
                <w:sz w:val="24"/>
                <w:szCs w:val="24"/>
                <w:highlight w:val="none"/>
                <w:lang w:val="en-US"/>
              </w:rPr>
              <w:t>（5</w:t>
            </w:r>
            <w:r>
              <w:rPr>
                <w:rStyle w:val="21"/>
                <w:rFonts w:hint="eastAsia" w:ascii="仿宋" w:hAnsi="仿宋" w:eastAsia="仿宋" w:cs="仿宋"/>
                <w:sz w:val="24"/>
                <w:szCs w:val="24"/>
                <w:highlight w:val="none"/>
                <w:lang w:val="en-US" w:eastAsia="zh-CN"/>
              </w:rPr>
              <w:t>4</w:t>
            </w:r>
            <w:r>
              <w:rPr>
                <w:rStyle w:val="21"/>
                <w:rFonts w:hint="eastAsia" w:ascii="仿宋" w:hAnsi="仿宋" w:eastAsia="仿宋" w:cs="仿宋"/>
                <w:sz w:val="24"/>
                <w:szCs w:val="24"/>
                <w:highlight w:val="none"/>
                <w:lang w:val="en-US"/>
              </w:rPr>
              <w:t>分）</w:t>
            </w:r>
          </w:p>
        </w:tc>
        <w:tc>
          <w:tcPr>
            <w:tcW w:w="1581" w:type="dxa"/>
            <w:vAlign w:val="center"/>
          </w:tcPr>
          <w:p w14:paraId="7DAD6836">
            <w:pPr>
              <w:spacing w:line="360" w:lineRule="auto"/>
              <w:jc w:val="center"/>
              <w:rPr>
                <w:rFonts w:hint="eastAsia" w:ascii="仿宋" w:hAnsi="仿宋" w:eastAsia="仿宋" w:cs="仿宋"/>
                <w:color w:val="auto"/>
                <w:sz w:val="24"/>
                <w:szCs w:val="24"/>
                <w:highlight w:val="none"/>
                <w:lang w:val="en-US"/>
              </w:rPr>
            </w:pPr>
            <w:r>
              <w:rPr>
                <w:rFonts w:hint="eastAsia" w:ascii="宋体" w:hAnsi="宋体" w:cs="宋体"/>
                <w:color w:val="auto"/>
                <w:sz w:val="24"/>
                <w:highlight w:val="none"/>
              </w:rPr>
              <w:t>技术指标响应</w:t>
            </w:r>
          </w:p>
        </w:tc>
        <w:tc>
          <w:tcPr>
            <w:tcW w:w="928" w:type="dxa"/>
            <w:vAlign w:val="center"/>
          </w:tcPr>
          <w:p w14:paraId="3AC2730C">
            <w:pPr>
              <w:spacing w:line="360" w:lineRule="auto"/>
              <w:jc w:val="center"/>
              <w:rPr>
                <w:rFonts w:hint="eastAsia" w:ascii="仿宋" w:hAnsi="仿宋" w:eastAsia="仿宋" w:cs="仿宋"/>
                <w:color w:val="auto"/>
                <w:sz w:val="24"/>
                <w:szCs w:val="24"/>
                <w:highlight w:val="none"/>
                <w:lang w:val="en-US"/>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w:t>
            </w:r>
          </w:p>
        </w:tc>
        <w:tc>
          <w:tcPr>
            <w:tcW w:w="6656" w:type="dxa"/>
            <w:vAlign w:val="center"/>
          </w:tcPr>
          <w:p w14:paraId="05605242">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针对招标文件中技术指标要求部分进行逐条应答，对于招标文件采购清单中的性能指标（功能描述）的响应程度，全部满足要求得3</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分。本项目采购文件中标★号项的技术指标为实质性响应参数，不允许负偏离，须完全满足，否则视为无效响应。无标识项为</w:t>
            </w:r>
            <w:r>
              <w:rPr>
                <w:rFonts w:hint="eastAsia" w:ascii="宋体" w:hAnsi="宋体" w:cs="宋体"/>
                <w:color w:val="auto"/>
                <w:sz w:val="24"/>
                <w:highlight w:val="none"/>
                <w:lang w:eastAsia="zh-CN"/>
              </w:rPr>
              <w:t>重要</w:t>
            </w:r>
            <w:r>
              <w:rPr>
                <w:rFonts w:hint="eastAsia" w:ascii="宋体" w:hAnsi="宋体" w:cs="宋体"/>
                <w:color w:val="auto"/>
                <w:sz w:val="24"/>
                <w:highlight w:val="none"/>
              </w:rPr>
              <w:t>参数。</w:t>
            </w:r>
          </w:p>
          <w:p w14:paraId="2DB61473">
            <w:pPr>
              <w:pStyle w:val="16"/>
              <w:spacing w:line="360" w:lineRule="auto"/>
              <w:ind w:left="0" w:firstLine="0" w:firstLineChars="0"/>
              <w:rPr>
                <w:rFonts w:hint="eastAsia" w:hAnsi="宋体" w:cs="宋体"/>
                <w:color w:val="auto"/>
                <w:sz w:val="24"/>
                <w:highlight w:val="none"/>
              </w:rPr>
            </w:pPr>
            <w:r>
              <w:rPr>
                <w:rFonts w:hint="eastAsia" w:hAnsi="宋体" w:cs="宋体"/>
                <w:color w:val="auto"/>
                <w:sz w:val="24"/>
                <w:highlight w:val="none"/>
              </w:rPr>
              <w:t>（</w:t>
            </w:r>
            <w:r>
              <w:rPr>
                <w:rFonts w:hint="eastAsia" w:hAnsi="宋体" w:cs="宋体"/>
                <w:color w:val="auto"/>
                <w:sz w:val="24"/>
                <w:highlight w:val="none"/>
                <w:lang w:val="en-US" w:eastAsia="zh-CN"/>
              </w:rPr>
              <w:t>1</w:t>
            </w:r>
            <w:r>
              <w:rPr>
                <w:rFonts w:hint="eastAsia" w:hAnsi="宋体" w:cs="宋体"/>
                <w:color w:val="auto"/>
                <w:sz w:val="24"/>
                <w:highlight w:val="none"/>
              </w:rPr>
              <w:t>）当无标识项参数，每负偏离一项扣</w:t>
            </w:r>
            <w:r>
              <w:rPr>
                <w:rFonts w:hint="eastAsia" w:hAnsi="宋体" w:cs="宋体"/>
                <w:color w:val="auto"/>
                <w:sz w:val="24"/>
                <w:highlight w:val="none"/>
                <w:lang w:val="en-US" w:eastAsia="zh-CN"/>
              </w:rPr>
              <w:t>3</w:t>
            </w:r>
            <w:r>
              <w:rPr>
                <w:rFonts w:hint="eastAsia" w:hAnsi="宋体" w:cs="宋体"/>
                <w:color w:val="auto"/>
                <w:sz w:val="24"/>
                <w:highlight w:val="none"/>
              </w:rPr>
              <w:t>分，最多扣</w:t>
            </w:r>
            <w:r>
              <w:rPr>
                <w:rFonts w:hint="eastAsia" w:hAnsi="宋体" w:cs="宋体"/>
                <w:color w:val="auto"/>
                <w:sz w:val="24"/>
                <w:highlight w:val="none"/>
                <w:lang w:val="en-US" w:eastAsia="zh-CN"/>
              </w:rPr>
              <w:t>30</w:t>
            </w:r>
            <w:r>
              <w:rPr>
                <w:rFonts w:hint="eastAsia" w:hAnsi="宋体" w:cs="宋体"/>
                <w:color w:val="auto"/>
                <w:sz w:val="24"/>
                <w:highlight w:val="none"/>
              </w:rPr>
              <w:t>分。本次接受</w:t>
            </w:r>
            <w:r>
              <w:rPr>
                <w:rFonts w:hint="eastAsia" w:hAnsi="宋体" w:cs="宋体"/>
                <w:color w:val="auto"/>
                <w:sz w:val="24"/>
                <w:highlight w:val="none"/>
                <w:lang w:eastAsia="zh-CN"/>
              </w:rPr>
              <w:t>重要</w:t>
            </w:r>
            <w:r>
              <w:rPr>
                <w:rFonts w:hint="eastAsia" w:hAnsi="宋体" w:cs="宋体"/>
                <w:color w:val="auto"/>
                <w:sz w:val="24"/>
                <w:highlight w:val="none"/>
              </w:rPr>
              <w:t>参数</w:t>
            </w:r>
            <w:r>
              <w:rPr>
                <w:rFonts w:hint="eastAsia" w:hAnsi="宋体" w:cs="宋体"/>
                <w:color w:val="auto"/>
                <w:sz w:val="24"/>
                <w:highlight w:val="none"/>
                <w:lang w:eastAsia="zh-CN"/>
              </w:rPr>
              <w:t>负</w:t>
            </w:r>
            <w:r>
              <w:rPr>
                <w:rFonts w:hint="eastAsia" w:hAnsi="宋体" w:cs="宋体"/>
                <w:color w:val="auto"/>
                <w:sz w:val="24"/>
                <w:highlight w:val="none"/>
              </w:rPr>
              <w:t>偏离项数最多为</w:t>
            </w:r>
            <w:r>
              <w:rPr>
                <w:rFonts w:hint="eastAsia" w:hAnsi="宋体" w:cs="宋体"/>
                <w:color w:val="auto"/>
                <w:sz w:val="24"/>
                <w:highlight w:val="none"/>
                <w:lang w:val="en-US" w:eastAsia="zh-CN"/>
              </w:rPr>
              <w:t>10</w:t>
            </w:r>
            <w:r>
              <w:rPr>
                <w:rFonts w:hint="eastAsia" w:hAnsi="宋体" w:cs="宋体"/>
                <w:color w:val="auto"/>
                <w:sz w:val="24"/>
                <w:highlight w:val="none"/>
              </w:rPr>
              <w:t>项（含本数），大于</w:t>
            </w:r>
            <w:r>
              <w:rPr>
                <w:rFonts w:hint="eastAsia" w:hAnsi="宋体" w:cs="宋体"/>
                <w:color w:val="auto"/>
                <w:sz w:val="24"/>
                <w:highlight w:val="none"/>
                <w:lang w:val="en-US" w:eastAsia="zh-CN"/>
              </w:rPr>
              <w:t>10</w:t>
            </w:r>
            <w:r>
              <w:rPr>
                <w:rFonts w:hint="eastAsia" w:hAnsi="宋体" w:cs="宋体"/>
                <w:color w:val="auto"/>
                <w:sz w:val="24"/>
                <w:highlight w:val="none"/>
              </w:rPr>
              <w:t>项不满足作无效标处理。</w:t>
            </w:r>
          </w:p>
          <w:p w14:paraId="3A78E484">
            <w:pPr>
              <w:spacing w:line="360" w:lineRule="auto"/>
              <w:jc w:val="left"/>
              <w:rPr>
                <w:rFonts w:hint="eastAsia" w:ascii="仿宋" w:hAnsi="仿宋" w:eastAsia="仿宋" w:cs="仿宋"/>
                <w:color w:val="auto"/>
                <w:sz w:val="24"/>
                <w:szCs w:val="24"/>
                <w:highlight w:val="none"/>
                <w:lang w:val="zh-CN"/>
              </w:rPr>
            </w:pPr>
            <w:r>
              <w:rPr>
                <w:rFonts w:hint="eastAsia" w:ascii="宋体" w:hAnsi="宋体" w:cs="宋体"/>
                <w:color w:val="auto"/>
                <w:sz w:val="24"/>
                <w:highlight w:val="none"/>
                <w:lang w:val="en-GB"/>
              </w:rPr>
              <w:t>注：投标人对所有技术参数完全照抄招标文件、未进行实质性应答说明的，本项不得分，未按要求提供证明材料或承诺函的，不予计分。投标人须对本招标文件技术要求进行点对点应答，必须在引用本招标文件的基础上,进行逐条逐项答复、说明和解释,特别对有具体参数要求的指标，投标人必须按照采购需求中要求提供的证明材料或相关技术支撑材料或承诺函（以招标文件中每项要求提供的材料为准），未提供或提供不完整不得分。</w:t>
            </w:r>
          </w:p>
        </w:tc>
      </w:tr>
      <w:tr w14:paraId="6B8E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714" w:type="dxa"/>
            <w:vMerge w:val="continue"/>
            <w:vAlign w:val="center"/>
          </w:tcPr>
          <w:p w14:paraId="5FEE32E2">
            <w:pPr>
              <w:widowControl/>
              <w:spacing w:line="288" w:lineRule="auto"/>
              <w:jc w:val="center"/>
              <w:rPr>
                <w:rFonts w:hint="eastAsia" w:ascii="仿宋" w:hAnsi="仿宋" w:eastAsia="仿宋" w:cs="仿宋"/>
                <w:sz w:val="24"/>
                <w:szCs w:val="24"/>
                <w:highlight w:val="none"/>
                <w:lang w:val="en-US"/>
              </w:rPr>
            </w:pPr>
          </w:p>
        </w:tc>
        <w:tc>
          <w:tcPr>
            <w:tcW w:w="1581" w:type="dxa"/>
            <w:vAlign w:val="center"/>
          </w:tcPr>
          <w:p w14:paraId="37D7B57C">
            <w:pPr>
              <w:spacing w:line="360" w:lineRule="auto"/>
              <w:ind w:firstLine="240" w:firstLineChars="100"/>
              <w:jc w:val="center"/>
              <w:rPr>
                <w:rFonts w:hint="eastAsia" w:ascii="仿宋" w:hAnsi="仿宋" w:eastAsia="仿宋" w:cs="仿宋"/>
                <w:sz w:val="24"/>
                <w:szCs w:val="24"/>
                <w:highlight w:val="none"/>
              </w:rPr>
            </w:pPr>
            <w:r>
              <w:rPr>
                <w:rFonts w:ascii="宋体" w:hAnsi="宋体" w:cs="宋体"/>
                <w:color w:val="000000"/>
                <w:sz w:val="24"/>
                <w:highlight w:val="none"/>
              </w:rPr>
              <w:t>实施方案</w:t>
            </w:r>
          </w:p>
        </w:tc>
        <w:tc>
          <w:tcPr>
            <w:tcW w:w="928" w:type="dxa"/>
            <w:vAlign w:val="center"/>
          </w:tcPr>
          <w:p w14:paraId="2BE9BF2C">
            <w:pPr>
              <w:spacing w:line="360" w:lineRule="auto"/>
              <w:jc w:val="center"/>
              <w:rPr>
                <w:rFonts w:hint="eastAsia" w:ascii="仿宋" w:hAnsi="仿宋" w:eastAsia="仿宋" w:cs="仿宋"/>
                <w:sz w:val="24"/>
                <w:szCs w:val="24"/>
                <w:highlight w:val="none"/>
                <w:lang w:val="en-US"/>
              </w:rPr>
            </w:pPr>
            <w:r>
              <w:rPr>
                <w:rFonts w:hint="eastAsia" w:ascii="宋体" w:hAnsi="宋体" w:cs="宋体"/>
                <w:color w:val="000000"/>
                <w:sz w:val="24"/>
                <w:highlight w:val="none"/>
              </w:rPr>
              <w:t>6分</w:t>
            </w:r>
          </w:p>
        </w:tc>
        <w:tc>
          <w:tcPr>
            <w:tcW w:w="6656" w:type="dxa"/>
            <w:vAlign w:val="center"/>
          </w:tcPr>
          <w:p w14:paraId="2F9B97F6">
            <w:pPr>
              <w:spacing w:line="360" w:lineRule="auto"/>
              <w:jc w:val="left"/>
              <w:rPr>
                <w:rFonts w:ascii="宋体" w:hAnsi="宋体" w:cs="宋体"/>
                <w:color w:val="000000"/>
                <w:sz w:val="24"/>
                <w:highlight w:val="none"/>
              </w:rPr>
            </w:pPr>
            <w:r>
              <w:rPr>
                <w:rFonts w:ascii="宋体" w:hAnsi="宋体" w:cs="宋体"/>
                <w:color w:val="000000"/>
                <w:sz w:val="24"/>
                <w:highlight w:val="none"/>
              </w:rPr>
              <w:t>根据供应商提供针对本项目制定的项目实施方案进行综合评分，内容包括:①质量保证措施（产品质量保障措施有符合项目要求的质量管理制度和质量保障目标、质量关键控制点、质量检测检验流程）;②交货</w:t>
            </w:r>
            <w:r>
              <w:rPr>
                <w:rFonts w:hint="eastAsia" w:ascii="宋体" w:hAnsi="宋体" w:cs="宋体"/>
                <w:color w:val="000000"/>
                <w:sz w:val="24"/>
                <w:highlight w:val="none"/>
              </w:rPr>
              <w:t>配送</w:t>
            </w:r>
            <w:r>
              <w:rPr>
                <w:rFonts w:ascii="宋体" w:hAnsi="宋体" w:cs="宋体"/>
                <w:color w:val="000000"/>
                <w:sz w:val="24"/>
                <w:highlight w:val="none"/>
              </w:rPr>
              <w:t>和安装调试计划（产品配送方案有符合项目要求的配送人员及配送车辆安排、完善的配送交接流程</w:t>
            </w:r>
            <w:r>
              <w:rPr>
                <w:rFonts w:hint="eastAsia" w:ascii="宋体" w:hAnsi="宋体" w:cs="宋体"/>
                <w:color w:val="000000"/>
                <w:sz w:val="24"/>
                <w:highlight w:val="none"/>
              </w:rPr>
              <w:t>，</w:t>
            </w:r>
            <w:r>
              <w:rPr>
                <w:rFonts w:ascii="宋体" w:hAnsi="宋体" w:cs="宋体"/>
                <w:color w:val="000000"/>
                <w:sz w:val="24"/>
                <w:highlight w:val="none"/>
              </w:rPr>
              <w:t>符合项目的备货计划、有明确的周期安排、安装调试验收计划有具体的流程安排</w:t>
            </w:r>
            <w:r>
              <w:rPr>
                <w:rFonts w:hint="eastAsia" w:ascii="宋体" w:hAnsi="宋体" w:cs="宋体"/>
                <w:color w:val="000000"/>
                <w:sz w:val="24"/>
                <w:highlight w:val="none"/>
              </w:rPr>
              <w:t>）</w:t>
            </w:r>
            <w:r>
              <w:rPr>
                <w:rFonts w:ascii="宋体" w:hAnsi="宋体" w:cs="宋体"/>
                <w:color w:val="000000"/>
                <w:sz w:val="24"/>
                <w:highlight w:val="none"/>
              </w:rPr>
              <w:t>;③应急预案（有符合采购产品的运输过程中的应急处理措施、产品质量问题应急预案、遇突发事件应急预案）。</w:t>
            </w:r>
          </w:p>
          <w:p w14:paraId="01E04287">
            <w:pPr>
              <w:spacing w:line="360" w:lineRule="auto"/>
              <w:jc w:val="left"/>
              <w:rPr>
                <w:rFonts w:hint="eastAsia" w:ascii="宋体" w:hAnsi="宋体" w:eastAsia="宋体" w:cs="宋体"/>
                <w:color w:val="000000"/>
                <w:kern w:val="0"/>
                <w:sz w:val="24"/>
                <w:highlight w:val="none"/>
                <w:lang w:bidi="ar"/>
              </w:rPr>
            </w:pPr>
            <w:r>
              <w:rPr>
                <w:rFonts w:hint="eastAsia" w:ascii="宋体" w:hAnsi="宋体" w:cs="宋体"/>
                <w:color w:val="000000"/>
                <w:sz w:val="24"/>
                <w:highlight w:val="none"/>
              </w:rPr>
              <w:t>提供上述方案且无缺</w:t>
            </w:r>
            <w:r>
              <w:rPr>
                <w:rFonts w:hint="eastAsia" w:ascii="宋体" w:hAnsi="宋体" w:eastAsia="宋体" w:cs="宋体"/>
                <w:color w:val="000000"/>
                <w:kern w:val="0"/>
                <w:sz w:val="24"/>
                <w:highlight w:val="none"/>
                <w:lang w:bidi="ar"/>
              </w:rPr>
              <w:t>陷，每项得2分，满分6分；每有一处缺陷扣1分，每小项扣完为止；不提供不得对应分值。</w:t>
            </w:r>
          </w:p>
          <w:p w14:paraId="12DF3E08">
            <w:pPr>
              <w:spacing w:line="360" w:lineRule="auto"/>
              <w:jc w:val="left"/>
              <w:rPr>
                <w:rFonts w:hint="eastAsia" w:ascii="仿宋" w:hAnsi="仿宋" w:eastAsia="仿宋" w:cs="仿宋"/>
                <w:sz w:val="24"/>
                <w:szCs w:val="24"/>
                <w:highlight w:val="none"/>
                <w:lang w:val="en-US"/>
              </w:rPr>
            </w:pPr>
            <w:r>
              <w:rPr>
                <w:rFonts w:hint="eastAsia" w:ascii="宋体" w:hAnsi="宋体" w:eastAsia="宋体" w:cs="宋体"/>
                <w:color w:val="000000"/>
                <w:kern w:val="0"/>
                <w:sz w:val="24"/>
                <w:highlight w:val="none"/>
                <w:lang w:bidi="ar"/>
              </w:rPr>
              <w:t>(缺陷是指：</w:t>
            </w:r>
            <w:r>
              <w:rPr>
                <w:rFonts w:hint="eastAsia" w:ascii="宋体" w:hAnsi="宋体" w:cs="宋体"/>
                <w:color w:val="000000"/>
                <w:sz w:val="24"/>
                <w:highlight w:val="none"/>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highlight w:val="none"/>
                <w:lang w:bidi="ar"/>
              </w:rPr>
              <w:t>)</w:t>
            </w:r>
          </w:p>
        </w:tc>
      </w:tr>
      <w:tr w14:paraId="18A9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14" w:type="dxa"/>
            <w:vMerge w:val="continue"/>
            <w:vAlign w:val="center"/>
          </w:tcPr>
          <w:p w14:paraId="0CFD0C2C">
            <w:pPr>
              <w:widowControl/>
              <w:spacing w:line="288" w:lineRule="auto"/>
              <w:jc w:val="center"/>
              <w:rPr>
                <w:rFonts w:hint="eastAsia" w:ascii="仿宋" w:hAnsi="仿宋" w:eastAsia="仿宋" w:cs="仿宋"/>
                <w:sz w:val="24"/>
                <w:szCs w:val="24"/>
                <w:highlight w:val="none"/>
                <w:lang w:val="en-US"/>
              </w:rPr>
            </w:pPr>
          </w:p>
        </w:tc>
        <w:tc>
          <w:tcPr>
            <w:tcW w:w="1581" w:type="dxa"/>
            <w:vAlign w:val="center"/>
          </w:tcPr>
          <w:p w14:paraId="0F709043">
            <w:pPr>
              <w:spacing w:line="360" w:lineRule="auto"/>
              <w:jc w:val="center"/>
              <w:rPr>
                <w:rFonts w:hint="eastAsia" w:ascii="仿宋" w:hAnsi="仿宋" w:eastAsia="仿宋" w:cs="仿宋"/>
                <w:sz w:val="24"/>
                <w:szCs w:val="24"/>
                <w:highlight w:val="none"/>
              </w:rPr>
            </w:pPr>
            <w:r>
              <w:rPr>
                <w:rFonts w:hint="eastAsia" w:ascii="宋体" w:hAnsi="宋体" w:cs="宋体"/>
                <w:color w:val="000000"/>
                <w:sz w:val="24"/>
                <w:highlight w:val="none"/>
              </w:rPr>
              <w:t>技术培训</w:t>
            </w:r>
          </w:p>
        </w:tc>
        <w:tc>
          <w:tcPr>
            <w:tcW w:w="928" w:type="dxa"/>
            <w:vAlign w:val="center"/>
          </w:tcPr>
          <w:p w14:paraId="0923AC78">
            <w:pPr>
              <w:spacing w:line="360" w:lineRule="auto"/>
              <w:jc w:val="left"/>
              <w:rPr>
                <w:rFonts w:hint="eastAsia" w:ascii="仿宋" w:hAnsi="仿宋" w:eastAsia="仿宋" w:cs="仿宋"/>
                <w:sz w:val="24"/>
                <w:szCs w:val="24"/>
                <w:highlight w:val="none"/>
                <w:lang w:val="en-US"/>
              </w:rPr>
            </w:pPr>
            <w:r>
              <w:rPr>
                <w:rFonts w:hint="eastAsia" w:ascii="宋体" w:hAnsi="宋体" w:cs="宋体"/>
                <w:color w:val="000000"/>
                <w:sz w:val="24"/>
                <w:highlight w:val="none"/>
                <w:lang w:val="en-US" w:eastAsia="zh-CN"/>
              </w:rPr>
              <w:t>8</w:t>
            </w:r>
            <w:r>
              <w:rPr>
                <w:rFonts w:hint="eastAsia" w:ascii="宋体" w:hAnsi="宋体" w:cs="宋体"/>
                <w:color w:val="000000"/>
                <w:sz w:val="24"/>
                <w:highlight w:val="none"/>
              </w:rPr>
              <w:t>分</w:t>
            </w:r>
          </w:p>
        </w:tc>
        <w:tc>
          <w:tcPr>
            <w:tcW w:w="6656" w:type="dxa"/>
            <w:vAlign w:val="center"/>
          </w:tcPr>
          <w:p w14:paraId="5FA87535">
            <w:pPr>
              <w:spacing w:line="360" w:lineRule="auto"/>
              <w:ind w:firstLine="0" w:firstLineChars="0"/>
              <w:jc w:val="left"/>
              <w:rPr>
                <w:rFonts w:hint="default" w:ascii="宋体" w:hAnsi="宋体" w:eastAsia="宋体" w:cs="宋体"/>
                <w:color w:val="000000"/>
                <w:sz w:val="24"/>
                <w:szCs w:val="24"/>
                <w:highlight w:val="none"/>
              </w:rPr>
            </w:pPr>
            <w:r>
              <w:rPr>
                <w:rFonts w:hint="default" w:ascii="宋体" w:hAnsi="宋体" w:eastAsia="宋体" w:cs="宋体"/>
                <w:color w:val="000000"/>
                <w:sz w:val="24"/>
                <w:szCs w:val="24"/>
                <w:highlight w:val="none"/>
              </w:rPr>
              <w:t>投标人提供的培训方案，包括1.培训计划及培训时间安排；</w:t>
            </w:r>
            <w:r>
              <w:rPr>
                <w:rFonts w:hint="default" w:ascii="宋体" w:hAnsi="宋体" w:eastAsia="宋体" w:cs="宋体"/>
                <w:color w:val="000000"/>
                <w:sz w:val="24"/>
                <w:szCs w:val="24"/>
                <w:highlight w:val="none"/>
                <w:lang w:val="en-US"/>
              </w:rPr>
              <w:t>2</w:t>
            </w:r>
            <w:r>
              <w:rPr>
                <w:rFonts w:hint="default" w:ascii="宋体" w:hAnsi="宋体" w:eastAsia="宋体" w:cs="宋体"/>
                <w:color w:val="000000"/>
                <w:sz w:val="24"/>
                <w:szCs w:val="24"/>
                <w:highlight w:val="none"/>
              </w:rPr>
              <w:t>.</w:t>
            </w:r>
            <w:r>
              <w:rPr>
                <w:rFonts w:hint="default" w:ascii="宋体" w:hAnsi="宋体" w:eastAsia="宋体" w:cs="宋体"/>
                <w:color w:val="000000"/>
                <w:sz w:val="24"/>
                <w:szCs w:val="24"/>
                <w:highlight w:val="none"/>
                <w:lang w:val="en-US"/>
              </w:rPr>
              <w:t>培训人员配置</w:t>
            </w:r>
            <w:r>
              <w:rPr>
                <w:rFonts w:hint="eastAsia" w:ascii="宋体" w:hAnsi="宋体" w:eastAsia="宋体" w:cs="宋体"/>
                <w:color w:val="000000"/>
                <w:sz w:val="24"/>
                <w:szCs w:val="24"/>
                <w:highlight w:val="none"/>
                <w:lang w:val="en-US" w:eastAsia="zh-CN"/>
              </w:rPr>
              <w:t>（含人员基本信息、工作履约和工作分工）</w:t>
            </w:r>
            <w:r>
              <w:rPr>
                <w:rFonts w:hint="default" w:ascii="宋体" w:hAnsi="宋体" w:eastAsia="宋体" w:cs="宋体"/>
                <w:color w:val="000000"/>
                <w:sz w:val="24"/>
                <w:szCs w:val="24"/>
                <w:highlight w:val="none"/>
              </w:rPr>
              <w:t>；</w:t>
            </w:r>
            <w:r>
              <w:rPr>
                <w:rFonts w:hint="default" w:ascii="宋体" w:hAnsi="宋体" w:eastAsia="宋体" w:cs="宋体"/>
                <w:color w:val="000000"/>
                <w:sz w:val="24"/>
                <w:szCs w:val="24"/>
                <w:highlight w:val="none"/>
                <w:lang w:val="en-US"/>
              </w:rPr>
              <w:t>3</w:t>
            </w:r>
            <w:r>
              <w:rPr>
                <w:rFonts w:hint="default" w:ascii="宋体" w:hAnsi="宋体" w:eastAsia="宋体" w:cs="宋体"/>
                <w:color w:val="000000"/>
                <w:sz w:val="24"/>
                <w:szCs w:val="24"/>
                <w:highlight w:val="none"/>
              </w:rPr>
              <w:t>.</w:t>
            </w:r>
            <w:r>
              <w:rPr>
                <w:rFonts w:hint="default" w:ascii="宋体" w:hAnsi="宋体" w:eastAsia="宋体" w:cs="宋体"/>
                <w:color w:val="000000"/>
                <w:sz w:val="24"/>
                <w:szCs w:val="24"/>
                <w:highlight w:val="none"/>
                <w:lang w:val="en-US"/>
              </w:rPr>
              <w:t>设备设施</w:t>
            </w:r>
            <w:r>
              <w:rPr>
                <w:rFonts w:hint="default" w:ascii="宋体" w:hAnsi="宋体" w:eastAsia="宋体" w:cs="宋体"/>
                <w:color w:val="000000"/>
                <w:sz w:val="24"/>
                <w:szCs w:val="24"/>
                <w:highlight w:val="none"/>
              </w:rPr>
              <w:t>使用方法培训安排；</w:t>
            </w:r>
            <w:r>
              <w:rPr>
                <w:rFonts w:hint="default" w:ascii="宋体" w:hAnsi="宋体" w:eastAsia="宋体" w:cs="宋体"/>
                <w:color w:val="000000"/>
                <w:sz w:val="24"/>
                <w:szCs w:val="24"/>
                <w:highlight w:val="none"/>
                <w:lang w:val="en-US"/>
              </w:rPr>
              <w:t>4</w:t>
            </w:r>
            <w:r>
              <w:rPr>
                <w:rFonts w:hint="default" w:ascii="宋体" w:hAnsi="宋体" w:eastAsia="宋体" w:cs="宋体"/>
                <w:color w:val="000000"/>
                <w:sz w:val="24"/>
                <w:szCs w:val="24"/>
                <w:highlight w:val="none"/>
              </w:rPr>
              <w:t>.</w:t>
            </w:r>
            <w:r>
              <w:rPr>
                <w:rFonts w:hint="default" w:ascii="宋体" w:hAnsi="宋体" w:eastAsia="宋体" w:cs="宋体"/>
                <w:color w:val="000000"/>
                <w:sz w:val="24"/>
                <w:szCs w:val="24"/>
                <w:highlight w:val="none"/>
                <w:lang w:val="en-US"/>
              </w:rPr>
              <w:t>设备日常</w:t>
            </w:r>
            <w:r>
              <w:rPr>
                <w:rFonts w:hint="default" w:ascii="宋体" w:hAnsi="宋体" w:eastAsia="宋体" w:cs="宋体"/>
                <w:color w:val="000000"/>
                <w:sz w:val="24"/>
                <w:szCs w:val="24"/>
                <w:highlight w:val="none"/>
              </w:rPr>
              <w:t>维护保养及</w:t>
            </w:r>
            <w:r>
              <w:rPr>
                <w:rFonts w:hint="default" w:ascii="宋体" w:hAnsi="宋体" w:eastAsia="宋体" w:cs="宋体"/>
                <w:color w:val="000000"/>
                <w:sz w:val="24"/>
                <w:szCs w:val="24"/>
                <w:highlight w:val="none"/>
                <w:lang w:val="en-US"/>
              </w:rPr>
              <w:t>设备</w:t>
            </w:r>
            <w:r>
              <w:rPr>
                <w:rFonts w:hint="default" w:ascii="宋体" w:hAnsi="宋体" w:eastAsia="宋体" w:cs="宋体"/>
                <w:color w:val="000000"/>
                <w:sz w:val="24"/>
                <w:szCs w:val="24"/>
                <w:highlight w:val="none"/>
              </w:rPr>
              <w:t>常见故障</w:t>
            </w:r>
            <w:r>
              <w:rPr>
                <w:rFonts w:hint="default" w:ascii="宋体" w:hAnsi="宋体" w:eastAsia="宋体" w:cs="宋体"/>
                <w:color w:val="000000"/>
                <w:sz w:val="24"/>
                <w:szCs w:val="24"/>
                <w:highlight w:val="none"/>
                <w:lang w:val="en-US"/>
              </w:rPr>
              <w:t>排查及简单</w:t>
            </w:r>
            <w:r>
              <w:rPr>
                <w:rFonts w:hint="default" w:ascii="宋体" w:hAnsi="宋体" w:eastAsia="宋体" w:cs="宋体"/>
                <w:color w:val="000000"/>
                <w:sz w:val="24"/>
                <w:szCs w:val="24"/>
                <w:highlight w:val="none"/>
              </w:rPr>
              <w:t>维修</w:t>
            </w:r>
            <w:r>
              <w:rPr>
                <w:rFonts w:hint="eastAsia" w:ascii="宋体" w:hAnsi="宋体" w:eastAsia="宋体" w:cs="宋体"/>
                <w:color w:val="000000"/>
                <w:sz w:val="24"/>
                <w:szCs w:val="24"/>
                <w:highlight w:val="none"/>
                <w:lang w:eastAsia="zh-CN"/>
              </w:rPr>
              <w:t>的培训安排</w:t>
            </w:r>
            <w:r>
              <w:rPr>
                <w:rFonts w:hint="default" w:ascii="宋体" w:hAnsi="宋体" w:eastAsia="宋体" w:cs="宋体"/>
                <w:color w:val="000000"/>
                <w:sz w:val="24"/>
                <w:szCs w:val="24"/>
                <w:highlight w:val="none"/>
              </w:rPr>
              <w:t>。</w:t>
            </w:r>
          </w:p>
          <w:p w14:paraId="10DEFB40">
            <w:pPr>
              <w:spacing w:line="360" w:lineRule="auto"/>
              <w:ind w:firstLine="0" w:firstLineChars="0"/>
              <w:jc w:val="left"/>
              <w:rPr>
                <w:rFonts w:hint="default" w:ascii="宋体" w:hAnsi="宋体" w:eastAsia="宋体" w:cs="宋体"/>
                <w:color w:val="000000"/>
                <w:sz w:val="24"/>
                <w:szCs w:val="24"/>
                <w:highlight w:val="none"/>
              </w:rPr>
            </w:pPr>
            <w:r>
              <w:rPr>
                <w:rFonts w:hint="eastAsia" w:ascii="宋体" w:hAnsi="宋体" w:cs="宋体"/>
                <w:color w:val="000000"/>
                <w:sz w:val="24"/>
                <w:highlight w:val="none"/>
              </w:rPr>
              <w:t>提供上述方案且无缺</w:t>
            </w:r>
            <w:r>
              <w:rPr>
                <w:rFonts w:hint="eastAsia" w:ascii="宋体" w:hAnsi="宋体" w:eastAsia="宋体" w:cs="宋体"/>
                <w:color w:val="000000"/>
                <w:kern w:val="0"/>
                <w:sz w:val="24"/>
                <w:highlight w:val="none"/>
                <w:lang w:bidi="ar"/>
              </w:rPr>
              <w:t>陷</w:t>
            </w:r>
            <w:r>
              <w:rPr>
                <w:rFonts w:hint="eastAsia" w:ascii="宋体" w:hAnsi="宋体" w:eastAsia="宋体" w:cs="宋体"/>
                <w:color w:val="000000"/>
                <w:sz w:val="24"/>
                <w:szCs w:val="24"/>
                <w:highlight w:val="none"/>
                <w:lang w:eastAsia="zh-CN"/>
              </w:rPr>
              <w:t>得</w:t>
            </w:r>
            <w:r>
              <w:rPr>
                <w:rFonts w:hint="eastAsia" w:ascii="宋体" w:hAnsi="宋体" w:eastAsia="宋体" w:cs="宋体"/>
                <w:color w:val="000000"/>
                <w:sz w:val="24"/>
                <w:szCs w:val="24"/>
                <w:highlight w:val="none"/>
                <w:lang w:val="en-US" w:eastAsia="zh-CN"/>
              </w:rPr>
              <w:t>8</w:t>
            </w:r>
            <w:r>
              <w:rPr>
                <w:rFonts w:hint="default" w:ascii="宋体" w:hAnsi="宋体" w:eastAsia="宋体" w:cs="宋体"/>
                <w:color w:val="000000"/>
                <w:sz w:val="24"/>
                <w:szCs w:val="24"/>
                <w:highlight w:val="none"/>
              </w:rPr>
              <w:t>分，每缺一项扣</w:t>
            </w:r>
            <w:r>
              <w:rPr>
                <w:rFonts w:hint="eastAsia" w:ascii="宋体" w:hAnsi="宋体" w:eastAsia="宋体" w:cs="宋体"/>
                <w:color w:val="000000"/>
                <w:sz w:val="24"/>
                <w:szCs w:val="24"/>
                <w:highlight w:val="none"/>
                <w:lang w:val="en-US" w:eastAsia="zh-CN"/>
              </w:rPr>
              <w:t>2</w:t>
            </w:r>
            <w:r>
              <w:rPr>
                <w:rFonts w:hint="default" w:ascii="宋体" w:hAnsi="宋体" w:eastAsia="宋体" w:cs="宋体"/>
                <w:color w:val="000000"/>
                <w:sz w:val="24"/>
                <w:szCs w:val="24"/>
                <w:highlight w:val="none"/>
              </w:rPr>
              <w:t>分。每有一项内容有缺陷扣</w:t>
            </w:r>
            <w:r>
              <w:rPr>
                <w:rFonts w:hint="eastAsia" w:ascii="宋体" w:hAnsi="宋体" w:eastAsia="宋体" w:cs="宋体"/>
                <w:color w:val="000000"/>
                <w:sz w:val="24"/>
                <w:szCs w:val="24"/>
                <w:highlight w:val="none"/>
                <w:lang w:val="en-US" w:eastAsia="zh-CN"/>
              </w:rPr>
              <w:t>1</w:t>
            </w:r>
            <w:r>
              <w:rPr>
                <w:rFonts w:hint="default" w:ascii="宋体" w:hAnsi="宋体" w:eastAsia="宋体" w:cs="宋体"/>
                <w:color w:val="000000"/>
                <w:sz w:val="24"/>
                <w:szCs w:val="24"/>
                <w:highlight w:val="none"/>
              </w:rPr>
              <w:t>分。（扣完为止）</w:t>
            </w:r>
          </w:p>
          <w:p w14:paraId="483E7748">
            <w:pPr>
              <w:spacing w:line="360" w:lineRule="auto"/>
              <w:jc w:val="left"/>
              <w:rPr>
                <w:rFonts w:hint="eastAsia" w:ascii="仿宋" w:hAnsi="仿宋" w:eastAsia="仿宋" w:cs="仿宋"/>
                <w:sz w:val="24"/>
                <w:szCs w:val="24"/>
                <w:highlight w:val="none"/>
                <w:lang w:val="en-US"/>
              </w:rPr>
            </w:pPr>
            <w:r>
              <w:rPr>
                <w:rFonts w:hint="default" w:ascii="宋体" w:hAnsi="宋体" w:eastAsia="宋体" w:cs="宋体"/>
                <w:color w:val="000000"/>
                <w:sz w:val="24"/>
                <w:szCs w:val="24"/>
                <w:highlight w:val="none"/>
                <w:lang w:val="en-US"/>
              </w:rPr>
              <w:t>(缺陷是指：</w:t>
            </w:r>
            <w:r>
              <w:rPr>
                <w:rFonts w:hint="eastAsia" w:ascii="宋体" w:hAnsi="宋体" w:cs="宋体"/>
                <w:color w:val="000000"/>
                <w:sz w:val="24"/>
                <w:highlight w:val="none"/>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highlight w:val="none"/>
                <w:lang w:bidi="ar"/>
              </w:rPr>
              <w:t>)</w:t>
            </w:r>
          </w:p>
        </w:tc>
      </w:tr>
      <w:tr w14:paraId="5E63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vMerge w:val="continue"/>
            <w:vAlign w:val="center"/>
          </w:tcPr>
          <w:p w14:paraId="1738ED86">
            <w:pPr>
              <w:widowControl/>
              <w:spacing w:line="288" w:lineRule="auto"/>
              <w:jc w:val="center"/>
              <w:rPr>
                <w:rFonts w:hint="eastAsia" w:ascii="仿宋" w:hAnsi="仿宋" w:eastAsia="仿宋" w:cs="仿宋"/>
                <w:sz w:val="24"/>
                <w:szCs w:val="24"/>
                <w:highlight w:val="none"/>
                <w:lang w:val="en-US"/>
              </w:rPr>
            </w:pPr>
          </w:p>
        </w:tc>
        <w:tc>
          <w:tcPr>
            <w:tcW w:w="1581" w:type="dxa"/>
            <w:vAlign w:val="center"/>
          </w:tcPr>
          <w:p w14:paraId="3BD18F4C">
            <w:pPr>
              <w:spacing w:line="360" w:lineRule="auto"/>
              <w:ind w:firstLine="0" w:firstLineChars="0"/>
              <w:jc w:val="both"/>
              <w:rPr>
                <w:rFonts w:hint="eastAsia" w:ascii="宋体" w:hAnsi="宋体" w:cs="宋体"/>
                <w:color w:val="000000"/>
                <w:sz w:val="24"/>
                <w:highlight w:val="none"/>
              </w:rPr>
            </w:pPr>
            <w:r>
              <w:rPr>
                <w:rFonts w:hint="eastAsia" w:ascii="宋体" w:hAnsi="宋体" w:cs="宋体"/>
                <w:color w:val="000000"/>
                <w:sz w:val="24"/>
                <w:highlight w:val="none"/>
              </w:rPr>
              <w:t>售后服务方案</w:t>
            </w:r>
          </w:p>
          <w:p w14:paraId="009BD513">
            <w:pPr>
              <w:spacing w:line="360" w:lineRule="auto"/>
              <w:ind w:firstLine="240" w:firstLineChars="100"/>
              <w:rPr>
                <w:rFonts w:hint="eastAsia" w:ascii="仿宋" w:hAnsi="仿宋" w:eastAsia="仿宋" w:cs="仿宋"/>
                <w:sz w:val="24"/>
                <w:szCs w:val="24"/>
                <w:highlight w:val="none"/>
              </w:rPr>
            </w:pPr>
          </w:p>
        </w:tc>
        <w:tc>
          <w:tcPr>
            <w:tcW w:w="928" w:type="dxa"/>
            <w:vAlign w:val="center"/>
          </w:tcPr>
          <w:p w14:paraId="085F70B7">
            <w:pPr>
              <w:spacing w:line="360" w:lineRule="auto"/>
              <w:jc w:val="center"/>
              <w:rPr>
                <w:rFonts w:hint="eastAsia" w:ascii="宋体" w:hAnsi="宋体" w:cs="宋体"/>
                <w:color w:val="000000"/>
                <w:sz w:val="24"/>
                <w:highlight w:val="none"/>
              </w:rPr>
            </w:pPr>
            <w:r>
              <w:rPr>
                <w:rFonts w:hint="eastAsia" w:ascii="宋体" w:hAnsi="宋体" w:cs="宋体"/>
                <w:color w:val="000000"/>
                <w:sz w:val="24"/>
                <w:highlight w:val="none"/>
                <w:lang w:val="en-US" w:eastAsia="zh-CN"/>
              </w:rPr>
              <w:t>7.5</w:t>
            </w:r>
            <w:r>
              <w:rPr>
                <w:rFonts w:hint="eastAsia" w:ascii="宋体" w:hAnsi="宋体" w:cs="宋体"/>
                <w:color w:val="000000"/>
                <w:sz w:val="24"/>
                <w:highlight w:val="none"/>
              </w:rPr>
              <w:t>分</w:t>
            </w:r>
          </w:p>
          <w:p w14:paraId="4E670DF5">
            <w:pPr>
              <w:spacing w:line="360" w:lineRule="auto"/>
              <w:jc w:val="center"/>
              <w:rPr>
                <w:rFonts w:hint="eastAsia" w:ascii="仿宋" w:hAnsi="仿宋" w:eastAsia="仿宋" w:cs="仿宋"/>
                <w:sz w:val="24"/>
                <w:szCs w:val="24"/>
                <w:highlight w:val="none"/>
                <w:lang w:val="en-US"/>
              </w:rPr>
            </w:pPr>
          </w:p>
        </w:tc>
        <w:tc>
          <w:tcPr>
            <w:tcW w:w="6656" w:type="dxa"/>
            <w:vAlign w:val="center"/>
          </w:tcPr>
          <w:p w14:paraId="055DF6BB">
            <w:pPr>
              <w:spacing w:line="360" w:lineRule="auto"/>
              <w:jc w:val="left"/>
              <w:rPr>
                <w:rFonts w:hint="default" w:ascii="宋体" w:hAnsi="宋体" w:eastAsia="宋体" w:cs="宋体"/>
                <w:color w:val="000000"/>
                <w:sz w:val="24"/>
                <w:highlight w:val="none"/>
              </w:rPr>
            </w:pPr>
            <w:r>
              <w:rPr>
                <w:rFonts w:hint="default" w:ascii="宋体" w:hAnsi="宋体" w:eastAsia="宋体" w:cs="宋体"/>
                <w:color w:val="000000"/>
                <w:sz w:val="24"/>
                <w:highlight w:val="none"/>
              </w:rPr>
              <w:t>满足招标文件要求的质保期（保修期）前提下，售后服务方案制定完善，包括（1）售后服务流程方案（包括但不限于质保期内、质保期结束后）；（2）产品保修服务方案(免费退换货或返修方案)；（3）设备维护方案；（4）售后人员配置方案（售后服务团队配置有符合项目要求的售后人员和售后团队机构图，其他售后人员职责分工明确，有售后人员联系方式和工作履历）；</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lang w:eastAsia="zh-CN"/>
              </w:rPr>
              <w:t>）设备保修期后的维保计划和优惠等。</w:t>
            </w:r>
            <w:r>
              <w:rPr>
                <w:rFonts w:hint="default" w:ascii="宋体" w:hAnsi="宋体" w:eastAsia="宋体" w:cs="宋体"/>
                <w:color w:val="000000"/>
                <w:sz w:val="24"/>
                <w:highlight w:val="none"/>
              </w:rPr>
              <w:t>所有要素齐全且完全满足项目要求得</w:t>
            </w:r>
            <w:r>
              <w:rPr>
                <w:rFonts w:hint="eastAsia" w:ascii="宋体" w:hAnsi="宋体" w:eastAsia="宋体" w:cs="宋体"/>
                <w:color w:val="000000"/>
                <w:sz w:val="24"/>
                <w:highlight w:val="none"/>
                <w:lang w:val="en-US" w:eastAsia="zh-CN"/>
              </w:rPr>
              <w:t>7.5</w:t>
            </w:r>
            <w:r>
              <w:rPr>
                <w:rFonts w:hint="default" w:ascii="宋体" w:hAnsi="宋体" w:eastAsia="宋体" w:cs="宋体"/>
                <w:color w:val="000000"/>
                <w:sz w:val="24"/>
                <w:highlight w:val="none"/>
              </w:rPr>
              <w:t>分，每缺一项扣</w:t>
            </w:r>
            <w:r>
              <w:rPr>
                <w:rFonts w:hint="eastAsia" w:ascii="宋体" w:hAnsi="宋体" w:eastAsia="宋体" w:cs="宋体"/>
                <w:color w:val="000000"/>
                <w:sz w:val="24"/>
                <w:highlight w:val="none"/>
                <w:lang w:val="en-US" w:eastAsia="zh-CN"/>
              </w:rPr>
              <w:t>1.5</w:t>
            </w:r>
            <w:r>
              <w:rPr>
                <w:rFonts w:hint="default" w:ascii="宋体" w:hAnsi="宋体" w:eastAsia="宋体" w:cs="宋体"/>
                <w:color w:val="000000"/>
                <w:sz w:val="24"/>
                <w:highlight w:val="none"/>
              </w:rPr>
              <w:t>分</w:t>
            </w:r>
            <w:r>
              <w:rPr>
                <w:rFonts w:hint="eastAsia" w:ascii="宋体" w:hAnsi="宋体" w:eastAsia="宋体" w:cs="宋体"/>
                <w:color w:val="000000"/>
                <w:sz w:val="24"/>
                <w:highlight w:val="none"/>
                <w:lang w:eastAsia="zh-CN"/>
              </w:rPr>
              <w:t>，</w:t>
            </w:r>
            <w:r>
              <w:rPr>
                <w:rFonts w:hint="default" w:ascii="宋体" w:hAnsi="宋体" w:eastAsia="宋体" w:cs="宋体"/>
                <w:color w:val="000000"/>
                <w:sz w:val="24"/>
                <w:highlight w:val="none"/>
              </w:rPr>
              <w:t>每有一项内容有缺陷的扣</w:t>
            </w:r>
            <w:r>
              <w:rPr>
                <w:rFonts w:hint="eastAsia" w:ascii="宋体" w:hAnsi="宋体" w:eastAsia="宋体" w:cs="宋体"/>
                <w:color w:val="000000"/>
                <w:sz w:val="24"/>
                <w:highlight w:val="none"/>
                <w:lang w:val="en-US" w:eastAsia="zh-CN"/>
              </w:rPr>
              <w:t>0.75</w:t>
            </w:r>
            <w:r>
              <w:rPr>
                <w:rFonts w:hint="default" w:ascii="宋体" w:hAnsi="宋体" w:eastAsia="宋体" w:cs="宋体"/>
                <w:color w:val="000000"/>
                <w:sz w:val="24"/>
                <w:highlight w:val="none"/>
              </w:rPr>
              <w:t>分。（扣完为止）</w:t>
            </w:r>
          </w:p>
          <w:p w14:paraId="43EB086A">
            <w:pPr>
              <w:spacing w:line="360" w:lineRule="auto"/>
              <w:jc w:val="left"/>
              <w:rPr>
                <w:rFonts w:hint="eastAsia" w:ascii="仿宋" w:hAnsi="仿宋" w:eastAsia="仿宋" w:cs="仿宋"/>
                <w:sz w:val="24"/>
                <w:szCs w:val="24"/>
                <w:highlight w:val="none"/>
              </w:rPr>
            </w:pPr>
            <w:r>
              <w:rPr>
                <w:rFonts w:hint="default" w:ascii="宋体" w:hAnsi="宋体" w:eastAsia="宋体" w:cs="宋体"/>
                <w:color w:val="000000"/>
                <w:sz w:val="24"/>
                <w:highlight w:val="none"/>
              </w:rPr>
              <w:t>(缺陷是指：</w:t>
            </w:r>
            <w:r>
              <w:rPr>
                <w:rFonts w:hint="eastAsia" w:ascii="宋体" w:hAnsi="宋体" w:cs="宋体"/>
                <w:color w:val="000000"/>
                <w:sz w:val="24"/>
                <w:highlight w:val="none"/>
              </w:rPr>
              <w:t>（内容中夹杂含有与本项目无关的：1、其他单位名称、2、其他标的物内容、3其他标的物方案）、方案内容针对同一事项前后表述不一致、方案响应中含有不符合本项目明确的采购需求内容（不含实质性要求）4、对于明确的方案要求响应文件存在部分未提供）</w:t>
            </w:r>
            <w:r>
              <w:rPr>
                <w:rFonts w:hint="eastAsia" w:ascii="宋体" w:hAnsi="宋体" w:eastAsia="宋体" w:cs="宋体"/>
                <w:color w:val="000000"/>
                <w:kern w:val="0"/>
                <w:sz w:val="24"/>
                <w:highlight w:val="none"/>
                <w:lang w:bidi="ar"/>
              </w:rPr>
              <w:t>)</w:t>
            </w:r>
          </w:p>
        </w:tc>
      </w:tr>
      <w:tr w14:paraId="76DF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714" w:type="dxa"/>
            <w:vMerge w:val="continue"/>
            <w:vAlign w:val="center"/>
          </w:tcPr>
          <w:p w14:paraId="2FF79DA9">
            <w:pPr>
              <w:widowControl/>
              <w:spacing w:line="288" w:lineRule="auto"/>
              <w:jc w:val="center"/>
              <w:rPr>
                <w:rFonts w:hint="eastAsia" w:ascii="仿宋" w:hAnsi="仿宋" w:eastAsia="仿宋" w:cs="仿宋"/>
                <w:sz w:val="24"/>
                <w:szCs w:val="24"/>
                <w:highlight w:val="none"/>
                <w:lang w:val="en-US"/>
              </w:rPr>
            </w:pPr>
          </w:p>
        </w:tc>
        <w:tc>
          <w:tcPr>
            <w:tcW w:w="1581" w:type="dxa"/>
            <w:vAlign w:val="center"/>
          </w:tcPr>
          <w:p w14:paraId="4B17DDCE">
            <w:pPr>
              <w:spacing w:line="360" w:lineRule="auto"/>
              <w:ind w:firstLine="0" w:firstLineChars="0"/>
              <w:rPr>
                <w:rFonts w:hint="eastAsia" w:ascii="仿宋" w:hAnsi="仿宋" w:eastAsia="仿宋" w:cs="仿宋"/>
                <w:sz w:val="24"/>
                <w:szCs w:val="24"/>
                <w:highlight w:val="none"/>
              </w:rPr>
            </w:pPr>
            <w:r>
              <w:rPr>
                <w:rFonts w:hint="eastAsia" w:ascii="宋体" w:hAnsi="宋体" w:cs="宋体"/>
                <w:color w:val="000000"/>
                <w:sz w:val="24"/>
                <w:highlight w:val="none"/>
                <w:lang w:val="en-US" w:eastAsia="zh-CN"/>
              </w:rPr>
              <w:t>质保承诺</w:t>
            </w:r>
          </w:p>
        </w:tc>
        <w:tc>
          <w:tcPr>
            <w:tcW w:w="928" w:type="dxa"/>
            <w:vAlign w:val="center"/>
          </w:tcPr>
          <w:p w14:paraId="04219CF8">
            <w:pPr>
              <w:spacing w:line="360" w:lineRule="auto"/>
              <w:jc w:val="both"/>
              <w:rPr>
                <w:rFonts w:hint="eastAsia" w:ascii="仿宋" w:hAnsi="仿宋" w:eastAsia="仿宋" w:cs="仿宋"/>
                <w:sz w:val="24"/>
                <w:szCs w:val="24"/>
                <w:highlight w:val="none"/>
                <w:lang w:val="en-US"/>
              </w:rPr>
            </w:pPr>
            <w:r>
              <w:rPr>
                <w:rFonts w:hint="eastAsia" w:ascii="宋体" w:hAnsi="宋体" w:cs="宋体"/>
                <w:color w:val="000000"/>
                <w:sz w:val="24"/>
                <w:highlight w:val="none"/>
                <w:lang w:val="en-US" w:eastAsia="zh-CN"/>
              </w:rPr>
              <w:t>2.5分</w:t>
            </w:r>
          </w:p>
        </w:tc>
        <w:tc>
          <w:tcPr>
            <w:tcW w:w="6656" w:type="dxa"/>
            <w:vAlign w:val="center"/>
          </w:tcPr>
          <w:p w14:paraId="127263EF">
            <w:pPr>
              <w:pStyle w:val="6"/>
              <w:ind w:firstLine="0" w:firstLineChars="0"/>
              <w:rPr>
                <w:rFonts w:hint="eastAsia" w:ascii="仿宋" w:hAnsi="仿宋" w:eastAsia="仿宋" w:cs="仿宋"/>
                <w:sz w:val="24"/>
                <w:szCs w:val="24"/>
                <w:highlight w:val="none"/>
              </w:rPr>
            </w:pPr>
            <w:r>
              <w:rPr>
                <w:rFonts w:hint="eastAsia" w:ascii="宋体" w:hAnsi="宋体" w:cs="宋体"/>
                <w:color w:val="000000"/>
                <w:sz w:val="24"/>
                <w:highlight w:val="none"/>
              </w:rPr>
              <w:t>满足本项目质保前提下，</w:t>
            </w:r>
            <w:r>
              <w:rPr>
                <w:rFonts w:hint="eastAsia" w:ascii="宋体" w:hAnsi="宋体" w:cs="宋体"/>
                <w:color w:val="000000"/>
                <w:sz w:val="24"/>
                <w:highlight w:val="none"/>
                <w:lang w:eastAsia="zh-CN"/>
              </w:rPr>
              <w:t>所有产品</w:t>
            </w:r>
            <w:r>
              <w:rPr>
                <w:rFonts w:hint="eastAsia" w:ascii="宋体" w:hAnsi="宋体" w:cs="宋体"/>
                <w:color w:val="000000"/>
                <w:sz w:val="24"/>
                <w:highlight w:val="none"/>
              </w:rPr>
              <w:t>每多提供一年质保加1</w:t>
            </w:r>
            <w:r>
              <w:rPr>
                <w:rFonts w:hint="eastAsia" w:ascii="宋体" w:hAnsi="宋体" w:cs="宋体"/>
                <w:color w:val="000000"/>
                <w:sz w:val="24"/>
                <w:highlight w:val="none"/>
                <w:lang w:val="en-US" w:eastAsia="zh-CN"/>
              </w:rPr>
              <w:t>.25</w:t>
            </w:r>
            <w:r>
              <w:rPr>
                <w:rFonts w:hint="eastAsia" w:ascii="宋体" w:hAnsi="宋体" w:cs="宋体"/>
                <w:color w:val="000000"/>
                <w:sz w:val="24"/>
                <w:highlight w:val="none"/>
              </w:rPr>
              <w:t>分，共计</w:t>
            </w:r>
            <w:r>
              <w:rPr>
                <w:rFonts w:hint="eastAsia" w:ascii="宋体" w:hAnsi="宋体" w:cs="宋体"/>
                <w:color w:val="000000"/>
                <w:sz w:val="24"/>
                <w:highlight w:val="none"/>
                <w:lang w:val="en-US" w:eastAsia="zh-CN"/>
              </w:rPr>
              <w:t>2.5</w:t>
            </w:r>
            <w:r>
              <w:rPr>
                <w:rFonts w:hint="eastAsia" w:ascii="宋体" w:hAnsi="宋体" w:cs="宋体"/>
                <w:color w:val="000000"/>
                <w:sz w:val="24"/>
                <w:highlight w:val="none"/>
              </w:rPr>
              <w:t>分，须提供承诺函并加盖公章，不提供不得分。</w:t>
            </w:r>
          </w:p>
        </w:tc>
      </w:tr>
    </w:tbl>
    <w:p w14:paraId="21B51BC9">
      <w:pPr>
        <w:pStyle w:val="26"/>
        <w:spacing w:line="360" w:lineRule="auto"/>
        <w:ind w:firstLine="480" w:firstLineChars="200"/>
        <w:rPr>
          <w:rFonts w:hint="eastAsia" w:ascii="仿宋" w:hAnsi="仿宋" w:eastAsia="仿宋" w:cs="仿宋"/>
          <w:spacing w:val="0"/>
          <w:sz w:val="24"/>
          <w:szCs w:val="20"/>
          <w:highlight w:val="none"/>
        </w:rPr>
      </w:pPr>
      <w:r>
        <w:rPr>
          <w:rFonts w:hint="eastAsia" w:ascii="仿宋" w:hAnsi="仿宋" w:eastAsia="仿宋" w:cs="仿宋"/>
          <w:spacing w:val="0"/>
          <w:sz w:val="24"/>
          <w:szCs w:val="20"/>
          <w:highlight w:val="none"/>
        </w:rPr>
        <w:t xml:space="preserve">  </w:t>
      </w:r>
    </w:p>
    <w:p w14:paraId="3278F4C9">
      <w:pPr>
        <w:rPr>
          <w:rFonts w:hint="eastAsia" w:ascii="仿宋" w:hAnsi="仿宋" w:eastAsia="仿宋" w:cs="仿宋"/>
          <w:b/>
          <w:bCs w:val="0"/>
          <w:spacing w:val="0"/>
          <w:kern w:val="2"/>
          <w:sz w:val="24"/>
          <w:szCs w:val="24"/>
          <w:highlight w:val="none"/>
          <w:lang w:bidi="ar"/>
        </w:rPr>
      </w:pPr>
      <w:r>
        <w:rPr>
          <w:rFonts w:hint="eastAsia" w:ascii="仿宋" w:hAnsi="仿宋" w:eastAsia="仿宋" w:cs="仿宋"/>
          <w:b/>
          <w:bCs w:val="0"/>
          <w:sz w:val="24"/>
          <w:szCs w:val="24"/>
          <w:highlight w:val="none"/>
        </w:rPr>
        <w:t>备注：</w:t>
      </w:r>
      <w:r>
        <w:rPr>
          <w:rFonts w:hint="eastAsia" w:ascii="仿宋" w:hAnsi="仿宋" w:eastAsia="仿宋" w:cs="仿宋"/>
          <w:b/>
          <w:bCs w:val="0"/>
          <w:spacing w:val="0"/>
          <w:kern w:val="2"/>
          <w:sz w:val="24"/>
          <w:szCs w:val="24"/>
          <w:highlight w:val="none"/>
          <w:lang w:bidi="ar"/>
        </w:rPr>
        <w:t>详细评审中应考虑下列因素：</w:t>
      </w:r>
    </w:p>
    <w:p w14:paraId="68B4DAA5">
      <w:pPr>
        <w:pStyle w:val="26"/>
        <w:spacing w:line="360" w:lineRule="auto"/>
        <w:ind w:firstLine="480" w:firstLineChars="200"/>
        <w:rPr>
          <w:rFonts w:hint="eastAsia" w:ascii="仿宋" w:hAnsi="仿宋" w:eastAsia="仿宋" w:cs="仿宋"/>
          <w:bCs w:val="0"/>
          <w:spacing w:val="0"/>
          <w:kern w:val="2"/>
          <w:sz w:val="24"/>
          <w:szCs w:val="24"/>
          <w:highlight w:val="none"/>
          <w:lang w:bidi="ar"/>
        </w:rPr>
      </w:pPr>
      <w:r>
        <w:rPr>
          <w:rFonts w:hint="eastAsia" w:ascii="仿宋" w:hAnsi="仿宋" w:eastAsia="仿宋" w:cs="仿宋"/>
          <w:bCs w:val="0"/>
          <w:spacing w:val="0"/>
          <w:kern w:val="2"/>
          <w:sz w:val="24"/>
          <w:szCs w:val="24"/>
          <w:highlight w:val="none"/>
          <w:lang w:bidi="ar"/>
        </w:rPr>
        <w:t>1.  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14:paraId="4D0C044B">
      <w:pPr>
        <w:pStyle w:val="26"/>
        <w:spacing w:line="360" w:lineRule="auto"/>
        <w:ind w:firstLine="480" w:firstLineChars="200"/>
        <w:rPr>
          <w:rFonts w:hint="eastAsia" w:ascii="仿宋" w:hAnsi="仿宋" w:eastAsia="仿宋" w:cs="仿宋"/>
          <w:bCs w:val="0"/>
          <w:spacing w:val="0"/>
          <w:kern w:val="2"/>
          <w:sz w:val="24"/>
          <w:szCs w:val="24"/>
          <w:highlight w:val="none"/>
          <w:lang w:bidi="ar"/>
        </w:rPr>
      </w:pPr>
      <w:r>
        <w:rPr>
          <w:rFonts w:hint="eastAsia" w:ascii="仿宋" w:hAnsi="仿宋" w:eastAsia="仿宋" w:cs="仿宋"/>
          <w:bCs w:val="0"/>
          <w:spacing w:val="0"/>
          <w:kern w:val="2"/>
          <w:sz w:val="24"/>
          <w:szCs w:val="24"/>
          <w:highlight w:val="none"/>
          <w:lang w:bidi="ar"/>
        </w:rPr>
        <w:t>2.  根据《政府采购促进中小企业</w:t>
      </w:r>
      <w:r>
        <w:rPr>
          <w:rFonts w:hint="eastAsia" w:ascii="仿宋" w:hAnsi="仿宋" w:eastAsia="仿宋" w:cs="仿宋"/>
          <w:highlight w:val="none"/>
        </w:rPr>
        <w:t>发展管理办法</w:t>
      </w:r>
      <w:r>
        <w:rPr>
          <w:rFonts w:hint="eastAsia" w:ascii="仿宋" w:hAnsi="仿宋" w:eastAsia="仿宋" w:cs="仿宋"/>
          <w:bCs w:val="0"/>
          <w:spacing w:val="0"/>
          <w:kern w:val="2"/>
          <w:sz w:val="24"/>
          <w:szCs w:val="24"/>
          <w:highlight w:val="none"/>
          <w:lang w:bidi="ar"/>
        </w:rPr>
        <w:t>》</w:t>
      </w:r>
      <w:r>
        <w:rPr>
          <w:rFonts w:hint="eastAsia" w:ascii="仿宋" w:hAnsi="仿宋" w:eastAsia="仿宋" w:cs="仿宋"/>
          <w:highlight w:val="none"/>
        </w:rPr>
        <w:t>（财库﹝2020﹞46 号）</w:t>
      </w:r>
      <w:r>
        <w:rPr>
          <w:rFonts w:hint="eastAsia" w:ascii="仿宋" w:hAnsi="仿宋" w:eastAsia="仿宋" w:cs="仿宋"/>
          <w:bCs w:val="0"/>
          <w:spacing w:val="0"/>
          <w:kern w:val="2"/>
          <w:sz w:val="24"/>
          <w:szCs w:val="24"/>
          <w:highlight w:val="none"/>
          <w:lang w:bidi="ar"/>
        </w:rPr>
        <w:t>、《财政部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bCs w:val="0"/>
          <w:spacing w:val="0"/>
          <w:kern w:val="2"/>
          <w:sz w:val="24"/>
          <w:szCs w:val="24"/>
          <w:highlight w:val="none"/>
          <w:u w:val="single"/>
          <w:lang w:bidi="ar"/>
        </w:rPr>
        <w:t xml:space="preserve"> 10 % </w:t>
      </w:r>
      <w:r>
        <w:rPr>
          <w:rFonts w:hint="eastAsia" w:ascii="仿宋" w:hAnsi="仿宋" w:eastAsia="仿宋" w:cs="仿宋"/>
          <w:bCs w:val="0"/>
          <w:spacing w:val="0"/>
          <w:kern w:val="2"/>
          <w:sz w:val="24"/>
          <w:szCs w:val="24"/>
          <w:highlight w:val="none"/>
          <w:lang w:bidi="ar"/>
        </w:rPr>
        <w:t>后参与评审。对于同时属于小微企业、监狱企业或残疾人福利性单位的，不重复进行投标报价扣除。</w:t>
      </w:r>
    </w:p>
    <w:p w14:paraId="030028E0">
      <w:pPr>
        <w:pStyle w:val="26"/>
        <w:spacing w:line="360" w:lineRule="auto"/>
        <w:ind w:firstLine="480" w:firstLineChars="200"/>
        <w:rPr>
          <w:rFonts w:hint="eastAsia" w:ascii="仿宋" w:hAnsi="仿宋" w:eastAsia="仿宋" w:cs="仿宋"/>
          <w:bCs w:val="0"/>
          <w:spacing w:val="0"/>
          <w:kern w:val="2"/>
          <w:sz w:val="24"/>
          <w:szCs w:val="24"/>
          <w:highlight w:val="none"/>
          <w:lang w:bidi="ar"/>
        </w:rPr>
      </w:pPr>
      <w:r>
        <w:rPr>
          <w:rFonts w:hint="eastAsia" w:ascii="仿宋" w:hAnsi="仿宋" w:eastAsia="仿宋" w:cs="仿宋"/>
          <w:bCs w:val="0"/>
          <w:spacing w:val="0"/>
          <w:kern w:val="2"/>
          <w:sz w:val="24"/>
          <w:szCs w:val="24"/>
          <w:highlight w:val="none"/>
          <w:lang w:bidi="ar"/>
        </w:rPr>
        <w:t>3.  联合协议中约定，小型、微型企业和监狱企业的协议合同金额占到联合体协议合同总金额30%以上的，可给予联合体</w:t>
      </w:r>
      <w:r>
        <w:rPr>
          <w:rFonts w:hint="eastAsia" w:ascii="仿宋" w:hAnsi="仿宋" w:eastAsia="仿宋" w:cs="仿宋"/>
          <w:bCs w:val="0"/>
          <w:spacing w:val="0"/>
          <w:kern w:val="2"/>
          <w:sz w:val="24"/>
          <w:szCs w:val="24"/>
          <w:highlight w:val="none"/>
          <w:u w:val="single"/>
          <w:lang w:bidi="ar"/>
        </w:rPr>
        <w:t xml:space="preserve"> 4 %</w:t>
      </w:r>
      <w:r>
        <w:rPr>
          <w:rFonts w:hint="eastAsia" w:ascii="仿宋" w:hAnsi="仿宋" w:eastAsia="仿宋" w:cs="仿宋"/>
          <w:bCs w:val="0"/>
          <w:spacing w:val="0"/>
          <w:kern w:val="2"/>
          <w:sz w:val="24"/>
          <w:szCs w:val="24"/>
          <w:highlight w:val="none"/>
          <w:lang w:bidi="ar"/>
        </w:rPr>
        <w:t xml:space="preserve"> 的价格扣除。联合体各方均为小型、微型企业和监狱企业的，联合体视同为小型、微型企业和监狱企业。（本项目不使用）</w:t>
      </w:r>
    </w:p>
    <w:p w14:paraId="4DDC2A03">
      <w:pPr>
        <w:pStyle w:val="26"/>
        <w:spacing w:line="360" w:lineRule="auto"/>
        <w:ind w:firstLine="480" w:firstLineChars="200"/>
        <w:rPr>
          <w:rFonts w:hint="eastAsia" w:ascii="仿宋" w:hAnsi="仿宋" w:eastAsia="仿宋" w:cs="仿宋"/>
          <w:bCs w:val="0"/>
          <w:spacing w:val="0"/>
          <w:kern w:val="2"/>
          <w:sz w:val="24"/>
          <w:szCs w:val="24"/>
          <w:highlight w:val="none"/>
          <w:u w:val="single"/>
          <w:lang w:bidi="ar"/>
        </w:rPr>
      </w:pPr>
      <w:r>
        <w:rPr>
          <w:rFonts w:hint="eastAsia" w:ascii="仿宋" w:hAnsi="仿宋" w:eastAsia="仿宋" w:cs="仿宋"/>
          <w:bCs w:val="0"/>
          <w:spacing w:val="0"/>
          <w:kern w:val="2"/>
          <w:sz w:val="24"/>
          <w:szCs w:val="24"/>
          <w:highlight w:val="none"/>
          <w:lang w:bidi="ar"/>
        </w:rPr>
        <w:t>4.  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Cs w:val="0"/>
          <w:spacing w:val="0"/>
          <w:kern w:val="2"/>
          <w:sz w:val="24"/>
          <w:szCs w:val="24"/>
          <w:highlight w:val="none"/>
          <w:u w:val="single"/>
          <w:lang w:bidi="ar"/>
        </w:rPr>
        <w:t>采购人采购产品属于节能产品、环境标志产品品目清单范围内，且投标人所投产品具有节能产品、环境标志产品认证证书，在评标时予以优先采购，具体优惠措施为：在技术部分打分项中加1分。</w:t>
      </w:r>
    </w:p>
    <w:p w14:paraId="795D8DD8">
      <w:pPr>
        <w:pStyle w:val="26"/>
        <w:spacing w:line="360" w:lineRule="auto"/>
        <w:ind w:firstLine="520" w:firstLineChars="200"/>
        <w:rPr>
          <w:rFonts w:hint="eastAsia" w:ascii="仿宋" w:hAnsi="仿宋" w:eastAsia="仿宋" w:cs="仿宋"/>
          <w:bCs w:val="0"/>
          <w:spacing w:val="0"/>
          <w:kern w:val="2"/>
          <w:sz w:val="24"/>
          <w:szCs w:val="24"/>
          <w:highlight w:val="none"/>
          <w:lang w:bidi="ar"/>
        </w:rPr>
      </w:pPr>
      <w:r>
        <w:rPr>
          <w:rFonts w:hint="eastAsia" w:ascii="仿宋" w:hAnsi="仿宋" w:eastAsia="仿宋" w:cs="仿宋"/>
          <w:bCs w:val="0"/>
          <w:sz w:val="24"/>
          <w:szCs w:val="24"/>
          <w:highlight w:val="none"/>
          <w:lang w:bidi="ar"/>
        </w:rPr>
        <w:t>投标人所投产品列入无线局域网产品清单，应提供相关证明，在评标时予以优先采购，具体优惠措施为：</w:t>
      </w:r>
      <w:r>
        <w:rPr>
          <w:rFonts w:hint="eastAsia" w:ascii="仿宋" w:hAnsi="仿宋" w:eastAsia="仿宋" w:cs="仿宋"/>
          <w:bCs w:val="0"/>
          <w:sz w:val="24"/>
          <w:szCs w:val="24"/>
          <w:highlight w:val="none"/>
          <w:u w:val="single"/>
          <w:lang w:bidi="ar"/>
        </w:rPr>
        <w:t>在技术部分打分项中加0.5分 。</w:t>
      </w:r>
    </w:p>
    <w:p w14:paraId="7AB568B5">
      <w:pPr>
        <w:pStyle w:val="26"/>
        <w:spacing w:line="360" w:lineRule="auto"/>
        <w:ind w:firstLine="480" w:firstLineChars="200"/>
        <w:rPr>
          <w:rFonts w:hint="eastAsia" w:ascii="仿宋" w:hAnsi="仿宋" w:eastAsia="仿宋" w:cs="仿宋"/>
          <w:bCs w:val="0"/>
          <w:spacing w:val="0"/>
          <w:kern w:val="2"/>
          <w:sz w:val="24"/>
          <w:szCs w:val="24"/>
          <w:highlight w:val="none"/>
          <w:lang w:bidi="ar"/>
        </w:rPr>
      </w:pPr>
      <w:r>
        <w:rPr>
          <w:rFonts w:hint="eastAsia" w:ascii="仿宋" w:hAnsi="仿宋" w:eastAsia="仿宋" w:cs="仿宋"/>
          <w:bCs w:val="0"/>
          <w:spacing w:val="0"/>
          <w:kern w:val="2"/>
          <w:sz w:val="24"/>
          <w:szCs w:val="24"/>
          <w:highlight w:val="none"/>
          <w:lang w:bidi="ar"/>
        </w:rPr>
        <w:t>如采购人所采购产品为政府强制采购的节能产品，投标人所投产品的品牌及型号必须为清单中有效期内产品并提供证明文件，否则其投标将作为</w:t>
      </w:r>
      <w:r>
        <w:rPr>
          <w:rFonts w:hint="eastAsia" w:ascii="仿宋" w:hAnsi="仿宋" w:eastAsia="仿宋" w:cs="仿宋"/>
          <w:b/>
          <w:spacing w:val="0"/>
          <w:kern w:val="2"/>
          <w:sz w:val="24"/>
          <w:szCs w:val="24"/>
          <w:highlight w:val="none"/>
          <w:lang w:bidi="ar"/>
        </w:rPr>
        <w:t>无效投标</w:t>
      </w:r>
      <w:r>
        <w:rPr>
          <w:rFonts w:hint="eastAsia" w:ascii="仿宋" w:hAnsi="仿宋" w:eastAsia="仿宋" w:cs="仿宋"/>
          <w:bCs w:val="0"/>
          <w:spacing w:val="0"/>
          <w:kern w:val="2"/>
          <w:sz w:val="24"/>
          <w:szCs w:val="24"/>
          <w:highlight w:val="none"/>
          <w:lang w:bidi="ar"/>
        </w:rPr>
        <w:t>被拒绝。</w:t>
      </w:r>
    </w:p>
    <w:p w14:paraId="2A276B8A">
      <w:pPr>
        <w:pStyle w:val="26"/>
        <w:adjustRightInd w:val="0"/>
        <w:snapToGrid w:val="0"/>
        <w:spacing w:line="360" w:lineRule="auto"/>
        <w:ind w:firstLine="480" w:firstLineChars="200"/>
        <w:jc w:val="both"/>
        <w:rPr>
          <w:rFonts w:hint="eastAsia" w:ascii="仿宋" w:hAnsi="仿宋" w:eastAsia="仿宋" w:cs="仿宋"/>
          <w:bCs w:val="0"/>
          <w:sz w:val="24"/>
          <w:szCs w:val="24"/>
          <w:highlight w:val="none"/>
          <w:lang w:bidi="ar"/>
        </w:rPr>
      </w:pPr>
      <w:r>
        <w:rPr>
          <w:rFonts w:hint="eastAsia" w:ascii="仿宋" w:hAnsi="仿宋" w:eastAsia="仿宋" w:cs="仿宋"/>
          <w:bCs w:val="0"/>
          <w:spacing w:val="0"/>
          <w:kern w:val="2"/>
          <w:sz w:val="24"/>
          <w:szCs w:val="24"/>
          <w:highlight w:val="none"/>
          <w:lang w:bidi="ar"/>
        </w:rPr>
        <w:t xml:space="preserve">5. </w:t>
      </w:r>
      <w:r>
        <w:rPr>
          <w:rFonts w:hint="eastAsia" w:ascii="仿宋" w:hAnsi="仿宋" w:eastAsia="仿宋" w:cs="仿宋"/>
          <w:bCs w:val="0"/>
          <w:sz w:val="24"/>
          <w:szCs w:val="24"/>
          <w:highlight w:val="none"/>
          <w:lang w:bidi="ar"/>
        </w:rPr>
        <w:t xml:space="preserve">根据《关于运用政府采购政策支持脱贫攻坚的通知》（财库〔2019〕27 </w:t>
      </w:r>
    </w:p>
    <w:p w14:paraId="2E74025D">
      <w:pPr>
        <w:pStyle w:val="26"/>
        <w:adjustRightInd w:val="0"/>
        <w:snapToGrid w:val="0"/>
        <w:spacing w:line="360" w:lineRule="auto"/>
        <w:ind w:firstLine="520" w:firstLineChars="200"/>
        <w:jc w:val="both"/>
        <w:rPr>
          <w:rFonts w:hint="eastAsia" w:ascii="仿宋" w:hAnsi="仿宋" w:eastAsia="仿宋" w:cs="仿宋"/>
          <w:bCs w:val="0"/>
          <w:sz w:val="24"/>
          <w:szCs w:val="24"/>
          <w:highlight w:val="none"/>
          <w:lang w:bidi="ar"/>
        </w:rPr>
      </w:pPr>
      <w:r>
        <w:rPr>
          <w:rFonts w:hint="eastAsia" w:ascii="仿宋" w:hAnsi="仿宋" w:eastAsia="仿宋" w:cs="仿宋"/>
          <w:bCs w:val="0"/>
          <w:sz w:val="24"/>
          <w:szCs w:val="24"/>
          <w:highlight w:val="none"/>
          <w:lang w:bidi="ar"/>
        </w:rPr>
        <w:t>号）的规定，采购人采购农副产品的，对产地在国家级贫困地区的农副产品的优先采购措施：</w:t>
      </w:r>
      <w:r>
        <w:rPr>
          <w:rFonts w:hint="eastAsia" w:ascii="仿宋" w:hAnsi="仿宋" w:eastAsia="仿宋" w:cs="仿宋"/>
          <w:bCs w:val="0"/>
          <w:sz w:val="24"/>
          <w:szCs w:val="24"/>
          <w:highlight w:val="none"/>
          <w:u w:val="single"/>
          <w:lang w:bidi="ar"/>
        </w:rPr>
        <w:t xml:space="preserve">  /   </w:t>
      </w:r>
      <w:r>
        <w:rPr>
          <w:rFonts w:hint="eastAsia" w:ascii="仿宋" w:hAnsi="仿宋" w:eastAsia="仿宋" w:cs="仿宋"/>
          <w:bCs w:val="0"/>
          <w:sz w:val="24"/>
          <w:szCs w:val="24"/>
          <w:highlight w:val="none"/>
          <w:lang w:bidi="ar"/>
        </w:rPr>
        <w:t xml:space="preserve">。 </w:t>
      </w:r>
    </w:p>
    <w:p w14:paraId="383F3A9A">
      <w:pPr>
        <w:pStyle w:val="26"/>
        <w:spacing w:line="360" w:lineRule="auto"/>
        <w:ind w:firstLine="480" w:firstLineChars="200"/>
        <w:rPr>
          <w:rFonts w:hint="eastAsia" w:ascii="仿宋" w:hAnsi="仿宋" w:eastAsia="仿宋" w:cs="仿宋"/>
          <w:bCs w:val="0"/>
          <w:spacing w:val="0"/>
          <w:kern w:val="2"/>
          <w:sz w:val="24"/>
          <w:szCs w:val="24"/>
          <w:highlight w:val="none"/>
          <w:lang w:bidi="ar"/>
        </w:rPr>
      </w:pPr>
      <w:r>
        <w:rPr>
          <w:rFonts w:hint="eastAsia" w:ascii="仿宋" w:hAnsi="仿宋" w:eastAsia="仿宋" w:cs="仿宋"/>
          <w:bCs w:val="0"/>
          <w:spacing w:val="0"/>
          <w:kern w:val="2"/>
          <w:sz w:val="24"/>
          <w:szCs w:val="24"/>
          <w:highlight w:val="none"/>
          <w:lang w:bidi="ar"/>
        </w:rPr>
        <w:t>6.  同品牌处理办法：</w:t>
      </w:r>
    </w:p>
    <w:p w14:paraId="765E4CCF">
      <w:pPr>
        <w:pStyle w:val="26"/>
        <w:spacing w:line="360" w:lineRule="auto"/>
        <w:ind w:firstLine="480" w:firstLineChars="200"/>
        <w:rPr>
          <w:rFonts w:hint="eastAsia" w:ascii="仿宋" w:hAnsi="仿宋" w:eastAsia="仿宋" w:cs="仿宋"/>
          <w:bCs w:val="0"/>
          <w:spacing w:val="0"/>
          <w:kern w:val="2"/>
          <w:sz w:val="24"/>
          <w:szCs w:val="24"/>
          <w:highlight w:val="none"/>
          <w:lang w:bidi="ar"/>
        </w:rPr>
      </w:pPr>
      <w:r>
        <w:rPr>
          <w:rFonts w:hint="eastAsia" w:ascii="仿宋" w:hAnsi="仿宋" w:eastAsia="仿宋" w:cs="仿宋"/>
          <w:bCs w:val="0"/>
          <w:spacing w:val="0"/>
          <w:kern w:val="2"/>
          <w:sz w:val="24"/>
          <w:szCs w:val="24"/>
          <w:highlight w:val="none"/>
          <w:lang w:bidi="ar"/>
        </w:rPr>
        <w:t>如采用最低评标办法，则：</w:t>
      </w:r>
      <w:r>
        <w:rPr>
          <w:rFonts w:hint="eastAsia" w:ascii="仿宋" w:hAnsi="仿宋" w:eastAsia="仿宋" w:cs="仿宋"/>
          <w:bCs w:val="0"/>
          <w:spacing w:val="0"/>
          <w:kern w:val="2"/>
          <w:sz w:val="24"/>
          <w:szCs w:val="24"/>
          <w:highlight w:val="none"/>
          <w:u w:val="single"/>
          <w:lang w:bidi="ar"/>
        </w:rPr>
        <w:t>提供相同品牌产品的不同投标人以其中通过资格审查、符合性审查且报价最低的参加评标；报价相同的，由评标委员会采取随机抽取方式确定，其他同品牌投标人不作为中标候选人。</w:t>
      </w:r>
    </w:p>
    <w:p w14:paraId="614D5D9C">
      <w:pPr>
        <w:pStyle w:val="26"/>
        <w:spacing w:line="360" w:lineRule="auto"/>
        <w:ind w:firstLine="480" w:firstLineChars="200"/>
        <w:rPr>
          <w:rFonts w:hint="eastAsia" w:ascii="仿宋" w:hAnsi="仿宋" w:eastAsia="仿宋" w:cs="仿宋"/>
          <w:bCs w:val="0"/>
          <w:spacing w:val="0"/>
          <w:kern w:val="2"/>
          <w:sz w:val="24"/>
          <w:szCs w:val="24"/>
          <w:highlight w:val="none"/>
          <w:u w:val="single"/>
          <w:lang w:bidi="ar"/>
        </w:rPr>
      </w:pPr>
      <w:r>
        <w:rPr>
          <w:rFonts w:hint="eastAsia" w:ascii="仿宋" w:hAnsi="仿宋" w:eastAsia="仿宋" w:cs="仿宋"/>
          <w:bCs w:val="0"/>
          <w:spacing w:val="0"/>
          <w:kern w:val="2"/>
          <w:sz w:val="24"/>
          <w:szCs w:val="24"/>
          <w:highlight w:val="none"/>
          <w:lang w:bidi="ar"/>
        </w:rPr>
        <w:t>如采用综合评标法，则：</w:t>
      </w:r>
      <w:r>
        <w:rPr>
          <w:rFonts w:hint="eastAsia" w:ascii="仿宋" w:hAnsi="仿宋" w:eastAsia="仿宋" w:cs="仿宋"/>
          <w:bCs w:val="0"/>
          <w:spacing w:val="0"/>
          <w:kern w:val="2"/>
          <w:sz w:val="24"/>
          <w:szCs w:val="24"/>
          <w:highlight w:val="none"/>
          <w:u w:val="single"/>
          <w:lang w:bidi="ar"/>
        </w:rPr>
        <w:t>提供相同品牌产品且通过资格审查、符合性审查的不同投标人，按一家投标人计算，评审后得分最高的同品牌投标人获得中标人推荐资格；评审得分相同的，按投标报价最低的获得中标人推荐资格；评审得分和投标报价均相同的，按技术评审得分最高的获得中标人推荐资格，评审得分、投标报价和技术评审得分三项均相同的由评标委员会采取随机抽取方式确定，其他同品牌投标人不作为中标候选人。</w:t>
      </w:r>
    </w:p>
    <w:p w14:paraId="7B51977D">
      <w:pPr>
        <w:pStyle w:val="26"/>
        <w:spacing w:line="360" w:lineRule="auto"/>
        <w:ind w:firstLine="480" w:firstLineChars="200"/>
        <w:rPr>
          <w:rFonts w:hint="eastAsia" w:ascii="仿宋" w:hAnsi="仿宋" w:eastAsia="仿宋" w:cs="仿宋"/>
          <w:bCs w:val="0"/>
          <w:spacing w:val="0"/>
          <w:kern w:val="2"/>
          <w:sz w:val="24"/>
          <w:szCs w:val="24"/>
          <w:highlight w:val="none"/>
          <w:lang w:bidi="ar"/>
        </w:rPr>
      </w:pPr>
      <w:r>
        <w:rPr>
          <w:rFonts w:hint="eastAsia" w:ascii="仿宋" w:hAnsi="仿宋" w:eastAsia="仿宋" w:cs="仿宋"/>
          <w:bCs w:val="0"/>
          <w:spacing w:val="0"/>
          <w:kern w:val="2"/>
          <w:sz w:val="24"/>
          <w:szCs w:val="24"/>
          <w:highlight w:val="none"/>
          <w:lang w:bidi="ar"/>
        </w:rPr>
        <w:t>7.支持本国产品：</w:t>
      </w:r>
    </w:p>
    <w:p w14:paraId="71E6B6A5">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既有本国产品又有非本国产品参与竞争的，依法对本国产品给予价格评审优惠，对本国产品的报价给予20%的价格扣除，用扣除后的价格参与评审。</w:t>
      </w:r>
    </w:p>
    <w:p w14:paraId="70AFB074">
      <w:pPr>
        <w:spacing w:line="360" w:lineRule="auto"/>
        <w:ind w:firstLine="480" w:firstLineChars="200"/>
        <w:rPr>
          <w:rFonts w:hint="eastAsia" w:ascii="仿宋" w:hAnsi="仿宋" w:eastAsia="仿宋" w:cs="仿宋"/>
          <w:kern w:val="2"/>
          <w:sz w:val="24"/>
          <w:szCs w:val="24"/>
          <w:highlight w:val="none"/>
          <w:lang w:val="en-US" w:bidi="ar"/>
        </w:rPr>
      </w:pPr>
      <w:r>
        <w:rPr>
          <w:rFonts w:hint="eastAsia" w:ascii="仿宋" w:hAnsi="仿宋" w:eastAsia="仿宋" w:cs="仿宋"/>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BF66981">
      <w:pPr>
        <w:pStyle w:val="26"/>
        <w:spacing w:line="360" w:lineRule="auto"/>
        <w:ind w:firstLine="480" w:firstLineChars="200"/>
        <w:rPr>
          <w:rFonts w:hint="eastAsia" w:ascii="仿宋" w:hAnsi="仿宋" w:eastAsia="仿宋" w:cs="仿宋"/>
          <w:bCs w:val="0"/>
          <w:spacing w:val="0"/>
          <w:kern w:val="2"/>
          <w:sz w:val="24"/>
          <w:szCs w:val="24"/>
          <w:highlight w:val="none"/>
          <w:lang w:bidi="ar"/>
        </w:rPr>
      </w:pPr>
      <w:r>
        <w:rPr>
          <w:rFonts w:hint="eastAsia" w:ascii="仿宋" w:hAnsi="仿宋" w:eastAsia="仿宋" w:cs="仿宋"/>
          <w:bCs w:val="0"/>
          <w:spacing w:val="0"/>
          <w:kern w:val="2"/>
          <w:sz w:val="24"/>
          <w:szCs w:val="24"/>
          <w:highlight w:val="none"/>
          <w:lang w:bidi="ar"/>
        </w:rPr>
        <w:t xml:space="preserve">8.  中标候选人并列式时的处理方式：   </w:t>
      </w:r>
    </w:p>
    <w:p w14:paraId="43BE581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如采用最低评标办法，则：由评标委员会随机抽取的方式确定；</w:t>
      </w:r>
    </w:p>
    <w:p w14:paraId="53ECF195">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rPr>
        <w:t>如采用综合评标法，则：综合评审得分相同的,投标报价最低优先，如报价相同则技术部分得分最高优先，投标报价相同且技术部分得分也相同的，由评标委员会现场采取随机抽取方式确定。</w:t>
      </w:r>
    </w:p>
    <w:p w14:paraId="54C44922">
      <w:pPr>
        <w:spacing w:before="55"/>
        <w:jc w:val="center"/>
        <w:rPr>
          <w:rFonts w:hint="eastAsia" w:ascii="仿宋" w:hAnsi="仿宋" w:eastAsia="仿宋" w:cs="仿宋"/>
          <w:b/>
          <w:sz w:val="32"/>
          <w:highlight w:val="none"/>
        </w:rPr>
      </w:pPr>
      <w:r>
        <w:rPr>
          <w:rFonts w:hint="eastAsia" w:ascii="仿宋" w:hAnsi="仿宋" w:eastAsia="仿宋" w:cs="仿宋"/>
          <w:b/>
          <w:sz w:val="32"/>
          <w:highlight w:val="none"/>
          <w:lang w:val="en-US"/>
        </w:rPr>
        <w:t xml:space="preserve">  </w:t>
      </w:r>
    </w:p>
    <w:p w14:paraId="360F526F">
      <w:pPr>
        <w:pStyle w:val="28"/>
        <w:tabs>
          <w:tab w:val="left" w:pos="1660"/>
        </w:tabs>
        <w:spacing w:before="0"/>
        <w:ind w:left="0" w:firstLine="0"/>
        <w:rPr>
          <w:rFonts w:hint="eastAsia" w:ascii="仿宋" w:hAnsi="仿宋" w:eastAsia="仿宋" w:cs="仿宋"/>
          <w:b/>
          <w:sz w:val="24"/>
          <w:highlight w:val="none"/>
        </w:rPr>
      </w:pPr>
      <w:r>
        <w:rPr>
          <w:rFonts w:hint="eastAsia" w:ascii="仿宋" w:hAnsi="仿宋" w:eastAsia="仿宋" w:cs="仿宋"/>
          <w:b/>
          <w:sz w:val="24"/>
          <w:highlight w:val="none"/>
          <w:lang w:val="en-US"/>
        </w:rPr>
        <w:t xml:space="preserve">25. </w:t>
      </w:r>
      <w:r>
        <w:rPr>
          <w:rFonts w:hint="eastAsia" w:ascii="仿宋" w:hAnsi="仿宋" w:eastAsia="仿宋" w:cs="仿宋"/>
          <w:b/>
          <w:sz w:val="24"/>
          <w:highlight w:val="none"/>
        </w:rPr>
        <w:t>推荐拟中标候选人</w:t>
      </w:r>
    </w:p>
    <w:p w14:paraId="069EE327">
      <w:pPr>
        <w:pStyle w:val="28"/>
        <w:tabs>
          <w:tab w:val="left" w:pos="1720"/>
        </w:tabs>
        <w:spacing w:before="161" w:line="364" w:lineRule="auto"/>
        <w:ind w:left="0" w:firstLine="499" w:firstLineChars="208"/>
        <w:rPr>
          <w:rFonts w:hint="eastAsia" w:ascii="仿宋" w:hAnsi="仿宋" w:eastAsia="仿宋" w:cs="仿宋"/>
          <w:sz w:val="24"/>
          <w:highlight w:val="none"/>
        </w:rPr>
      </w:pPr>
      <w:r>
        <w:rPr>
          <w:rFonts w:hint="eastAsia" w:ascii="仿宋" w:hAnsi="仿宋" w:eastAsia="仿宋" w:cs="仿宋"/>
          <w:sz w:val="24"/>
          <w:highlight w:val="none"/>
          <w:lang w:val="en-US"/>
        </w:rPr>
        <w:t xml:space="preserve">25.1 </w:t>
      </w:r>
      <w:r>
        <w:rPr>
          <w:rFonts w:hint="eastAsia" w:ascii="仿宋" w:hAnsi="仿宋" w:eastAsia="仿宋" w:cs="仿宋"/>
          <w:sz w:val="24"/>
          <w:highlight w:val="none"/>
        </w:rPr>
        <w:t>由评标委员会集体按照经署名确认的汇总得分排序顺序，推荐拟中标候选人。</w:t>
      </w:r>
    </w:p>
    <w:p w14:paraId="4827422E">
      <w:pPr>
        <w:pStyle w:val="28"/>
        <w:tabs>
          <w:tab w:val="left" w:pos="1778"/>
        </w:tabs>
        <w:ind w:left="0" w:firstLine="0"/>
        <w:rPr>
          <w:rFonts w:hint="eastAsia" w:ascii="仿宋" w:hAnsi="仿宋" w:eastAsia="仿宋" w:cs="仿宋"/>
          <w:sz w:val="24"/>
          <w:highlight w:val="none"/>
        </w:rPr>
      </w:pPr>
      <w:r>
        <w:rPr>
          <w:rFonts w:hint="eastAsia" w:ascii="仿宋" w:hAnsi="仿宋" w:eastAsia="仿宋" w:cs="仿宋"/>
          <w:sz w:val="24"/>
          <w:highlight w:val="none"/>
        </w:rPr>
        <w:t>25.2 推荐拟中标候选人数量应当根据采购需要确定，应当限定在一至三人，并标明排列顺序。排序第一位的为推荐的第一拟成交供应商。</w:t>
      </w:r>
    </w:p>
    <w:p w14:paraId="63D9D9D7">
      <w:pPr>
        <w:pStyle w:val="28"/>
        <w:tabs>
          <w:tab w:val="left" w:pos="1778"/>
        </w:tabs>
        <w:spacing w:before="160" w:line="364" w:lineRule="auto"/>
        <w:ind w:left="0" w:firstLine="499" w:firstLineChars="208"/>
        <w:jc w:val="both"/>
        <w:rPr>
          <w:rFonts w:hint="eastAsia" w:ascii="仿宋" w:hAnsi="仿宋" w:eastAsia="仿宋" w:cs="仿宋"/>
          <w:sz w:val="24"/>
          <w:highlight w:val="none"/>
        </w:rPr>
      </w:pPr>
      <w:r>
        <w:rPr>
          <w:rFonts w:hint="eastAsia" w:ascii="仿宋" w:hAnsi="仿宋" w:eastAsia="仿宋" w:cs="仿宋"/>
          <w:sz w:val="24"/>
          <w:highlight w:val="none"/>
        </w:rPr>
        <w:t>25.3 投标人最低投标报价不是唯一中标条件。对资格资质审查和符合性审查合格的投标报价文件完整无缺、最大限度的满足采购文件需求的投标人，中标机会均等。</w:t>
      </w:r>
    </w:p>
    <w:p w14:paraId="3D71D12C">
      <w:pPr>
        <w:pStyle w:val="28"/>
        <w:tabs>
          <w:tab w:val="left" w:pos="1778"/>
        </w:tabs>
        <w:spacing w:before="2" w:line="364" w:lineRule="auto"/>
        <w:ind w:left="0" w:firstLine="499" w:firstLineChars="208"/>
        <w:jc w:val="both"/>
        <w:rPr>
          <w:rFonts w:hint="eastAsia" w:ascii="仿宋" w:hAnsi="仿宋" w:eastAsia="仿宋" w:cs="仿宋"/>
          <w:sz w:val="24"/>
          <w:highlight w:val="none"/>
        </w:rPr>
      </w:pPr>
      <w:r>
        <w:rPr>
          <w:rFonts w:hint="eastAsia" w:ascii="仿宋" w:hAnsi="仿宋" w:eastAsia="仿宋" w:cs="仿宋"/>
          <w:sz w:val="24"/>
          <w:highlight w:val="none"/>
          <w:lang w:val="en-US"/>
        </w:rPr>
        <w:t xml:space="preserve">25.4 </w:t>
      </w:r>
      <w:r>
        <w:rPr>
          <w:rFonts w:hint="eastAsia" w:ascii="仿宋" w:hAnsi="仿宋" w:eastAsia="仿宋" w:cs="仿宋"/>
          <w:sz w:val="24"/>
          <w:highlight w:val="none"/>
        </w:rPr>
        <w:t>如汇总得分排序后出现推荐拟中标候选人得分相同的，评标委员会只对取得得分前三位供应商，按照其报价由低到高顺序排列；得分且其报价相等的，则按核心技术指标优劣顺序排列。价格、技术指标的高低或优劣由评标委员会集体进行综合确认评定。排序在前三位之后的，按原排序不变，允许排序并列。</w:t>
      </w:r>
    </w:p>
    <w:p w14:paraId="2B8B91AE">
      <w:pPr>
        <w:pStyle w:val="28"/>
        <w:tabs>
          <w:tab w:val="left" w:pos="1720"/>
        </w:tabs>
        <w:spacing w:before="3" w:line="364" w:lineRule="auto"/>
        <w:ind w:left="0" w:firstLine="439" w:firstLineChars="183"/>
        <w:jc w:val="both"/>
        <w:rPr>
          <w:rFonts w:hint="eastAsia" w:ascii="仿宋" w:hAnsi="仿宋" w:eastAsia="仿宋" w:cs="仿宋"/>
          <w:sz w:val="24"/>
          <w:highlight w:val="none"/>
        </w:rPr>
      </w:pPr>
      <w:r>
        <w:rPr>
          <w:rFonts w:hint="eastAsia" w:ascii="仿宋" w:hAnsi="仿宋" w:eastAsia="仿宋" w:cs="仿宋"/>
          <w:sz w:val="24"/>
          <w:highlight w:val="none"/>
          <w:lang w:val="en-US"/>
        </w:rPr>
        <w:t xml:space="preserve">25.5 </w:t>
      </w:r>
      <w:r>
        <w:rPr>
          <w:rFonts w:hint="eastAsia" w:ascii="仿宋" w:hAnsi="仿宋" w:eastAsia="仿宋" w:cs="仿宋"/>
          <w:sz w:val="24"/>
          <w:highlight w:val="none"/>
        </w:rPr>
        <w:t>由采购人对未推荐拟中标候选人、确认废标的，进行核对汇总后，由评标委员会各成员签署确认。</w:t>
      </w:r>
    </w:p>
    <w:p w14:paraId="3AF940AA">
      <w:pPr>
        <w:pStyle w:val="28"/>
        <w:tabs>
          <w:tab w:val="left" w:pos="1660"/>
        </w:tabs>
        <w:spacing w:before="0"/>
        <w:ind w:left="0" w:firstLine="0"/>
        <w:rPr>
          <w:rFonts w:hint="eastAsia" w:ascii="仿宋" w:hAnsi="仿宋" w:eastAsia="仿宋" w:cs="仿宋"/>
          <w:highlight w:val="none"/>
        </w:rPr>
      </w:pPr>
      <w:r>
        <w:rPr>
          <w:rFonts w:hint="eastAsia" w:ascii="仿宋" w:hAnsi="仿宋" w:eastAsia="仿宋" w:cs="仿宋"/>
          <w:b/>
          <w:sz w:val="24"/>
          <w:highlight w:val="none"/>
          <w:lang w:val="en-US"/>
        </w:rPr>
        <w:t xml:space="preserve">26. </w:t>
      </w:r>
      <w:r>
        <w:rPr>
          <w:rFonts w:hint="eastAsia" w:ascii="仿宋" w:hAnsi="仿宋" w:eastAsia="仿宋" w:cs="仿宋"/>
          <w:highlight w:val="none"/>
        </w:rPr>
        <w:t>编写评标报告</w:t>
      </w:r>
    </w:p>
    <w:p w14:paraId="25D7C00C">
      <w:pPr>
        <w:pStyle w:val="28"/>
        <w:tabs>
          <w:tab w:val="left" w:pos="1720"/>
        </w:tabs>
        <w:spacing w:before="160" w:line="364" w:lineRule="auto"/>
        <w:ind w:left="0" w:firstLine="499" w:firstLineChars="208"/>
        <w:jc w:val="both"/>
        <w:rPr>
          <w:rFonts w:hint="eastAsia" w:ascii="仿宋" w:hAnsi="仿宋" w:eastAsia="仿宋" w:cs="仿宋"/>
          <w:sz w:val="24"/>
          <w:highlight w:val="none"/>
        </w:rPr>
      </w:pPr>
      <w:r>
        <w:rPr>
          <w:rFonts w:hint="eastAsia" w:ascii="仿宋" w:hAnsi="仿宋" w:eastAsia="仿宋" w:cs="仿宋"/>
          <w:sz w:val="24"/>
          <w:highlight w:val="none"/>
          <w:lang w:val="en-US"/>
        </w:rPr>
        <w:t xml:space="preserve">26.1 </w:t>
      </w:r>
      <w:r>
        <w:rPr>
          <w:rFonts w:hint="eastAsia" w:ascii="仿宋" w:hAnsi="仿宋" w:eastAsia="仿宋" w:cs="仿宋"/>
          <w:sz w:val="24"/>
          <w:highlight w:val="none"/>
        </w:rPr>
        <w:t>评标委员会根据全体成员签字的评标（评审）原始记录和结果，编写评标报告，并现场提交给采购人。编写的评标报告要符合采购文件的要求。</w:t>
      </w:r>
    </w:p>
    <w:p w14:paraId="2682374A">
      <w:pPr>
        <w:pStyle w:val="28"/>
        <w:tabs>
          <w:tab w:val="left" w:pos="1660"/>
        </w:tabs>
        <w:spacing w:before="0"/>
        <w:ind w:left="0" w:firstLine="0"/>
        <w:rPr>
          <w:rFonts w:hint="eastAsia" w:ascii="仿宋" w:hAnsi="仿宋" w:eastAsia="仿宋" w:cs="仿宋"/>
          <w:highlight w:val="none"/>
        </w:rPr>
      </w:pPr>
      <w:r>
        <w:rPr>
          <w:rFonts w:hint="eastAsia" w:ascii="仿宋" w:hAnsi="仿宋" w:eastAsia="仿宋" w:cs="仿宋"/>
          <w:b/>
          <w:sz w:val="24"/>
          <w:highlight w:val="none"/>
          <w:lang w:val="en-US"/>
        </w:rPr>
        <w:t xml:space="preserve">27. </w:t>
      </w:r>
      <w:r>
        <w:rPr>
          <w:rFonts w:hint="eastAsia" w:ascii="仿宋" w:hAnsi="仿宋" w:eastAsia="仿宋" w:cs="仿宋"/>
          <w:highlight w:val="none"/>
        </w:rPr>
        <w:t>评标结束</w:t>
      </w:r>
    </w:p>
    <w:p w14:paraId="240898AE">
      <w:pPr>
        <w:pStyle w:val="28"/>
        <w:tabs>
          <w:tab w:val="left" w:pos="1720"/>
        </w:tabs>
        <w:spacing w:before="161" w:line="364" w:lineRule="auto"/>
        <w:ind w:left="0" w:firstLine="499" w:firstLineChars="208"/>
        <w:jc w:val="both"/>
        <w:rPr>
          <w:rFonts w:hint="eastAsia" w:ascii="仿宋" w:hAnsi="仿宋" w:eastAsia="仿宋" w:cs="仿宋"/>
          <w:sz w:val="24"/>
          <w:highlight w:val="none"/>
        </w:rPr>
      </w:pPr>
      <w:r>
        <w:rPr>
          <w:rFonts w:hint="eastAsia" w:ascii="仿宋" w:hAnsi="仿宋" w:eastAsia="仿宋" w:cs="仿宋"/>
          <w:sz w:val="24"/>
          <w:highlight w:val="none"/>
          <w:lang w:val="en-US"/>
        </w:rPr>
        <w:t xml:space="preserve">27.1 </w:t>
      </w:r>
      <w:r>
        <w:rPr>
          <w:rFonts w:hint="eastAsia" w:ascii="仿宋" w:hAnsi="仿宋" w:eastAsia="仿宋" w:cs="仿宋"/>
          <w:sz w:val="24"/>
          <w:highlight w:val="none"/>
        </w:rPr>
        <w:t>采购人应按规定时间，通知</w:t>
      </w:r>
      <w:r>
        <w:rPr>
          <w:rFonts w:hint="eastAsia" w:ascii="仿宋" w:hAnsi="仿宋" w:eastAsia="仿宋" w:cs="仿宋"/>
          <w:sz w:val="24"/>
          <w:highlight w:val="none"/>
          <w:lang w:val="en-US"/>
        </w:rPr>
        <w:t>各</w:t>
      </w:r>
      <w:r>
        <w:rPr>
          <w:rFonts w:hint="eastAsia" w:ascii="仿宋" w:hAnsi="仿宋" w:eastAsia="仿宋" w:cs="仿宋"/>
          <w:sz w:val="24"/>
          <w:highlight w:val="none"/>
        </w:rPr>
        <w:t>有效投标人</w:t>
      </w:r>
      <w:r>
        <w:rPr>
          <w:rFonts w:hint="eastAsia" w:ascii="仿宋" w:hAnsi="仿宋" w:eastAsia="仿宋" w:cs="仿宋"/>
          <w:sz w:val="24"/>
          <w:highlight w:val="none"/>
          <w:lang w:val="en-US"/>
        </w:rPr>
        <w:t>开始进入定标议程</w:t>
      </w:r>
      <w:r>
        <w:rPr>
          <w:rFonts w:hint="eastAsia" w:ascii="仿宋" w:hAnsi="仿宋" w:eastAsia="仿宋" w:cs="仿宋"/>
          <w:sz w:val="24"/>
          <w:highlight w:val="none"/>
        </w:rPr>
        <w:t>，宣布本次评标委员会推荐的第一中标候选人名单。</w:t>
      </w:r>
    </w:p>
    <w:p w14:paraId="175FDD8F">
      <w:pPr>
        <w:pStyle w:val="28"/>
        <w:tabs>
          <w:tab w:val="left" w:pos="1778"/>
        </w:tabs>
        <w:ind w:left="0" w:firstLine="0"/>
        <w:jc w:val="both"/>
        <w:rPr>
          <w:rFonts w:hint="eastAsia" w:ascii="仿宋" w:hAnsi="仿宋" w:eastAsia="仿宋" w:cs="仿宋"/>
          <w:sz w:val="24"/>
          <w:highlight w:val="none"/>
        </w:rPr>
      </w:pPr>
      <w:r>
        <w:rPr>
          <w:rFonts w:hint="eastAsia" w:ascii="仿宋" w:hAnsi="仿宋" w:eastAsia="仿宋" w:cs="仿宋"/>
          <w:sz w:val="24"/>
          <w:highlight w:val="none"/>
          <w:lang w:val="en-US"/>
        </w:rPr>
        <w:t>27.2</w:t>
      </w:r>
      <w:r>
        <w:rPr>
          <w:rFonts w:hint="eastAsia" w:ascii="仿宋" w:hAnsi="仿宋" w:eastAsia="仿宋" w:cs="仿宋"/>
          <w:sz w:val="24"/>
          <w:highlight w:val="none"/>
        </w:rPr>
        <w:t xml:space="preserve"> 评审小组各成员名单不公开。</w:t>
      </w:r>
    </w:p>
    <w:p w14:paraId="2D07A51E">
      <w:pPr>
        <w:pStyle w:val="28"/>
        <w:tabs>
          <w:tab w:val="left" w:pos="1778"/>
        </w:tabs>
        <w:spacing w:before="161" w:line="364" w:lineRule="auto"/>
        <w:ind w:left="0" w:firstLine="499" w:firstLineChars="208"/>
        <w:jc w:val="both"/>
        <w:rPr>
          <w:rFonts w:hint="eastAsia" w:ascii="仿宋" w:hAnsi="仿宋" w:eastAsia="仿宋" w:cs="仿宋"/>
          <w:sz w:val="24"/>
          <w:highlight w:val="none"/>
        </w:rPr>
      </w:pPr>
      <w:r>
        <w:rPr>
          <w:rFonts w:hint="eastAsia" w:ascii="仿宋" w:hAnsi="仿宋" w:eastAsia="仿宋" w:cs="仿宋"/>
          <w:sz w:val="24"/>
          <w:highlight w:val="none"/>
          <w:lang w:val="en-US"/>
        </w:rPr>
        <w:t xml:space="preserve">27.3 </w:t>
      </w:r>
      <w:r>
        <w:rPr>
          <w:rFonts w:hint="eastAsia" w:ascii="仿宋" w:hAnsi="仿宋" w:eastAsia="仿宋" w:cs="仿宋"/>
          <w:sz w:val="24"/>
          <w:highlight w:val="none"/>
        </w:rPr>
        <w:t>由采购人宣读有关招标信息公告、中标确认原则及质疑（投诉）事项等说明。</w:t>
      </w:r>
    </w:p>
    <w:p w14:paraId="6E14C58C">
      <w:pPr>
        <w:pStyle w:val="28"/>
        <w:tabs>
          <w:tab w:val="left" w:pos="1778"/>
        </w:tabs>
        <w:spacing w:line="364" w:lineRule="auto"/>
        <w:ind w:left="0" w:firstLine="499" w:firstLineChars="208"/>
        <w:jc w:val="both"/>
        <w:rPr>
          <w:rFonts w:hint="eastAsia" w:ascii="仿宋" w:hAnsi="仿宋" w:eastAsia="仿宋" w:cs="仿宋"/>
          <w:sz w:val="24"/>
          <w:highlight w:val="none"/>
        </w:rPr>
      </w:pPr>
      <w:r>
        <w:rPr>
          <w:rFonts w:hint="eastAsia" w:ascii="仿宋" w:hAnsi="仿宋" w:eastAsia="仿宋" w:cs="仿宋"/>
          <w:sz w:val="24"/>
          <w:highlight w:val="none"/>
          <w:lang w:val="en-US"/>
        </w:rPr>
        <w:t xml:space="preserve">27.4 </w:t>
      </w:r>
      <w:r>
        <w:rPr>
          <w:rFonts w:hint="eastAsia" w:ascii="仿宋" w:hAnsi="仿宋" w:eastAsia="仿宋" w:cs="仿宋"/>
          <w:sz w:val="24"/>
          <w:highlight w:val="none"/>
        </w:rPr>
        <w:t>在宣布会议结束后，采购人均有义务告知所有投标人办理投标保证金的退付手续。</w:t>
      </w:r>
    </w:p>
    <w:p w14:paraId="1FE28C59">
      <w:pPr>
        <w:pStyle w:val="9"/>
        <w:spacing w:line="364" w:lineRule="auto"/>
        <w:ind w:left="0" w:firstLine="480"/>
        <w:jc w:val="both"/>
        <w:rPr>
          <w:rFonts w:hint="eastAsia" w:ascii="仿宋" w:hAnsi="仿宋" w:eastAsia="仿宋" w:cs="仿宋"/>
          <w:highlight w:val="none"/>
        </w:rPr>
      </w:pPr>
      <w:r>
        <w:rPr>
          <w:rFonts w:hint="eastAsia" w:ascii="仿宋" w:hAnsi="仿宋" w:eastAsia="仿宋" w:cs="仿宋"/>
          <w:highlight w:val="none"/>
        </w:rPr>
        <w:t>27.5</w:t>
      </w:r>
      <w:r>
        <w:rPr>
          <w:rFonts w:hint="eastAsia" w:ascii="仿宋" w:hAnsi="仿宋" w:eastAsia="仿宋" w:cs="仿宋"/>
          <w:highlight w:val="none"/>
          <w:lang w:val="en-US"/>
        </w:rPr>
        <w:t xml:space="preserve"> </w:t>
      </w:r>
      <w:r>
        <w:rPr>
          <w:rFonts w:hint="eastAsia" w:ascii="仿宋" w:hAnsi="仿宋" w:eastAsia="仿宋" w:cs="仿宋"/>
          <w:highlight w:val="none"/>
        </w:rPr>
        <w:t>评标和定标一般应当在开标后 7 个工作日内完成，项目金额较大、技术较为复杂等特殊项目的评标工作应当在 30 个工作日内完成。不能在开标后 30 个工作日内完成评标和定标的，招标人应当提前 3 天通知所有投标人延长投标有效期。同意延长投标有效期的投标人应当相应延长其投标保证金的有效期，但不得修改其投标文件的实质性内容。</w:t>
      </w:r>
    </w:p>
    <w:p w14:paraId="4B203923">
      <w:pPr>
        <w:pStyle w:val="4"/>
        <w:tabs>
          <w:tab w:val="left" w:pos="1766"/>
        </w:tabs>
        <w:spacing w:before="118"/>
        <w:ind w:right="0"/>
        <w:rPr>
          <w:rFonts w:hint="eastAsia" w:ascii="仿宋" w:hAnsi="仿宋" w:eastAsia="仿宋" w:cs="仿宋"/>
          <w:highlight w:val="none"/>
        </w:rPr>
      </w:pPr>
      <w:r>
        <w:rPr>
          <w:rFonts w:hint="eastAsia" w:ascii="仿宋" w:hAnsi="仿宋" w:eastAsia="仿宋" w:cs="仿宋"/>
          <w:highlight w:val="none"/>
        </w:rPr>
        <w:t>第三章 定</w:t>
      </w:r>
      <w:r>
        <w:rPr>
          <w:rFonts w:hint="eastAsia" w:ascii="仿宋" w:hAnsi="仿宋" w:eastAsia="仿宋" w:cs="仿宋"/>
          <w:highlight w:val="none"/>
        </w:rPr>
        <w:tab/>
      </w:r>
      <w:r>
        <w:rPr>
          <w:rFonts w:hint="eastAsia" w:ascii="仿宋" w:hAnsi="仿宋" w:eastAsia="仿宋" w:cs="仿宋"/>
          <w:highlight w:val="none"/>
        </w:rPr>
        <w:t>标</w:t>
      </w:r>
    </w:p>
    <w:p w14:paraId="38254B0C">
      <w:pPr>
        <w:pStyle w:val="28"/>
        <w:tabs>
          <w:tab w:val="left" w:pos="1660"/>
        </w:tabs>
        <w:spacing w:before="0"/>
        <w:ind w:left="0" w:firstLine="0"/>
        <w:rPr>
          <w:rFonts w:hint="eastAsia" w:ascii="仿宋" w:hAnsi="仿宋" w:eastAsia="仿宋" w:cs="仿宋"/>
          <w:highlight w:val="none"/>
        </w:rPr>
      </w:pPr>
      <w:r>
        <w:rPr>
          <w:rFonts w:hint="eastAsia" w:ascii="仿宋" w:hAnsi="仿宋" w:eastAsia="仿宋" w:cs="仿宋"/>
          <w:b/>
          <w:sz w:val="24"/>
          <w:highlight w:val="none"/>
          <w:lang w:val="en-US"/>
        </w:rPr>
        <w:t xml:space="preserve">28. </w:t>
      </w:r>
      <w:r>
        <w:rPr>
          <w:rFonts w:hint="eastAsia" w:ascii="仿宋" w:hAnsi="仿宋" w:eastAsia="仿宋" w:cs="仿宋"/>
          <w:highlight w:val="none"/>
        </w:rPr>
        <w:t>定标标准</w:t>
      </w:r>
    </w:p>
    <w:p w14:paraId="57E3FC55">
      <w:pPr>
        <w:pStyle w:val="28"/>
        <w:tabs>
          <w:tab w:val="left" w:pos="1718"/>
        </w:tabs>
        <w:spacing w:before="160" w:line="364" w:lineRule="auto"/>
        <w:ind w:left="0" w:firstLine="440" w:firstLineChars="200"/>
        <w:jc w:val="both"/>
        <w:rPr>
          <w:rFonts w:hint="eastAsia" w:ascii="仿宋" w:hAnsi="仿宋" w:eastAsia="仿宋" w:cs="仿宋"/>
          <w:sz w:val="24"/>
          <w:highlight w:val="none"/>
        </w:rPr>
      </w:pPr>
      <w:r>
        <w:rPr>
          <w:rFonts w:hint="eastAsia" w:ascii="仿宋" w:hAnsi="仿宋" w:eastAsia="仿宋" w:cs="仿宋"/>
          <w:highlight w:val="none"/>
        </w:rPr>
        <w:t>2</w:t>
      </w:r>
      <w:r>
        <w:rPr>
          <w:rFonts w:hint="eastAsia" w:ascii="仿宋" w:hAnsi="仿宋" w:eastAsia="仿宋" w:cs="仿宋"/>
          <w:highlight w:val="none"/>
          <w:lang w:val="en-US"/>
        </w:rPr>
        <w:t>8</w:t>
      </w:r>
      <w:r>
        <w:rPr>
          <w:rFonts w:hint="eastAsia" w:ascii="仿宋" w:hAnsi="仿宋" w:eastAsia="仿宋" w:cs="仿宋"/>
          <w:highlight w:val="none"/>
        </w:rPr>
        <w:t>.</w:t>
      </w:r>
      <w:r>
        <w:rPr>
          <w:rFonts w:hint="eastAsia" w:ascii="仿宋" w:hAnsi="仿宋" w:eastAsia="仿宋" w:cs="仿宋"/>
          <w:highlight w:val="none"/>
          <w:lang w:val="en-US"/>
        </w:rPr>
        <w:t xml:space="preserve">1 </w:t>
      </w:r>
      <w:r>
        <w:rPr>
          <w:rFonts w:hint="eastAsia" w:ascii="仿宋" w:hAnsi="仿宋" w:eastAsia="仿宋" w:cs="仿宋"/>
          <w:sz w:val="24"/>
          <w:highlight w:val="none"/>
        </w:rPr>
        <w:t>采购人应在评标结束后2个工作日内，以书面形式向采购人发出《中标人确认函》，采购人在收到后5个工作日内，应按照评标报告确定的中标候选人名单中的顺序确认中标人。</w:t>
      </w:r>
    </w:p>
    <w:p w14:paraId="053AF74E">
      <w:pPr>
        <w:pStyle w:val="28"/>
        <w:tabs>
          <w:tab w:val="left" w:pos="1720"/>
        </w:tabs>
        <w:spacing w:before="2" w:line="364" w:lineRule="auto"/>
        <w:ind w:left="0" w:firstLine="440" w:firstLineChars="200"/>
        <w:jc w:val="both"/>
        <w:rPr>
          <w:rFonts w:hint="eastAsia" w:ascii="仿宋" w:hAnsi="仿宋" w:eastAsia="仿宋" w:cs="仿宋"/>
          <w:sz w:val="24"/>
          <w:highlight w:val="none"/>
        </w:rPr>
      </w:pPr>
      <w:r>
        <w:rPr>
          <w:rFonts w:hint="eastAsia" w:ascii="仿宋" w:hAnsi="仿宋" w:eastAsia="仿宋" w:cs="仿宋"/>
          <w:highlight w:val="none"/>
        </w:rPr>
        <w:t>2</w:t>
      </w:r>
      <w:r>
        <w:rPr>
          <w:rFonts w:hint="eastAsia" w:ascii="仿宋" w:hAnsi="仿宋" w:eastAsia="仿宋" w:cs="仿宋"/>
          <w:highlight w:val="none"/>
          <w:lang w:val="en-US"/>
        </w:rPr>
        <w:t>8</w:t>
      </w:r>
      <w:r>
        <w:rPr>
          <w:rFonts w:hint="eastAsia" w:ascii="仿宋" w:hAnsi="仿宋" w:eastAsia="仿宋" w:cs="仿宋"/>
          <w:highlight w:val="none"/>
        </w:rPr>
        <w:t>.</w:t>
      </w:r>
      <w:r>
        <w:rPr>
          <w:rFonts w:hint="eastAsia" w:ascii="仿宋" w:hAnsi="仿宋" w:eastAsia="仿宋" w:cs="仿宋"/>
          <w:highlight w:val="none"/>
          <w:lang w:val="en-US"/>
        </w:rPr>
        <w:t xml:space="preserve">2 </w:t>
      </w:r>
      <w:r>
        <w:rPr>
          <w:rFonts w:hint="eastAsia" w:ascii="仿宋" w:hAnsi="仿宋" w:eastAsia="仿宋" w:cs="仿宋"/>
          <w:sz w:val="24"/>
          <w:highlight w:val="none"/>
        </w:rPr>
        <w:t>中标人因不可抗力或者自身原因不能履行合同的，采购人可以与排位在中标人之后第一位的中标候选人签订合同，以此类推。</w:t>
      </w:r>
    </w:p>
    <w:p w14:paraId="67DC0590">
      <w:pPr>
        <w:pStyle w:val="28"/>
        <w:tabs>
          <w:tab w:val="left" w:pos="1958"/>
        </w:tabs>
        <w:ind w:left="0" w:firstLine="0"/>
        <w:jc w:val="both"/>
        <w:rPr>
          <w:rFonts w:hint="eastAsia" w:ascii="仿宋" w:hAnsi="仿宋" w:eastAsia="仿宋" w:cs="仿宋"/>
          <w:sz w:val="24"/>
          <w:highlight w:val="none"/>
        </w:rPr>
      </w:pPr>
      <w:r>
        <w:rPr>
          <w:rFonts w:hint="eastAsia" w:ascii="仿宋" w:hAnsi="仿宋" w:eastAsia="仿宋" w:cs="仿宋"/>
          <w:highlight w:val="none"/>
        </w:rPr>
        <w:t>2</w:t>
      </w:r>
      <w:r>
        <w:rPr>
          <w:rFonts w:hint="eastAsia" w:ascii="仿宋" w:hAnsi="仿宋" w:eastAsia="仿宋" w:cs="仿宋"/>
          <w:highlight w:val="none"/>
          <w:lang w:val="en-US"/>
        </w:rPr>
        <w:t>8</w:t>
      </w:r>
      <w:r>
        <w:rPr>
          <w:rFonts w:hint="eastAsia" w:ascii="仿宋" w:hAnsi="仿宋" w:eastAsia="仿宋" w:cs="仿宋"/>
          <w:highlight w:val="none"/>
        </w:rPr>
        <w:t>.</w:t>
      </w:r>
      <w:r>
        <w:rPr>
          <w:rFonts w:hint="eastAsia" w:ascii="仿宋" w:hAnsi="仿宋" w:eastAsia="仿宋" w:cs="仿宋"/>
          <w:highlight w:val="none"/>
          <w:lang w:val="en-US"/>
        </w:rPr>
        <w:t xml:space="preserve">3 </w:t>
      </w:r>
      <w:r>
        <w:rPr>
          <w:rFonts w:hint="eastAsia" w:ascii="仿宋" w:hAnsi="仿宋" w:eastAsia="仿宋" w:cs="仿宋"/>
          <w:sz w:val="24"/>
          <w:highlight w:val="none"/>
        </w:rPr>
        <w:t>最低投标价不一定是被授予合同的保证。</w:t>
      </w:r>
    </w:p>
    <w:p w14:paraId="4D223857">
      <w:pPr>
        <w:pStyle w:val="28"/>
        <w:tabs>
          <w:tab w:val="left" w:pos="1960"/>
        </w:tabs>
        <w:spacing w:before="161" w:line="364" w:lineRule="auto"/>
        <w:ind w:left="0" w:firstLine="440" w:firstLineChars="200"/>
        <w:jc w:val="both"/>
        <w:rPr>
          <w:rFonts w:hint="eastAsia" w:ascii="仿宋" w:hAnsi="仿宋" w:eastAsia="仿宋" w:cs="仿宋"/>
          <w:sz w:val="24"/>
          <w:highlight w:val="none"/>
        </w:rPr>
      </w:pPr>
      <w:r>
        <w:rPr>
          <w:rFonts w:hint="eastAsia" w:ascii="仿宋" w:hAnsi="仿宋" w:eastAsia="仿宋" w:cs="仿宋"/>
          <w:highlight w:val="none"/>
        </w:rPr>
        <w:t>2</w:t>
      </w:r>
      <w:r>
        <w:rPr>
          <w:rFonts w:hint="eastAsia" w:ascii="仿宋" w:hAnsi="仿宋" w:eastAsia="仿宋" w:cs="仿宋"/>
          <w:highlight w:val="none"/>
          <w:lang w:val="en-US"/>
        </w:rPr>
        <w:t>8</w:t>
      </w:r>
      <w:r>
        <w:rPr>
          <w:rFonts w:hint="eastAsia" w:ascii="仿宋" w:hAnsi="仿宋" w:eastAsia="仿宋" w:cs="仿宋"/>
          <w:highlight w:val="none"/>
        </w:rPr>
        <w:t>.</w:t>
      </w:r>
      <w:r>
        <w:rPr>
          <w:rFonts w:hint="eastAsia" w:ascii="仿宋" w:hAnsi="仿宋" w:eastAsia="仿宋" w:cs="仿宋"/>
          <w:highlight w:val="none"/>
          <w:lang w:val="en-US"/>
        </w:rPr>
        <w:t xml:space="preserve">4 </w:t>
      </w:r>
      <w:r>
        <w:rPr>
          <w:rFonts w:hint="eastAsia" w:ascii="仿宋" w:hAnsi="仿宋" w:eastAsia="仿宋" w:cs="仿宋"/>
          <w:sz w:val="24"/>
          <w:highlight w:val="none"/>
        </w:rPr>
        <w:t>合同将授予被确定为实质上响应采购文件要求，经评定认为具备履行合同义务能力、报价合理、技术和商务条件都符合采购文件要求的、对买方最为有利的投标人。</w:t>
      </w:r>
    </w:p>
    <w:p w14:paraId="4F9B0238">
      <w:pPr>
        <w:pStyle w:val="28"/>
        <w:tabs>
          <w:tab w:val="left" w:pos="1960"/>
        </w:tabs>
        <w:spacing w:before="2" w:line="364" w:lineRule="auto"/>
        <w:ind w:left="0" w:firstLine="440" w:firstLineChars="200"/>
        <w:jc w:val="both"/>
        <w:rPr>
          <w:rFonts w:hint="eastAsia" w:ascii="仿宋" w:hAnsi="仿宋" w:eastAsia="仿宋" w:cs="仿宋"/>
          <w:sz w:val="24"/>
          <w:highlight w:val="none"/>
        </w:rPr>
      </w:pPr>
      <w:r>
        <w:rPr>
          <w:rFonts w:hint="eastAsia" w:ascii="仿宋" w:hAnsi="仿宋" w:eastAsia="仿宋" w:cs="仿宋"/>
          <w:highlight w:val="none"/>
        </w:rPr>
        <w:t>2</w:t>
      </w:r>
      <w:r>
        <w:rPr>
          <w:rFonts w:hint="eastAsia" w:ascii="仿宋" w:hAnsi="仿宋" w:eastAsia="仿宋" w:cs="仿宋"/>
          <w:highlight w:val="none"/>
          <w:lang w:val="en-US"/>
        </w:rPr>
        <w:t>8</w:t>
      </w:r>
      <w:r>
        <w:rPr>
          <w:rFonts w:hint="eastAsia" w:ascii="仿宋" w:hAnsi="仿宋" w:eastAsia="仿宋" w:cs="仿宋"/>
          <w:highlight w:val="none"/>
        </w:rPr>
        <w:t>.</w:t>
      </w:r>
      <w:r>
        <w:rPr>
          <w:rFonts w:hint="eastAsia" w:ascii="仿宋" w:hAnsi="仿宋" w:eastAsia="仿宋" w:cs="仿宋"/>
          <w:highlight w:val="none"/>
          <w:lang w:val="en-US"/>
        </w:rPr>
        <w:t xml:space="preserve">5 </w:t>
      </w:r>
      <w:r>
        <w:rPr>
          <w:rFonts w:hint="eastAsia" w:ascii="仿宋" w:hAnsi="仿宋" w:eastAsia="仿宋" w:cs="仿宋"/>
          <w:sz w:val="24"/>
          <w:highlight w:val="none"/>
        </w:rPr>
        <w:t>如果采购人确定该中标人无条件圆满履行合同，应由采购人将对下一个可能成交的投标人资格做出类似的审查。</w:t>
      </w:r>
    </w:p>
    <w:p w14:paraId="14F6FE9E">
      <w:pPr>
        <w:pStyle w:val="28"/>
        <w:tabs>
          <w:tab w:val="left" w:pos="1660"/>
        </w:tabs>
        <w:spacing w:before="0"/>
        <w:ind w:left="0" w:firstLine="0"/>
        <w:rPr>
          <w:rFonts w:hint="eastAsia" w:ascii="仿宋" w:hAnsi="仿宋" w:eastAsia="仿宋" w:cs="仿宋"/>
          <w:highlight w:val="none"/>
        </w:rPr>
      </w:pPr>
      <w:r>
        <w:rPr>
          <w:rFonts w:hint="eastAsia" w:ascii="仿宋" w:hAnsi="仿宋" w:eastAsia="仿宋" w:cs="仿宋"/>
          <w:b/>
          <w:sz w:val="24"/>
          <w:highlight w:val="none"/>
          <w:lang w:val="en-US"/>
        </w:rPr>
        <w:t>29</w:t>
      </w:r>
      <w:r>
        <w:rPr>
          <w:rFonts w:hint="eastAsia" w:ascii="仿宋" w:hAnsi="仿宋" w:eastAsia="仿宋" w:cs="仿宋"/>
          <w:highlight w:val="none"/>
          <w:lang w:val="en-US"/>
        </w:rPr>
        <w:t xml:space="preserve">. </w:t>
      </w:r>
      <w:r>
        <w:rPr>
          <w:rFonts w:hint="eastAsia" w:ascii="仿宋" w:hAnsi="仿宋" w:eastAsia="仿宋" w:cs="仿宋"/>
          <w:highlight w:val="none"/>
        </w:rPr>
        <w:t>接受和拒绝任何或所有投标的权力</w:t>
      </w:r>
    </w:p>
    <w:p w14:paraId="221629C7">
      <w:pPr>
        <w:pStyle w:val="28"/>
        <w:tabs>
          <w:tab w:val="left" w:pos="1713"/>
        </w:tabs>
        <w:spacing w:before="160" w:line="364" w:lineRule="auto"/>
        <w:ind w:left="0" w:firstLine="440" w:firstLineChars="200"/>
        <w:rPr>
          <w:rFonts w:hint="eastAsia" w:ascii="仿宋" w:hAnsi="仿宋" w:eastAsia="仿宋" w:cs="仿宋"/>
          <w:sz w:val="24"/>
          <w:highlight w:val="none"/>
        </w:rPr>
      </w:pPr>
      <w:r>
        <w:rPr>
          <w:rFonts w:hint="eastAsia" w:ascii="仿宋" w:hAnsi="仿宋" w:eastAsia="仿宋" w:cs="仿宋"/>
          <w:highlight w:val="none"/>
        </w:rPr>
        <w:t>2</w:t>
      </w:r>
      <w:r>
        <w:rPr>
          <w:rFonts w:hint="eastAsia" w:ascii="仿宋" w:hAnsi="仿宋" w:eastAsia="仿宋" w:cs="仿宋"/>
          <w:highlight w:val="none"/>
          <w:lang w:val="en-US"/>
        </w:rPr>
        <w:t>9</w:t>
      </w:r>
      <w:r>
        <w:rPr>
          <w:rFonts w:hint="eastAsia" w:ascii="仿宋" w:hAnsi="仿宋" w:eastAsia="仿宋" w:cs="仿宋"/>
          <w:highlight w:val="none"/>
        </w:rPr>
        <w:t>.</w:t>
      </w:r>
      <w:r>
        <w:rPr>
          <w:rFonts w:hint="eastAsia" w:ascii="仿宋" w:hAnsi="仿宋" w:eastAsia="仿宋" w:cs="仿宋"/>
          <w:highlight w:val="none"/>
          <w:lang w:val="en-US"/>
        </w:rPr>
        <w:t xml:space="preserve">1 </w:t>
      </w:r>
      <w:r>
        <w:rPr>
          <w:rFonts w:hint="eastAsia" w:ascii="仿宋" w:hAnsi="仿宋" w:eastAsia="仿宋" w:cs="仿宋"/>
          <w:sz w:val="24"/>
          <w:highlight w:val="none"/>
        </w:rPr>
        <w:t>为维护国家利益，评标委员会在授予合同之前仍有选择或拒绝任何投标的权力。</w:t>
      </w:r>
    </w:p>
    <w:p w14:paraId="4AE73FA2">
      <w:pPr>
        <w:pStyle w:val="28"/>
        <w:tabs>
          <w:tab w:val="left" w:pos="1660"/>
        </w:tabs>
        <w:spacing w:before="0"/>
        <w:ind w:left="0" w:firstLine="0"/>
        <w:rPr>
          <w:rFonts w:hint="eastAsia" w:ascii="仿宋" w:hAnsi="仿宋" w:eastAsia="仿宋" w:cs="仿宋"/>
          <w:highlight w:val="none"/>
        </w:rPr>
      </w:pPr>
      <w:r>
        <w:rPr>
          <w:rFonts w:hint="eastAsia" w:ascii="仿宋" w:hAnsi="仿宋" w:eastAsia="仿宋" w:cs="仿宋"/>
          <w:highlight w:val="none"/>
          <w:lang w:val="en-US"/>
        </w:rPr>
        <w:t>30</w:t>
      </w:r>
      <w:r>
        <w:rPr>
          <w:rFonts w:hint="eastAsia" w:ascii="仿宋" w:hAnsi="仿宋" w:eastAsia="仿宋" w:cs="仿宋"/>
          <w:highlight w:val="none"/>
        </w:rPr>
        <w:t>.</w:t>
      </w:r>
      <w:r>
        <w:rPr>
          <w:rFonts w:hint="eastAsia" w:ascii="仿宋" w:hAnsi="仿宋" w:eastAsia="仿宋" w:cs="仿宋"/>
          <w:highlight w:val="none"/>
          <w:lang w:val="en-US"/>
        </w:rPr>
        <w:t xml:space="preserve"> </w:t>
      </w:r>
      <w:r>
        <w:rPr>
          <w:rFonts w:hint="eastAsia" w:ascii="仿宋" w:hAnsi="仿宋" w:eastAsia="仿宋" w:cs="仿宋"/>
          <w:highlight w:val="none"/>
        </w:rPr>
        <w:t>中标通知书</w:t>
      </w:r>
    </w:p>
    <w:p w14:paraId="19E9ACA2">
      <w:pPr>
        <w:pStyle w:val="28"/>
        <w:tabs>
          <w:tab w:val="left" w:pos="1713"/>
        </w:tabs>
        <w:spacing w:before="160" w:line="364" w:lineRule="auto"/>
        <w:ind w:left="0" w:firstLine="440" w:firstLineChars="200"/>
        <w:jc w:val="both"/>
        <w:rPr>
          <w:rFonts w:hint="eastAsia" w:ascii="仿宋" w:hAnsi="仿宋" w:eastAsia="仿宋" w:cs="仿宋"/>
          <w:sz w:val="24"/>
          <w:highlight w:val="none"/>
        </w:rPr>
      </w:pPr>
      <w:r>
        <w:rPr>
          <w:rFonts w:hint="eastAsia" w:ascii="仿宋" w:hAnsi="仿宋" w:eastAsia="仿宋" w:cs="仿宋"/>
          <w:highlight w:val="none"/>
          <w:lang w:val="en-US"/>
        </w:rPr>
        <w:t>30</w:t>
      </w:r>
      <w:r>
        <w:rPr>
          <w:rFonts w:hint="eastAsia" w:ascii="仿宋" w:hAnsi="仿宋" w:eastAsia="仿宋" w:cs="仿宋"/>
          <w:highlight w:val="none"/>
        </w:rPr>
        <w:t>.</w:t>
      </w:r>
      <w:r>
        <w:rPr>
          <w:rFonts w:hint="eastAsia" w:ascii="仿宋" w:hAnsi="仿宋" w:eastAsia="仿宋" w:cs="仿宋"/>
          <w:highlight w:val="none"/>
          <w:lang w:val="en-US"/>
        </w:rPr>
        <w:t xml:space="preserve">1 </w:t>
      </w:r>
      <w:r>
        <w:rPr>
          <w:rFonts w:hint="eastAsia" w:ascii="仿宋" w:hAnsi="仿宋" w:eastAsia="仿宋" w:cs="仿宋"/>
          <w:sz w:val="24"/>
          <w:highlight w:val="none"/>
        </w:rPr>
        <w:t>中标人确定后，采购人应当将中标结果在省级以上财政部门指定的信息发布媒体上公告1个工作日，在公告中标结果的同时，采购人向中标人发出《中标通知书》 。</w:t>
      </w:r>
    </w:p>
    <w:p w14:paraId="4D39E1FB">
      <w:pPr>
        <w:pStyle w:val="28"/>
        <w:tabs>
          <w:tab w:val="left" w:pos="1960"/>
        </w:tabs>
        <w:spacing w:before="2" w:line="364" w:lineRule="auto"/>
        <w:ind w:left="0" w:firstLine="440" w:firstLineChars="200"/>
        <w:jc w:val="both"/>
        <w:rPr>
          <w:rFonts w:hint="eastAsia" w:ascii="仿宋" w:hAnsi="仿宋" w:eastAsia="仿宋" w:cs="仿宋"/>
          <w:sz w:val="24"/>
          <w:highlight w:val="none"/>
        </w:rPr>
      </w:pPr>
      <w:r>
        <w:rPr>
          <w:rFonts w:hint="eastAsia" w:ascii="仿宋" w:hAnsi="仿宋" w:eastAsia="仿宋" w:cs="仿宋"/>
          <w:highlight w:val="none"/>
          <w:lang w:val="en-US"/>
        </w:rPr>
        <w:t>30</w:t>
      </w:r>
      <w:r>
        <w:rPr>
          <w:rFonts w:hint="eastAsia" w:ascii="仿宋" w:hAnsi="仿宋" w:eastAsia="仿宋" w:cs="仿宋"/>
          <w:highlight w:val="none"/>
        </w:rPr>
        <w:t>.</w:t>
      </w:r>
      <w:r>
        <w:rPr>
          <w:rFonts w:hint="eastAsia" w:ascii="仿宋" w:hAnsi="仿宋" w:eastAsia="仿宋" w:cs="仿宋"/>
          <w:highlight w:val="none"/>
          <w:lang w:val="en-US"/>
        </w:rPr>
        <w:t xml:space="preserve">1.1 </w:t>
      </w:r>
      <w:r>
        <w:rPr>
          <w:rFonts w:hint="eastAsia" w:ascii="仿宋" w:hAnsi="仿宋" w:eastAsia="仿宋" w:cs="仿宋"/>
          <w:sz w:val="24"/>
          <w:highlight w:val="none"/>
        </w:rPr>
        <w:t>投标人对中标公告有异议的，应当在中标公告发布之日起七个工作日内，以书面形式向采购人提出质疑。采购人应当在收到投标人书面质疑后七个工作日内，对质疑内容作出答复。质疑供应商对答复不满意或者采购人未在规定时间内答复的，可以在答复期满后十五个工作日内按有关规定，向同级人民政府财政部门投诉。</w:t>
      </w:r>
    </w:p>
    <w:p w14:paraId="65897C5A">
      <w:pPr>
        <w:pStyle w:val="28"/>
        <w:tabs>
          <w:tab w:val="left" w:pos="1948"/>
        </w:tabs>
        <w:spacing w:before="3" w:line="364" w:lineRule="auto"/>
        <w:ind w:left="0" w:firstLine="440" w:firstLineChars="200"/>
        <w:jc w:val="both"/>
        <w:rPr>
          <w:rFonts w:hint="eastAsia" w:ascii="仿宋" w:hAnsi="仿宋" w:eastAsia="仿宋" w:cs="仿宋"/>
          <w:sz w:val="24"/>
          <w:highlight w:val="none"/>
        </w:rPr>
      </w:pPr>
      <w:r>
        <w:rPr>
          <w:rFonts w:hint="eastAsia" w:ascii="仿宋" w:hAnsi="仿宋" w:eastAsia="仿宋" w:cs="仿宋"/>
          <w:highlight w:val="none"/>
          <w:lang w:val="en-US"/>
        </w:rPr>
        <w:t>30</w:t>
      </w:r>
      <w:r>
        <w:rPr>
          <w:rFonts w:hint="eastAsia" w:ascii="仿宋" w:hAnsi="仿宋" w:eastAsia="仿宋" w:cs="仿宋"/>
          <w:highlight w:val="none"/>
        </w:rPr>
        <w:t>.</w:t>
      </w:r>
      <w:r>
        <w:rPr>
          <w:rFonts w:hint="eastAsia" w:ascii="仿宋" w:hAnsi="仿宋" w:eastAsia="仿宋" w:cs="仿宋"/>
          <w:highlight w:val="none"/>
          <w:lang w:val="en-US"/>
        </w:rPr>
        <w:t xml:space="preserve">1.2 </w:t>
      </w:r>
      <w:r>
        <w:rPr>
          <w:rFonts w:hint="eastAsia" w:ascii="仿宋" w:hAnsi="仿宋" w:eastAsia="仿宋" w:cs="仿宋"/>
          <w:sz w:val="24"/>
          <w:highlight w:val="none"/>
        </w:rPr>
        <w:t>采购人在收到《中标人确认函》5个工作日内，如不按规定确认中标人，应在规定的5个工作日期限内，以书面方式回函提出异议，经过财政监管部门同意后，由采购人直接向中标首选供应商发出《中标通知书》。如逾期既不确认也不回函提出异议的，则视同采购人认可评标委员会推荐的中标首选结</w:t>
      </w:r>
      <w:r>
        <w:rPr>
          <w:rFonts w:hint="eastAsia" w:ascii="仿宋" w:hAnsi="仿宋" w:eastAsia="仿宋" w:cs="仿宋"/>
          <w:highlight w:val="none"/>
        </w:rPr>
        <w:t>果，</w:t>
      </w:r>
      <w:r>
        <w:rPr>
          <w:rFonts w:hint="eastAsia" w:ascii="仿宋" w:hAnsi="仿宋" w:eastAsia="仿宋" w:cs="仿宋"/>
          <w:sz w:val="24"/>
          <w:highlight w:val="none"/>
        </w:rPr>
        <w:t>由采购人直接向拟中标首选供应商发出《中标通知书》。一经发出即发生法律效力。</w:t>
      </w:r>
    </w:p>
    <w:p w14:paraId="25BCCF33">
      <w:pPr>
        <w:pStyle w:val="28"/>
        <w:tabs>
          <w:tab w:val="left" w:pos="1958"/>
        </w:tabs>
        <w:spacing w:line="364" w:lineRule="auto"/>
        <w:ind w:left="0" w:firstLine="440" w:firstLineChars="200"/>
        <w:rPr>
          <w:rFonts w:hint="eastAsia" w:ascii="仿宋" w:hAnsi="仿宋" w:eastAsia="仿宋" w:cs="仿宋"/>
          <w:sz w:val="24"/>
          <w:highlight w:val="none"/>
        </w:rPr>
      </w:pPr>
      <w:r>
        <w:rPr>
          <w:rFonts w:hint="eastAsia" w:ascii="仿宋" w:hAnsi="仿宋" w:eastAsia="仿宋" w:cs="仿宋"/>
          <w:highlight w:val="none"/>
          <w:lang w:val="en-US"/>
        </w:rPr>
        <w:t>30</w:t>
      </w:r>
      <w:r>
        <w:rPr>
          <w:rFonts w:hint="eastAsia" w:ascii="仿宋" w:hAnsi="仿宋" w:eastAsia="仿宋" w:cs="仿宋"/>
          <w:highlight w:val="none"/>
        </w:rPr>
        <w:t>.</w:t>
      </w:r>
      <w:r>
        <w:rPr>
          <w:rFonts w:hint="eastAsia" w:ascii="仿宋" w:hAnsi="仿宋" w:eastAsia="仿宋" w:cs="仿宋"/>
          <w:highlight w:val="none"/>
          <w:lang w:val="en-US"/>
        </w:rPr>
        <w:t xml:space="preserve">1.3 </w:t>
      </w:r>
      <w:r>
        <w:rPr>
          <w:rFonts w:hint="eastAsia" w:ascii="仿宋" w:hAnsi="仿宋" w:eastAsia="仿宋" w:cs="仿宋"/>
          <w:sz w:val="24"/>
          <w:highlight w:val="none"/>
        </w:rPr>
        <w:t>中标人领取《中标通知书》</w:t>
      </w:r>
      <w:r>
        <w:rPr>
          <w:rFonts w:hint="eastAsia" w:ascii="仿宋" w:hAnsi="仿宋" w:eastAsia="仿宋" w:cs="仿宋"/>
          <w:sz w:val="24"/>
          <w:highlight w:val="none"/>
          <w:lang w:val="en-US"/>
        </w:rPr>
        <w:t>后</w:t>
      </w:r>
      <w:r>
        <w:rPr>
          <w:rFonts w:hint="eastAsia" w:ascii="仿宋" w:hAnsi="仿宋" w:eastAsia="仿宋" w:cs="仿宋"/>
          <w:sz w:val="24"/>
          <w:highlight w:val="none"/>
        </w:rPr>
        <w:t>，须向采购人提交合同履约保证金，拒绝提交的，视为放弃成交项目。</w:t>
      </w:r>
    </w:p>
    <w:p w14:paraId="01F9FDAD">
      <w:pPr>
        <w:pStyle w:val="28"/>
        <w:tabs>
          <w:tab w:val="left" w:pos="2200"/>
        </w:tabs>
        <w:spacing w:line="364" w:lineRule="auto"/>
        <w:ind w:left="0" w:firstLine="440" w:firstLineChars="200"/>
        <w:rPr>
          <w:rFonts w:hint="eastAsia" w:ascii="仿宋" w:hAnsi="仿宋" w:eastAsia="仿宋" w:cs="仿宋"/>
          <w:sz w:val="24"/>
          <w:highlight w:val="none"/>
        </w:rPr>
      </w:pPr>
      <w:r>
        <w:rPr>
          <w:rFonts w:hint="eastAsia" w:ascii="仿宋" w:hAnsi="仿宋" w:eastAsia="仿宋" w:cs="仿宋"/>
          <w:highlight w:val="none"/>
          <w:lang w:val="en-US"/>
        </w:rPr>
        <w:t>30</w:t>
      </w:r>
      <w:r>
        <w:rPr>
          <w:rFonts w:hint="eastAsia" w:ascii="仿宋" w:hAnsi="仿宋" w:eastAsia="仿宋" w:cs="仿宋"/>
          <w:highlight w:val="none"/>
        </w:rPr>
        <w:t>.</w:t>
      </w:r>
      <w:r>
        <w:rPr>
          <w:rFonts w:hint="eastAsia" w:ascii="仿宋" w:hAnsi="仿宋" w:eastAsia="仿宋" w:cs="仿宋"/>
          <w:highlight w:val="none"/>
          <w:lang w:val="en-US"/>
        </w:rPr>
        <w:t xml:space="preserve">1.3.1 </w:t>
      </w:r>
      <w:r>
        <w:rPr>
          <w:rFonts w:hint="eastAsia" w:ascii="仿宋" w:hAnsi="仿宋" w:eastAsia="仿宋" w:cs="仿宋"/>
          <w:sz w:val="24"/>
          <w:highlight w:val="none"/>
        </w:rPr>
        <w:t>合同履约保证金与投标保证金同等额。待合同执行期满、货物验收合格及办理货款结算时，由采购人无息退还。</w:t>
      </w:r>
    </w:p>
    <w:p w14:paraId="388055BB">
      <w:pPr>
        <w:pStyle w:val="28"/>
        <w:tabs>
          <w:tab w:val="left" w:pos="2200"/>
        </w:tabs>
        <w:spacing w:line="364" w:lineRule="auto"/>
        <w:ind w:left="0" w:firstLine="440" w:firstLineChars="200"/>
        <w:rPr>
          <w:rFonts w:hint="eastAsia" w:ascii="仿宋" w:hAnsi="仿宋" w:eastAsia="仿宋" w:cs="仿宋"/>
          <w:sz w:val="24"/>
          <w:highlight w:val="none"/>
        </w:rPr>
      </w:pPr>
      <w:r>
        <w:rPr>
          <w:rFonts w:hint="eastAsia" w:ascii="仿宋" w:hAnsi="仿宋" w:eastAsia="仿宋" w:cs="仿宋"/>
          <w:highlight w:val="none"/>
          <w:lang w:val="en-US"/>
        </w:rPr>
        <w:t>30</w:t>
      </w:r>
      <w:r>
        <w:rPr>
          <w:rFonts w:hint="eastAsia" w:ascii="仿宋" w:hAnsi="仿宋" w:eastAsia="仿宋" w:cs="仿宋"/>
          <w:highlight w:val="none"/>
        </w:rPr>
        <w:t>.</w:t>
      </w:r>
      <w:r>
        <w:rPr>
          <w:rFonts w:hint="eastAsia" w:ascii="仿宋" w:hAnsi="仿宋" w:eastAsia="仿宋" w:cs="仿宋"/>
          <w:highlight w:val="none"/>
          <w:lang w:val="en-US"/>
        </w:rPr>
        <w:t xml:space="preserve">1.3.2 </w:t>
      </w:r>
      <w:r>
        <w:rPr>
          <w:rFonts w:hint="eastAsia" w:ascii="仿宋" w:hAnsi="仿宋" w:eastAsia="仿宋" w:cs="仿宋"/>
          <w:sz w:val="24"/>
          <w:highlight w:val="none"/>
        </w:rPr>
        <w:t>合同履约保证金可采用银行汇票、银行保函等形式交纳，成交供应商须将履约保证金交到采购人指定帐户。指定账户与投标报价保证金同账户。</w:t>
      </w:r>
    </w:p>
    <w:p w14:paraId="6CD7D3F4">
      <w:pPr>
        <w:pStyle w:val="28"/>
        <w:tabs>
          <w:tab w:val="left" w:pos="2200"/>
        </w:tabs>
        <w:spacing w:before="2" w:line="364" w:lineRule="auto"/>
        <w:ind w:left="0" w:firstLine="440" w:firstLineChars="200"/>
        <w:rPr>
          <w:rFonts w:hint="eastAsia" w:ascii="仿宋" w:hAnsi="仿宋" w:eastAsia="仿宋" w:cs="仿宋"/>
          <w:sz w:val="24"/>
          <w:highlight w:val="none"/>
        </w:rPr>
      </w:pPr>
      <w:r>
        <w:rPr>
          <w:rFonts w:hint="eastAsia" w:ascii="仿宋" w:hAnsi="仿宋" w:eastAsia="仿宋" w:cs="仿宋"/>
          <w:highlight w:val="none"/>
          <w:lang w:val="en-US"/>
        </w:rPr>
        <w:t>30</w:t>
      </w:r>
      <w:r>
        <w:rPr>
          <w:rFonts w:hint="eastAsia" w:ascii="仿宋" w:hAnsi="仿宋" w:eastAsia="仿宋" w:cs="仿宋"/>
          <w:highlight w:val="none"/>
        </w:rPr>
        <w:t>.</w:t>
      </w:r>
      <w:r>
        <w:rPr>
          <w:rFonts w:hint="eastAsia" w:ascii="仿宋" w:hAnsi="仿宋" w:eastAsia="仿宋" w:cs="仿宋"/>
          <w:highlight w:val="none"/>
          <w:lang w:val="en-US"/>
        </w:rPr>
        <w:t xml:space="preserve">1.3.3 </w:t>
      </w:r>
      <w:r>
        <w:rPr>
          <w:rFonts w:hint="eastAsia" w:ascii="仿宋" w:hAnsi="仿宋" w:eastAsia="仿宋" w:cs="仿宋"/>
          <w:sz w:val="24"/>
          <w:highlight w:val="none"/>
        </w:rPr>
        <w:t>中标人提交的合同履约保证金，其有效期限应不低于合同有效期。</w:t>
      </w:r>
    </w:p>
    <w:p w14:paraId="067E735A">
      <w:pPr>
        <w:pStyle w:val="28"/>
        <w:tabs>
          <w:tab w:val="left" w:pos="1838"/>
        </w:tabs>
        <w:spacing w:line="364" w:lineRule="auto"/>
        <w:ind w:left="0" w:firstLine="440" w:firstLineChars="200"/>
        <w:jc w:val="both"/>
        <w:rPr>
          <w:rFonts w:hint="eastAsia" w:ascii="仿宋" w:hAnsi="仿宋" w:eastAsia="仿宋" w:cs="仿宋"/>
          <w:sz w:val="24"/>
          <w:highlight w:val="none"/>
        </w:rPr>
      </w:pPr>
      <w:r>
        <w:rPr>
          <w:rFonts w:hint="eastAsia" w:ascii="仿宋" w:hAnsi="仿宋" w:eastAsia="仿宋" w:cs="仿宋"/>
          <w:highlight w:val="none"/>
          <w:lang w:val="en-US"/>
        </w:rPr>
        <w:t>30</w:t>
      </w:r>
      <w:r>
        <w:rPr>
          <w:rFonts w:hint="eastAsia" w:ascii="仿宋" w:hAnsi="仿宋" w:eastAsia="仿宋" w:cs="仿宋"/>
          <w:highlight w:val="none"/>
        </w:rPr>
        <w:t>.</w:t>
      </w:r>
      <w:r>
        <w:rPr>
          <w:rFonts w:hint="eastAsia" w:ascii="仿宋" w:hAnsi="仿宋" w:eastAsia="仿宋" w:cs="仿宋"/>
          <w:highlight w:val="none"/>
          <w:lang w:val="en-US"/>
        </w:rPr>
        <w:t xml:space="preserve">2 </w:t>
      </w:r>
      <w:r>
        <w:rPr>
          <w:rFonts w:hint="eastAsia" w:ascii="仿宋" w:hAnsi="仿宋" w:eastAsia="仿宋" w:cs="仿宋"/>
          <w:sz w:val="24"/>
          <w:highlight w:val="none"/>
        </w:rPr>
        <w:t>在发布中标公告后，招标采购人应当向中标人发出中标通知书， 中标通知书对采购人和中标人具有同等法律效力。《中标通知书》发出后，采购人改变中标结果，或者中标人放弃成交，应当承担相应的法律责任。</w:t>
      </w:r>
    </w:p>
    <w:p w14:paraId="1094F56E">
      <w:pPr>
        <w:pStyle w:val="28"/>
        <w:tabs>
          <w:tab w:val="left" w:pos="1720"/>
        </w:tabs>
        <w:spacing w:before="2" w:line="364" w:lineRule="auto"/>
        <w:ind w:left="0" w:firstLine="440" w:firstLineChars="200"/>
        <w:jc w:val="both"/>
        <w:rPr>
          <w:rFonts w:hint="eastAsia" w:ascii="仿宋" w:hAnsi="仿宋" w:eastAsia="仿宋" w:cs="仿宋"/>
          <w:sz w:val="24"/>
          <w:highlight w:val="none"/>
        </w:rPr>
      </w:pPr>
      <w:r>
        <w:rPr>
          <w:rFonts w:hint="eastAsia" w:ascii="仿宋" w:hAnsi="仿宋" w:eastAsia="仿宋" w:cs="仿宋"/>
          <w:highlight w:val="none"/>
          <w:lang w:val="en-US"/>
        </w:rPr>
        <w:t>30</w:t>
      </w:r>
      <w:r>
        <w:rPr>
          <w:rFonts w:hint="eastAsia" w:ascii="仿宋" w:hAnsi="仿宋" w:eastAsia="仿宋" w:cs="仿宋"/>
          <w:highlight w:val="none"/>
        </w:rPr>
        <w:t>.</w:t>
      </w:r>
      <w:r>
        <w:rPr>
          <w:rFonts w:hint="eastAsia" w:ascii="仿宋" w:hAnsi="仿宋" w:eastAsia="仿宋" w:cs="仿宋"/>
          <w:highlight w:val="none"/>
          <w:lang w:val="en-US"/>
        </w:rPr>
        <w:t xml:space="preserve">3 </w:t>
      </w:r>
      <w:r>
        <w:rPr>
          <w:rFonts w:hint="eastAsia" w:ascii="仿宋" w:hAnsi="仿宋" w:eastAsia="仿宋" w:cs="仿宋"/>
          <w:sz w:val="24"/>
          <w:highlight w:val="none"/>
        </w:rPr>
        <w:t>《中标通知书》要作为采购人、中标人签订的由采购人监章的合同的依据。</w:t>
      </w:r>
    </w:p>
    <w:p w14:paraId="1D60BB25">
      <w:pPr>
        <w:pStyle w:val="4"/>
        <w:ind w:right="0"/>
        <w:rPr>
          <w:rFonts w:hint="eastAsia" w:ascii="仿宋" w:hAnsi="仿宋" w:eastAsia="仿宋" w:cs="仿宋"/>
          <w:highlight w:val="none"/>
        </w:rPr>
      </w:pPr>
      <w:r>
        <w:rPr>
          <w:rFonts w:hint="eastAsia" w:ascii="仿宋" w:hAnsi="仿宋" w:eastAsia="仿宋" w:cs="仿宋"/>
          <w:highlight w:val="none"/>
        </w:rPr>
        <w:br w:type="page"/>
      </w:r>
      <w:r>
        <w:rPr>
          <w:rFonts w:hint="eastAsia" w:ascii="仿宋" w:hAnsi="仿宋" w:eastAsia="仿宋" w:cs="仿宋"/>
          <w:highlight w:val="none"/>
        </w:rPr>
        <w:t>第四章 授予合同</w:t>
      </w:r>
    </w:p>
    <w:p w14:paraId="35A84CB4">
      <w:pPr>
        <w:pStyle w:val="28"/>
        <w:tabs>
          <w:tab w:val="left" w:pos="1660"/>
        </w:tabs>
        <w:spacing w:before="0"/>
        <w:ind w:left="0" w:firstLine="0"/>
        <w:rPr>
          <w:rFonts w:hint="eastAsia" w:ascii="仿宋" w:hAnsi="仿宋" w:eastAsia="仿宋" w:cs="仿宋"/>
          <w:highlight w:val="none"/>
        </w:rPr>
      </w:pPr>
      <w:r>
        <w:rPr>
          <w:rFonts w:hint="eastAsia" w:ascii="仿宋" w:hAnsi="仿宋" w:eastAsia="仿宋" w:cs="仿宋"/>
          <w:highlight w:val="none"/>
          <w:lang w:val="en-US"/>
        </w:rPr>
        <w:t>31.</w:t>
      </w:r>
      <w:r>
        <w:rPr>
          <w:rFonts w:hint="eastAsia" w:ascii="仿宋" w:hAnsi="仿宋" w:eastAsia="仿宋" w:cs="仿宋"/>
          <w:highlight w:val="none"/>
        </w:rPr>
        <w:t>签订合同</w:t>
      </w:r>
    </w:p>
    <w:p w14:paraId="6461B168">
      <w:pPr>
        <w:pStyle w:val="28"/>
        <w:tabs>
          <w:tab w:val="left" w:pos="1713"/>
        </w:tabs>
        <w:spacing w:before="161" w:line="364" w:lineRule="auto"/>
        <w:ind w:left="0" w:firstLine="440" w:firstLineChars="200"/>
        <w:jc w:val="both"/>
        <w:rPr>
          <w:rFonts w:hint="eastAsia" w:ascii="仿宋" w:hAnsi="仿宋" w:eastAsia="仿宋" w:cs="仿宋"/>
          <w:sz w:val="24"/>
          <w:highlight w:val="none"/>
        </w:rPr>
      </w:pPr>
      <w:r>
        <w:rPr>
          <w:rFonts w:hint="eastAsia" w:ascii="仿宋" w:hAnsi="仿宋" w:eastAsia="仿宋" w:cs="仿宋"/>
          <w:highlight w:val="none"/>
          <w:lang w:val="en-US"/>
        </w:rPr>
        <w:t>31</w:t>
      </w:r>
      <w:r>
        <w:rPr>
          <w:rFonts w:hint="eastAsia" w:ascii="仿宋" w:hAnsi="仿宋" w:eastAsia="仿宋" w:cs="仿宋"/>
          <w:highlight w:val="none"/>
        </w:rPr>
        <w:t>.</w:t>
      </w:r>
      <w:r>
        <w:rPr>
          <w:rFonts w:hint="eastAsia" w:ascii="仿宋" w:hAnsi="仿宋" w:eastAsia="仿宋" w:cs="仿宋"/>
          <w:highlight w:val="none"/>
          <w:lang w:val="en-US"/>
        </w:rPr>
        <w:t xml:space="preserve">1 </w:t>
      </w:r>
      <w:r>
        <w:rPr>
          <w:rFonts w:hint="eastAsia" w:ascii="仿宋" w:hAnsi="仿宋" w:eastAsia="仿宋" w:cs="仿宋"/>
          <w:sz w:val="24"/>
          <w:highlight w:val="none"/>
        </w:rPr>
        <w:t>中标人应当自《中标通知书》发出之日起30日内，按照采购文件的约定和中标方投标文件中的承诺与采购人签订书面合同，所签订的合同不得对采购文件和中标方的投标文件作实质性修改。</w:t>
      </w:r>
    </w:p>
    <w:p w14:paraId="1AD95F92">
      <w:pPr>
        <w:pStyle w:val="28"/>
        <w:tabs>
          <w:tab w:val="left" w:pos="1713"/>
        </w:tabs>
        <w:spacing w:before="2" w:line="364" w:lineRule="auto"/>
        <w:ind w:left="0" w:firstLine="440" w:firstLineChars="200"/>
        <w:jc w:val="both"/>
        <w:rPr>
          <w:rFonts w:hint="eastAsia" w:ascii="仿宋" w:hAnsi="仿宋" w:eastAsia="仿宋" w:cs="仿宋"/>
          <w:sz w:val="24"/>
          <w:highlight w:val="none"/>
        </w:rPr>
      </w:pPr>
      <w:r>
        <w:rPr>
          <w:rFonts w:hint="eastAsia" w:ascii="仿宋" w:hAnsi="仿宋" w:eastAsia="仿宋" w:cs="仿宋"/>
          <w:highlight w:val="none"/>
          <w:lang w:val="en-US"/>
        </w:rPr>
        <w:t>31</w:t>
      </w:r>
      <w:r>
        <w:rPr>
          <w:rFonts w:hint="eastAsia" w:ascii="仿宋" w:hAnsi="仿宋" w:eastAsia="仿宋" w:cs="仿宋"/>
          <w:highlight w:val="none"/>
        </w:rPr>
        <w:t>.</w:t>
      </w:r>
      <w:r>
        <w:rPr>
          <w:rFonts w:hint="eastAsia" w:ascii="仿宋" w:hAnsi="仿宋" w:eastAsia="仿宋" w:cs="仿宋"/>
          <w:highlight w:val="none"/>
          <w:lang w:val="en-US"/>
        </w:rPr>
        <w:t xml:space="preserve">2 </w:t>
      </w:r>
      <w:r>
        <w:rPr>
          <w:rFonts w:hint="eastAsia" w:ascii="仿宋" w:hAnsi="仿宋" w:eastAsia="仿宋" w:cs="仿宋"/>
          <w:sz w:val="24"/>
          <w:highlight w:val="none"/>
        </w:rPr>
        <w:t>采购人不得向中标人提出任何不合理要求作为签订合同的条件， 不得与中标人私下订立背离合同实质性内容的协议。</w:t>
      </w:r>
    </w:p>
    <w:p w14:paraId="1CE98E74">
      <w:pPr>
        <w:pStyle w:val="28"/>
        <w:tabs>
          <w:tab w:val="left" w:pos="1708"/>
        </w:tabs>
        <w:ind w:left="0" w:firstLine="0"/>
        <w:jc w:val="both"/>
        <w:rPr>
          <w:rFonts w:hint="eastAsia" w:ascii="仿宋" w:hAnsi="仿宋" w:eastAsia="仿宋" w:cs="仿宋"/>
          <w:sz w:val="24"/>
          <w:highlight w:val="none"/>
        </w:rPr>
      </w:pPr>
      <w:r>
        <w:rPr>
          <w:rFonts w:hint="eastAsia" w:ascii="仿宋" w:hAnsi="仿宋" w:eastAsia="仿宋" w:cs="仿宋"/>
          <w:highlight w:val="none"/>
          <w:lang w:val="en-US"/>
        </w:rPr>
        <w:t>31</w:t>
      </w:r>
      <w:r>
        <w:rPr>
          <w:rFonts w:hint="eastAsia" w:ascii="仿宋" w:hAnsi="仿宋" w:eastAsia="仿宋" w:cs="仿宋"/>
          <w:highlight w:val="none"/>
        </w:rPr>
        <w:t>.</w:t>
      </w:r>
      <w:r>
        <w:rPr>
          <w:rFonts w:hint="eastAsia" w:ascii="仿宋" w:hAnsi="仿宋" w:eastAsia="仿宋" w:cs="仿宋"/>
          <w:highlight w:val="none"/>
          <w:lang w:val="en-US"/>
        </w:rPr>
        <w:t xml:space="preserve">3 </w:t>
      </w:r>
      <w:r>
        <w:rPr>
          <w:rFonts w:hint="eastAsia" w:ascii="仿宋" w:hAnsi="仿宋" w:eastAsia="仿宋" w:cs="仿宋"/>
          <w:sz w:val="24"/>
          <w:highlight w:val="none"/>
        </w:rPr>
        <w:t>合同的双方当事人不得擅自变更、中止或者终止合同。</w:t>
      </w:r>
    </w:p>
    <w:p w14:paraId="1E8337A8">
      <w:pPr>
        <w:pStyle w:val="28"/>
        <w:tabs>
          <w:tab w:val="left" w:pos="1708"/>
        </w:tabs>
        <w:spacing w:before="160" w:line="364" w:lineRule="auto"/>
        <w:ind w:left="0" w:firstLine="440" w:firstLineChars="200"/>
        <w:rPr>
          <w:rFonts w:hint="eastAsia" w:ascii="仿宋" w:hAnsi="仿宋" w:eastAsia="仿宋" w:cs="仿宋"/>
          <w:sz w:val="24"/>
          <w:highlight w:val="none"/>
          <w:lang w:val="en-US"/>
        </w:rPr>
      </w:pPr>
      <w:r>
        <w:rPr>
          <w:rFonts w:hint="eastAsia" w:ascii="仿宋" w:hAnsi="仿宋" w:eastAsia="仿宋" w:cs="仿宋"/>
          <w:highlight w:val="none"/>
          <w:lang w:val="en-US"/>
        </w:rPr>
        <w:t>31</w:t>
      </w:r>
      <w:r>
        <w:rPr>
          <w:rFonts w:hint="eastAsia" w:ascii="仿宋" w:hAnsi="仿宋" w:eastAsia="仿宋" w:cs="仿宋"/>
          <w:highlight w:val="none"/>
        </w:rPr>
        <w:t>.</w:t>
      </w:r>
      <w:r>
        <w:rPr>
          <w:rFonts w:hint="eastAsia" w:ascii="仿宋" w:hAnsi="仿宋" w:eastAsia="仿宋" w:cs="仿宋"/>
          <w:highlight w:val="none"/>
          <w:lang w:val="en-US"/>
        </w:rPr>
        <w:t xml:space="preserve">4 </w:t>
      </w:r>
      <w:r>
        <w:rPr>
          <w:rFonts w:hint="eastAsia" w:ascii="仿宋" w:hAnsi="仿宋" w:eastAsia="仿宋" w:cs="仿宋"/>
          <w:sz w:val="24"/>
          <w:highlight w:val="none"/>
        </w:rPr>
        <w:t>合同继续履行将损害国家利益和社会公共利益的，双方当事人应当变更、中止或者终止合同。有过错的一方承担赔偿责任，双方都有过错的，各自承担相应责任。</w:t>
      </w:r>
      <w:r>
        <w:rPr>
          <w:rFonts w:hint="eastAsia" w:ascii="仿宋" w:hAnsi="仿宋" w:eastAsia="仿宋" w:cs="仿宋"/>
          <w:sz w:val="24"/>
          <w:highlight w:val="none"/>
          <w:lang w:val="en-US"/>
        </w:rPr>
        <w:t>合同履行中，采购人需追加与合同标的相同的货物、工程或者服务的， 在不改变其他条款的前提下，经采购人审查后，可以与供应商签订补充合同，补充合同须有采购人监章，但所有补充合同的采购金额不得超过原合同金额的10%。</w:t>
      </w:r>
    </w:p>
    <w:p w14:paraId="14AB2DB4">
      <w:pPr>
        <w:pStyle w:val="28"/>
        <w:tabs>
          <w:tab w:val="left" w:pos="1953"/>
        </w:tabs>
        <w:spacing w:before="160" w:line="364" w:lineRule="auto"/>
        <w:ind w:left="0" w:firstLine="442" w:firstLineChars="200"/>
        <w:jc w:val="both"/>
        <w:rPr>
          <w:rFonts w:hint="eastAsia" w:ascii="仿宋" w:hAnsi="仿宋" w:eastAsia="仿宋" w:cs="仿宋"/>
          <w:b/>
          <w:sz w:val="24"/>
          <w:highlight w:val="none"/>
        </w:rPr>
      </w:pPr>
      <w:r>
        <w:rPr>
          <w:rFonts w:hint="eastAsia" w:ascii="仿宋" w:hAnsi="仿宋" w:eastAsia="仿宋" w:cs="仿宋"/>
          <w:b/>
          <w:highlight w:val="none"/>
          <w:lang w:val="en-US"/>
        </w:rPr>
        <w:t>31</w:t>
      </w:r>
      <w:r>
        <w:rPr>
          <w:rFonts w:hint="eastAsia" w:ascii="仿宋" w:hAnsi="仿宋" w:eastAsia="仿宋" w:cs="仿宋"/>
          <w:b/>
          <w:highlight w:val="none"/>
        </w:rPr>
        <w:t>.</w:t>
      </w:r>
      <w:r>
        <w:rPr>
          <w:rFonts w:hint="eastAsia" w:ascii="仿宋" w:hAnsi="仿宋" w:eastAsia="仿宋" w:cs="仿宋"/>
          <w:b/>
          <w:highlight w:val="none"/>
          <w:lang w:val="en-US"/>
        </w:rPr>
        <w:t xml:space="preserve">4.1 </w:t>
      </w:r>
      <w:r>
        <w:rPr>
          <w:rFonts w:hint="eastAsia" w:ascii="仿宋" w:hAnsi="仿宋" w:eastAsia="仿宋" w:cs="仿宋"/>
          <w:b/>
          <w:sz w:val="24"/>
          <w:highlight w:val="none"/>
        </w:rPr>
        <w:t>采购人在签订合同时，有权对采购文件中规定的货物和服务的数量在10%的幅度内予以增加或减少，并要在合同中增加条款进行说明。</w:t>
      </w:r>
    </w:p>
    <w:p w14:paraId="2CA057DE">
      <w:pPr>
        <w:pStyle w:val="28"/>
        <w:tabs>
          <w:tab w:val="left" w:pos="1713"/>
        </w:tabs>
        <w:spacing w:before="2" w:line="364" w:lineRule="auto"/>
        <w:ind w:left="0" w:firstLine="440" w:firstLineChars="200"/>
        <w:jc w:val="both"/>
        <w:rPr>
          <w:rFonts w:hint="eastAsia" w:ascii="仿宋" w:hAnsi="仿宋" w:eastAsia="仿宋" w:cs="仿宋"/>
          <w:sz w:val="24"/>
          <w:highlight w:val="none"/>
        </w:rPr>
      </w:pPr>
      <w:r>
        <w:rPr>
          <w:rFonts w:hint="eastAsia" w:ascii="仿宋" w:hAnsi="仿宋" w:eastAsia="仿宋" w:cs="仿宋"/>
          <w:highlight w:val="none"/>
          <w:lang w:val="en-US"/>
        </w:rPr>
        <w:t>31</w:t>
      </w:r>
      <w:r>
        <w:rPr>
          <w:rFonts w:hint="eastAsia" w:ascii="仿宋" w:hAnsi="仿宋" w:eastAsia="仿宋" w:cs="仿宋"/>
          <w:highlight w:val="none"/>
        </w:rPr>
        <w:t>.</w:t>
      </w:r>
      <w:r>
        <w:rPr>
          <w:rFonts w:hint="eastAsia" w:ascii="仿宋" w:hAnsi="仿宋" w:eastAsia="仿宋" w:cs="仿宋"/>
          <w:highlight w:val="none"/>
          <w:lang w:val="en-US"/>
        </w:rPr>
        <w:t xml:space="preserve">5 </w:t>
      </w:r>
      <w:r>
        <w:rPr>
          <w:rFonts w:hint="eastAsia" w:ascii="仿宋" w:hAnsi="仿宋" w:eastAsia="仿宋" w:cs="仿宋"/>
          <w:sz w:val="24"/>
          <w:highlight w:val="none"/>
        </w:rPr>
        <w:t>如中标人拒签合同，则按违约处理。采购人将没收其合同履约保证金。</w:t>
      </w:r>
    </w:p>
    <w:p w14:paraId="1AEBB4F7">
      <w:pPr>
        <w:pStyle w:val="28"/>
        <w:tabs>
          <w:tab w:val="left" w:pos="1708"/>
        </w:tabs>
        <w:spacing w:line="364" w:lineRule="auto"/>
        <w:ind w:left="0" w:firstLine="440" w:firstLineChars="200"/>
        <w:jc w:val="both"/>
        <w:rPr>
          <w:rFonts w:hint="eastAsia" w:ascii="仿宋" w:hAnsi="仿宋" w:eastAsia="仿宋" w:cs="仿宋"/>
          <w:sz w:val="24"/>
          <w:highlight w:val="none"/>
        </w:rPr>
      </w:pPr>
      <w:r>
        <w:rPr>
          <w:rFonts w:hint="eastAsia" w:ascii="仿宋" w:hAnsi="仿宋" w:eastAsia="仿宋" w:cs="仿宋"/>
          <w:highlight w:val="none"/>
          <w:lang w:val="en-US"/>
        </w:rPr>
        <w:t>31</w:t>
      </w:r>
      <w:r>
        <w:rPr>
          <w:rFonts w:hint="eastAsia" w:ascii="仿宋" w:hAnsi="仿宋" w:eastAsia="仿宋" w:cs="仿宋"/>
          <w:highlight w:val="none"/>
        </w:rPr>
        <w:t>.</w:t>
      </w:r>
      <w:r>
        <w:rPr>
          <w:rFonts w:hint="eastAsia" w:ascii="仿宋" w:hAnsi="仿宋" w:eastAsia="仿宋" w:cs="仿宋"/>
          <w:highlight w:val="none"/>
          <w:lang w:val="en-US"/>
        </w:rPr>
        <w:t xml:space="preserve">6 </w:t>
      </w:r>
      <w:r>
        <w:rPr>
          <w:rFonts w:hint="eastAsia" w:ascii="仿宋" w:hAnsi="仿宋" w:eastAsia="仿宋" w:cs="仿宋"/>
          <w:sz w:val="24"/>
          <w:highlight w:val="none"/>
        </w:rPr>
        <w:t>采购人的采购文件、中标方的投标文件及其澄清、询标（答疑）文件等， 均做为签订合同的法律依据。</w:t>
      </w:r>
    </w:p>
    <w:p w14:paraId="1CEB2BD6">
      <w:pPr>
        <w:pStyle w:val="28"/>
        <w:tabs>
          <w:tab w:val="left" w:pos="1713"/>
        </w:tabs>
        <w:spacing w:before="2" w:line="364" w:lineRule="auto"/>
        <w:ind w:left="0" w:firstLine="440" w:firstLineChars="200"/>
        <w:jc w:val="both"/>
        <w:rPr>
          <w:rFonts w:hint="eastAsia" w:ascii="仿宋" w:hAnsi="仿宋" w:eastAsia="仿宋" w:cs="仿宋"/>
          <w:sz w:val="24"/>
          <w:highlight w:val="none"/>
        </w:rPr>
      </w:pPr>
      <w:r>
        <w:rPr>
          <w:rFonts w:hint="eastAsia" w:ascii="仿宋" w:hAnsi="仿宋" w:eastAsia="仿宋" w:cs="仿宋"/>
          <w:highlight w:val="none"/>
          <w:lang w:val="en-US"/>
        </w:rPr>
        <w:t>31</w:t>
      </w:r>
      <w:r>
        <w:rPr>
          <w:rFonts w:hint="eastAsia" w:ascii="仿宋" w:hAnsi="仿宋" w:eastAsia="仿宋" w:cs="仿宋"/>
          <w:highlight w:val="none"/>
        </w:rPr>
        <w:t>.</w:t>
      </w:r>
      <w:r>
        <w:rPr>
          <w:rFonts w:hint="eastAsia" w:ascii="仿宋" w:hAnsi="仿宋" w:eastAsia="仿宋" w:cs="仿宋"/>
          <w:highlight w:val="none"/>
          <w:lang w:val="en-US"/>
        </w:rPr>
        <w:t xml:space="preserve">7 </w:t>
      </w:r>
      <w:r>
        <w:rPr>
          <w:rFonts w:hint="eastAsia" w:ascii="仿宋" w:hAnsi="仿宋" w:eastAsia="仿宋" w:cs="仿宋"/>
          <w:sz w:val="24"/>
          <w:highlight w:val="none"/>
        </w:rPr>
        <w:t>在未经采购人允许的情况下，不允许中标人将成交项目分包或转交他人承担。而且，采购人也不得直接指定分包人。</w:t>
      </w:r>
    </w:p>
    <w:p w14:paraId="62D3639C">
      <w:pPr>
        <w:pStyle w:val="28"/>
        <w:tabs>
          <w:tab w:val="left" w:pos="2193"/>
        </w:tabs>
        <w:spacing w:line="364" w:lineRule="auto"/>
        <w:ind w:left="0" w:firstLineChars="200"/>
        <w:jc w:val="both"/>
        <w:rPr>
          <w:rFonts w:hint="eastAsia" w:ascii="仿宋" w:hAnsi="仿宋" w:eastAsia="仿宋" w:cs="仿宋"/>
          <w:sz w:val="24"/>
          <w:highlight w:val="none"/>
          <w:lang w:val="en-US"/>
        </w:rPr>
      </w:pPr>
    </w:p>
    <w:p w14:paraId="53DE57C4">
      <w:pPr>
        <w:pStyle w:val="28"/>
        <w:tabs>
          <w:tab w:val="left" w:pos="2193"/>
        </w:tabs>
        <w:spacing w:line="364" w:lineRule="auto"/>
        <w:ind w:left="0" w:firstLineChars="200"/>
        <w:jc w:val="both"/>
        <w:rPr>
          <w:rFonts w:hint="eastAsia" w:ascii="仿宋" w:hAnsi="仿宋" w:eastAsia="仿宋" w:cs="仿宋"/>
          <w:sz w:val="24"/>
          <w:highlight w:val="none"/>
          <w:lang w:val="en-US"/>
        </w:rPr>
        <w:sectPr>
          <w:pgSz w:w="11910" w:h="16840"/>
          <w:pgMar w:top="1420" w:right="1134" w:bottom="1180" w:left="1134" w:header="878" w:footer="993" w:gutter="0"/>
          <w:cols w:space="720" w:num="1"/>
        </w:sectPr>
      </w:pPr>
    </w:p>
    <w:p w14:paraId="410269C0">
      <w:pPr>
        <w:pStyle w:val="2"/>
        <w:numPr>
          <w:ilvl w:val="0"/>
          <w:numId w:val="4"/>
        </w:numPr>
        <w:spacing w:before="163"/>
        <w:ind w:left="0" w:leftChars="0" w:right="0" w:rightChars="0"/>
        <w:rPr>
          <w:rFonts w:hint="eastAsia" w:ascii="仿宋" w:hAnsi="仿宋" w:eastAsia="仿宋" w:cs="仿宋"/>
          <w:highlight w:val="none"/>
        </w:rPr>
      </w:pPr>
      <w:r>
        <w:rPr>
          <w:rFonts w:hint="eastAsia" w:ascii="仿宋" w:hAnsi="仿宋" w:eastAsia="仿宋" w:cs="仿宋"/>
          <w:highlight w:val="none"/>
          <w:lang w:val="en-US"/>
        </w:rPr>
        <w:t xml:space="preserve">  </w:t>
      </w:r>
      <w:r>
        <w:rPr>
          <w:rFonts w:hint="eastAsia" w:ascii="仿宋" w:hAnsi="仿宋" w:eastAsia="仿宋" w:cs="仿宋"/>
          <w:highlight w:val="none"/>
        </w:rPr>
        <w:t>货物需求、技术规格说明</w:t>
      </w:r>
    </w:p>
    <w:p w14:paraId="7C689035">
      <w:pPr>
        <w:pStyle w:val="23"/>
        <w:jc w:val="both"/>
        <w:outlineLvl w:val="9"/>
        <w:rPr>
          <w:rFonts w:hint="eastAsia" w:ascii="仿宋" w:hAnsi="仿宋" w:eastAsia="仿宋" w:cs="仿宋"/>
          <w:b/>
          <w:bCs/>
          <w:color w:val="auto"/>
          <w:sz w:val="22"/>
          <w:highlight w:val="none"/>
          <w:lang w:bidi="zh-CN"/>
        </w:rPr>
      </w:pPr>
      <w:r>
        <w:rPr>
          <w:rFonts w:hint="eastAsia" w:ascii="仿宋" w:hAnsi="仿宋" w:eastAsia="仿宋" w:cs="仿宋"/>
          <w:b/>
          <w:bCs/>
          <w:color w:val="auto"/>
          <w:sz w:val="22"/>
          <w:highlight w:val="none"/>
          <w:lang w:bidi="zh-CN"/>
        </w:rPr>
        <w:t>2026年新疆大学药学院“双一流”建设项目(新疆特色中药民族药综合开发利用平台)第一包</w:t>
      </w:r>
    </w:p>
    <w:tbl>
      <w:tblPr>
        <w:tblStyle w:val="18"/>
        <w:tblW w:w="10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9"/>
        <w:gridCol w:w="1236"/>
        <w:gridCol w:w="459"/>
        <w:gridCol w:w="1153"/>
        <w:gridCol w:w="1194"/>
        <w:gridCol w:w="1693"/>
        <w:gridCol w:w="988"/>
        <w:gridCol w:w="568"/>
        <w:gridCol w:w="1325"/>
        <w:gridCol w:w="1325"/>
      </w:tblGrid>
      <w:tr w14:paraId="0CA05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9" w:type="dxa"/>
            <w:tcBorders>
              <w:top w:val="single" w:color="auto" w:sz="4" w:space="0"/>
              <w:left w:val="single" w:color="auto" w:sz="4" w:space="0"/>
              <w:bottom w:val="single" w:color="auto" w:sz="4" w:space="0"/>
              <w:right w:val="single" w:color="auto" w:sz="4" w:space="0"/>
            </w:tcBorders>
            <w:vAlign w:val="center"/>
          </w:tcPr>
          <w:p w14:paraId="79AF2625">
            <w:pPr>
              <w:pStyle w:val="29"/>
              <w:snapToGrid w:val="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236" w:type="dxa"/>
            <w:tcBorders>
              <w:top w:val="single" w:color="auto" w:sz="4" w:space="0"/>
              <w:left w:val="single" w:color="auto" w:sz="4" w:space="0"/>
              <w:bottom w:val="single" w:color="auto" w:sz="4" w:space="0"/>
              <w:right w:val="single" w:color="auto" w:sz="4" w:space="0"/>
            </w:tcBorders>
            <w:vAlign w:val="center"/>
          </w:tcPr>
          <w:p w14:paraId="20BDF2EB">
            <w:pPr>
              <w:pStyle w:val="29"/>
              <w:snapToGrid w:val="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设备名称</w:t>
            </w:r>
          </w:p>
        </w:tc>
        <w:tc>
          <w:tcPr>
            <w:tcW w:w="459" w:type="dxa"/>
            <w:tcBorders>
              <w:top w:val="single" w:color="auto" w:sz="4" w:space="0"/>
              <w:left w:val="single" w:color="auto" w:sz="4" w:space="0"/>
              <w:bottom w:val="single" w:color="auto" w:sz="4" w:space="0"/>
              <w:right w:val="single" w:color="auto" w:sz="4" w:space="0"/>
            </w:tcBorders>
            <w:vAlign w:val="center"/>
          </w:tcPr>
          <w:p w14:paraId="2B0DB22B">
            <w:pPr>
              <w:pStyle w:val="29"/>
              <w:snapToGrid w:val="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5770BAA3">
            <w:pPr>
              <w:pStyle w:val="29"/>
              <w:snapToGrid w:val="0"/>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rPr>
              <w:t>质保期限</w:t>
            </w:r>
          </w:p>
          <w:p w14:paraId="30497AD8">
            <w:pPr>
              <w:pStyle w:val="29"/>
              <w:snapToGrid w:val="0"/>
              <w:jc w:val="center"/>
              <w:rPr>
                <w:rFonts w:hint="eastAsia" w:ascii="仿宋" w:hAnsi="仿宋" w:eastAsia="仿宋" w:cs="仿宋"/>
                <w:b/>
                <w:color w:val="auto"/>
                <w:sz w:val="21"/>
                <w:szCs w:val="21"/>
                <w:highlight w:val="none"/>
              </w:rPr>
            </w:pPr>
          </w:p>
        </w:tc>
        <w:tc>
          <w:tcPr>
            <w:tcW w:w="1194" w:type="dxa"/>
            <w:tcBorders>
              <w:top w:val="single" w:color="auto" w:sz="4" w:space="0"/>
              <w:left w:val="single" w:color="auto" w:sz="4" w:space="0"/>
              <w:bottom w:val="single" w:color="auto" w:sz="4" w:space="0"/>
              <w:right w:val="single" w:color="auto" w:sz="4" w:space="0"/>
            </w:tcBorders>
            <w:vAlign w:val="center"/>
          </w:tcPr>
          <w:p w14:paraId="4A105369">
            <w:pPr>
              <w:pStyle w:val="29"/>
              <w:snapToGrid w:val="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交货日期</w:t>
            </w:r>
          </w:p>
          <w:p w14:paraId="71EB85E5">
            <w:pPr>
              <w:pStyle w:val="29"/>
              <w:snapToGrid w:val="0"/>
              <w:jc w:val="center"/>
              <w:rPr>
                <w:rFonts w:hint="eastAsia" w:ascii="仿宋" w:hAnsi="仿宋" w:eastAsia="仿宋" w:cs="仿宋"/>
                <w:b/>
                <w:color w:val="auto"/>
                <w:sz w:val="21"/>
                <w:szCs w:val="21"/>
                <w:highlight w:val="none"/>
              </w:rPr>
            </w:pPr>
          </w:p>
        </w:tc>
        <w:tc>
          <w:tcPr>
            <w:tcW w:w="1693" w:type="dxa"/>
            <w:tcBorders>
              <w:top w:val="single" w:color="auto" w:sz="4" w:space="0"/>
              <w:left w:val="single" w:color="auto" w:sz="4" w:space="0"/>
              <w:bottom w:val="single" w:color="auto" w:sz="4" w:space="0"/>
              <w:right w:val="single" w:color="auto" w:sz="4" w:space="0"/>
            </w:tcBorders>
            <w:vAlign w:val="center"/>
          </w:tcPr>
          <w:p w14:paraId="3602B2C1">
            <w:pPr>
              <w:pStyle w:val="29"/>
              <w:snapToGrid w:val="0"/>
              <w:jc w:val="center"/>
              <w:rPr>
                <w:rFonts w:hint="eastAsia" w:ascii="仿宋" w:hAnsi="仿宋" w:eastAsia="仿宋" w:cs="仿宋"/>
                <w:b/>
                <w:color w:val="auto"/>
                <w:sz w:val="21"/>
                <w:szCs w:val="21"/>
                <w:highlight w:val="none"/>
                <w:lang w:eastAsia="zh-CN"/>
              </w:rPr>
            </w:pPr>
            <w:r>
              <w:rPr>
                <w:rFonts w:hint="eastAsia" w:ascii="仿宋" w:hAnsi="仿宋" w:eastAsia="仿宋" w:cs="仿宋"/>
                <w:b/>
                <w:color w:val="auto"/>
                <w:sz w:val="21"/>
                <w:szCs w:val="21"/>
                <w:highlight w:val="none"/>
                <w:lang w:eastAsia="zh-CN"/>
              </w:rPr>
              <w:t>分项限价</w:t>
            </w:r>
          </w:p>
          <w:p w14:paraId="2DDED33D">
            <w:pPr>
              <w:pStyle w:val="29"/>
              <w:snapToGrid w:val="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(万元)</w:t>
            </w:r>
          </w:p>
        </w:tc>
        <w:tc>
          <w:tcPr>
            <w:tcW w:w="988" w:type="dxa"/>
            <w:tcBorders>
              <w:top w:val="single" w:color="auto" w:sz="4" w:space="0"/>
              <w:left w:val="single" w:color="auto" w:sz="4" w:space="0"/>
              <w:bottom w:val="single" w:color="auto" w:sz="4" w:space="0"/>
              <w:right w:val="single" w:color="auto" w:sz="4" w:space="0"/>
            </w:tcBorders>
            <w:vAlign w:val="center"/>
          </w:tcPr>
          <w:p w14:paraId="34286381">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备注</w:t>
            </w:r>
          </w:p>
          <w:p w14:paraId="410E9BA0">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（进口、国产）</w:t>
            </w:r>
          </w:p>
        </w:tc>
        <w:tc>
          <w:tcPr>
            <w:tcW w:w="568" w:type="dxa"/>
            <w:tcBorders>
              <w:top w:val="single" w:color="auto" w:sz="4" w:space="0"/>
              <w:left w:val="single" w:color="auto" w:sz="4" w:space="0"/>
              <w:bottom w:val="single" w:color="auto" w:sz="4" w:space="0"/>
              <w:right w:val="single" w:color="auto" w:sz="4" w:space="0"/>
            </w:tcBorders>
            <w:vAlign w:val="center"/>
          </w:tcPr>
          <w:p w14:paraId="5F13DE8F">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核心产品</w:t>
            </w:r>
          </w:p>
        </w:tc>
        <w:tc>
          <w:tcPr>
            <w:tcW w:w="1325" w:type="dxa"/>
            <w:tcBorders>
              <w:top w:val="single" w:color="auto" w:sz="4" w:space="0"/>
              <w:left w:val="single" w:color="auto" w:sz="4" w:space="0"/>
              <w:bottom w:val="single" w:color="auto" w:sz="4" w:space="0"/>
              <w:right w:val="single" w:color="auto" w:sz="4" w:space="0"/>
            </w:tcBorders>
            <w:vAlign w:val="center"/>
          </w:tcPr>
          <w:p w14:paraId="3A9A0011">
            <w:pPr>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子项目名称</w:t>
            </w:r>
          </w:p>
        </w:tc>
        <w:tc>
          <w:tcPr>
            <w:tcW w:w="1325" w:type="dxa"/>
            <w:tcBorders>
              <w:top w:val="single" w:color="auto" w:sz="4" w:space="0"/>
              <w:left w:val="single" w:color="auto" w:sz="4" w:space="0"/>
              <w:bottom w:val="single" w:color="auto" w:sz="4" w:space="0"/>
              <w:right w:val="single" w:color="auto" w:sz="4" w:space="0"/>
            </w:tcBorders>
            <w:vAlign w:val="center"/>
          </w:tcPr>
          <w:p w14:paraId="08C847EE">
            <w:pPr>
              <w:snapToGrid w:val="0"/>
              <w:jc w:val="center"/>
              <w:rPr>
                <w:rFonts w:hint="eastAsia" w:ascii="仿宋" w:hAnsi="仿宋" w:eastAsia="仿宋" w:cs="仿宋"/>
                <w:b/>
                <w:sz w:val="21"/>
                <w:szCs w:val="21"/>
                <w:highlight w:val="none"/>
              </w:rPr>
            </w:pPr>
            <w:r>
              <w:rPr>
                <w:rFonts w:hint="eastAsia" w:ascii="仿宋" w:hAnsi="仿宋" w:eastAsia="仿宋" w:cs="仿宋"/>
                <w:b/>
                <w:bCs/>
                <w:color w:val="auto"/>
                <w:sz w:val="24"/>
                <w:szCs w:val="24"/>
                <w:highlight w:val="none"/>
                <w:lang w:bidi="zh-CN"/>
              </w:rPr>
              <w:t>所属行业</w:t>
            </w:r>
          </w:p>
        </w:tc>
      </w:tr>
      <w:tr w14:paraId="2A220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9" w:type="dxa"/>
            <w:tcBorders>
              <w:top w:val="single" w:color="auto" w:sz="4" w:space="0"/>
              <w:left w:val="single" w:color="auto" w:sz="4" w:space="0"/>
              <w:bottom w:val="single" w:color="auto" w:sz="4" w:space="0"/>
              <w:right w:val="single" w:color="auto" w:sz="4" w:space="0"/>
            </w:tcBorders>
            <w:vAlign w:val="center"/>
          </w:tcPr>
          <w:p w14:paraId="60A86036">
            <w:pPr>
              <w:jc w:val="center"/>
              <w:rPr>
                <w:rFonts w:hint="eastAsia" w:ascii="仿宋" w:hAnsi="仿宋" w:eastAsia="仿宋" w:cs="仿宋"/>
                <w:b/>
                <w:sz w:val="21"/>
                <w:szCs w:val="21"/>
                <w:highlight w:val="none"/>
              </w:rPr>
            </w:pPr>
            <w:r>
              <w:rPr>
                <w:rFonts w:hint="eastAsia" w:ascii="仿宋" w:hAnsi="仿宋" w:eastAsia="仿宋" w:cs="仿宋"/>
                <w:szCs w:val="21"/>
                <w:highlight w:val="none"/>
              </w:rPr>
              <w:t>1</w:t>
            </w:r>
          </w:p>
        </w:tc>
        <w:tc>
          <w:tcPr>
            <w:tcW w:w="1236" w:type="dxa"/>
            <w:tcBorders>
              <w:top w:val="single" w:color="auto" w:sz="4" w:space="0"/>
              <w:left w:val="single" w:color="auto" w:sz="4" w:space="0"/>
              <w:bottom w:val="single" w:color="auto" w:sz="4" w:space="0"/>
              <w:right w:val="single" w:color="auto" w:sz="4" w:space="0"/>
            </w:tcBorders>
            <w:vAlign w:val="center"/>
          </w:tcPr>
          <w:p w14:paraId="5471FCF6">
            <w:pPr>
              <w:jc w:val="center"/>
              <w:rPr>
                <w:rFonts w:hint="eastAsia" w:ascii="仿宋" w:hAnsi="仿宋" w:eastAsia="仿宋" w:cs="仿宋"/>
                <w:b/>
                <w:sz w:val="21"/>
                <w:szCs w:val="21"/>
                <w:highlight w:val="none"/>
              </w:rPr>
            </w:pPr>
            <w:r>
              <w:rPr>
                <w:rFonts w:hint="eastAsia" w:ascii="仿宋" w:hAnsi="仿宋" w:eastAsia="仿宋" w:cs="仿宋"/>
                <w:highlight w:val="none"/>
              </w:rPr>
              <w:t>防爆药品柜</w:t>
            </w:r>
          </w:p>
        </w:tc>
        <w:tc>
          <w:tcPr>
            <w:tcW w:w="459" w:type="dxa"/>
            <w:tcBorders>
              <w:top w:val="single" w:color="auto" w:sz="4" w:space="0"/>
              <w:left w:val="single" w:color="auto" w:sz="4" w:space="0"/>
              <w:bottom w:val="single" w:color="auto" w:sz="4" w:space="0"/>
              <w:right w:val="single" w:color="auto" w:sz="4" w:space="0"/>
            </w:tcBorders>
            <w:vAlign w:val="center"/>
          </w:tcPr>
          <w:p w14:paraId="7E4FBF6B">
            <w:pPr>
              <w:jc w:val="center"/>
              <w:rPr>
                <w:rFonts w:hint="eastAsia" w:ascii="仿宋" w:hAnsi="仿宋" w:eastAsia="仿宋" w:cs="仿宋"/>
                <w:b/>
                <w:sz w:val="21"/>
                <w:szCs w:val="21"/>
                <w:highlight w:val="none"/>
              </w:rPr>
            </w:pPr>
            <w:r>
              <w:rPr>
                <w:rFonts w:hint="eastAsia" w:ascii="仿宋" w:hAnsi="仿宋" w:eastAsia="仿宋" w:cs="仿宋"/>
                <w:highlight w:val="none"/>
              </w:rPr>
              <w:t>6</w:t>
            </w:r>
          </w:p>
        </w:tc>
        <w:tc>
          <w:tcPr>
            <w:tcW w:w="1153" w:type="dxa"/>
            <w:tcBorders>
              <w:top w:val="single" w:color="auto" w:sz="4" w:space="0"/>
              <w:left w:val="single" w:color="auto" w:sz="4" w:space="0"/>
              <w:bottom w:val="single" w:color="auto" w:sz="4" w:space="0"/>
              <w:right w:val="single" w:color="auto" w:sz="4" w:space="0"/>
            </w:tcBorders>
            <w:vAlign w:val="center"/>
          </w:tcPr>
          <w:p w14:paraId="1554ADD4">
            <w:pPr>
              <w:jc w:val="center"/>
              <w:rPr>
                <w:rFonts w:hint="eastAsia" w:ascii="仿宋" w:hAnsi="仿宋" w:eastAsia="仿宋" w:cs="仿宋"/>
                <w:b/>
                <w:sz w:val="21"/>
                <w:szCs w:val="21"/>
                <w:highlight w:val="none"/>
              </w:rPr>
            </w:pPr>
            <w:r>
              <w:rPr>
                <w:rFonts w:hint="eastAsia" w:ascii="仿宋" w:hAnsi="仿宋" w:eastAsia="仿宋" w:cs="仿宋"/>
                <w:highlight w:val="none"/>
              </w:rPr>
              <w:t>1年</w:t>
            </w:r>
          </w:p>
        </w:tc>
        <w:tc>
          <w:tcPr>
            <w:tcW w:w="1194" w:type="dxa"/>
            <w:tcBorders>
              <w:top w:val="single" w:color="auto" w:sz="4" w:space="0"/>
              <w:left w:val="single" w:color="auto" w:sz="4" w:space="0"/>
              <w:bottom w:val="single" w:color="auto" w:sz="4" w:space="0"/>
              <w:right w:val="single" w:color="auto" w:sz="4" w:space="0"/>
            </w:tcBorders>
            <w:vAlign w:val="center"/>
          </w:tcPr>
          <w:p w14:paraId="7448AEE1">
            <w:pPr>
              <w:jc w:val="center"/>
              <w:rPr>
                <w:rFonts w:hint="eastAsia" w:ascii="仿宋" w:hAnsi="仿宋" w:eastAsia="仿宋" w:cs="仿宋"/>
                <w:b/>
                <w:sz w:val="21"/>
                <w:szCs w:val="21"/>
                <w:highlight w:val="none"/>
              </w:rPr>
            </w:pPr>
            <w:r>
              <w:rPr>
                <w:rFonts w:hint="eastAsia" w:ascii="仿宋" w:hAnsi="仿宋" w:eastAsia="仿宋" w:cs="仿宋"/>
                <w:highlight w:val="none"/>
              </w:rPr>
              <w:t>合同签订后</w:t>
            </w:r>
            <w:r>
              <w:rPr>
                <w:rFonts w:hint="eastAsia" w:ascii="仿宋" w:hAnsi="仿宋" w:eastAsia="仿宋" w:cs="仿宋"/>
                <w:highlight w:val="none"/>
                <w:lang w:val="en-US"/>
              </w:rPr>
              <w:t>6</w:t>
            </w:r>
            <w:r>
              <w:rPr>
                <w:rFonts w:hint="eastAsia" w:ascii="仿宋" w:hAnsi="仿宋" w:eastAsia="仿宋" w:cs="仿宋"/>
                <w:highlight w:val="none"/>
              </w:rPr>
              <w:t>0个日历日</w:t>
            </w:r>
          </w:p>
        </w:tc>
        <w:tc>
          <w:tcPr>
            <w:tcW w:w="1693" w:type="dxa"/>
            <w:tcBorders>
              <w:top w:val="single" w:color="auto" w:sz="4" w:space="0"/>
              <w:left w:val="single" w:color="auto" w:sz="4" w:space="0"/>
              <w:bottom w:val="single" w:color="auto" w:sz="4" w:space="0"/>
              <w:right w:val="single" w:color="auto" w:sz="4" w:space="0"/>
            </w:tcBorders>
            <w:vAlign w:val="center"/>
          </w:tcPr>
          <w:p w14:paraId="45252DDB">
            <w:pPr>
              <w:pStyle w:val="30"/>
              <w:jc w:val="center"/>
              <w:rPr>
                <w:rFonts w:hint="eastAsia" w:ascii="仿宋" w:hAnsi="仿宋" w:eastAsia="仿宋" w:cs="仿宋"/>
                <w:b/>
                <w:sz w:val="21"/>
                <w:szCs w:val="21"/>
                <w:highlight w:val="none"/>
              </w:rPr>
            </w:pPr>
            <w:r>
              <w:rPr>
                <w:rFonts w:hint="eastAsia" w:ascii="仿宋" w:hAnsi="仿宋" w:eastAsia="仿宋" w:cs="仿宋"/>
                <w:kern w:val="2"/>
                <w:sz w:val="21"/>
                <w:highlight w:val="none"/>
              </w:rPr>
              <w:t>4.8</w:t>
            </w:r>
          </w:p>
        </w:tc>
        <w:tc>
          <w:tcPr>
            <w:tcW w:w="988" w:type="dxa"/>
            <w:vMerge w:val="restart"/>
            <w:tcBorders>
              <w:top w:val="single" w:color="auto" w:sz="4" w:space="0"/>
              <w:left w:val="single" w:color="auto" w:sz="4" w:space="0"/>
              <w:right w:val="single" w:color="auto" w:sz="4" w:space="0"/>
            </w:tcBorders>
            <w:vAlign w:val="center"/>
          </w:tcPr>
          <w:p w14:paraId="0E6BC78A">
            <w:pPr>
              <w:pStyle w:val="30"/>
              <w:snapToGrid w:val="0"/>
              <w:jc w:val="center"/>
              <w:rPr>
                <w:rFonts w:hint="eastAsia" w:ascii="仿宋" w:hAnsi="仿宋" w:eastAsia="仿宋" w:cs="仿宋"/>
                <w:kern w:val="2"/>
                <w:sz w:val="21"/>
                <w:szCs w:val="21"/>
                <w:highlight w:val="none"/>
              </w:rPr>
            </w:pPr>
          </w:p>
          <w:p w14:paraId="042D9CD3">
            <w:pPr>
              <w:pStyle w:val="30"/>
              <w:snapToGrid w:val="0"/>
              <w:jc w:val="center"/>
              <w:rPr>
                <w:rFonts w:hint="eastAsia" w:ascii="仿宋" w:hAnsi="仿宋" w:eastAsia="仿宋" w:cs="仿宋"/>
                <w:kern w:val="2"/>
                <w:sz w:val="21"/>
                <w:szCs w:val="21"/>
                <w:highlight w:val="none"/>
              </w:rPr>
            </w:pPr>
            <w:r>
              <w:rPr>
                <w:rFonts w:hint="eastAsia" w:ascii="仿宋" w:hAnsi="仿宋" w:eastAsia="仿宋" w:cs="仿宋"/>
                <w:color w:val="auto"/>
                <w:kern w:val="2"/>
                <w:sz w:val="21"/>
                <w:szCs w:val="21"/>
                <w:highlight w:val="none"/>
              </w:rPr>
              <w:t>国产</w:t>
            </w:r>
          </w:p>
        </w:tc>
        <w:tc>
          <w:tcPr>
            <w:tcW w:w="568" w:type="dxa"/>
            <w:tcBorders>
              <w:top w:val="single" w:color="auto" w:sz="4" w:space="0"/>
              <w:left w:val="single" w:color="auto" w:sz="4" w:space="0"/>
              <w:bottom w:val="single" w:color="auto" w:sz="4" w:space="0"/>
              <w:right w:val="single" w:color="auto" w:sz="4" w:space="0"/>
            </w:tcBorders>
            <w:vAlign w:val="center"/>
          </w:tcPr>
          <w:p w14:paraId="57233AA9">
            <w:pPr>
              <w:snapToGrid w:val="0"/>
              <w:jc w:val="center"/>
              <w:rPr>
                <w:rFonts w:hint="eastAsia" w:ascii="仿宋" w:hAnsi="仿宋" w:eastAsia="仿宋" w:cs="仿宋"/>
                <w:b/>
                <w:sz w:val="21"/>
                <w:szCs w:val="21"/>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14:paraId="7C3DF107">
            <w:pPr>
              <w:snapToGrid w:val="0"/>
              <w:jc w:val="center"/>
              <w:rPr>
                <w:rFonts w:hint="eastAsia" w:ascii="仿宋" w:hAnsi="仿宋" w:eastAsia="仿宋" w:cs="仿宋"/>
                <w:b/>
                <w:sz w:val="21"/>
                <w:szCs w:val="21"/>
                <w:highlight w:val="none"/>
              </w:rPr>
            </w:pPr>
            <w:r>
              <w:rPr>
                <w:rFonts w:hint="eastAsia" w:ascii="仿宋" w:hAnsi="仿宋" w:eastAsia="仿宋" w:cs="仿宋"/>
                <w:kern w:val="2"/>
                <w:sz w:val="21"/>
                <w:szCs w:val="21"/>
                <w:highlight w:val="none"/>
              </w:rPr>
              <w:t>新疆特色中药民族药综合开发利用平台</w:t>
            </w:r>
          </w:p>
        </w:tc>
        <w:tc>
          <w:tcPr>
            <w:tcW w:w="1325" w:type="dxa"/>
            <w:tcBorders>
              <w:top w:val="single" w:color="auto" w:sz="4" w:space="0"/>
              <w:left w:val="single" w:color="auto" w:sz="4" w:space="0"/>
              <w:bottom w:val="single" w:color="auto" w:sz="4" w:space="0"/>
              <w:right w:val="single" w:color="auto" w:sz="4" w:space="0"/>
            </w:tcBorders>
            <w:vAlign w:val="center"/>
          </w:tcPr>
          <w:p w14:paraId="479CF76C">
            <w:pPr>
              <w:snapToGrid w:val="0"/>
              <w:jc w:val="center"/>
              <w:rPr>
                <w:rFonts w:hint="eastAsia" w:ascii="仿宋" w:hAnsi="仿宋" w:eastAsia="仿宋" w:cs="仿宋"/>
                <w:kern w:val="2"/>
                <w:sz w:val="21"/>
                <w:szCs w:val="21"/>
                <w:highlight w:val="none"/>
              </w:rPr>
            </w:pPr>
            <w:r>
              <w:rPr>
                <w:rFonts w:hint="eastAsia" w:ascii="仿宋" w:hAnsi="仿宋" w:eastAsia="仿宋" w:cs="仿宋"/>
                <w:b/>
                <w:bCs/>
                <w:color w:val="auto"/>
                <w:sz w:val="24"/>
                <w:szCs w:val="24"/>
                <w:highlight w:val="none"/>
                <w:lang w:val="en-US"/>
              </w:rPr>
              <w:t>工业</w:t>
            </w:r>
          </w:p>
        </w:tc>
      </w:tr>
      <w:tr w14:paraId="36A5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9" w:type="dxa"/>
            <w:tcBorders>
              <w:top w:val="single" w:color="auto" w:sz="4" w:space="0"/>
              <w:left w:val="single" w:color="auto" w:sz="4" w:space="0"/>
              <w:bottom w:val="single" w:color="auto" w:sz="4" w:space="0"/>
              <w:right w:val="single" w:color="auto" w:sz="4" w:space="0"/>
            </w:tcBorders>
            <w:vAlign w:val="center"/>
          </w:tcPr>
          <w:p w14:paraId="45F7F66F">
            <w:pPr>
              <w:jc w:val="center"/>
              <w:rPr>
                <w:rFonts w:hint="eastAsia" w:ascii="仿宋" w:hAnsi="仿宋" w:eastAsia="仿宋" w:cs="仿宋"/>
                <w:b/>
                <w:sz w:val="21"/>
                <w:szCs w:val="21"/>
                <w:highlight w:val="none"/>
              </w:rPr>
            </w:pPr>
            <w:r>
              <w:rPr>
                <w:rFonts w:hint="eastAsia" w:ascii="仿宋" w:hAnsi="仿宋" w:eastAsia="仿宋" w:cs="仿宋"/>
                <w:szCs w:val="21"/>
                <w:highlight w:val="none"/>
              </w:rPr>
              <w:t>2</w:t>
            </w:r>
          </w:p>
        </w:tc>
        <w:tc>
          <w:tcPr>
            <w:tcW w:w="1236" w:type="dxa"/>
            <w:tcBorders>
              <w:top w:val="single" w:color="auto" w:sz="4" w:space="0"/>
              <w:left w:val="single" w:color="auto" w:sz="4" w:space="0"/>
              <w:bottom w:val="single" w:color="auto" w:sz="4" w:space="0"/>
              <w:right w:val="single" w:color="auto" w:sz="4" w:space="0"/>
            </w:tcBorders>
            <w:vAlign w:val="center"/>
          </w:tcPr>
          <w:p w14:paraId="7F94F459">
            <w:pPr>
              <w:jc w:val="center"/>
              <w:rPr>
                <w:rFonts w:hint="eastAsia" w:ascii="仿宋" w:hAnsi="仿宋" w:eastAsia="仿宋" w:cs="仿宋"/>
                <w:b/>
                <w:sz w:val="21"/>
                <w:szCs w:val="21"/>
                <w:highlight w:val="none"/>
              </w:rPr>
            </w:pPr>
            <w:r>
              <w:rPr>
                <w:rFonts w:hint="eastAsia" w:ascii="仿宋" w:hAnsi="仿宋" w:eastAsia="仿宋" w:cs="仿宋"/>
                <w:highlight w:val="none"/>
              </w:rPr>
              <w:t>酸碱柜</w:t>
            </w:r>
          </w:p>
        </w:tc>
        <w:tc>
          <w:tcPr>
            <w:tcW w:w="459" w:type="dxa"/>
            <w:tcBorders>
              <w:top w:val="single" w:color="auto" w:sz="4" w:space="0"/>
              <w:left w:val="single" w:color="auto" w:sz="4" w:space="0"/>
              <w:bottom w:val="single" w:color="auto" w:sz="4" w:space="0"/>
              <w:right w:val="single" w:color="auto" w:sz="4" w:space="0"/>
            </w:tcBorders>
            <w:vAlign w:val="center"/>
          </w:tcPr>
          <w:p w14:paraId="12DC2FCD">
            <w:pPr>
              <w:jc w:val="center"/>
              <w:rPr>
                <w:rFonts w:hint="eastAsia" w:ascii="仿宋" w:hAnsi="仿宋" w:eastAsia="仿宋" w:cs="仿宋"/>
                <w:b/>
                <w:sz w:val="21"/>
                <w:szCs w:val="21"/>
                <w:highlight w:val="none"/>
              </w:rPr>
            </w:pPr>
            <w:r>
              <w:rPr>
                <w:rFonts w:hint="eastAsia" w:ascii="仿宋" w:hAnsi="仿宋" w:eastAsia="仿宋" w:cs="仿宋"/>
                <w:highlight w:val="none"/>
              </w:rPr>
              <w:t>25</w:t>
            </w:r>
          </w:p>
        </w:tc>
        <w:tc>
          <w:tcPr>
            <w:tcW w:w="1153" w:type="dxa"/>
            <w:tcBorders>
              <w:top w:val="single" w:color="auto" w:sz="4" w:space="0"/>
              <w:left w:val="single" w:color="auto" w:sz="4" w:space="0"/>
              <w:bottom w:val="single" w:color="auto" w:sz="4" w:space="0"/>
              <w:right w:val="single" w:color="auto" w:sz="4" w:space="0"/>
            </w:tcBorders>
            <w:vAlign w:val="center"/>
          </w:tcPr>
          <w:p w14:paraId="6653138C">
            <w:pPr>
              <w:jc w:val="center"/>
              <w:rPr>
                <w:rFonts w:hint="eastAsia" w:ascii="仿宋" w:hAnsi="仿宋" w:eastAsia="仿宋" w:cs="仿宋"/>
                <w:b/>
                <w:sz w:val="21"/>
                <w:szCs w:val="21"/>
                <w:highlight w:val="none"/>
              </w:rPr>
            </w:pPr>
            <w:r>
              <w:rPr>
                <w:rFonts w:hint="eastAsia" w:ascii="仿宋" w:hAnsi="仿宋" w:eastAsia="仿宋" w:cs="仿宋"/>
                <w:highlight w:val="none"/>
              </w:rPr>
              <w:t>1年</w:t>
            </w:r>
          </w:p>
        </w:tc>
        <w:tc>
          <w:tcPr>
            <w:tcW w:w="1194" w:type="dxa"/>
            <w:tcBorders>
              <w:top w:val="single" w:color="auto" w:sz="4" w:space="0"/>
              <w:left w:val="single" w:color="auto" w:sz="4" w:space="0"/>
              <w:bottom w:val="single" w:color="auto" w:sz="4" w:space="0"/>
              <w:right w:val="single" w:color="auto" w:sz="4" w:space="0"/>
            </w:tcBorders>
            <w:vAlign w:val="center"/>
          </w:tcPr>
          <w:p w14:paraId="5C333F5A">
            <w:pPr>
              <w:jc w:val="center"/>
              <w:rPr>
                <w:rFonts w:hint="eastAsia" w:ascii="仿宋" w:hAnsi="仿宋" w:eastAsia="仿宋" w:cs="仿宋"/>
                <w:b/>
                <w:sz w:val="21"/>
                <w:szCs w:val="21"/>
                <w:highlight w:val="none"/>
              </w:rPr>
            </w:pPr>
            <w:r>
              <w:rPr>
                <w:rFonts w:hint="eastAsia" w:ascii="仿宋" w:hAnsi="仿宋" w:eastAsia="仿宋" w:cs="仿宋"/>
                <w:highlight w:val="none"/>
              </w:rPr>
              <w:t>合同签订后</w:t>
            </w:r>
            <w:r>
              <w:rPr>
                <w:rFonts w:hint="eastAsia" w:ascii="仿宋" w:hAnsi="仿宋" w:eastAsia="仿宋" w:cs="仿宋"/>
                <w:highlight w:val="none"/>
                <w:lang w:val="en-US"/>
              </w:rPr>
              <w:t>6</w:t>
            </w:r>
            <w:r>
              <w:rPr>
                <w:rFonts w:hint="eastAsia" w:ascii="仿宋" w:hAnsi="仿宋" w:eastAsia="仿宋" w:cs="仿宋"/>
                <w:highlight w:val="none"/>
              </w:rPr>
              <w:t>0个日历日</w:t>
            </w:r>
          </w:p>
        </w:tc>
        <w:tc>
          <w:tcPr>
            <w:tcW w:w="1693" w:type="dxa"/>
            <w:tcBorders>
              <w:top w:val="single" w:color="auto" w:sz="4" w:space="0"/>
              <w:left w:val="single" w:color="auto" w:sz="4" w:space="0"/>
              <w:bottom w:val="single" w:color="auto" w:sz="4" w:space="0"/>
              <w:right w:val="single" w:color="auto" w:sz="4" w:space="0"/>
            </w:tcBorders>
            <w:vAlign w:val="center"/>
          </w:tcPr>
          <w:p w14:paraId="7A85C431">
            <w:pPr>
              <w:pStyle w:val="30"/>
              <w:jc w:val="center"/>
              <w:rPr>
                <w:rFonts w:hint="eastAsia" w:ascii="仿宋" w:hAnsi="仿宋" w:eastAsia="仿宋" w:cs="仿宋"/>
                <w:b/>
                <w:sz w:val="21"/>
                <w:szCs w:val="21"/>
                <w:highlight w:val="none"/>
              </w:rPr>
            </w:pPr>
            <w:r>
              <w:rPr>
                <w:rFonts w:hint="eastAsia" w:ascii="仿宋" w:hAnsi="仿宋" w:eastAsia="仿宋" w:cs="仿宋"/>
                <w:kern w:val="2"/>
                <w:sz w:val="21"/>
                <w:highlight w:val="none"/>
              </w:rPr>
              <w:t>5</w:t>
            </w:r>
          </w:p>
        </w:tc>
        <w:tc>
          <w:tcPr>
            <w:tcW w:w="988" w:type="dxa"/>
            <w:vMerge w:val="continue"/>
            <w:tcBorders>
              <w:left w:val="single" w:color="auto" w:sz="4" w:space="0"/>
              <w:right w:val="single" w:color="auto" w:sz="4" w:space="0"/>
            </w:tcBorders>
            <w:vAlign w:val="center"/>
          </w:tcPr>
          <w:p w14:paraId="4091E4DF">
            <w:pPr>
              <w:snapToGrid w:val="0"/>
              <w:jc w:val="center"/>
              <w:rPr>
                <w:rFonts w:hint="eastAsia" w:ascii="仿宋" w:hAnsi="仿宋" w:eastAsia="仿宋" w:cs="仿宋"/>
                <w:b/>
                <w:sz w:val="21"/>
                <w:szCs w:val="21"/>
                <w:highlight w:val="none"/>
                <w:lang w:val="en-US"/>
              </w:rPr>
            </w:pPr>
          </w:p>
        </w:tc>
        <w:tc>
          <w:tcPr>
            <w:tcW w:w="568" w:type="dxa"/>
            <w:tcBorders>
              <w:top w:val="single" w:color="auto" w:sz="4" w:space="0"/>
              <w:left w:val="single" w:color="auto" w:sz="4" w:space="0"/>
              <w:bottom w:val="single" w:color="auto" w:sz="4" w:space="0"/>
              <w:right w:val="single" w:color="auto" w:sz="4" w:space="0"/>
            </w:tcBorders>
            <w:vAlign w:val="center"/>
          </w:tcPr>
          <w:p w14:paraId="2CA4E059">
            <w:pPr>
              <w:snapToGrid w:val="0"/>
              <w:jc w:val="center"/>
              <w:rPr>
                <w:rFonts w:hint="eastAsia" w:ascii="仿宋" w:hAnsi="仿宋" w:eastAsia="仿宋" w:cs="仿宋"/>
                <w:b/>
                <w:sz w:val="21"/>
                <w:szCs w:val="21"/>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14:paraId="00D4B60E">
            <w:pPr>
              <w:snapToGrid w:val="0"/>
              <w:jc w:val="center"/>
              <w:rPr>
                <w:rFonts w:hint="eastAsia" w:ascii="仿宋" w:hAnsi="仿宋" w:eastAsia="仿宋" w:cs="仿宋"/>
                <w:b/>
                <w:sz w:val="21"/>
                <w:szCs w:val="21"/>
                <w:highlight w:val="none"/>
              </w:rPr>
            </w:pPr>
            <w:r>
              <w:rPr>
                <w:rFonts w:hint="eastAsia" w:ascii="仿宋" w:hAnsi="仿宋" w:eastAsia="仿宋" w:cs="仿宋"/>
                <w:kern w:val="2"/>
                <w:sz w:val="21"/>
                <w:szCs w:val="21"/>
                <w:highlight w:val="none"/>
              </w:rPr>
              <w:t>新疆特色中药民族药综合开发利用平台</w:t>
            </w:r>
          </w:p>
        </w:tc>
        <w:tc>
          <w:tcPr>
            <w:tcW w:w="1325" w:type="dxa"/>
            <w:tcBorders>
              <w:top w:val="single" w:color="auto" w:sz="4" w:space="0"/>
              <w:left w:val="single" w:color="auto" w:sz="4" w:space="0"/>
              <w:bottom w:val="single" w:color="auto" w:sz="4" w:space="0"/>
              <w:right w:val="single" w:color="auto" w:sz="4" w:space="0"/>
            </w:tcBorders>
            <w:vAlign w:val="center"/>
          </w:tcPr>
          <w:p w14:paraId="4D126CDA">
            <w:pPr>
              <w:snapToGrid w:val="0"/>
              <w:jc w:val="center"/>
              <w:rPr>
                <w:rFonts w:hint="eastAsia" w:ascii="仿宋" w:hAnsi="仿宋" w:eastAsia="仿宋" w:cs="仿宋"/>
                <w:kern w:val="2"/>
                <w:sz w:val="21"/>
                <w:szCs w:val="21"/>
                <w:highlight w:val="none"/>
              </w:rPr>
            </w:pPr>
            <w:r>
              <w:rPr>
                <w:rFonts w:hint="eastAsia" w:ascii="仿宋" w:hAnsi="仿宋" w:eastAsia="仿宋" w:cs="仿宋"/>
                <w:b/>
                <w:bCs/>
                <w:color w:val="auto"/>
                <w:sz w:val="24"/>
                <w:szCs w:val="24"/>
                <w:highlight w:val="none"/>
                <w:lang w:val="en-US"/>
              </w:rPr>
              <w:t>工业</w:t>
            </w:r>
          </w:p>
        </w:tc>
      </w:tr>
      <w:tr w14:paraId="78F4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Borders>
              <w:top w:val="single" w:color="auto" w:sz="4" w:space="0"/>
              <w:left w:val="single" w:color="auto" w:sz="4" w:space="0"/>
              <w:bottom w:val="single" w:color="auto" w:sz="4" w:space="0"/>
              <w:right w:val="single" w:color="auto" w:sz="4" w:space="0"/>
            </w:tcBorders>
            <w:vAlign w:val="center"/>
          </w:tcPr>
          <w:p w14:paraId="4D976FCD">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236" w:type="dxa"/>
            <w:tcBorders>
              <w:top w:val="single" w:color="auto" w:sz="4" w:space="0"/>
              <w:left w:val="single" w:color="auto" w:sz="4" w:space="0"/>
              <w:bottom w:val="single" w:color="auto" w:sz="4" w:space="0"/>
              <w:right w:val="single" w:color="auto" w:sz="4" w:space="0"/>
            </w:tcBorders>
            <w:vAlign w:val="center"/>
          </w:tcPr>
          <w:p w14:paraId="19872544">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动物细胞培养与复杂蛋白制备系统</w:t>
            </w:r>
          </w:p>
        </w:tc>
        <w:tc>
          <w:tcPr>
            <w:tcW w:w="459" w:type="dxa"/>
            <w:tcBorders>
              <w:top w:val="single" w:color="auto" w:sz="4" w:space="0"/>
              <w:left w:val="single" w:color="auto" w:sz="4" w:space="0"/>
              <w:bottom w:val="single" w:color="auto" w:sz="4" w:space="0"/>
              <w:right w:val="single" w:color="auto" w:sz="4" w:space="0"/>
            </w:tcBorders>
            <w:vAlign w:val="center"/>
          </w:tcPr>
          <w:p w14:paraId="5B4602C4">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153" w:type="dxa"/>
            <w:tcBorders>
              <w:top w:val="single" w:color="auto" w:sz="4" w:space="0"/>
              <w:left w:val="single" w:color="auto" w:sz="4" w:space="0"/>
              <w:bottom w:val="single" w:color="auto" w:sz="4" w:space="0"/>
              <w:right w:val="single" w:color="auto" w:sz="4" w:space="0"/>
            </w:tcBorders>
            <w:vAlign w:val="center"/>
          </w:tcPr>
          <w:p w14:paraId="6C308F4E">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1年</w:t>
            </w:r>
          </w:p>
        </w:tc>
        <w:tc>
          <w:tcPr>
            <w:tcW w:w="1194" w:type="dxa"/>
            <w:tcBorders>
              <w:top w:val="single" w:color="auto" w:sz="4" w:space="0"/>
              <w:left w:val="single" w:color="auto" w:sz="4" w:space="0"/>
              <w:bottom w:val="single" w:color="auto" w:sz="4" w:space="0"/>
              <w:right w:val="single" w:color="auto" w:sz="4" w:space="0"/>
            </w:tcBorders>
            <w:vAlign w:val="center"/>
          </w:tcPr>
          <w:p w14:paraId="4630C43D">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合同签订后</w:t>
            </w:r>
            <w:r>
              <w:rPr>
                <w:rFonts w:hint="eastAsia" w:ascii="仿宋" w:hAnsi="仿宋" w:eastAsia="仿宋" w:cs="仿宋"/>
                <w:sz w:val="21"/>
                <w:szCs w:val="21"/>
                <w:highlight w:val="none"/>
                <w:lang w:val="en-US"/>
              </w:rPr>
              <w:t>6</w:t>
            </w:r>
            <w:r>
              <w:rPr>
                <w:rFonts w:hint="eastAsia" w:ascii="仿宋" w:hAnsi="仿宋" w:eastAsia="仿宋" w:cs="仿宋"/>
                <w:sz w:val="21"/>
                <w:szCs w:val="21"/>
                <w:highlight w:val="none"/>
              </w:rPr>
              <w:t>0个日历日</w:t>
            </w:r>
          </w:p>
        </w:tc>
        <w:tc>
          <w:tcPr>
            <w:tcW w:w="1693" w:type="dxa"/>
            <w:tcBorders>
              <w:top w:val="single" w:color="auto" w:sz="4" w:space="0"/>
              <w:left w:val="single" w:color="auto" w:sz="4" w:space="0"/>
              <w:bottom w:val="single" w:color="auto" w:sz="4" w:space="0"/>
              <w:right w:val="single" w:color="auto" w:sz="4" w:space="0"/>
            </w:tcBorders>
            <w:vAlign w:val="center"/>
          </w:tcPr>
          <w:p w14:paraId="1DA6925B">
            <w:pPr>
              <w:pStyle w:val="30"/>
              <w:snapToGrid w:val="0"/>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98.2</w:t>
            </w:r>
          </w:p>
        </w:tc>
        <w:tc>
          <w:tcPr>
            <w:tcW w:w="988" w:type="dxa"/>
            <w:vMerge w:val="continue"/>
            <w:tcBorders>
              <w:left w:val="single" w:color="auto" w:sz="4" w:space="0"/>
              <w:right w:val="single" w:color="auto" w:sz="4" w:space="0"/>
            </w:tcBorders>
            <w:vAlign w:val="center"/>
          </w:tcPr>
          <w:p w14:paraId="2EB1B6E1">
            <w:pPr>
              <w:pStyle w:val="30"/>
              <w:snapToGrid w:val="0"/>
              <w:jc w:val="center"/>
              <w:rPr>
                <w:rFonts w:hint="eastAsia" w:ascii="仿宋" w:hAnsi="仿宋" w:eastAsia="仿宋" w:cs="仿宋"/>
                <w:kern w:val="2"/>
                <w:sz w:val="21"/>
                <w:szCs w:val="21"/>
                <w:highlight w:val="none"/>
              </w:rPr>
            </w:pPr>
          </w:p>
        </w:tc>
        <w:tc>
          <w:tcPr>
            <w:tcW w:w="568" w:type="dxa"/>
            <w:tcBorders>
              <w:top w:val="single" w:color="auto" w:sz="4" w:space="0"/>
              <w:left w:val="single" w:color="auto" w:sz="4" w:space="0"/>
              <w:bottom w:val="single" w:color="auto" w:sz="4" w:space="0"/>
              <w:right w:val="single" w:color="auto" w:sz="4" w:space="0"/>
            </w:tcBorders>
            <w:vAlign w:val="center"/>
          </w:tcPr>
          <w:p w14:paraId="366E2115">
            <w:pPr>
              <w:pStyle w:val="30"/>
              <w:snapToGrid w:val="0"/>
              <w:jc w:val="center"/>
              <w:rPr>
                <w:rFonts w:hint="eastAsia" w:ascii="仿宋" w:hAnsi="仿宋" w:eastAsia="仿宋" w:cs="仿宋"/>
                <w:kern w:val="2"/>
                <w:sz w:val="21"/>
                <w:szCs w:val="21"/>
                <w:highlight w:val="none"/>
                <w:lang w:val="en-US"/>
              </w:rPr>
            </w:pPr>
            <w:r>
              <w:rPr>
                <w:rFonts w:hint="eastAsia" w:ascii="仿宋" w:hAnsi="仿宋" w:eastAsia="仿宋" w:cs="仿宋"/>
                <w:kern w:val="2"/>
                <w:sz w:val="21"/>
                <w:szCs w:val="21"/>
                <w:highlight w:val="none"/>
                <w:lang w:val="en-US"/>
              </w:rPr>
              <w:t>是</w:t>
            </w:r>
          </w:p>
        </w:tc>
        <w:tc>
          <w:tcPr>
            <w:tcW w:w="1325" w:type="dxa"/>
            <w:tcBorders>
              <w:top w:val="single" w:color="auto" w:sz="4" w:space="0"/>
              <w:left w:val="single" w:color="auto" w:sz="4" w:space="0"/>
              <w:bottom w:val="single" w:color="auto" w:sz="4" w:space="0"/>
              <w:right w:val="single" w:color="auto" w:sz="4" w:space="0"/>
            </w:tcBorders>
            <w:vAlign w:val="center"/>
          </w:tcPr>
          <w:p w14:paraId="5C544E41">
            <w:pPr>
              <w:pStyle w:val="30"/>
              <w:snapToGrid w:val="0"/>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新疆特色中药民族药综合开发利用平台</w:t>
            </w:r>
          </w:p>
        </w:tc>
        <w:tc>
          <w:tcPr>
            <w:tcW w:w="1325" w:type="dxa"/>
            <w:tcBorders>
              <w:top w:val="single" w:color="auto" w:sz="4" w:space="0"/>
              <w:left w:val="single" w:color="auto" w:sz="4" w:space="0"/>
              <w:bottom w:val="single" w:color="auto" w:sz="4" w:space="0"/>
              <w:right w:val="single" w:color="auto" w:sz="4" w:space="0"/>
            </w:tcBorders>
            <w:vAlign w:val="center"/>
          </w:tcPr>
          <w:p w14:paraId="776ADE5D">
            <w:pPr>
              <w:pStyle w:val="30"/>
              <w:snapToGrid w:val="0"/>
              <w:jc w:val="center"/>
              <w:rPr>
                <w:rFonts w:hint="eastAsia" w:ascii="仿宋" w:hAnsi="仿宋" w:eastAsia="仿宋" w:cs="仿宋"/>
                <w:kern w:val="2"/>
                <w:sz w:val="21"/>
                <w:szCs w:val="21"/>
                <w:highlight w:val="none"/>
              </w:rPr>
            </w:pPr>
            <w:r>
              <w:rPr>
                <w:rFonts w:hint="eastAsia" w:ascii="仿宋" w:hAnsi="仿宋" w:eastAsia="仿宋" w:cs="仿宋"/>
                <w:b/>
                <w:bCs/>
                <w:color w:val="auto"/>
                <w:sz w:val="24"/>
                <w:szCs w:val="24"/>
                <w:highlight w:val="none"/>
                <w:lang w:val="en-US"/>
              </w:rPr>
              <w:t>工业</w:t>
            </w:r>
          </w:p>
        </w:tc>
      </w:tr>
      <w:tr w14:paraId="5DEE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Borders>
              <w:top w:val="single" w:color="auto" w:sz="4" w:space="0"/>
              <w:left w:val="single" w:color="auto" w:sz="4" w:space="0"/>
              <w:bottom w:val="single" w:color="auto" w:sz="4" w:space="0"/>
              <w:right w:val="single" w:color="auto" w:sz="4" w:space="0"/>
            </w:tcBorders>
            <w:vAlign w:val="center"/>
          </w:tcPr>
          <w:p w14:paraId="40465EF8">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236" w:type="dxa"/>
            <w:tcBorders>
              <w:top w:val="single" w:color="auto" w:sz="4" w:space="0"/>
              <w:left w:val="single" w:color="auto" w:sz="4" w:space="0"/>
              <w:bottom w:val="single" w:color="auto" w:sz="4" w:space="0"/>
              <w:right w:val="single" w:color="auto" w:sz="4" w:space="0"/>
            </w:tcBorders>
            <w:vAlign w:val="center"/>
          </w:tcPr>
          <w:p w14:paraId="0A5BC529">
            <w:pPr>
              <w:widowControl/>
              <w:snapToGrid w:val="0"/>
              <w:jc w:val="center"/>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落地冷冻离心机</w:t>
            </w:r>
          </w:p>
        </w:tc>
        <w:tc>
          <w:tcPr>
            <w:tcW w:w="459" w:type="dxa"/>
            <w:tcBorders>
              <w:top w:val="single" w:color="auto" w:sz="4" w:space="0"/>
              <w:left w:val="single" w:color="auto" w:sz="4" w:space="0"/>
              <w:bottom w:val="single" w:color="auto" w:sz="4" w:space="0"/>
              <w:right w:val="single" w:color="auto" w:sz="4" w:space="0"/>
            </w:tcBorders>
            <w:vAlign w:val="center"/>
          </w:tcPr>
          <w:p w14:paraId="1A18C4F1">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153" w:type="dxa"/>
            <w:tcBorders>
              <w:top w:val="single" w:color="auto" w:sz="4" w:space="0"/>
              <w:left w:val="single" w:color="auto" w:sz="4" w:space="0"/>
              <w:bottom w:val="single" w:color="auto" w:sz="4" w:space="0"/>
              <w:right w:val="single" w:color="auto" w:sz="4" w:space="0"/>
            </w:tcBorders>
            <w:vAlign w:val="center"/>
          </w:tcPr>
          <w:p w14:paraId="5B907802">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1年</w:t>
            </w:r>
          </w:p>
        </w:tc>
        <w:tc>
          <w:tcPr>
            <w:tcW w:w="1194" w:type="dxa"/>
            <w:tcBorders>
              <w:top w:val="single" w:color="auto" w:sz="4" w:space="0"/>
              <w:left w:val="single" w:color="auto" w:sz="4" w:space="0"/>
              <w:bottom w:val="single" w:color="auto" w:sz="4" w:space="0"/>
              <w:right w:val="single" w:color="auto" w:sz="4" w:space="0"/>
            </w:tcBorders>
            <w:vAlign w:val="center"/>
          </w:tcPr>
          <w:p w14:paraId="30029B7C">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合同签订后</w:t>
            </w:r>
            <w:r>
              <w:rPr>
                <w:rFonts w:hint="eastAsia" w:ascii="仿宋" w:hAnsi="仿宋" w:eastAsia="仿宋" w:cs="仿宋"/>
                <w:sz w:val="21"/>
                <w:szCs w:val="21"/>
                <w:highlight w:val="none"/>
                <w:lang w:val="en-US"/>
              </w:rPr>
              <w:t>6</w:t>
            </w:r>
            <w:r>
              <w:rPr>
                <w:rFonts w:hint="eastAsia" w:ascii="仿宋" w:hAnsi="仿宋" w:eastAsia="仿宋" w:cs="仿宋"/>
                <w:sz w:val="21"/>
                <w:szCs w:val="21"/>
                <w:highlight w:val="none"/>
              </w:rPr>
              <w:t>0个日历日</w:t>
            </w:r>
          </w:p>
        </w:tc>
        <w:tc>
          <w:tcPr>
            <w:tcW w:w="1693" w:type="dxa"/>
            <w:tcBorders>
              <w:top w:val="single" w:color="auto" w:sz="4" w:space="0"/>
              <w:left w:val="single" w:color="auto" w:sz="4" w:space="0"/>
              <w:bottom w:val="single" w:color="auto" w:sz="4" w:space="0"/>
              <w:right w:val="single" w:color="auto" w:sz="4" w:space="0"/>
            </w:tcBorders>
            <w:vAlign w:val="center"/>
          </w:tcPr>
          <w:p w14:paraId="27DCB774">
            <w:pPr>
              <w:pStyle w:val="30"/>
              <w:snapToGrid w:val="0"/>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15</w:t>
            </w:r>
          </w:p>
        </w:tc>
        <w:tc>
          <w:tcPr>
            <w:tcW w:w="988" w:type="dxa"/>
            <w:vMerge w:val="continue"/>
            <w:tcBorders>
              <w:left w:val="single" w:color="auto" w:sz="4" w:space="0"/>
              <w:right w:val="single" w:color="auto" w:sz="4" w:space="0"/>
            </w:tcBorders>
            <w:vAlign w:val="center"/>
          </w:tcPr>
          <w:p w14:paraId="623743D5">
            <w:pPr>
              <w:pStyle w:val="30"/>
              <w:snapToGrid w:val="0"/>
              <w:jc w:val="center"/>
              <w:rPr>
                <w:rFonts w:hint="eastAsia" w:ascii="仿宋" w:hAnsi="仿宋" w:eastAsia="仿宋" w:cs="仿宋"/>
                <w:kern w:val="2"/>
                <w:sz w:val="21"/>
                <w:szCs w:val="21"/>
                <w:highlight w:val="none"/>
              </w:rPr>
            </w:pPr>
          </w:p>
        </w:tc>
        <w:tc>
          <w:tcPr>
            <w:tcW w:w="568" w:type="dxa"/>
            <w:tcBorders>
              <w:top w:val="single" w:color="auto" w:sz="4" w:space="0"/>
              <w:left w:val="single" w:color="auto" w:sz="4" w:space="0"/>
              <w:bottom w:val="single" w:color="auto" w:sz="4" w:space="0"/>
              <w:right w:val="single" w:color="auto" w:sz="4" w:space="0"/>
            </w:tcBorders>
            <w:vAlign w:val="center"/>
          </w:tcPr>
          <w:p w14:paraId="66426620">
            <w:pPr>
              <w:pStyle w:val="30"/>
              <w:snapToGrid w:val="0"/>
              <w:jc w:val="center"/>
              <w:rPr>
                <w:rFonts w:hint="eastAsia" w:ascii="仿宋" w:hAnsi="仿宋" w:eastAsia="仿宋" w:cs="仿宋"/>
                <w:kern w:val="2"/>
                <w:sz w:val="21"/>
                <w:szCs w:val="21"/>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14:paraId="7B33B685">
            <w:pPr>
              <w:pStyle w:val="30"/>
              <w:snapToGrid w:val="0"/>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新疆特色中药民族药综合开发利用平台</w:t>
            </w:r>
          </w:p>
        </w:tc>
        <w:tc>
          <w:tcPr>
            <w:tcW w:w="1325" w:type="dxa"/>
            <w:tcBorders>
              <w:top w:val="single" w:color="auto" w:sz="4" w:space="0"/>
              <w:left w:val="single" w:color="auto" w:sz="4" w:space="0"/>
              <w:bottom w:val="single" w:color="auto" w:sz="4" w:space="0"/>
              <w:right w:val="single" w:color="auto" w:sz="4" w:space="0"/>
            </w:tcBorders>
            <w:vAlign w:val="center"/>
          </w:tcPr>
          <w:p w14:paraId="538E9E4F">
            <w:pPr>
              <w:pStyle w:val="30"/>
              <w:snapToGrid w:val="0"/>
              <w:jc w:val="center"/>
              <w:rPr>
                <w:rFonts w:hint="eastAsia" w:ascii="仿宋" w:hAnsi="仿宋" w:eastAsia="仿宋" w:cs="仿宋"/>
                <w:kern w:val="2"/>
                <w:sz w:val="21"/>
                <w:szCs w:val="21"/>
                <w:highlight w:val="none"/>
              </w:rPr>
            </w:pPr>
            <w:r>
              <w:rPr>
                <w:rFonts w:hint="eastAsia" w:ascii="仿宋" w:hAnsi="仿宋" w:eastAsia="仿宋" w:cs="仿宋"/>
                <w:b/>
                <w:bCs/>
                <w:color w:val="auto"/>
                <w:sz w:val="24"/>
                <w:szCs w:val="24"/>
                <w:highlight w:val="none"/>
                <w:lang w:val="en-US"/>
              </w:rPr>
              <w:t>工业</w:t>
            </w:r>
          </w:p>
        </w:tc>
      </w:tr>
      <w:tr w14:paraId="0A39F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9" w:type="dxa"/>
            <w:tcBorders>
              <w:top w:val="single" w:color="auto" w:sz="4" w:space="0"/>
              <w:left w:val="single" w:color="auto" w:sz="4" w:space="0"/>
              <w:bottom w:val="single" w:color="auto" w:sz="4" w:space="0"/>
              <w:right w:val="single" w:color="auto" w:sz="4" w:space="0"/>
            </w:tcBorders>
            <w:vAlign w:val="center"/>
          </w:tcPr>
          <w:p w14:paraId="79D168A6">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236" w:type="dxa"/>
            <w:tcBorders>
              <w:top w:val="single" w:color="auto" w:sz="4" w:space="0"/>
              <w:left w:val="single" w:color="auto" w:sz="4" w:space="0"/>
              <w:bottom w:val="single" w:color="auto" w:sz="4" w:space="0"/>
              <w:right w:val="single" w:color="auto" w:sz="4" w:space="0"/>
            </w:tcBorders>
            <w:vAlign w:val="center"/>
          </w:tcPr>
          <w:p w14:paraId="22308825">
            <w:pPr>
              <w:widowControl/>
              <w:snapToGrid w:val="0"/>
              <w:jc w:val="center"/>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lang w:bidi="ar"/>
              </w:rPr>
              <w:t>台式高速冷冻离心机</w:t>
            </w:r>
          </w:p>
        </w:tc>
        <w:tc>
          <w:tcPr>
            <w:tcW w:w="459" w:type="dxa"/>
            <w:tcBorders>
              <w:top w:val="single" w:color="auto" w:sz="4" w:space="0"/>
              <w:left w:val="single" w:color="auto" w:sz="4" w:space="0"/>
              <w:bottom w:val="single" w:color="auto" w:sz="4" w:space="0"/>
              <w:right w:val="single" w:color="auto" w:sz="4" w:space="0"/>
            </w:tcBorders>
            <w:vAlign w:val="center"/>
          </w:tcPr>
          <w:p w14:paraId="2200A946">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153" w:type="dxa"/>
            <w:tcBorders>
              <w:top w:val="single" w:color="auto" w:sz="4" w:space="0"/>
              <w:left w:val="single" w:color="auto" w:sz="4" w:space="0"/>
              <w:bottom w:val="single" w:color="auto" w:sz="4" w:space="0"/>
              <w:right w:val="single" w:color="auto" w:sz="4" w:space="0"/>
            </w:tcBorders>
            <w:vAlign w:val="center"/>
          </w:tcPr>
          <w:p w14:paraId="7095F9E3">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1年</w:t>
            </w:r>
          </w:p>
        </w:tc>
        <w:tc>
          <w:tcPr>
            <w:tcW w:w="1194" w:type="dxa"/>
            <w:tcBorders>
              <w:top w:val="single" w:color="auto" w:sz="4" w:space="0"/>
              <w:left w:val="single" w:color="auto" w:sz="4" w:space="0"/>
              <w:bottom w:val="single" w:color="auto" w:sz="4" w:space="0"/>
              <w:right w:val="single" w:color="auto" w:sz="4" w:space="0"/>
            </w:tcBorders>
            <w:vAlign w:val="center"/>
          </w:tcPr>
          <w:p w14:paraId="0E1FBFE3">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合同签订后</w:t>
            </w:r>
            <w:r>
              <w:rPr>
                <w:rFonts w:hint="eastAsia" w:ascii="仿宋" w:hAnsi="仿宋" w:eastAsia="仿宋" w:cs="仿宋"/>
                <w:sz w:val="21"/>
                <w:szCs w:val="21"/>
                <w:highlight w:val="none"/>
                <w:lang w:val="en-US"/>
              </w:rPr>
              <w:t>6</w:t>
            </w:r>
            <w:r>
              <w:rPr>
                <w:rFonts w:hint="eastAsia" w:ascii="仿宋" w:hAnsi="仿宋" w:eastAsia="仿宋" w:cs="仿宋"/>
                <w:sz w:val="21"/>
                <w:szCs w:val="21"/>
                <w:highlight w:val="none"/>
              </w:rPr>
              <w:t>0个日历日</w:t>
            </w:r>
          </w:p>
        </w:tc>
        <w:tc>
          <w:tcPr>
            <w:tcW w:w="1693" w:type="dxa"/>
            <w:tcBorders>
              <w:top w:val="single" w:color="auto" w:sz="4" w:space="0"/>
              <w:left w:val="single" w:color="auto" w:sz="4" w:space="0"/>
              <w:bottom w:val="single" w:color="auto" w:sz="4" w:space="0"/>
              <w:right w:val="single" w:color="auto" w:sz="4" w:space="0"/>
            </w:tcBorders>
            <w:vAlign w:val="center"/>
          </w:tcPr>
          <w:p w14:paraId="46B13F7C">
            <w:pPr>
              <w:pStyle w:val="30"/>
              <w:snapToGrid w:val="0"/>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10</w:t>
            </w:r>
          </w:p>
        </w:tc>
        <w:tc>
          <w:tcPr>
            <w:tcW w:w="988" w:type="dxa"/>
            <w:vMerge w:val="continue"/>
            <w:tcBorders>
              <w:left w:val="single" w:color="auto" w:sz="4" w:space="0"/>
              <w:right w:val="single" w:color="auto" w:sz="4" w:space="0"/>
            </w:tcBorders>
            <w:vAlign w:val="center"/>
          </w:tcPr>
          <w:p w14:paraId="6EF0E8D1">
            <w:pPr>
              <w:pStyle w:val="30"/>
              <w:snapToGrid w:val="0"/>
              <w:jc w:val="center"/>
              <w:rPr>
                <w:rFonts w:hint="eastAsia" w:ascii="仿宋" w:hAnsi="仿宋" w:eastAsia="仿宋" w:cs="仿宋"/>
                <w:kern w:val="2"/>
                <w:sz w:val="21"/>
                <w:szCs w:val="21"/>
                <w:highlight w:val="none"/>
              </w:rPr>
            </w:pPr>
          </w:p>
        </w:tc>
        <w:tc>
          <w:tcPr>
            <w:tcW w:w="568" w:type="dxa"/>
            <w:tcBorders>
              <w:top w:val="single" w:color="auto" w:sz="4" w:space="0"/>
              <w:left w:val="single" w:color="auto" w:sz="4" w:space="0"/>
              <w:bottom w:val="single" w:color="auto" w:sz="4" w:space="0"/>
              <w:right w:val="single" w:color="auto" w:sz="4" w:space="0"/>
            </w:tcBorders>
            <w:vAlign w:val="center"/>
          </w:tcPr>
          <w:p w14:paraId="59AD34C8">
            <w:pPr>
              <w:pStyle w:val="30"/>
              <w:snapToGrid w:val="0"/>
              <w:jc w:val="center"/>
              <w:rPr>
                <w:rFonts w:hint="eastAsia" w:ascii="仿宋" w:hAnsi="仿宋" w:eastAsia="仿宋" w:cs="仿宋"/>
                <w:kern w:val="2"/>
                <w:sz w:val="21"/>
                <w:szCs w:val="21"/>
                <w:highlight w:val="none"/>
              </w:rPr>
            </w:pPr>
          </w:p>
        </w:tc>
        <w:tc>
          <w:tcPr>
            <w:tcW w:w="1325" w:type="dxa"/>
            <w:tcBorders>
              <w:top w:val="single" w:color="auto" w:sz="4" w:space="0"/>
              <w:left w:val="single" w:color="auto" w:sz="4" w:space="0"/>
              <w:bottom w:val="single" w:color="auto" w:sz="4" w:space="0"/>
              <w:right w:val="single" w:color="auto" w:sz="4" w:space="0"/>
            </w:tcBorders>
            <w:vAlign w:val="center"/>
          </w:tcPr>
          <w:p w14:paraId="15F2C9E9">
            <w:pPr>
              <w:pStyle w:val="30"/>
              <w:snapToGrid w:val="0"/>
              <w:jc w:val="center"/>
              <w:rPr>
                <w:rFonts w:hint="eastAsia" w:ascii="仿宋" w:hAnsi="仿宋" w:eastAsia="仿宋" w:cs="仿宋"/>
                <w:kern w:val="2"/>
                <w:sz w:val="21"/>
                <w:szCs w:val="21"/>
                <w:highlight w:val="none"/>
              </w:rPr>
            </w:pPr>
            <w:r>
              <w:rPr>
                <w:rFonts w:hint="eastAsia" w:ascii="仿宋" w:hAnsi="仿宋" w:eastAsia="仿宋" w:cs="仿宋"/>
                <w:kern w:val="2"/>
                <w:sz w:val="21"/>
                <w:szCs w:val="21"/>
                <w:highlight w:val="none"/>
              </w:rPr>
              <w:t>新疆特色中药民族药综合开发利用平台</w:t>
            </w:r>
          </w:p>
        </w:tc>
        <w:tc>
          <w:tcPr>
            <w:tcW w:w="1325" w:type="dxa"/>
            <w:tcBorders>
              <w:top w:val="single" w:color="auto" w:sz="4" w:space="0"/>
              <w:left w:val="single" w:color="auto" w:sz="4" w:space="0"/>
              <w:bottom w:val="single" w:color="auto" w:sz="4" w:space="0"/>
              <w:right w:val="single" w:color="auto" w:sz="4" w:space="0"/>
            </w:tcBorders>
            <w:vAlign w:val="center"/>
          </w:tcPr>
          <w:p w14:paraId="2DE50666">
            <w:pPr>
              <w:pStyle w:val="30"/>
              <w:snapToGrid w:val="0"/>
              <w:jc w:val="center"/>
              <w:rPr>
                <w:rFonts w:hint="eastAsia" w:ascii="仿宋" w:hAnsi="仿宋" w:eastAsia="仿宋" w:cs="仿宋"/>
                <w:kern w:val="2"/>
                <w:sz w:val="21"/>
                <w:szCs w:val="21"/>
                <w:highlight w:val="none"/>
              </w:rPr>
            </w:pPr>
            <w:r>
              <w:rPr>
                <w:rFonts w:hint="eastAsia" w:ascii="仿宋" w:hAnsi="仿宋" w:eastAsia="仿宋" w:cs="仿宋"/>
                <w:b/>
                <w:bCs/>
                <w:color w:val="auto"/>
                <w:sz w:val="24"/>
                <w:szCs w:val="24"/>
                <w:highlight w:val="none"/>
                <w:lang w:val="en-US"/>
              </w:rPr>
              <w:t>工业</w:t>
            </w:r>
          </w:p>
        </w:tc>
      </w:tr>
      <w:tr w14:paraId="6D9C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0" w:type="dxa"/>
            <w:gridSpan w:val="10"/>
            <w:tcBorders>
              <w:top w:val="single" w:color="auto" w:sz="4" w:space="0"/>
              <w:left w:val="single" w:color="auto" w:sz="4" w:space="0"/>
              <w:bottom w:val="single" w:color="auto" w:sz="4" w:space="0"/>
              <w:right w:val="single" w:color="auto" w:sz="4" w:space="0"/>
            </w:tcBorders>
            <w:vAlign w:val="center"/>
          </w:tcPr>
          <w:p w14:paraId="2856486E">
            <w:pPr>
              <w:pStyle w:val="30"/>
              <w:jc w:val="both"/>
              <w:rPr>
                <w:rFonts w:hint="eastAsia" w:ascii="仿宋" w:hAnsi="仿宋" w:eastAsia="仿宋" w:cs="仿宋"/>
                <w:b/>
                <w:bCs/>
                <w:color w:val="auto"/>
                <w:sz w:val="24"/>
                <w:szCs w:val="24"/>
                <w:highlight w:val="none"/>
                <w:lang w:val="en-US"/>
              </w:rPr>
            </w:pPr>
            <w:r>
              <w:rPr>
                <w:rFonts w:hint="eastAsia" w:ascii="仿宋" w:hAnsi="仿宋" w:eastAsia="仿宋" w:cs="仿宋"/>
                <w:color w:val="000000"/>
                <w:sz w:val="21"/>
                <w:highlight w:val="none"/>
              </w:rPr>
              <w:t>总价中包括但不限于：税费、运输费、保险费及所配套的土建、吊装就位，培训、安装、调试等所有相关费用。</w:t>
            </w:r>
          </w:p>
        </w:tc>
      </w:tr>
      <w:tr w14:paraId="52F5A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00" w:type="dxa"/>
            <w:gridSpan w:val="10"/>
            <w:tcBorders>
              <w:top w:val="single" w:color="auto" w:sz="4" w:space="0"/>
              <w:left w:val="single" w:color="auto" w:sz="4" w:space="0"/>
              <w:bottom w:val="single" w:color="auto" w:sz="4" w:space="0"/>
              <w:right w:val="single" w:color="auto" w:sz="4" w:space="0"/>
            </w:tcBorders>
            <w:vAlign w:val="center"/>
          </w:tcPr>
          <w:p w14:paraId="07BC8E40">
            <w:pPr>
              <w:pStyle w:val="30"/>
              <w:jc w:val="both"/>
              <w:rPr>
                <w:rFonts w:hint="eastAsia" w:ascii="仿宋" w:hAnsi="仿宋" w:eastAsia="仿宋" w:cs="仿宋"/>
                <w:b/>
                <w:bCs/>
                <w:color w:val="auto"/>
                <w:sz w:val="24"/>
                <w:szCs w:val="24"/>
                <w:highlight w:val="none"/>
                <w:lang w:val="en-US"/>
              </w:rPr>
            </w:pPr>
            <w:r>
              <w:rPr>
                <w:rFonts w:hint="eastAsia" w:ascii="仿宋" w:hAnsi="仿宋" w:eastAsia="仿宋" w:cs="仿宋"/>
                <w:color w:val="000000"/>
                <w:sz w:val="21"/>
                <w:highlight w:val="none"/>
              </w:rPr>
              <w:t>本包总计：</w:t>
            </w:r>
            <w:r>
              <w:rPr>
                <w:rFonts w:hint="eastAsia" w:ascii="仿宋" w:hAnsi="仿宋" w:eastAsia="仿宋" w:cs="仿宋"/>
                <w:color w:val="000000"/>
                <w:sz w:val="21"/>
                <w:highlight w:val="none"/>
                <w:lang w:val="en-US" w:eastAsia="zh-CN"/>
              </w:rPr>
              <w:t>133.00</w:t>
            </w:r>
            <w:r>
              <w:rPr>
                <w:rFonts w:hint="eastAsia" w:ascii="仿宋" w:hAnsi="仿宋" w:eastAsia="仿宋" w:cs="仿宋"/>
                <w:color w:val="000000"/>
                <w:sz w:val="21"/>
                <w:highlight w:val="none"/>
              </w:rPr>
              <w:t>万元       人民币大写：</w:t>
            </w:r>
            <w:r>
              <w:rPr>
                <w:rFonts w:hint="eastAsia" w:ascii="仿宋" w:hAnsi="仿宋" w:eastAsia="仿宋" w:cs="仿宋"/>
                <w:color w:val="000000"/>
                <w:sz w:val="21"/>
                <w:highlight w:val="none"/>
                <w:lang w:val="en-US" w:eastAsia="zh-CN"/>
              </w:rPr>
              <w:t>壹佰叁拾叁万</w:t>
            </w:r>
            <w:r>
              <w:rPr>
                <w:rFonts w:hint="eastAsia" w:ascii="仿宋" w:hAnsi="仿宋" w:eastAsia="仿宋" w:cs="仿宋"/>
                <w:color w:val="000000"/>
                <w:sz w:val="21"/>
                <w:highlight w:val="none"/>
              </w:rPr>
              <w:t>元</w:t>
            </w:r>
          </w:p>
        </w:tc>
      </w:tr>
    </w:tbl>
    <w:p w14:paraId="4A6CEFEA">
      <w:pPr>
        <w:jc w:val="left"/>
        <w:outlineLvl w:val="9"/>
        <w:rPr>
          <w:rFonts w:hint="eastAsia" w:ascii="仿宋" w:hAnsi="仿宋" w:eastAsia="仿宋" w:cs="仿宋"/>
          <w:b/>
          <w:bCs/>
          <w:szCs w:val="24"/>
          <w:highlight w:val="none"/>
          <w:lang w:val="en-US"/>
        </w:rPr>
      </w:pPr>
      <w:r>
        <w:rPr>
          <w:rFonts w:hint="eastAsia" w:ascii="仿宋" w:hAnsi="仿宋" w:eastAsia="仿宋" w:cs="仿宋"/>
          <w:b/>
          <w:bCs/>
          <w:szCs w:val="24"/>
          <w:highlight w:val="none"/>
          <w:lang w:val="en-US"/>
        </w:rPr>
        <w:br w:type="page"/>
      </w:r>
    </w:p>
    <w:p w14:paraId="52ED072E">
      <w:pPr>
        <w:rPr>
          <w:rFonts w:hint="eastAsia" w:ascii="仿宋" w:hAnsi="仿宋" w:eastAsia="仿宋" w:cs="仿宋"/>
          <w:b/>
          <w:bCs/>
          <w:sz w:val="36"/>
          <w:szCs w:val="36"/>
          <w:highlight w:val="none"/>
          <w:lang w:val="en-US"/>
        </w:rPr>
      </w:pPr>
      <w:r>
        <w:rPr>
          <w:rFonts w:hint="eastAsia" w:ascii="仿宋" w:hAnsi="仿宋" w:eastAsia="仿宋" w:cs="仿宋"/>
          <w:b/>
          <w:bCs/>
          <w:sz w:val="28"/>
          <w:szCs w:val="28"/>
          <w:highlight w:val="none"/>
        </w:rPr>
        <w:t>详细技术参数</w:t>
      </w:r>
      <w:r>
        <w:rPr>
          <w:rFonts w:hint="eastAsia" w:ascii="仿宋" w:hAnsi="仿宋" w:eastAsia="仿宋" w:cs="仿宋"/>
          <w:b/>
          <w:bCs/>
          <w:sz w:val="36"/>
          <w:szCs w:val="36"/>
          <w:highlight w:val="none"/>
          <w:lang w:val="en-US"/>
        </w:rPr>
        <w:t>:</w:t>
      </w:r>
    </w:p>
    <w:p w14:paraId="6216BABE">
      <w:pPr>
        <w:spacing w:line="360" w:lineRule="auto"/>
        <w:rPr>
          <w:rFonts w:hint="eastAsia" w:ascii="仿宋" w:hAnsi="仿宋" w:eastAsia="仿宋" w:cs="仿宋"/>
          <w:sz w:val="28"/>
          <w:szCs w:val="28"/>
          <w:highlight w:val="none"/>
        </w:rPr>
      </w:pPr>
      <w:r>
        <w:rPr>
          <w:rFonts w:hint="eastAsia" w:ascii="仿宋" w:hAnsi="仿宋" w:eastAsia="仿宋" w:cs="仿宋"/>
          <w:b/>
          <w:sz w:val="28"/>
          <w:szCs w:val="28"/>
          <w:highlight w:val="none"/>
        </w:rPr>
        <w:t>1、品目名称：防爆药品柜</w:t>
      </w:r>
    </w:p>
    <w:p w14:paraId="5342F348">
      <w:pPr>
        <w:numPr>
          <w:ilvl w:val="0"/>
          <w:numId w:val="5"/>
        </w:num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规格：</w:t>
      </w:r>
    </w:p>
    <w:p w14:paraId="2CC1E16F">
      <w:pPr>
        <w:spacing w:line="360" w:lineRule="auto"/>
        <w:rPr>
          <w:rFonts w:hint="eastAsia" w:ascii="仿宋" w:hAnsi="仿宋" w:eastAsia="仿宋" w:cs="仿宋"/>
          <w:sz w:val="28"/>
          <w:szCs w:val="28"/>
          <w:highlight w:val="none"/>
          <w:lang w:val="en-US"/>
        </w:rPr>
      </w:pPr>
      <w:r>
        <w:rPr>
          <w:rFonts w:hint="eastAsia" w:ascii="仿宋" w:hAnsi="仿宋" w:eastAsia="仿宋" w:cs="仿宋"/>
          <w:sz w:val="28"/>
          <w:szCs w:val="28"/>
          <w:highlight w:val="none"/>
        </w:rPr>
        <w:t>防爆药品柜</w:t>
      </w:r>
      <w:r>
        <w:rPr>
          <w:rFonts w:hint="eastAsia" w:ascii="仿宋" w:hAnsi="仿宋" w:eastAsia="仿宋" w:cs="仿宋"/>
          <w:sz w:val="28"/>
          <w:szCs w:val="28"/>
          <w:highlight w:val="none"/>
          <w:lang w:val="en-US"/>
        </w:rPr>
        <w:t>6套</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rPr>
        <w:t>≥</w:t>
      </w:r>
      <w:r>
        <w:rPr>
          <w:rFonts w:hint="eastAsia" w:ascii="仿宋" w:hAnsi="仿宋" w:eastAsia="仿宋" w:cs="仿宋"/>
          <w:sz w:val="28"/>
          <w:szCs w:val="28"/>
          <w:highlight w:val="none"/>
        </w:rPr>
        <w:t>900*510*1840</w:t>
      </w:r>
      <w:r>
        <w:rPr>
          <w:rFonts w:hint="eastAsia" w:ascii="仿宋" w:hAnsi="仿宋" w:eastAsia="仿宋" w:cs="仿宋"/>
          <w:sz w:val="28"/>
          <w:szCs w:val="28"/>
          <w:highlight w:val="none"/>
          <w:lang w:val="en-US"/>
        </w:rPr>
        <w:t xml:space="preserve"> mm ，提供及安装</w:t>
      </w:r>
      <w:r>
        <w:rPr>
          <w:rFonts w:hint="eastAsia" w:ascii="仿宋" w:hAnsi="仿宋" w:eastAsia="仿宋" w:cs="仿宋"/>
          <w:sz w:val="28"/>
          <w:szCs w:val="28"/>
          <w:highlight w:val="none"/>
        </w:rPr>
        <w:t>出风口</w:t>
      </w:r>
      <w:r>
        <w:rPr>
          <w:rFonts w:hint="eastAsia" w:ascii="仿宋" w:hAnsi="仿宋" w:eastAsia="仿宋" w:cs="仿宋"/>
          <w:sz w:val="28"/>
          <w:szCs w:val="28"/>
          <w:highlight w:val="none"/>
          <w:lang w:val="en-US"/>
        </w:rPr>
        <w:t>管道及附件材料</w:t>
      </w:r>
    </w:p>
    <w:p w14:paraId="2B72DFC0">
      <w:pPr>
        <w:numPr>
          <w:ilvl w:val="0"/>
          <w:numId w:val="5"/>
        </w:num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详细参数</w:t>
      </w:r>
    </w:p>
    <w:p w14:paraId="6C7FF056">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1.易燃品毒害品储存柜外壳体及柜体底座全部采用冷轧钢板，壳体厚度≥1.2mm；柜体底座厚度≥2.0mm。</w:t>
      </w:r>
    </w:p>
    <w:p w14:paraId="20DC6914">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2.易燃品毒害品储存柜体内胆（上，下、左、右内衬板）均采用耐腐蚀板材，厚度≥4mm；柜底部设置旋转式可调进风口；柜体的底板中部设置漏液孔，直径≥10mm，漏液孔上面盖上不低于60目的304以上级别不锈钢网；柜体底部设黄沙(防倒）挡板，高度≥160mm，柜体内部最下层留有可以存放不少于120mm厚黄沙的填埋腔，可用于埋放金属钠、黄磷（白磷）等的易燃物品。</w:t>
      </w:r>
    </w:p>
    <w:p w14:paraId="0A8E1BA5">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3.柜底装有四个移动尼龙轮，便于易燃品毒害品储存柜移动；前轮后有手动调节螺杆，方便危化品储存柜定位。</w:t>
      </w:r>
    </w:p>
    <w:p w14:paraId="2726F6F7">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4.柜中部有一次成型聚丙烯活动层板，数量≥3个，层板四周边缘厚度平均值≥4.0mm；每层阶梯板外延边设置积液槽，积液槽高度平均值≥3.0mm，最大可能防止液体外溢；每个搁板靠背板处设置导风口，阶梯高度≥50mm（包括积液盘的高度）</w:t>
      </w:r>
    </w:p>
    <w:p w14:paraId="266063AB">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5.柜顶部中间设计出风口直径≥φ160</w:t>
      </w:r>
      <w:r>
        <w:rPr>
          <w:rFonts w:hint="eastAsia" w:ascii="仿宋" w:hAnsi="仿宋" w:eastAsia="仿宋" w:cs="仿宋"/>
          <w:sz w:val="28"/>
          <w:szCs w:val="28"/>
          <w:highlight w:val="none"/>
          <w:lang w:val="en-US"/>
        </w:rPr>
        <w:t xml:space="preserve"> </w:t>
      </w:r>
      <w:r>
        <w:rPr>
          <w:rFonts w:hint="eastAsia" w:ascii="仿宋" w:hAnsi="仿宋" w:eastAsia="仿宋" w:cs="仿宋"/>
          <w:sz w:val="28"/>
          <w:szCs w:val="28"/>
          <w:highlight w:val="none"/>
        </w:rPr>
        <w:t>mm的，柜顶风口内置轴流风机，最大风量≥326</w:t>
      </w:r>
      <w:r>
        <w:rPr>
          <w:rFonts w:hint="eastAsia" w:ascii="仿宋" w:hAnsi="仿宋" w:eastAsia="仿宋" w:cs="仿宋"/>
          <w:sz w:val="28"/>
          <w:szCs w:val="28"/>
          <w:highlight w:val="none"/>
          <w:lang w:val="en-US"/>
        </w:rPr>
        <w:t xml:space="preserve"> </w:t>
      </w:r>
      <w:r>
        <w:rPr>
          <w:rFonts w:hint="eastAsia" w:ascii="仿宋" w:hAnsi="仿宋" w:eastAsia="仿宋" w:cs="仿宋"/>
          <w:sz w:val="28"/>
          <w:szCs w:val="28"/>
          <w:highlight w:val="none"/>
        </w:rPr>
        <w:t>m</w:t>
      </w:r>
      <w:r>
        <w:rPr>
          <w:rFonts w:hint="eastAsia" w:ascii="仿宋" w:hAnsi="仿宋" w:eastAsia="仿宋" w:cs="仿宋"/>
          <w:sz w:val="28"/>
          <w:szCs w:val="28"/>
          <w:highlight w:val="none"/>
          <w:vertAlign w:val="superscript"/>
        </w:rPr>
        <w:t>3</w:t>
      </w:r>
      <w:r>
        <w:rPr>
          <w:rFonts w:hint="eastAsia" w:ascii="仿宋" w:hAnsi="仿宋" w:eastAsia="仿宋" w:cs="仿宋"/>
          <w:sz w:val="28"/>
          <w:szCs w:val="28"/>
          <w:highlight w:val="none"/>
        </w:rPr>
        <w:t>/h，转速≥2550</w:t>
      </w:r>
      <w:r>
        <w:rPr>
          <w:rFonts w:hint="eastAsia" w:ascii="仿宋" w:hAnsi="仿宋" w:eastAsia="仿宋" w:cs="仿宋"/>
          <w:sz w:val="28"/>
          <w:szCs w:val="28"/>
          <w:highlight w:val="none"/>
          <w:lang w:val="en-US"/>
        </w:rPr>
        <w:t xml:space="preserve"> </w:t>
      </w:r>
      <w:r>
        <w:rPr>
          <w:rFonts w:hint="eastAsia" w:ascii="仿宋" w:hAnsi="仿宋" w:eastAsia="仿宋" w:cs="仿宋"/>
          <w:sz w:val="28"/>
          <w:szCs w:val="28"/>
          <w:highlight w:val="none"/>
        </w:rPr>
        <w:t>rpm,环境温度（-10-+70）摄氏度，不能产生火花静电。提供出风口管道（材料如阻燃PP管道等）及其他附件材料，负责完成出风口与实验室主排风管道的对接安装，并确保整个排风系统运行稳定、密闭有效，满足药品柜正常使用的通风要求。</w:t>
      </w:r>
    </w:p>
    <w:p w14:paraId="69DAC28B">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6.密封件：柜体门与柜体之间应安装防火膨胀密封件。（柜体门与柜体之间应安装环保热膨胀密封条。当温度为150℃~180℃时密封条局部膨胀，温度达到200℃时密封条全部膨胀，膨胀比例为≥1:5，以保证储存药品的安全性。）</w:t>
      </w:r>
    </w:p>
    <w:p w14:paraId="02A1BD30">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7.陶瓷纤维棉：柜体应填充具有保温隔热作用的陶瓷纤维棉。                                                                                                                 ★8.铰链：铰链应为钢琴式铰链，确保门能开180°。                                                                                                                                                                    ★9.电子密码锁：柜体配备电子密码锁和机械锁，实现双人双锁管理，锁具经公安部权威认证，同时锁具具有开锁记录查询功能及隐码功能；天地锁锁舌选用坚韧且有弹性的高分子合成塑料制成，耐磨且抗腐蚀性能极强。</w:t>
      </w:r>
    </w:p>
    <w:p w14:paraId="2C461995">
      <w:pPr>
        <w:numPr>
          <w:ilvl w:val="0"/>
          <w:numId w:val="5"/>
        </w:num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服务要求（含付款方式）</w:t>
      </w:r>
    </w:p>
    <w:p w14:paraId="3EC323BC">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合同签订后，甲方向乙方支付合同总金额40%的预付款（乙方需提供甲方认可的预付款保函），乙方在合同约定的时间内将所供合同标的物运至甲方指定地点，乙方在甲方收到合同标的物5日内对合同标的物进行安装调试，经甲方书面验收合格后，甲方向乙方支付合同总金额55%的货款。剩余的合同总金额5%的货款，自甲方书面验收合格之日起满壹年，经甲方再次验收，无质量问题后，甲方无息支付给乙方。</w:t>
      </w:r>
    </w:p>
    <w:p w14:paraId="2F62A336">
      <w:pPr>
        <w:numPr>
          <w:ilvl w:val="0"/>
          <w:numId w:val="5"/>
        </w:num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质保要求</w:t>
      </w:r>
    </w:p>
    <w:p w14:paraId="040D85E0">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承诺质保期内免费维护保养，免费提供备品备件等内容，且自甲方通知维护之日起，8小时内务必即可响应解决设备问题不可收取任何费用。如质保期内不提供保养及解决设备问题，扣除所留余款。如结清余款的，质保期内再三要求维护不响应的，考虑纳入本单位不诚信供货单位名单（质保期开始之日：为设备验收合格之日起）。</w:t>
      </w:r>
    </w:p>
    <w:p w14:paraId="5A77AE29">
      <w:pPr>
        <w:numPr>
          <w:ilvl w:val="0"/>
          <w:numId w:val="5"/>
        </w:num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验收要求</w:t>
      </w:r>
    </w:p>
    <w:p w14:paraId="2A03E3DB">
      <w:pPr>
        <w:spacing w:line="360" w:lineRule="auto"/>
        <w:ind w:left="425"/>
        <w:rPr>
          <w:rFonts w:hint="eastAsia" w:ascii="仿宋" w:hAnsi="仿宋" w:eastAsia="仿宋" w:cs="仿宋"/>
          <w:sz w:val="32"/>
          <w:szCs w:val="32"/>
          <w:highlight w:val="none"/>
        </w:rPr>
      </w:pPr>
      <w:r>
        <w:rPr>
          <w:rFonts w:hint="eastAsia" w:ascii="仿宋" w:hAnsi="仿宋" w:eastAsia="仿宋" w:cs="仿宋"/>
          <w:sz w:val="28"/>
          <w:szCs w:val="28"/>
          <w:highlight w:val="none"/>
        </w:rPr>
        <w:t>按甲方规定的型号、技术参数、数量、产地，并根据制造商的《出厂清单》《技术文件》进行现场验收，并由甲、乙双方签署验收报告。如有异议，各方应当在验收后七天内以书面形式通知对方。</w:t>
      </w:r>
    </w:p>
    <w:p w14:paraId="10482E7D">
      <w:pPr>
        <w:spacing w:line="360" w:lineRule="auto"/>
        <w:rPr>
          <w:rFonts w:hint="eastAsia" w:ascii="仿宋" w:hAnsi="仿宋" w:eastAsia="仿宋" w:cs="仿宋"/>
          <w:sz w:val="28"/>
          <w:szCs w:val="28"/>
          <w:highlight w:val="none"/>
        </w:rPr>
      </w:pPr>
      <w:r>
        <w:rPr>
          <w:rFonts w:hint="eastAsia" w:ascii="仿宋" w:hAnsi="仿宋" w:eastAsia="仿宋" w:cs="仿宋"/>
          <w:b/>
          <w:sz w:val="28"/>
          <w:szCs w:val="28"/>
          <w:highlight w:val="none"/>
        </w:rPr>
        <w:t>2、品目名称：酸碱柜</w:t>
      </w:r>
    </w:p>
    <w:p w14:paraId="3276E74E">
      <w:pPr>
        <w:numPr>
          <w:ilvl w:val="0"/>
          <w:numId w:val="6"/>
        </w:num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规格：</w:t>
      </w:r>
    </w:p>
    <w:p w14:paraId="63DCF174">
      <w:pPr>
        <w:spacing w:line="360" w:lineRule="auto"/>
        <w:rPr>
          <w:rFonts w:hint="eastAsia" w:ascii="仿宋" w:hAnsi="仿宋" w:eastAsia="仿宋" w:cs="仿宋"/>
          <w:sz w:val="28"/>
          <w:szCs w:val="28"/>
          <w:highlight w:val="none"/>
          <w:lang w:val="en-US"/>
        </w:rPr>
      </w:pPr>
      <w:r>
        <w:rPr>
          <w:rFonts w:hint="eastAsia" w:ascii="仿宋" w:hAnsi="仿宋" w:eastAsia="仿宋" w:cs="仿宋"/>
          <w:sz w:val="28"/>
          <w:szCs w:val="28"/>
          <w:highlight w:val="none"/>
        </w:rPr>
        <w:t>酸碱柜</w:t>
      </w:r>
      <w:r>
        <w:rPr>
          <w:rFonts w:hint="eastAsia" w:ascii="仿宋" w:hAnsi="仿宋" w:eastAsia="仿宋" w:cs="仿宋"/>
          <w:sz w:val="28"/>
          <w:szCs w:val="28"/>
          <w:highlight w:val="none"/>
          <w:lang w:val="en-US"/>
        </w:rPr>
        <w:t>25套，≥</w:t>
      </w:r>
      <w:r>
        <w:rPr>
          <w:rFonts w:ascii="仿宋" w:hAnsi="仿宋" w:eastAsia="仿宋" w:cs="仿宋"/>
          <w:sz w:val="28"/>
          <w:szCs w:val="28"/>
          <w:highlight w:val="none"/>
        </w:rPr>
        <w:t>900*450*1800</w:t>
      </w:r>
      <w:r>
        <w:rPr>
          <w:rFonts w:hint="eastAsia" w:ascii="仿宋" w:hAnsi="仿宋" w:eastAsia="仿宋" w:cs="仿宋"/>
          <w:sz w:val="28"/>
          <w:szCs w:val="28"/>
          <w:highlight w:val="none"/>
          <w:lang w:val="en-US"/>
        </w:rPr>
        <w:t xml:space="preserve"> mm </w:t>
      </w:r>
    </w:p>
    <w:p w14:paraId="1AC2C55D">
      <w:pPr>
        <w:numPr>
          <w:ilvl w:val="0"/>
          <w:numId w:val="6"/>
        </w:num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详细参数</w:t>
      </w:r>
    </w:p>
    <w:p w14:paraId="34FF870C">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1、柜体: 柜体采用8.0mmA级瓷白聚丙烯板（PP)焊接制作，经过雕刻一次折弯处理后分部件成型，具有极强的抗酸碱，耐腐蚀性一体成型、无缝焊接技术，极大的加强了柜体的结构性，柜内配有活动层板，有效的降低了柜体因热胀冷缩而引起的变形。</w:t>
      </w:r>
    </w:p>
    <w:p w14:paraId="43EF2C9F">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2、柜门：采用8.0mmA级瓷白聚丙烯板制作</w:t>
      </w:r>
    </w:p>
    <w:p w14:paraId="2F754FEF">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3、视窗</w:t>
      </w:r>
      <w:r>
        <w:rPr>
          <w:rFonts w:hint="eastAsia" w:ascii="仿宋" w:hAnsi="仿宋" w:eastAsia="仿宋" w:cs="仿宋"/>
          <w:sz w:val="28"/>
          <w:szCs w:val="28"/>
          <w:highlight w:val="none"/>
          <w:lang w:val="en-US"/>
        </w:rPr>
        <w:t>为</w:t>
      </w:r>
      <w:r>
        <w:rPr>
          <w:rFonts w:hint="eastAsia" w:ascii="仿宋" w:hAnsi="仿宋" w:eastAsia="仿宋" w:cs="仿宋"/>
          <w:sz w:val="28"/>
          <w:szCs w:val="28"/>
          <w:highlight w:val="none"/>
        </w:rPr>
        <w:t>钢化玻璃视窗，</w:t>
      </w:r>
      <w:r>
        <w:rPr>
          <w:rFonts w:hint="eastAsia" w:ascii="仿宋" w:hAnsi="仿宋" w:eastAsia="仿宋" w:cs="仿宋"/>
          <w:sz w:val="28"/>
          <w:szCs w:val="28"/>
          <w:highlight w:val="none"/>
          <w:lang w:val="en-US"/>
        </w:rPr>
        <w:t>厚度</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rPr>
        <w:t xml:space="preserve">5 </w:t>
      </w:r>
      <w:r>
        <w:rPr>
          <w:rFonts w:hint="eastAsia" w:ascii="仿宋" w:hAnsi="仿宋" w:eastAsia="仿宋" w:cs="仿宋"/>
          <w:sz w:val="28"/>
          <w:szCs w:val="28"/>
          <w:highlight w:val="none"/>
        </w:rPr>
        <w:t>mm，锁具为一次成型制作，配备双锁，实现双人双锁管理。</w:t>
      </w:r>
    </w:p>
    <w:p w14:paraId="58188AC2">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4、层板：采用瓷白色PP（聚丙烯）板制作。整体设计为活动式，可随意抽取放在合适的隔层，自由组合各层空间，四周立边可获得一定程度的防溢效果。</w:t>
      </w:r>
    </w:p>
    <w:p w14:paraId="39B6359A">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5、外壳:采用8mm瓷白色PP(聚丙烯)板材，经过同色同质焊条焊接而成具有耐强酸、强碱与抗腐蚀的特性，降低环境污染，维护使用者的健康。</w:t>
      </w:r>
    </w:p>
    <w:p w14:paraId="5AFAF241">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6、门把手：采用耐酸碱PP（聚丙烯）材质，耐腐蚀性能好。</w:t>
      </w:r>
    </w:p>
    <w:p w14:paraId="2EC77ECC">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7、铰链：采用经射出成型的PP（聚丙烯）材料制成，耐腐蚀性能好，外观精美且有多种颜色可选。</w:t>
      </w:r>
    </w:p>
    <w:p w14:paraId="1358E2C0">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8、专用门吸：采用PP（聚丙烯）材料制成，使用寿命长，质量有保证。</w:t>
      </w:r>
    </w:p>
    <w:p w14:paraId="0CEE1F03">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9、配件：采用耐强酸、强碱材质合页、碰珠，螺丝，拉门采用同质PP聚丙稀材料制作。</w:t>
      </w:r>
    </w:p>
    <w:p w14:paraId="15F0A4AF">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10、地脚: 采用防震组合地脚，高度可调。</w:t>
      </w:r>
    </w:p>
    <w:p w14:paraId="45EF2D69">
      <w:pPr>
        <w:numPr>
          <w:ilvl w:val="0"/>
          <w:numId w:val="6"/>
        </w:num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服务要求（含付款方式）</w:t>
      </w:r>
    </w:p>
    <w:p w14:paraId="4EEEDEB6">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合同签订后，甲方向乙方支付合同总金额40%的预付款（乙方需提供甲方认可的预付款保函），乙方在合同约定的时间内将所供合同标的物运至甲方指定地点，乙方在甲方收到合同标的物5日内对合同标的物进行安装调试，经甲方书面验收合格后，甲方向乙方支付合同总金额55%的货款。剩余的合同总金额5%的货款，自甲方书面验收合格之日起满壹年，经甲方再次验收，无质量问题后，甲方无息支付给乙方。</w:t>
      </w:r>
    </w:p>
    <w:p w14:paraId="5771631A">
      <w:pPr>
        <w:numPr>
          <w:ilvl w:val="0"/>
          <w:numId w:val="6"/>
        </w:num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质保要求</w:t>
      </w:r>
    </w:p>
    <w:p w14:paraId="08B7D0F7">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承诺质保期内免费维护保养，免费提供备品备件等内容，且自甲方通知维护之日起，8小时内务必即可响应解决设备问题不可收取任何费用。如质保期内不提供保养及解决设备问题，扣除所留余款。如结清余款的，质保期内再三要求维护不响应的，考虑纳入本单位不诚信供货单位名单（质保期开始之日：为设备验收合格之日起）。</w:t>
      </w:r>
    </w:p>
    <w:p w14:paraId="7D1B0253">
      <w:pPr>
        <w:numPr>
          <w:ilvl w:val="0"/>
          <w:numId w:val="6"/>
        </w:num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验收要求</w:t>
      </w:r>
    </w:p>
    <w:p w14:paraId="68E9B934">
      <w:pPr>
        <w:spacing w:line="360" w:lineRule="auto"/>
        <w:ind w:left="425"/>
        <w:rPr>
          <w:rFonts w:hint="eastAsia" w:ascii="仿宋" w:hAnsi="仿宋" w:eastAsia="仿宋" w:cs="仿宋"/>
          <w:sz w:val="28"/>
          <w:szCs w:val="28"/>
          <w:highlight w:val="none"/>
        </w:rPr>
      </w:pPr>
      <w:r>
        <w:rPr>
          <w:rFonts w:hint="eastAsia" w:ascii="仿宋" w:hAnsi="仿宋" w:eastAsia="仿宋" w:cs="仿宋"/>
          <w:sz w:val="28"/>
          <w:szCs w:val="28"/>
          <w:highlight w:val="none"/>
        </w:rPr>
        <w:t>按甲方规定的型号、技术参数、数量、产地，并根据制造商的《出厂清单》《技术文件》进行现场验收，并由甲、乙双方签署验收报告。如有异议，各方应当在验收后七天内以书面形式通知对方。</w:t>
      </w:r>
    </w:p>
    <w:p w14:paraId="11C34837">
      <w:pPr>
        <w:pStyle w:val="23"/>
        <w:spacing w:line="360" w:lineRule="auto"/>
        <w:jc w:val="center"/>
        <w:rPr>
          <w:rFonts w:hint="eastAsia" w:ascii="仿宋" w:hAnsi="仿宋" w:eastAsia="仿宋" w:cs="仿宋"/>
          <w:b/>
          <w:color w:val="auto"/>
          <w:sz w:val="28"/>
          <w:szCs w:val="28"/>
          <w:highlight w:val="none"/>
        </w:rPr>
        <w:sectPr>
          <w:pgSz w:w="11906" w:h="16838"/>
          <w:pgMar w:top="1440" w:right="1800" w:bottom="1440" w:left="1800" w:header="851" w:footer="992" w:gutter="0"/>
          <w:cols w:space="720" w:num="1"/>
          <w:titlePg/>
          <w:docGrid w:type="lines" w:linePitch="312" w:charSpace="0"/>
        </w:sectPr>
      </w:pPr>
    </w:p>
    <w:p w14:paraId="70FDD8FC">
      <w:pPr>
        <w:spacing w:line="360" w:lineRule="auto"/>
        <w:jc w:val="both"/>
        <w:rPr>
          <w:rFonts w:hint="eastAsia" w:ascii="仿宋" w:hAnsi="仿宋" w:eastAsia="仿宋" w:cs="仿宋"/>
          <w:sz w:val="28"/>
          <w:szCs w:val="28"/>
          <w:highlight w:val="none"/>
        </w:rPr>
      </w:pPr>
      <w:r>
        <w:rPr>
          <w:rFonts w:hint="eastAsia" w:ascii="仿宋" w:hAnsi="仿宋" w:eastAsia="仿宋" w:cs="仿宋"/>
          <w:b/>
          <w:sz w:val="28"/>
          <w:szCs w:val="28"/>
          <w:highlight w:val="none"/>
          <w:lang w:val="en-US"/>
        </w:rPr>
        <w:t>3</w:t>
      </w:r>
      <w:r>
        <w:rPr>
          <w:rFonts w:hint="eastAsia" w:ascii="仿宋" w:hAnsi="仿宋" w:eastAsia="仿宋" w:cs="仿宋"/>
          <w:b/>
          <w:sz w:val="28"/>
          <w:szCs w:val="28"/>
          <w:highlight w:val="none"/>
        </w:rPr>
        <w:t>、品目名称：动物细胞培养与复杂蛋白制备系统（国产）</w:t>
      </w:r>
    </w:p>
    <w:p w14:paraId="04880219">
      <w:pPr>
        <w:numPr>
          <w:ilvl w:val="0"/>
          <w:numId w:val="7"/>
        </w:numPr>
        <w:autoSpaceDE/>
        <w:autoSpaceDN/>
        <w:spacing w:line="360" w:lineRule="auto"/>
        <w:ind w:lef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规格：</w:t>
      </w:r>
    </w:p>
    <w:p w14:paraId="55F82D17">
      <w:pPr>
        <w:spacing w:line="360" w:lineRule="auto"/>
        <w:ind w:firstLine="560" w:firstLineChars="200"/>
        <w:jc w:val="both"/>
        <w:rPr>
          <w:rFonts w:hint="eastAsia" w:ascii="仿宋" w:hAnsi="仿宋" w:eastAsia="仿宋" w:cs="仿宋"/>
          <w:sz w:val="28"/>
          <w:szCs w:val="28"/>
          <w:highlight w:val="none"/>
          <w:lang w:val="en-US"/>
        </w:rPr>
      </w:pPr>
      <w:r>
        <w:rPr>
          <w:rFonts w:hint="eastAsia" w:ascii="仿宋" w:hAnsi="仿宋" w:eastAsia="仿宋" w:cs="仿宋"/>
          <w:sz w:val="28"/>
          <w:szCs w:val="28"/>
          <w:highlight w:val="none"/>
        </w:rPr>
        <w:t>动物细胞培养与复杂蛋白制备系统</w:t>
      </w:r>
      <w:r>
        <w:rPr>
          <w:rFonts w:hint="eastAsia" w:ascii="仿宋" w:hAnsi="仿宋" w:eastAsia="仿宋" w:cs="仿宋"/>
          <w:sz w:val="28"/>
          <w:szCs w:val="28"/>
          <w:highlight w:val="none"/>
          <w:lang w:val="en-US"/>
        </w:rPr>
        <w:t>为</w:t>
      </w:r>
      <w:r>
        <w:rPr>
          <w:rFonts w:hint="eastAsia" w:ascii="仿宋" w:hAnsi="仿宋" w:eastAsia="仿宋" w:cs="仿宋"/>
          <w:sz w:val="28"/>
          <w:szCs w:val="28"/>
          <w:highlight w:val="none"/>
        </w:rPr>
        <w:t>自组装成套系统，</w:t>
      </w:r>
      <w:r>
        <w:rPr>
          <w:rFonts w:hint="eastAsia" w:ascii="仿宋" w:hAnsi="仿宋" w:eastAsia="仿宋" w:cs="仿宋"/>
          <w:sz w:val="28"/>
          <w:szCs w:val="28"/>
          <w:highlight w:val="none"/>
          <w:lang w:val="en-US"/>
        </w:rPr>
        <w:t>包含：</w:t>
      </w:r>
    </w:p>
    <w:p w14:paraId="4533F54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立式二氧化碳震荡培养箱2台；</w:t>
      </w:r>
    </w:p>
    <w:p w14:paraId="623A1E9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二氧化碳培养箱5台；</w:t>
      </w:r>
    </w:p>
    <w:p w14:paraId="21D2C71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生物安全柜4台；</w:t>
      </w:r>
    </w:p>
    <w:p w14:paraId="05FCCB90">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全自动细胞荧光细胞分析仪1台；</w:t>
      </w:r>
    </w:p>
    <w:p w14:paraId="359862C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荧光倒置显微镜1台（含拍照，电脑系统）；</w:t>
      </w:r>
    </w:p>
    <w:p w14:paraId="08168C5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倒置生物显微镜1台（含拍照，电脑系统）；</w:t>
      </w:r>
    </w:p>
    <w:p w14:paraId="6134FE0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微量冷冻离心机（2ml）2台；</w:t>
      </w:r>
    </w:p>
    <w:p w14:paraId="54E413A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台式冷冻离心机（15ml，50ml）2台；</w:t>
      </w:r>
    </w:p>
    <w:p w14:paraId="7CB78E4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超纯水系统1套；</w:t>
      </w:r>
    </w:p>
    <w:p w14:paraId="44B36E5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DNA基因扩增仪2台；</w:t>
      </w:r>
    </w:p>
    <w:p w14:paraId="7998E60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单道移液器16把；</w:t>
      </w:r>
    </w:p>
    <w:p w14:paraId="51CA555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八道移液器6把；</w:t>
      </w:r>
    </w:p>
    <w:p w14:paraId="3E8B705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生物反应器1套；</w:t>
      </w:r>
    </w:p>
    <w:p w14:paraId="102486CF">
      <w:pPr>
        <w:spacing w:line="360" w:lineRule="auto"/>
        <w:ind w:firstLine="560" w:firstLineChars="200"/>
        <w:jc w:val="both"/>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设备安装所需的环境改造1项。</w:t>
      </w:r>
    </w:p>
    <w:p w14:paraId="3AB91393">
      <w:pPr>
        <w:numPr>
          <w:ilvl w:val="0"/>
          <w:numId w:val="7"/>
        </w:numPr>
        <w:autoSpaceDE/>
        <w:autoSpaceDN/>
        <w:spacing w:line="360" w:lineRule="auto"/>
        <w:ind w:lef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详细参数</w:t>
      </w:r>
    </w:p>
    <w:p w14:paraId="2078F0F4">
      <w:pPr>
        <w:spacing w:line="360" w:lineRule="auto"/>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生物安全柜</w:t>
      </w:r>
    </w:p>
    <w:p w14:paraId="369123A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1.气流模式：30%外排，70%循环</w:t>
      </w:r>
    </w:p>
    <w:p w14:paraId="451E80E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2.流入气流平均风速＞0.5m/s，下降气流平均风速＞0.3m/s</w:t>
      </w:r>
    </w:p>
    <w:p w14:paraId="60F3DA9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3.ULPA超高效空气过滤器，针对颗粒直径0.12um，过滤效率≥99.999% </w:t>
      </w:r>
    </w:p>
    <w:p w14:paraId="1BA3B71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4.安全柜出厂前使用ATI泄露扫描仪进行不少于2次的过滤器完整性测试</w:t>
      </w:r>
    </w:p>
    <w:p w14:paraId="4DD19F3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★5.在线实时监测并条形码显示高效过滤器的使用寿命，非百分比显示，提供彩页和显示界面截图文件，具有过滤器失效声光报警功能，保证实验的安全性；</w:t>
      </w:r>
    </w:p>
    <w:p w14:paraId="425F34B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6.品牌风机设计，风速可自动调节，故障率低，噪音小；</w:t>
      </w:r>
    </w:p>
    <w:p w14:paraId="3A68785C">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7.LCD液晶屏显示，可显示工作区温度、气流流速、时间、过滤膜使用寿命等系统参数</w:t>
      </w:r>
    </w:p>
    <w:p w14:paraId="5EAA16F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8.配置福马脚轮，移动更便捷</w:t>
      </w:r>
    </w:p>
    <w:p w14:paraId="47E700A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9.前窗采用手动升降方式，具有安全高度高精度上、下限位，声光报警</w:t>
      </w:r>
    </w:p>
    <w:p w14:paraId="2864156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10.工作区三侧壁板为一体化成型，304不锈钢材质，双层侧壁形成负压保护</w:t>
      </w:r>
    </w:p>
    <w:p w14:paraId="3741717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11.整个工作台面下对应面积全部为集液槽，304不锈钢，有排污阀，方便清洗消毒</w:t>
      </w:r>
    </w:p>
    <w:p w14:paraId="352503A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12.玻璃前窗采用倾角人性化设计，提高了操作人员在安全柜前的操作舒适性，采用安全钢化玻璃，具有良好的防爆、防碎及防紫外的功能</w:t>
      </w:r>
    </w:p>
    <w:p w14:paraId="6A0D65A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13.安全性能保障：具备紫外系统、荧光灯、前窗的连锁系统；具备低风速报警功能；具备前窗位置异位报警功能；具备前窗侧壁抗扰流系统，可避免泄漏； </w:t>
      </w:r>
    </w:p>
    <w:p w14:paraId="47052780">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14.柜内电源：防水插座设计，插座位于安全柜左右两侧，操作更加灵活方便</w:t>
      </w:r>
    </w:p>
    <w:p w14:paraId="76090C3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15.具有水阀、气阀、真空阀等阀门预留孔，位于安全柜左右两侧，操作更加灵活方便</w:t>
      </w:r>
    </w:p>
    <w:p w14:paraId="4E7BD9C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★16.玻璃门锁设计：玻璃门完全关闭后可以通过玻璃门锁进行锁止，协助设备管理，提供彩页和实物图片文件；</w:t>
      </w:r>
    </w:p>
    <w:p w14:paraId="3B464FF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17.外形尺寸宽度≤1500mm，工作区内部工作尺寸宽度要求≥1416mm，提供彩页文件，提供尺寸检测报告。</w:t>
      </w:r>
    </w:p>
    <w:p w14:paraId="335CC00C">
      <w:pPr>
        <w:spacing w:line="360" w:lineRule="auto"/>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动态培养模块</w:t>
      </w:r>
    </w:p>
    <w:p w14:paraId="00A35F1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1.空载振荡频率：10-300rpm</w:t>
      </w:r>
    </w:p>
    <w:p w14:paraId="4FA7F45C">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2.振荡频率精度：±1rpm</w:t>
      </w:r>
    </w:p>
    <w:p w14:paraId="3C5F76B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3.摇板振幅：≥Ф26mm</w:t>
      </w:r>
    </w:p>
    <w:p w14:paraId="402FB2D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4.温控范围：4-60℃（在室温23℃-25℃）</w:t>
      </w:r>
    </w:p>
    <w:p w14:paraId="35F6E51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5.温度调节度：±0.1℃</w:t>
      </w:r>
    </w:p>
    <w:p w14:paraId="0D74F61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6.温度均匀度：±0.8℃（at37℃）</w:t>
      </w:r>
    </w:p>
    <w:p w14:paraId="37997C3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7.CO2控制范围：0-20%</w:t>
      </w:r>
    </w:p>
    <w:p w14:paraId="6244207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8.CO2控制精度：0.1%</w:t>
      </w:r>
    </w:p>
    <w:p w14:paraId="6A9BFBF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9.夹具板到顶部距离</w:t>
      </w:r>
      <w:r>
        <w:rPr>
          <w:rFonts w:hint="eastAsia" w:ascii="仿宋" w:hAnsi="仿宋" w:eastAsia="仿宋" w:cs="仿宋"/>
          <w:sz w:val="28"/>
          <w:szCs w:val="28"/>
          <w:highlight w:val="none"/>
        </w:rPr>
        <w:tab/>
      </w:r>
      <w:r>
        <w:rPr>
          <w:rFonts w:hint="eastAsia" w:ascii="仿宋" w:hAnsi="仿宋" w:eastAsia="仿宋" w:cs="仿宋"/>
          <w:sz w:val="28"/>
          <w:szCs w:val="28"/>
          <w:highlight w:val="none"/>
        </w:rPr>
        <w:t>：≥558mm</w:t>
      </w:r>
    </w:p>
    <w:p w14:paraId="772D74A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10.最大容量（不锈钢夹具）：单层250ml×20或500ml×12或1000ml×8或2L×5或5L×2/单层250ml×25或500ml×16或1000ml×9</w:t>
      </w:r>
    </w:p>
    <w:p w14:paraId="541A0AC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11.最大容量（塑胶夹具）：单层250ml×20或500ml×12或1000ml×8或2L×5/单层250ml×25或500ml×16或1000ml×9三角瓶夹具须为一次性成型塑胶夹具；试管夹具孔带有橡胶防护套；可选配粘性粘板。（可以提供实物图片佐证）</w:t>
      </w:r>
    </w:p>
    <w:p w14:paraId="6991A27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12.摇板尺寸(长×宽）：≥485mm×410mm/单层≥485mm×485mm</w:t>
      </w:r>
    </w:p>
    <w:p w14:paraId="23ADB00C">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13.噪音：低于55dB</w:t>
      </w:r>
    </w:p>
    <w:p w14:paraId="305A5DE6">
      <w:pPr>
        <w:spacing w:line="360" w:lineRule="auto"/>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静态培养模块</w:t>
      </w:r>
    </w:p>
    <w:p w14:paraId="0608A6B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1.外箱尺寸(W×D×H)≤626mm×874mm×899mm；内箱尺寸(W×D×H)≤490mm×525mm×666mm；内部容积：170L。</w:t>
      </w:r>
    </w:p>
    <w:p w14:paraId="13149FCC">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标配两种灭菌方式：180℃高温干热灭菌、紫外灭菌，灭菌时无需拆卸箱内部件。高温灭菌时长12小时。无臭氧型UV灯可以照射到水盘和整个风道，杀灭箱体内循环空气和增湿盘水蒸汽中的霉菌，支持细胞培养过程中实时灭菌。（提供制造商灭菌实验数据，加盖制造商公章）</w:t>
      </w:r>
    </w:p>
    <w:p w14:paraId="28D2CB0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3.二氧化碳浓度控制范围：0-20%，控制精度：±0.1%；温度范围：(室温+5)-50°C。</w:t>
      </w:r>
    </w:p>
    <w:p w14:paraId="3690B66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4.※温度控制精度：0.1°C；温度均一性：±0.25°C；温度波动度±0.1°C。</w:t>
      </w:r>
    </w:p>
    <w:p w14:paraId="2FDBFD9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5.加湿系统：增湿盘自然蒸发，95%RH ±5%。</w:t>
      </w:r>
    </w:p>
    <w:p w14:paraId="437F579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6. 采用红外IR传感器，不受温湿度影响，耐受180℃高温，灭菌无需拆卸。 </w:t>
      </w:r>
    </w:p>
    <w:p w14:paraId="142A9BEC">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7.采用直接加热式+气套式系统，加热速度快，温度、湿度恢复迅速。</w:t>
      </w:r>
    </w:p>
    <w:p w14:paraId="497E871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8.空气循环：风扇驱动空气循环。</w:t>
      </w:r>
    </w:p>
    <w:p w14:paraId="6B3E47B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9.循环风道设计，风扇位于风道内侧，空间利用率高，同时保证箱体内温度、二氧化碳浓度、湿度的高度均一性。</w:t>
      </w:r>
    </w:p>
    <w:p w14:paraId="7FC4F08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10.开门时，风扇电机及CO2阀自动停止，防止污染。</w:t>
      </w:r>
    </w:p>
    <w:p w14:paraId="474F23B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11.外部材料：镀锌钢板，内部材料：SUS304钢板，箱门：镀锌钢板，内门：钢化玻璃。</w:t>
      </w:r>
    </w:p>
    <w:p w14:paraId="2E1C200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12.※内胆采用不锈钢一体冲压设计，无棚柱条、支架、螺钉，不易腐蚀，圆弧结构，便于清洁，网架平稳。（提供实物图片加盖制造商公章）</w:t>
      </w:r>
    </w:p>
    <w:p w14:paraId="78EADDC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13.※隔热层：陶瓷纤维隔热层，叠放时单台灭菌不影响另一台使用。</w:t>
      </w:r>
    </w:p>
    <w:p w14:paraId="1C0639E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14.采用PLC工业级的控制器，PID控制技术的主温度控制系统，整机包含PT1000在内三个高精度温度传感器。箱内双探头检测系统，精确控制箱内温度；环境温度检测系统，根据环境温度变化自动调节加热功率。</w:t>
      </w:r>
    </w:p>
    <w:p w14:paraId="31DDEDC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15. 六面加热方式，高性能加热系统，为整个培养箱提供了高度均匀的温度分布，使整个培养箱的温度更为均一。</w:t>
      </w:r>
    </w:p>
    <w:p w14:paraId="2CF958F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16.带有超温保护系统，当主温度控制系统生效时超温保护系统启动，自动切断培养箱加热系统，并具有声音报警。</w:t>
      </w:r>
    </w:p>
    <w:p w14:paraId="14CD872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17.进气口标配(HEPA)过滤器：针对细菌颗粒等，过滤效率高达99.995%，有效过滤CO2气体中的细菌和灰尘颗粒。</w:t>
      </w:r>
    </w:p>
    <w:p w14:paraId="3201B63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18. 7寸彩色触摸屏，电阻屏设计，可带手套操作，一键实现中英文快速切换。支持箱内设定温度、实际温度、高/低温报警、二氧化碳设定浓度、实际浓度、高/低浓度报警、事件信息、报警信息等数据记录，数据可存储10年以上，支持USB数据导出；可记录产品开门事件、设置修改、账户登录等信息事件并导出记录；显示屏密码保护机制，三级权限管理，安全可靠。（提供制造商证明加盖制造商公章）</w:t>
      </w:r>
    </w:p>
    <w:p w14:paraId="6D6884C1">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19.报警方式：声音报警、屏幕报警、远程报警端子。报警功能：超温报警、高温报警、低温报警、二氧化碳浓度超过上限报警、二氧化碳浓度超过下限报警、气体浓度报警、气体用完报警、开门时间超限报警。</w:t>
      </w:r>
    </w:p>
    <w:p w14:paraId="7F5293A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20.标配4枚SUS304不锈钢隔板，可随意调整高度，无需工具即可拆卸，标准载重7kg/盘，最多可加8层。</w:t>
      </w:r>
    </w:p>
    <w:p w14:paraId="3110BF5D">
      <w:pPr>
        <w:spacing w:line="360" w:lineRule="auto"/>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细胞分析模块</w:t>
      </w:r>
    </w:p>
    <w:p w14:paraId="50B1DF5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1.一体式荧光细胞分析仪，无需外接电脑</w:t>
      </w:r>
    </w:p>
    <w:p w14:paraId="40162DD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2.光源：LED光源</w:t>
      </w:r>
    </w:p>
    <w:p w14:paraId="6C57922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荧光单样品分析时间：&lt;12秒，明场单样品分析时间：&lt;1秒。可以提供细胞总浓度、活细胞和死细胞浓度及其占总细胞数的比例、细胞活率、直径分布图和细胞显微图片等，可选1-5视野检测模式，更有效避免样品不均带来的误差；</w:t>
      </w:r>
    </w:p>
    <w:p w14:paraId="237F2F20">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4.明场6样品（单通道五视野）同时检测时间：＜55s，荧光6样品（单通道五视野）同时检测时间：&lt;334s；</w:t>
      </w:r>
    </w:p>
    <w:p w14:paraId="44AAF90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5.细胞样品范围：1x104-3x107细胞/mL；</w:t>
      </w:r>
    </w:p>
    <w:p w14:paraId="1F83EE5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6.微粒/细胞直径范围：2μm -400μm；</w:t>
      </w:r>
    </w:p>
    <w:p w14:paraId="3B89975C">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7.所需的样品体积: 10μL（100μm计数板），20μL（200μm计数板），直径大小不同的样品可提供至少两种槽深规格的计数板使用；</w:t>
      </w:r>
    </w:p>
    <w:p w14:paraId="2A15CD0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8.全自动对焦功能：通过控制Z轴移动，自动搜索符合系统对细胞的算法定义，完成自动对焦，从而实现真正的自动快速精准的细胞图像捕获，同时也可以通过手动调节焦距；</w:t>
      </w:r>
    </w:p>
    <w:p w14:paraId="5C48C6C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9.具有细胞Gating功能：可对不同尺寸的细胞亚群进行计数；</w:t>
      </w:r>
    </w:p>
    <w:p w14:paraId="0CC1782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10.光学: 3通道（明场 + 2 个荧光通道）</w:t>
      </w:r>
    </w:p>
    <w:p w14:paraId="7AF3959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11.计数板材质：玻璃+PC，一次性计数板和可重复使用计数板可选</w:t>
      </w:r>
    </w:p>
    <w:p w14:paraId="3ABCBBC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12.计数板通量：六位计数板，一键自动一次性检测6个样品，即可满足同一样品的重复性检测要求，也可以满足多样品快速检测需求，对于浓度极低的细胞，一片计数板可全自动完成30个视野的测量，让结果更准确；</w:t>
      </w:r>
    </w:p>
    <w:p w14:paraId="44B8721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13.测量样品种类：贴壁细胞，悬浮细胞，原代细胞，干细胞，酵母，昆虫细胞，免疫细胞，颗粒，类器官等；</w:t>
      </w:r>
    </w:p>
    <w:p w14:paraId="215EC47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14.程序：有预设程序，且采用Auto Gating和AI智能算法，对于细胞碎片，小细胞和成团细胞等复杂细胞样本有更准确的计数；</w:t>
      </w:r>
    </w:p>
    <w:p w14:paraId="3F0507F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15细胞分析参数：总细胞浓度、活细胞浓度、死细胞浓度、细胞活率、细胞平均直径、细胞圆度、细胞直径分布图、结团率、荧光强度分布图、GFP细胞转染率、RFP细胞转染率等；</w:t>
      </w:r>
    </w:p>
    <w:p w14:paraId="7D66D6C0">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16.类器官分析参数：类器官总数、类器官平均直径、类器官平均分析、类器官总面积、类器官平均圆度、细胞总数、细胞平均直径、细胞平均面积、细胞平均面积、细胞平均圆度等；</w:t>
      </w:r>
    </w:p>
    <w:p w14:paraId="4EC58AD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17.采用工业级CMOS 630万像素（彩色高清）光学成像系统，物镜4倍光学放大；</w:t>
      </w:r>
    </w:p>
    <w:p w14:paraId="70CAEB1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18.图像和数据可自动保存，提供多种格式的数据文件，包括JPG图像文件和Excel数据文件，还可保存包含结果、图像、类流式分析数据和机器设置参数的PDF文件；</w:t>
      </w:r>
    </w:p>
    <w:p w14:paraId="7DA9FB8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19.用户权限管理：系统实现用户分级权限管理和电子签名；系统自带审计追踪功能，符合GMP/cGMP、FDA 21 CFR PART 11；可提供IQ/OQ/PQ验证；</w:t>
      </w:r>
    </w:p>
    <w:p w14:paraId="7E34981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20.细胞筛选：用户可自由选择直径范围区间，结果图像可特定标记该区间内的细胞；</w:t>
      </w:r>
    </w:p>
    <w:p w14:paraId="1BB6648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21.数据导出：通过 U 盘，或通过Lims实验室管理系统接口；</w:t>
      </w:r>
    </w:p>
    <w:p w14:paraId="570CB4E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22.电源输入：直流12V/5A，功率60W</w:t>
      </w:r>
    </w:p>
    <w:p w14:paraId="526D334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23.可拓展为12组荧光通道组合，标配激发波长：475nm、545nm，发射波长：530nm、605nm</w:t>
      </w:r>
    </w:p>
    <w:p w14:paraId="5B320DF5">
      <w:pPr>
        <w:spacing w:line="360" w:lineRule="auto"/>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细胞观察模块一</w:t>
      </w:r>
    </w:p>
    <w:p w14:paraId="7E68093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1、放大倍数：40X-400X。</w:t>
      </w:r>
    </w:p>
    <w:p w14:paraId="5EC6551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2、观察筒：铰链式三目，45°倾斜，瞳距调节范围50-75mm。并其有双目简360°旋转功能，在标准65mm 瞳距时。通过旋转双目筒，即可将眼点高度提升34mm，方便快捷，取代了传统显微镜中使用眼点提升器观察高度的做法。</w:t>
      </w:r>
    </w:p>
    <w:p w14:paraId="5359E0C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3、目镜：自带视度调节高眼点大视野平场目镜PL10X/22mm，</w:t>
      </w:r>
    </w:p>
    <w:p w14:paraId="747DACD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4、转换器：内定位5孔物镜转换器；</w:t>
      </w:r>
    </w:p>
    <w:p w14:paraId="16ED7001">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5、物镜：长距无限远平场半复消色差荧光物镜：4X/N.A.≥0.13/W.D.≥18.52mm；10X/N.A.≥0.3/W.D.≥7.11mm；</w:t>
      </w:r>
    </w:p>
    <w:p w14:paraId="0079AD0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20X/N.A.≥0.45/W.D.≥5.60mm， 40X/N.A.≥0.65/W.D.≥1.61mm。</w:t>
      </w:r>
    </w:p>
    <w:p w14:paraId="05E0092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6、调焦机构：粗微同轴调焦；粗调行程9mm(焦面向上6.5mm,向下2.5mm)，微调精度0.002mm；带粗调松紧调节装置，可调节粗调手轮的扭矩。</w:t>
      </w:r>
    </w:p>
    <w:p w14:paraId="37693DA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载物台：固定式载物平台，面积≥250X215mm，机械移动平台与扩展平台；移动范围：≥120mmX80mm；玻璃载物台板；金属载物台板；可拆卸载物托座.切片托座，Terasaki托座，皮氏培养皿托座。载物台侧向受5N水平方向作用力的最大位移（以检测报告中数据为准）≤0.01mm， 载物台侧向受5N水平方向作用力的不重复性（以检测报告中数据为准）≤0.002mm。</w:t>
      </w:r>
    </w:p>
    <w:p w14:paraId="1A1C5021">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8、聚光镜：N.A.0.3超长工作距聚光镜，工作距离72mm；聚光镜可白拆卸，拆卸后空间为高度150mm。</w:t>
      </w:r>
    </w:p>
    <w:p w14:paraId="682C8C8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9、反射荧光系统：LED 荧光灯箱，四通道设计，伺服电机控制，齿轮传动，专业带通型滤色片B、G、UV三组（B ：EX480/30,DI505DC,EM535/40 ；G：EX560/40,DI600DC,EM635/60；UV：EX375/28,DI415DC,EM460/50）， LED 光源。带灯源亮度指示条，带当前波段位置显示功能，EC0红外感应功能，当使用者离开一定时间或再次返回时，系统会自动关闭电源或重新开启，节省能耗。</w:t>
      </w:r>
    </w:p>
    <w:p w14:paraId="1602DE9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10、透射照明系统： 采用外置自适应宽电压变压器,输入100-240V,输出12V5A, 5W LED灯源亮度可调,带灯源亮度指示条，EC0红外感应功能，当使用者离开一定时间或再次返回时，系统会自动关闭电源或重新开启，节省能耗。</w:t>
      </w:r>
    </w:p>
    <w:p w14:paraId="5615FAB1">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11、滤色片：φ45mmLBD色温转变滤色片；IF550绿色反差滤色片。</w:t>
      </w:r>
    </w:p>
    <w:p w14:paraId="574295A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12、相衬装置：φ30mm对中望远镜；4X-40X可调中相衬插板。</w:t>
      </w:r>
    </w:p>
    <w:p w14:paraId="2023326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13、成像系统：科研级芯片。≥500万像素，靶面尺寸≥2/3”,USB3.0输出。全像素时帧率≥35fps。灵敏度及光谱响应≤1146mv， ≤1/30s 380-650nm。软件：专业荧光图像分析软件（正版软件，有国家版权局出具的软件著作权证书），与显微镜同一品牌。</w:t>
      </w:r>
    </w:p>
    <w:p w14:paraId="355A2400">
      <w:pPr>
        <w:spacing w:line="360" w:lineRule="auto"/>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细胞观察模块二</w:t>
      </w:r>
    </w:p>
    <w:p w14:paraId="5F1F70E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 放大倍数：40X-400X。</w:t>
      </w:r>
    </w:p>
    <w:p w14:paraId="5EC74D5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2、观察筒：铰链式三目，45°倾斜，瞳距调节范围50-75mm。并其有双目简360°旋转功能，在标准65mm 瞳距时。通过旋转双目筒，即可将眼点高度提升34mm，方便快捷，取代了传统显微镜中使用眼点提升器观察高度的做法。</w:t>
      </w:r>
    </w:p>
    <w:p w14:paraId="19DBD27C">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3、目镜：自带视度调节高眼点大视野平场目镜PL10X/22mm，</w:t>
      </w:r>
    </w:p>
    <w:p w14:paraId="58F362DC">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4、转换器：内定位5孔物镜转换器；</w:t>
      </w:r>
    </w:p>
    <w:p w14:paraId="00C7791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5、物镜：超长工作距无限远平场消色差相衬物镜:</w:t>
      </w:r>
    </w:p>
    <w:p w14:paraId="6F0DD43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4X/N.A.≥0.13/W.D.≥10.43mm，  </w:t>
      </w:r>
    </w:p>
    <w:p w14:paraId="0394B28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10X/N.A.≥0.25/W.D.≥7.3mm， </w:t>
      </w:r>
    </w:p>
    <w:p w14:paraId="252A175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20X/N.A.≥0.40/W.D.≥6.8mm， 40X/N.A.≥0.60/W.D.≥3.08mm, </w:t>
      </w:r>
    </w:p>
    <w:p w14:paraId="18E0FF7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6、调焦机构：粗微同轴调焦；粗调行程≥9mm，微调精度0.002mm；带粗调松紧调节装置，可调节粗调手轮的扭矩。</w:t>
      </w:r>
    </w:p>
    <w:p w14:paraId="380B0E7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载物台：固定式载物平台，面积≥250X215mm，机械移动平台与扩展平台；移动范围：≥120mmX80mm；玻璃载物台板；金属载物台板；可拆卸载物托座.切片托座，Terasaki托座，皮氏培养皿托座。载物台侧向受5N水平方向作用力的最大位移（以检测报告中数据为准）≤0.01mm， 载物台侧向受5N水平方向作用力的不重复性（以检测报告中数据为准）≤0.002mm。</w:t>
      </w:r>
    </w:p>
    <w:p w14:paraId="51FFE6B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8、照明装置：采用外置自适应宽电压变压器,输入100-240V,输出12V5A, 5W LED灯源亮度可调,带灯源亮度指示条，EC0红外感应功能，当使用者离开一定时间或再次返回时，系统会自动关闭电源或重新开启，节省能耗。</w:t>
      </w:r>
    </w:p>
    <w:p w14:paraId="02F54F3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9、滤色片：φ45mmLBD色温转变滤色片；IF550绿色反差滤色片。</w:t>
      </w:r>
    </w:p>
    <w:p w14:paraId="3C2CD441">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10、相衬装置：φ30mm对中望远镜；4X-40X可调中相衬插板。</w:t>
      </w:r>
    </w:p>
    <w:p w14:paraId="0DB6FAE8">
      <w:pPr>
        <w:spacing w:line="360" w:lineRule="auto"/>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超纯水制备模块</w:t>
      </w:r>
    </w:p>
    <w:p w14:paraId="5052054C">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 工作原理：该系统由自来水作进水，经过预处理柱、反渗透膜（RO）柱、纯水箱、双波长紫外灯、高纯化柱、超纯水柱及终端过滤器，可连续生产纯水和超纯水。</w:t>
      </w:r>
    </w:p>
    <w:p w14:paraId="6BC1BF1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 超纯水指标：</w:t>
      </w:r>
    </w:p>
    <w:p w14:paraId="722FF50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2.1 电阻率18.2 MΩ.cm@25℃。</w:t>
      </w:r>
    </w:p>
    <w:p w14:paraId="7701E3C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2.2 硅（Si）＜2ppb。</w:t>
      </w:r>
    </w:p>
    <w:p w14:paraId="456B077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2.3 钠离子（Na）＜0.1ppb</w:t>
      </w:r>
    </w:p>
    <w:p w14:paraId="5336376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2.4 总有机碳（TOC）＜5ppb。</w:t>
      </w:r>
    </w:p>
    <w:p w14:paraId="506BE36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2.5 细菌总数＜0.01CFU/ml。</w:t>
      </w:r>
    </w:p>
    <w:p w14:paraId="147B6C6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2.6 微量元素离子（Mn / Fe / Cu / Zn）含量＜0.01 ppb。</w:t>
      </w:r>
    </w:p>
    <w:p w14:paraId="3452A94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2.7 以上指标须提供具备CMA或CNAS资质的省级及以上检测机构出具的投标型号设备水质检测报告逐一进行佐证，提供的水质检测报告须盖有检测机构检测专用章和生产厂家公章，以及报告真伪查询结果（须盖厂家公章），否则不予认可。</w:t>
      </w:r>
    </w:p>
    <w:p w14:paraId="30676F1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 主机内循环管路设计，内置185/254nm双波长紫外灯，系统具备自动循环功能，可有效去除超纯水中的细菌及分解有机物，紫外灯通过RoHS认证，有利于人体健康及环境保护。</w:t>
      </w:r>
    </w:p>
    <w:p w14:paraId="4902E661">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 系统内置高回收率反渗透模块，截留率高达97-99%；模块前后均配备电导率仪有效监控RO进水、产水并显示反渗透膜截留率，具有不合格水排放设计，保障产水水质；并可通过毛细管弃水回收系统实现节水与保护反渗透膜的双重功能。</w:t>
      </w:r>
    </w:p>
    <w:p w14:paraId="04A73F1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 纯水产水流速≥24 L/h，产水流速恒定，保证水温在7℃-35℃间均可达到系统标称的恒定产水流速。</w:t>
      </w:r>
    </w:p>
    <w:p w14:paraId="18C05BD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6.系统配置一套大容量、高性能纯化柱，有效去除重金属离子、微量元素离子含量稳定至0.01ppb以下；纯化柱选择高性能提料和配方，弱电离元素（硼硅）稳定至2ppb以下。</w:t>
      </w:r>
    </w:p>
    <w:p w14:paraId="358740A0">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 具有极大应用拓展性，在无需改变制水主机情况下可以选择配置6种以上纯化柱，分别用于常规理化、精密分析、分子生物学、免疫及生化分析仪、</w:t>
      </w:r>
    </w:p>
    <w:p w14:paraId="277612A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8. 系统配置彩色触摸显示屏，提供包含中英文在内的多种语言和多客户登录管理功能，具备3种不同背景颜色的状态提示，可实时反映液位、水质和系统状况。</w:t>
      </w:r>
    </w:p>
    <w:p w14:paraId="1B56CBC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9. 系统内置高精度电阻率检测仪，电极常数为0.01cm-1，温度灵敏度达到0.1℃, 采用同轴电极设计，准确检测和显示温度补偿的电阻率，符合ASTM D 1125电阻率系统适应性测试要求，可溯源到NIST和NIM。</w:t>
      </w:r>
    </w:p>
    <w:p w14:paraId="3845CD9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10. 配置取水手臂悬挂式一体设计，手臂挂钩，辅助磁吸设计，便于拿取；带彩色触控显示屏，实时显示水质指标（液位、温度、电阻率）；取水手臂可定量取水和取水流速调节。</w:t>
      </w:r>
    </w:p>
    <w:p w14:paraId="75A853F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11. 主机内置10L的液位水箱，采用食品级聚乙烯或者更优材料，低化学溶出，材料通过FDA 21 CFR 177.1520标准测试（投标时提供测试报告文件，须盖厂家公章）；完全封闭，不透光，配空气过滤器，配水箱自动杀菌紫外灯；可连续监控储水液位，并显示在主控屏上，精度≤1%。</w:t>
      </w:r>
    </w:p>
    <w:p w14:paraId="41D6994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12. 系统须配置高灵敏度漏水保护器，至少包括电磁阀、探头、信号放大电路等，其中探头应至少包括2个探针。可高灵敏度的检测微弱的漏水信号的强度，适用于超纯水环境使用。</w:t>
      </w:r>
    </w:p>
    <w:p w14:paraId="025F411C">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13. 全面的数据管理系统，可以存储至少2年的水质数据；所有报告均可通过USB端口导出，并且其打开格式适用于所有LIMS（实验室信息管理系统），存档功能支持质量管理系统，可连接打印机。</w:t>
      </w:r>
    </w:p>
    <w:p w14:paraId="30B9B3AB">
      <w:pPr>
        <w:spacing w:line="360" w:lineRule="auto"/>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DNA基因扩增仪</w:t>
      </w:r>
    </w:p>
    <w:p w14:paraId="313A91C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1.具有温度梯度功能，可同时运行</w:t>
      </w:r>
      <w:r>
        <w:rPr>
          <w:rFonts w:hint="eastAsia" w:ascii="仿宋" w:hAnsi="仿宋" w:eastAsia="仿宋" w:cs="仿宋"/>
          <w:sz w:val="28"/>
          <w:szCs w:val="28"/>
          <w:highlight w:val="none"/>
          <w:lang w:val="en-US"/>
        </w:rPr>
        <w:t>不低于</w:t>
      </w:r>
      <w:r>
        <w:rPr>
          <w:rFonts w:hint="eastAsia" w:ascii="仿宋" w:hAnsi="仿宋" w:eastAsia="仿宋" w:cs="仿宋"/>
          <w:sz w:val="28"/>
          <w:szCs w:val="28"/>
          <w:highlight w:val="none"/>
        </w:rPr>
        <w:t>8个不同的温度，相当于单个反应模块分为8个可同时分别独立设置温度的小模块， 一台PCR仪可以运行</w:t>
      </w:r>
      <w:r>
        <w:rPr>
          <w:rFonts w:hint="eastAsia" w:ascii="仿宋" w:hAnsi="仿宋" w:eastAsia="仿宋" w:cs="仿宋"/>
          <w:sz w:val="28"/>
          <w:szCs w:val="28"/>
          <w:highlight w:val="none"/>
          <w:lang w:val="en-US"/>
        </w:rPr>
        <w:t>不低于</w:t>
      </w:r>
      <w:r>
        <w:rPr>
          <w:rFonts w:hint="eastAsia" w:ascii="仿宋" w:hAnsi="仿宋" w:eastAsia="仿宋" w:cs="仿宋"/>
          <w:sz w:val="28"/>
          <w:szCs w:val="28"/>
          <w:highlight w:val="none"/>
        </w:rPr>
        <w:t>8个不同反应，供多人使用。</w:t>
      </w:r>
    </w:p>
    <w:p w14:paraId="2835868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2.半导体加热制冷方式</w:t>
      </w:r>
    </w:p>
    <w:p w14:paraId="043CE3E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3.它配有先进的全色彩触屏操作界面，便于编写、优化程序，监控和追溯反应过程。</w:t>
      </w:r>
    </w:p>
    <w:p w14:paraId="669EFD2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4.配有完全可调的热盖，广泛适用于各种反应管和封膜，包括标准高度和低缘PCR反应板</w:t>
      </w:r>
    </w:p>
    <w:p w14:paraId="3325BF4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5.具有高度精确的蜂槽式温度控制单元，在PCR运行过程中，甚至在升温过程中都能保持非常好的温度均一性。</w:t>
      </w:r>
    </w:p>
    <w:p w14:paraId="690F12C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6.输入功率：≤670W，相对同类产品功率很低，进而产热低，机器寿命长。</w:t>
      </w:r>
    </w:p>
    <w:p w14:paraId="2FC9908C">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7.显示：≥5.7寸高分辨率彩屏，Windows操作界面，可通过触摸键盘选择图形编程、文字编程或自动编程</w:t>
      </w:r>
    </w:p>
    <w:p w14:paraId="00464040">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8.内存容量：仪器自身可存储至少500个反应程序，此外可使用U盘无限扩展内存</w:t>
      </w:r>
    </w:p>
    <w:p w14:paraId="1B8D01B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9.内部预设置多种标准程序，可供选择使用。</w:t>
      </w:r>
    </w:p>
    <w:p w14:paraId="1BE9B38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10.用户可设置休眠模式使其更节电</w:t>
      </w:r>
    </w:p>
    <w:p w14:paraId="5EEB357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★11.最大升降温速率：≥ 4℃/秒；</w:t>
      </w:r>
    </w:p>
    <w:p w14:paraId="6E3559A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12.温度范围：4-100℃</w:t>
      </w:r>
    </w:p>
    <w:p w14:paraId="4F38FC1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13.具有温度梯度功能，可同时运行</w:t>
      </w:r>
      <w:r>
        <w:rPr>
          <w:rFonts w:hint="eastAsia" w:ascii="仿宋" w:hAnsi="仿宋" w:eastAsia="仿宋" w:cs="仿宋"/>
          <w:sz w:val="28"/>
          <w:szCs w:val="28"/>
          <w:highlight w:val="none"/>
          <w:lang w:val="en-US"/>
        </w:rPr>
        <w:t>不低于</w:t>
      </w:r>
      <w:r>
        <w:rPr>
          <w:rFonts w:hint="eastAsia" w:ascii="仿宋" w:hAnsi="仿宋" w:eastAsia="仿宋" w:cs="仿宋"/>
          <w:sz w:val="28"/>
          <w:szCs w:val="28"/>
          <w:highlight w:val="none"/>
        </w:rPr>
        <w:t>8个不同温度</w:t>
      </w:r>
    </w:p>
    <w:p w14:paraId="4F8DB18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14.温度梯度范围：30-100℃</w:t>
      </w:r>
    </w:p>
    <w:p w14:paraId="4B29D81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15.温度梯度温差或跨度：1-24℃</w:t>
      </w:r>
    </w:p>
    <w:p w14:paraId="2656417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16.接口： 1个USB 接口</w:t>
      </w:r>
    </w:p>
    <w:p w14:paraId="46CFA94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17.USB兼容性： USB闪存盘，条形码阅读器</w:t>
      </w:r>
    </w:p>
    <w:p w14:paraId="51B885F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18.控温模块采用O-型密封圈设计，防止冷凝水对电气元件的损坏，延长使用寿命。</w:t>
      </w:r>
    </w:p>
    <w:p w14:paraId="170868B8">
      <w:pPr>
        <w:spacing w:line="360" w:lineRule="auto"/>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微量冷冻离心机</w:t>
      </w:r>
    </w:p>
    <w:p w14:paraId="435A52B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1.最高转速：≥16500r/min</w:t>
      </w:r>
    </w:p>
    <w:p w14:paraId="2E05CF2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2.最大相对离心力：≥26054xg</w:t>
      </w:r>
    </w:p>
    <w:p w14:paraId="241C02A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3.最大容量：≥8×10ml</w:t>
      </w:r>
    </w:p>
    <w:p w14:paraId="3888FBD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4.转速精度：±10r/min</w:t>
      </w:r>
    </w:p>
    <w:p w14:paraId="5DA06CB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5.定时范围：1min～99h59min /1s～99min59sec</w:t>
      </w:r>
    </w:p>
    <w:p w14:paraId="5C1BC781">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6.温度设定范围：-20℃～+40℃</w:t>
      </w:r>
    </w:p>
    <w:p w14:paraId="1BFFAFD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7.温控精度：±1℃</w:t>
      </w:r>
    </w:p>
    <w:p w14:paraId="2D3D4DD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8.整机噪声：≤60dB(A)</w:t>
      </w:r>
    </w:p>
    <w:p w14:paraId="339B631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台式冷冻离心机</w:t>
      </w:r>
    </w:p>
    <w:p w14:paraId="708E220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最高转速：≥5300r/min</w:t>
      </w:r>
    </w:p>
    <w:p w14:paraId="5098B41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最大相对离心力：≥5010×g</w:t>
      </w:r>
    </w:p>
    <w:p w14:paraId="3BA7521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最大容量：4×250ml</w:t>
      </w:r>
    </w:p>
    <w:p w14:paraId="09DDA92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转速精度：±30r/min</w:t>
      </w:r>
    </w:p>
    <w:p w14:paraId="1B3325B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定时范围：1min～99min</w:t>
      </w:r>
    </w:p>
    <w:p w14:paraId="271F574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温度设置范围：-20～40℃</w:t>
      </w:r>
    </w:p>
    <w:p w14:paraId="14676681">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温度控制精度：±1℃</w:t>
      </w:r>
    </w:p>
    <w:p w14:paraId="2FC856D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整机噪声：≤65dB(A)</w:t>
      </w:r>
    </w:p>
    <w:p w14:paraId="24CB41ED">
      <w:pPr>
        <w:spacing w:line="360" w:lineRule="auto"/>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移液器</w:t>
      </w:r>
    </w:p>
    <w:p w14:paraId="06D514A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1.采用高科技材质，重量轻（仅约80g），坚固耐用，耐高温抗腐蚀</w:t>
      </w:r>
    </w:p>
    <w:p w14:paraId="6110A59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2.可整支高温高压灭菌和紫外线灭菌，操作更安全</w:t>
      </w:r>
    </w:p>
    <w:p w14:paraId="227340E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3.人体工程学设计，显著减少手、手臂和肩膀用力，避免手部重复性劳损（RSI）</w:t>
      </w:r>
    </w:p>
    <w:p w14:paraId="4B75B07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4.伸缩式弹性吸嘴设计，确保吸头装配的气密性和移液均一性</w:t>
      </w:r>
    </w:p>
    <w:p w14:paraId="247529D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5.四位数字放大体积显示，位置合理，便于移液时观察</w:t>
      </w:r>
    </w:p>
    <w:p w14:paraId="2CE6E9FC">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6.独有密度调节窗口，适用于不同密度的液体 ，通用性更广泛  </w:t>
      </w:r>
    </w:p>
    <w:p w14:paraId="1C51FAC1">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7.0.1μL－10mL 10种不同量程选择，全面满足不同使用需求</w:t>
      </w:r>
    </w:p>
    <w:p w14:paraId="008BAA9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8.颜色标识移液器量程</w:t>
      </w:r>
    </w:p>
    <w:p w14:paraId="25B06D9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9.多道移液器 具备可拆卸的单独通道设计，确保移液精准性，节省维修成本 </w:t>
      </w:r>
    </w:p>
    <w:p w14:paraId="11AB57F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10.多道移液器数字通道标识，保持同一方向移液以确保移液的均一性和精准性</w:t>
      </w:r>
    </w:p>
    <w:p w14:paraId="02BFE3BC">
      <w:pPr>
        <w:spacing w:line="360" w:lineRule="auto"/>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生物反应器</w:t>
      </w:r>
    </w:p>
    <w:p w14:paraId="64A2B6D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1.全容积：3L ；</w:t>
      </w:r>
    </w:p>
    <w:p w14:paraId="55FC79D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2.工作容积：30-70%；</w:t>
      </w:r>
    </w:p>
    <w:p w14:paraId="5903ACD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3.径高比： 1.5-2.0</w:t>
      </w:r>
      <w:r>
        <w:rPr>
          <w:rFonts w:hint="eastAsia" w:ascii="仿宋" w:hAnsi="仿宋" w:eastAsia="仿宋" w:cs="仿宋"/>
          <w:sz w:val="28"/>
          <w:szCs w:val="28"/>
          <w:highlight w:val="none"/>
        </w:rPr>
        <w:tab/>
      </w:r>
      <w:r>
        <w:rPr>
          <w:rFonts w:hint="eastAsia" w:ascii="仿宋" w:hAnsi="仿宋" w:eastAsia="仿宋" w:cs="仿宋"/>
          <w:sz w:val="28"/>
          <w:szCs w:val="28"/>
          <w:highlight w:val="none"/>
        </w:rPr>
        <w:t xml:space="preserve"> ；</w:t>
      </w:r>
    </w:p>
    <w:p w14:paraId="0F6C77A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4.设计罐压： 0.1MPa；</w:t>
      </w:r>
    </w:p>
    <w:p w14:paraId="4135485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5.罐体材料： 316L不锈钢底座结合硅硼玻璃；</w:t>
      </w:r>
    </w:p>
    <w:p w14:paraId="58678C6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6.灭菌温度： 100-130℃，灭菌时间： 0-60min，最高温度： 135℃；</w:t>
      </w:r>
    </w:p>
    <w:p w14:paraId="34C373F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7.灭菌方式：灭菌锅离位灭菌； </w:t>
      </w:r>
    </w:p>
    <w:p w14:paraId="78F93B9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8.有三个可选用的补液接口；浅层通气管接口一个；深层通气管接口1个；</w:t>
      </w:r>
    </w:p>
    <w:p w14:paraId="3A9F79F1">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顶部火焰接种口1个；侧面移种接口1个；</w:t>
      </w:r>
    </w:p>
    <w:p w14:paraId="70892C0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9.具备尾气冷凝器； </w:t>
      </w:r>
    </w:p>
    <w:p w14:paraId="6F490BE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10具备尾气过滤装置；</w:t>
      </w:r>
    </w:p>
    <w:p w14:paraId="1BCE299C">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11.平顶罐盖，螺栓式压紧装置；</w:t>
      </w:r>
    </w:p>
    <w:p w14:paraId="4775768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12.搅拌形式机械密封系统：顶部磁力驱动，没有机械密封，性能更好；</w:t>
      </w:r>
      <w:r>
        <w:rPr>
          <w:rFonts w:hint="eastAsia" w:ascii="仿宋" w:hAnsi="仿宋" w:eastAsia="仿宋" w:cs="仿宋"/>
          <w:sz w:val="28"/>
          <w:szCs w:val="28"/>
          <w:highlight w:val="none"/>
        </w:rPr>
        <w:tab/>
      </w:r>
    </w:p>
    <w:p w14:paraId="732E958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13.搅拌轴形式：单轴、微锥度高速型；</w:t>
      </w:r>
    </w:p>
    <w:p w14:paraId="3FA3E6A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14.搅拌速度：调速范围：20-200rpm，无级调速；</w:t>
      </w:r>
    </w:p>
    <w:p w14:paraId="495CE25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15.搅拌浆：一级4斜叶象耳搅拌浆；</w:t>
      </w:r>
    </w:p>
    <w:p w14:paraId="1F5579B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16.搅拌桨材料：罐内和与物料接触的部分均为316L。</w:t>
      </w:r>
    </w:p>
    <w:p w14:paraId="7860B5B5">
      <w:pPr>
        <w:spacing w:line="360" w:lineRule="auto"/>
        <w:ind w:firstLine="0" w:firstLine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rPr>
        <w:t>设备安装所需的环境改造</w:t>
      </w:r>
    </w:p>
    <w:p w14:paraId="0857F5A8">
      <w:pPr>
        <w:spacing w:line="360" w:lineRule="auto"/>
        <w:ind w:firstLine="560" w:firstLineChars="200"/>
        <w:jc w:val="both"/>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实验室</w:t>
      </w:r>
      <w:r>
        <w:rPr>
          <w:rFonts w:hint="eastAsia" w:ascii="仿宋" w:hAnsi="仿宋" w:eastAsia="仿宋" w:cs="仿宋"/>
          <w:sz w:val="28"/>
          <w:szCs w:val="28"/>
          <w:highlight w:val="none"/>
        </w:rPr>
        <w:t>环境改造安装：改造面积不超过20平方米。采用洁净级彩钢板进行细胞间围护结构施工，配置</w:t>
      </w:r>
      <w:r>
        <w:rPr>
          <w:rFonts w:hint="eastAsia" w:ascii="仿宋" w:hAnsi="仿宋" w:eastAsia="仿宋" w:cs="仿宋"/>
          <w:sz w:val="28"/>
          <w:szCs w:val="28"/>
          <w:highlight w:val="none"/>
          <w:lang w:val="en-US" w:eastAsia="zh-CN"/>
        </w:rPr>
        <w:t>一套</w:t>
      </w:r>
      <w:r>
        <w:rPr>
          <w:rFonts w:hint="eastAsia" w:ascii="仿宋" w:hAnsi="仿宋" w:eastAsia="仿宋" w:cs="仿宋"/>
          <w:sz w:val="28"/>
          <w:szCs w:val="28"/>
          <w:highlight w:val="none"/>
        </w:rPr>
        <w:t>排风装置及一台</w:t>
      </w:r>
      <w:r>
        <w:rPr>
          <w:rFonts w:hint="eastAsia" w:ascii="仿宋" w:hAnsi="仿宋" w:eastAsia="仿宋" w:cs="仿宋"/>
          <w:sz w:val="28"/>
          <w:szCs w:val="28"/>
          <w:highlight w:val="none"/>
          <w:lang w:val="en-US" w:eastAsia="zh-CN"/>
        </w:rPr>
        <w:t>立式2p</w:t>
      </w:r>
      <w:r>
        <w:rPr>
          <w:rFonts w:hint="eastAsia" w:ascii="仿宋" w:hAnsi="仿宋" w:eastAsia="仿宋" w:cs="仿宋"/>
          <w:sz w:val="28"/>
          <w:szCs w:val="28"/>
          <w:highlight w:val="none"/>
        </w:rPr>
        <w:t>空调系统，并配备细胞间专用排风滤芯及高效过滤器，</w:t>
      </w:r>
      <w:r>
        <w:rPr>
          <w:rFonts w:hint="eastAsia" w:ascii="仿宋" w:hAnsi="仿宋" w:eastAsia="仿宋" w:cs="仿宋"/>
          <w:sz w:val="28"/>
          <w:szCs w:val="28"/>
          <w:highlight w:val="none"/>
          <w:lang w:val="en-US" w:eastAsia="zh-CN"/>
        </w:rPr>
        <w:t>以</w:t>
      </w:r>
      <w:r>
        <w:rPr>
          <w:rFonts w:hint="eastAsia" w:ascii="仿宋" w:hAnsi="仿宋" w:eastAsia="仿宋" w:cs="仿宋"/>
          <w:sz w:val="28"/>
          <w:szCs w:val="28"/>
          <w:highlight w:val="none"/>
        </w:rPr>
        <w:t>确保改造后区域满足细胞培养及相关仪器设备正常运行所需的洁净度、温湿度及通风换气环境要求。</w:t>
      </w:r>
    </w:p>
    <w:p w14:paraId="1AD6E492">
      <w:pPr>
        <w:numPr>
          <w:ilvl w:val="0"/>
          <w:numId w:val="7"/>
        </w:numPr>
        <w:autoSpaceDE/>
        <w:autoSpaceDN/>
        <w:spacing w:line="360" w:lineRule="auto"/>
        <w:ind w:lef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服务要求（含付款方式）</w:t>
      </w:r>
    </w:p>
    <w:p w14:paraId="6D56BE2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合同签订后，甲方向乙方支付合同总金额40%的预付款（乙方需提供甲方认可的预付款保函），乙方在合同约定的时间内将所供合同标的物运至甲方指定地点，乙方在甲方收到合同标的物5日内对合同标的物进行安装调试，经甲方书面验收合格后，甲方向乙方支付合同总金额55%的货款。剩余的合同总金额5%的货款，自甲方书面验收合格之日起满壹年，经甲方再次验收，无质量问题后，甲方无息支付给乙方。</w:t>
      </w:r>
    </w:p>
    <w:p w14:paraId="12D2F1C6">
      <w:pPr>
        <w:numPr>
          <w:ilvl w:val="0"/>
          <w:numId w:val="7"/>
        </w:numPr>
        <w:autoSpaceDE/>
        <w:autoSpaceDN/>
        <w:spacing w:line="360" w:lineRule="auto"/>
        <w:ind w:lef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质保要求</w:t>
      </w:r>
    </w:p>
    <w:p w14:paraId="4715FF7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承诺质保期内免费维护保养，免费提供备品备件等内容，且自甲方通知维护之日起，8小时内务必即可响应解决设备问题不可收取任何费用。如质保期内不提供保养及解决设备问题，扣除所留余款。如结清余款的，质保期内再三要求维护不响应的，考虑纳入本单位不诚信供货单位名单（质保期开始之日：为设备验收合格之日起）。</w:t>
      </w:r>
    </w:p>
    <w:p w14:paraId="398B388D">
      <w:pPr>
        <w:numPr>
          <w:ilvl w:val="0"/>
          <w:numId w:val="7"/>
        </w:numPr>
        <w:autoSpaceDE/>
        <w:autoSpaceDN/>
        <w:spacing w:line="360" w:lineRule="auto"/>
        <w:ind w:lef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验收要求</w:t>
      </w:r>
    </w:p>
    <w:p w14:paraId="17AD0013">
      <w:pPr>
        <w:spacing w:line="360" w:lineRule="auto"/>
        <w:ind w:firstLine="560" w:firstLineChars="200"/>
        <w:jc w:val="both"/>
        <w:rPr>
          <w:rFonts w:hint="eastAsia" w:ascii="仿宋" w:hAnsi="仿宋" w:eastAsia="仿宋" w:cs="仿宋"/>
          <w:sz w:val="32"/>
          <w:szCs w:val="32"/>
          <w:highlight w:val="none"/>
        </w:rPr>
      </w:pPr>
      <w:r>
        <w:rPr>
          <w:rFonts w:hint="eastAsia" w:ascii="仿宋" w:hAnsi="仿宋" w:eastAsia="仿宋" w:cs="仿宋"/>
          <w:sz w:val="28"/>
          <w:szCs w:val="28"/>
          <w:highlight w:val="none"/>
        </w:rPr>
        <w:t>按甲方规定的型号、技术参数、数量、产地，并根据制造商的《出厂清单》《技术文件》进行现场验收，并由甲、乙双方签署验收报告。如有异议，各方应当在验收后七天内以书面形式通知对方。</w:t>
      </w:r>
    </w:p>
    <w:p w14:paraId="7DD83647">
      <w:pPr>
        <w:spacing w:line="360" w:lineRule="auto"/>
        <w:jc w:val="both"/>
        <w:rPr>
          <w:rFonts w:hint="eastAsia" w:ascii="仿宋" w:hAnsi="仿宋" w:eastAsia="仿宋" w:cs="仿宋"/>
          <w:sz w:val="28"/>
          <w:szCs w:val="28"/>
          <w:highlight w:val="none"/>
        </w:rPr>
      </w:pPr>
      <w:r>
        <w:rPr>
          <w:rFonts w:hint="eastAsia" w:ascii="仿宋" w:hAnsi="仿宋" w:eastAsia="仿宋" w:cs="仿宋"/>
          <w:b/>
          <w:sz w:val="28"/>
          <w:szCs w:val="28"/>
          <w:highlight w:val="none"/>
          <w:lang w:val="en-US"/>
        </w:rPr>
        <w:t>4</w:t>
      </w:r>
      <w:r>
        <w:rPr>
          <w:rFonts w:hint="eastAsia" w:ascii="仿宋" w:hAnsi="仿宋" w:eastAsia="仿宋" w:cs="仿宋"/>
          <w:b/>
          <w:sz w:val="28"/>
          <w:szCs w:val="28"/>
          <w:highlight w:val="none"/>
        </w:rPr>
        <w:t>、品目名称：落地冷冻离心机（国产）</w:t>
      </w:r>
    </w:p>
    <w:p w14:paraId="76E72822">
      <w:pPr>
        <w:numPr>
          <w:ilvl w:val="0"/>
          <w:numId w:val="8"/>
        </w:numPr>
        <w:spacing w:line="36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规格：</w:t>
      </w:r>
    </w:p>
    <w:p w14:paraId="2346A91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落地冷冻离心机</w:t>
      </w:r>
      <w:r>
        <w:rPr>
          <w:rFonts w:hint="eastAsia" w:ascii="仿宋" w:hAnsi="仿宋" w:eastAsia="仿宋" w:cs="仿宋"/>
          <w:sz w:val="28"/>
          <w:szCs w:val="28"/>
          <w:highlight w:val="none"/>
          <w:lang w:val="en-US"/>
        </w:rPr>
        <w:t>1套，</w:t>
      </w:r>
      <w:r>
        <w:rPr>
          <w:rFonts w:hint="eastAsia" w:ascii="仿宋" w:hAnsi="仿宋" w:eastAsia="仿宋" w:cs="仿宋"/>
          <w:sz w:val="28"/>
          <w:szCs w:val="28"/>
          <w:highlight w:val="none"/>
        </w:rPr>
        <w:t>最高转速10000 r/min</w:t>
      </w:r>
    </w:p>
    <w:p w14:paraId="26AA9D7D">
      <w:pPr>
        <w:numPr>
          <w:ilvl w:val="0"/>
          <w:numId w:val="8"/>
        </w:numPr>
        <w:spacing w:line="36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详细参数</w:t>
      </w:r>
    </w:p>
    <w:p w14:paraId="3740BDA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1.7寸LCD触摸屏，界面简洁清晰，所有参数一目了然。</w:t>
      </w:r>
    </w:p>
    <w:p w14:paraId="2F3A2BF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2.★具备转子自动识别功能，门锁采用自吸式伺服或同等安全等级的门锁形式，功能不低于此要求。</w:t>
      </w:r>
    </w:p>
    <w:p w14:paraId="2BF6613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3.转头自动锁定，无需螺栓扳手等，直接取放，安全、方便、便捷，或具备同等便捷式锁定方式。</w:t>
      </w:r>
    </w:p>
    <w:p w14:paraId="1291755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4.大力矩变频电机，柔性轴驱动运行平稳，三级减振离心效果更佳</w:t>
      </w:r>
    </w:p>
    <w:p w14:paraId="67C79D7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5.进口或国产同等性能无氟压缩机组，双回路控制，控温准确。</w:t>
      </w:r>
    </w:p>
    <w:p w14:paraId="02E1786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6.按开门键，门盖自动上升，无需手动托举，或同等自动开门功能。</w:t>
      </w:r>
    </w:p>
    <w:p w14:paraId="0302DF3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7.所有转子、转子盖均可高温高压灭菌。</w:t>
      </w:r>
    </w:p>
    <w:p w14:paraId="58BF3C7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8.内腔底部设有专用排水系统、防止冷凝水聚积。</w:t>
      </w:r>
    </w:p>
    <w:p w14:paraId="14B544F1">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9.参数设定直接数字输入，精确到个位。</w:t>
      </w:r>
    </w:p>
    <w:p w14:paraId="6829CAC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10.智能状态提示，实时显示仪器状态。</w:t>
      </w:r>
    </w:p>
    <w:p w14:paraId="082E225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11.具备程序及记录存储功能，可存储程序组≥1000个、使用记录≥10万条，存储数据可长期保存且无丢失风险。</w:t>
      </w:r>
    </w:p>
    <w:p w14:paraId="0BDD3680">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12.★可编辑保存多段速梯度离心程序，数量≥7组。</w:t>
      </w:r>
    </w:p>
    <w:p w14:paraId="0FC89B8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13.时间显示，年、月、日、时、分、秒、方便追溯使用记录。</w:t>
      </w:r>
    </w:p>
    <w:p w14:paraId="7A754C1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14.40级升降速档位、可设置自由停车，满足多种离心回收要求。</w:t>
      </w:r>
    </w:p>
    <w:p w14:paraId="094EFF6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15.运行中转速、离心力、温度曲线同屏显示，变化关系清晰可见。</w:t>
      </w:r>
    </w:p>
    <w:p w14:paraId="5084BF2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16.密码锁定功能，用户可设置密码对主机进行密码锁定，防止误操作。</w:t>
      </w:r>
    </w:p>
    <w:p w14:paraId="7C5E6C5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17.转速、离心力自动换算、同屏显示、无需转换。</w:t>
      </w:r>
    </w:p>
    <w:p w14:paraId="1E7C6BD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18.门盖，超速，超温、超压、过热等22种保护功能，声音文字同时提示并显示解决方案，更加稳定可靠。</w:t>
      </w:r>
    </w:p>
    <w:p w14:paraId="2333E20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19.自带电子说明书，永不遗失，方便使用。</w:t>
      </w:r>
    </w:p>
    <w:p w14:paraId="31257EB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20.可通过USB导出PDF格式的使用记录和日志。</w:t>
      </w:r>
    </w:p>
    <w:p w14:paraId="42E492A4">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21.具有点动/连续离心功能</w:t>
      </w:r>
    </w:p>
    <w:p w14:paraId="6B8E69E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22.标配ECO节能模块。</w:t>
      </w:r>
    </w:p>
    <w:p w14:paraId="4B9A081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23.具备设备使用身份识别功能，支持密码验证或电子身份识别卡等同等安全的识别方式。</w:t>
      </w:r>
    </w:p>
    <w:p w14:paraId="123035C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24.搭配多功能控制操作系统，采用微电脑控制系统，通过PID调节精准控制各项参数，实现电子记录，符合新版GMP要求</w:t>
      </w:r>
    </w:p>
    <w:p w14:paraId="047D3F50">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25.标配离心记录溯源，可手动输入样品编号，可溯源每一个样品的离心记录</w:t>
      </w:r>
    </w:p>
    <w:p w14:paraId="19E4F80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26.通过通讯接口</w:t>
      </w:r>
      <w:r>
        <w:rPr>
          <w:rFonts w:hint="eastAsia" w:ascii="仿宋" w:hAnsi="仿宋" w:eastAsia="仿宋" w:cs="仿宋"/>
          <w:highlight w:val="none"/>
        </w:rPr>
        <w:t>（如TCP/IP、Modbus等）</w:t>
      </w:r>
      <w:r>
        <w:rPr>
          <w:rFonts w:hint="eastAsia" w:ascii="仿宋" w:hAnsi="仿宋" w:eastAsia="仿宋" w:cs="仿宋"/>
          <w:sz w:val="28"/>
          <w:szCs w:val="28"/>
          <w:highlight w:val="none"/>
        </w:rPr>
        <w:t>与PC端相连，接入用户设备管理平台，实时上传设备数据可实现批量远程监控，方便数据管理（选装）</w:t>
      </w:r>
    </w:p>
    <w:p w14:paraId="3A60467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27.★最高转速         </w:t>
      </w:r>
      <w:r>
        <w:rPr>
          <w:rFonts w:hint="eastAsia" w:ascii="仿宋" w:hAnsi="仿宋" w:eastAsia="仿宋" w:cs="仿宋"/>
          <w:highlight w:val="none"/>
        </w:rPr>
        <w:t>≥</w:t>
      </w:r>
      <w:r>
        <w:rPr>
          <w:rFonts w:hint="eastAsia" w:ascii="仿宋" w:hAnsi="仿宋" w:eastAsia="仿宋" w:cs="仿宋"/>
          <w:sz w:val="28"/>
          <w:szCs w:val="28"/>
          <w:highlight w:val="none"/>
        </w:rPr>
        <w:t xml:space="preserve"> 10000 r/min</w:t>
      </w:r>
    </w:p>
    <w:p w14:paraId="589DEA6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28.★最大离心力       </w:t>
      </w:r>
      <w:r>
        <w:rPr>
          <w:rFonts w:hint="eastAsia" w:ascii="仿宋" w:hAnsi="仿宋" w:eastAsia="仿宋" w:cs="仿宋"/>
          <w:highlight w:val="none"/>
        </w:rPr>
        <w:t>≥</w:t>
      </w:r>
      <w:r>
        <w:rPr>
          <w:rFonts w:hint="eastAsia" w:ascii="仿宋" w:hAnsi="仿宋" w:eastAsia="仿宋" w:cs="仿宋"/>
          <w:sz w:val="28"/>
          <w:szCs w:val="28"/>
          <w:highlight w:val="none"/>
        </w:rPr>
        <w:t xml:space="preserve"> 18590 ×g</w:t>
      </w:r>
    </w:p>
    <w:p w14:paraId="7A2E9BD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29.★最大容量         </w:t>
      </w:r>
      <w:r>
        <w:rPr>
          <w:rFonts w:hint="eastAsia" w:ascii="仿宋" w:hAnsi="仿宋" w:eastAsia="仿宋" w:cs="仿宋"/>
          <w:highlight w:val="none"/>
        </w:rPr>
        <w:t>≥</w:t>
      </w:r>
      <w:r>
        <w:rPr>
          <w:rFonts w:hint="eastAsia" w:ascii="仿宋" w:hAnsi="仿宋" w:eastAsia="仿宋" w:cs="仿宋"/>
          <w:sz w:val="28"/>
          <w:szCs w:val="28"/>
          <w:highlight w:val="none"/>
        </w:rPr>
        <w:t xml:space="preserve"> 6×1000ml(8000rpm)</w:t>
      </w:r>
    </w:p>
    <w:p w14:paraId="3726D13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30.转速精度          ±10 r/min</w:t>
      </w:r>
    </w:p>
    <w:p w14:paraId="186ECA5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31.温控精度          ±1℃</w:t>
      </w:r>
    </w:p>
    <w:p w14:paraId="0796A8C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32.温度设置范围      -20℃ ～40℃</w:t>
      </w:r>
    </w:p>
    <w:p w14:paraId="6F5D07A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33.定时范围          1s~99H59 min59s</w:t>
      </w:r>
    </w:p>
    <w:p w14:paraId="78B358E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34.噪声          ≤65dB（A）</w:t>
      </w:r>
    </w:p>
    <w:p w14:paraId="541B1CD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35.电源          AC  220V 50HZ  32A</w:t>
      </w:r>
    </w:p>
    <w:p w14:paraId="7E0D624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36功率          5.5KW</w:t>
      </w:r>
    </w:p>
    <w:p w14:paraId="51BE163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37配置： 6×1000ml角转子1套（最高转速8000rpm，最大相对离心力15190×g）；6×300ml角转子1套</w:t>
      </w:r>
    </w:p>
    <w:p w14:paraId="3F0BC9D1">
      <w:pPr>
        <w:numPr>
          <w:ilvl w:val="0"/>
          <w:numId w:val="8"/>
        </w:numPr>
        <w:spacing w:line="36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服务要求（含付款方式）</w:t>
      </w:r>
    </w:p>
    <w:p w14:paraId="1EAFB61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3.1 新疆大学指定地点安装调试，到货一周内完成新设备安装验收工作。</w:t>
      </w:r>
    </w:p>
    <w:p w14:paraId="27F0DFC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3.2 调试与培训：在现场完成调试与培训，使用户熟练掌握仪器操作及日常维护。</w:t>
      </w:r>
    </w:p>
    <w:p w14:paraId="1F8B1090">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3.3 其他服务要求：具有一定的售后服务能力，当地具有专业的维修工程师，设备终身维护，设备报修应在4小时之内响应。</w:t>
      </w:r>
    </w:p>
    <w:p w14:paraId="1AFDB39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3.4 付款方式：甲乙双方合同签订后，甲方向乙方支付合同总金额40%的预付款（乙方需提供甲方认可的预付款保函），乙方在合同约定的时间内将所供合同标的物运至甲方指定地点，乙方在甲方收到合同标的物5日内对合同标的物进行安装调试，经甲方书面验收合格后，甲方向乙方支付合同总金额55%的货款。剩余的合同总金额5%的货款，自甲方书面验收合格之日起满壹年，经甲方再次验收，无质量问题后，甲方无息支付给乙方。。</w:t>
      </w:r>
    </w:p>
    <w:p w14:paraId="6D989762">
      <w:pPr>
        <w:numPr>
          <w:ilvl w:val="0"/>
          <w:numId w:val="8"/>
        </w:numPr>
        <w:spacing w:line="36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质保要求</w:t>
      </w:r>
    </w:p>
    <w:p w14:paraId="7A4E02B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承诺质保期内免费维护保养，免费提供备品备件等内容，且自甲方通知维护之日起，72小时内务必即可响应解决设备问题不可收取任何费用。如质保期内不提供保养及解决设备问题，扣除所留余款。如结清余款的，质保期内再三要求维护不响应的，考虑纳入本单位不诚信供货单位名单。（质保期开始之日：为设备验收合格之日起）</w:t>
      </w:r>
    </w:p>
    <w:p w14:paraId="2686F60E">
      <w:pPr>
        <w:numPr>
          <w:ilvl w:val="0"/>
          <w:numId w:val="8"/>
        </w:numPr>
        <w:spacing w:line="36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验收要求</w:t>
      </w:r>
    </w:p>
    <w:p w14:paraId="71BA2EC1">
      <w:pPr>
        <w:spacing w:line="360" w:lineRule="auto"/>
        <w:ind w:firstLine="560" w:firstLineChars="200"/>
        <w:jc w:val="both"/>
        <w:rPr>
          <w:rFonts w:hint="eastAsia" w:ascii="仿宋" w:hAnsi="仿宋" w:eastAsia="仿宋" w:cs="仿宋"/>
          <w:sz w:val="32"/>
          <w:szCs w:val="32"/>
          <w:highlight w:val="none"/>
        </w:rPr>
      </w:pPr>
      <w:r>
        <w:rPr>
          <w:rFonts w:hint="eastAsia" w:ascii="仿宋" w:hAnsi="仿宋" w:eastAsia="仿宋" w:cs="仿宋"/>
          <w:sz w:val="28"/>
          <w:szCs w:val="28"/>
          <w:highlight w:val="none"/>
        </w:rPr>
        <w:t>设备验收需经多方共同在场，依据合同与装箱单完成开箱清点，确认主机、转子及配件数量无误且无运输损伤。安装就位后，须逐项完成核心性能验证：包括转速与离心力的精度校准（误差≤±1%）、温控系统准确性测试（偏差≤±1℃）、振动噪音评估及超速、不平衡等安全保护功能触发测试。同时，供应商须提供全套技术资料（含合格证、手册、软件等），并完成对使用人员的现场操作与维护培训。全部项目验收合格后，各方共同签署验收报告，作为最终付款依据；若存在任何不符项，供应商须限期整改并重新验收。</w:t>
      </w:r>
    </w:p>
    <w:p w14:paraId="7EA189FE">
      <w:pPr>
        <w:spacing w:line="360" w:lineRule="auto"/>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rPr>
        <w:t>5</w:t>
      </w:r>
      <w:r>
        <w:rPr>
          <w:rFonts w:hint="eastAsia" w:ascii="仿宋" w:hAnsi="仿宋" w:eastAsia="仿宋" w:cs="仿宋"/>
          <w:b/>
          <w:bCs/>
          <w:sz w:val="28"/>
          <w:szCs w:val="28"/>
          <w:highlight w:val="none"/>
        </w:rPr>
        <w:t>、品目名称：台式高速冷冻离心机（国产）</w:t>
      </w:r>
    </w:p>
    <w:p w14:paraId="6DE15D9A">
      <w:pPr>
        <w:numPr>
          <w:ilvl w:val="0"/>
          <w:numId w:val="9"/>
        </w:numPr>
        <w:autoSpaceDE/>
        <w:autoSpaceDN/>
        <w:spacing w:line="360" w:lineRule="auto"/>
        <w:ind w:lef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规格</w:t>
      </w:r>
    </w:p>
    <w:p w14:paraId="5BCADFD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台式高速冷冻离心机</w:t>
      </w:r>
      <w:r>
        <w:rPr>
          <w:rFonts w:hint="eastAsia" w:ascii="仿宋" w:hAnsi="仿宋" w:eastAsia="仿宋" w:cs="仿宋"/>
          <w:sz w:val="28"/>
          <w:szCs w:val="28"/>
          <w:highlight w:val="none"/>
          <w:lang w:val="en-US"/>
        </w:rPr>
        <w:t>2套，</w:t>
      </w:r>
      <w:r>
        <w:rPr>
          <w:rFonts w:hint="eastAsia" w:ascii="仿宋" w:hAnsi="仿宋" w:eastAsia="仿宋" w:cs="仿宋"/>
          <w:sz w:val="28"/>
          <w:szCs w:val="28"/>
          <w:highlight w:val="none"/>
        </w:rPr>
        <w:t>最高转速 ≥20600 r/min</w:t>
      </w:r>
    </w:p>
    <w:p w14:paraId="1DD82958">
      <w:pPr>
        <w:numPr>
          <w:ilvl w:val="0"/>
          <w:numId w:val="9"/>
        </w:numPr>
        <w:autoSpaceDE/>
        <w:autoSpaceDN/>
        <w:spacing w:line="360" w:lineRule="auto"/>
        <w:ind w:lef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详细参数</w:t>
      </w:r>
    </w:p>
    <w:p w14:paraId="697FF1F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1.本机可配备多种角转子和水平转子及适配器，适用于0.2ml-750ml试管/离心瓶和工作板的离心。是分子生物学，临床医学，检验检疫等领域的理想选择。</w:t>
      </w:r>
    </w:p>
    <w:p w14:paraId="3EAA7E7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2.结构设计紧凑，占地面积小，节省实验室空间。</w:t>
      </w:r>
    </w:p>
    <w:p w14:paraId="1A839820">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3.双锁头、双液压杆，自吸式静音门锁，</w:t>
      </w:r>
      <w:r>
        <w:rPr>
          <w:rFonts w:hint="eastAsia" w:ascii="仿宋" w:hAnsi="仿宋" w:eastAsia="仿宋" w:cs="仿宋"/>
          <w:sz w:val="28"/>
          <w:szCs w:val="28"/>
          <w:highlight w:val="none"/>
          <w:lang w:val="en-US"/>
        </w:rPr>
        <w:t>延长门盖使用寿命，相对传统单锁头更</w:t>
      </w:r>
      <w:r>
        <w:rPr>
          <w:rFonts w:hint="eastAsia" w:ascii="仿宋" w:hAnsi="仿宋" w:eastAsia="仿宋" w:cs="仿宋"/>
          <w:sz w:val="28"/>
          <w:szCs w:val="28"/>
          <w:highlight w:val="none"/>
        </w:rPr>
        <w:t>安全可靠。</w:t>
      </w:r>
    </w:p>
    <w:p w14:paraId="7B11D48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4.PID自动温控系统，全程监测离心腔温度变化，异常自动警报。</w:t>
      </w:r>
    </w:p>
    <w:p w14:paraId="75DF3CB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5.转子智能识别技术，</w:t>
      </w:r>
      <w:r>
        <w:rPr>
          <w:rFonts w:hint="eastAsia" w:ascii="仿宋" w:hAnsi="仿宋" w:eastAsia="仿宋" w:cs="仿宋"/>
          <w:sz w:val="28"/>
          <w:szCs w:val="28"/>
          <w:highlight w:val="none"/>
          <w:lang w:val="en-US"/>
        </w:rPr>
        <w:t>无需关机便可</w:t>
      </w:r>
      <w:r>
        <w:rPr>
          <w:rFonts w:hint="eastAsia" w:ascii="仿宋" w:hAnsi="仿宋" w:eastAsia="仿宋" w:cs="仿宋"/>
          <w:sz w:val="28"/>
          <w:szCs w:val="28"/>
          <w:highlight w:val="none"/>
        </w:rPr>
        <w:t>静态识别转子各种信息，</w:t>
      </w:r>
      <w:r>
        <w:rPr>
          <w:rFonts w:hint="eastAsia" w:ascii="仿宋" w:hAnsi="仿宋" w:eastAsia="仿宋" w:cs="仿宋"/>
          <w:sz w:val="28"/>
          <w:szCs w:val="28"/>
          <w:highlight w:val="none"/>
          <w:lang w:val="en-US"/>
        </w:rPr>
        <w:t>转子没安装到位时无法识别到转子信息，设备无法运行，保护设备及使用人员安全，</w:t>
      </w:r>
      <w:r>
        <w:rPr>
          <w:rFonts w:hint="eastAsia" w:ascii="仿宋" w:hAnsi="仿宋" w:eastAsia="仿宋" w:cs="仿宋"/>
          <w:sz w:val="28"/>
          <w:szCs w:val="28"/>
          <w:highlight w:val="none"/>
        </w:rPr>
        <w:t>也能对转子的使用寿命进行精准管理。同时转子数量不受限制，即使非标定制转子，系统也能快速识别。</w:t>
      </w:r>
    </w:p>
    <w:p w14:paraId="25CE591A">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6.实时监测设备在运行中的振动状态，</w:t>
      </w:r>
      <w:r>
        <w:rPr>
          <w:rFonts w:hint="eastAsia" w:ascii="仿宋" w:hAnsi="仿宋" w:eastAsia="仿宋" w:cs="仿宋"/>
          <w:sz w:val="28"/>
          <w:szCs w:val="28"/>
          <w:highlight w:val="none"/>
          <w:lang w:val="en-US"/>
        </w:rPr>
        <w:t>若漏液或不平衡等造成</w:t>
      </w:r>
      <w:r>
        <w:rPr>
          <w:rFonts w:hint="eastAsia" w:ascii="仿宋" w:hAnsi="仿宋" w:eastAsia="仿宋" w:cs="仿宋"/>
          <w:sz w:val="28"/>
          <w:szCs w:val="28"/>
          <w:highlight w:val="none"/>
        </w:rPr>
        <w:t>设备异常振动，机器立即停机并发出警报，</w:t>
      </w:r>
      <w:r>
        <w:rPr>
          <w:rFonts w:hint="eastAsia" w:ascii="仿宋" w:hAnsi="仿宋" w:eastAsia="仿宋" w:cs="仿宋"/>
          <w:highlight w:val="none"/>
          <w:lang w:val="en-US"/>
        </w:rPr>
        <w:t>提升操作人员使用安全性。</w:t>
      </w:r>
    </w:p>
    <w:p w14:paraId="0C91864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7.采用免维护变频电机驱动，LCD触摸屏，操作简便。</w:t>
      </w:r>
    </w:p>
    <w:p w14:paraId="5C71E5A0">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8.内腔</w:t>
      </w:r>
      <w:r>
        <w:rPr>
          <w:rFonts w:hint="eastAsia" w:ascii="仿宋" w:hAnsi="仿宋" w:eastAsia="仿宋" w:cs="仿宋"/>
          <w:sz w:val="28"/>
          <w:szCs w:val="28"/>
          <w:highlight w:val="none"/>
          <w:lang w:val="en-US"/>
        </w:rPr>
        <w:t>采用不低于</w:t>
      </w:r>
      <w:r>
        <w:rPr>
          <w:rFonts w:hint="eastAsia" w:ascii="仿宋" w:hAnsi="仿宋" w:eastAsia="仿宋" w:cs="仿宋"/>
          <w:sz w:val="28"/>
          <w:szCs w:val="28"/>
          <w:highlight w:val="none"/>
        </w:rPr>
        <w:t>316不锈钢</w:t>
      </w:r>
      <w:r>
        <w:rPr>
          <w:rFonts w:hint="eastAsia" w:ascii="仿宋" w:hAnsi="仿宋" w:eastAsia="仿宋" w:cs="仿宋"/>
          <w:sz w:val="28"/>
          <w:szCs w:val="28"/>
          <w:highlight w:val="none"/>
          <w:lang w:val="en-US"/>
        </w:rPr>
        <w:t>的材质</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rPr>
        <w:t>腔体表面需具备</w:t>
      </w:r>
      <w:r>
        <w:rPr>
          <w:rFonts w:hint="eastAsia" w:ascii="仿宋" w:hAnsi="仿宋" w:eastAsia="仿宋" w:cs="仿宋"/>
          <w:sz w:val="28"/>
          <w:szCs w:val="28"/>
          <w:highlight w:val="none"/>
        </w:rPr>
        <w:t>耐腐蚀性</w:t>
      </w:r>
      <w:r>
        <w:rPr>
          <w:rFonts w:hint="eastAsia" w:ascii="仿宋" w:hAnsi="仿宋" w:eastAsia="仿宋" w:cs="仿宋"/>
          <w:sz w:val="28"/>
          <w:szCs w:val="28"/>
          <w:highlight w:val="none"/>
          <w:lang w:val="en-US"/>
        </w:rPr>
        <w:t>的涂层，（如：</w:t>
      </w:r>
      <w:r>
        <w:rPr>
          <w:rFonts w:hint="eastAsia" w:ascii="仿宋" w:hAnsi="仿宋" w:eastAsia="仿宋" w:cs="仿宋"/>
          <w:sz w:val="28"/>
          <w:szCs w:val="28"/>
          <w:highlight w:val="none"/>
        </w:rPr>
        <w:t>特氟龙涂层，耐腐蚀性更强，更易清洁。）</w:t>
      </w:r>
    </w:p>
    <w:p w14:paraId="456EC06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9.可存储多达1000个程序组，十万条使用记录，可导出为PDF电子文档。</w:t>
      </w:r>
    </w:p>
    <w:p w14:paraId="3F68C57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10.具有多级权限分配功能，可根据需求自由设置管理权限，方便用户管理；用户可通过密码使用设备。</w:t>
      </w:r>
    </w:p>
    <w:p w14:paraId="1B88AB8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11.具有门盖，超速，超温、过流、过压、过热等多重保护功能，声音文字同时提示并显示解决方案，更加稳定可靠。</w:t>
      </w:r>
    </w:p>
    <w:p w14:paraId="120FBBD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12.可设置7段阶梯离心，满足多元化实验要求。</w:t>
      </w:r>
    </w:p>
    <w:p w14:paraId="2496AF2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13.具有曲线显示功能，运行参数以曲线形式直观的显示在屏幕上，用以监测各参数的变化过程和稳定性。</w:t>
      </w:r>
    </w:p>
    <w:p w14:paraId="253832E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14.具有点动/连续离心功能。</w:t>
      </w:r>
    </w:p>
    <w:p w14:paraId="5B2A0189">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15.40级升降速可调，转速在600rpm~0时采用曲线缓降，防止样品回荡。</w:t>
      </w:r>
    </w:p>
    <w:p w14:paraId="6C0C994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16.转速/离心力自动换算、同屏显示。</w:t>
      </w:r>
    </w:p>
    <w:p w14:paraId="5D8AF93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17.自带电子说明书，永不遗失，方便使用。</w:t>
      </w:r>
    </w:p>
    <w:p w14:paraId="5CDCA6C0">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18.标配ECO节能功能。</w:t>
      </w:r>
    </w:p>
    <w:p w14:paraId="3854C72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19.所有转子、转子盖均可高温高压灭菌。</w:t>
      </w:r>
    </w:p>
    <w:p w14:paraId="1DEAA185">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20.内腔底部设有专用排水系统、防止冷凝水聚积。</w:t>
      </w:r>
    </w:p>
    <w:p w14:paraId="6DA099C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.★最高转速 ≥20600 r/min</w:t>
      </w:r>
    </w:p>
    <w:p w14:paraId="735B86C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.最大离心力</w:t>
      </w:r>
      <w:r>
        <w:rPr>
          <w:rFonts w:hint="eastAsia" w:ascii="仿宋" w:hAnsi="仿宋" w:eastAsia="仿宋" w:cs="仿宋"/>
          <w:sz w:val="28"/>
          <w:szCs w:val="28"/>
          <w:highlight w:val="none"/>
        </w:rPr>
        <w:tab/>
      </w:r>
      <w:r>
        <w:rPr>
          <w:rFonts w:hint="eastAsia" w:ascii="仿宋" w:hAnsi="仿宋" w:eastAsia="仿宋" w:cs="仿宋"/>
          <w:sz w:val="28"/>
          <w:szCs w:val="28"/>
          <w:highlight w:val="none"/>
        </w:rPr>
        <w:t>≥31000 ×g</w:t>
      </w:r>
    </w:p>
    <w:p w14:paraId="277402D7">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.最大容量≥</w:t>
      </w:r>
      <w:r>
        <w:rPr>
          <w:rFonts w:hint="eastAsia" w:ascii="仿宋" w:hAnsi="仿宋" w:eastAsia="仿宋" w:cs="仿宋"/>
          <w:sz w:val="28"/>
          <w:szCs w:val="28"/>
          <w:highlight w:val="none"/>
        </w:rPr>
        <w:tab/>
      </w:r>
      <w:r>
        <w:rPr>
          <w:rFonts w:hint="eastAsia" w:ascii="仿宋" w:hAnsi="仿宋" w:eastAsia="仿宋" w:cs="仿宋"/>
          <w:sz w:val="28"/>
          <w:szCs w:val="28"/>
          <w:highlight w:val="none"/>
        </w:rPr>
        <w:t>4×750ml(4000rpm)</w:t>
      </w:r>
    </w:p>
    <w:p w14:paraId="3498B2A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.转速精度：±10 r/min</w:t>
      </w:r>
    </w:p>
    <w:p w14:paraId="210D1A03">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.温控精度:±1℃</w:t>
      </w:r>
    </w:p>
    <w:p w14:paraId="54CEAC38">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.温度设置范围:-20℃ ～40℃</w:t>
      </w:r>
    </w:p>
    <w:p w14:paraId="4F4858E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.定时范围:1s~99H59 min59s</w:t>
      </w:r>
    </w:p>
    <w:p w14:paraId="22165E56">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.噪声:≤56dB（A）</w:t>
      </w:r>
    </w:p>
    <w:p w14:paraId="68C7280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.电源:AC220V 50HZ15A</w:t>
      </w:r>
    </w:p>
    <w:p w14:paraId="6C0B3B6D">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40</w:t>
      </w:r>
      <w:r>
        <w:rPr>
          <w:rFonts w:hint="eastAsia" w:ascii="仿宋" w:hAnsi="仿宋" w:eastAsia="仿宋" w:cs="仿宋"/>
          <w:sz w:val="28"/>
          <w:szCs w:val="28"/>
          <w:highlight w:val="none"/>
        </w:rPr>
        <w:t>.功率:1.5KW</w:t>
      </w:r>
    </w:p>
    <w:p w14:paraId="7A04773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41</w:t>
      </w:r>
      <w:r>
        <w:rPr>
          <w:rFonts w:hint="eastAsia" w:ascii="仿宋" w:hAnsi="仿宋" w:eastAsia="仿宋" w:cs="仿宋"/>
          <w:sz w:val="28"/>
          <w:szCs w:val="28"/>
          <w:highlight w:val="none"/>
        </w:rPr>
        <w:t>.配置12X15ml尖底角转子(最高转速12500rpm，最大相对离心力17259Xg)数量1个。4×500ml水平转子数量1个，16×50ml适配器数量1个，4×2×96孔酶标板水平转子数量1个。</w:t>
      </w:r>
    </w:p>
    <w:p w14:paraId="5CEBD243">
      <w:pPr>
        <w:numPr>
          <w:ilvl w:val="0"/>
          <w:numId w:val="9"/>
        </w:numPr>
        <w:autoSpaceDE/>
        <w:autoSpaceDN/>
        <w:spacing w:line="360" w:lineRule="auto"/>
        <w:ind w:lef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服务要求（含付款方式）</w:t>
      </w:r>
    </w:p>
    <w:p w14:paraId="710282F0">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 新疆大学指定地点安装调试，到货一周内完成新设备安装验收工作。</w:t>
      </w:r>
    </w:p>
    <w:p w14:paraId="72563B92">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 调试与培训：在现场完成调试与培训，使用户熟练掌握仪器操作及日常维护。</w:t>
      </w:r>
    </w:p>
    <w:p w14:paraId="0D36D1DE">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 其他服务要求：具有一定的售后服务能力，当地具有专业的维修工程师，设备终身维护，设备报修应在4小时之内响应。</w:t>
      </w:r>
    </w:p>
    <w:p w14:paraId="4265147F">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 付款方式：甲乙双方合同签订后，甲方向乙方支付合同总金额40%的预付款（乙方需提供甲方认可的预付款保函），乙方在合同约定的时间内将所供合同标的物运至甲方指定地点，乙方在甲方收到合同标的物5日内对合同标的物进行安装调试，经甲方书面验收合格后，甲方向乙方支付合同总金额55%的货款。剩余的合同总金额5%的货款，自甲方书面验收合格之日起满壹年，经甲方再次验收，无质量问题后，甲方无息支付给乙方。</w:t>
      </w:r>
    </w:p>
    <w:p w14:paraId="47AB16C0">
      <w:pPr>
        <w:numPr>
          <w:ilvl w:val="0"/>
          <w:numId w:val="9"/>
        </w:numPr>
        <w:autoSpaceDE/>
        <w:autoSpaceDN/>
        <w:spacing w:line="360" w:lineRule="auto"/>
        <w:ind w:lef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质保要求</w:t>
      </w:r>
    </w:p>
    <w:p w14:paraId="3F6BA68C">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承诺质保期内免费维护保养，免费提供备品备件等内容，且自甲方通知维护之日起，72小时内务必即可响应解决设备问题不可收取任何费用。如质保期内不提供保养及解决设备问题，扣除所留余款。如结清余款的，质保期内再三要求维护不响应的，考虑纳入本单位不诚信供货单位名单。（质保期开始之日：为设备验收合格之日起）</w:t>
      </w:r>
    </w:p>
    <w:p w14:paraId="70B261FC">
      <w:pPr>
        <w:numPr>
          <w:ilvl w:val="0"/>
          <w:numId w:val="9"/>
        </w:numPr>
        <w:autoSpaceDE/>
        <w:autoSpaceDN/>
        <w:spacing w:line="360" w:lineRule="auto"/>
        <w:ind w:left="0" w:firstLine="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验收要求</w:t>
      </w:r>
    </w:p>
    <w:p w14:paraId="290DFB7B">
      <w:pPr>
        <w:spacing w:line="360" w:lineRule="auto"/>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设备验收需经多方共同在场，依据合同与装箱单完成开箱清点，确认主机、转子及配件数量无误且无运输损伤。安装就位后，须逐项完成核心性能验证：包括转速与离心力的精度校准（误差≤±1%）、温控系统准确性测试（偏差≤±1℃）、振动噪音评估及超速、不平衡等安全保护功能触发测试。同时，供应商须提供全套技术资料（含合格证、手册、软件等），并完成对使用人员的现场操作与维护培训。全部项目验收合格后，各方共同签署验收报告，作为最终付款依据；若存在任何不符项，供应商须限期整改并重新验收。</w:t>
      </w:r>
    </w:p>
    <w:p w14:paraId="293FFD85">
      <w:pPr>
        <w:spacing w:line="360" w:lineRule="auto"/>
        <w:ind w:left="425"/>
        <w:rPr>
          <w:rFonts w:hint="eastAsia" w:ascii="仿宋" w:hAnsi="仿宋" w:eastAsia="仿宋" w:cs="仿宋"/>
          <w:color w:val="auto"/>
          <w:sz w:val="32"/>
          <w:szCs w:val="32"/>
          <w:highlight w:val="none"/>
        </w:rPr>
      </w:pPr>
    </w:p>
    <w:p w14:paraId="69BD1C89">
      <w:pPr>
        <w:spacing w:line="360" w:lineRule="auto"/>
        <w:ind w:left="425"/>
        <w:rPr>
          <w:rFonts w:hint="eastAsia" w:ascii="仿宋" w:hAnsi="仿宋" w:eastAsia="仿宋" w:cs="仿宋"/>
          <w:color w:val="000000"/>
          <w:sz w:val="32"/>
          <w:szCs w:val="32"/>
          <w:highlight w:val="none"/>
        </w:rPr>
        <w:sectPr>
          <w:pgSz w:w="11906" w:h="16838"/>
          <w:pgMar w:top="1440" w:right="1800" w:bottom="1440" w:left="1800" w:header="851" w:footer="992" w:gutter="0"/>
          <w:cols w:space="720" w:num="1"/>
          <w:titlePg/>
          <w:docGrid w:type="lines" w:linePitch="312" w:charSpace="0"/>
        </w:sectPr>
      </w:pPr>
    </w:p>
    <w:p w14:paraId="57A1F36D">
      <w:pPr>
        <w:rPr>
          <w:rFonts w:hint="eastAsia" w:ascii="仿宋" w:hAnsi="仿宋" w:eastAsia="仿宋" w:cs="仿宋"/>
          <w:b/>
          <w:bCs/>
          <w:sz w:val="36"/>
          <w:szCs w:val="36"/>
          <w:highlight w:val="none"/>
          <w:lang w:val="en-US"/>
        </w:rPr>
      </w:pPr>
    </w:p>
    <w:p w14:paraId="5B32EE20">
      <w:pPr>
        <w:autoSpaceDE/>
        <w:autoSpaceDN/>
        <w:rPr>
          <w:rFonts w:hint="eastAsia" w:ascii="仿宋" w:hAnsi="仿宋" w:eastAsia="仿宋" w:cs="仿宋"/>
          <w:b/>
          <w:bCs/>
          <w:sz w:val="24"/>
          <w:szCs w:val="24"/>
          <w:highlight w:val="none"/>
          <w:lang w:val="en-US"/>
        </w:rPr>
      </w:pPr>
      <w:r>
        <w:rPr>
          <w:rFonts w:hint="eastAsia" w:ascii="仿宋" w:hAnsi="仿宋" w:eastAsia="仿宋" w:cs="仿宋"/>
          <w:b/>
          <w:bCs/>
          <w:szCs w:val="24"/>
          <w:highlight w:val="none"/>
          <w:lang w:val="en-US"/>
        </w:rPr>
        <w:t>2026年新疆大学药学院“双一流”建设项目(新疆特色中药民族药综合开发利用平台)</w:t>
      </w:r>
      <w:r>
        <w:rPr>
          <w:rFonts w:hint="eastAsia" w:ascii="仿宋" w:hAnsi="仿宋" w:eastAsia="仿宋" w:cs="仿宋"/>
          <w:b/>
          <w:bCs/>
          <w:sz w:val="24"/>
          <w:szCs w:val="24"/>
          <w:highlight w:val="none"/>
          <w:lang w:val="en-US"/>
        </w:rPr>
        <w:t>第二包</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796"/>
        <w:gridCol w:w="434"/>
        <w:gridCol w:w="978"/>
        <w:gridCol w:w="1122"/>
        <w:gridCol w:w="829"/>
        <w:gridCol w:w="909"/>
        <w:gridCol w:w="581"/>
        <w:gridCol w:w="1543"/>
        <w:gridCol w:w="1566"/>
      </w:tblGrid>
      <w:tr w14:paraId="0C4BC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32" w:type="pct"/>
            <w:tcBorders>
              <w:top w:val="single" w:color="auto" w:sz="4" w:space="0"/>
              <w:left w:val="single" w:color="auto" w:sz="4" w:space="0"/>
              <w:bottom w:val="single" w:color="auto" w:sz="4" w:space="0"/>
              <w:right w:val="single" w:color="auto" w:sz="4" w:space="0"/>
            </w:tcBorders>
            <w:vAlign w:val="center"/>
          </w:tcPr>
          <w:p w14:paraId="3A72500E">
            <w:pPr>
              <w:pStyle w:val="29"/>
              <w:snapToGrid w:val="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rPr>
              <w:t>序号</w:t>
            </w:r>
          </w:p>
        </w:tc>
        <w:tc>
          <w:tcPr>
            <w:tcW w:w="433" w:type="pct"/>
            <w:tcBorders>
              <w:top w:val="single" w:color="auto" w:sz="4" w:space="0"/>
              <w:left w:val="single" w:color="auto" w:sz="4" w:space="0"/>
              <w:bottom w:val="single" w:color="auto" w:sz="4" w:space="0"/>
              <w:right w:val="single" w:color="auto" w:sz="4" w:space="0"/>
            </w:tcBorders>
            <w:vAlign w:val="center"/>
          </w:tcPr>
          <w:p w14:paraId="7AF3B286">
            <w:pPr>
              <w:pStyle w:val="29"/>
              <w:snapToGrid w:val="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rPr>
              <w:t>设备名称</w:t>
            </w:r>
          </w:p>
        </w:tc>
        <w:tc>
          <w:tcPr>
            <w:tcW w:w="236" w:type="pct"/>
            <w:tcBorders>
              <w:top w:val="single" w:color="auto" w:sz="4" w:space="0"/>
              <w:left w:val="single" w:color="auto" w:sz="4" w:space="0"/>
              <w:bottom w:val="single" w:color="auto" w:sz="4" w:space="0"/>
              <w:right w:val="single" w:color="auto" w:sz="4" w:space="0"/>
            </w:tcBorders>
            <w:vAlign w:val="center"/>
          </w:tcPr>
          <w:p w14:paraId="38273694">
            <w:pPr>
              <w:pStyle w:val="29"/>
              <w:snapToGrid w:val="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rPr>
              <w:t>数量</w:t>
            </w:r>
          </w:p>
        </w:tc>
        <w:tc>
          <w:tcPr>
            <w:tcW w:w="532" w:type="pct"/>
            <w:tcBorders>
              <w:top w:val="single" w:color="auto" w:sz="4" w:space="0"/>
              <w:left w:val="single" w:color="auto" w:sz="4" w:space="0"/>
              <w:bottom w:val="single" w:color="auto" w:sz="4" w:space="0"/>
              <w:right w:val="single" w:color="auto" w:sz="4" w:space="0"/>
            </w:tcBorders>
            <w:vAlign w:val="center"/>
          </w:tcPr>
          <w:p w14:paraId="42215929">
            <w:pPr>
              <w:pStyle w:val="29"/>
              <w:snapToGrid w:val="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rPr>
              <w:t>质保期限</w:t>
            </w:r>
          </w:p>
          <w:p w14:paraId="02063EEB">
            <w:pPr>
              <w:pStyle w:val="29"/>
              <w:snapToGrid w:val="0"/>
              <w:jc w:val="center"/>
              <w:rPr>
                <w:rFonts w:hint="eastAsia" w:ascii="仿宋" w:hAnsi="仿宋" w:eastAsia="仿宋" w:cs="仿宋"/>
                <w:b/>
                <w:color w:val="auto"/>
                <w:sz w:val="21"/>
                <w:highlight w:val="none"/>
              </w:rPr>
            </w:pPr>
          </w:p>
        </w:tc>
        <w:tc>
          <w:tcPr>
            <w:tcW w:w="610" w:type="pct"/>
            <w:tcBorders>
              <w:top w:val="single" w:color="auto" w:sz="4" w:space="0"/>
              <w:left w:val="single" w:color="auto" w:sz="4" w:space="0"/>
              <w:bottom w:val="single" w:color="auto" w:sz="4" w:space="0"/>
              <w:right w:val="single" w:color="auto" w:sz="4" w:space="0"/>
            </w:tcBorders>
            <w:vAlign w:val="center"/>
          </w:tcPr>
          <w:p w14:paraId="471E0481">
            <w:pPr>
              <w:pStyle w:val="29"/>
              <w:snapToGrid w:val="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rPr>
              <w:t>交货日期</w:t>
            </w:r>
          </w:p>
          <w:p w14:paraId="4D4AC341">
            <w:pPr>
              <w:pStyle w:val="29"/>
              <w:snapToGrid w:val="0"/>
              <w:jc w:val="center"/>
              <w:rPr>
                <w:rFonts w:hint="eastAsia" w:ascii="仿宋" w:hAnsi="仿宋" w:eastAsia="仿宋" w:cs="仿宋"/>
                <w:b/>
                <w:color w:val="auto"/>
                <w:sz w:val="21"/>
                <w:highlight w:val="none"/>
              </w:rPr>
            </w:pPr>
          </w:p>
        </w:tc>
        <w:tc>
          <w:tcPr>
            <w:tcW w:w="451" w:type="pct"/>
            <w:tcBorders>
              <w:top w:val="single" w:color="auto" w:sz="4" w:space="0"/>
              <w:left w:val="single" w:color="auto" w:sz="4" w:space="0"/>
              <w:bottom w:val="single" w:color="auto" w:sz="4" w:space="0"/>
              <w:right w:val="single" w:color="auto" w:sz="4" w:space="0"/>
            </w:tcBorders>
            <w:vAlign w:val="center"/>
          </w:tcPr>
          <w:p w14:paraId="58D9ABDD">
            <w:pPr>
              <w:pStyle w:val="29"/>
              <w:snapToGrid w:val="0"/>
              <w:jc w:val="center"/>
              <w:rPr>
                <w:rFonts w:hint="eastAsia" w:ascii="仿宋" w:hAnsi="仿宋" w:eastAsia="仿宋" w:cs="仿宋"/>
                <w:b/>
                <w:color w:val="auto"/>
                <w:sz w:val="21"/>
                <w:highlight w:val="none"/>
              </w:rPr>
            </w:pPr>
            <w:r>
              <w:rPr>
                <w:rFonts w:hint="eastAsia" w:ascii="仿宋" w:hAnsi="仿宋" w:eastAsia="仿宋" w:cs="仿宋"/>
                <w:b/>
                <w:color w:val="auto"/>
                <w:sz w:val="21"/>
                <w:highlight w:val="none"/>
                <w:lang w:eastAsia="zh-CN"/>
              </w:rPr>
              <w:t>分项限价</w:t>
            </w:r>
            <w:r>
              <w:rPr>
                <w:rFonts w:hint="eastAsia" w:ascii="仿宋" w:hAnsi="仿宋" w:eastAsia="仿宋" w:cs="仿宋"/>
                <w:b/>
                <w:color w:val="auto"/>
                <w:sz w:val="21"/>
                <w:highlight w:val="none"/>
              </w:rPr>
              <w:t>(万元)</w:t>
            </w:r>
          </w:p>
        </w:tc>
        <w:tc>
          <w:tcPr>
            <w:tcW w:w="494" w:type="pct"/>
            <w:tcBorders>
              <w:top w:val="single" w:color="auto" w:sz="4" w:space="0"/>
              <w:left w:val="single" w:color="auto" w:sz="4" w:space="0"/>
              <w:bottom w:val="single" w:color="auto" w:sz="4" w:space="0"/>
              <w:right w:val="single" w:color="auto" w:sz="4" w:space="0"/>
            </w:tcBorders>
            <w:vAlign w:val="center"/>
          </w:tcPr>
          <w:p w14:paraId="1BB75759">
            <w:pPr>
              <w:snapToGrid w:val="0"/>
              <w:jc w:val="center"/>
              <w:rPr>
                <w:rFonts w:hint="eastAsia" w:ascii="仿宋" w:hAnsi="仿宋" w:eastAsia="仿宋" w:cs="仿宋"/>
                <w:b/>
                <w:sz w:val="21"/>
                <w:highlight w:val="none"/>
              </w:rPr>
            </w:pPr>
            <w:r>
              <w:rPr>
                <w:rFonts w:hint="eastAsia" w:ascii="仿宋" w:hAnsi="仿宋" w:eastAsia="仿宋" w:cs="仿宋"/>
                <w:b/>
                <w:sz w:val="21"/>
                <w:highlight w:val="none"/>
              </w:rPr>
              <w:t>备注</w:t>
            </w:r>
          </w:p>
          <w:p w14:paraId="178BA4A0">
            <w:pPr>
              <w:snapToGrid w:val="0"/>
              <w:jc w:val="center"/>
              <w:rPr>
                <w:rFonts w:hint="eastAsia" w:ascii="仿宋" w:hAnsi="仿宋" w:eastAsia="仿宋" w:cs="仿宋"/>
                <w:b/>
                <w:kern w:val="2"/>
                <w:sz w:val="21"/>
                <w:szCs w:val="24"/>
                <w:highlight w:val="none"/>
                <w:lang w:val="en-US" w:bidi="ar-SA"/>
              </w:rPr>
            </w:pPr>
            <w:r>
              <w:rPr>
                <w:rFonts w:hint="eastAsia" w:ascii="仿宋" w:hAnsi="仿宋" w:eastAsia="仿宋" w:cs="仿宋"/>
                <w:b/>
                <w:sz w:val="21"/>
                <w:highlight w:val="none"/>
              </w:rPr>
              <w:t>（进口、国产）</w:t>
            </w:r>
          </w:p>
        </w:tc>
        <w:tc>
          <w:tcPr>
            <w:tcW w:w="316" w:type="pct"/>
            <w:tcBorders>
              <w:top w:val="single" w:color="auto" w:sz="4" w:space="0"/>
              <w:left w:val="single" w:color="auto" w:sz="4" w:space="0"/>
              <w:bottom w:val="single" w:color="auto" w:sz="4" w:space="0"/>
              <w:right w:val="single" w:color="auto" w:sz="4" w:space="0"/>
            </w:tcBorders>
            <w:vAlign w:val="center"/>
          </w:tcPr>
          <w:p w14:paraId="2BDB7871">
            <w:pPr>
              <w:snapToGrid w:val="0"/>
              <w:jc w:val="center"/>
              <w:rPr>
                <w:rFonts w:hint="eastAsia" w:ascii="仿宋" w:hAnsi="仿宋" w:eastAsia="仿宋" w:cs="仿宋"/>
                <w:b/>
                <w:sz w:val="21"/>
                <w:highlight w:val="none"/>
              </w:rPr>
            </w:pPr>
            <w:r>
              <w:rPr>
                <w:rFonts w:hint="eastAsia" w:ascii="仿宋" w:hAnsi="仿宋" w:eastAsia="仿宋" w:cs="仿宋"/>
                <w:b/>
                <w:sz w:val="21"/>
                <w:szCs w:val="32"/>
                <w:highlight w:val="none"/>
              </w:rPr>
              <w:t>核心产品</w:t>
            </w:r>
          </w:p>
        </w:tc>
        <w:tc>
          <w:tcPr>
            <w:tcW w:w="839" w:type="pct"/>
            <w:tcBorders>
              <w:top w:val="single" w:color="auto" w:sz="4" w:space="0"/>
              <w:left w:val="single" w:color="auto" w:sz="4" w:space="0"/>
              <w:bottom w:val="single" w:color="auto" w:sz="4" w:space="0"/>
              <w:right w:val="single" w:color="auto" w:sz="4" w:space="0"/>
            </w:tcBorders>
            <w:vAlign w:val="center"/>
          </w:tcPr>
          <w:p w14:paraId="34D315FA">
            <w:pPr>
              <w:snapToGrid w:val="0"/>
              <w:jc w:val="center"/>
              <w:rPr>
                <w:rFonts w:hint="eastAsia" w:ascii="仿宋" w:hAnsi="仿宋" w:eastAsia="仿宋" w:cs="仿宋"/>
                <w:b/>
                <w:sz w:val="21"/>
                <w:highlight w:val="none"/>
              </w:rPr>
            </w:pPr>
            <w:r>
              <w:rPr>
                <w:rFonts w:hint="eastAsia" w:ascii="仿宋" w:hAnsi="仿宋" w:eastAsia="仿宋" w:cs="仿宋"/>
                <w:b/>
                <w:sz w:val="21"/>
                <w:highlight w:val="none"/>
              </w:rPr>
              <w:t>子项目名称</w:t>
            </w:r>
          </w:p>
        </w:tc>
        <w:tc>
          <w:tcPr>
            <w:tcW w:w="851" w:type="pct"/>
            <w:tcBorders>
              <w:top w:val="single" w:color="auto" w:sz="4" w:space="0"/>
              <w:left w:val="single" w:color="auto" w:sz="4" w:space="0"/>
              <w:bottom w:val="single" w:color="auto" w:sz="4" w:space="0"/>
              <w:right w:val="single" w:color="auto" w:sz="4" w:space="0"/>
            </w:tcBorders>
            <w:vAlign w:val="center"/>
          </w:tcPr>
          <w:p w14:paraId="042DBD95">
            <w:pPr>
              <w:snapToGrid w:val="0"/>
              <w:jc w:val="center"/>
              <w:rPr>
                <w:rFonts w:hint="eastAsia" w:ascii="仿宋" w:hAnsi="仿宋" w:eastAsia="仿宋" w:cs="仿宋"/>
                <w:b/>
                <w:sz w:val="21"/>
                <w:highlight w:val="none"/>
              </w:rPr>
            </w:pPr>
            <w:r>
              <w:rPr>
                <w:rFonts w:hint="eastAsia" w:ascii="仿宋" w:hAnsi="仿宋" w:eastAsia="仿宋" w:cs="仿宋"/>
                <w:b/>
                <w:bCs/>
                <w:color w:val="auto"/>
                <w:sz w:val="24"/>
                <w:szCs w:val="24"/>
                <w:highlight w:val="none"/>
                <w:lang w:bidi="zh-CN"/>
              </w:rPr>
              <w:t>所属行业</w:t>
            </w:r>
          </w:p>
        </w:tc>
      </w:tr>
      <w:tr w14:paraId="5B4C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 w:type="pct"/>
            <w:tcBorders>
              <w:top w:val="single" w:color="auto" w:sz="4" w:space="0"/>
              <w:left w:val="single" w:color="auto" w:sz="4" w:space="0"/>
              <w:bottom w:val="single" w:color="auto" w:sz="4" w:space="0"/>
              <w:right w:val="single" w:color="auto" w:sz="4" w:space="0"/>
            </w:tcBorders>
            <w:vAlign w:val="center"/>
          </w:tcPr>
          <w:p w14:paraId="0E8A9CB5">
            <w:pPr>
              <w:snapToGrid w:val="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433" w:type="pct"/>
            <w:tcBorders>
              <w:top w:val="single" w:color="auto" w:sz="4" w:space="0"/>
              <w:left w:val="single" w:color="auto" w:sz="4" w:space="0"/>
              <w:bottom w:val="single" w:color="auto" w:sz="4" w:space="0"/>
              <w:right w:val="single" w:color="auto" w:sz="4" w:space="0"/>
            </w:tcBorders>
            <w:vAlign w:val="center"/>
          </w:tcPr>
          <w:p w14:paraId="67CA187A">
            <w:pPr>
              <w:snapToGrid w:val="0"/>
              <w:jc w:val="center"/>
              <w:rPr>
                <w:rFonts w:hint="eastAsia" w:ascii="仿宋" w:hAnsi="仿宋" w:eastAsia="仿宋" w:cs="仿宋"/>
                <w:kern w:val="2"/>
                <w:sz w:val="21"/>
                <w:szCs w:val="24"/>
                <w:highlight w:val="none"/>
                <w:lang w:val="en-US" w:bidi="ar-SA"/>
              </w:rPr>
            </w:pPr>
            <w:r>
              <w:rPr>
                <w:rFonts w:hint="eastAsia" w:ascii="仿宋" w:hAnsi="仿宋" w:eastAsia="仿宋" w:cs="仿宋"/>
                <w:sz w:val="21"/>
                <w:highlight w:val="none"/>
              </w:rPr>
              <w:t>高效液相色谱仪</w:t>
            </w:r>
          </w:p>
        </w:tc>
        <w:tc>
          <w:tcPr>
            <w:tcW w:w="236" w:type="pct"/>
            <w:tcBorders>
              <w:top w:val="single" w:color="auto" w:sz="4" w:space="0"/>
              <w:left w:val="single" w:color="auto" w:sz="4" w:space="0"/>
              <w:bottom w:val="single" w:color="auto" w:sz="4" w:space="0"/>
              <w:right w:val="single" w:color="auto" w:sz="4" w:space="0"/>
            </w:tcBorders>
            <w:vAlign w:val="center"/>
          </w:tcPr>
          <w:p w14:paraId="7AE50933">
            <w:pPr>
              <w:snapToGrid w:val="0"/>
              <w:jc w:val="center"/>
              <w:rPr>
                <w:rFonts w:hint="eastAsia" w:ascii="仿宋" w:hAnsi="仿宋" w:eastAsia="仿宋" w:cs="仿宋"/>
                <w:kern w:val="2"/>
                <w:sz w:val="21"/>
                <w:szCs w:val="24"/>
                <w:highlight w:val="none"/>
                <w:lang w:val="en-US" w:bidi="ar-SA"/>
              </w:rPr>
            </w:pPr>
            <w:r>
              <w:rPr>
                <w:rFonts w:hint="eastAsia" w:ascii="仿宋" w:hAnsi="仿宋" w:eastAsia="仿宋" w:cs="仿宋"/>
                <w:sz w:val="21"/>
                <w:highlight w:val="none"/>
                <w:lang w:val="en-US"/>
              </w:rPr>
              <w:t>1</w:t>
            </w:r>
          </w:p>
        </w:tc>
        <w:tc>
          <w:tcPr>
            <w:tcW w:w="532" w:type="pct"/>
            <w:tcBorders>
              <w:top w:val="single" w:color="auto" w:sz="4" w:space="0"/>
              <w:left w:val="single" w:color="auto" w:sz="4" w:space="0"/>
              <w:bottom w:val="single" w:color="auto" w:sz="4" w:space="0"/>
              <w:right w:val="single" w:color="auto" w:sz="4" w:space="0"/>
            </w:tcBorders>
            <w:vAlign w:val="center"/>
          </w:tcPr>
          <w:p w14:paraId="2581C791">
            <w:pPr>
              <w:snapToGrid w:val="0"/>
              <w:jc w:val="center"/>
              <w:rPr>
                <w:rFonts w:hint="eastAsia" w:ascii="仿宋" w:hAnsi="仿宋" w:eastAsia="仿宋" w:cs="仿宋"/>
                <w:kern w:val="2"/>
                <w:sz w:val="21"/>
                <w:szCs w:val="24"/>
                <w:highlight w:val="none"/>
                <w:lang w:val="en-US" w:bidi="ar-SA"/>
              </w:rPr>
            </w:pPr>
            <w:r>
              <w:rPr>
                <w:rFonts w:hint="eastAsia" w:ascii="仿宋" w:hAnsi="仿宋" w:eastAsia="仿宋" w:cs="仿宋"/>
                <w:sz w:val="21"/>
                <w:highlight w:val="none"/>
                <w:lang w:val="en-US"/>
              </w:rPr>
              <w:t>2年</w:t>
            </w:r>
          </w:p>
        </w:tc>
        <w:tc>
          <w:tcPr>
            <w:tcW w:w="610" w:type="pct"/>
            <w:tcBorders>
              <w:top w:val="single" w:color="auto" w:sz="4" w:space="0"/>
              <w:left w:val="single" w:color="auto" w:sz="4" w:space="0"/>
              <w:bottom w:val="single" w:color="auto" w:sz="4" w:space="0"/>
              <w:right w:val="single" w:color="auto" w:sz="4" w:space="0"/>
            </w:tcBorders>
            <w:vAlign w:val="center"/>
          </w:tcPr>
          <w:p w14:paraId="6FF1E0A7">
            <w:pPr>
              <w:snapToGrid w:val="0"/>
              <w:jc w:val="center"/>
              <w:rPr>
                <w:rFonts w:hint="eastAsia" w:ascii="仿宋" w:hAnsi="仿宋" w:eastAsia="仿宋" w:cs="仿宋"/>
                <w:kern w:val="2"/>
                <w:sz w:val="21"/>
                <w:szCs w:val="24"/>
                <w:highlight w:val="none"/>
                <w:lang w:val="en-US" w:bidi="ar-SA"/>
              </w:rPr>
            </w:pPr>
            <w:r>
              <w:rPr>
                <w:rFonts w:hint="eastAsia" w:ascii="仿宋" w:hAnsi="仿宋" w:eastAsia="仿宋" w:cs="仿宋"/>
                <w:sz w:val="21"/>
                <w:highlight w:val="none"/>
              </w:rPr>
              <w:t>合同签订后</w:t>
            </w:r>
            <w:r>
              <w:rPr>
                <w:rFonts w:hint="eastAsia" w:ascii="仿宋" w:hAnsi="仿宋" w:eastAsia="仿宋" w:cs="仿宋"/>
                <w:sz w:val="21"/>
                <w:highlight w:val="none"/>
                <w:lang w:val="en-US"/>
              </w:rPr>
              <w:t>6</w:t>
            </w:r>
            <w:r>
              <w:rPr>
                <w:rFonts w:hint="eastAsia" w:ascii="仿宋" w:hAnsi="仿宋" w:eastAsia="仿宋" w:cs="仿宋"/>
                <w:sz w:val="21"/>
                <w:highlight w:val="none"/>
              </w:rPr>
              <w:t>0个日历日</w:t>
            </w:r>
          </w:p>
        </w:tc>
        <w:tc>
          <w:tcPr>
            <w:tcW w:w="451" w:type="pct"/>
            <w:tcBorders>
              <w:top w:val="single" w:color="auto" w:sz="4" w:space="0"/>
              <w:left w:val="single" w:color="auto" w:sz="4" w:space="0"/>
              <w:bottom w:val="single" w:color="auto" w:sz="4" w:space="0"/>
              <w:right w:val="single" w:color="auto" w:sz="4" w:space="0"/>
            </w:tcBorders>
            <w:vAlign w:val="center"/>
          </w:tcPr>
          <w:p w14:paraId="4F9F0BD1">
            <w:pPr>
              <w:pStyle w:val="30"/>
              <w:snapToGrid w:val="0"/>
              <w:jc w:val="center"/>
              <w:rPr>
                <w:rFonts w:hint="eastAsia" w:ascii="仿宋" w:hAnsi="仿宋" w:eastAsia="仿宋" w:cs="仿宋"/>
                <w:kern w:val="2"/>
                <w:sz w:val="21"/>
                <w:szCs w:val="24"/>
                <w:highlight w:val="none"/>
                <w:lang w:val="en-US" w:bidi="ar-SA"/>
              </w:rPr>
            </w:pPr>
            <w:r>
              <w:rPr>
                <w:rFonts w:hint="eastAsia" w:ascii="仿宋" w:hAnsi="仿宋" w:eastAsia="仿宋" w:cs="仿宋"/>
                <w:kern w:val="2"/>
                <w:sz w:val="21"/>
                <w:highlight w:val="none"/>
                <w:lang w:val="en-US"/>
              </w:rPr>
              <w:t>64</w:t>
            </w:r>
          </w:p>
        </w:tc>
        <w:tc>
          <w:tcPr>
            <w:tcW w:w="494" w:type="pct"/>
            <w:tcBorders>
              <w:top w:val="single" w:color="auto" w:sz="4" w:space="0"/>
              <w:left w:val="single" w:color="auto" w:sz="4" w:space="0"/>
              <w:bottom w:val="single" w:color="auto" w:sz="4" w:space="0"/>
              <w:right w:val="single" w:color="auto" w:sz="4" w:space="0"/>
            </w:tcBorders>
            <w:vAlign w:val="center"/>
          </w:tcPr>
          <w:p w14:paraId="45D5DF27">
            <w:pPr>
              <w:pStyle w:val="30"/>
              <w:snapToGrid w:val="0"/>
              <w:jc w:val="center"/>
              <w:rPr>
                <w:rFonts w:hint="eastAsia" w:ascii="仿宋" w:hAnsi="仿宋" w:eastAsia="仿宋" w:cs="仿宋"/>
                <w:kern w:val="2"/>
                <w:sz w:val="21"/>
                <w:szCs w:val="24"/>
                <w:highlight w:val="none"/>
                <w:lang w:val="en-US" w:bidi="ar-SA"/>
              </w:rPr>
            </w:pPr>
            <w:r>
              <w:rPr>
                <w:rFonts w:hint="eastAsia" w:ascii="仿宋" w:hAnsi="仿宋" w:eastAsia="仿宋" w:cs="仿宋"/>
                <w:kern w:val="2"/>
                <w:sz w:val="21"/>
                <w:szCs w:val="24"/>
                <w:highlight w:val="none"/>
                <w:lang w:val="en-US" w:bidi="ar-SA"/>
              </w:rPr>
              <w:t>国产</w:t>
            </w:r>
          </w:p>
        </w:tc>
        <w:tc>
          <w:tcPr>
            <w:tcW w:w="316" w:type="pct"/>
            <w:tcBorders>
              <w:top w:val="single" w:color="auto" w:sz="4" w:space="0"/>
              <w:left w:val="single" w:color="auto" w:sz="4" w:space="0"/>
              <w:bottom w:val="single" w:color="auto" w:sz="4" w:space="0"/>
              <w:right w:val="single" w:color="auto" w:sz="4" w:space="0"/>
            </w:tcBorders>
            <w:vAlign w:val="center"/>
          </w:tcPr>
          <w:p w14:paraId="60754024">
            <w:pPr>
              <w:pStyle w:val="30"/>
              <w:snapToGrid w:val="0"/>
              <w:jc w:val="center"/>
              <w:rPr>
                <w:rFonts w:hint="eastAsia" w:ascii="仿宋" w:hAnsi="仿宋" w:eastAsia="仿宋" w:cs="仿宋"/>
                <w:kern w:val="2"/>
                <w:sz w:val="21"/>
                <w:highlight w:val="none"/>
              </w:rPr>
            </w:pPr>
            <w:r>
              <w:rPr>
                <w:rFonts w:hint="eastAsia" w:ascii="仿宋" w:hAnsi="仿宋" w:eastAsia="仿宋" w:cs="仿宋"/>
                <w:sz w:val="21"/>
                <w:highlight w:val="none"/>
                <w:lang w:val="en-US"/>
              </w:rPr>
              <w:t>是</w:t>
            </w:r>
          </w:p>
        </w:tc>
        <w:tc>
          <w:tcPr>
            <w:tcW w:w="839" w:type="pct"/>
            <w:tcBorders>
              <w:top w:val="single" w:color="auto" w:sz="4" w:space="0"/>
              <w:left w:val="single" w:color="auto" w:sz="4" w:space="0"/>
              <w:bottom w:val="single" w:color="auto" w:sz="4" w:space="0"/>
              <w:right w:val="single" w:color="auto" w:sz="4" w:space="0"/>
            </w:tcBorders>
            <w:vAlign w:val="center"/>
          </w:tcPr>
          <w:p w14:paraId="1DAA2047">
            <w:pPr>
              <w:pStyle w:val="30"/>
              <w:snapToGrid w:val="0"/>
              <w:jc w:val="center"/>
              <w:rPr>
                <w:rFonts w:hint="eastAsia" w:ascii="仿宋" w:hAnsi="仿宋" w:eastAsia="仿宋" w:cs="仿宋"/>
                <w:kern w:val="2"/>
                <w:sz w:val="21"/>
                <w:highlight w:val="none"/>
              </w:rPr>
            </w:pPr>
            <w:r>
              <w:rPr>
                <w:rFonts w:hint="eastAsia" w:ascii="仿宋" w:hAnsi="仿宋" w:eastAsia="仿宋" w:cs="仿宋"/>
                <w:kern w:val="2"/>
                <w:sz w:val="21"/>
                <w:highlight w:val="none"/>
              </w:rPr>
              <w:t>新疆特色中药民族药综合开发利用平台</w:t>
            </w:r>
          </w:p>
        </w:tc>
        <w:tc>
          <w:tcPr>
            <w:tcW w:w="851" w:type="pct"/>
            <w:tcBorders>
              <w:top w:val="single" w:color="auto" w:sz="4" w:space="0"/>
              <w:left w:val="single" w:color="auto" w:sz="4" w:space="0"/>
              <w:bottom w:val="single" w:color="auto" w:sz="4" w:space="0"/>
              <w:right w:val="single" w:color="auto" w:sz="4" w:space="0"/>
            </w:tcBorders>
            <w:vAlign w:val="center"/>
          </w:tcPr>
          <w:p w14:paraId="69531C77">
            <w:pPr>
              <w:snapToGrid w:val="0"/>
              <w:jc w:val="center"/>
              <w:rPr>
                <w:rFonts w:hint="eastAsia" w:ascii="仿宋" w:hAnsi="仿宋" w:eastAsia="仿宋" w:cs="仿宋"/>
                <w:kern w:val="2"/>
                <w:sz w:val="21"/>
                <w:highlight w:val="none"/>
              </w:rPr>
            </w:pPr>
            <w:r>
              <w:rPr>
                <w:rFonts w:hint="eastAsia" w:ascii="仿宋" w:hAnsi="仿宋" w:eastAsia="仿宋" w:cs="仿宋"/>
                <w:b/>
                <w:bCs/>
                <w:color w:val="auto"/>
                <w:sz w:val="24"/>
                <w:szCs w:val="24"/>
                <w:highlight w:val="none"/>
                <w:lang w:val="en-US"/>
              </w:rPr>
              <w:t>工业</w:t>
            </w:r>
          </w:p>
        </w:tc>
      </w:tr>
      <w:tr w14:paraId="7BDD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5" w:type="dxa"/>
            <w:gridSpan w:val="10"/>
            <w:tcBorders>
              <w:top w:val="single" w:color="auto" w:sz="4" w:space="0"/>
              <w:left w:val="single" w:color="auto" w:sz="4" w:space="0"/>
              <w:bottom w:val="single" w:color="auto" w:sz="4" w:space="0"/>
              <w:right w:val="single" w:color="auto" w:sz="4" w:space="0"/>
            </w:tcBorders>
            <w:vAlign w:val="center"/>
          </w:tcPr>
          <w:p w14:paraId="49C01E44">
            <w:pPr>
              <w:pStyle w:val="30"/>
              <w:jc w:val="both"/>
              <w:rPr>
                <w:rFonts w:hint="eastAsia" w:ascii="仿宋" w:hAnsi="仿宋" w:eastAsia="仿宋" w:cs="仿宋"/>
                <w:b/>
                <w:bCs/>
                <w:color w:val="auto"/>
                <w:sz w:val="24"/>
                <w:szCs w:val="24"/>
                <w:highlight w:val="none"/>
                <w:lang w:val="en-US"/>
              </w:rPr>
            </w:pPr>
            <w:r>
              <w:rPr>
                <w:rFonts w:hint="default" w:ascii="Times New Roman" w:hAnsi="Times New Roman" w:cs="Times New Roman"/>
                <w:color w:val="000000"/>
                <w:sz w:val="21"/>
                <w:highlight w:val="none"/>
              </w:rPr>
              <w:t>总价中包括但不限于税费、运输费、保险费及所配套的土建、吊装就位，培训、安装、调试等所有相关费用。</w:t>
            </w:r>
          </w:p>
        </w:tc>
      </w:tr>
      <w:tr w14:paraId="0E2D1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85" w:type="dxa"/>
            <w:gridSpan w:val="10"/>
            <w:tcBorders>
              <w:top w:val="single" w:color="auto" w:sz="4" w:space="0"/>
              <w:left w:val="single" w:color="auto" w:sz="4" w:space="0"/>
              <w:bottom w:val="single" w:color="auto" w:sz="4" w:space="0"/>
              <w:right w:val="single" w:color="auto" w:sz="4" w:space="0"/>
            </w:tcBorders>
            <w:vAlign w:val="center"/>
          </w:tcPr>
          <w:p w14:paraId="39ACD482">
            <w:pPr>
              <w:pStyle w:val="30"/>
              <w:jc w:val="both"/>
              <w:rPr>
                <w:rFonts w:hint="eastAsia" w:ascii="仿宋" w:hAnsi="仿宋" w:eastAsia="仿宋" w:cs="仿宋"/>
                <w:b/>
                <w:bCs/>
                <w:color w:val="auto"/>
                <w:sz w:val="24"/>
                <w:szCs w:val="24"/>
                <w:highlight w:val="none"/>
                <w:lang w:val="en-US"/>
              </w:rPr>
            </w:pPr>
            <w:r>
              <w:rPr>
                <w:rFonts w:hint="default" w:ascii="Times New Roman" w:hAnsi="Times New Roman" w:cs="Times New Roman"/>
                <w:color w:val="000000"/>
                <w:sz w:val="21"/>
                <w:highlight w:val="none"/>
                <w:lang w:eastAsia="zh-CN"/>
              </w:rPr>
              <w:t>本包总计</w:t>
            </w:r>
            <w:r>
              <w:rPr>
                <w:rFonts w:hint="default" w:ascii="Times New Roman" w:hAnsi="Times New Roman" w:cs="Times New Roman"/>
                <w:color w:val="000000"/>
                <w:sz w:val="21"/>
                <w:highlight w:val="none"/>
              </w:rPr>
              <w:t>：</w:t>
            </w:r>
            <w:r>
              <w:rPr>
                <w:rFonts w:hint="default" w:ascii="Times New Roman" w:hAnsi="Times New Roman" w:cs="Times New Roman"/>
                <w:color w:val="000000"/>
                <w:sz w:val="21"/>
                <w:highlight w:val="none"/>
                <w:lang w:val="en-US" w:eastAsia="zh-CN"/>
              </w:rPr>
              <w:t xml:space="preserve">  64  </w:t>
            </w:r>
            <w:r>
              <w:rPr>
                <w:rFonts w:hint="default" w:ascii="Times New Roman" w:hAnsi="Times New Roman" w:cs="Times New Roman"/>
                <w:color w:val="000000"/>
                <w:sz w:val="21"/>
                <w:highlight w:val="none"/>
              </w:rPr>
              <w:t xml:space="preserve">万元       人民币大写： </w:t>
            </w:r>
            <w:r>
              <w:rPr>
                <w:rFonts w:hint="default" w:ascii="Times New Roman" w:hAnsi="Times New Roman" w:cs="Times New Roman"/>
                <w:color w:val="000000"/>
                <w:sz w:val="21"/>
                <w:highlight w:val="none"/>
                <w:lang w:val="en-US" w:eastAsia="zh-CN"/>
              </w:rPr>
              <w:t>陆拾肆</w:t>
            </w:r>
            <w:r>
              <w:rPr>
                <w:rFonts w:hint="default" w:ascii="Times New Roman" w:hAnsi="Times New Roman" w:cs="Times New Roman"/>
                <w:color w:val="000000"/>
                <w:sz w:val="21"/>
                <w:highlight w:val="none"/>
              </w:rPr>
              <w:t xml:space="preserve">  万元</w:t>
            </w:r>
          </w:p>
        </w:tc>
      </w:tr>
    </w:tbl>
    <w:p w14:paraId="53CAF0AF">
      <w:pPr>
        <w:autoSpaceDE/>
        <w:autoSpaceDN/>
        <w:spacing w:line="360" w:lineRule="auto"/>
        <w:rPr>
          <w:rFonts w:hint="eastAsia" w:ascii="仿宋" w:hAnsi="仿宋" w:eastAsia="仿宋" w:cs="仿宋"/>
          <w:sz w:val="28"/>
          <w:szCs w:val="28"/>
          <w:highlight w:val="none"/>
        </w:rPr>
      </w:pPr>
      <w:r>
        <w:rPr>
          <w:rFonts w:hint="eastAsia" w:ascii="仿宋" w:hAnsi="仿宋" w:eastAsia="仿宋" w:cs="仿宋"/>
          <w:b/>
          <w:sz w:val="28"/>
          <w:szCs w:val="28"/>
          <w:highlight w:val="none"/>
        </w:rPr>
        <w:t>品目名称：高效液相色谱仪（国产）</w:t>
      </w:r>
    </w:p>
    <w:p w14:paraId="3403B6A7">
      <w:pPr>
        <w:numPr>
          <w:ilvl w:val="0"/>
          <w:numId w:val="10"/>
        </w:numPr>
        <w:autoSpaceDE/>
        <w:autoSpaceDN/>
        <w:spacing w:line="360" w:lineRule="auto"/>
        <w:ind w:left="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规格</w:t>
      </w:r>
    </w:p>
    <w:p w14:paraId="437FE3B9">
      <w:pPr>
        <w:autoSpaceDE/>
        <w:autoSpaceDN/>
        <w:spacing w:line="360" w:lineRule="auto"/>
        <w:ind w:firstLine="560" w:firstLineChars="200"/>
        <w:rPr>
          <w:rFonts w:hint="eastAsia" w:ascii="仿宋" w:hAnsi="仿宋" w:eastAsia="仿宋" w:cs="仿宋"/>
          <w:color w:val="auto"/>
          <w:sz w:val="28"/>
          <w:szCs w:val="28"/>
          <w:highlight w:val="none"/>
        </w:rPr>
      </w:pPr>
      <w:r>
        <w:rPr>
          <w:rFonts w:ascii="仿宋" w:hAnsi="仿宋" w:eastAsia="仿宋" w:cs="仿宋"/>
          <w:sz w:val="28"/>
          <w:szCs w:val="28"/>
          <w:highlight w:val="none"/>
        </w:rPr>
        <w:t>四</w:t>
      </w:r>
      <w:r>
        <w:rPr>
          <w:rFonts w:ascii="仿宋" w:hAnsi="仿宋" w:eastAsia="仿宋" w:cs="仿宋"/>
          <w:color w:val="auto"/>
          <w:sz w:val="28"/>
          <w:szCs w:val="28"/>
          <w:highlight w:val="none"/>
        </w:rPr>
        <w:t>元泵含在线脱气机1套，</w:t>
      </w:r>
    </w:p>
    <w:p w14:paraId="6CA2B8F5">
      <w:pPr>
        <w:autoSpaceDE/>
        <w:autoSpaceDN/>
        <w:spacing w:line="360" w:lineRule="auto"/>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液相色谱系统工具包1套，</w:t>
      </w:r>
    </w:p>
    <w:p w14:paraId="541A86CA">
      <w:pPr>
        <w:autoSpaceDE/>
        <w:autoSpaceDN/>
        <w:spacing w:line="360" w:lineRule="auto"/>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液相色谱仪自动进样器1套，</w:t>
      </w:r>
    </w:p>
    <w:p w14:paraId="22A61C9E">
      <w:pPr>
        <w:autoSpaceDE/>
        <w:autoSpaceDN/>
        <w:spacing w:line="360" w:lineRule="auto"/>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柱温箱1套，</w:t>
      </w:r>
    </w:p>
    <w:p w14:paraId="211C73EE">
      <w:pPr>
        <w:autoSpaceDE/>
        <w:autoSpaceDN/>
        <w:spacing w:line="360" w:lineRule="auto"/>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二极管阵列检测器及流通池1套，</w:t>
      </w:r>
    </w:p>
    <w:p w14:paraId="798AFDB9">
      <w:pPr>
        <w:autoSpaceDE/>
        <w:autoSpaceDN/>
        <w:spacing w:line="360" w:lineRule="auto"/>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主动密封垫清洗装置1套，</w:t>
      </w:r>
    </w:p>
    <w:p w14:paraId="704DC3D2">
      <w:pPr>
        <w:autoSpaceDE/>
        <w:autoSpaceDN/>
        <w:spacing w:line="360" w:lineRule="auto"/>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透明螺纹口样品瓶</w:t>
      </w:r>
      <w:r>
        <w:rPr>
          <w:rFonts w:hint="eastAsia" w:ascii="仿宋" w:hAnsi="仿宋" w:eastAsia="仿宋" w:cs="仿宋"/>
          <w:color w:val="auto"/>
          <w:sz w:val="28"/>
          <w:szCs w:val="28"/>
          <w:highlight w:val="none"/>
        </w:rPr>
        <w:t>、</w:t>
      </w:r>
      <w:r>
        <w:rPr>
          <w:rFonts w:ascii="仿宋" w:hAnsi="仿宋" w:eastAsia="仿宋" w:cs="仿宋"/>
          <w:color w:val="auto"/>
          <w:sz w:val="28"/>
          <w:szCs w:val="28"/>
          <w:highlight w:val="none"/>
        </w:rPr>
        <w:t>盖及隔垫200个，</w:t>
      </w:r>
    </w:p>
    <w:p w14:paraId="0E844BF0">
      <w:pPr>
        <w:autoSpaceDE/>
        <w:autoSpaceDN/>
        <w:spacing w:line="360" w:lineRule="auto"/>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专用 C18液相色谱柱3根，</w:t>
      </w:r>
    </w:p>
    <w:p w14:paraId="57E2347D">
      <w:pPr>
        <w:autoSpaceDE/>
        <w:autoSpaceDN/>
        <w:spacing w:line="360" w:lineRule="auto"/>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透明溶剂瓶3个，</w:t>
      </w:r>
    </w:p>
    <w:p w14:paraId="406A764F">
      <w:pPr>
        <w:autoSpaceDE/>
        <w:autoSpaceDN/>
        <w:spacing w:line="360" w:lineRule="auto"/>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深色溶剂瓶1个，</w:t>
      </w:r>
    </w:p>
    <w:p w14:paraId="10FECABE">
      <w:pPr>
        <w:autoSpaceDE/>
        <w:autoSpaceDN/>
        <w:spacing w:line="360" w:lineRule="auto"/>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玻璃过滤头20个，</w:t>
      </w:r>
    </w:p>
    <w:p w14:paraId="71D58F92">
      <w:pPr>
        <w:autoSpaceDE/>
        <w:autoSpaceDN/>
        <w:spacing w:line="360" w:lineRule="auto"/>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在线过滤器1个，</w:t>
      </w:r>
    </w:p>
    <w:p w14:paraId="0A631546">
      <w:pPr>
        <w:autoSpaceDE/>
        <w:autoSpaceDN/>
        <w:spacing w:line="360" w:lineRule="auto"/>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色谱控制软件1套，</w:t>
      </w:r>
    </w:p>
    <w:p w14:paraId="376C5BB4">
      <w:pPr>
        <w:autoSpaceDE/>
        <w:autoSpaceDN/>
        <w:spacing w:line="360" w:lineRule="auto"/>
        <w:ind w:firstLine="560" w:firstLineChars="200"/>
        <w:rPr>
          <w:rFonts w:hint="eastAsia" w:ascii="仿宋" w:hAnsi="仿宋" w:eastAsia="仿宋" w:cs="仿宋"/>
          <w:color w:val="auto"/>
          <w:sz w:val="28"/>
          <w:szCs w:val="28"/>
          <w:highlight w:val="none"/>
        </w:rPr>
      </w:pPr>
      <w:r>
        <w:rPr>
          <w:rFonts w:ascii="仿宋" w:hAnsi="仿宋" w:eastAsia="仿宋" w:cs="仿宋"/>
          <w:color w:val="auto"/>
          <w:sz w:val="28"/>
          <w:szCs w:val="28"/>
          <w:highlight w:val="none"/>
        </w:rPr>
        <w:t>品牌电脑及打印机1套</w:t>
      </w:r>
    </w:p>
    <w:p w14:paraId="5E62A08A">
      <w:pPr>
        <w:numPr>
          <w:ilvl w:val="0"/>
          <w:numId w:val="10"/>
        </w:numPr>
        <w:autoSpaceDE/>
        <w:autoSpaceDN/>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详细参数</w:t>
      </w:r>
    </w:p>
    <w:p w14:paraId="76A3B6C3">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1.运行环境</w:t>
      </w:r>
    </w:p>
    <w:p w14:paraId="00A1A3AE">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1.1环境温度：5℃～40℃</w:t>
      </w:r>
    </w:p>
    <w:p w14:paraId="4F9876F4">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1.2相对湿度：45～5%</w:t>
      </w:r>
    </w:p>
    <w:p w14:paraId="456F23A5">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1.3工作电压：AC220V±10%，50Hz</w:t>
      </w:r>
    </w:p>
    <w:p w14:paraId="1DBA8320">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2.技术参数</w:t>
      </w:r>
    </w:p>
    <w:p w14:paraId="67F41599">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2.1.超高效四元梯度泵</w:t>
      </w:r>
    </w:p>
    <w:p w14:paraId="4D3DE22D">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2.1.1.双柱塞串联泵设计，可变冲程设计。</w:t>
      </w:r>
    </w:p>
    <w:p w14:paraId="456F3898">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2.1.2.流速精密度：≤0.07% RSD</w:t>
      </w:r>
    </w:p>
    <w:p w14:paraId="09C22B08">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2.1.3.流速准确度：±1%</w:t>
      </w:r>
    </w:p>
    <w:p w14:paraId="6D2E674B">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2.1.4.压力脉动：&lt; 1%振幅</w:t>
      </w:r>
    </w:p>
    <w:p w14:paraId="6B8EBFA2">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2.1.5.pH范围：1.0-12.5</w:t>
      </w:r>
    </w:p>
    <w:p w14:paraId="1FFDF99F">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2.1.6.流速范围：0.001-5.0mL/min, 300 pL步进；覆盖分析至半制备全流速分析能力</w:t>
      </w:r>
    </w:p>
    <w:p w14:paraId="57DEC513">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2.1.7.★操作压力：流速0-2mL/min时耐压</w:t>
      </w:r>
      <w:r>
        <w:rPr>
          <w:rFonts w:hint="eastAsia" w:ascii="仿宋" w:hAnsi="仿宋" w:eastAsia="仿宋" w:cs="仿宋"/>
          <w:color w:val="auto"/>
          <w:highlight w:val="none"/>
        </w:rPr>
        <w:t>≥</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rPr>
        <w:t>0</w:t>
      </w:r>
      <w:r>
        <w:rPr>
          <w:rFonts w:hint="eastAsia" w:ascii="仿宋" w:hAnsi="仿宋" w:eastAsia="仿宋" w:cs="仿宋"/>
          <w:color w:val="auto"/>
          <w:sz w:val="28"/>
          <w:szCs w:val="28"/>
          <w:highlight w:val="none"/>
        </w:rPr>
        <w:t>0bar</w:t>
      </w:r>
    </w:p>
    <w:p w14:paraId="6FAD9A95">
      <w:pPr>
        <w:autoSpaceDE/>
        <w:autoSpaceDN/>
        <w:spacing w:line="360" w:lineRule="auto"/>
        <w:ind w:firstLine="560" w:firstLineChars="200"/>
        <w:rPr>
          <w:rFonts w:hint="eastAsia" w:ascii="仿宋" w:hAnsi="仿宋" w:eastAsia="仿宋" w:cs="仿宋"/>
          <w:color w:val="auto"/>
          <w:sz w:val="28"/>
          <w:szCs w:val="28"/>
          <w:highlight w:val="none"/>
        </w:rPr>
      </w:pPr>
    </w:p>
    <w:p w14:paraId="07855C93">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2.1.8.混合范围：可设置的范围：0.0-100.0 %</w:t>
      </w:r>
    </w:p>
    <w:p w14:paraId="3BB29C46">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2.1.9.梯度组成精密度：&lt;0.15% RSD或 0.02 min SD</w:t>
      </w:r>
    </w:p>
    <w:p w14:paraId="21824887">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2.1.10.梯度混合准确度：±0.4 %绝对值（1-99%B）</w:t>
      </w:r>
    </w:p>
    <w:p w14:paraId="5949E7E2">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2.1.11.延迟体积：≤3</w:t>
      </w: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0μL</w:t>
      </w:r>
    </w:p>
    <w:p w14:paraId="16767A2F">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2.1.12.标配主动柱塞清洗功能，可实时清洗柱塞杆密封垫。</w:t>
      </w:r>
    </w:p>
    <w:p w14:paraId="17DF6FE4">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2.1.13.集成的多功能阀实现了拓展的自动功能，方便了自动化的过滤器反冲、排空和额外混合体积切换</w:t>
      </w:r>
    </w:p>
    <w:p w14:paraId="4FA9CFA0">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2.1.14.液相色谱仪</w:t>
      </w:r>
      <w:r>
        <w:rPr>
          <w:rFonts w:hint="eastAsia" w:ascii="仿宋" w:hAnsi="仿宋" w:eastAsia="仿宋" w:cs="仿宋"/>
          <w:color w:val="auto"/>
          <w:sz w:val="28"/>
          <w:szCs w:val="28"/>
          <w:highlight w:val="none"/>
          <w:lang w:val="en-US"/>
        </w:rPr>
        <w:t>具备智能化功能</w:t>
      </w:r>
      <w:r>
        <w:rPr>
          <w:rFonts w:hint="eastAsia" w:ascii="仿宋" w:hAnsi="仿宋" w:eastAsia="仿宋" w:cs="仿宋"/>
          <w:color w:val="auto"/>
          <w:sz w:val="28"/>
          <w:szCs w:val="28"/>
          <w:highlight w:val="none"/>
        </w:rPr>
        <w:t>，提高工作效率和增加仪器易用性。</w:t>
      </w:r>
    </w:p>
    <w:p w14:paraId="47A555EA">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2.1.15.仪器支持一键完成管路排气泡，冲洗系统，平衡色谱柱液相分析前的准备工作。</w:t>
      </w:r>
    </w:p>
    <w:p w14:paraId="29CFE07E">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2.1.16.操作系统支持至少2种语言且必须支持中文。</w:t>
      </w:r>
    </w:p>
    <w:p w14:paraId="4AC8EB0D">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2.1.17.★仪器可提供不少于5个不同的用户角色登录，并具备不同操作权限，可设定不少于50个任务程序且可根据分析项目名称命名（非method 1, method 2命名），每个任务程序中包含至少3项不同工作，如：排气泡, 预冲洗，平衡，后冲洗等。</w:t>
      </w:r>
    </w:p>
    <w:p w14:paraId="55D3459D">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2.2.真空在线脱气机</w:t>
      </w:r>
    </w:p>
    <w:p w14:paraId="15D1133C">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2.2.1.通道：2通道，自动进样器洗针液无需脱气</w:t>
      </w:r>
    </w:p>
    <w:p w14:paraId="163B585F">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2.2.2.内体积：每个通路≥1.</w:t>
      </w:r>
      <w:r>
        <w:rPr>
          <w:rFonts w:hint="eastAsia" w:ascii="仿宋" w:hAnsi="仿宋" w:eastAsia="仿宋" w:cs="仿宋"/>
          <w:color w:val="auto"/>
          <w:sz w:val="28"/>
          <w:szCs w:val="28"/>
          <w:highlight w:val="none"/>
          <w:lang w:val="en-US"/>
        </w:rPr>
        <w:t>2</w:t>
      </w:r>
      <w:r>
        <w:rPr>
          <w:rFonts w:hint="eastAsia" w:ascii="仿宋" w:hAnsi="仿宋" w:eastAsia="仿宋" w:cs="仿宋"/>
          <w:color w:val="auto"/>
          <w:sz w:val="28"/>
          <w:szCs w:val="28"/>
          <w:highlight w:val="none"/>
        </w:rPr>
        <w:t>mL大体积脱气</w:t>
      </w:r>
    </w:p>
    <w:p w14:paraId="7332A176">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2.2.3.连续真空运行，有效降低液流脉动，适配低流速液相色谱系统</w:t>
      </w:r>
    </w:p>
    <w:p w14:paraId="628E6B69">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2.2.4.PH范围：1～14</w:t>
      </w:r>
    </w:p>
    <w:p w14:paraId="1BFEC037">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2.2.5.内部材料：PTFE</w:t>
      </w:r>
    </w:p>
    <w:p w14:paraId="226E5BC0">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2.3.超高效自动进样器</w:t>
      </w:r>
    </w:p>
    <w:p w14:paraId="31F52845">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2.3.1进样体积：0.1-20μL, 增量为0.1μL，可最大扩展到1500μL</w:t>
      </w:r>
    </w:p>
    <w:p w14:paraId="5CE88002">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2.3.2 进样准确度：± 1 %</w:t>
      </w:r>
    </w:p>
    <w:p w14:paraId="510147A9">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2.3.3 进样精度：&lt; 0.15% RSD</w:t>
      </w:r>
    </w:p>
    <w:p w14:paraId="5B857914">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2.3.4 ★交叉污染：交叉污染：&lt;0.00</w:t>
      </w: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 （标准）</w:t>
      </w:r>
    </w:p>
    <w:p w14:paraId="565979C6">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2.3.5最大操作压力：≥1</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00bar</w:t>
      </w:r>
    </w:p>
    <w:p w14:paraId="4D2C7F2D">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2.3.6控制功能：柱前自动衍生程序，自动洗针程序，柱前样品自动稀释，自动混合，取样及进样速率</w:t>
      </w:r>
    </w:p>
    <w:p w14:paraId="23CA4DBB">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2.3.7样品粘度范围: 0.2–5cp</w:t>
      </w:r>
    </w:p>
    <w:p w14:paraId="67890469">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2.3.8★标配样品位数：≥105位</w:t>
      </w:r>
    </w:p>
    <w:p w14:paraId="038E982A">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2.4.智能化柱温箱</w:t>
      </w:r>
    </w:p>
    <w:p w14:paraId="17317BF2">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2.4.1★控温范围：5℃ - 110℃（最低低于室温以下20℃），具备升温/降温功能</w:t>
      </w:r>
    </w:p>
    <w:p w14:paraId="33F2AB07">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2.4.2温度稳定性：波动≤0.06℃</w:t>
      </w:r>
    </w:p>
    <w:p w14:paraId="5010D6CA">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2.4.3控温准确度：≤0.6℃</w:t>
      </w:r>
    </w:p>
    <w:p w14:paraId="6B885F98">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2.4.4柱容量：可同时安装最多4根30cm长色谱柱；8根10cm的短色谱柱</w:t>
      </w:r>
    </w:p>
    <w:p w14:paraId="48815958">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2.4.5两个独立的</w:t>
      </w:r>
      <w:r>
        <w:rPr>
          <w:rFonts w:hint="eastAsia" w:ascii="仿宋" w:hAnsi="仿宋" w:eastAsia="仿宋" w:cs="仿宋"/>
          <w:color w:val="auto"/>
          <w:sz w:val="28"/>
          <w:szCs w:val="28"/>
          <w:highlight w:val="none"/>
          <w:lang w:val="en-US"/>
        </w:rPr>
        <w:t>半导体</w:t>
      </w:r>
      <w:r>
        <w:rPr>
          <w:rFonts w:hint="eastAsia" w:ascii="仿宋" w:hAnsi="仿宋" w:eastAsia="仿宋" w:cs="仿宋"/>
          <w:color w:val="auto"/>
          <w:sz w:val="28"/>
          <w:szCs w:val="28"/>
          <w:highlight w:val="none"/>
        </w:rPr>
        <w:t>温度</w:t>
      </w:r>
      <w:r>
        <w:rPr>
          <w:rFonts w:hint="eastAsia" w:ascii="仿宋" w:hAnsi="仿宋" w:eastAsia="仿宋" w:cs="仿宋"/>
          <w:color w:val="auto"/>
          <w:sz w:val="28"/>
          <w:szCs w:val="28"/>
          <w:highlight w:val="none"/>
          <w:lang w:val="en-US"/>
        </w:rPr>
        <w:t>控制</w:t>
      </w:r>
      <w:r>
        <w:rPr>
          <w:rFonts w:hint="eastAsia" w:ascii="仿宋" w:hAnsi="仿宋" w:eastAsia="仿宋" w:cs="仿宋"/>
          <w:color w:val="auto"/>
          <w:sz w:val="28"/>
          <w:szCs w:val="28"/>
          <w:highlight w:val="none"/>
        </w:rPr>
        <w:t>区</w:t>
      </w:r>
    </w:p>
    <w:p w14:paraId="370F945E">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2.4.6低扩散热交换器，并具有柱后降温功能，保证快速检测时基线平稳</w:t>
      </w:r>
    </w:p>
    <w:p w14:paraId="7C53778D">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w:t>
      </w:r>
      <w:r>
        <w:rPr>
          <w:rFonts w:hint="eastAsia" w:ascii="仿宋" w:hAnsi="仿宋" w:eastAsia="仿宋" w:cs="仿宋"/>
          <w:color w:val="auto"/>
          <w:sz w:val="28"/>
          <w:szCs w:val="28"/>
          <w:highlight w:val="none"/>
          <w:lang w:val="en-US"/>
        </w:rPr>
        <w:t>7</w:t>
      </w:r>
      <w:r>
        <w:rPr>
          <w:rFonts w:hint="eastAsia" w:ascii="仿宋" w:hAnsi="仿宋" w:eastAsia="仿宋" w:cs="仿宋"/>
          <w:color w:val="auto"/>
          <w:sz w:val="28"/>
          <w:szCs w:val="28"/>
          <w:highlight w:val="none"/>
        </w:rPr>
        <w:t>可利用 4 柱选择阀在色谱柱间切换，而无需重新连接管线</w:t>
      </w:r>
    </w:p>
    <w:p w14:paraId="517219EA">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 二极管阵列检测器</w:t>
      </w:r>
    </w:p>
    <w:p w14:paraId="6D97667A">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2.5.1 检测器类型：1024 个二极管元件</w:t>
      </w:r>
    </w:p>
    <w:p w14:paraId="68B4511D">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2.5.2 信号数量：8</w:t>
      </w:r>
    </w:p>
    <w:p w14:paraId="6849D37A">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2.5.3 最大采样速率：120 Hz</w:t>
      </w:r>
    </w:p>
    <w:p w14:paraId="30B98FF0">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2.5.4 短期噪声： &lt; ± 0.3 x 10-5 AU ，在230/4 nm 处，狭缝宽度4 nm，10mm流通池</w:t>
      </w:r>
    </w:p>
    <w:p w14:paraId="04069D46">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2.5.5 漂移：在230 nm 处，&lt; 0.5 x 10-3 AU/hr</w:t>
      </w:r>
    </w:p>
    <w:p w14:paraId="634C8E6F">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2.5.6 线性：在265 nm 处，&gt; 2.0 AU (5 %)</w:t>
      </w:r>
    </w:p>
    <w:p w14:paraId="63BB183B">
      <w:pPr>
        <w:autoSpaceDE/>
        <w:autoSpaceDN/>
        <w:spacing w:line="360" w:lineRule="auto"/>
        <w:ind w:firstLine="560" w:firstLineChars="200"/>
        <w:rPr>
          <w:rFonts w:hint="eastAsia"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rPr>
        <w:t>2.5.7 波长范围：190-640 nm</w:t>
      </w:r>
      <w:r>
        <w:rPr>
          <w:rFonts w:hint="eastAsia" w:ascii="仿宋" w:hAnsi="仿宋" w:eastAsia="仿宋" w:cs="仿宋"/>
          <w:color w:val="auto"/>
          <w:sz w:val="28"/>
          <w:szCs w:val="28"/>
          <w:highlight w:val="none"/>
          <w:lang w:val="en-US"/>
        </w:rPr>
        <w:t>，可进行全波长扫描</w:t>
      </w:r>
    </w:p>
    <w:p w14:paraId="36FCE74E">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2.5.8 波长精度：&lt;± 0.1 nm </w:t>
      </w:r>
    </w:p>
    <w:p w14:paraId="7BC66533">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2.5.9 二极管宽度约0.5 nm</w:t>
      </w:r>
    </w:p>
    <w:p w14:paraId="479056B1">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2.5.10 波长聚束：可编程，2-400 nm，增量1 nm</w:t>
      </w:r>
    </w:p>
    <w:p w14:paraId="59A67A0B">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2.5.11 光谱工具数据分析软件，用于光谱评估，包括光谱库和峰纯度分析功能</w:t>
      </w:r>
    </w:p>
    <w:p w14:paraId="0436DF2C">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2.5.12 GLP 特性数据恢复卡，防止数据丢失。</w:t>
      </w:r>
      <w:r>
        <w:rPr>
          <w:rFonts w:hint="eastAsia" w:ascii="仿宋" w:hAnsi="仿宋" w:eastAsia="仿宋" w:cs="仿宋"/>
          <w:color w:val="auto"/>
          <w:sz w:val="28"/>
          <w:szCs w:val="28"/>
          <w:highlight w:val="none"/>
          <w:lang w:val="en-US"/>
        </w:rPr>
        <w:t>可</w:t>
      </w:r>
      <w:r>
        <w:rPr>
          <w:rFonts w:hint="eastAsia" w:ascii="仿宋" w:hAnsi="仿宋" w:eastAsia="仿宋" w:cs="仿宋"/>
          <w:color w:val="auto"/>
          <w:sz w:val="28"/>
          <w:szCs w:val="28"/>
          <w:highlight w:val="none"/>
        </w:rPr>
        <w:t>记录流通池和UV 灯的状况（光程、容积、产品型号、序列号、测试通过、使用状况）</w:t>
      </w:r>
    </w:p>
    <w:p w14:paraId="1DFB7261">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2.5.13早期维护反馈 连续记录仪器的使用情况，如灯的使用时间和用户设定期限，并提供反馈信息。对维护和错误进行电子记录。验证氘灯的波长准确度</w:t>
      </w:r>
    </w:p>
    <w:p w14:paraId="6D26D149">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 化学工作站</w:t>
      </w:r>
    </w:p>
    <w:p w14:paraId="114B2A18">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 符合相关国际国内</w:t>
      </w:r>
      <w:r>
        <w:rPr>
          <w:rFonts w:hint="eastAsia" w:ascii="仿宋" w:hAnsi="仿宋" w:eastAsia="仿宋" w:cs="仿宋"/>
          <w:color w:val="auto"/>
          <w:sz w:val="28"/>
          <w:szCs w:val="28"/>
          <w:highlight w:val="none"/>
          <w:lang w:val="en-US"/>
        </w:rPr>
        <w:t>法规要求</w:t>
      </w:r>
      <w:r>
        <w:rPr>
          <w:rFonts w:hint="eastAsia" w:ascii="仿宋" w:hAnsi="仿宋" w:eastAsia="仿宋" w:cs="仿宋"/>
          <w:color w:val="auto"/>
          <w:sz w:val="28"/>
          <w:szCs w:val="28"/>
          <w:highlight w:val="none"/>
        </w:rPr>
        <w:t>，可根据用户要求选择中文和英文色谱原版工作站。</w:t>
      </w:r>
    </w:p>
    <w:p w14:paraId="3A9B78CA">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3.1.2  可控制液相色谱仪所有参数和运行，可实施编辑功能，自动进行序列样品分析；实时在线显示色谱图，积分并报告出分析结果，绘制标准曲线；光谱工具数据分析软件，用于光谱评估，包括谱库和峰纯度分析功能具有在线帮助的自学操作教程；具有自我诊断程序。</w:t>
      </w:r>
    </w:p>
    <w:p w14:paraId="60E71F6C">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3.1.3 图形化设计</w:t>
      </w:r>
    </w:p>
    <w:p w14:paraId="1B7B7F81">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3.1.4 维护信息预报系统</w:t>
      </w:r>
    </w:p>
    <w:p w14:paraId="707EB446">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3.1.5 电子记录维护和错误及故障信息</w:t>
      </w:r>
    </w:p>
    <w:p w14:paraId="32C4F1CC">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3.1.6 智能多任务系统提供实时监测与指导，确保最佳性能，包括自动排气、系统冲洗和色谱柱平衡以及状态自动判断</w:t>
      </w:r>
    </w:p>
    <w:p w14:paraId="6376442B">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3.1.7 引导式故障排除和维护：减少宕机时间及维护成本</w:t>
      </w:r>
    </w:p>
    <w:p w14:paraId="70992BBB">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3.1.8 角色登录及日志记录：满足GLP实验室监管需求</w:t>
      </w:r>
    </w:p>
    <w:p w14:paraId="38B62AEC">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4</w:t>
      </w:r>
      <w:r>
        <w:rPr>
          <w:rFonts w:hint="eastAsia" w:ascii="仿宋" w:hAnsi="仿宋" w:eastAsia="仿宋" w:cs="仿宋"/>
          <w:color w:val="auto"/>
          <w:sz w:val="28"/>
          <w:szCs w:val="28"/>
          <w:highlight w:val="none"/>
        </w:rPr>
        <w:t xml:space="preserve">  电脑</w:t>
      </w:r>
    </w:p>
    <w:p w14:paraId="5131FBCB">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CPUI7处理器10代以上，内存16G, 固态盘256G，存储机械盘500G，27寸显示器</w:t>
      </w:r>
    </w:p>
    <w:p w14:paraId="3856DA07">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 xml:space="preserve">5  </w:t>
      </w:r>
      <w:r>
        <w:rPr>
          <w:rFonts w:hint="eastAsia" w:ascii="仿宋" w:hAnsi="仿宋" w:eastAsia="仿宋" w:cs="仿宋"/>
          <w:color w:val="auto"/>
          <w:sz w:val="28"/>
          <w:szCs w:val="28"/>
          <w:highlight w:val="none"/>
        </w:rPr>
        <w:t>配置清单</w:t>
      </w:r>
    </w:p>
    <w:p w14:paraId="5C4D7DB7">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四元泵含在线脱气机1套，液相色谱系统工具包1套，液相色谱仪自动进样器1套，柱温箱1套，二极管阵列检测器及流通池1套，主动密封垫清洗装置1套，螺纹口样品瓶,透明，盖及隔垫200个，专用 C18液相色谱柱3根，透明溶剂瓶3个 ，深色溶剂瓶1个，玻璃过滤头20个，在线过滤器1个，色谱控制软件1套，品牌电脑及打印机1套</w:t>
      </w:r>
    </w:p>
    <w:p w14:paraId="30B4FD9B">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 xml:space="preserve">6  </w:t>
      </w:r>
      <w:r>
        <w:rPr>
          <w:rFonts w:hint="eastAsia" w:ascii="仿宋" w:hAnsi="仿宋" w:eastAsia="仿宋" w:cs="仿宋"/>
          <w:color w:val="auto"/>
          <w:sz w:val="28"/>
          <w:szCs w:val="28"/>
          <w:highlight w:val="none"/>
        </w:rPr>
        <w:t>技术服务</w:t>
      </w:r>
    </w:p>
    <w:p w14:paraId="42094DD6">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.1 供应商所供产品需符合招标文件的技术要求，并在合同规定时间内免费提供用户现场安装、调试及培训。</w:t>
      </w:r>
    </w:p>
    <w:p w14:paraId="5B0B639E">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.2产品在调试通过后提供</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rPr>
        <w:t>年保修服务，在保修期内，非人为因素的所有服务及配件全部免费,保修期外，能更及时地为用户提供备品备件。</w:t>
      </w:r>
    </w:p>
    <w:p w14:paraId="74600D26">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.3供应商在国内有培训中心和厂家应用实验室，为用户提供仪器的基本原理、操作、日常维护及基础分析仪器理论课程，并为用户提供上机培训。</w:t>
      </w:r>
    </w:p>
    <w:p w14:paraId="7497D885">
      <w:pPr>
        <w:autoSpaceDE/>
        <w:autoSpaceDN/>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rPr>
        <w:t>6</w:t>
      </w:r>
      <w:r>
        <w:rPr>
          <w:rFonts w:hint="eastAsia" w:ascii="仿宋" w:hAnsi="仿宋" w:eastAsia="仿宋" w:cs="仿宋"/>
          <w:color w:val="auto"/>
          <w:sz w:val="28"/>
          <w:szCs w:val="28"/>
          <w:highlight w:val="none"/>
        </w:rPr>
        <w:t>.4供应商需提供800或400服务热线，为用户提供免费的电话咨询及技术服务。</w:t>
      </w:r>
    </w:p>
    <w:p w14:paraId="7D70CE25">
      <w:pPr>
        <w:numPr>
          <w:ilvl w:val="0"/>
          <w:numId w:val="10"/>
        </w:numPr>
        <w:autoSpaceDE/>
        <w:autoSpaceDN/>
        <w:spacing w:line="360" w:lineRule="auto"/>
        <w:ind w:left="0" w:firstLine="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服务要求（含付款方式）</w:t>
      </w:r>
    </w:p>
    <w:p w14:paraId="66B657FC">
      <w:pPr>
        <w:autoSpaceDE/>
        <w:autoSpaceDN/>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3.1 新疆大学指定地点安装调试，到货一周内完成旧设备免费拆除及新设备安装验收工作。</w:t>
      </w:r>
    </w:p>
    <w:p w14:paraId="48E3C15A">
      <w:pPr>
        <w:autoSpaceDE/>
        <w:autoSpaceDN/>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3.2 调试与培训：在现场完成调试与培训，使用户熟练掌握仪器操作及日常维护。</w:t>
      </w:r>
    </w:p>
    <w:p w14:paraId="79B65D55">
      <w:pPr>
        <w:autoSpaceDE/>
        <w:autoSpaceDN/>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3.3 其他服务要求：具有一定的售后服务能力，设备终身维护，设备报修应在4小时之内响应。</w:t>
      </w:r>
    </w:p>
    <w:p w14:paraId="22217C7F">
      <w:pPr>
        <w:numPr>
          <w:ilvl w:val="0"/>
          <w:numId w:val="10"/>
        </w:numPr>
        <w:autoSpaceDE/>
        <w:autoSpaceDN/>
        <w:spacing w:line="360" w:lineRule="auto"/>
        <w:ind w:left="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质保要求（指具体要求，不要再写质保期限）</w:t>
      </w:r>
    </w:p>
    <w:p w14:paraId="179EA480">
      <w:pPr>
        <w:autoSpaceDE/>
        <w:autoSpaceDN/>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rPr>
        <w:t>承诺质保期内免费维护保养，免费提供备品备件等内容，且自甲方通知维护之日起，12小时内务必即可响应解决设备问题不可收取任何费用。如质保期内不提供保养及解决设备问题，扣除所留余款。如结清余款的，质保期内再三要求维护不响应的，考虑纳入本单位不诚信供货单位名单。（质保期开始之日：为设备验收合格之日起）</w:t>
      </w:r>
    </w:p>
    <w:p w14:paraId="25E0EC6F">
      <w:pPr>
        <w:numPr>
          <w:ilvl w:val="0"/>
          <w:numId w:val="10"/>
        </w:numPr>
        <w:autoSpaceDE/>
        <w:autoSpaceDN/>
        <w:spacing w:line="360" w:lineRule="auto"/>
        <w:ind w:left="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验收要求</w:t>
      </w:r>
    </w:p>
    <w:p w14:paraId="719D4461">
      <w:pPr>
        <w:autoSpaceDE/>
        <w:autoSpaceDN/>
        <w:spacing w:line="360" w:lineRule="auto"/>
        <w:ind w:left="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按甲方规定的型号、技术参数、数量、产地，并根据制造商的《出厂清单》《技术文件》进行现场验收，并由甲、乙双方签署验收报告。如有异议，各方应当在验收后七天内以书面形式通知对方。</w:t>
      </w:r>
    </w:p>
    <w:p w14:paraId="0D858A7C">
      <w:pPr>
        <w:autoSpaceDE/>
        <w:autoSpaceDN/>
        <w:rPr>
          <w:rFonts w:hint="eastAsia" w:ascii="仿宋" w:hAnsi="仿宋" w:eastAsia="仿宋" w:cs="仿宋"/>
          <w:b/>
          <w:bCs/>
          <w:sz w:val="24"/>
          <w:szCs w:val="24"/>
          <w:highlight w:val="none"/>
          <w:lang w:val="en-US"/>
        </w:rPr>
      </w:pPr>
    </w:p>
    <w:p w14:paraId="248D7561">
      <w:pPr>
        <w:autoSpaceDE/>
        <w:autoSpaceDN/>
        <w:spacing w:line="360" w:lineRule="auto"/>
        <w:ind w:firstLine="482" w:firstLineChars="200"/>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rPr>
        <w:t>注：1、</w:t>
      </w:r>
      <w:r>
        <w:rPr>
          <w:rFonts w:hint="eastAsia" w:ascii="仿宋" w:hAnsi="仿宋" w:eastAsia="仿宋" w:cs="仿宋"/>
          <w:b/>
          <w:bCs/>
          <w:sz w:val="24"/>
          <w:szCs w:val="24"/>
          <w:highlight w:val="none"/>
        </w:rPr>
        <w:t>投标人需要提供投标产品技术支持资料（或证明材料），并需要同时加盖投标人公章。如投标人技术响应与技术支持资料（或证明材料）不一致，将以技术支持资料（或证明材料）为准。对于技术规格中标注“★”号的技术参数为实质性响应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公章的，评标委员会可不予承认，并可认为该技术应答不符合招标文件要求。由此产生的评标风险，由投标人承担。</w:t>
      </w:r>
    </w:p>
    <w:p w14:paraId="5605005C">
      <w:pPr>
        <w:autoSpaceDE/>
        <w:autoSpaceDN/>
        <w:spacing w:line="360" w:lineRule="auto"/>
        <w:ind w:firstLine="482" w:firstLineChars="200"/>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rPr>
        <w:t>2、投标人所供货物为全新未使用且具有产品质量合格证明文件的合格产品，培训并提供相关培训资料（使用/操作手册）及维修手册和维修密码（如果有）。</w:t>
      </w:r>
    </w:p>
    <w:p w14:paraId="636C2543">
      <w:pPr>
        <w:autoSpaceDE/>
        <w:autoSpaceDN/>
        <w:spacing w:line="360" w:lineRule="auto"/>
        <w:ind w:firstLine="482" w:firstLineChars="200"/>
        <w:jc w:val="both"/>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3、本采购需求中标注的品牌、型号仅用于说明拟采购货物的技术规格、性能和质量要求，不作为资格门槛或实质性条款，投标人可投报质量相当或更优的同类产品。若本文件引用的国家标准、行业标准、技术规范如有废止或更新，以最新现行有效版本为准，投标人可在投标文件中予以说明。</w:t>
      </w:r>
    </w:p>
    <w:p w14:paraId="59F582B3">
      <w:pPr>
        <w:rPr>
          <w:rFonts w:hint="eastAsia" w:ascii="仿宋" w:hAnsi="仿宋" w:eastAsia="仿宋" w:cs="仿宋"/>
          <w:highlight w:val="none"/>
        </w:rPr>
      </w:pPr>
      <w:r>
        <w:rPr>
          <w:rFonts w:hint="eastAsia" w:ascii="仿宋" w:hAnsi="仿宋" w:eastAsia="仿宋" w:cs="仿宋"/>
          <w:highlight w:val="none"/>
        </w:rPr>
        <w:br w:type="page"/>
      </w:r>
    </w:p>
    <w:p w14:paraId="22A08CBB">
      <w:pPr>
        <w:pStyle w:val="2"/>
        <w:spacing w:before="0"/>
        <w:ind w:left="0" w:leftChars="0" w:right="0" w:rightChars="0"/>
        <w:rPr>
          <w:rFonts w:hint="eastAsia" w:ascii="仿宋" w:hAnsi="仿宋" w:eastAsia="仿宋" w:cs="仿宋"/>
          <w:highlight w:val="none"/>
        </w:rPr>
      </w:pPr>
      <w:r>
        <w:rPr>
          <w:rFonts w:hint="eastAsia" w:ascii="仿宋" w:hAnsi="仿宋" w:eastAsia="仿宋" w:cs="仿宋"/>
          <w:highlight w:val="none"/>
        </w:rPr>
        <w:t>第七部分 商务</w:t>
      </w:r>
      <w:r>
        <w:rPr>
          <w:rFonts w:hint="eastAsia" w:ascii="仿宋" w:hAnsi="仿宋" w:eastAsia="仿宋" w:cs="仿宋"/>
          <w:highlight w:val="none"/>
          <w:lang w:val="en-US"/>
        </w:rPr>
        <w:t>合同</w:t>
      </w:r>
      <w:r>
        <w:rPr>
          <w:rFonts w:hint="eastAsia" w:ascii="仿宋" w:hAnsi="仿宋" w:eastAsia="仿宋" w:cs="仿宋"/>
          <w:highlight w:val="none"/>
        </w:rPr>
        <w:t>部分</w:t>
      </w:r>
    </w:p>
    <w:p w14:paraId="5D93674B">
      <w:pPr>
        <w:ind w:firstLine="482"/>
        <w:jc w:val="center"/>
        <w:rPr>
          <w:rFonts w:hint="eastAsia" w:ascii="仿宋" w:hAnsi="仿宋" w:eastAsia="仿宋" w:cs="仿宋"/>
          <w:b/>
          <w:bCs/>
          <w:highlight w:val="none"/>
        </w:rPr>
      </w:pPr>
    </w:p>
    <w:p w14:paraId="3583C425">
      <w:pPr>
        <w:ind w:firstLine="482"/>
        <w:jc w:val="center"/>
        <w:rPr>
          <w:rFonts w:hint="eastAsia" w:ascii="仿宋" w:hAnsi="仿宋" w:eastAsia="仿宋" w:cs="仿宋"/>
          <w:b/>
          <w:bCs/>
          <w:highlight w:val="none"/>
        </w:rPr>
      </w:pPr>
    </w:p>
    <w:p w14:paraId="4E9D0748">
      <w:pPr>
        <w:keepNext/>
        <w:keepLines/>
        <w:spacing w:line="440" w:lineRule="exact"/>
        <w:jc w:val="center"/>
        <w:rPr>
          <w:rFonts w:hint="eastAsia" w:ascii="仿宋" w:hAnsi="仿宋" w:eastAsia="仿宋" w:cs="仿宋"/>
          <w:b/>
          <w:bCs/>
          <w:sz w:val="24"/>
          <w:szCs w:val="21"/>
          <w:highlight w:val="none"/>
        </w:rPr>
      </w:pPr>
      <w:bookmarkStart w:id="0" w:name="_Toc155633169"/>
      <w:r>
        <w:rPr>
          <w:rFonts w:hint="eastAsia" w:ascii="仿宋" w:hAnsi="仿宋" w:eastAsia="仿宋" w:cs="仿宋"/>
          <w:b/>
          <w:bCs/>
          <w:sz w:val="24"/>
          <w:szCs w:val="21"/>
          <w:highlight w:val="none"/>
        </w:rPr>
        <w:t>（本合同仅供参考，具体以实际签订为准）</w:t>
      </w:r>
      <w:bookmarkEnd w:id="0"/>
    </w:p>
    <w:p w14:paraId="00B852E3">
      <w:pPr>
        <w:rPr>
          <w:rFonts w:hint="eastAsia" w:ascii="仿宋" w:hAnsi="仿宋" w:eastAsia="仿宋" w:cs="仿宋"/>
          <w:highlight w:val="none"/>
        </w:rPr>
      </w:pPr>
    </w:p>
    <w:p w14:paraId="78D40D59">
      <w:pPr>
        <w:jc w:val="center"/>
        <w:rPr>
          <w:rFonts w:hint="eastAsia" w:ascii="仿宋" w:hAnsi="仿宋" w:eastAsia="仿宋" w:cs="仿宋"/>
          <w:sz w:val="84"/>
          <w:szCs w:val="84"/>
          <w:highlight w:val="none"/>
        </w:rPr>
      </w:pPr>
      <w:r>
        <w:rPr>
          <w:rFonts w:hint="eastAsia" w:ascii="仿宋" w:hAnsi="仿宋" w:eastAsia="仿宋" w:cs="仿宋"/>
          <w:sz w:val="84"/>
          <w:szCs w:val="84"/>
          <w:highlight w:val="none"/>
        </w:rPr>
        <w:t>新  疆  大  学</w:t>
      </w:r>
    </w:p>
    <w:p w14:paraId="0EC1B714">
      <w:pPr>
        <w:jc w:val="center"/>
        <w:rPr>
          <w:rFonts w:hint="eastAsia" w:ascii="仿宋" w:hAnsi="仿宋" w:eastAsia="仿宋" w:cs="仿宋"/>
          <w:sz w:val="48"/>
          <w:szCs w:val="48"/>
          <w:highlight w:val="none"/>
        </w:rPr>
      </w:pPr>
      <w:r>
        <w:rPr>
          <w:rFonts w:hint="eastAsia" w:ascii="仿宋" w:hAnsi="仿宋" w:eastAsia="仿宋" w:cs="仿宋"/>
          <w:sz w:val="48"/>
          <w:szCs w:val="48"/>
          <w:highlight w:val="none"/>
        </w:rPr>
        <w:t>（</w:t>
      </w:r>
      <w:r>
        <w:rPr>
          <w:rFonts w:hint="eastAsia" w:ascii="仿宋" w:hAnsi="仿宋" w:eastAsia="仿宋" w:cs="仿宋"/>
          <w:b/>
          <w:bCs/>
          <w:sz w:val="48"/>
          <w:szCs w:val="48"/>
          <w:highlight w:val="none"/>
          <w:lang w:val="en-US"/>
        </w:rPr>
        <w:t>设备类招标采购</w:t>
      </w:r>
      <w:r>
        <w:rPr>
          <w:rFonts w:hint="eastAsia" w:ascii="仿宋" w:hAnsi="仿宋" w:eastAsia="仿宋" w:cs="仿宋"/>
          <w:sz w:val="48"/>
          <w:szCs w:val="48"/>
          <w:highlight w:val="none"/>
        </w:rPr>
        <w:t>）</w:t>
      </w:r>
    </w:p>
    <w:p w14:paraId="04AEF5E9">
      <w:pPr>
        <w:jc w:val="center"/>
        <w:rPr>
          <w:rFonts w:hint="eastAsia" w:ascii="仿宋" w:hAnsi="仿宋" w:eastAsia="仿宋" w:cs="仿宋"/>
          <w:sz w:val="44"/>
          <w:szCs w:val="44"/>
          <w:highlight w:val="none"/>
        </w:rPr>
      </w:pPr>
    </w:p>
    <w:p w14:paraId="36697C03">
      <w:pPr>
        <w:jc w:val="center"/>
        <w:rPr>
          <w:rFonts w:hint="eastAsia" w:ascii="仿宋" w:hAnsi="仿宋" w:eastAsia="仿宋" w:cs="仿宋"/>
          <w:sz w:val="84"/>
          <w:szCs w:val="84"/>
          <w:highlight w:val="none"/>
        </w:rPr>
      </w:pPr>
      <w:r>
        <w:rPr>
          <w:rFonts w:hint="eastAsia" w:ascii="仿宋" w:hAnsi="仿宋" w:eastAsia="仿宋" w:cs="仿宋"/>
          <w:sz w:val="84"/>
          <w:szCs w:val="84"/>
          <w:highlight w:val="none"/>
        </w:rPr>
        <w:t>供</w:t>
      </w:r>
    </w:p>
    <w:p w14:paraId="0C2BF79A">
      <w:pPr>
        <w:jc w:val="center"/>
        <w:rPr>
          <w:rFonts w:hint="eastAsia" w:ascii="仿宋" w:hAnsi="仿宋" w:eastAsia="仿宋" w:cs="仿宋"/>
          <w:sz w:val="84"/>
          <w:szCs w:val="84"/>
          <w:highlight w:val="none"/>
        </w:rPr>
      </w:pPr>
      <w:r>
        <w:rPr>
          <w:rFonts w:hint="eastAsia" w:ascii="仿宋" w:hAnsi="仿宋" w:eastAsia="仿宋" w:cs="仿宋"/>
          <w:sz w:val="84"/>
          <w:szCs w:val="84"/>
          <w:highlight w:val="none"/>
        </w:rPr>
        <w:t>货</w:t>
      </w:r>
    </w:p>
    <w:p w14:paraId="5818E611">
      <w:pPr>
        <w:jc w:val="center"/>
        <w:rPr>
          <w:rFonts w:hint="eastAsia" w:ascii="仿宋" w:hAnsi="仿宋" w:eastAsia="仿宋" w:cs="仿宋"/>
          <w:sz w:val="84"/>
          <w:szCs w:val="84"/>
          <w:highlight w:val="none"/>
        </w:rPr>
      </w:pPr>
      <w:r>
        <w:rPr>
          <w:rFonts w:hint="eastAsia" w:ascii="仿宋" w:hAnsi="仿宋" w:eastAsia="仿宋" w:cs="仿宋"/>
          <w:sz w:val="84"/>
          <w:szCs w:val="84"/>
          <w:highlight w:val="none"/>
        </w:rPr>
        <w:t>合</w:t>
      </w:r>
    </w:p>
    <w:p w14:paraId="1E11407D">
      <w:pPr>
        <w:jc w:val="center"/>
        <w:rPr>
          <w:rFonts w:hint="eastAsia" w:ascii="仿宋" w:hAnsi="仿宋" w:eastAsia="仿宋" w:cs="仿宋"/>
          <w:sz w:val="84"/>
          <w:szCs w:val="84"/>
          <w:highlight w:val="none"/>
        </w:rPr>
      </w:pPr>
      <w:r>
        <w:rPr>
          <w:rFonts w:hint="eastAsia" w:ascii="仿宋" w:hAnsi="仿宋" w:eastAsia="仿宋" w:cs="仿宋"/>
          <w:sz w:val="84"/>
          <w:szCs w:val="84"/>
          <w:highlight w:val="none"/>
        </w:rPr>
        <w:t>同</w:t>
      </w:r>
    </w:p>
    <w:p w14:paraId="0923654A">
      <w:pPr>
        <w:rPr>
          <w:rFonts w:hint="eastAsia" w:ascii="仿宋" w:hAnsi="仿宋" w:eastAsia="仿宋" w:cs="仿宋"/>
          <w:sz w:val="36"/>
          <w:szCs w:val="36"/>
          <w:highlight w:val="none"/>
        </w:rPr>
      </w:pPr>
    </w:p>
    <w:p w14:paraId="627D593D">
      <w:pPr>
        <w:rPr>
          <w:rFonts w:hint="eastAsia" w:ascii="仿宋" w:hAnsi="仿宋" w:eastAsia="仿宋" w:cs="仿宋"/>
          <w:sz w:val="36"/>
          <w:szCs w:val="36"/>
          <w:highlight w:val="none"/>
        </w:rPr>
      </w:pPr>
    </w:p>
    <w:p w14:paraId="35E006A5">
      <w:pPr>
        <w:rPr>
          <w:rFonts w:hint="eastAsia" w:ascii="仿宋" w:hAnsi="仿宋" w:eastAsia="仿宋" w:cs="仿宋"/>
          <w:sz w:val="36"/>
          <w:szCs w:val="36"/>
          <w:highlight w:val="none"/>
        </w:rPr>
      </w:pPr>
    </w:p>
    <w:p w14:paraId="6F2F325A">
      <w:pPr>
        <w:ind w:firstLine="1280" w:firstLineChars="400"/>
        <w:rPr>
          <w:rFonts w:hint="eastAsia" w:ascii="仿宋" w:hAnsi="仿宋" w:eastAsia="仿宋" w:cs="仿宋"/>
          <w:spacing w:val="54"/>
          <w:kern w:val="4"/>
          <w:sz w:val="32"/>
          <w:szCs w:val="32"/>
          <w:highlight w:val="none"/>
        </w:rPr>
      </w:pPr>
      <w:r>
        <w:rPr>
          <w:rFonts w:hint="eastAsia" w:ascii="仿宋" w:hAnsi="仿宋" w:eastAsia="仿宋" w:cs="仿宋"/>
          <w:sz w:val="32"/>
          <w:szCs w:val="32"/>
          <w:highlight w:val="none"/>
        </w:rPr>
        <w:t>招标项目名称：</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u w:val="single"/>
          <w:lang w:val="en-US"/>
        </w:rPr>
        <w:t xml:space="preserve">   </w:t>
      </w:r>
      <w:r>
        <w:rPr>
          <w:rFonts w:hint="eastAsia" w:ascii="仿宋" w:hAnsi="仿宋" w:eastAsia="仿宋" w:cs="仿宋"/>
          <w:bCs/>
          <w:sz w:val="32"/>
          <w:szCs w:val="32"/>
          <w:highlight w:val="none"/>
          <w:u w:val="single"/>
        </w:rPr>
        <w:t xml:space="preserve">          </w:t>
      </w:r>
    </w:p>
    <w:p w14:paraId="502BB123">
      <w:pPr>
        <w:ind w:firstLine="1280" w:firstLineChars="400"/>
        <w:rPr>
          <w:rFonts w:hint="eastAsia" w:ascii="仿宋" w:hAnsi="仿宋" w:eastAsia="仿宋" w:cs="仿宋"/>
          <w:sz w:val="32"/>
          <w:szCs w:val="32"/>
          <w:highlight w:val="none"/>
        </w:rPr>
      </w:pPr>
      <w:r>
        <w:rPr>
          <w:rFonts w:hint="eastAsia" w:ascii="仿宋" w:hAnsi="仿宋" w:eastAsia="仿宋" w:cs="仿宋"/>
          <w:sz w:val="32"/>
          <w:szCs w:val="32"/>
          <w:highlight w:val="none"/>
        </w:rPr>
        <w:t>招标文件编号：</w:t>
      </w:r>
      <w:r>
        <w:rPr>
          <w:rFonts w:hint="eastAsia" w:ascii="仿宋" w:hAnsi="仿宋" w:eastAsia="仿宋" w:cs="仿宋"/>
          <w:bCs/>
          <w:sz w:val="32"/>
          <w:szCs w:val="32"/>
          <w:highlight w:val="none"/>
          <w:u w:val="single"/>
        </w:rPr>
        <w:t xml:space="preserve">      </w:t>
      </w:r>
      <w:r>
        <w:rPr>
          <w:rFonts w:hint="eastAsia" w:ascii="仿宋" w:hAnsi="仿宋" w:eastAsia="仿宋" w:cs="仿宋"/>
          <w:bCs/>
          <w:sz w:val="32"/>
          <w:szCs w:val="32"/>
          <w:highlight w:val="none"/>
          <w:u w:val="single"/>
          <w:lang w:val="en-US"/>
        </w:rPr>
        <w:t xml:space="preserve"> </w:t>
      </w:r>
      <w:r>
        <w:rPr>
          <w:rFonts w:hint="eastAsia" w:ascii="仿宋" w:hAnsi="仿宋" w:eastAsia="仿宋" w:cs="仿宋"/>
          <w:bCs/>
          <w:sz w:val="32"/>
          <w:szCs w:val="32"/>
          <w:highlight w:val="none"/>
          <w:u w:val="single"/>
        </w:rPr>
        <w:t xml:space="preserve">                </w:t>
      </w:r>
    </w:p>
    <w:p w14:paraId="71D85170">
      <w:pPr>
        <w:rPr>
          <w:rFonts w:hint="eastAsia" w:ascii="仿宋" w:hAnsi="仿宋" w:eastAsia="仿宋" w:cs="仿宋"/>
          <w:sz w:val="30"/>
          <w:szCs w:val="30"/>
          <w:highlight w:val="none"/>
        </w:rPr>
      </w:pPr>
    </w:p>
    <w:p w14:paraId="7ED406A2">
      <w:pPr>
        <w:jc w:val="center"/>
        <w:rPr>
          <w:rFonts w:hint="eastAsia" w:ascii="仿宋" w:hAnsi="仿宋" w:eastAsia="仿宋" w:cs="仿宋"/>
          <w:sz w:val="32"/>
          <w:szCs w:val="32"/>
          <w:highlight w:val="none"/>
        </w:rPr>
      </w:pPr>
    </w:p>
    <w:p w14:paraId="51DBD575">
      <w:pPr>
        <w:jc w:val="center"/>
        <w:rPr>
          <w:rFonts w:hint="eastAsia" w:ascii="仿宋" w:hAnsi="仿宋" w:eastAsia="仿宋" w:cs="仿宋"/>
          <w:sz w:val="32"/>
          <w:szCs w:val="32"/>
          <w:highlight w:val="none"/>
        </w:rPr>
      </w:pPr>
    </w:p>
    <w:p w14:paraId="21CB8680">
      <w:pPr>
        <w:jc w:val="center"/>
        <w:rPr>
          <w:rFonts w:hint="eastAsia" w:ascii="仿宋" w:hAnsi="仿宋" w:eastAsia="仿宋" w:cs="仿宋"/>
          <w:sz w:val="32"/>
          <w:szCs w:val="32"/>
          <w:highlight w:val="none"/>
        </w:rPr>
      </w:pPr>
    </w:p>
    <w:p w14:paraId="435A5E8D">
      <w:pPr>
        <w:numPr>
          <w:ilvl w:val="255"/>
          <w:numId w:val="0"/>
        </w:num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5DDBDF97">
      <w:pPr>
        <w:numPr>
          <w:ilvl w:val="255"/>
          <w:numId w:val="0"/>
        </w:numPr>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新疆大学合同填写说明：</w:t>
      </w:r>
    </w:p>
    <w:p w14:paraId="7B202D6A">
      <w:pPr>
        <w:numPr>
          <w:ilvl w:val="255"/>
          <w:numId w:val="0"/>
        </w:numPr>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val="en-US"/>
        </w:rPr>
        <w:t>1.</w:t>
      </w:r>
      <w:r>
        <w:rPr>
          <w:rFonts w:hint="eastAsia" w:ascii="仿宋" w:hAnsi="仿宋" w:eastAsia="仿宋" w:cs="仿宋"/>
          <w:sz w:val="28"/>
          <w:szCs w:val="28"/>
          <w:highlight w:val="none"/>
        </w:rPr>
        <w:t>本合同为限制性编辑的制式合同模板，未经合同签订双方同意不得对限制编辑内容进行修改。</w:t>
      </w:r>
    </w:p>
    <w:p w14:paraId="60709E0B">
      <w:pPr>
        <w:numPr>
          <w:ilvl w:val="255"/>
          <w:numId w:val="0"/>
        </w:numPr>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val="en-US"/>
        </w:rPr>
        <w:t>2.</w:t>
      </w:r>
      <w:r>
        <w:rPr>
          <w:rFonts w:hint="eastAsia" w:ascii="仿宋" w:hAnsi="仿宋" w:eastAsia="仿宋" w:cs="仿宋"/>
          <w:sz w:val="28"/>
          <w:szCs w:val="28"/>
          <w:highlight w:val="none"/>
        </w:rPr>
        <w:t>合同信息内容电话、传真、开户行号等如无使用“/”代替。</w:t>
      </w:r>
    </w:p>
    <w:p w14:paraId="33ABB02A">
      <w:pPr>
        <w:numPr>
          <w:ilvl w:val="255"/>
          <w:numId w:val="0"/>
        </w:numPr>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val="en-US"/>
        </w:rPr>
        <w:t>3.</w:t>
      </w:r>
      <w:r>
        <w:rPr>
          <w:rFonts w:hint="eastAsia" w:ascii="仿宋" w:hAnsi="仿宋" w:eastAsia="仿宋" w:cs="仿宋"/>
          <w:sz w:val="28"/>
          <w:szCs w:val="28"/>
          <w:highlight w:val="none"/>
        </w:rPr>
        <w:t>合同标的物参数必须详细列出。</w:t>
      </w:r>
    </w:p>
    <w:p w14:paraId="0C96BC41">
      <w:pPr>
        <w:numPr>
          <w:ilvl w:val="255"/>
          <w:numId w:val="0"/>
        </w:numPr>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val="en-US"/>
        </w:rPr>
        <w:t>4.</w:t>
      </w:r>
      <w:r>
        <w:rPr>
          <w:rFonts w:hint="eastAsia" w:ascii="仿宋" w:hAnsi="仿宋" w:eastAsia="仿宋" w:cs="仿宋"/>
          <w:sz w:val="28"/>
          <w:szCs w:val="28"/>
          <w:highlight w:val="none"/>
        </w:rPr>
        <w:t>合同打印方式双面打印。</w:t>
      </w:r>
    </w:p>
    <w:p w14:paraId="54AB4EA7">
      <w:pPr>
        <w:numPr>
          <w:ilvl w:val="255"/>
          <w:numId w:val="0"/>
        </w:numPr>
        <w:spacing w:line="56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val="en-US"/>
        </w:rPr>
        <w:t>5.</w:t>
      </w:r>
      <w:r>
        <w:rPr>
          <w:rFonts w:hint="eastAsia" w:ascii="仿宋" w:hAnsi="仿宋" w:eastAsia="仿宋" w:cs="仿宋"/>
          <w:sz w:val="28"/>
          <w:szCs w:val="28"/>
          <w:highlight w:val="none"/>
        </w:rPr>
        <w:t>合同签订需双方加盖骑缝章。</w:t>
      </w:r>
    </w:p>
    <w:p w14:paraId="0A7D5F3C">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1B77EAED">
      <w:pPr>
        <w:jc w:val="center"/>
        <w:rPr>
          <w:rFonts w:hint="eastAsia" w:ascii="仿宋" w:hAnsi="仿宋" w:eastAsia="仿宋" w:cs="仿宋"/>
          <w:b/>
          <w:bCs/>
          <w:sz w:val="44"/>
          <w:szCs w:val="44"/>
          <w:highlight w:val="none"/>
        </w:rPr>
      </w:pPr>
      <w:r>
        <w:rPr>
          <w:rFonts w:hint="eastAsia" w:ascii="仿宋" w:hAnsi="仿宋" w:eastAsia="仿宋" w:cs="仿宋"/>
          <w:b/>
          <w:bCs/>
          <w:sz w:val="44"/>
          <w:szCs w:val="44"/>
          <w:highlight w:val="none"/>
        </w:rPr>
        <w:t>新疆大学(</w:t>
      </w:r>
      <w:r>
        <w:rPr>
          <w:rFonts w:hint="eastAsia" w:ascii="仿宋" w:hAnsi="仿宋" w:eastAsia="仿宋" w:cs="仿宋"/>
          <w:b/>
          <w:bCs/>
          <w:sz w:val="44"/>
          <w:szCs w:val="44"/>
          <w:highlight w:val="none"/>
          <w:lang w:val="en-US"/>
        </w:rPr>
        <w:t>设备类招标采购</w:t>
      </w:r>
      <w:r>
        <w:rPr>
          <w:rFonts w:hint="eastAsia" w:ascii="仿宋" w:hAnsi="仿宋" w:eastAsia="仿宋" w:cs="仿宋"/>
          <w:b/>
          <w:bCs/>
          <w:sz w:val="44"/>
          <w:szCs w:val="44"/>
          <w:highlight w:val="none"/>
        </w:rPr>
        <w:t>）供货合同</w:t>
      </w:r>
    </w:p>
    <w:p w14:paraId="077E112D">
      <w:pPr>
        <w:spacing w:line="560" w:lineRule="exact"/>
        <w:rPr>
          <w:rFonts w:hint="eastAsia" w:ascii="仿宋" w:hAnsi="仿宋" w:eastAsia="仿宋" w:cs="仿宋"/>
          <w:sz w:val="28"/>
          <w:szCs w:val="28"/>
          <w:highlight w:val="none"/>
        </w:rPr>
      </w:pPr>
    </w:p>
    <w:p w14:paraId="05C842A8">
      <w:pPr>
        <w:spacing w:line="560" w:lineRule="exact"/>
        <w:rPr>
          <w:rFonts w:hint="eastAsia" w:ascii="仿宋" w:hAnsi="仿宋" w:eastAsia="仿宋" w:cs="仿宋"/>
          <w:b/>
          <w:bCs/>
          <w:sz w:val="24"/>
          <w:szCs w:val="24"/>
          <w:highlight w:val="none"/>
        </w:rPr>
      </w:pPr>
      <w:r>
        <w:rPr>
          <w:rFonts w:hint="eastAsia" w:ascii="仿宋" w:hAnsi="仿宋" w:eastAsia="仿宋" w:cs="仿宋"/>
          <w:sz w:val="24"/>
          <w:szCs w:val="24"/>
          <w:highlight w:val="none"/>
        </w:rPr>
        <w:t>甲   方：</w:t>
      </w:r>
      <w:r>
        <w:rPr>
          <w:rFonts w:hint="eastAsia" w:ascii="仿宋" w:hAnsi="仿宋" w:eastAsia="仿宋" w:cs="仿宋"/>
          <w:b/>
          <w:bCs/>
          <w:sz w:val="24"/>
          <w:szCs w:val="24"/>
          <w:highlight w:val="none"/>
        </w:rPr>
        <w:t>新疆大学</w:t>
      </w:r>
    </w:p>
    <w:p w14:paraId="44BAE28D">
      <w:pPr>
        <w:spacing w:line="5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乙   方：   </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 xml:space="preserve">  </w:t>
      </w:r>
    </w:p>
    <w:p w14:paraId="5859F78E">
      <w:pPr>
        <w:numPr>
          <w:ilvl w:val="255"/>
          <w:numId w:val="0"/>
        </w:numPr>
        <w:spacing w:line="56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按照20  年  月   日组织招标的</w:t>
      </w: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val="en-US"/>
        </w:rPr>
        <w:t>，项目</w:t>
      </w:r>
      <w:r>
        <w:rPr>
          <w:rFonts w:hint="eastAsia" w:ascii="仿宋" w:hAnsi="仿宋" w:eastAsia="仿宋" w:cs="仿宋"/>
          <w:sz w:val="24"/>
          <w:szCs w:val="24"/>
          <w:highlight w:val="none"/>
        </w:rPr>
        <w:t>编号为</w:t>
      </w: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采购计划号为</w:t>
      </w:r>
      <w:r>
        <w:rPr>
          <w:rFonts w:hint="eastAsia" w:ascii="仿宋" w:hAnsi="仿宋" w:eastAsia="仿宋" w:cs="仿宋"/>
          <w:bCs/>
          <w:sz w:val="24"/>
          <w:szCs w:val="24"/>
          <w:highlight w:val="none"/>
        </w:rPr>
        <w:t xml:space="preserve">          </w:t>
      </w:r>
      <w:r>
        <w:rPr>
          <w:rFonts w:hint="eastAsia" w:ascii="仿宋" w:hAnsi="仿宋" w:eastAsia="仿宋" w:cs="仿宋"/>
          <w:sz w:val="24"/>
          <w:szCs w:val="24"/>
          <w:highlight w:val="none"/>
        </w:rPr>
        <w:t>，经评定，乙方     为第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包中标方。根据《中华人民共和国政府采购法》和《中华人民共和国</w:t>
      </w:r>
      <w:r>
        <w:rPr>
          <w:rFonts w:hint="eastAsia" w:ascii="仿宋" w:hAnsi="仿宋" w:eastAsia="仿宋" w:cs="仿宋"/>
          <w:sz w:val="24"/>
          <w:szCs w:val="24"/>
          <w:highlight w:val="none"/>
          <w:lang w:val="en-US"/>
        </w:rPr>
        <w:t>民法典</w:t>
      </w:r>
      <w:r>
        <w:rPr>
          <w:rFonts w:hint="eastAsia" w:ascii="仿宋" w:hAnsi="仿宋" w:eastAsia="仿宋" w:cs="仿宋"/>
          <w:sz w:val="24"/>
          <w:szCs w:val="24"/>
          <w:highlight w:val="none"/>
        </w:rPr>
        <w:t>》的规定，按照公平、公正、平等自愿和诚实信用、协商一致的原则，甲、乙双方授权代表就所供合同标的物的购销、安装、调试和售后服务等事宜达成如下条款。</w:t>
      </w:r>
    </w:p>
    <w:p w14:paraId="1EB814D0">
      <w:pPr>
        <w:numPr>
          <w:ilvl w:val="255"/>
          <w:numId w:val="0"/>
        </w:numPr>
        <w:spacing w:line="5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lang w:val="en-US"/>
        </w:rPr>
        <w:t>一、</w:t>
      </w:r>
      <w:r>
        <w:rPr>
          <w:rFonts w:hint="eastAsia" w:ascii="仿宋" w:hAnsi="仿宋" w:eastAsia="仿宋" w:cs="仿宋"/>
          <w:bCs/>
          <w:sz w:val="24"/>
          <w:szCs w:val="24"/>
          <w:highlight w:val="none"/>
        </w:rPr>
        <w:t>合同标的物名称、型号、数量、</w:t>
      </w:r>
      <w:r>
        <w:rPr>
          <w:rFonts w:hint="eastAsia" w:ascii="仿宋" w:hAnsi="仿宋" w:eastAsia="仿宋" w:cs="仿宋"/>
          <w:bCs/>
          <w:sz w:val="24"/>
          <w:szCs w:val="24"/>
          <w:highlight w:val="none"/>
          <w:lang w:val="en-US"/>
        </w:rPr>
        <w:t>质保期</w:t>
      </w:r>
      <w:r>
        <w:rPr>
          <w:rFonts w:hint="eastAsia" w:ascii="仿宋" w:hAnsi="仿宋" w:eastAsia="仿宋" w:cs="仿宋"/>
          <w:bCs/>
          <w:sz w:val="24"/>
          <w:szCs w:val="24"/>
          <w:highlight w:val="none"/>
        </w:rPr>
        <w:t>及价格（单位：元）</w:t>
      </w:r>
    </w:p>
    <w:tbl>
      <w:tblPr>
        <w:tblStyle w:val="18"/>
        <w:tblW w:w="8755" w:type="dxa"/>
        <w:tblInd w:w="-318" w:type="dxa"/>
        <w:tblLayout w:type="fixed"/>
        <w:tblCellMar>
          <w:top w:w="0" w:type="dxa"/>
          <w:left w:w="108" w:type="dxa"/>
          <w:bottom w:w="0" w:type="dxa"/>
          <w:right w:w="108" w:type="dxa"/>
        </w:tblCellMar>
      </w:tblPr>
      <w:tblGrid>
        <w:gridCol w:w="1059"/>
        <w:gridCol w:w="1517"/>
        <w:gridCol w:w="1154"/>
        <w:gridCol w:w="777"/>
        <w:gridCol w:w="1416"/>
        <w:gridCol w:w="773"/>
        <w:gridCol w:w="1029"/>
        <w:gridCol w:w="1030"/>
      </w:tblGrid>
      <w:tr w14:paraId="6A658328">
        <w:trPr>
          <w:trHeight w:val="778" w:hRule="exact"/>
        </w:trPr>
        <w:tc>
          <w:tcPr>
            <w:tcW w:w="1059" w:type="dxa"/>
            <w:tcBorders>
              <w:top w:val="single" w:color="auto" w:sz="4" w:space="0"/>
              <w:left w:val="single" w:color="auto" w:sz="4" w:space="0"/>
              <w:bottom w:val="single" w:color="auto" w:sz="4" w:space="0"/>
              <w:right w:val="single" w:color="auto" w:sz="4" w:space="0"/>
            </w:tcBorders>
            <w:vAlign w:val="center"/>
          </w:tcPr>
          <w:p w14:paraId="1B64CB4D">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17" w:type="dxa"/>
            <w:tcBorders>
              <w:top w:val="single" w:color="auto" w:sz="4" w:space="0"/>
              <w:left w:val="nil"/>
              <w:bottom w:val="single" w:color="auto" w:sz="4" w:space="0"/>
              <w:right w:val="single" w:color="auto" w:sz="4" w:space="0"/>
            </w:tcBorders>
            <w:vAlign w:val="center"/>
          </w:tcPr>
          <w:p w14:paraId="3AEAEB95">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 </w:t>
            </w:r>
          </w:p>
        </w:tc>
        <w:tc>
          <w:tcPr>
            <w:tcW w:w="1154" w:type="dxa"/>
            <w:tcBorders>
              <w:top w:val="single" w:color="auto" w:sz="4" w:space="0"/>
              <w:left w:val="nil"/>
              <w:bottom w:val="single" w:color="auto" w:sz="4" w:space="0"/>
              <w:right w:val="single" w:color="auto" w:sz="4" w:space="0"/>
            </w:tcBorders>
            <w:vAlign w:val="center"/>
          </w:tcPr>
          <w:p w14:paraId="17B0B887">
            <w:pPr>
              <w:jc w:val="center"/>
              <w:rPr>
                <w:rFonts w:hint="eastAsia" w:ascii="仿宋" w:hAnsi="仿宋" w:eastAsia="仿宋" w:cs="仿宋"/>
                <w:sz w:val="24"/>
                <w:szCs w:val="24"/>
                <w:highlight w:val="none"/>
              </w:rPr>
            </w:pPr>
          </w:p>
        </w:tc>
        <w:tc>
          <w:tcPr>
            <w:tcW w:w="777" w:type="dxa"/>
            <w:tcBorders>
              <w:top w:val="single" w:color="auto" w:sz="4" w:space="0"/>
              <w:left w:val="single" w:color="auto" w:sz="4" w:space="0"/>
              <w:bottom w:val="single" w:color="auto" w:sz="4" w:space="0"/>
              <w:right w:val="single" w:color="auto" w:sz="4" w:space="0"/>
            </w:tcBorders>
            <w:vAlign w:val="center"/>
          </w:tcPr>
          <w:p w14:paraId="48EBE7B5">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 </w:t>
            </w:r>
          </w:p>
        </w:tc>
        <w:tc>
          <w:tcPr>
            <w:tcW w:w="1416" w:type="dxa"/>
            <w:tcBorders>
              <w:top w:val="single" w:color="auto" w:sz="4" w:space="0"/>
              <w:left w:val="nil"/>
              <w:bottom w:val="single" w:color="auto" w:sz="4" w:space="0"/>
              <w:right w:val="single" w:color="auto" w:sz="4" w:space="0"/>
            </w:tcBorders>
            <w:vAlign w:val="center"/>
          </w:tcPr>
          <w:p w14:paraId="77323882">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 </w:t>
            </w:r>
          </w:p>
        </w:tc>
        <w:tc>
          <w:tcPr>
            <w:tcW w:w="773" w:type="dxa"/>
            <w:tcBorders>
              <w:top w:val="single" w:color="auto" w:sz="4" w:space="0"/>
              <w:left w:val="nil"/>
              <w:bottom w:val="single" w:color="auto" w:sz="4" w:space="0"/>
              <w:right w:val="single" w:color="auto" w:sz="4" w:space="0"/>
            </w:tcBorders>
            <w:vAlign w:val="center"/>
          </w:tcPr>
          <w:p w14:paraId="0ABD1202">
            <w:pPr>
              <w:jc w:val="center"/>
              <w:rPr>
                <w:rFonts w:hint="eastAsia" w:ascii="仿宋" w:hAnsi="仿宋" w:eastAsia="仿宋" w:cs="仿宋"/>
                <w:sz w:val="24"/>
                <w:szCs w:val="24"/>
                <w:highlight w:val="none"/>
              </w:rPr>
            </w:pPr>
          </w:p>
        </w:tc>
        <w:tc>
          <w:tcPr>
            <w:tcW w:w="1029" w:type="dxa"/>
            <w:tcBorders>
              <w:top w:val="single" w:color="auto" w:sz="4" w:space="0"/>
              <w:left w:val="nil"/>
              <w:bottom w:val="single" w:color="auto" w:sz="4" w:space="0"/>
              <w:right w:val="single" w:color="auto" w:sz="4" w:space="0"/>
            </w:tcBorders>
            <w:vAlign w:val="center"/>
          </w:tcPr>
          <w:p w14:paraId="7A263C97">
            <w:pPr>
              <w:jc w:val="center"/>
              <w:rPr>
                <w:rFonts w:hint="eastAsia" w:ascii="仿宋" w:hAnsi="仿宋" w:eastAsia="仿宋" w:cs="仿宋"/>
                <w:sz w:val="24"/>
                <w:szCs w:val="24"/>
                <w:highlight w:val="none"/>
              </w:rPr>
            </w:pPr>
          </w:p>
        </w:tc>
        <w:tc>
          <w:tcPr>
            <w:tcW w:w="1030" w:type="dxa"/>
            <w:tcBorders>
              <w:top w:val="single" w:color="auto" w:sz="4" w:space="0"/>
              <w:left w:val="nil"/>
              <w:bottom w:val="single" w:color="auto" w:sz="4" w:space="0"/>
              <w:right w:val="single" w:color="auto" w:sz="4" w:space="0"/>
            </w:tcBorders>
            <w:vAlign w:val="center"/>
          </w:tcPr>
          <w:p w14:paraId="4516EF17">
            <w:pPr>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 </w:t>
            </w:r>
          </w:p>
        </w:tc>
      </w:tr>
      <w:tr w14:paraId="5D63FCBE">
        <w:tblPrEx>
          <w:tblCellMar>
            <w:top w:w="0" w:type="dxa"/>
            <w:left w:w="108" w:type="dxa"/>
            <w:bottom w:w="0" w:type="dxa"/>
            <w:right w:w="108" w:type="dxa"/>
          </w:tblCellMar>
        </w:tblPrEx>
        <w:trPr>
          <w:trHeight w:val="689" w:hRule="exact"/>
        </w:trPr>
        <w:tc>
          <w:tcPr>
            <w:tcW w:w="1059" w:type="dxa"/>
            <w:tcBorders>
              <w:top w:val="nil"/>
              <w:left w:val="single" w:color="auto" w:sz="4" w:space="0"/>
              <w:bottom w:val="single" w:color="auto" w:sz="4" w:space="0"/>
              <w:right w:val="single" w:color="auto" w:sz="4" w:space="0"/>
            </w:tcBorders>
            <w:vAlign w:val="center"/>
          </w:tcPr>
          <w:p w14:paraId="0FE85991">
            <w:pPr>
              <w:widowControl/>
              <w:adjustRightInd w:val="0"/>
              <w:snapToGrid w:val="0"/>
              <w:ind w:left="-110" w:leftChars="-50" w:right="-110" w:rightChars="-5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17" w:type="dxa"/>
            <w:tcBorders>
              <w:top w:val="nil"/>
              <w:left w:val="nil"/>
              <w:bottom w:val="single" w:color="auto" w:sz="4" w:space="0"/>
              <w:right w:val="single" w:color="auto" w:sz="4" w:space="0"/>
            </w:tcBorders>
            <w:vAlign w:val="center"/>
          </w:tcPr>
          <w:p w14:paraId="323E4A5E">
            <w:pPr>
              <w:widowControl/>
              <w:adjustRightInd w:val="0"/>
              <w:snapToGrid w:val="0"/>
              <w:ind w:left="-110" w:leftChars="-50" w:right="-110" w:rightChars="-50"/>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 </w:t>
            </w:r>
          </w:p>
        </w:tc>
        <w:tc>
          <w:tcPr>
            <w:tcW w:w="1154" w:type="dxa"/>
            <w:tcBorders>
              <w:top w:val="nil"/>
              <w:left w:val="nil"/>
              <w:bottom w:val="single" w:color="auto" w:sz="4" w:space="0"/>
              <w:right w:val="single" w:color="auto" w:sz="4" w:space="0"/>
            </w:tcBorders>
            <w:vAlign w:val="center"/>
          </w:tcPr>
          <w:p w14:paraId="1CEB5701">
            <w:pPr>
              <w:widowControl/>
              <w:adjustRightInd w:val="0"/>
              <w:snapToGrid w:val="0"/>
              <w:ind w:left="-110" w:leftChars="-50" w:right="-110" w:rightChars="-50"/>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 </w:t>
            </w:r>
          </w:p>
        </w:tc>
        <w:tc>
          <w:tcPr>
            <w:tcW w:w="777" w:type="dxa"/>
            <w:tcBorders>
              <w:top w:val="nil"/>
              <w:left w:val="single" w:color="auto" w:sz="4" w:space="0"/>
              <w:bottom w:val="single" w:color="auto" w:sz="4" w:space="0"/>
              <w:right w:val="single" w:color="auto" w:sz="4" w:space="0"/>
            </w:tcBorders>
            <w:vAlign w:val="center"/>
          </w:tcPr>
          <w:p w14:paraId="52498B8E">
            <w:pPr>
              <w:widowControl/>
              <w:adjustRightInd w:val="0"/>
              <w:snapToGrid w:val="0"/>
              <w:ind w:left="-110" w:leftChars="-50" w:right="-110" w:rightChars="-50"/>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 </w:t>
            </w:r>
          </w:p>
        </w:tc>
        <w:tc>
          <w:tcPr>
            <w:tcW w:w="1416" w:type="dxa"/>
            <w:tcBorders>
              <w:top w:val="nil"/>
              <w:left w:val="nil"/>
              <w:bottom w:val="single" w:color="auto" w:sz="4" w:space="0"/>
              <w:right w:val="single" w:color="auto" w:sz="4" w:space="0"/>
            </w:tcBorders>
            <w:vAlign w:val="center"/>
          </w:tcPr>
          <w:p w14:paraId="1DF67B8D">
            <w:pPr>
              <w:widowControl/>
              <w:adjustRightInd w:val="0"/>
              <w:snapToGrid w:val="0"/>
              <w:ind w:left="-110" w:leftChars="-50" w:right="-110" w:rightChars="-50"/>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 </w:t>
            </w:r>
          </w:p>
        </w:tc>
        <w:tc>
          <w:tcPr>
            <w:tcW w:w="773" w:type="dxa"/>
            <w:tcBorders>
              <w:top w:val="nil"/>
              <w:left w:val="nil"/>
              <w:bottom w:val="single" w:color="auto" w:sz="4" w:space="0"/>
              <w:right w:val="single" w:color="auto" w:sz="4" w:space="0"/>
            </w:tcBorders>
            <w:vAlign w:val="center"/>
          </w:tcPr>
          <w:p w14:paraId="713D1E47">
            <w:pPr>
              <w:widowControl/>
              <w:adjustRightInd w:val="0"/>
              <w:snapToGrid w:val="0"/>
              <w:ind w:left="-110" w:leftChars="-50" w:right="-110" w:rightChars="-50"/>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 </w:t>
            </w:r>
          </w:p>
        </w:tc>
        <w:tc>
          <w:tcPr>
            <w:tcW w:w="1029" w:type="dxa"/>
            <w:tcBorders>
              <w:top w:val="nil"/>
              <w:left w:val="nil"/>
              <w:bottom w:val="single" w:color="auto" w:sz="4" w:space="0"/>
              <w:right w:val="single" w:color="auto" w:sz="4" w:space="0"/>
            </w:tcBorders>
            <w:vAlign w:val="center"/>
          </w:tcPr>
          <w:p w14:paraId="07ACC4ED">
            <w:pPr>
              <w:widowControl/>
              <w:adjustRightInd w:val="0"/>
              <w:snapToGrid w:val="0"/>
              <w:ind w:left="-110" w:leftChars="-50" w:right="-110" w:rightChars="-50"/>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 </w:t>
            </w:r>
          </w:p>
        </w:tc>
        <w:tc>
          <w:tcPr>
            <w:tcW w:w="1030" w:type="dxa"/>
            <w:tcBorders>
              <w:top w:val="nil"/>
              <w:left w:val="nil"/>
              <w:bottom w:val="single" w:color="auto" w:sz="4" w:space="0"/>
              <w:right w:val="single" w:color="auto" w:sz="4" w:space="0"/>
            </w:tcBorders>
            <w:vAlign w:val="center"/>
          </w:tcPr>
          <w:p w14:paraId="66D9CA5F">
            <w:pPr>
              <w:widowControl/>
              <w:adjustRightInd w:val="0"/>
              <w:snapToGrid w:val="0"/>
              <w:ind w:left="-110" w:leftChars="-50" w:right="-110" w:rightChars="-50"/>
              <w:jc w:val="center"/>
              <w:rPr>
                <w:rFonts w:hint="eastAsia" w:ascii="仿宋" w:hAnsi="仿宋" w:eastAsia="仿宋" w:cs="仿宋"/>
                <w:sz w:val="24"/>
                <w:szCs w:val="24"/>
                <w:highlight w:val="none"/>
                <w:lang w:val="en-US"/>
              </w:rPr>
            </w:pPr>
            <w:r>
              <w:rPr>
                <w:rFonts w:hint="eastAsia" w:ascii="仿宋" w:hAnsi="仿宋" w:eastAsia="仿宋" w:cs="仿宋"/>
                <w:sz w:val="24"/>
                <w:szCs w:val="24"/>
                <w:highlight w:val="none"/>
                <w:lang w:val="en-US"/>
              </w:rPr>
              <w:t xml:space="preserve"> </w:t>
            </w:r>
          </w:p>
        </w:tc>
      </w:tr>
      <w:tr w14:paraId="7ACD9C4D">
        <w:tblPrEx>
          <w:tblCellMar>
            <w:top w:w="0" w:type="dxa"/>
            <w:left w:w="108" w:type="dxa"/>
            <w:bottom w:w="0" w:type="dxa"/>
            <w:right w:w="108" w:type="dxa"/>
          </w:tblCellMar>
        </w:tblPrEx>
        <w:trPr>
          <w:trHeight w:val="689" w:hRule="exact"/>
        </w:trPr>
        <w:tc>
          <w:tcPr>
            <w:tcW w:w="1059" w:type="dxa"/>
            <w:tcBorders>
              <w:top w:val="nil"/>
              <w:left w:val="single" w:color="auto" w:sz="4" w:space="0"/>
              <w:bottom w:val="single" w:color="auto" w:sz="4" w:space="0"/>
              <w:right w:val="single" w:color="auto" w:sz="4" w:space="0"/>
            </w:tcBorders>
            <w:vAlign w:val="center"/>
          </w:tcPr>
          <w:p w14:paraId="0328F5B7">
            <w:pPr>
              <w:widowControl/>
              <w:adjustRightInd w:val="0"/>
              <w:snapToGrid w:val="0"/>
              <w:ind w:left="-110" w:leftChars="-50" w:right="-110" w:rightChars="-50"/>
              <w:jc w:val="center"/>
              <w:rPr>
                <w:rFonts w:hint="eastAsia" w:ascii="仿宋" w:hAnsi="仿宋" w:eastAsia="仿宋" w:cs="仿宋"/>
                <w:sz w:val="24"/>
                <w:szCs w:val="24"/>
                <w:highlight w:val="none"/>
              </w:rPr>
            </w:pPr>
          </w:p>
        </w:tc>
        <w:tc>
          <w:tcPr>
            <w:tcW w:w="1517" w:type="dxa"/>
            <w:tcBorders>
              <w:top w:val="nil"/>
              <w:left w:val="nil"/>
              <w:bottom w:val="single" w:color="auto" w:sz="4" w:space="0"/>
              <w:right w:val="single" w:color="auto" w:sz="4" w:space="0"/>
            </w:tcBorders>
            <w:vAlign w:val="center"/>
          </w:tcPr>
          <w:p w14:paraId="5021F5A9">
            <w:pPr>
              <w:widowControl/>
              <w:adjustRightInd w:val="0"/>
              <w:snapToGrid w:val="0"/>
              <w:ind w:left="-110" w:leftChars="-50" w:right="-110" w:rightChars="-50"/>
              <w:jc w:val="center"/>
              <w:rPr>
                <w:rFonts w:hint="eastAsia" w:ascii="仿宋" w:hAnsi="仿宋" w:eastAsia="仿宋" w:cs="仿宋"/>
                <w:sz w:val="24"/>
                <w:szCs w:val="24"/>
                <w:highlight w:val="none"/>
                <w:lang w:val="en-US"/>
              </w:rPr>
            </w:pPr>
          </w:p>
        </w:tc>
        <w:tc>
          <w:tcPr>
            <w:tcW w:w="1154" w:type="dxa"/>
            <w:tcBorders>
              <w:top w:val="nil"/>
              <w:left w:val="nil"/>
              <w:bottom w:val="single" w:color="auto" w:sz="4" w:space="0"/>
              <w:right w:val="single" w:color="auto" w:sz="4" w:space="0"/>
            </w:tcBorders>
            <w:vAlign w:val="center"/>
          </w:tcPr>
          <w:p w14:paraId="337FA735">
            <w:pPr>
              <w:widowControl/>
              <w:adjustRightInd w:val="0"/>
              <w:snapToGrid w:val="0"/>
              <w:ind w:left="-110" w:leftChars="-50" w:right="-110" w:rightChars="-50"/>
              <w:jc w:val="center"/>
              <w:rPr>
                <w:rFonts w:hint="eastAsia" w:ascii="仿宋" w:hAnsi="仿宋" w:eastAsia="仿宋" w:cs="仿宋"/>
                <w:sz w:val="24"/>
                <w:szCs w:val="24"/>
                <w:highlight w:val="none"/>
                <w:lang w:val="en-US"/>
              </w:rPr>
            </w:pPr>
          </w:p>
        </w:tc>
        <w:tc>
          <w:tcPr>
            <w:tcW w:w="777" w:type="dxa"/>
            <w:tcBorders>
              <w:top w:val="nil"/>
              <w:left w:val="single" w:color="auto" w:sz="4" w:space="0"/>
              <w:bottom w:val="single" w:color="auto" w:sz="4" w:space="0"/>
              <w:right w:val="single" w:color="auto" w:sz="4" w:space="0"/>
            </w:tcBorders>
            <w:vAlign w:val="center"/>
          </w:tcPr>
          <w:p w14:paraId="77C71B7F">
            <w:pPr>
              <w:widowControl/>
              <w:adjustRightInd w:val="0"/>
              <w:snapToGrid w:val="0"/>
              <w:ind w:left="-110" w:leftChars="-50" w:right="-110" w:rightChars="-50"/>
              <w:jc w:val="center"/>
              <w:rPr>
                <w:rFonts w:hint="eastAsia" w:ascii="仿宋" w:hAnsi="仿宋" w:eastAsia="仿宋" w:cs="仿宋"/>
                <w:sz w:val="24"/>
                <w:szCs w:val="24"/>
                <w:highlight w:val="none"/>
                <w:lang w:val="en-US"/>
              </w:rPr>
            </w:pPr>
          </w:p>
        </w:tc>
        <w:tc>
          <w:tcPr>
            <w:tcW w:w="1416" w:type="dxa"/>
            <w:tcBorders>
              <w:top w:val="nil"/>
              <w:left w:val="nil"/>
              <w:bottom w:val="single" w:color="auto" w:sz="4" w:space="0"/>
              <w:right w:val="single" w:color="auto" w:sz="4" w:space="0"/>
            </w:tcBorders>
            <w:vAlign w:val="center"/>
          </w:tcPr>
          <w:p w14:paraId="05F6EBB5">
            <w:pPr>
              <w:widowControl/>
              <w:adjustRightInd w:val="0"/>
              <w:snapToGrid w:val="0"/>
              <w:ind w:left="-110" w:leftChars="-50" w:right="-110" w:rightChars="-50"/>
              <w:jc w:val="center"/>
              <w:rPr>
                <w:rFonts w:hint="eastAsia" w:ascii="仿宋" w:hAnsi="仿宋" w:eastAsia="仿宋" w:cs="仿宋"/>
                <w:sz w:val="24"/>
                <w:szCs w:val="24"/>
                <w:highlight w:val="none"/>
                <w:lang w:val="en-US"/>
              </w:rPr>
            </w:pPr>
          </w:p>
        </w:tc>
        <w:tc>
          <w:tcPr>
            <w:tcW w:w="773" w:type="dxa"/>
            <w:tcBorders>
              <w:top w:val="nil"/>
              <w:left w:val="nil"/>
              <w:bottom w:val="single" w:color="auto" w:sz="4" w:space="0"/>
              <w:right w:val="single" w:color="auto" w:sz="4" w:space="0"/>
            </w:tcBorders>
            <w:vAlign w:val="center"/>
          </w:tcPr>
          <w:p w14:paraId="277A3B40">
            <w:pPr>
              <w:widowControl/>
              <w:adjustRightInd w:val="0"/>
              <w:snapToGrid w:val="0"/>
              <w:ind w:left="-110" w:leftChars="-50" w:right="-110" w:rightChars="-50"/>
              <w:jc w:val="center"/>
              <w:rPr>
                <w:rFonts w:hint="eastAsia" w:ascii="仿宋" w:hAnsi="仿宋" w:eastAsia="仿宋" w:cs="仿宋"/>
                <w:sz w:val="24"/>
                <w:szCs w:val="24"/>
                <w:highlight w:val="none"/>
                <w:lang w:val="en-US"/>
              </w:rPr>
            </w:pPr>
          </w:p>
        </w:tc>
        <w:tc>
          <w:tcPr>
            <w:tcW w:w="1029" w:type="dxa"/>
            <w:tcBorders>
              <w:top w:val="nil"/>
              <w:left w:val="nil"/>
              <w:bottom w:val="single" w:color="auto" w:sz="4" w:space="0"/>
              <w:right w:val="single" w:color="auto" w:sz="4" w:space="0"/>
            </w:tcBorders>
            <w:vAlign w:val="center"/>
          </w:tcPr>
          <w:p w14:paraId="0DAE1F55">
            <w:pPr>
              <w:widowControl/>
              <w:adjustRightInd w:val="0"/>
              <w:snapToGrid w:val="0"/>
              <w:ind w:left="-110" w:leftChars="-50" w:right="-110" w:rightChars="-50"/>
              <w:jc w:val="center"/>
              <w:rPr>
                <w:rFonts w:hint="eastAsia" w:ascii="仿宋" w:hAnsi="仿宋" w:eastAsia="仿宋" w:cs="仿宋"/>
                <w:sz w:val="24"/>
                <w:szCs w:val="24"/>
                <w:highlight w:val="none"/>
                <w:lang w:val="en-US"/>
              </w:rPr>
            </w:pPr>
          </w:p>
        </w:tc>
        <w:tc>
          <w:tcPr>
            <w:tcW w:w="1030" w:type="dxa"/>
            <w:tcBorders>
              <w:top w:val="nil"/>
              <w:left w:val="nil"/>
              <w:bottom w:val="single" w:color="auto" w:sz="4" w:space="0"/>
              <w:right w:val="single" w:color="auto" w:sz="4" w:space="0"/>
            </w:tcBorders>
            <w:vAlign w:val="center"/>
          </w:tcPr>
          <w:p w14:paraId="16C1B9A6">
            <w:pPr>
              <w:widowControl/>
              <w:adjustRightInd w:val="0"/>
              <w:snapToGrid w:val="0"/>
              <w:ind w:left="-110" w:leftChars="-50" w:right="-110" w:rightChars="-50"/>
              <w:jc w:val="center"/>
              <w:rPr>
                <w:rFonts w:hint="eastAsia" w:ascii="仿宋" w:hAnsi="仿宋" w:eastAsia="仿宋" w:cs="仿宋"/>
                <w:sz w:val="24"/>
                <w:szCs w:val="24"/>
                <w:highlight w:val="none"/>
                <w:lang w:val="en-US"/>
              </w:rPr>
            </w:pPr>
          </w:p>
        </w:tc>
      </w:tr>
      <w:tr w14:paraId="4E45821D">
        <w:tblPrEx>
          <w:tblCellMar>
            <w:top w:w="0" w:type="dxa"/>
            <w:left w:w="108" w:type="dxa"/>
            <w:bottom w:w="0" w:type="dxa"/>
            <w:right w:w="108" w:type="dxa"/>
          </w:tblCellMar>
        </w:tblPrEx>
        <w:trPr>
          <w:trHeight w:val="1358" w:hRule="exact"/>
        </w:trPr>
        <w:tc>
          <w:tcPr>
            <w:tcW w:w="8755" w:type="dxa"/>
            <w:gridSpan w:val="8"/>
            <w:tcBorders>
              <w:top w:val="single" w:color="auto" w:sz="4" w:space="0"/>
              <w:left w:val="single" w:color="auto" w:sz="4" w:space="0"/>
              <w:bottom w:val="single" w:color="auto" w:sz="4" w:space="0"/>
              <w:right w:val="single" w:color="auto" w:sz="4" w:space="0"/>
            </w:tcBorders>
            <w:vAlign w:val="center"/>
          </w:tcPr>
          <w:p w14:paraId="366B3ECE">
            <w:pPr>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总计：大写人民币    </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 xml:space="preserve">  元整，小写¥ </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 xml:space="preserve">   元（包括但不限于运输费、保险费及所配套的土建、吊装就位，培训、安装、调试等所有相关费用）</w:t>
            </w:r>
          </w:p>
        </w:tc>
      </w:tr>
    </w:tbl>
    <w:p w14:paraId="30753782">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bCs/>
          <w:sz w:val="24"/>
          <w:szCs w:val="24"/>
          <w:highlight w:val="none"/>
        </w:rPr>
        <w:t>二、报价币种、合同总价</w:t>
      </w:r>
    </w:p>
    <w:p w14:paraId="5548ACD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本合同总金额为¥    元，大写人民币       元整，含税及运费、安装、调试等所有相关费用。</w:t>
      </w:r>
    </w:p>
    <w:p w14:paraId="01150286">
      <w:pPr>
        <w:spacing w:line="5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三、付款方式</w:t>
      </w:r>
    </w:p>
    <w:p w14:paraId="6AC59D9E">
      <w:pPr>
        <w:spacing w:line="56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甲乙双方合同签订完成且乙方向甲方开具符合甲方要求的预付款保函后，甲方向乙方支付合同总金额40</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的预付款，</w:t>
      </w:r>
      <w:r>
        <w:rPr>
          <w:rFonts w:hint="eastAsia" w:ascii="仿宋" w:hAnsi="仿宋" w:eastAsia="仿宋" w:cs="仿宋"/>
          <w:sz w:val="24"/>
          <w:szCs w:val="24"/>
          <w:highlight w:val="none"/>
        </w:rPr>
        <w:t>金额为¥    元（人民币大写：    元整），乙方在合同约定的时间内将所供合同标的物运至甲方指定地点，乙方在甲方收到合同标的物</w:t>
      </w:r>
      <w:r>
        <w:rPr>
          <w:rFonts w:hint="eastAsia" w:ascii="仿宋" w:hAnsi="仿宋" w:eastAsia="仿宋" w:cs="仿宋"/>
          <w:sz w:val="24"/>
          <w:szCs w:val="24"/>
          <w:highlight w:val="none"/>
          <w:lang w:val="en-US"/>
        </w:rPr>
        <w:t>1</w:t>
      </w:r>
      <w:r>
        <w:rPr>
          <w:rFonts w:hint="eastAsia" w:ascii="仿宋" w:hAnsi="仿宋" w:eastAsia="仿宋" w:cs="仿宋"/>
          <w:sz w:val="24"/>
          <w:szCs w:val="24"/>
          <w:highlight w:val="none"/>
        </w:rPr>
        <w:t>5日内对合同标的物进行安装调试</w:t>
      </w:r>
      <w:r>
        <w:rPr>
          <w:rFonts w:hint="eastAsia" w:ascii="仿宋" w:hAnsi="仿宋" w:eastAsia="仿宋" w:cs="仿宋"/>
          <w:sz w:val="24"/>
          <w:szCs w:val="24"/>
          <w:highlight w:val="none"/>
          <w:lang w:val="en-US"/>
        </w:rPr>
        <w:t>及人员培训</w:t>
      </w:r>
      <w:r>
        <w:rPr>
          <w:rFonts w:hint="eastAsia" w:ascii="仿宋" w:hAnsi="仿宋" w:eastAsia="仿宋" w:cs="仿宋"/>
          <w:sz w:val="24"/>
          <w:szCs w:val="24"/>
          <w:highlight w:val="none"/>
        </w:rPr>
        <w:t>，经甲方书面验收合格后，甲方</w:t>
      </w:r>
      <w:r>
        <w:rPr>
          <w:rFonts w:hint="eastAsia" w:ascii="仿宋" w:hAnsi="仿宋" w:eastAsia="仿宋" w:cs="仿宋"/>
          <w:sz w:val="24"/>
          <w:szCs w:val="24"/>
          <w:highlight w:val="none"/>
          <w:lang w:val="en-US"/>
        </w:rPr>
        <w:t>向乙方</w:t>
      </w:r>
      <w:r>
        <w:rPr>
          <w:rFonts w:hint="eastAsia" w:ascii="仿宋" w:hAnsi="仿宋" w:eastAsia="仿宋" w:cs="仿宋"/>
          <w:sz w:val="24"/>
          <w:szCs w:val="24"/>
          <w:highlight w:val="none"/>
        </w:rPr>
        <w:t>支付合同总金额</w:t>
      </w:r>
      <w:r>
        <w:rPr>
          <w:rFonts w:hint="eastAsia" w:ascii="仿宋" w:hAnsi="仿宋" w:eastAsia="仿宋" w:cs="仿宋"/>
          <w:sz w:val="24"/>
          <w:szCs w:val="24"/>
          <w:highlight w:val="none"/>
          <w:lang w:val="en-US"/>
        </w:rPr>
        <w:t>55</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rPr>
        <w:t>的货款</w:t>
      </w:r>
      <w:r>
        <w:rPr>
          <w:rFonts w:hint="eastAsia" w:ascii="仿宋" w:hAnsi="仿宋" w:eastAsia="仿宋" w:cs="仿宋"/>
          <w:sz w:val="24"/>
          <w:szCs w:val="24"/>
          <w:highlight w:val="none"/>
        </w:rPr>
        <w:t xml:space="preserve">，金额为¥     元（人民币大写：  </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 xml:space="preserve"> 元整）。剩余的合同总金额</w:t>
      </w:r>
      <w:r>
        <w:rPr>
          <w:rFonts w:hint="eastAsia" w:ascii="仿宋" w:hAnsi="仿宋" w:eastAsia="仿宋" w:cs="仿宋"/>
          <w:sz w:val="24"/>
          <w:szCs w:val="24"/>
          <w:highlight w:val="none"/>
          <w:lang w:val="en-US"/>
        </w:rPr>
        <w:t>5</w:t>
      </w:r>
      <w:r>
        <w:rPr>
          <w:rFonts w:hint="eastAsia" w:ascii="仿宋" w:hAnsi="仿宋" w:eastAsia="仿宋" w:cs="仿宋"/>
          <w:sz w:val="24"/>
          <w:szCs w:val="24"/>
          <w:highlight w:val="none"/>
        </w:rPr>
        <w:t xml:space="preserve">%的货款，金额为¥     元（人民币大写： </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 xml:space="preserve">  元整）自甲方书面验收合格之日起满壹年，经甲方再次验收，无质量问题后，甲方无息支付给乙方。</w:t>
      </w:r>
    </w:p>
    <w:p w14:paraId="08498F6C">
      <w:pPr>
        <w:spacing w:line="560" w:lineRule="exact"/>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乙方账户信息如下：</w:t>
      </w:r>
    </w:p>
    <w:p w14:paraId="02B812E7">
      <w:pPr>
        <w:spacing w:line="560" w:lineRule="exact"/>
        <w:ind w:firstLine="482" w:firstLineChars="200"/>
        <w:rPr>
          <w:rFonts w:hint="eastAsia" w:ascii="仿宋" w:hAnsi="仿宋" w:eastAsia="仿宋" w:cs="仿宋"/>
          <w:b/>
          <w:sz w:val="24"/>
          <w:szCs w:val="24"/>
          <w:highlight w:val="none"/>
          <w:u w:val="single"/>
          <w:lang w:val="en-US"/>
        </w:rPr>
      </w:pPr>
      <w:r>
        <w:rPr>
          <w:rFonts w:hint="eastAsia" w:ascii="仿宋" w:hAnsi="仿宋" w:eastAsia="仿宋" w:cs="仿宋"/>
          <w:b/>
          <w:sz w:val="24"/>
          <w:szCs w:val="24"/>
          <w:highlight w:val="none"/>
        </w:rPr>
        <w:t>开户名称：</w:t>
      </w:r>
      <w:r>
        <w:rPr>
          <w:rFonts w:hint="eastAsia" w:ascii="仿宋" w:hAnsi="仿宋" w:eastAsia="仿宋" w:cs="仿宋"/>
          <w:b/>
          <w:sz w:val="24"/>
          <w:szCs w:val="24"/>
          <w:highlight w:val="none"/>
          <w:lang w:val="en-US"/>
        </w:rPr>
        <w:t xml:space="preserve">                              </w:t>
      </w:r>
    </w:p>
    <w:p w14:paraId="3B513D07">
      <w:pPr>
        <w:spacing w:line="560" w:lineRule="exact"/>
        <w:ind w:firstLine="482" w:firstLineChars="200"/>
        <w:rPr>
          <w:rFonts w:hint="eastAsia" w:ascii="仿宋" w:hAnsi="仿宋" w:eastAsia="仿宋" w:cs="仿宋"/>
          <w:b/>
          <w:sz w:val="24"/>
          <w:szCs w:val="24"/>
          <w:highlight w:val="none"/>
          <w:lang w:val="en-US"/>
        </w:rPr>
      </w:pPr>
      <w:r>
        <w:rPr>
          <w:rFonts w:hint="eastAsia" w:ascii="仿宋" w:hAnsi="仿宋" w:eastAsia="仿宋" w:cs="仿宋"/>
          <w:b/>
          <w:sz w:val="24"/>
          <w:szCs w:val="24"/>
          <w:highlight w:val="none"/>
        </w:rPr>
        <w:t>账</w:t>
      </w:r>
      <w:r>
        <w:rPr>
          <w:rFonts w:hint="eastAsia" w:ascii="仿宋" w:hAnsi="仿宋" w:eastAsia="仿宋" w:cs="仿宋"/>
          <w:b/>
          <w:sz w:val="24"/>
          <w:szCs w:val="24"/>
          <w:highlight w:val="none"/>
          <w:lang w:val="en-US"/>
        </w:rPr>
        <w:t xml:space="preserve">    </w:t>
      </w:r>
      <w:r>
        <w:rPr>
          <w:rFonts w:hint="eastAsia" w:ascii="仿宋" w:hAnsi="仿宋" w:eastAsia="仿宋" w:cs="仿宋"/>
          <w:b/>
          <w:sz w:val="24"/>
          <w:szCs w:val="24"/>
          <w:highlight w:val="none"/>
        </w:rPr>
        <w:t>号：</w:t>
      </w:r>
      <w:r>
        <w:rPr>
          <w:rFonts w:hint="eastAsia" w:ascii="仿宋" w:hAnsi="仿宋" w:eastAsia="仿宋" w:cs="仿宋"/>
          <w:b/>
          <w:sz w:val="24"/>
          <w:szCs w:val="24"/>
          <w:highlight w:val="none"/>
          <w:lang w:val="en-US"/>
        </w:rPr>
        <w:t xml:space="preserve">                             </w:t>
      </w:r>
    </w:p>
    <w:p w14:paraId="7712B2BE">
      <w:pPr>
        <w:spacing w:line="560" w:lineRule="exact"/>
        <w:ind w:firstLine="482" w:firstLineChars="200"/>
        <w:rPr>
          <w:rFonts w:hint="eastAsia" w:ascii="仿宋" w:hAnsi="仿宋" w:eastAsia="仿宋" w:cs="仿宋"/>
          <w:b/>
          <w:sz w:val="24"/>
          <w:szCs w:val="24"/>
          <w:highlight w:val="none"/>
          <w:u w:val="single"/>
          <w:lang w:val="en-US"/>
        </w:rPr>
      </w:pPr>
      <w:r>
        <w:rPr>
          <w:rFonts w:hint="eastAsia" w:ascii="仿宋" w:hAnsi="仿宋" w:eastAsia="仿宋" w:cs="仿宋"/>
          <w:b/>
          <w:sz w:val="24"/>
          <w:szCs w:val="24"/>
          <w:highlight w:val="none"/>
        </w:rPr>
        <w:t>开</w:t>
      </w:r>
      <w:r>
        <w:rPr>
          <w:rFonts w:hint="eastAsia" w:ascii="仿宋" w:hAnsi="仿宋" w:eastAsia="仿宋" w:cs="仿宋"/>
          <w:b/>
          <w:sz w:val="24"/>
          <w:szCs w:val="24"/>
          <w:highlight w:val="none"/>
          <w:lang w:val="en-US"/>
        </w:rPr>
        <w:t xml:space="preserve"> </w:t>
      </w:r>
      <w:r>
        <w:rPr>
          <w:rFonts w:hint="eastAsia" w:ascii="仿宋" w:hAnsi="仿宋" w:eastAsia="仿宋" w:cs="仿宋"/>
          <w:b/>
          <w:sz w:val="24"/>
          <w:szCs w:val="24"/>
          <w:highlight w:val="none"/>
        </w:rPr>
        <w:t>户</w:t>
      </w:r>
      <w:r>
        <w:rPr>
          <w:rFonts w:hint="eastAsia" w:ascii="仿宋" w:hAnsi="仿宋" w:eastAsia="仿宋" w:cs="仿宋"/>
          <w:b/>
          <w:sz w:val="24"/>
          <w:szCs w:val="24"/>
          <w:highlight w:val="none"/>
          <w:lang w:val="en-US"/>
        </w:rPr>
        <w:t xml:space="preserve"> </w:t>
      </w:r>
      <w:r>
        <w:rPr>
          <w:rFonts w:hint="eastAsia" w:ascii="仿宋" w:hAnsi="仿宋" w:eastAsia="仿宋" w:cs="仿宋"/>
          <w:b/>
          <w:sz w:val="24"/>
          <w:szCs w:val="24"/>
          <w:highlight w:val="none"/>
        </w:rPr>
        <w:t>行：</w:t>
      </w:r>
      <w:r>
        <w:rPr>
          <w:rFonts w:hint="eastAsia" w:ascii="仿宋" w:hAnsi="仿宋" w:eastAsia="仿宋" w:cs="仿宋"/>
          <w:b/>
          <w:sz w:val="24"/>
          <w:szCs w:val="24"/>
          <w:highlight w:val="none"/>
          <w:lang w:val="en-US"/>
        </w:rPr>
        <w:t xml:space="preserve">                              </w:t>
      </w:r>
    </w:p>
    <w:p w14:paraId="7ED1173B">
      <w:pPr>
        <w:spacing w:line="560" w:lineRule="exact"/>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2.本合同约定价款为含税价，乙方应在甲方付款前提供符合甲方财务做账需求的等额增值税（ 专用发票/普通发票 ），否则甲方有权不予支付且不承担任何违约责任，</w:t>
      </w:r>
      <w:r>
        <w:rPr>
          <w:rFonts w:hint="eastAsia" w:ascii="仿宋" w:hAnsi="仿宋" w:eastAsia="仿宋" w:cs="仿宋"/>
          <w:sz w:val="24"/>
          <w:szCs w:val="24"/>
          <w:highlight w:val="none"/>
          <w:lang w:val="en-US"/>
        </w:rPr>
        <w:t>乙方不得因此拒绝或延迟履行合同义务</w:t>
      </w:r>
      <w:r>
        <w:rPr>
          <w:rFonts w:hint="eastAsia" w:ascii="仿宋" w:hAnsi="仿宋" w:eastAsia="仿宋" w:cs="仿宋"/>
          <w:sz w:val="24"/>
          <w:szCs w:val="24"/>
          <w:highlight w:val="none"/>
        </w:rPr>
        <w:t>。。</w:t>
      </w:r>
    </w:p>
    <w:p w14:paraId="3E61132F">
      <w:pPr>
        <w:spacing w:line="5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w:t>
      </w:r>
      <w:r>
        <w:rPr>
          <w:rFonts w:hint="eastAsia" w:ascii="仿宋" w:hAnsi="仿宋" w:eastAsia="仿宋" w:cs="仿宋"/>
          <w:bCs/>
          <w:sz w:val="24"/>
          <w:szCs w:val="24"/>
          <w:highlight w:val="none"/>
          <w:lang w:val="en-US"/>
        </w:rPr>
        <w:t>交付</w:t>
      </w:r>
      <w:r>
        <w:rPr>
          <w:rFonts w:hint="eastAsia" w:ascii="仿宋" w:hAnsi="仿宋" w:eastAsia="仿宋" w:cs="仿宋"/>
          <w:bCs/>
          <w:sz w:val="24"/>
          <w:szCs w:val="24"/>
          <w:highlight w:val="none"/>
        </w:rPr>
        <w:t>地点、时间</w:t>
      </w:r>
    </w:p>
    <w:p w14:paraId="7E64F2AD">
      <w:pPr>
        <w:pStyle w:val="23"/>
        <w:spacing w:line="560" w:lineRule="exact"/>
        <w:ind w:firstLine="480" w:firstLineChars="200"/>
        <w:outlineLvl w:val="9"/>
        <w:rPr>
          <w:rFonts w:hint="eastAsia" w:ascii="仿宋" w:hAnsi="仿宋" w:eastAsia="仿宋" w:cs="仿宋"/>
          <w:color w:val="auto"/>
          <w:highlight w:val="none"/>
        </w:rPr>
      </w:pPr>
      <w:r>
        <w:rPr>
          <w:rFonts w:hint="eastAsia" w:ascii="仿宋" w:hAnsi="仿宋" w:eastAsia="仿宋" w:cs="仿宋"/>
          <w:color w:val="auto"/>
          <w:highlight w:val="none"/>
        </w:rPr>
        <w:t xml:space="preserve">1.甲方指定的地点：乌鲁木齐市胜利路666号新疆大学（单位名称：    ）；具体以甲方通知时指定地点为准。 </w:t>
      </w:r>
    </w:p>
    <w:p w14:paraId="739B6F06">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 xml:space="preserve">时间：自   </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 xml:space="preserve"> 后 </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 xml:space="preserve"> 天内</w:t>
      </w:r>
      <w:r>
        <w:rPr>
          <w:rFonts w:hint="eastAsia" w:ascii="仿宋" w:hAnsi="仿宋" w:eastAsia="仿宋" w:cs="仿宋"/>
          <w:sz w:val="24"/>
          <w:szCs w:val="24"/>
          <w:highlight w:val="none"/>
          <w:lang w:val="en-US"/>
        </w:rPr>
        <w:t>交付</w:t>
      </w:r>
      <w:r>
        <w:rPr>
          <w:rFonts w:hint="eastAsia" w:ascii="仿宋" w:hAnsi="仿宋" w:eastAsia="仿宋" w:cs="仿宋"/>
          <w:sz w:val="24"/>
          <w:szCs w:val="24"/>
          <w:highlight w:val="none"/>
        </w:rPr>
        <w:t>。</w:t>
      </w:r>
    </w:p>
    <w:p w14:paraId="514D70D8">
      <w:pPr>
        <w:spacing w:line="5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五、产品质量保证</w:t>
      </w:r>
    </w:p>
    <w:p w14:paraId="1D4A0308">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1.乙方保证</w:t>
      </w:r>
      <w:r>
        <w:rPr>
          <w:rFonts w:hint="eastAsia" w:ascii="仿宋" w:hAnsi="仿宋" w:eastAsia="仿宋" w:cs="仿宋"/>
          <w:sz w:val="24"/>
          <w:szCs w:val="24"/>
          <w:highlight w:val="none"/>
          <w:lang w:val="en-US"/>
        </w:rPr>
        <w:t>合同标的物</w:t>
      </w:r>
      <w:r>
        <w:rPr>
          <w:rFonts w:hint="eastAsia" w:ascii="仿宋" w:hAnsi="仿宋" w:eastAsia="仿宋" w:cs="仿宋"/>
          <w:sz w:val="24"/>
          <w:szCs w:val="24"/>
          <w:highlight w:val="none"/>
        </w:rPr>
        <w:t>为全新产品。</w:t>
      </w:r>
    </w:p>
    <w:p w14:paraId="7D17AE7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2.乙方保证</w:t>
      </w:r>
      <w:r>
        <w:rPr>
          <w:rFonts w:hint="eastAsia" w:ascii="仿宋" w:hAnsi="仿宋" w:eastAsia="仿宋" w:cs="仿宋"/>
          <w:sz w:val="24"/>
          <w:szCs w:val="24"/>
          <w:highlight w:val="none"/>
          <w:lang w:val="en-US"/>
        </w:rPr>
        <w:t>合同标的物</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rPr>
        <w:t>名称、</w:t>
      </w:r>
      <w:r>
        <w:rPr>
          <w:rFonts w:hint="eastAsia" w:ascii="仿宋" w:hAnsi="仿宋" w:eastAsia="仿宋" w:cs="仿宋"/>
          <w:sz w:val="24"/>
          <w:szCs w:val="24"/>
          <w:highlight w:val="none"/>
        </w:rPr>
        <w:t>型号、数量、规格及技术、质量标准、售后服务必须满足招标文件要求。</w:t>
      </w:r>
    </w:p>
    <w:p w14:paraId="795B2F6D">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3.乙方保证合同标的物按国家标准要求制作，质量完全满足</w:t>
      </w:r>
      <w:r>
        <w:rPr>
          <w:rFonts w:hint="eastAsia" w:ascii="仿宋" w:hAnsi="仿宋" w:eastAsia="仿宋" w:cs="仿宋"/>
          <w:sz w:val="24"/>
          <w:szCs w:val="24"/>
          <w:highlight w:val="none"/>
          <w:lang w:val="en-US"/>
        </w:rPr>
        <w:t>甲方</w:t>
      </w:r>
      <w:r>
        <w:rPr>
          <w:rFonts w:hint="eastAsia" w:ascii="仿宋" w:hAnsi="仿宋" w:eastAsia="仿宋" w:cs="仿宋"/>
          <w:sz w:val="24"/>
          <w:szCs w:val="24"/>
          <w:highlight w:val="none"/>
        </w:rPr>
        <w:t>的要求并能满足甲方的使用需求。</w:t>
      </w:r>
    </w:p>
    <w:p w14:paraId="0A7AAFC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4.乙方的安装调试人员有义务对甲方维修人员及使用人员进行免费培训，确保维修人员能对合同标的物进行日常维护和一般性故障的查找及故障的排除，确保使用人员能够熟练掌握合同标的物的各项功能和操作。</w:t>
      </w:r>
    </w:p>
    <w:p w14:paraId="6748FC40">
      <w:pPr>
        <w:spacing w:line="5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六、质量保证期</w:t>
      </w:r>
    </w:p>
    <w:p w14:paraId="7B5A2FA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1.合同标的物质保期见</w:t>
      </w:r>
      <w:r>
        <w:rPr>
          <w:rFonts w:hint="eastAsia" w:ascii="仿宋" w:hAnsi="仿宋" w:eastAsia="仿宋" w:cs="仿宋"/>
          <w:sz w:val="24"/>
          <w:szCs w:val="24"/>
          <w:highlight w:val="none"/>
          <w:lang w:val="en-US"/>
        </w:rPr>
        <w:t>合同标的物</w:t>
      </w:r>
      <w:r>
        <w:rPr>
          <w:rFonts w:hint="eastAsia" w:ascii="仿宋" w:hAnsi="仿宋" w:eastAsia="仿宋" w:cs="仿宋"/>
          <w:sz w:val="24"/>
          <w:szCs w:val="24"/>
          <w:highlight w:val="none"/>
        </w:rPr>
        <w:t>明细表，具体质保期以生产厂家提供的质保期为准。生产厂家提供的质保期少于</w:t>
      </w:r>
      <w:r>
        <w:rPr>
          <w:rFonts w:hint="eastAsia" w:ascii="仿宋" w:hAnsi="仿宋" w:eastAsia="仿宋" w:cs="仿宋"/>
          <w:sz w:val="24"/>
          <w:szCs w:val="24"/>
          <w:highlight w:val="none"/>
          <w:lang w:val="en-US"/>
        </w:rPr>
        <w:t>明细表中</w:t>
      </w:r>
      <w:r>
        <w:rPr>
          <w:rFonts w:hint="eastAsia" w:ascii="仿宋" w:hAnsi="仿宋" w:eastAsia="仿宋" w:cs="仿宋"/>
          <w:sz w:val="24"/>
          <w:szCs w:val="24"/>
          <w:highlight w:val="none"/>
        </w:rPr>
        <w:t>质保期的，以</w:t>
      </w:r>
      <w:r>
        <w:rPr>
          <w:rFonts w:hint="eastAsia" w:ascii="仿宋" w:hAnsi="仿宋" w:eastAsia="仿宋" w:cs="仿宋"/>
          <w:sz w:val="24"/>
          <w:szCs w:val="24"/>
          <w:highlight w:val="none"/>
          <w:lang w:val="en-US"/>
        </w:rPr>
        <w:t>明细表中质保期</w:t>
      </w:r>
      <w:r>
        <w:rPr>
          <w:rFonts w:hint="eastAsia" w:ascii="仿宋" w:hAnsi="仿宋" w:eastAsia="仿宋" w:cs="仿宋"/>
          <w:sz w:val="24"/>
          <w:szCs w:val="24"/>
          <w:highlight w:val="none"/>
        </w:rPr>
        <w:t>为准；生产厂家提供的质保期长于</w:t>
      </w:r>
      <w:r>
        <w:rPr>
          <w:rFonts w:hint="eastAsia" w:ascii="仿宋" w:hAnsi="仿宋" w:eastAsia="仿宋" w:cs="仿宋"/>
          <w:sz w:val="24"/>
          <w:szCs w:val="24"/>
          <w:highlight w:val="none"/>
          <w:lang w:val="en-US"/>
        </w:rPr>
        <w:t>明细表中</w:t>
      </w:r>
      <w:r>
        <w:rPr>
          <w:rFonts w:hint="eastAsia" w:ascii="仿宋" w:hAnsi="仿宋" w:eastAsia="仿宋" w:cs="仿宋"/>
          <w:sz w:val="24"/>
          <w:szCs w:val="24"/>
          <w:highlight w:val="none"/>
        </w:rPr>
        <w:t>质保期的，以生产厂家提供的质保期为准。在质量保证期内，因产品质量出现问题，乙方负责免费维修或更换</w:t>
      </w:r>
      <w:r>
        <w:rPr>
          <w:rFonts w:hint="eastAsia" w:ascii="仿宋" w:hAnsi="仿宋" w:eastAsia="仿宋" w:cs="仿宋"/>
          <w:sz w:val="24"/>
          <w:szCs w:val="24"/>
          <w:highlight w:val="none"/>
          <w:lang w:val="en-US"/>
        </w:rPr>
        <w:t>新合同标的物</w:t>
      </w:r>
      <w:r>
        <w:rPr>
          <w:rFonts w:hint="eastAsia" w:ascii="仿宋" w:hAnsi="仿宋" w:eastAsia="仿宋" w:cs="仿宋"/>
          <w:sz w:val="24"/>
          <w:szCs w:val="24"/>
          <w:highlight w:val="none"/>
        </w:rPr>
        <w:t>，并承担与维修和更换相关的运费、安装、调试、保险等一切费用。超过质保期后只收取更换部件成本费用，不收取服务费。</w:t>
      </w:r>
    </w:p>
    <w:p w14:paraId="16B83DE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rPr>
        <w:t>质保期自甲方书面验收合格之日起计算，</w:t>
      </w:r>
      <w:r>
        <w:rPr>
          <w:rFonts w:hint="eastAsia" w:ascii="仿宋" w:hAnsi="仿宋" w:eastAsia="仿宋" w:cs="仿宋"/>
          <w:sz w:val="24"/>
          <w:szCs w:val="24"/>
          <w:highlight w:val="none"/>
        </w:rPr>
        <w:t>质保期内，如</w:t>
      </w:r>
      <w:r>
        <w:rPr>
          <w:rFonts w:hint="eastAsia" w:ascii="仿宋" w:hAnsi="仿宋" w:eastAsia="仿宋" w:cs="仿宋"/>
          <w:sz w:val="24"/>
          <w:szCs w:val="24"/>
          <w:highlight w:val="none"/>
          <w:lang w:val="en-US"/>
        </w:rPr>
        <w:t>合同标的物</w:t>
      </w:r>
      <w:r>
        <w:rPr>
          <w:rFonts w:hint="eastAsia" w:ascii="仿宋" w:hAnsi="仿宋" w:eastAsia="仿宋" w:cs="仿宋"/>
          <w:sz w:val="24"/>
          <w:szCs w:val="24"/>
          <w:highlight w:val="none"/>
        </w:rPr>
        <w:t>发生质量问题，乙方应在</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小时内到场进行维修。乙方接到甲方通知后未依照约定时间到场的，甲方有权另行聘请专业人员进行维修，产生的合理费用在剩余的合同总金额的5%货款中予以扣除，不足部分，乙方应予以补足。</w:t>
      </w:r>
    </w:p>
    <w:p w14:paraId="28FA6C9A">
      <w:pPr>
        <w:spacing w:line="5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七、技术资料</w:t>
      </w:r>
    </w:p>
    <w:p w14:paraId="1C17D70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乙方需向甲方提供下述资料：所供合同标的物的型号、规格、数量及生产厂家的产品检验证书、出厂检验报告、使用说明书等。</w:t>
      </w:r>
    </w:p>
    <w:p w14:paraId="7F84E056">
      <w:pPr>
        <w:spacing w:line="5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八、包装及验收</w:t>
      </w:r>
    </w:p>
    <w:p w14:paraId="3032075F">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1.所提供合同标的物必须进行</w:t>
      </w:r>
      <w:r>
        <w:rPr>
          <w:rFonts w:hint="eastAsia" w:ascii="仿宋" w:hAnsi="仿宋" w:eastAsia="仿宋" w:cs="仿宋"/>
          <w:sz w:val="24"/>
          <w:szCs w:val="24"/>
          <w:highlight w:val="none"/>
          <w:lang w:val="en-US"/>
        </w:rPr>
        <w:t>合理</w:t>
      </w:r>
      <w:r>
        <w:rPr>
          <w:rFonts w:hint="eastAsia" w:ascii="仿宋" w:hAnsi="仿宋" w:eastAsia="仿宋" w:cs="仿宋"/>
          <w:sz w:val="24"/>
          <w:szCs w:val="24"/>
          <w:highlight w:val="none"/>
        </w:rPr>
        <w:t>包装，免收包装费，包装物不回收。</w:t>
      </w:r>
    </w:p>
    <w:p w14:paraId="46F9534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2.因包装原因造成</w:t>
      </w:r>
      <w:r>
        <w:rPr>
          <w:rFonts w:hint="eastAsia" w:ascii="仿宋" w:hAnsi="仿宋" w:eastAsia="仿宋" w:cs="仿宋"/>
          <w:sz w:val="24"/>
          <w:szCs w:val="24"/>
          <w:highlight w:val="none"/>
          <w:lang w:val="en-US"/>
        </w:rPr>
        <w:t>合同标的物</w:t>
      </w:r>
      <w:r>
        <w:rPr>
          <w:rFonts w:hint="eastAsia" w:ascii="仿宋" w:hAnsi="仿宋" w:eastAsia="仿宋" w:cs="仿宋"/>
          <w:sz w:val="24"/>
          <w:szCs w:val="24"/>
          <w:highlight w:val="none"/>
        </w:rPr>
        <w:t>在运输过程中丢失、损坏，乙方承担全部责任。</w:t>
      </w:r>
    </w:p>
    <w:p w14:paraId="77773D7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3.验收标准：按甲方规定的</w:t>
      </w:r>
      <w:r>
        <w:rPr>
          <w:rFonts w:hint="eastAsia" w:ascii="仿宋" w:hAnsi="仿宋" w:eastAsia="仿宋" w:cs="仿宋"/>
          <w:sz w:val="24"/>
          <w:szCs w:val="24"/>
          <w:highlight w:val="none"/>
          <w:lang w:val="en-US"/>
        </w:rPr>
        <w:t>名称、</w:t>
      </w:r>
      <w:r>
        <w:rPr>
          <w:rFonts w:hint="eastAsia" w:ascii="仿宋" w:hAnsi="仿宋" w:eastAsia="仿宋" w:cs="仿宋"/>
          <w:sz w:val="24"/>
          <w:szCs w:val="24"/>
          <w:highlight w:val="none"/>
        </w:rPr>
        <w:t>型号、技术参数、数量、</w:t>
      </w:r>
      <w:r>
        <w:rPr>
          <w:rFonts w:hint="eastAsia" w:ascii="仿宋" w:hAnsi="仿宋" w:eastAsia="仿宋" w:cs="仿宋"/>
          <w:sz w:val="24"/>
          <w:szCs w:val="24"/>
          <w:highlight w:val="none"/>
          <w:lang w:val="en-US"/>
        </w:rPr>
        <w:t>生产日期、</w:t>
      </w:r>
      <w:r>
        <w:rPr>
          <w:rFonts w:hint="eastAsia" w:ascii="仿宋" w:hAnsi="仿宋" w:eastAsia="仿宋" w:cs="仿宋"/>
          <w:sz w:val="24"/>
          <w:szCs w:val="24"/>
          <w:highlight w:val="none"/>
        </w:rPr>
        <w:t>产地，并根据制造商的《产品合格证》《出厂清单》《技术文件》</w:t>
      </w:r>
      <w:r>
        <w:rPr>
          <w:rFonts w:hint="eastAsia" w:ascii="仿宋" w:hAnsi="仿宋" w:eastAsia="仿宋" w:cs="仿宋"/>
          <w:sz w:val="24"/>
          <w:szCs w:val="24"/>
          <w:highlight w:val="none"/>
          <w:lang w:val="en-US"/>
        </w:rPr>
        <w:t>等</w:t>
      </w:r>
      <w:r>
        <w:rPr>
          <w:rFonts w:hint="eastAsia" w:ascii="仿宋" w:hAnsi="仿宋" w:eastAsia="仿宋" w:cs="仿宋"/>
          <w:sz w:val="24"/>
          <w:szCs w:val="24"/>
          <w:highlight w:val="none"/>
        </w:rPr>
        <w:t>进行现场验收，并由甲、乙双方签署验收报告。如有异议，各方应当在验收后七天内以书面形式通知对方。验收合格后由甲方提供</w:t>
      </w:r>
      <w:r>
        <w:rPr>
          <w:rFonts w:hint="eastAsia" w:ascii="仿宋" w:hAnsi="仿宋" w:eastAsia="仿宋" w:cs="仿宋"/>
          <w:sz w:val="24"/>
          <w:szCs w:val="24"/>
          <w:highlight w:val="none"/>
          <w:lang w:val="en-US"/>
        </w:rPr>
        <w:t>合同标的物</w:t>
      </w:r>
      <w:r>
        <w:rPr>
          <w:rFonts w:hint="eastAsia" w:ascii="仿宋" w:hAnsi="仿宋" w:eastAsia="仿宋" w:cs="仿宋"/>
          <w:sz w:val="24"/>
          <w:szCs w:val="24"/>
          <w:highlight w:val="none"/>
        </w:rPr>
        <w:t>存放地点，并负责合同标的物的保管和安全。</w:t>
      </w:r>
    </w:p>
    <w:p w14:paraId="50BB533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4.验收期限：甲方需在乙方交货后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日内完成验收，如遇特殊情况，双方应另行协商</w:t>
      </w:r>
      <w:r>
        <w:rPr>
          <w:rFonts w:hint="eastAsia" w:ascii="仿宋" w:hAnsi="仿宋" w:eastAsia="仿宋" w:cs="仿宋"/>
          <w:sz w:val="24"/>
          <w:szCs w:val="24"/>
          <w:highlight w:val="none"/>
          <w:lang w:val="en-US"/>
        </w:rPr>
        <w:t>确定</w:t>
      </w:r>
      <w:r>
        <w:rPr>
          <w:rFonts w:hint="eastAsia" w:ascii="仿宋" w:hAnsi="仿宋" w:eastAsia="仿宋" w:cs="仿宋"/>
          <w:sz w:val="24"/>
          <w:szCs w:val="24"/>
          <w:highlight w:val="none"/>
        </w:rPr>
        <w:t>验收时间。</w:t>
      </w:r>
    </w:p>
    <w:p w14:paraId="05F3119C">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5</w:t>
      </w:r>
      <w:r>
        <w:rPr>
          <w:rFonts w:hint="eastAsia" w:ascii="仿宋" w:hAnsi="仿宋" w:eastAsia="仿宋" w:cs="仿宋"/>
          <w:sz w:val="24"/>
          <w:szCs w:val="24"/>
          <w:highlight w:val="none"/>
        </w:rPr>
        <w:t>.合同标的物风险自通过甲方书面验收并交付甲方之后转移。</w:t>
      </w:r>
    </w:p>
    <w:p w14:paraId="345C4253">
      <w:pPr>
        <w:spacing w:line="5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九、甲、乙双方的权利及义务</w:t>
      </w:r>
    </w:p>
    <w:p w14:paraId="254B6E80">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1.若甲方对合同标的物有任何更改，包括合同标的物</w:t>
      </w:r>
      <w:r>
        <w:rPr>
          <w:rFonts w:hint="eastAsia" w:ascii="仿宋" w:hAnsi="仿宋" w:eastAsia="仿宋" w:cs="仿宋"/>
          <w:sz w:val="24"/>
          <w:szCs w:val="24"/>
          <w:highlight w:val="none"/>
          <w:lang w:val="en-US"/>
        </w:rPr>
        <w:t>名称、</w:t>
      </w:r>
      <w:r>
        <w:rPr>
          <w:rFonts w:hint="eastAsia" w:ascii="仿宋" w:hAnsi="仿宋" w:eastAsia="仿宋" w:cs="仿宋"/>
          <w:sz w:val="24"/>
          <w:szCs w:val="24"/>
          <w:highlight w:val="none"/>
        </w:rPr>
        <w:t>型号、品种、规格、数量、颜色、</w:t>
      </w:r>
      <w:r>
        <w:rPr>
          <w:rFonts w:hint="eastAsia" w:ascii="仿宋" w:hAnsi="仿宋" w:eastAsia="仿宋" w:cs="仿宋"/>
          <w:sz w:val="24"/>
          <w:szCs w:val="24"/>
          <w:highlight w:val="none"/>
          <w:lang w:val="en-US"/>
        </w:rPr>
        <w:t>交付时间</w:t>
      </w:r>
      <w:r>
        <w:rPr>
          <w:rFonts w:hint="eastAsia" w:ascii="仿宋" w:hAnsi="仿宋" w:eastAsia="仿宋" w:cs="仿宋"/>
          <w:sz w:val="24"/>
          <w:szCs w:val="24"/>
          <w:highlight w:val="none"/>
        </w:rPr>
        <w:t>等事宜，应书面通知乙方，</w:t>
      </w:r>
      <w:r>
        <w:rPr>
          <w:rFonts w:hint="eastAsia" w:ascii="仿宋" w:hAnsi="仿宋" w:eastAsia="仿宋" w:cs="仿宋"/>
          <w:sz w:val="24"/>
          <w:szCs w:val="24"/>
          <w:highlight w:val="none"/>
          <w:lang w:val="en-US"/>
        </w:rPr>
        <w:t>交付时间</w:t>
      </w:r>
      <w:r>
        <w:rPr>
          <w:rFonts w:hint="eastAsia" w:ascii="仿宋" w:hAnsi="仿宋" w:eastAsia="仿宋" w:cs="仿宋"/>
          <w:sz w:val="24"/>
          <w:szCs w:val="24"/>
          <w:highlight w:val="none"/>
        </w:rPr>
        <w:t>从变更之日起顺延。若乙方接到通知后不予更改，由此造成的甲方损失，由乙方承担。</w:t>
      </w:r>
    </w:p>
    <w:p w14:paraId="6BA8842C">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2.若乙方在交</w:t>
      </w:r>
      <w:r>
        <w:rPr>
          <w:rFonts w:hint="eastAsia" w:ascii="仿宋" w:hAnsi="仿宋" w:eastAsia="仿宋" w:cs="仿宋"/>
          <w:sz w:val="24"/>
          <w:szCs w:val="24"/>
          <w:highlight w:val="none"/>
          <w:lang w:val="en-US"/>
        </w:rPr>
        <w:t>付</w:t>
      </w:r>
      <w:r>
        <w:rPr>
          <w:rFonts w:hint="eastAsia" w:ascii="仿宋" w:hAnsi="仿宋" w:eastAsia="仿宋" w:cs="仿宋"/>
          <w:sz w:val="24"/>
          <w:szCs w:val="24"/>
          <w:highlight w:val="none"/>
        </w:rPr>
        <w:t>时，由于甲方的原因或要求，不能及时将合同标的物送达指定地点和验收时，则</w:t>
      </w:r>
      <w:r>
        <w:rPr>
          <w:rFonts w:hint="eastAsia" w:ascii="仿宋" w:hAnsi="仿宋" w:eastAsia="仿宋" w:cs="仿宋"/>
          <w:sz w:val="24"/>
          <w:szCs w:val="24"/>
          <w:highlight w:val="none"/>
          <w:lang w:val="en-US"/>
        </w:rPr>
        <w:t>乙</w:t>
      </w:r>
      <w:r>
        <w:rPr>
          <w:rFonts w:hint="eastAsia" w:ascii="仿宋" w:hAnsi="仿宋" w:eastAsia="仿宋" w:cs="仿宋"/>
          <w:sz w:val="24"/>
          <w:szCs w:val="24"/>
          <w:highlight w:val="none"/>
        </w:rPr>
        <w:t>方</w:t>
      </w:r>
      <w:r>
        <w:rPr>
          <w:rFonts w:hint="eastAsia" w:ascii="仿宋" w:hAnsi="仿宋" w:eastAsia="仿宋" w:cs="仿宋"/>
          <w:sz w:val="24"/>
          <w:szCs w:val="24"/>
          <w:highlight w:val="none"/>
          <w:lang w:val="en-US"/>
        </w:rPr>
        <w:t>可按甲方要求延期交货，甲方向乙方出具</w:t>
      </w:r>
      <w:r>
        <w:rPr>
          <w:rFonts w:hint="eastAsia" w:ascii="仿宋" w:hAnsi="仿宋" w:eastAsia="仿宋" w:cs="仿宋"/>
          <w:sz w:val="24"/>
          <w:szCs w:val="24"/>
          <w:highlight w:val="none"/>
        </w:rPr>
        <w:t>书面确认书。</w:t>
      </w:r>
    </w:p>
    <w:p w14:paraId="5122B257">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3.若甲方在验收后的质量保证期内，发现合同标的物</w:t>
      </w:r>
      <w:r>
        <w:rPr>
          <w:rFonts w:hint="eastAsia" w:ascii="仿宋" w:hAnsi="仿宋" w:eastAsia="仿宋" w:cs="仿宋"/>
          <w:sz w:val="24"/>
          <w:szCs w:val="24"/>
          <w:highlight w:val="none"/>
          <w:lang w:val="en-US"/>
        </w:rPr>
        <w:t>出现</w:t>
      </w:r>
      <w:r>
        <w:rPr>
          <w:rFonts w:hint="eastAsia" w:ascii="仿宋" w:hAnsi="仿宋" w:eastAsia="仿宋" w:cs="仿宋"/>
          <w:sz w:val="24"/>
          <w:szCs w:val="24"/>
          <w:highlight w:val="none"/>
        </w:rPr>
        <w:t>质量问题，应及时通知乙方，若需要更换时，乙方应在接到通知后10天内给予更换。</w:t>
      </w:r>
    </w:p>
    <w:p w14:paraId="2193156F">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4.合同标的物需安装调试的，乙方提供免费的安装调试。</w:t>
      </w:r>
    </w:p>
    <w:p w14:paraId="05C9DFB5">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5.乙方对售予甲方的合同标的物提供的质量保证期的质量保证范围，不包括意外事件、不可抗力原因及甲方的违规使用。</w:t>
      </w:r>
    </w:p>
    <w:p w14:paraId="387BB775">
      <w:pPr>
        <w:spacing w:line="560" w:lineRule="exact"/>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十、合同变更、违约及其它</w:t>
      </w:r>
    </w:p>
    <w:p w14:paraId="24FC6FC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1.合同经甲、乙双方法定代表人或授权代理人签字（盖章）并加盖单位公章后立即生效。</w:t>
      </w:r>
    </w:p>
    <w:p w14:paraId="70402C95">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合同的变更需甲、乙双方协商一致签订补充协议，并由法定代表人或授权代理人签字（盖章）且加盖单位公章后立即生效。补充协议与本合同具有同等法律效力，补充协议与本合同内容不一致的，以补充协议为准。</w:t>
      </w:r>
    </w:p>
    <w:p w14:paraId="3E97ABC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2.乙方必须在本合同规定的时间内按时交货，否则由乙方负责承担全部责任。乙方逾期交货的，按日承担合同总额千分之五的违约金；逾期交货超过</w:t>
      </w:r>
      <w:r>
        <w:rPr>
          <w:rFonts w:hint="eastAsia" w:ascii="仿宋" w:hAnsi="仿宋" w:eastAsia="仿宋" w:cs="仿宋"/>
          <w:sz w:val="24"/>
          <w:szCs w:val="24"/>
          <w:highlight w:val="none"/>
          <w:lang w:val="en-US"/>
        </w:rPr>
        <w:t>7</w:t>
      </w:r>
      <w:r>
        <w:rPr>
          <w:rFonts w:hint="eastAsia" w:ascii="仿宋" w:hAnsi="仿宋" w:eastAsia="仿宋" w:cs="仿宋"/>
          <w:sz w:val="24"/>
          <w:szCs w:val="24"/>
          <w:highlight w:val="none"/>
        </w:rPr>
        <w:t>天的，甲方有权单方解除合同，乙方除退还</w:t>
      </w:r>
      <w:r>
        <w:rPr>
          <w:rFonts w:hint="eastAsia" w:ascii="仿宋" w:hAnsi="仿宋" w:eastAsia="仿宋" w:cs="仿宋"/>
          <w:sz w:val="24"/>
          <w:szCs w:val="24"/>
          <w:highlight w:val="none"/>
          <w:lang w:val="en-US"/>
        </w:rPr>
        <w:t>全部货</w:t>
      </w:r>
      <w:r>
        <w:rPr>
          <w:rFonts w:hint="eastAsia" w:ascii="仿宋" w:hAnsi="仿宋" w:eastAsia="仿宋" w:cs="仿宋"/>
          <w:sz w:val="24"/>
          <w:szCs w:val="24"/>
          <w:highlight w:val="none"/>
        </w:rPr>
        <w:t>款（</w:t>
      </w:r>
      <w:r>
        <w:rPr>
          <w:rFonts w:hint="eastAsia" w:ascii="仿宋" w:hAnsi="仿宋" w:eastAsia="仿宋" w:cs="仿宋"/>
          <w:sz w:val="24"/>
          <w:szCs w:val="24"/>
          <w:highlight w:val="none"/>
          <w:lang w:val="en-US"/>
        </w:rPr>
        <w:t>包含预付款</w:t>
      </w:r>
      <w:r>
        <w:rPr>
          <w:rFonts w:hint="eastAsia" w:ascii="仿宋" w:hAnsi="仿宋" w:eastAsia="仿宋" w:cs="仿宋"/>
          <w:sz w:val="24"/>
          <w:szCs w:val="24"/>
          <w:highlight w:val="none"/>
        </w:rPr>
        <w:t>）外还应当另行承担合同总额20%的违约金。甲方选择要求重新供货的，乙方逾期送达的，按日承担合同金额千分之五的违约金；逾期超过</w:t>
      </w:r>
      <w:r>
        <w:rPr>
          <w:rFonts w:hint="eastAsia" w:ascii="仿宋" w:hAnsi="仿宋" w:eastAsia="仿宋" w:cs="仿宋"/>
          <w:sz w:val="24"/>
          <w:szCs w:val="24"/>
          <w:highlight w:val="none"/>
          <w:lang w:val="en-US"/>
        </w:rPr>
        <w:t>7</w:t>
      </w:r>
      <w:r>
        <w:rPr>
          <w:rFonts w:hint="eastAsia" w:ascii="仿宋" w:hAnsi="仿宋" w:eastAsia="仿宋" w:cs="仿宋"/>
          <w:sz w:val="24"/>
          <w:szCs w:val="24"/>
          <w:highlight w:val="none"/>
        </w:rPr>
        <w:t>天的，甲方有权单方面解除合同；甲方选择单方解除合同的，乙方除退还</w:t>
      </w:r>
      <w:r>
        <w:rPr>
          <w:rFonts w:hint="eastAsia" w:ascii="仿宋" w:hAnsi="仿宋" w:eastAsia="仿宋" w:cs="仿宋"/>
          <w:sz w:val="24"/>
          <w:szCs w:val="24"/>
          <w:highlight w:val="none"/>
          <w:lang w:val="en-US"/>
        </w:rPr>
        <w:t>全部货</w:t>
      </w:r>
      <w:r>
        <w:rPr>
          <w:rFonts w:hint="eastAsia" w:ascii="仿宋" w:hAnsi="仿宋" w:eastAsia="仿宋" w:cs="仿宋"/>
          <w:sz w:val="24"/>
          <w:szCs w:val="24"/>
          <w:highlight w:val="none"/>
        </w:rPr>
        <w:t>款（</w:t>
      </w:r>
      <w:r>
        <w:rPr>
          <w:rFonts w:hint="eastAsia" w:ascii="仿宋" w:hAnsi="仿宋" w:eastAsia="仿宋" w:cs="仿宋"/>
          <w:sz w:val="24"/>
          <w:szCs w:val="24"/>
          <w:highlight w:val="none"/>
          <w:lang w:val="en-US"/>
        </w:rPr>
        <w:t>包含预付款</w:t>
      </w:r>
      <w:r>
        <w:rPr>
          <w:rFonts w:hint="eastAsia" w:ascii="仿宋" w:hAnsi="仿宋" w:eastAsia="仿宋" w:cs="仿宋"/>
          <w:sz w:val="24"/>
          <w:szCs w:val="24"/>
          <w:highlight w:val="none"/>
        </w:rPr>
        <w:t>）外还应当另行承担合同总额</w:t>
      </w: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0%的违约金。</w:t>
      </w:r>
    </w:p>
    <w:p w14:paraId="2442D44E">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乙方提供的产品或服务不符合合同约定的，甲方有权选择要求乙方重新供货或单方解除合同。甲方选择要求重新供货的，乙方逾期送达的，按照本条上一款承担违约责任；甲方选择单方解除合同的，按照本条上一款承担违约责任。合同生效后，乙方中途废止合同（不可抗力原因除外），应按给甲方造成的损失向甲方支付赔偿金，并向甲方支付合同总金额20%的违约金；甲方中途废止合同（不可抗力原因除外），应按实际损失向乙方支付赔偿金，向乙方支付合同总金额10%的违约金。</w:t>
      </w:r>
    </w:p>
    <w:p w14:paraId="4FB4B041">
      <w:pPr>
        <w:pStyle w:val="23"/>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除不可抗力及乙方违约外，如果甲方没有按照本合同约定的付款方式付款，应事先告知乙方，并征得乙方同意，否则甲方应向乙方支付违约金，每迟延付款一日，违约金就应付未付款按全国银行间同业拆借中心公布的贷款市场报价利率计算，违约金数额不得超过应付未付金额的10%。</w:t>
      </w:r>
    </w:p>
    <w:p w14:paraId="7458287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5</w:t>
      </w:r>
      <w:r>
        <w:rPr>
          <w:rFonts w:hint="eastAsia" w:ascii="仿宋" w:hAnsi="仿宋" w:eastAsia="仿宋" w:cs="仿宋"/>
          <w:sz w:val="24"/>
          <w:szCs w:val="24"/>
          <w:highlight w:val="none"/>
        </w:rPr>
        <w:t>.合同文本不得涂改，如需修改应在合同附件中注明。经甲、乙双方协商达成一致修改意见，需经甲、乙双方代表共同签署此附件，方能生效。</w:t>
      </w:r>
    </w:p>
    <w:p w14:paraId="3A0DA104">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6</w:t>
      </w:r>
      <w:r>
        <w:rPr>
          <w:rFonts w:hint="eastAsia" w:ascii="仿宋" w:hAnsi="仿宋" w:eastAsia="仿宋" w:cs="仿宋"/>
          <w:sz w:val="24"/>
          <w:szCs w:val="24"/>
          <w:highlight w:val="none"/>
        </w:rPr>
        <w:t>.本合同根据20  年  月   日由         组织的招标文件编号为         招标会的招投标结果签订。招标文件、投标文件、询价文件、报价文件及谈判会议上的答疑记录等均作为合同的附件，是本合同不可分割的组成部分，均与本合同具有同等法律效力，本合同未述及和不详之处，以附件为准。</w:t>
      </w:r>
    </w:p>
    <w:p w14:paraId="71185FC1">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7</w:t>
      </w:r>
      <w:r>
        <w:rPr>
          <w:rFonts w:hint="eastAsia" w:ascii="仿宋" w:hAnsi="仿宋" w:eastAsia="仿宋" w:cs="仿宋"/>
          <w:sz w:val="24"/>
          <w:szCs w:val="24"/>
          <w:highlight w:val="none"/>
        </w:rPr>
        <w:t>.甲、乙双方发生争议时，应先协商解决，经协商不能达成</w:t>
      </w:r>
      <w:r>
        <w:rPr>
          <w:rFonts w:hint="eastAsia" w:ascii="仿宋" w:hAnsi="仿宋" w:eastAsia="仿宋" w:cs="仿宋"/>
          <w:sz w:val="24"/>
          <w:szCs w:val="24"/>
          <w:highlight w:val="none"/>
          <w:lang w:val="en-US"/>
        </w:rPr>
        <w:t>一致</w:t>
      </w:r>
      <w:r>
        <w:rPr>
          <w:rFonts w:hint="eastAsia" w:ascii="仿宋" w:hAnsi="仿宋" w:eastAsia="仿宋" w:cs="仿宋"/>
          <w:sz w:val="24"/>
          <w:szCs w:val="24"/>
          <w:highlight w:val="none"/>
        </w:rPr>
        <w:t>时，任何一方均可向甲方所在地人民法院提起诉讼。</w:t>
      </w:r>
    </w:p>
    <w:p w14:paraId="302B2953">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8.</w:t>
      </w:r>
      <w:r>
        <w:rPr>
          <w:rFonts w:hint="eastAsia" w:ascii="仿宋" w:hAnsi="仿宋" w:eastAsia="仿宋" w:cs="仿宋"/>
          <w:sz w:val="24"/>
          <w:szCs w:val="24"/>
          <w:highlight w:val="none"/>
        </w:rPr>
        <w:t>合同一式陆份，甲方执叁份，乙方执叁份。</w:t>
      </w:r>
    </w:p>
    <w:p w14:paraId="66473D6D">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rPr>
        <w:t>9.</w:t>
      </w:r>
      <w:r>
        <w:rPr>
          <w:rFonts w:hint="eastAsia" w:ascii="仿宋" w:hAnsi="仿宋" w:eastAsia="仿宋" w:cs="仿宋"/>
          <w:sz w:val="24"/>
          <w:szCs w:val="24"/>
          <w:highlight w:val="none"/>
        </w:rPr>
        <w:t>乙方向甲方提供专业的售后服务工程师并提供专人长期驻扎甲方（发生的所有相关费用均由乙方自行承担），保证第一时间解决问题。</w:t>
      </w:r>
    </w:p>
    <w:p w14:paraId="6142A28F">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0.</w:t>
      </w:r>
      <w:r>
        <w:rPr>
          <w:rFonts w:hint="eastAsia" w:ascii="仿宋" w:hAnsi="仿宋" w:eastAsia="仿宋" w:cs="仿宋"/>
          <w:sz w:val="24"/>
          <w:szCs w:val="24"/>
          <w:highlight w:val="none"/>
        </w:rPr>
        <w:t>一方违约，还应赔偿守约方因此遭受的其他损失，包括为主张权益所支付的律师费、交通费、公证费、</w:t>
      </w:r>
      <w:r>
        <w:rPr>
          <w:rFonts w:hint="eastAsia" w:ascii="仿宋" w:hAnsi="仿宋" w:eastAsia="仿宋" w:cs="仿宋"/>
          <w:sz w:val="24"/>
          <w:szCs w:val="24"/>
          <w:highlight w:val="none"/>
          <w:lang w:val="en-US"/>
        </w:rPr>
        <w:t>保全费、</w:t>
      </w:r>
      <w:r>
        <w:rPr>
          <w:rFonts w:hint="eastAsia" w:ascii="仿宋" w:hAnsi="仿宋" w:eastAsia="仿宋" w:cs="仿宋"/>
          <w:sz w:val="24"/>
          <w:szCs w:val="24"/>
          <w:highlight w:val="none"/>
        </w:rPr>
        <w:t>保全保险费、鉴定费、评估费等全部费用。</w:t>
      </w:r>
    </w:p>
    <w:p w14:paraId="206C61C9">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1.</w:t>
      </w:r>
      <w:r>
        <w:rPr>
          <w:rFonts w:hint="eastAsia" w:ascii="仿宋" w:hAnsi="仿宋" w:eastAsia="仿宋" w:cs="仿宋"/>
          <w:sz w:val="24"/>
          <w:szCs w:val="24"/>
          <w:highlight w:val="none"/>
        </w:rPr>
        <w:t>乙方违约的，甲方有权将相应违约金从应给乙方支付的货款中直接予以扣除。</w:t>
      </w:r>
    </w:p>
    <w:p w14:paraId="616F66D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2.</w:t>
      </w:r>
      <w:r>
        <w:rPr>
          <w:rFonts w:hint="eastAsia" w:ascii="仿宋" w:hAnsi="仿宋" w:eastAsia="仿宋" w:cs="仿宋"/>
          <w:sz w:val="24"/>
          <w:szCs w:val="24"/>
          <w:highlight w:val="none"/>
        </w:rPr>
        <w:t>本合同尾部载明的双方地址、电话等信息，系双方有效联系方式，如发生变更，应提前书面通知另一方，否则依该联系方式送达相关文书的，视为送达成功。</w:t>
      </w:r>
    </w:p>
    <w:p w14:paraId="75608BDA">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3.</w:t>
      </w:r>
      <w:r>
        <w:rPr>
          <w:rFonts w:hint="eastAsia" w:ascii="仿宋" w:hAnsi="仿宋" w:eastAsia="仿宋" w:cs="仿宋"/>
          <w:sz w:val="24"/>
          <w:szCs w:val="24"/>
          <w:highlight w:val="none"/>
        </w:rPr>
        <w:t>本协议中所载的书面通知方式仅指当事人亲自送达、挂号信、EMS方式。一方采取当事人亲自送达方式的，另一方有积极配合签收的义务。如一方拒绝签收而使另一方变更送达方式的，由此所</w:t>
      </w:r>
      <w:r>
        <w:rPr>
          <w:rFonts w:hint="eastAsia" w:ascii="仿宋" w:hAnsi="仿宋" w:eastAsia="仿宋" w:cs="仿宋"/>
          <w:sz w:val="24"/>
          <w:szCs w:val="24"/>
          <w:highlight w:val="none"/>
          <w:lang w:val="en-US"/>
        </w:rPr>
        <w:t>产</w:t>
      </w:r>
      <w:r>
        <w:rPr>
          <w:rFonts w:hint="eastAsia" w:ascii="仿宋" w:hAnsi="仿宋" w:eastAsia="仿宋" w:cs="仿宋"/>
          <w:sz w:val="24"/>
          <w:szCs w:val="24"/>
          <w:highlight w:val="none"/>
        </w:rPr>
        <w:t>生的费用应当由违约方承担；如以EMS或快递方式寄送的，如无相反证据证明，自寄送之日起的第三日为送达之日。</w:t>
      </w:r>
    </w:p>
    <w:p w14:paraId="20EFFD4B">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rPr>
        <w:t>4.</w:t>
      </w:r>
      <w:r>
        <w:rPr>
          <w:rFonts w:hint="eastAsia" w:ascii="仿宋" w:hAnsi="仿宋" w:eastAsia="仿宋" w:cs="仿宋"/>
          <w:sz w:val="24"/>
          <w:szCs w:val="24"/>
          <w:highlight w:val="none"/>
        </w:rPr>
        <w:t>未经另外一方的事先书面同意，任何一方均不得向第三方或其关联企业转让本协议项下的权利义务。</w:t>
      </w:r>
    </w:p>
    <w:tbl>
      <w:tblPr>
        <w:tblStyle w:val="18"/>
        <w:tblW w:w="10431" w:type="dxa"/>
        <w:jc w:val="center"/>
        <w:tblLayout w:type="fixed"/>
        <w:tblCellMar>
          <w:top w:w="0" w:type="dxa"/>
          <w:left w:w="108" w:type="dxa"/>
          <w:bottom w:w="0" w:type="dxa"/>
          <w:right w:w="108" w:type="dxa"/>
        </w:tblCellMar>
      </w:tblPr>
      <w:tblGrid>
        <w:gridCol w:w="1504"/>
        <w:gridCol w:w="3112"/>
        <w:gridCol w:w="1665"/>
        <w:gridCol w:w="4150"/>
      </w:tblGrid>
      <w:tr w14:paraId="5B2244D9">
        <w:tblPrEx>
          <w:tblCellMar>
            <w:top w:w="0" w:type="dxa"/>
            <w:left w:w="108" w:type="dxa"/>
            <w:bottom w:w="0" w:type="dxa"/>
            <w:right w:w="108" w:type="dxa"/>
          </w:tblCellMar>
        </w:tblPrEx>
        <w:trPr>
          <w:trHeight w:val="590" w:hRule="atLeast"/>
          <w:jc w:val="center"/>
        </w:trPr>
        <w:tc>
          <w:tcPr>
            <w:tcW w:w="1504" w:type="dxa"/>
            <w:vAlign w:val="center"/>
          </w:tcPr>
          <w:p w14:paraId="2489E16E">
            <w:pPr>
              <w:pStyle w:val="23"/>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w:t>
            </w:r>
          </w:p>
        </w:tc>
        <w:tc>
          <w:tcPr>
            <w:tcW w:w="3112" w:type="dxa"/>
            <w:vAlign w:val="center"/>
          </w:tcPr>
          <w:p w14:paraId="4ADC8B37">
            <w:pPr>
              <w:pStyle w:val="23"/>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c>
          <w:tcPr>
            <w:tcW w:w="1665" w:type="dxa"/>
            <w:vAlign w:val="center"/>
          </w:tcPr>
          <w:p w14:paraId="522B3967">
            <w:pPr>
              <w:pStyle w:val="23"/>
              <w:spacing w:line="560" w:lineRule="exact"/>
              <w:ind w:firstLine="480" w:firstLineChars="200"/>
              <w:jc w:val="distribute"/>
              <w:rPr>
                <w:rFonts w:hint="eastAsia" w:ascii="仿宋" w:hAnsi="仿宋" w:eastAsia="仿宋" w:cs="仿宋"/>
                <w:color w:val="auto"/>
                <w:highlight w:val="none"/>
              </w:rPr>
            </w:pPr>
            <w:r>
              <w:rPr>
                <w:rFonts w:hint="eastAsia" w:ascii="仿宋" w:hAnsi="仿宋" w:eastAsia="仿宋" w:cs="仿宋"/>
                <w:color w:val="auto"/>
                <w:highlight w:val="none"/>
              </w:rPr>
              <w:t>乙方:</w:t>
            </w:r>
          </w:p>
        </w:tc>
        <w:tc>
          <w:tcPr>
            <w:tcW w:w="4150" w:type="dxa"/>
            <w:vAlign w:val="center"/>
          </w:tcPr>
          <w:p w14:paraId="4609BEBC">
            <w:pPr>
              <w:pStyle w:val="23"/>
              <w:spacing w:line="560" w:lineRule="exact"/>
              <w:ind w:firstLine="480" w:firstLineChars="200"/>
              <w:rPr>
                <w:rFonts w:hint="eastAsia" w:ascii="仿宋" w:hAnsi="仿宋" w:eastAsia="仿宋" w:cs="仿宋"/>
                <w:color w:val="auto"/>
                <w:highlight w:val="none"/>
              </w:rPr>
            </w:pPr>
          </w:p>
        </w:tc>
      </w:tr>
      <w:tr w14:paraId="7B9325B2">
        <w:tblPrEx>
          <w:tblCellMar>
            <w:top w:w="0" w:type="dxa"/>
            <w:left w:w="108" w:type="dxa"/>
            <w:bottom w:w="0" w:type="dxa"/>
            <w:right w:w="108" w:type="dxa"/>
          </w:tblCellMar>
        </w:tblPrEx>
        <w:trPr>
          <w:jc w:val="center"/>
        </w:trPr>
        <w:tc>
          <w:tcPr>
            <w:tcW w:w="1504" w:type="dxa"/>
            <w:vAlign w:val="center"/>
          </w:tcPr>
          <w:p w14:paraId="3CB06810">
            <w:pPr>
              <w:pStyle w:val="23"/>
              <w:spacing w:line="560" w:lineRule="exact"/>
              <w:jc w:val="distribute"/>
              <w:rPr>
                <w:rFonts w:hint="eastAsia" w:ascii="仿宋" w:hAnsi="仿宋" w:eastAsia="仿宋" w:cs="仿宋"/>
                <w:color w:val="auto"/>
                <w:highlight w:val="none"/>
              </w:rPr>
            </w:pPr>
            <w:r>
              <w:rPr>
                <w:rFonts w:hint="eastAsia" w:ascii="仿宋" w:hAnsi="仿宋" w:eastAsia="仿宋" w:cs="仿宋"/>
                <w:color w:val="auto"/>
                <w:highlight w:val="none"/>
              </w:rPr>
              <w:t>单位名称：</w:t>
            </w:r>
          </w:p>
          <w:p w14:paraId="7285631F">
            <w:pPr>
              <w:pStyle w:val="23"/>
              <w:spacing w:line="560" w:lineRule="exact"/>
              <w:jc w:val="distribute"/>
              <w:rPr>
                <w:rFonts w:hint="eastAsia" w:ascii="仿宋" w:hAnsi="仿宋" w:eastAsia="仿宋" w:cs="仿宋"/>
                <w:color w:val="auto"/>
                <w:highlight w:val="none"/>
              </w:rPr>
            </w:pPr>
          </w:p>
        </w:tc>
        <w:tc>
          <w:tcPr>
            <w:tcW w:w="3112" w:type="dxa"/>
            <w:vAlign w:val="center"/>
          </w:tcPr>
          <w:p w14:paraId="3E69C2EE">
            <w:pPr>
              <w:pStyle w:val="23"/>
              <w:spacing w:line="560" w:lineRule="exact"/>
              <w:ind w:right="-273" w:rightChars="-124"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新疆大学</w:t>
            </w:r>
          </w:p>
        </w:tc>
        <w:tc>
          <w:tcPr>
            <w:tcW w:w="1665" w:type="dxa"/>
            <w:vAlign w:val="center"/>
          </w:tcPr>
          <w:p w14:paraId="57FC24CA">
            <w:pPr>
              <w:pStyle w:val="23"/>
              <w:spacing w:line="560" w:lineRule="exact"/>
              <w:jc w:val="distribute"/>
              <w:rPr>
                <w:rFonts w:hint="eastAsia" w:ascii="仿宋" w:hAnsi="仿宋" w:eastAsia="仿宋" w:cs="仿宋"/>
                <w:color w:val="auto"/>
                <w:highlight w:val="none"/>
              </w:rPr>
            </w:pPr>
            <w:r>
              <w:rPr>
                <w:rFonts w:hint="eastAsia" w:ascii="仿宋" w:hAnsi="仿宋" w:eastAsia="仿宋" w:cs="仿宋"/>
                <w:color w:val="auto"/>
                <w:highlight w:val="none"/>
              </w:rPr>
              <w:t>单位名称:</w:t>
            </w:r>
          </w:p>
          <w:p w14:paraId="47C80A92">
            <w:pPr>
              <w:pStyle w:val="23"/>
              <w:spacing w:line="560" w:lineRule="exact"/>
              <w:jc w:val="distribute"/>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c>
          <w:tcPr>
            <w:tcW w:w="4150" w:type="dxa"/>
            <w:vAlign w:val="center"/>
          </w:tcPr>
          <w:p w14:paraId="6E556234">
            <w:pPr>
              <w:pStyle w:val="23"/>
              <w:spacing w:line="560" w:lineRule="exact"/>
              <w:ind w:right="-273" w:rightChars="-124"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r w14:paraId="44D96B46">
        <w:tblPrEx>
          <w:tblCellMar>
            <w:top w:w="0" w:type="dxa"/>
            <w:left w:w="108" w:type="dxa"/>
            <w:bottom w:w="0" w:type="dxa"/>
            <w:right w:w="108" w:type="dxa"/>
          </w:tblCellMar>
        </w:tblPrEx>
        <w:trPr>
          <w:jc w:val="center"/>
        </w:trPr>
        <w:tc>
          <w:tcPr>
            <w:tcW w:w="1504" w:type="dxa"/>
            <w:vAlign w:val="center"/>
          </w:tcPr>
          <w:p w14:paraId="6E54A578">
            <w:pPr>
              <w:pStyle w:val="23"/>
              <w:spacing w:line="560" w:lineRule="exact"/>
              <w:jc w:val="distribute"/>
              <w:rPr>
                <w:rFonts w:hint="eastAsia" w:ascii="仿宋" w:hAnsi="仿宋" w:eastAsia="仿宋" w:cs="仿宋"/>
                <w:color w:val="auto"/>
                <w:highlight w:val="none"/>
              </w:rPr>
            </w:pPr>
            <w:r>
              <w:rPr>
                <w:rFonts w:hint="eastAsia" w:ascii="仿宋" w:hAnsi="仿宋" w:eastAsia="仿宋" w:cs="仿宋"/>
                <w:color w:val="auto"/>
                <w:highlight w:val="none"/>
              </w:rPr>
              <w:t>公  章：</w:t>
            </w:r>
          </w:p>
        </w:tc>
        <w:tc>
          <w:tcPr>
            <w:tcW w:w="3112" w:type="dxa"/>
            <w:vAlign w:val="center"/>
          </w:tcPr>
          <w:p w14:paraId="3EF6A9BA">
            <w:pPr>
              <w:pStyle w:val="23"/>
              <w:spacing w:line="560" w:lineRule="exact"/>
              <w:ind w:firstLine="480" w:firstLineChars="200"/>
              <w:rPr>
                <w:rFonts w:hint="eastAsia" w:ascii="仿宋" w:hAnsi="仿宋" w:eastAsia="仿宋" w:cs="仿宋"/>
                <w:color w:val="auto"/>
                <w:highlight w:val="none"/>
              </w:rPr>
            </w:pPr>
          </w:p>
        </w:tc>
        <w:tc>
          <w:tcPr>
            <w:tcW w:w="1665" w:type="dxa"/>
            <w:vAlign w:val="center"/>
          </w:tcPr>
          <w:p w14:paraId="07EE38F1">
            <w:pPr>
              <w:pStyle w:val="23"/>
              <w:spacing w:line="560" w:lineRule="exact"/>
              <w:jc w:val="distribute"/>
              <w:rPr>
                <w:rFonts w:hint="eastAsia" w:ascii="仿宋" w:hAnsi="仿宋" w:eastAsia="仿宋" w:cs="仿宋"/>
                <w:color w:val="auto"/>
                <w:highlight w:val="none"/>
              </w:rPr>
            </w:pPr>
            <w:r>
              <w:rPr>
                <w:rFonts w:hint="eastAsia" w:ascii="仿宋" w:hAnsi="仿宋" w:eastAsia="仿宋" w:cs="仿宋"/>
                <w:color w:val="auto"/>
                <w:highlight w:val="none"/>
              </w:rPr>
              <w:t>公 章:</w:t>
            </w:r>
          </w:p>
        </w:tc>
        <w:tc>
          <w:tcPr>
            <w:tcW w:w="4150" w:type="dxa"/>
            <w:vAlign w:val="center"/>
          </w:tcPr>
          <w:p w14:paraId="12D796BC">
            <w:pPr>
              <w:pStyle w:val="23"/>
              <w:spacing w:line="560" w:lineRule="exact"/>
              <w:ind w:firstLine="480" w:firstLineChars="200"/>
              <w:rPr>
                <w:rFonts w:hint="eastAsia" w:ascii="仿宋" w:hAnsi="仿宋" w:eastAsia="仿宋" w:cs="仿宋"/>
                <w:color w:val="auto"/>
                <w:highlight w:val="none"/>
              </w:rPr>
            </w:pPr>
          </w:p>
        </w:tc>
      </w:tr>
      <w:tr w14:paraId="413D57F2">
        <w:tblPrEx>
          <w:tblCellMar>
            <w:top w:w="0" w:type="dxa"/>
            <w:left w:w="108" w:type="dxa"/>
            <w:bottom w:w="0" w:type="dxa"/>
            <w:right w:w="108" w:type="dxa"/>
          </w:tblCellMar>
        </w:tblPrEx>
        <w:trPr>
          <w:jc w:val="center"/>
        </w:trPr>
        <w:tc>
          <w:tcPr>
            <w:tcW w:w="4616" w:type="dxa"/>
            <w:gridSpan w:val="2"/>
            <w:vAlign w:val="center"/>
          </w:tcPr>
          <w:p w14:paraId="1178CBEC">
            <w:pPr>
              <w:pStyle w:val="23"/>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法定代表人或授权代理人签字：</w:t>
            </w:r>
          </w:p>
        </w:tc>
        <w:tc>
          <w:tcPr>
            <w:tcW w:w="5815" w:type="dxa"/>
            <w:gridSpan w:val="2"/>
            <w:vAlign w:val="center"/>
          </w:tcPr>
          <w:p w14:paraId="375A6A9A">
            <w:pPr>
              <w:pStyle w:val="23"/>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法定代表人或授权代理人签字：    </w:t>
            </w:r>
          </w:p>
        </w:tc>
      </w:tr>
      <w:tr w14:paraId="64BC23E7">
        <w:tblPrEx>
          <w:tblCellMar>
            <w:top w:w="0" w:type="dxa"/>
            <w:left w:w="108" w:type="dxa"/>
            <w:bottom w:w="0" w:type="dxa"/>
            <w:right w:w="108" w:type="dxa"/>
          </w:tblCellMar>
        </w:tblPrEx>
        <w:trPr>
          <w:jc w:val="center"/>
        </w:trPr>
        <w:tc>
          <w:tcPr>
            <w:tcW w:w="1504" w:type="dxa"/>
            <w:vAlign w:val="center"/>
          </w:tcPr>
          <w:p w14:paraId="6105D30F">
            <w:pPr>
              <w:pStyle w:val="31"/>
              <w:spacing w:line="560" w:lineRule="exact"/>
              <w:jc w:val="distribute"/>
              <w:rPr>
                <w:rFonts w:hint="eastAsia" w:ascii="仿宋" w:hAnsi="仿宋" w:eastAsia="仿宋" w:cs="仿宋"/>
                <w:color w:val="auto"/>
                <w:highlight w:val="none"/>
              </w:rPr>
            </w:pPr>
            <w:r>
              <w:rPr>
                <w:rFonts w:hint="eastAsia" w:ascii="仿宋" w:hAnsi="仿宋" w:eastAsia="仿宋" w:cs="仿宋"/>
                <w:color w:val="auto"/>
                <w:highlight w:val="none"/>
              </w:rPr>
              <w:t>电   话：</w:t>
            </w:r>
          </w:p>
        </w:tc>
        <w:tc>
          <w:tcPr>
            <w:tcW w:w="3112" w:type="dxa"/>
            <w:vAlign w:val="center"/>
          </w:tcPr>
          <w:p w14:paraId="37FD7752">
            <w:pPr>
              <w:pStyle w:val="31"/>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c>
          <w:tcPr>
            <w:tcW w:w="1665" w:type="dxa"/>
            <w:vAlign w:val="center"/>
          </w:tcPr>
          <w:p w14:paraId="59C0ED37">
            <w:pPr>
              <w:pStyle w:val="31"/>
              <w:spacing w:line="560" w:lineRule="exact"/>
              <w:jc w:val="distribute"/>
              <w:rPr>
                <w:rFonts w:hint="eastAsia" w:ascii="仿宋" w:hAnsi="仿宋" w:eastAsia="仿宋" w:cs="仿宋"/>
                <w:color w:val="auto"/>
                <w:highlight w:val="none"/>
              </w:rPr>
            </w:pPr>
            <w:r>
              <w:rPr>
                <w:rFonts w:hint="eastAsia" w:ascii="仿宋" w:hAnsi="仿宋" w:eastAsia="仿宋" w:cs="仿宋"/>
                <w:color w:val="auto"/>
                <w:highlight w:val="none"/>
              </w:rPr>
              <w:t>电 话:</w:t>
            </w:r>
          </w:p>
        </w:tc>
        <w:tc>
          <w:tcPr>
            <w:tcW w:w="4150" w:type="dxa"/>
          </w:tcPr>
          <w:p w14:paraId="3CC14A93">
            <w:pPr>
              <w:pStyle w:val="23"/>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r w14:paraId="6D8A6D0F">
        <w:tblPrEx>
          <w:tblCellMar>
            <w:top w:w="0" w:type="dxa"/>
            <w:left w:w="108" w:type="dxa"/>
            <w:bottom w:w="0" w:type="dxa"/>
            <w:right w:w="108" w:type="dxa"/>
          </w:tblCellMar>
        </w:tblPrEx>
        <w:trPr>
          <w:jc w:val="center"/>
        </w:trPr>
        <w:tc>
          <w:tcPr>
            <w:tcW w:w="1504" w:type="dxa"/>
            <w:vAlign w:val="center"/>
          </w:tcPr>
          <w:p w14:paraId="40BA23B4">
            <w:pPr>
              <w:pStyle w:val="31"/>
              <w:spacing w:line="560" w:lineRule="exact"/>
              <w:jc w:val="distribute"/>
              <w:rPr>
                <w:rFonts w:hint="eastAsia" w:ascii="仿宋" w:hAnsi="仿宋" w:eastAsia="仿宋" w:cs="仿宋"/>
                <w:color w:val="auto"/>
                <w:highlight w:val="none"/>
              </w:rPr>
            </w:pPr>
            <w:r>
              <w:rPr>
                <w:rFonts w:hint="eastAsia" w:ascii="仿宋" w:hAnsi="仿宋" w:eastAsia="仿宋" w:cs="仿宋"/>
                <w:color w:val="auto"/>
                <w:highlight w:val="none"/>
              </w:rPr>
              <w:t>传  真：</w:t>
            </w:r>
          </w:p>
        </w:tc>
        <w:tc>
          <w:tcPr>
            <w:tcW w:w="3112" w:type="dxa"/>
            <w:vAlign w:val="center"/>
          </w:tcPr>
          <w:p w14:paraId="0DD3351D">
            <w:pPr>
              <w:pStyle w:val="31"/>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c>
          <w:tcPr>
            <w:tcW w:w="1665" w:type="dxa"/>
            <w:vAlign w:val="center"/>
          </w:tcPr>
          <w:p w14:paraId="29C062C3">
            <w:pPr>
              <w:pStyle w:val="31"/>
              <w:spacing w:line="560" w:lineRule="exact"/>
              <w:jc w:val="distribute"/>
              <w:rPr>
                <w:rFonts w:hint="eastAsia" w:ascii="仿宋" w:hAnsi="仿宋" w:eastAsia="仿宋" w:cs="仿宋"/>
                <w:color w:val="auto"/>
                <w:highlight w:val="none"/>
              </w:rPr>
            </w:pPr>
            <w:r>
              <w:rPr>
                <w:rFonts w:hint="eastAsia" w:ascii="仿宋" w:hAnsi="仿宋" w:eastAsia="仿宋" w:cs="仿宋"/>
                <w:color w:val="auto"/>
                <w:highlight w:val="none"/>
              </w:rPr>
              <w:t>传 真:</w:t>
            </w:r>
          </w:p>
        </w:tc>
        <w:tc>
          <w:tcPr>
            <w:tcW w:w="4150" w:type="dxa"/>
          </w:tcPr>
          <w:p w14:paraId="40AA36FF">
            <w:pPr>
              <w:pStyle w:val="23"/>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r w14:paraId="35039B1A">
        <w:tblPrEx>
          <w:tblCellMar>
            <w:top w:w="0" w:type="dxa"/>
            <w:left w:w="108" w:type="dxa"/>
            <w:bottom w:w="0" w:type="dxa"/>
            <w:right w:w="108" w:type="dxa"/>
          </w:tblCellMar>
        </w:tblPrEx>
        <w:trPr>
          <w:jc w:val="center"/>
        </w:trPr>
        <w:tc>
          <w:tcPr>
            <w:tcW w:w="1504" w:type="dxa"/>
            <w:vAlign w:val="center"/>
          </w:tcPr>
          <w:p w14:paraId="0F737690">
            <w:pPr>
              <w:pStyle w:val="31"/>
              <w:spacing w:line="560" w:lineRule="exact"/>
              <w:jc w:val="distribute"/>
              <w:rPr>
                <w:rFonts w:hint="eastAsia" w:ascii="仿宋" w:hAnsi="仿宋" w:eastAsia="仿宋" w:cs="仿宋"/>
                <w:color w:val="auto"/>
                <w:highlight w:val="none"/>
              </w:rPr>
            </w:pPr>
            <w:r>
              <w:rPr>
                <w:rFonts w:hint="eastAsia" w:ascii="仿宋" w:hAnsi="仿宋" w:eastAsia="仿宋" w:cs="仿宋"/>
                <w:color w:val="auto"/>
                <w:highlight w:val="none"/>
              </w:rPr>
              <w:t>联系人：</w:t>
            </w:r>
          </w:p>
        </w:tc>
        <w:tc>
          <w:tcPr>
            <w:tcW w:w="3112" w:type="dxa"/>
            <w:vAlign w:val="center"/>
          </w:tcPr>
          <w:p w14:paraId="0E0A1547">
            <w:pPr>
              <w:pStyle w:val="31"/>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c>
          <w:tcPr>
            <w:tcW w:w="1665" w:type="dxa"/>
            <w:vAlign w:val="center"/>
          </w:tcPr>
          <w:p w14:paraId="1A2D3315">
            <w:pPr>
              <w:pStyle w:val="31"/>
              <w:spacing w:line="560" w:lineRule="exact"/>
              <w:jc w:val="distribute"/>
              <w:rPr>
                <w:rFonts w:hint="eastAsia" w:ascii="仿宋" w:hAnsi="仿宋" w:eastAsia="仿宋" w:cs="仿宋"/>
                <w:color w:val="auto"/>
                <w:highlight w:val="none"/>
              </w:rPr>
            </w:pPr>
            <w:r>
              <w:rPr>
                <w:rFonts w:hint="eastAsia" w:ascii="仿宋" w:hAnsi="仿宋" w:eastAsia="仿宋" w:cs="仿宋"/>
                <w:color w:val="auto"/>
                <w:highlight w:val="none"/>
              </w:rPr>
              <w:t xml:space="preserve">联系人: </w:t>
            </w:r>
          </w:p>
        </w:tc>
        <w:tc>
          <w:tcPr>
            <w:tcW w:w="4150" w:type="dxa"/>
            <w:vAlign w:val="center"/>
          </w:tcPr>
          <w:p w14:paraId="6690764B">
            <w:pPr>
              <w:pStyle w:val="23"/>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r w14:paraId="0E36E69E">
        <w:tblPrEx>
          <w:tblCellMar>
            <w:top w:w="0" w:type="dxa"/>
            <w:left w:w="108" w:type="dxa"/>
            <w:bottom w:w="0" w:type="dxa"/>
            <w:right w:w="108" w:type="dxa"/>
          </w:tblCellMar>
        </w:tblPrEx>
        <w:trPr>
          <w:jc w:val="center"/>
        </w:trPr>
        <w:tc>
          <w:tcPr>
            <w:tcW w:w="1504" w:type="dxa"/>
            <w:vAlign w:val="center"/>
          </w:tcPr>
          <w:p w14:paraId="25CB5E56">
            <w:pPr>
              <w:pStyle w:val="31"/>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通讯地址:    </w:t>
            </w:r>
          </w:p>
        </w:tc>
        <w:tc>
          <w:tcPr>
            <w:tcW w:w="3112" w:type="dxa"/>
            <w:vAlign w:val="center"/>
          </w:tcPr>
          <w:p w14:paraId="65AA4C25">
            <w:pPr>
              <w:pStyle w:val="23"/>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新疆乌鲁木齐市天山区胜利路666号新疆大学</w:t>
            </w:r>
          </w:p>
        </w:tc>
        <w:tc>
          <w:tcPr>
            <w:tcW w:w="1665" w:type="dxa"/>
            <w:vAlign w:val="center"/>
          </w:tcPr>
          <w:p w14:paraId="12F7A467">
            <w:pPr>
              <w:pStyle w:val="31"/>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通讯地址:</w:t>
            </w:r>
          </w:p>
        </w:tc>
        <w:tc>
          <w:tcPr>
            <w:tcW w:w="4150" w:type="dxa"/>
          </w:tcPr>
          <w:p w14:paraId="64BF3DBB">
            <w:pPr>
              <w:pStyle w:val="23"/>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r w14:paraId="34375FDF">
        <w:tblPrEx>
          <w:tblCellMar>
            <w:top w:w="0" w:type="dxa"/>
            <w:left w:w="108" w:type="dxa"/>
            <w:bottom w:w="0" w:type="dxa"/>
            <w:right w:w="108" w:type="dxa"/>
          </w:tblCellMar>
        </w:tblPrEx>
        <w:trPr>
          <w:jc w:val="center"/>
        </w:trPr>
        <w:tc>
          <w:tcPr>
            <w:tcW w:w="1504" w:type="dxa"/>
            <w:vAlign w:val="center"/>
          </w:tcPr>
          <w:p w14:paraId="31D565D1">
            <w:pPr>
              <w:pStyle w:val="31"/>
              <w:spacing w:line="560" w:lineRule="exact"/>
              <w:jc w:val="distribute"/>
              <w:rPr>
                <w:rFonts w:hint="eastAsia" w:ascii="仿宋" w:hAnsi="仿宋" w:eastAsia="仿宋" w:cs="仿宋"/>
                <w:color w:val="auto"/>
                <w:highlight w:val="none"/>
              </w:rPr>
            </w:pPr>
            <w:r>
              <w:rPr>
                <w:rFonts w:hint="eastAsia" w:ascii="仿宋" w:hAnsi="仿宋" w:eastAsia="仿宋" w:cs="仿宋"/>
                <w:color w:val="auto"/>
                <w:highlight w:val="none"/>
              </w:rPr>
              <w:t xml:space="preserve">开户银行:                  </w:t>
            </w:r>
          </w:p>
        </w:tc>
        <w:tc>
          <w:tcPr>
            <w:tcW w:w="3112" w:type="dxa"/>
            <w:vAlign w:val="center"/>
          </w:tcPr>
          <w:p w14:paraId="4402EAE7">
            <w:pPr>
              <w:pStyle w:val="23"/>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中国农业银行乌鲁木齐胜利路（兵团）支行</w:t>
            </w:r>
          </w:p>
        </w:tc>
        <w:tc>
          <w:tcPr>
            <w:tcW w:w="1665" w:type="dxa"/>
            <w:vAlign w:val="center"/>
          </w:tcPr>
          <w:p w14:paraId="4E52104C">
            <w:pPr>
              <w:pStyle w:val="31"/>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开户银行:</w:t>
            </w:r>
          </w:p>
        </w:tc>
        <w:tc>
          <w:tcPr>
            <w:tcW w:w="4150" w:type="dxa"/>
            <w:vAlign w:val="center"/>
          </w:tcPr>
          <w:p w14:paraId="10DF5149">
            <w:pPr>
              <w:pStyle w:val="23"/>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r w14:paraId="1814D050">
        <w:tblPrEx>
          <w:tblCellMar>
            <w:top w:w="0" w:type="dxa"/>
            <w:left w:w="108" w:type="dxa"/>
            <w:bottom w:w="0" w:type="dxa"/>
            <w:right w:w="108" w:type="dxa"/>
          </w:tblCellMar>
        </w:tblPrEx>
        <w:trPr>
          <w:jc w:val="center"/>
        </w:trPr>
        <w:tc>
          <w:tcPr>
            <w:tcW w:w="1504" w:type="dxa"/>
            <w:vAlign w:val="center"/>
          </w:tcPr>
          <w:p w14:paraId="0986EB2D">
            <w:pPr>
              <w:pStyle w:val="31"/>
              <w:spacing w:line="560" w:lineRule="exact"/>
              <w:jc w:val="distribute"/>
              <w:rPr>
                <w:rFonts w:hint="eastAsia" w:ascii="仿宋" w:hAnsi="仿宋" w:eastAsia="仿宋" w:cs="仿宋"/>
                <w:color w:val="auto"/>
                <w:highlight w:val="none"/>
              </w:rPr>
            </w:pPr>
            <w:r>
              <w:rPr>
                <w:rFonts w:hint="eastAsia" w:ascii="仿宋" w:hAnsi="仿宋" w:eastAsia="仿宋" w:cs="仿宋"/>
                <w:color w:val="auto"/>
                <w:highlight w:val="none"/>
              </w:rPr>
              <w:t xml:space="preserve">账  号：            </w:t>
            </w:r>
          </w:p>
        </w:tc>
        <w:tc>
          <w:tcPr>
            <w:tcW w:w="3112" w:type="dxa"/>
            <w:vAlign w:val="center"/>
          </w:tcPr>
          <w:p w14:paraId="73EE3772">
            <w:pPr>
              <w:pStyle w:val="23"/>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30704301040002348 </w:t>
            </w:r>
          </w:p>
        </w:tc>
        <w:tc>
          <w:tcPr>
            <w:tcW w:w="1665" w:type="dxa"/>
            <w:vAlign w:val="center"/>
          </w:tcPr>
          <w:p w14:paraId="3E50DFD7">
            <w:pPr>
              <w:pStyle w:val="31"/>
              <w:spacing w:line="560" w:lineRule="exact"/>
              <w:rPr>
                <w:rFonts w:hint="eastAsia" w:ascii="仿宋" w:hAnsi="仿宋" w:eastAsia="仿宋" w:cs="仿宋"/>
                <w:color w:val="auto"/>
                <w:highlight w:val="none"/>
              </w:rPr>
            </w:pPr>
            <w:r>
              <w:rPr>
                <w:rFonts w:hint="eastAsia" w:ascii="仿宋" w:hAnsi="仿宋" w:eastAsia="仿宋" w:cs="仿宋"/>
                <w:color w:val="auto"/>
                <w:highlight w:val="none"/>
              </w:rPr>
              <w:t>账    号：</w:t>
            </w:r>
          </w:p>
        </w:tc>
        <w:tc>
          <w:tcPr>
            <w:tcW w:w="4150" w:type="dxa"/>
            <w:vAlign w:val="center"/>
          </w:tcPr>
          <w:p w14:paraId="2DFB091D">
            <w:pPr>
              <w:pStyle w:val="23"/>
              <w:spacing w:line="5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c>
      </w:tr>
    </w:tbl>
    <w:p w14:paraId="785EE69D">
      <w:pPr>
        <w:pStyle w:val="23"/>
        <w:spacing w:line="560" w:lineRule="exact"/>
        <w:ind w:firstLine="480" w:firstLineChars="200"/>
        <w:rPr>
          <w:rFonts w:hint="eastAsia" w:ascii="仿宋" w:hAnsi="仿宋" w:eastAsia="仿宋" w:cs="仿宋"/>
          <w:color w:val="auto"/>
          <w:highlight w:val="none"/>
        </w:rPr>
      </w:pPr>
    </w:p>
    <w:p w14:paraId="2A9D48F5">
      <w:pPr>
        <w:spacing w:line="560" w:lineRule="exact"/>
        <w:rPr>
          <w:rFonts w:hint="eastAsia" w:ascii="仿宋" w:hAnsi="仿宋" w:eastAsia="仿宋" w:cs="仿宋"/>
          <w:sz w:val="24"/>
          <w:szCs w:val="24"/>
          <w:highlight w:val="none"/>
        </w:rPr>
      </w:pPr>
    </w:p>
    <w:p w14:paraId="4B424E96">
      <w:pPr>
        <w:spacing w:line="560" w:lineRule="exact"/>
        <w:ind w:right="-105" w:firstLine="3840" w:firstLineChars="1600"/>
        <w:jc w:val="right"/>
        <w:rPr>
          <w:rFonts w:hint="eastAsia" w:ascii="仿宋" w:hAnsi="仿宋" w:eastAsia="仿宋" w:cs="仿宋"/>
          <w:sz w:val="24"/>
          <w:szCs w:val="24"/>
          <w:highlight w:val="none"/>
        </w:rPr>
      </w:pPr>
      <w:bookmarkStart w:id="1" w:name="OLE_LINK1"/>
      <w:r>
        <w:rPr>
          <w:rFonts w:hint="eastAsia" w:ascii="仿宋" w:hAnsi="仿宋" w:eastAsia="仿宋" w:cs="仿宋"/>
          <w:sz w:val="24"/>
          <w:szCs w:val="24"/>
          <w:highlight w:val="none"/>
          <w:lang w:val="en-US"/>
        </w:rPr>
        <w:t>二〇</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 xml:space="preserve"> 年  </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 xml:space="preserve"> 月 </w:t>
      </w:r>
      <w:r>
        <w:rPr>
          <w:rFonts w:hint="eastAsia" w:ascii="仿宋" w:hAnsi="仿宋" w:eastAsia="仿宋" w:cs="仿宋"/>
          <w:sz w:val="24"/>
          <w:szCs w:val="24"/>
          <w:highlight w:val="none"/>
          <w:lang w:val="en-US"/>
        </w:rPr>
        <w:t xml:space="preserve"> </w:t>
      </w:r>
      <w:r>
        <w:rPr>
          <w:rFonts w:hint="eastAsia" w:ascii="仿宋" w:hAnsi="仿宋" w:eastAsia="仿宋" w:cs="仿宋"/>
          <w:sz w:val="24"/>
          <w:szCs w:val="24"/>
          <w:highlight w:val="none"/>
        </w:rPr>
        <w:t xml:space="preserve">  日</w:t>
      </w:r>
    </w:p>
    <w:p w14:paraId="10D4B5E3">
      <w:pPr>
        <w:spacing w:line="560" w:lineRule="exact"/>
        <w:ind w:right="-105"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合同签订地点：新疆乌鲁木齐市天山区胜利路666号新疆大学</w:t>
      </w:r>
    </w:p>
    <w:bookmarkEnd w:id="1"/>
    <w:p w14:paraId="28EC02B8">
      <w:pPr>
        <w:spacing w:line="560" w:lineRule="exact"/>
        <w:ind w:left="-105" w:right="-105" w:firstLine="482" w:firstLineChars="200"/>
        <w:jc w:val="center"/>
        <w:rPr>
          <w:rFonts w:hint="eastAsia" w:ascii="仿宋" w:hAnsi="仿宋" w:eastAsia="仿宋" w:cs="仿宋"/>
          <w:b/>
          <w:sz w:val="24"/>
          <w:szCs w:val="24"/>
          <w:highlight w:val="none"/>
        </w:rPr>
      </w:pPr>
    </w:p>
    <w:p w14:paraId="425F2A22">
      <w:pPr>
        <w:widowControl/>
        <w:spacing w:line="560" w:lineRule="exact"/>
        <w:ind w:firstLine="480" w:firstLineChars="200"/>
        <w:rPr>
          <w:rFonts w:hint="eastAsia" w:ascii="仿宋" w:hAnsi="仿宋" w:eastAsia="仿宋" w:cs="仿宋"/>
          <w:b/>
          <w:bCs/>
          <w:sz w:val="24"/>
          <w:szCs w:val="24"/>
          <w:highlight w:val="none"/>
        </w:rPr>
      </w:pPr>
      <w:r>
        <w:rPr>
          <w:rFonts w:hint="eastAsia" w:ascii="仿宋" w:hAnsi="仿宋" w:eastAsia="仿宋" w:cs="仿宋"/>
          <w:sz w:val="24"/>
          <w:szCs w:val="24"/>
          <w:highlight w:val="none"/>
        </w:rPr>
        <w:t xml:space="preserve"> </w:t>
      </w:r>
    </w:p>
    <w:p w14:paraId="7C9FE699">
      <w:pPr>
        <w:rPr>
          <w:rFonts w:hint="eastAsia" w:ascii="仿宋" w:hAnsi="仿宋" w:eastAsia="仿宋" w:cs="仿宋"/>
          <w:sz w:val="24"/>
          <w:szCs w:val="24"/>
          <w:highlight w:val="none"/>
        </w:rPr>
      </w:pPr>
      <w:r>
        <w:rPr>
          <w:rFonts w:hint="eastAsia" w:ascii="仿宋" w:hAnsi="仿宋" w:eastAsia="仿宋" w:cs="仿宋"/>
          <w:sz w:val="24"/>
          <w:szCs w:val="24"/>
          <w:highlight w:val="none"/>
        </w:rPr>
        <w:br w:type="page"/>
      </w:r>
    </w:p>
    <w:p w14:paraId="4DCFA715">
      <w:pPr>
        <w:spacing w:line="56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附件：开票信息</w:t>
      </w:r>
    </w:p>
    <w:p w14:paraId="117D2BE4">
      <w:pPr>
        <w:spacing w:line="560" w:lineRule="exact"/>
        <w:ind w:firstLine="480" w:firstLineChars="200"/>
        <w:jc w:val="center"/>
        <w:rPr>
          <w:rFonts w:hint="eastAsia" w:ascii="仿宋" w:hAnsi="仿宋" w:eastAsia="仿宋" w:cs="仿宋"/>
          <w:sz w:val="24"/>
          <w:szCs w:val="24"/>
          <w:highlight w:val="none"/>
        </w:rPr>
      </w:pPr>
    </w:p>
    <w:p w14:paraId="593CE5C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drawing>
          <wp:inline distT="0" distB="0" distL="114300" distR="114300">
            <wp:extent cx="5377815" cy="3875405"/>
            <wp:effectExtent l="0" t="0" r="1905" b="10795"/>
            <wp:docPr id="1" name="图片 1" descr="微信图片_2021110911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109110043"/>
                    <pic:cNvPicPr>
                      <a:picLocks noChangeAspect="1"/>
                    </pic:cNvPicPr>
                  </pic:nvPicPr>
                  <pic:blipFill>
                    <a:blip r:embed="rId16"/>
                    <a:stretch>
                      <a:fillRect/>
                    </a:stretch>
                  </pic:blipFill>
                  <pic:spPr>
                    <a:xfrm>
                      <a:off x="0" y="0"/>
                      <a:ext cx="5377815" cy="3875405"/>
                    </a:xfrm>
                    <a:prstGeom prst="rect">
                      <a:avLst/>
                    </a:prstGeom>
                  </pic:spPr>
                </pic:pic>
              </a:graphicData>
            </a:graphic>
          </wp:inline>
        </w:drawing>
      </w:r>
    </w:p>
    <w:p w14:paraId="12F97FE0">
      <w:pPr>
        <w:rPr>
          <w:rFonts w:hint="eastAsia" w:ascii="仿宋" w:hAnsi="仿宋" w:eastAsia="仿宋" w:cs="仿宋"/>
          <w:sz w:val="24"/>
          <w:szCs w:val="24"/>
          <w:highlight w:val="none"/>
        </w:rPr>
      </w:pPr>
    </w:p>
    <w:p w14:paraId="77AD784F">
      <w:pPr>
        <w:spacing w:line="360" w:lineRule="auto"/>
        <w:ind w:right="-105"/>
        <w:jc w:val="both"/>
        <w:rPr>
          <w:rFonts w:hint="eastAsia" w:ascii="仿宋" w:hAnsi="仿宋" w:eastAsia="仿宋" w:cs="仿宋"/>
          <w:sz w:val="24"/>
          <w:szCs w:val="24"/>
          <w:highlight w:val="none"/>
        </w:rPr>
      </w:pPr>
    </w:p>
    <w:p w14:paraId="5BCA08D8">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4943EDF2">
      <w:pPr>
        <w:spacing w:line="360" w:lineRule="auto"/>
        <w:ind w:left="-2" w:leftChars="-1" w:right="-105" w:firstLine="1"/>
        <w:jc w:val="center"/>
        <w:rPr>
          <w:rFonts w:hint="eastAsia" w:ascii="仿宋" w:hAnsi="仿宋" w:eastAsia="仿宋" w:cs="仿宋"/>
          <w:highlight w:val="none"/>
        </w:rPr>
      </w:pPr>
      <w:r>
        <w:rPr>
          <w:rFonts w:hint="eastAsia" w:ascii="仿宋" w:hAnsi="仿宋" w:eastAsia="仿宋" w:cs="仿宋"/>
          <w:b/>
          <w:sz w:val="24"/>
          <w:szCs w:val="24"/>
          <w:highlight w:val="none"/>
        </w:rPr>
        <w:t>详细参数</w:t>
      </w:r>
    </w:p>
    <w:p w14:paraId="11118C63">
      <w:pPr>
        <w:spacing w:line="360" w:lineRule="auto"/>
        <w:ind w:left="94" w:right="-105" w:hanging="93" w:hangingChars="39"/>
        <w:rPr>
          <w:rFonts w:hint="eastAsia" w:ascii="仿宋" w:hAnsi="仿宋" w:eastAsia="仿宋" w:cs="仿宋"/>
          <w:sz w:val="24"/>
          <w:szCs w:val="24"/>
          <w:highlight w:val="none"/>
        </w:rPr>
      </w:pPr>
      <w:r>
        <w:rPr>
          <w:rFonts w:hint="eastAsia" w:ascii="仿宋" w:hAnsi="仿宋" w:eastAsia="仿宋" w:cs="仿宋"/>
          <w:sz w:val="24"/>
          <w:szCs w:val="24"/>
          <w:highlight w:val="none"/>
        </w:rPr>
        <w:t>以下空白    以下空白    以下空白    以下空白    以下空白    以下空白</w:t>
      </w:r>
    </w:p>
    <w:p w14:paraId="0B5CBE51">
      <w:pPr>
        <w:spacing w:line="360" w:lineRule="auto"/>
        <w:ind w:left="94" w:right="-105" w:hanging="93" w:hangingChars="39"/>
        <w:rPr>
          <w:rFonts w:hint="eastAsia" w:ascii="仿宋" w:hAnsi="仿宋" w:eastAsia="仿宋" w:cs="仿宋"/>
          <w:sz w:val="24"/>
          <w:szCs w:val="24"/>
          <w:highlight w:val="none"/>
        </w:rPr>
      </w:pPr>
    </w:p>
    <w:p w14:paraId="4783005D">
      <w:pPr>
        <w:spacing w:line="360" w:lineRule="auto"/>
        <w:ind w:left="94" w:right="-105" w:hanging="94" w:hangingChars="39"/>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val="en-US"/>
        </w:rPr>
        <w:t>备注：</w:t>
      </w:r>
      <w:r>
        <w:rPr>
          <w:rFonts w:hint="eastAsia" w:ascii="仿宋" w:hAnsi="仿宋" w:eastAsia="仿宋" w:cs="仿宋"/>
          <w:b/>
          <w:bCs/>
          <w:sz w:val="24"/>
          <w:szCs w:val="24"/>
          <w:highlight w:val="none"/>
        </w:rPr>
        <w:t>以上为合同模板，具体以</w:t>
      </w:r>
      <w:r>
        <w:rPr>
          <w:rFonts w:hint="eastAsia" w:ascii="仿宋" w:hAnsi="仿宋" w:eastAsia="仿宋" w:cs="仿宋"/>
          <w:b/>
          <w:bCs/>
          <w:sz w:val="24"/>
          <w:szCs w:val="24"/>
          <w:highlight w:val="none"/>
          <w:lang w:val="en-US"/>
        </w:rPr>
        <w:t>甲乙双方</w:t>
      </w:r>
      <w:r>
        <w:rPr>
          <w:rFonts w:hint="eastAsia" w:ascii="仿宋" w:hAnsi="仿宋" w:eastAsia="仿宋" w:cs="仿宋"/>
          <w:b/>
          <w:bCs/>
          <w:sz w:val="24"/>
          <w:szCs w:val="24"/>
          <w:highlight w:val="none"/>
        </w:rPr>
        <w:t>签订</w:t>
      </w:r>
      <w:r>
        <w:rPr>
          <w:rFonts w:hint="eastAsia" w:ascii="仿宋" w:hAnsi="仿宋" w:eastAsia="仿宋" w:cs="仿宋"/>
          <w:b/>
          <w:bCs/>
          <w:sz w:val="24"/>
          <w:szCs w:val="24"/>
          <w:highlight w:val="none"/>
          <w:lang w:val="en-US"/>
        </w:rPr>
        <w:t>的合同</w:t>
      </w:r>
      <w:r>
        <w:rPr>
          <w:rFonts w:hint="eastAsia" w:ascii="仿宋" w:hAnsi="仿宋" w:eastAsia="仿宋" w:cs="仿宋"/>
          <w:b/>
          <w:bCs/>
          <w:sz w:val="24"/>
          <w:szCs w:val="24"/>
          <w:highlight w:val="none"/>
        </w:rPr>
        <w:t>为准。</w:t>
      </w:r>
    </w:p>
    <w:p w14:paraId="483DD7EF">
      <w:pPr>
        <w:pStyle w:val="9"/>
        <w:spacing w:before="12"/>
        <w:ind w:left="0"/>
        <w:rPr>
          <w:rFonts w:hint="eastAsia" w:ascii="仿宋" w:hAnsi="仿宋" w:eastAsia="仿宋" w:cs="仿宋"/>
          <w:highlight w:val="none"/>
        </w:rPr>
      </w:pPr>
      <w:r>
        <w:rPr>
          <w:rFonts w:hint="eastAsia" w:ascii="仿宋" w:hAnsi="仿宋" w:eastAsia="仿宋" w:cs="仿宋"/>
          <w:highlight w:val="none"/>
        </w:rPr>
        <w:br w:type="page"/>
      </w:r>
    </w:p>
    <w:p w14:paraId="312D0C2A">
      <w:pPr>
        <w:pStyle w:val="2"/>
        <w:spacing w:before="0"/>
        <w:ind w:left="0" w:leftChars="0" w:right="0" w:rightChars="0"/>
        <w:rPr>
          <w:rFonts w:hint="eastAsia" w:ascii="仿宋" w:hAnsi="仿宋" w:eastAsia="仿宋" w:cs="仿宋"/>
          <w:highlight w:val="none"/>
        </w:rPr>
      </w:pPr>
      <w:r>
        <w:rPr>
          <w:rFonts w:hint="eastAsia" w:ascii="仿宋" w:hAnsi="仿宋" w:eastAsia="仿宋" w:cs="仿宋"/>
          <w:highlight w:val="none"/>
        </w:rPr>
        <w:t>第八部分 投标文件的编制装订</w:t>
      </w:r>
    </w:p>
    <w:p w14:paraId="2E5CC776">
      <w:pPr>
        <w:rPr>
          <w:rFonts w:hint="eastAsia" w:ascii="仿宋" w:hAnsi="仿宋" w:eastAsia="仿宋" w:cs="仿宋"/>
          <w:sz w:val="24"/>
          <w:szCs w:val="24"/>
          <w:highlight w:val="none"/>
        </w:rPr>
      </w:pPr>
    </w:p>
    <w:p w14:paraId="628010F9">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投标文件</w:t>
      </w:r>
      <w:r>
        <w:rPr>
          <w:rFonts w:hint="eastAsia" w:ascii="仿宋" w:hAnsi="仿宋" w:eastAsia="仿宋" w:cs="仿宋"/>
          <w:b/>
          <w:bCs/>
          <w:sz w:val="24"/>
          <w:szCs w:val="24"/>
          <w:highlight w:val="none"/>
          <w:lang w:val="zh-CN"/>
        </w:rPr>
        <w:t>应包含以下内容</w:t>
      </w:r>
      <w:r>
        <w:rPr>
          <w:rFonts w:hint="eastAsia" w:ascii="仿宋" w:hAnsi="仿宋" w:eastAsia="仿宋" w:cs="仿宋"/>
          <w:b/>
          <w:bCs/>
          <w:sz w:val="24"/>
          <w:szCs w:val="24"/>
          <w:highlight w:val="none"/>
        </w:rPr>
        <w:t>（</w:t>
      </w:r>
      <w:r>
        <w:rPr>
          <w:rFonts w:hint="eastAsia" w:ascii="仿宋" w:hAnsi="仿宋" w:eastAsia="仿宋" w:cs="仿宋"/>
          <w:b/>
          <w:bCs/>
          <w:sz w:val="24"/>
          <w:szCs w:val="24"/>
          <w:highlight w:val="none"/>
          <w:lang w:val="zh-CN"/>
        </w:rPr>
        <w:t>包含但不限于</w:t>
      </w:r>
      <w:r>
        <w:rPr>
          <w:rFonts w:hint="eastAsia" w:ascii="仿宋" w:hAnsi="仿宋" w:eastAsia="仿宋" w:cs="仿宋"/>
          <w:b/>
          <w:bCs/>
          <w:sz w:val="24"/>
          <w:szCs w:val="24"/>
          <w:highlight w:val="none"/>
        </w:rPr>
        <w:t>）</w:t>
      </w:r>
    </w:p>
    <w:p w14:paraId="2B351998">
      <w:pPr>
        <w:pStyle w:val="9"/>
        <w:spacing w:before="2" w:line="360" w:lineRule="auto"/>
        <w:ind w:left="0" w:firstLine="597"/>
        <w:rPr>
          <w:rFonts w:hint="eastAsia" w:ascii="仿宋" w:hAnsi="仿宋" w:eastAsia="仿宋" w:cs="仿宋"/>
          <w:highlight w:val="none"/>
        </w:rPr>
      </w:pPr>
      <w:r>
        <w:rPr>
          <w:rFonts w:hint="eastAsia" w:ascii="仿宋" w:hAnsi="仿宋" w:eastAsia="仿宋" w:cs="仿宋"/>
          <w:highlight w:val="none"/>
        </w:rPr>
        <w:t>1、投标函</w:t>
      </w:r>
    </w:p>
    <w:p w14:paraId="78AD06C6">
      <w:pPr>
        <w:pStyle w:val="9"/>
        <w:spacing w:before="2" w:line="360" w:lineRule="auto"/>
        <w:ind w:left="0" w:firstLine="597"/>
        <w:rPr>
          <w:rFonts w:hint="eastAsia" w:ascii="仿宋" w:hAnsi="仿宋" w:eastAsia="仿宋" w:cs="仿宋"/>
          <w:highlight w:val="none"/>
        </w:rPr>
      </w:pPr>
      <w:r>
        <w:rPr>
          <w:rFonts w:hint="eastAsia" w:ascii="仿宋" w:hAnsi="仿宋" w:eastAsia="仿宋" w:cs="仿宋"/>
          <w:highlight w:val="none"/>
        </w:rPr>
        <w:t>2、法定代表人资格证明书或法定代表人授权委托书</w:t>
      </w:r>
    </w:p>
    <w:p w14:paraId="2D6D69D5">
      <w:pPr>
        <w:pStyle w:val="9"/>
        <w:spacing w:before="2" w:line="360" w:lineRule="auto"/>
        <w:ind w:left="0" w:firstLine="597"/>
        <w:rPr>
          <w:rFonts w:hint="eastAsia" w:ascii="仿宋" w:hAnsi="仿宋" w:eastAsia="仿宋" w:cs="仿宋"/>
          <w:highlight w:val="none"/>
        </w:rPr>
      </w:pPr>
      <w:r>
        <w:rPr>
          <w:rFonts w:hint="eastAsia" w:ascii="仿宋" w:hAnsi="仿宋" w:eastAsia="仿宋" w:cs="仿宋"/>
          <w:highlight w:val="none"/>
        </w:rPr>
        <w:t>3、开标一览表</w:t>
      </w:r>
    </w:p>
    <w:p w14:paraId="0D700833">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4、产品规格报价明细表；</w:t>
      </w:r>
    </w:p>
    <w:p w14:paraId="2B5EDEB1">
      <w:pPr>
        <w:pStyle w:val="9"/>
        <w:spacing w:before="2" w:line="360" w:lineRule="auto"/>
        <w:ind w:left="0" w:firstLine="597"/>
        <w:rPr>
          <w:rFonts w:hint="eastAsia" w:ascii="仿宋" w:hAnsi="仿宋" w:eastAsia="仿宋" w:cs="仿宋"/>
          <w:highlight w:val="none"/>
        </w:rPr>
      </w:pPr>
      <w:r>
        <w:rPr>
          <w:rFonts w:hint="eastAsia" w:ascii="仿宋" w:hAnsi="仿宋" w:eastAsia="仿宋" w:cs="仿宋"/>
          <w:highlight w:val="none"/>
          <w:lang w:val="en-US"/>
        </w:rPr>
        <w:t>5、核心设备规格型号一览表（</w:t>
      </w:r>
      <w:r>
        <w:rPr>
          <w:rFonts w:hint="eastAsia" w:ascii="仿宋" w:hAnsi="仿宋" w:eastAsia="仿宋" w:cs="仿宋"/>
          <w:highlight w:val="none"/>
        </w:rPr>
        <w:t>格式附后</w:t>
      </w:r>
      <w:r>
        <w:rPr>
          <w:rFonts w:hint="eastAsia" w:ascii="仿宋" w:hAnsi="仿宋" w:eastAsia="仿宋" w:cs="仿宋"/>
          <w:highlight w:val="none"/>
          <w:lang w:val="en-US"/>
        </w:rPr>
        <w:t>）</w:t>
      </w:r>
    </w:p>
    <w:p w14:paraId="3EE53BE1">
      <w:pPr>
        <w:pStyle w:val="9"/>
        <w:spacing w:before="2" w:line="360" w:lineRule="auto"/>
        <w:ind w:left="0" w:firstLine="597"/>
        <w:rPr>
          <w:rFonts w:hint="eastAsia" w:ascii="仿宋" w:hAnsi="仿宋" w:eastAsia="仿宋" w:cs="仿宋"/>
          <w:highlight w:val="none"/>
        </w:rPr>
      </w:pPr>
      <w:r>
        <w:rPr>
          <w:rFonts w:hint="eastAsia" w:ascii="仿宋" w:hAnsi="仿宋" w:eastAsia="仿宋" w:cs="仿宋"/>
          <w:highlight w:val="none"/>
          <w:lang w:val="en-US"/>
        </w:rPr>
        <w:t>6</w:t>
      </w:r>
      <w:r>
        <w:rPr>
          <w:rFonts w:hint="eastAsia" w:ascii="仿宋" w:hAnsi="仿宋" w:eastAsia="仿宋" w:cs="仿宋"/>
          <w:highlight w:val="none"/>
        </w:rPr>
        <w:t>、投标人资质证明文件，包括：（</w:t>
      </w:r>
      <w:r>
        <w:rPr>
          <w:rFonts w:hint="eastAsia" w:ascii="仿宋" w:hAnsi="仿宋" w:eastAsia="仿宋" w:cs="仿宋"/>
          <w:highlight w:val="none"/>
          <w:lang w:val="en-US"/>
        </w:rPr>
        <w:t>但不限于</w:t>
      </w:r>
      <w:r>
        <w:rPr>
          <w:rFonts w:hint="eastAsia" w:ascii="仿宋" w:hAnsi="仿宋" w:eastAsia="仿宋" w:cs="仿宋"/>
          <w:highlight w:val="none"/>
        </w:rPr>
        <w:t>）</w:t>
      </w:r>
    </w:p>
    <w:p w14:paraId="2FF59ECC">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（1）关于资格的声明函</w:t>
      </w:r>
    </w:p>
    <w:p w14:paraId="67741D1E">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（2）法人营业执照或其他资格证明</w:t>
      </w:r>
    </w:p>
    <w:p w14:paraId="786E6F17">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（3）法定代表人授权书</w:t>
      </w:r>
    </w:p>
    <w:p w14:paraId="756F5269">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（4）供应商财务状况报告（提供上年度财务审计报告）</w:t>
      </w:r>
    </w:p>
    <w:p w14:paraId="44484721">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（5）社会保障资金缴纳记录（提供近半年社保缴纳凭证）</w:t>
      </w:r>
    </w:p>
    <w:p w14:paraId="44004F9D">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（6）依法缴纳税收的证明材料（提供近半年完税证明）</w:t>
      </w:r>
    </w:p>
    <w:p w14:paraId="50975008">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（7）具备履行合同所必需的设备和专业技术能力的书面声明</w:t>
      </w:r>
    </w:p>
    <w:p w14:paraId="33314D6A">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（8） 参加本次采购活动前三年内，在经营活动中没有重大违法记录的书面声明</w:t>
      </w:r>
    </w:p>
    <w:p w14:paraId="4A2EB22E">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（9）未参与本项目整体设计、规范编制或者项目管理、监理、检测等服务、与参与本次政府采购活动的其他供应商不存在法人(单位负责人)为同一人或者直接控股、管理关系的，</w:t>
      </w:r>
      <w:r>
        <w:rPr>
          <w:rFonts w:hint="eastAsia" w:ascii="仿宋" w:hAnsi="仿宋" w:eastAsia="仿宋" w:cs="仿宋"/>
          <w:highlight w:val="none"/>
        </w:rPr>
        <w:t>与采购人</w:t>
      </w:r>
      <w:r>
        <w:rPr>
          <w:rFonts w:hint="eastAsia" w:ascii="仿宋" w:hAnsi="仿宋" w:eastAsia="仿宋" w:cs="仿宋"/>
          <w:highlight w:val="none"/>
          <w:lang w:val="en-US"/>
        </w:rPr>
        <w:t>不</w:t>
      </w:r>
      <w:r>
        <w:rPr>
          <w:rFonts w:hint="eastAsia" w:ascii="仿宋" w:hAnsi="仿宋" w:eastAsia="仿宋" w:cs="仿宋"/>
          <w:highlight w:val="none"/>
        </w:rPr>
        <w:t>存在利害关系可能影响采购公正性的</w:t>
      </w:r>
      <w:r>
        <w:rPr>
          <w:rFonts w:hint="eastAsia" w:ascii="仿宋" w:hAnsi="仿宋" w:eastAsia="仿宋" w:cs="仿宋"/>
          <w:highlight w:val="none"/>
          <w:lang w:val="en-US"/>
        </w:rPr>
        <w:t>（提供承诺书）</w:t>
      </w:r>
    </w:p>
    <w:p w14:paraId="4D8CBA0D">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（10）投标保证金（提供汇款凭证）</w:t>
      </w:r>
    </w:p>
    <w:p w14:paraId="2FCB7304">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（11）信用信息查询截图（包含不限于信用中国网站（</w:t>
      </w:r>
      <w:r>
        <w:rPr>
          <w:rFonts w:hint="eastAsia" w:ascii="仿宋" w:hAnsi="仿宋" w:eastAsia="仿宋" w:cs="仿宋"/>
          <w:highlight w:val="none"/>
          <w:lang w:val="en-US" w:eastAsia="zh-CN"/>
        </w:rPr>
        <w:t>重大税收违法失信主体</w:t>
      </w:r>
      <w:r>
        <w:rPr>
          <w:rFonts w:hint="eastAsia" w:ascii="仿宋" w:hAnsi="仿宋" w:eastAsia="仿宋" w:cs="仿宋"/>
          <w:highlight w:val="none"/>
          <w:lang w:val="en-US"/>
        </w:rPr>
        <w:t>查询）、中国政府采购网（政府采购严重违法失信名单查询）、中国执行信息公开网（失信被执行人名单查询）、国家企业信用信息公示系统（行政处罚信息、列入经营异常名录信息、列入严重违法失信名单（黑名单）信息）、裁判文书网（行贿犯罪记录查询））；</w:t>
      </w:r>
    </w:p>
    <w:p w14:paraId="16B85F31">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（12）投标单位（供应商）《反商业贿赂承诺书》；</w:t>
      </w:r>
    </w:p>
    <w:p w14:paraId="41FF4B67">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（13）未组成联合体进行投标的声明。</w:t>
      </w:r>
    </w:p>
    <w:p w14:paraId="2473AD0C">
      <w:pPr>
        <w:pStyle w:val="9"/>
        <w:spacing w:before="2" w:line="360" w:lineRule="auto"/>
        <w:ind w:left="0" w:firstLine="597"/>
        <w:rPr>
          <w:rFonts w:hint="eastAsia" w:ascii="仿宋" w:hAnsi="仿宋" w:eastAsia="仿宋" w:cs="仿宋"/>
          <w:highlight w:val="none"/>
          <w:lang w:val="en-US"/>
        </w:rPr>
      </w:pPr>
      <w:r>
        <w:rPr>
          <w:rFonts w:hint="eastAsia" w:ascii="仿宋" w:hAnsi="仿宋" w:eastAsia="仿宋" w:cs="仿宋"/>
          <w:highlight w:val="none"/>
          <w:lang w:val="en-US"/>
        </w:rPr>
        <w:t>（14）其它补充资料</w:t>
      </w:r>
    </w:p>
    <w:p w14:paraId="17A8357C">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7、技术及商务响应（偏离）表；</w:t>
      </w:r>
    </w:p>
    <w:p w14:paraId="3BFC9E13">
      <w:pPr>
        <w:spacing w:line="360" w:lineRule="auto"/>
        <w:ind w:firstLine="480" w:firstLineChars="200"/>
        <w:rPr>
          <w:rFonts w:hint="eastAsia" w:ascii="仿宋" w:hAnsi="仿宋" w:eastAsia="仿宋" w:cs="仿宋"/>
          <w:highlight w:val="none"/>
          <w:lang w:val="en-US"/>
        </w:rPr>
      </w:pPr>
      <w:r>
        <w:rPr>
          <w:rFonts w:hint="eastAsia" w:ascii="仿宋" w:hAnsi="仿宋" w:eastAsia="仿宋" w:cs="仿宋"/>
          <w:sz w:val="24"/>
          <w:highlight w:val="none"/>
          <w:lang w:val="en-US"/>
        </w:rPr>
        <w:t>8、产品</w:t>
      </w:r>
      <w:r>
        <w:rPr>
          <w:rFonts w:hint="eastAsia" w:ascii="仿宋" w:hAnsi="仿宋" w:eastAsia="仿宋" w:cs="仿宋"/>
          <w:sz w:val="24"/>
          <w:highlight w:val="none"/>
        </w:rPr>
        <w:t>配置及性能指标；</w:t>
      </w:r>
    </w:p>
    <w:p w14:paraId="26395468">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9、质量保证措施；</w:t>
      </w:r>
    </w:p>
    <w:p w14:paraId="5547734D">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10、</w:t>
      </w:r>
      <w:r>
        <w:rPr>
          <w:rFonts w:hint="eastAsia" w:ascii="仿宋" w:hAnsi="仿宋" w:eastAsia="仿宋" w:cs="仿宋"/>
          <w:sz w:val="24"/>
          <w:highlight w:val="none"/>
        </w:rPr>
        <w:t>货物供应</w:t>
      </w:r>
      <w:r>
        <w:rPr>
          <w:rFonts w:hint="eastAsia" w:ascii="仿宋" w:hAnsi="仿宋" w:eastAsia="仿宋" w:cs="仿宋"/>
          <w:sz w:val="24"/>
          <w:highlight w:val="none"/>
          <w:lang w:val="en-US"/>
        </w:rPr>
        <w:t>服务方案</w:t>
      </w:r>
      <w:r>
        <w:rPr>
          <w:rFonts w:hint="eastAsia" w:ascii="仿宋" w:hAnsi="仿宋" w:eastAsia="仿宋" w:cs="仿宋"/>
          <w:sz w:val="24"/>
          <w:highlight w:val="none"/>
        </w:rPr>
        <w:t>；</w:t>
      </w:r>
    </w:p>
    <w:p w14:paraId="64F1547C">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11、</w:t>
      </w:r>
      <w:r>
        <w:rPr>
          <w:rFonts w:hint="eastAsia" w:ascii="仿宋" w:hAnsi="仿宋" w:eastAsia="仿宋" w:cs="仿宋"/>
          <w:sz w:val="24"/>
          <w:highlight w:val="none"/>
        </w:rPr>
        <w:t>售后服务；</w:t>
      </w:r>
    </w:p>
    <w:p w14:paraId="7398C782">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rPr>
        <w:t>12、</w:t>
      </w:r>
      <w:r>
        <w:rPr>
          <w:rFonts w:hint="eastAsia" w:ascii="仿宋" w:hAnsi="仿宋" w:eastAsia="仿宋" w:cs="仿宋"/>
          <w:sz w:val="24"/>
          <w:highlight w:val="none"/>
        </w:rPr>
        <w:t>项目的业绩；</w:t>
      </w:r>
    </w:p>
    <w:p w14:paraId="335544C7">
      <w:pPr>
        <w:spacing w:line="360" w:lineRule="auto"/>
        <w:ind w:firstLine="480" w:firstLineChars="200"/>
        <w:rPr>
          <w:rFonts w:hint="eastAsia" w:ascii="仿宋" w:hAnsi="仿宋" w:eastAsia="仿宋" w:cs="仿宋"/>
          <w:sz w:val="24"/>
          <w:highlight w:val="none"/>
          <w:lang w:val="en-US"/>
        </w:rPr>
      </w:pPr>
      <w:r>
        <w:rPr>
          <w:rFonts w:hint="eastAsia" w:ascii="仿宋" w:hAnsi="仿宋" w:eastAsia="仿宋" w:cs="仿宋"/>
          <w:sz w:val="24"/>
          <w:highlight w:val="none"/>
          <w:lang w:val="en-US"/>
        </w:rPr>
        <w:t>13、提供其它有利于投标的资料；</w:t>
      </w:r>
    </w:p>
    <w:p w14:paraId="5065AD8E">
      <w:pPr>
        <w:pStyle w:val="9"/>
        <w:spacing w:before="2" w:line="360" w:lineRule="auto"/>
        <w:ind w:left="0" w:firstLine="597"/>
        <w:rPr>
          <w:rFonts w:hint="eastAsia" w:ascii="仿宋" w:hAnsi="仿宋" w:eastAsia="仿宋" w:cs="仿宋"/>
          <w:highlight w:val="none"/>
          <w:lang w:val="en-US"/>
        </w:rPr>
      </w:pPr>
    </w:p>
    <w:p w14:paraId="5BEB10B3">
      <w:pPr>
        <w:spacing w:before="161" w:line="364" w:lineRule="auto"/>
        <w:rPr>
          <w:rFonts w:hint="eastAsia" w:ascii="仿宋" w:hAnsi="仿宋" w:eastAsia="仿宋" w:cs="仿宋"/>
          <w:b/>
          <w:sz w:val="24"/>
          <w:highlight w:val="none"/>
        </w:rPr>
      </w:pPr>
      <w:r>
        <w:rPr>
          <w:rFonts w:hint="eastAsia" w:ascii="仿宋" w:hAnsi="仿宋" w:eastAsia="仿宋" w:cs="仿宋"/>
          <w:b/>
          <w:sz w:val="24"/>
          <w:highlight w:val="none"/>
        </w:rPr>
        <w:t>投标文件顺序及格式范本</w:t>
      </w:r>
    </w:p>
    <w:p w14:paraId="3998F246">
      <w:pPr>
        <w:pStyle w:val="9"/>
        <w:spacing w:line="364" w:lineRule="auto"/>
        <w:ind w:left="0" w:firstLine="600"/>
        <w:rPr>
          <w:rFonts w:hint="eastAsia" w:ascii="仿宋" w:hAnsi="仿宋" w:eastAsia="仿宋" w:cs="仿宋"/>
          <w:highlight w:val="none"/>
        </w:rPr>
      </w:pPr>
      <w:r>
        <w:rPr>
          <w:rFonts w:hint="eastAsia" w:ascii="仿宋" w:hAnsi="仿宋" w:eastAsia="仿宋" w:cs="仿宋"/>
          <w:highlight w:val="none"/>
          <w:lang w:val="en-US"/>
        </w:rPr>
        <w:t>1</w:t>
      </w:r>
      <w:r>
        <w:rPr>
          <w:rFonts w:hint="eastAsia" w:ascii="仿宋" w:hAnsi="仿宋" w:eastAsia="仿宋" w:cs="仿宋"/>
          <w:highlight w:val="none"/>
        </w:rPr>
        <w:t>、凡须要签字盖章的，必须有符合采购文件规定要求的人员签字，公章必须是单位印章。</w:t>
      </w:r>
    </w:p>
    <w:p w14:paraId="07F19C1D">
      <w:pPr>
        <w:pStyle w:val="9"/>
        <w:spacing w:line="364" w:lineRule="auto"/>
        <w:ind w:left="0" w:firstLine="600"/>
        <w:rPr>
          <w:rFonts w:hint="eastAsia" w:ascii="仿宋" w:hAnsi="仿宋" w:eastAsia="仿宋" w:cs="仿宋"/>
          <w:highlight w:val="none"/>
        </w:rPr>
      </w:pPr>
      <w:r>
        <w:rPr>
          <w:rFonts w:hint="eastAsia" w:ascii="仿宋" w:hAnsi="仿宋" w:eastAsia="仿宋" w:cs="仿宋"/>
          <w:highlight w:val="none"/>
          <w:lang w:val="en-US"/>
        </w:rPr>
        <w:t>2</w:t>
      </w:r>
      <w:r>
        <w:rPr>
          <w:rFonts w:hint="eastAsia" w:ascii="仿宋" w:hAnsi="仿宋" w:eastAsia="仿宋" w:cs="仿宋"/>
          <w:highlight w:val="none"/>
        </w:rPr>
        <w:t>、凡有备注说明的，必须符合说明的要求。</w:t>
      </w:r>
    </w:p>
    <w:p w14:paraId="394BA415">
      <w:pPr>
        <w:pStyle w:val="9"/>
        <w:spacing w:line="364" w:lineRule="auto"/>
        <w:ind w:left="0" w:firstLine="600"/>
        <w:rPr>
          <w:rFonts w:hint="eastAsia" w:ascii="仿宋" w:hAnsi="仿宋" w:eastAsia="仿宋" w:cs="仿宋"/>
          <w:highlight w:val="none"/>
        </w:rPr>
      </w:pPr>
      <w:r>
        <w:rPr>
          <w:rFonts w:hint="eastAsia" w:ascii="仿宋" w:hAnsi="仿宋" w:eastAsia="仿宋" w:cs="仿宋"/>
          <w:highlight w:val="none"/>
          <w:lang w:val="en-US"/>
        </w:rPr>
        <w:t>3</w:t>
      </w:r>
      <w:r>
        <w:rPr>
          <w:rFonts w:hint="eastAsia" w:ascii="仿宋" w:hAnsi="仿宋" w:eastAsia="仿宋" w:cs="仿宋"/>
          <w:highlight w:val="none"/>
        </w:rPr>
        <w:t>、凡采购文件要求提供的，必须提供。否则，将视为不响应采购文件的实质性要求，可能投标文件将会被拒绝。</w:t>
      </w:r>
    </w:p>
    <w:p w14:paraId="29FF351B">
      <w:pPr>
        <w:rPr>
          <w:rFonts w:hint="eastAsia" w:ascii="仿宋" w:hAnsi="仿宋" w:eastAsia="仿宋" w:cs="仿宋"/>
          <w:highlight w:val="none"/>
        </w:rPr>
      </w:pPr>
      <w:r>
        <w:rPr>
          <w:rFonts w:hint="eastAsia" w:ascii="仿宋" w:hAnsi="仿宋" w:eastAsia="仿宋" w:cs="仿宋"/>
          <w:highlight w:val="none"/>
        </w:rPr>
        <w:br w:type="page"/>
      </w:r>
    </w:p>
    <w:p w14:paraId="791213C4">
      <w:pPr>
        <w:widowControl/>
        <w:rPr>
          <w:rFonts w:hint="eastAsia" w:ascii="仿宋" w:hAnsi="仿宋" w:eastAsia="仿宋" w:cs="仿宋"/>
          <w:b/>
          <w:bCs/>
          <w:sz w:val="24"/>
          <w:highlight w:val="none"/>
          <w:lang w:bidi="ar"/>
        </w:rPr>
      </w:pPr>
    </w:p>
    <w:p w14:paraId="23A07F2C">
      <w:pPr>
        <w:widowControl/>
        <w:outlineLvl w:val="9"/>
        <w:rPr>
          <w:rFonts w:hint="eastAsia" w:ascii="仿宋" w:hAnsi="仿宋" w:eastAsia="仿宋" w:cs="仿宋"/>
          <w:b/>
          <w:bCs/>
          <w:sz w:val="24"/>
          <w:highlight w:val="none"/>
          <w:lang w:bidi="ar"/>
        </w:rPr>
      </w:pPr>
      <w:bookmarkStart w:id="2" w:name="_Toc10196"/>
      <w:bookmarkStart w:id="3" w:name="_Toc155630094"/>
      <w:r>
        <w:rPr>
          <w:rFonts w:hint="eastAsia" w:ascii="仿宋" w:hAnsi="仿宋" w:eastAsia="仿宋" w:cs="仿宋"/>
          <w:b/>
          <w:bCs/>
          <w:sz w:val="24"/>
          <w:highlight w:val="none"/>
          <w:lang w:val="en-US" w:bidi="ar"/>
        </w:rPr>
        <w:t>投标</w:t>
      </w:r>
      <w:r>
        <w:rPr>
          <w:rFonts w:hint="eastAsia" w:ascii="仿宋" w:hAnsi="仿宋" w:eastAsia="仿宋" w:cs="仿宋"/>
          <w:b/>
          <w:bCs/>
          <w:sz w:val="24"/>
          <w:highlight w:val="none"/>
          <w:lang w:bidi="ar"/>
        </w:rPr>
        <w:t>文件封面（参考格式）</w:t>
      </w:r>
      <w:bookmarkEnd w:id="2"/>
      <w:bookmarkEnd w:id="3"/>
    </w:p>
    <w:p w14:paraId="6AAA575F">
      <w:pPr>
        <w:widowControl/>
        <w:rPr>
          <w:rFonts w:hint="eastAsia" w:ascii="仿宋" w:hAnsi="仿宋" w:eastAsia="仿宋" w:cs="仿宋"/>
          <w:b/>
          <w:bCs/>
          <w:sz w:val="84"/>
          <w:szCs w:val="84"/>
          <w:highlight w:val="none"/>
          <w:lang w:bidi="ar"/>
        </w:rPr>
      </w:pPr>
    </w:p>
    <w:p w14:paraId="2488EC54">
      <w:pPr>
        <w:widowControl/>
        <w:rPr>
          <w:rFonts w:hint="eastAsia" w:ascii="仿宋" w:hAnsi="仿宋" w:eastAsia="仿宋" w:cs="仿宋"/>
          <w:b/>
          <w:bCs/>
          <w:sz w:val="84"/>
          <w:szCs w:val="84"/>
          <w:highlight w:val="none"/>
          <w:lang w:bidi="ar"/>
        </w:rPr>
      </w:pPr>
    </w:p>
    <w:p w14:paraId="74B59BC4">
      <w:pPr>
        <w:widowControl/>
        <w:jc w:val="center"/>
        <w:rPr>
          <w:rFonts w:hint="eastAsia" w:ascii="仿宋" w:hAnsi="仿宋" w:eastAsia="仿宋" w:cs="仿宋"/>
          <w:highlight w:val="none"/>
        </w:rPr>
      </w:pPr>
      <w:r>
        <w:rPr>
          <w:rFonts w:hint="eastAsia" w:ascii="仿宋" w:hAnsi="仿宋" w:eastAsia="仿宋" w:cs="仿宋"/>
          <w:b/>
          <w:bCs/>
          <w:sz w:val="84"/>
          <w:szCs w:val="84"/>
          <w:highlight w:val="none"/>
          <w:lang w:val="en-US" w:bidi="ar"/>
        </w:rPr>
        <w:t>投标</w:t>
      </w:r>
      <w:r>
        <w:rPr>
          <w:rFonts w:hint="eastAsia" w:ascii="仿宋" w:hAnsi="仿宋" w:eastAsia="仿宋" w:cs="仿宋"/>
          <w:b/>
          <w:bCs/>
          <w:sz w:val="84"/>
          <w:szCs w:val="84"/>
          <w:highlight w:val="none"/>
          <w:lang w:bidi="ar"/>
        </w:rPr>
        <w:t>文件</w:t>
      </w:r>
    </w:p>
    <w:p w14:paraId="4688AE35">
      <w:pPr>
        <w:widowControl/>
        <w:rPr>
          <w:rFonts w:hint="eastAsia" w:ascii="仿宋" w:hAnsi="仿宋" w:eastAsia="仿宋" w:cs="仿宋"/>
          <w:b/>
          <w:bCs/>
          <w:sz w:val="52"/>
          <w:szCs w:val="52"/>
          <w:highlight w:val="none"/>
          <w:lang w:bidi="ar"/>
        </w:rPr>
      </w:pPr>
    </w:p>
    <w:p w14:paraId="39F61095">
      <w:pPr>
        <w:widowControl/>
        <w:rPr>
          <w:rFonts w:hint="eastAsia" w:ascii="仿宋" w:hAnsi="仿宋" w:eastAsia="仿宋" w:cs="仿宋"/>
          <w:b/>
          <w:bCs/>
          <w:sz w:val="52"/>
          <w:szCs w:val="52"/>
          <w:highlight w:val="none"/>
          <w:lang w:bidi="ar"/>
        </w:rPr>
      </w:pPr>
    </w:p>
    <w:p w14:paraId="4B763A6E">
      <w:pPr>
        <w:widowControl/>
        <w:rPr>
          <w:rFonts w:hint="eastAsia" w:ascii="仿宋" w:hAnsi="仿宋" w:eastAsia="仿宋" w:cs="仿宋"/>
          <w:highlight w:val="none"/>
        </w:rPr>
      </w:pPr>
      <w:r>
        <w:rPr>
          <w:rFonts w:hint="eastAsia" w:ascii="仿宋" w:hAnsi="仿宋" w:eastAsia="仿宋" w:cs="仿宋"/>
          <w:b/>
          <w:bCs/>
          <w:sz w:val="52"/>
          <w:szCs w:val="52"/>
          <w:highlight w:val="none"/>
          <w:lang w:bidi="ar"/>
        </w:rPr>
        <w:t xml:space="preserve"> </w:t>
      </w:r>
    </w:p>
    <w:p w14:paraId="007FCC91">
      <w:pPr>
        <w:widowControl/>
        <w:rPr>
          <w:rFonts w:hint="eastAsia" w:ascii="仿宋" w:hAnsi="仿宋" w:eastAsia="仿宋" w:cs="仿宋"/>
          <w:b/>
          <w:bCs/>
          <w:sz w:val="31"/>
          <w:szCs w:val="31"/>
          <w:highlight w:val="none"/>
          <w:lang w:bidi="ar"/>
        </w:rPr>
      </w:pPr>
    </w:p>
    <w:p w14:paraId="3F0186D3">
      <w:pPr>
        <w:widowControl/>
        <w:rPr>
          <w:rFonts w:hint="eastAsia" w:ascii="仿宋" w:hAnsi="仿宋" w:eastAsia="仿宋" w:cs="仿宋"/>
          <w:b/>
          <w:bCs/>
          <w:sz w:val="31"/>
          <w:szCs w:val="31"/>
          <w:highlight w:val="none"/>
          <w:lang w:bidi="ar"/>
        </w:rPr>
      </w:pPr>
    </w:p>
    <w:p w14:paraId="25B3572D">
      <w:pPr>
        <w:widowControl/>
        <w:rPr>
          <w:rFonts w:hint="eastAsia" w:ascii="仿宋" w:hAnsi="仿宋" w:eastAsia="仿宋" w:cs="仿宋"/>
          <w:b/>
          <w:bCs/>
          <w:sz w:val="31"/>
          <w:szCs w:val="31"/>
          <w:highlight w:val="none"/>
          <w:lang w:bidi="ar"/>
        </w:rPr>
      </w:pPr>
    </w:p>
    <w:p w14:paraId="79DBB5B2">
      <w:pPr>
        <w:widowControl/>
        <w:rPr>
          <w:rFonts w:hint="eastAsia" w:ascii="仿宋" w:hAnsi="仿宋" w:eastAsia="仿宋" w:cs="仿宋"/>
          <w:highlight w:val="none"/>
        </w:rPr>
      </w:pPr>
      <w:r>
        <w:rPr>
          <w:rFonts w:hint="eastAsia" w:ascii="仿宋" w:hAnsi="仿宋" w:eastAsia="仿宋" w:cs="仿宋"/>
          <w:b/>
          <w:bCs/>
          <w:sz w:val="31"/>
          <w:szCs w:val="31"/>
          <w:highlight w:val="none"/>
          <w:lang w:bidi="ar"/>
        </w:rPr>
        <w:t xml:space="preserve">项目名称: </w:t>
      </w:r>
    </w:p>
    <w:p w14:paraId="5A2F97D3">
      <w:pPr>
        <w:widowControl/>
        <w:rPr>
          <w:rFonts w:hint="eastAsia" w:ascii="仿宋" w:hAnsi="仿宋" w:eastAsia="仿宋" w:cs="仿宋"/>
          <w:highlight w:val="none"/>
        </w:rPr>
      </w:pPr>
      <w:r>
        <w:rPr>
          <w:rFonts w:hint="eastAsia" w:ascii="仿宋" w:hAnsi="仿宋" w:eastAsia="仿宋" w:cs="仿宋"/>
          <w:b/>
          <w:bCs/>
          <w:sz w:val="31"/>
          <w:szCs w:val="31"/>
          <w:highlight w:val="none"/>
          <w:lang w:bidi="ar"/>
        </w:rPr>
        <w:t xml:space="preserve">项目编号： </w:t>
      </w:r>
    </w:p>
    <w:p w14:paraId="1362E423">
      <w:pPr>
        <w:widowControl/>
        <w:rPr>
          <w:rFonts w:hint="eastAsia" w:ascii="仿宋" w:hAnsi="仿宋" w:eastAsia="仿宋" w:cs="仿宋"/>
          <w:b/>
          <w:bCs/>
          <w:sz w:val="31"/>
          <w:szCs w:val="31"/>
          <w:highlight w:val="none"/>
          <w:lang w:bidi="ar"/>
        </w:rPr>
      </w:pPr>
    </w:p>
    <w:p w14:paraId="78375C38">
      <w:pPr>
        <w:widowControl/>
        <w:rPr>
          <w:rFonts w:hint="eastAsia" w:ascii="仿宋" w:hAnsi="仿宋" w:eastAsia="仿宋" w:cs="仿宋"/>
          <w:b/>
          <w:bCs/>
          <w:sz w:val="31"/>
          <w:szCs w:val="31"/>
          <w:highlight w:val="none"/>
          <w:lang w:bidi="ar"/>
        </w:rPr>
      </w:pPr>
    </w:p>
    <w:p w14:paraId="6E34ED9E">
      <w:pPr>
        <w:widowControl/>
        <w:rPr>
          <w:rFonts w:hint="eastAsia" w:ascii="仿宋" w:hAnsi="仿宋" w:eastAsia="仿宋" w:cs="仿宋"/>
          <w:b/>
          <w:bCs/>
          <w:sz w:val="31"/>
          <w:szCs w:val="31"/>
          <w:highlight w:val="none"/>
          <w:lang w:bidi="ar"/>
        </w:rPr>
      </w:pPr>
      <w:r>
        <w:rPr>
          <w:rFonts w:hint="eastAsia" w:ascii="仿宋" w:hAnsi="仿宋" w:eastAsia="仿宋" w:cs="仿宋"/>
          <w:b/>
          <w:bCs/>
          <w:sz w:val="31"/>
          <w:szCs w:val="31"/>
          <w:highlight w:val="none"/>
          <w:lang w:bidi="ar"/>
        </w:rPr>
        <w:t>供应商名称（盖公章）：</w:t>
      </w:r>
    </w:p>
    <w:p w14:paraId="39B0DD5C">
      <w:pPr>
        <w:widowControl/>
        <w:rPr>
          <w:rFonts w:hint="eastAsia" w:ascii="仿宋" w:hAnsi="仿宋" w:eastAsia="仿宋" w:cs="仿宋"/>
          <w:b/>
          <w:bCs/>
          <w:sz w:val="31"/>
          <w:szCs w:val="31"/>
          <w:highlight w:val="none"/>
          <w:lang w:bidi="ar"/>
        </w:rPr>
      </w:pPr>
      <w:r>
        <w:rPr>
          <w:rFonts w:hint="eastAsia" w:ascii="仿宋" w:hAnsi="仿宋" w:eastAsia="仿宋" w:cs="仿宋"/>
          <w:b/>
          <w:bCs/>
          <w:sz w:val="31"/>
          <w:szCs w:val="31"/>
          <w:highlight w:val="none"/>
          <w:lang w:bidi="ar"/>
        </w:rPr>
        <w:t>法定代表人或其授权代表（签字或印鉴）：</w:t>
      </w:r>
    </w:p>
    <w:p w14:paraId="0635F687">
      <w:pPr>
        <w:widowControl/>
        <w:rPr>
          <w:rFonts w:hint="eastAsia" w:ascii="仿宋" w:hAnsi="仿宋" w:eastAsia="仿宋" w:cs="仿宋"/>
          <w:b/>
          <w:bCs/>
          <w:sz w:val="31"/>
          <w:szCs w:val="31"/>
          <w:highlight w:val="none"/>
          <w:lang w:bidi="ar"/>
        </w:rPr>
      </w:pPr>
    </w:p>
    <w:p w14:paraId="0D7FE7AB">
      <w:pPr>
        <w:widowControl/>
        <w:rPr>
          <w:rFonts w:hint="eastAsia" w:ascii="仿宋" w:hAnsi="仿宋" w:eastAsia="仿宋" w:cs="仿宋"/>
          <w:b/>
          <w:bCs/>
          <w:sz w:val="31"/>
          <w:szCs w:val="31"/>
          <w:highlight w:val="none"/>
          <w:lang w:bidi="ar"/>
        </w:rPr>
      </w:pPr>
    </w:p>
    <w:p w14:paraId="262185E8">
      <w:pP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379F3A5B">
      <w:pPr>
        <w:jc w:val="center"/>
        <w:rPr>
          <w:rFonts w:hint="eastAsia" w:ascii="仿宋" w:hAnsi="仿宋" w:eastAsia="仿宋" w:cs="仿宋"/>
          <w:b/>
          <w:bCs/>
          <w:sz w:val="24"/>
          <w:szCs w:val="24"/>
          <w:highlight w:val="none"/>
        </w:rPr>
      </w:pPr>
    </w:p>
    <w:p w14:paraId="54C759B4">
      <w:pPr>
        <w:rPr>
          <w:rFonts w:hint="eastAsia" w:ascii="仿宋" w:hAnsi="仿宋" w:eastAsia="仿宋" w:cs="仿宋"/>
          <w:highlight w:val="none"/>
        </w:rPr>
      </w:pPr>
    </w:p>
    <w:p w14:paraId="19D3B1A0">
      <w:pPr>
        <w:spacing w:before="58"/>
        <w:jc w:val="center"/>
        <w:rPr>
          <w:rFonts w:hint="eastAsia" w:ascii="仿宋" w:hAnsi="仿宋" w:eastAsia="仿宋" w:cs="仿宋"/>
          <w:b/>
          <w:sz w:val="30"/>
          <w:highlight w:val="none"/>
        </w:rPr>
      </w:pPr>
      <w:r>
        <w:rPr>
          <w:rFonts w:hint="eastAsia" w:ascii="仿宋" w:hAnsi="仿宋" w:eastAsia="仿宋" w:cs="仿宋"/>
          <w:b/>
          <w:sz w:val="30"/>
          <w:highlight w:val="none"/>
          <w:lang w:val="en-US"/>
        </w:rPr>
        <w:t xml:space="preserve">  </w:t>
      </w:r>
      <w:r>
        <w:rPr>
          <w:rFonts w:hint="eastAsia" w:ascii="仿宋" w:hAnsi="仿宋" w:eastAsia="仿宋" w:cs="仿宋"/>
          <w:b/>
          <w:sz w:val="30"/>
          <w:highlight w:val="none"/>
        </w:rPr>
        <w:t>投标函</w:t>
      </w:r>
    </w:p>
    <w:p w14:paraId="5B12A87C">
      <w:pPr>
        <w:pStyle w:val="9"/>
        <w:spacing w:before="0"/>
        <w:ind w:left="0" w:firstLine="480" w:firstLineChars="200"/>
        <w:rPr>
          <w:rFonts w:hint="eastAsia" w:ascii="仿宋" w:hAnsi="仿宋" w:eastAsia="仿宋" w:cs="仿宋"/>
          <w:highlight w:val="none"/>
          <w:lang w:val="en-US"/>
        </w:rPr>
      </w:pPr>
      <w:r>
        <w:rPr>
          <w:rFonts w:hint="eastAsia" w:ascii="仿宋" w:hAnsi="仿宋" w:eastAsia="仿宋" w:cs="仿宋"/>
          <w:highlight w:val="none"/>
        </w:rPr>
        <w:t>致：</w:t>
      </w:r>
      <w:r>
        <w:rPr>
          <w:rFonts w:hint="eastAsia" w:ascii="仿宋" w:hAnsi="仿宋" w:eastAsia="仿宋" w:cs="仿宋"/>
          <w:highlight w:val="none"/>
          <w:lang w:val="en-US"/>
        </w:rPr>
        <w:t>招标人</w:t>
      </w:r>
    </w:p>
    <w:p w14:paraId="1401588B">
      <w:pPr>
        <w:pStyle w:val="9"/>
        <w:tabs>
          <w:tab w:val="left" w:pos="3116"/>
        </w:tabs>
        <w:spacing w:before="0" w:line="364" w:lineRule="auto"/>
        <w:ind w:left="0" w:firstLine="482" w:firstLineChars="200"/>
        <w:jc w:val="both"/>
        <w:rPr>
          <w:rFonts w:hint="eastAsia" w:ascii="仿宋" w:hAnsi="仿宋" w:eastAsia="仿宋" w:cs="仿宋"/>
          <w:b/>
          <w:highlight w:val="none"/>
        </w:rPr>
      </w:pPr>
      <w:r>
        <w:rPr>
          <w:rFonts w:hint="eastAsia" w:ascii="仿宋" w:hAnsi="仿宋" w:eastAsia="仿宋" w:cs="仿宋"/>
          <w:b/>
          <w:highlight w:val="none"/>
        </w:rPr>
        <w:t>根据贵方为</w:t>
      </w:r>
      <w:r>
        <w:rPr>
          <w:rFonts w:hint="eastAsia" w:ascii="仿宋" w:hAnsi="仿宋" w:eastAsia="仿宋" w:cs="仿宋"/>
          <w:b/>
          <w:highlight w:val="none"/>
          <w:u w:val="single"/>
        </w:rPr>
        <w:t xml:space="preserve"> （项目名称）   </w:t>
      </w:r>
      <w:r>
        <w:rPr>
          <w:rFonts w:hint="eastAsia" w:ascii="仿宋" w:hAnsi="仿宋" w:eastAsia="仿宋" w:cs="仿宋"/>
          <w:b/>
          <w:highlight w:val="none"/>
        </w:rPr>
        <w:t>项目招标采购货物的投标邀请</w:t>
      </w:r>
      <w:r>
        <w:rPr>
          <w:rFonts w:hint="eastAsia" w:ascii="仿宋" w:hAnsi="仿宋" w:eastAsia="仿宋" w:cs="仿宋"/>
          <w:b/>
          <w:highlight w:val="none"/>
          <w:u w:val="single"/>
        </w:rPr>
        <w:t>（项目编号</w:t>
      </w:r>
      <w:r>
        <w:rPr>
          <w:rFonts w:hint="eastAsia" w:ascii="仿宋" w:hAnsi="仿宋" w:eastAsia="仿宋" w:cs="仿宋"/>
          <w:b/>
          <w:color w:val="auto"/>
          <w:highlight w:val="none"/>
          <w:u w:val="single"/>
          <w:shd w:val="clear" w:color="auto" w:fill="auto"/>
          <w:lang w:eastAsia="zh-CN"/>
        </w:rPr>
        <w:t>、</w:t>
      </w:r>
      <w:r>
        <w:rPr>
          <w:rFonts w:hint="eastAsia" w:ascii="仿宋" w:hAnsi="仿宋" w:eastAsia="仿宋" w:cs="仿宋"/>
          <w:b/>
          <w:color w:val="auto"/>
          <w:highlight w:val="none"/>
          <w:u w:val="single"/>
          <w:shd w:val="clear" w:color="auto" w:fill="auto"/>
          <w:lang w:val="en-US" w:eastAsia="zh-CN"/>
        </w:rPr>
        <w:t>标包</w:t>
      </w:r>
      <w:r>
        <w:rPr>
          <w:rFonts w:hint="eastAsia" w:ascii="仿宋" w:hAnsi="仿宋" w:eastAsia="仿宋" w:cs="仿宋"/>
          <w:b/>
          <w:highlight w:val="none"/>
          <w:u w:val="single"/>
        </w:rPr>
        <w:t xml:space="preserve">） </w:t>
      </w:r>
      <w:r>
        <w:rPr>
          <w:rFonts w:hint="eastAsia" w:ascii="仿宋" w:hAnsi="仿宋" w:eastAsia="仿宋" w:cs="仿宋"/>
          <w:b/>
          <w:highlight w:val="none"/>
        </w:rPr>
        <w:t>，签字代表</w:t>
      </w:r>
      <w:r>
        <w:rPr>
          <w:rFonts w:hint="eastAsia" w:ascii="仿宋" w:hAnsi="仿宋" w:eastAsia="仿宋" w:cs="仿宋"/>
          <w:b/>
          <w:highlight w:val="none"/>
          <w:u w:val="single"/>
        </w:rPr>
        <w:t>（姓名、职务）</w:t>
      </w:r>
      <w:r>
        <w:rPr>
          <w:rFonts w:hint="eastAsia" w:ascii="仿宋" w:hAnsi="仿宋" w:eastAsia="仿宋" w:cs="仿宋"/>
          <w:b/>
          <w:highlight w:val="none"/>
        </w:rPr>
        <w:t>经正式授权并代表投标人</w:t>
      </w:r>
      <w:r>
        <w:rPr>
          <w:rFonts w:hint="eastAsia" w:ascii="仿宋" w:hAnsi="仿宋" w:eastAsia="仿宋" w:cs="仿宋"/>
          <w:b/>
          <w:highlight w:val="none"/>
          <w:u w:val="single"/>
        </w:rPr>
        <w:t>（投标人名称、地址）</w:t>
      </w:r>
      <w:r>
        <w:rPr>
          <w:rFonts w:hint="eastAsia" w:ascii="仿宋" w:hAnsi="仿宋" w:eastAsia="仿宋" w:cs="仿宋"/>
          <w:b/>
          <w:highlight w:val="none"/>
        </w:rPr>
        <w:t>提交下述文件。</w:t>
      </w:r>
    </w:p>
    <w:p w14:paraId="0D597EAA">
      <w:pPr>
        <w:pStyle w:val="9"/>
        <w:tabs>
          <w:tab w:val="left" w:pos="3116"/>
        </w:tabs>
        <w:spacing w:before="0" w:line="364" w:lineRule="auto"/>
        <w:ind w:left="0" w:firstLine="482" w:firstLineChars="200"/>
        <w:jc w:val="both"/>
        <w:rPr>
          <w:rFonts w:hint="eastAsia" w:ascii="仿宋" w:hAnsi="仿宋" w:eastAsia="仿宋" w:cs="仿宋"/>
          <w:b/>
          <w:highlight w:val="none"/>
        </w:rPr>
      </w:pPr>
      <w:r>
        <w:rPr>
          <w:rFonts w:hint="eastAsia" w:ascii="仿宋" w:hAnsi="仿宋" w:eastAsia="仿宋" w:cs="仿宋"/>
          <w:b/>
          <w:highlight w:val="none"/>
        </w:rPr>
        <w:t>据此函，签字代表宣布并同意如下：</w:t>
      </w:r>
    </w:p>
    <w:p w14:paraId="3527C304">
      <w:pPr>
        <w:pStyle w:val="28"/>
        <w:numPr>
          <w:ilvl w:val="0"/>
          <w:numId w:val="11"/>
        </w:numPr>
        <w:tabs>
          <w:tab w:val="left" w:pos="1881"/>
        </w:tabs>
        <w:spacing w:before="0" w:line="360" w:lineRule="auto"/>
        <w:ind w:left="-40" w:firstLine="480"/>
        <w:jc w:val="both"/>
        <w:rPr>
          <w:rFonts w:hint="eastAsia" w:ascii="仿宋" w:hAnsi="仿宋" w:eastAsia="仿宋" w:cs="仿宋"/>
          <w:sz w:val="24"/>
          <w:highlight w:val="none"/>
        </w:rPr>
      </w:pPr>
      <w:r>
        <w:rPr>
          <w:rFonts w:hint="eastAsia" w:ascii="仿宋" w:hAnsi="仿宋" w:eastAsia="仿宋" w:cs="仿宋"/>
          <w:sz w:val="24"/>
          <w:highlight w:val="none"/>
        </w:rPr>
        <w:t>开标一览表</w:t>
      </w:r>
    </w:p>
    <w:p w14:paraId="75928D3F">
      <w:pPr>
        <w:pStyle w:val="28"/>
        <w:numPr>
          <w:ilvl w:val="0"/>
          <w:numId w:val="11"/>
        </w:numPr>
        <w:tabs>
          <w:tab w:val="left" w:pos="1881"/>
        </w:tabs>
        <w:spacing w:before="0" w:line="360" w:lineRule="auto"/>
        <w:ind w:left="-40" w:firstLine="480"/>
        <w:jc w:val="both"/>
        <w:rPr>
          <w:rFonts w:hint="eastAsia" w:ascii="仿宋" w:hAnsi="仿宋" w:eastAsia="仿宋" w:cs="仿宋"/>
          <w:sz w:val="24"/>
          <w:highlight w:val="none"/>
        </w:rPr>
      </w:pPr>
      <w:r>
        <w:rPr>
          <w:rFonts w:hint="eastAsia" w:ascii="仿宋" w:hAnsi="仿宋" w:eastAsia="仿宋" w:cs="仿宋"/>
          <w:sz w:val="24"/>
          <w:highlight w:val="none"/>
          <w:lang w:val="en-US"/>
        </w:rPr>
        <w:t>报价明细</w:t>
      </w:r>
      <w:r>
        <w:rPr>
          <w:rFonts w:hint="eastAsia" w:ascii="仿宋" w:hAnsi="仿宋" w:eastAsia="仿宋" w:cs="仿宋"/>
          <w:sz w:val="24"/>
          <w:highlight w:val="none"/>
        </w:rPr>
        <w:t>表</w:t>
      </w:r>
    </w:p>
    <w:p w14:paraId="2D0DBC40">
      <w:pPr>
        <w:pStyle w:val="28"/>
        <w:numPr>
          <w:ilvl w:val="0"/>
          <w:numId w:val="11"/>
        </w:numPr>
        <w:tabs>
          <w:tab w:val="left" w:pos="1881"/>
        </w:tabs>
        <w:spacing w:before="0" w:line="360" w:lineRule="auto"/>
        <w:ind w:left="-40" w:firstLine="480"/>
        <w:rPr>
          <w:rFonts w:hint="eastAsia" w:ascii="仿宋" w:hAnsi="仿宋" w:eastAsia="仿宋" w:cs="仿宋"/>
          <w:sz w:val="24"/>
          <w:highlight w:val="none"/>
        </w:rPr>
      </w:pPr>
      <w:r>
        <w:rPr>
          <w:rFonts w:hint="eastAsia" w:ascii="仿宋" w:hAnsi="仿宋" w:eastAsia="仿宋" w:cs="仿宋"/>
          <w:sz w:val="24"/>
          <w:highlight w:val="none"/>
          <w:lang w:val="en-US"/>
        </w:rPr>
        <w:t>技术、商务</w:t>
      </w:r>
      <w:r>
        <w:rPr>
          <w:rFonts w:hint="eastAsia" w:ascii="仿宋" w:hAnsi="仿宋" w:eastAsia="仿宋" w:cs="仿宋"/>
          <w:sz w:val="24"/>
          <w:highlight w:val="none"/>
        </w:rPr>
        <w:t>偏离表</w:t>
      </w:r>
    </w:p>
    <w:p w14:paraId="09285D59">
      <w:pPr>
        <w:pStyle w:val="28"/>
        <w:numPr>
          <w:ilvl w:val="0"/>
          <w:numId w:val="11"/>
        </w:numPr>
        <w:tabs>
          <w:tab w:val="left" w:pos="1881"/>
        </w:tabs>
        <w:spacing w:before="0" w:line="360" w:lineRule="auto"/>
        <w:ind w:left="-40" w:firstLine="480"/>
        <w:rPr>
          <w:rFonts w:hint="eastAsia" w:ascii="仿宋" w:hAnsi="仿宋" w:eastAsia="仿宋" w:cs="仿宋"/>
          <w:sz w:val="24"/>
          <w:highlight w:val="none"/>
        </w:rPr>
      </w:pPr>
      <w:r>
        <w:rPr>
          <w:rFonts w:hint="eastAsia" w:ascii="仿宋" w:hAnsi="仿宋" w:eastAsia="仿宋" w:cs="仿宋"/>
          <w:sz w:val="24"/>
          <w:highlight w:val="none"/>
        </w:rPr>
        <w:t>资格证明文件</w:t>
      </w:r>
    </w:p>
    <w:p w14:paraId="1A080740">
      <w:pPr>
        <w:pStyle w:val="28"/>
        <w:numPr>
          <w:ilvl w:val="0"/>
          <w:numId w:val="11"/>
        </w:numPr>
        <w:tabs>
          <w:tab w:val="left" w:pos="1881"/>
        </w:tabs>
        <w:spacing w:before="0" w:line="360" w:lineRule="auto"/>
        <w:ind w:left="-40" w:firstLine="480"/>
        <w:rPr>
          <w:rFonts w:hint="eastAsia" w:ascii="仿宋" w:hAnsi="仿宋" w:eastAsia="仿宋" w:cs="仿宋"/>
          <w:sz w:val="24"/>
          <w:highlight w:val="none"/>
        </w:rPr>
      </w:pPr>
      <w:r>
        <w:rPr>
          <w:rFonts w:hint="eastAsia" w:ascii="仿宋" w:hAnsi="仿宋" w:eastAsia="仿宋" w:cs="仿宋"/>
          <w:sz w:val="24"/>
          <w:highlight w:val="none"/>
          <w:lang w:val="en-US"/>
        </w:rPr>
        <w:t>技术服务方案</w:t>
      </w:r>
    </w:p>
    <w:p w14:paraId="1E074F35">
      <w:pPr>
        <w:pStyle w:val="28"/>
        <w:numPr>
          <w:ilvl w:val="0"/>
          <w:numId w:val="11"/>
        </w:numPr>
        <w:tabs>
          <w:tab w:val="left" w:pos="1881"/>
        </w:tabs>
        <w:spacing w:before="0" w:line="360" w:lineRule="auto"/>
        <w:ind w:left="-40" w:firstLine="480"/>
        <w:rPr>
          <w:rFonts w:hint="eastAsia" w:ascii="仿宋" w:hAnsi="仿宋" w:eastAsia="仿宋" w:cs="仿宋"/>
          <w:sz w:val="24"/>
          <w:highlight w:val="none"/>
        </w:rPr>
      </w:pPr>
      <w:r>
        <w:rPr>
          <w:rFonts w:hint="eastAsia" w:ascii="仿宋" w:hAnsi="仿宋" w:eastAsia="仿宋" w:cs="仿宋"/>
          <w:sz w:val="24"/>
          <w:highlight w:val="none"/>
        </w:rPr>
        <w:t>按采购文件要求提供有关文件</w:t>
      </w:r>
    </w:p>
    <w:p w14:paraId="7AC55910">
      <w:pPr>
        <w:pStyle w:val="28"/>
        <w:numPr>
          <w:ilvl w:val="0"/>
          <w:numId w:val="11"/>
        </w:numPr>
        <w:tabs>
          <w:tab w:val="left" w:pos="1881"/>
          <w:tab w:val="left" w:pos="6680"/>
        </w:tabs>
        <w:spacing w:before="0" w:line="360" w:lineRule="auto"/>
        <w:ind w:left="-40" w:firstLine="480"/>
        <w:rPr>
          <w:rFonts w:hint="eastAsia" w:ascii="仿宋" w:hAnsi="仿宋" w:eastAsia="仿宋" w:cs="仿宋"/>
          <w:sz w:val="24"/>
          <w:highlight w:val="none"/>
        </w:rPr>
      </w:pPr>
      <w:r>
        <w:rPr>
          <w:rFonts w:hint="eastAsia" w:ascii="仿宋" w:hAnsi="仿宋" w:eastAsia="仿宋" w:cs="仿宋"/>
          <w:sz w:val="24"/>
          <w:highlight w:val="none"/>
        </w:rPr>
        <w:t>投标保证金，金额为</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rPr>
        <w:tab/>
      </w:r>
      <w:r>
        <w:rPr>
          <w:rFonts w:hint="eastAsia" w:ascii="仿宋" w:hAnsi="仿宋" w:eastAsia="仿宋" w:cs="仿宋"/>
          <w:sz w:val="24"/>
          <w:highlight w:val="none"/>
        </w:rPr>
        <w:t>。。</w:t>
      </w:r>
    </w:p>
    <w:p w14:paraId="4FB63009">
      <w:pPr>
        <w:pStyle w:val="9"/>
        <w:numPr>
          <w:ilvl w:val="0"/>
          <w:numId w:val="12"/>
        </w:numPr>
        <w:tabs>
          <w:tab w:val="left" w:pos="-220"/>
        </w:tabs>
        <w:spacing w:before="0" w:line="364" w:lineRule="auto"/>
        <w:ind w:left="0" w:firstLine="480" w:firstLineChars="200"/>
        <w:rPr>
          <w:rFonts w:hint="eastAsia" w:ascii="仿宋" w:hAnsi="仿宋" w:eastAsia="仿宋" w:cs="仿宋"/>
          <w:highlight w:val="none"/>
        </w:rPr>
      </w:pPr>
      <w:r>
        <w:rPr>
          <w:rFonts w:hint="eastAsia" w:ascii="仿宋" w:hAnsi="仿宋" w:eastAsia="仿宋" w:cs="仿宋"/>
          <w:highlight w:val="none"/>
        </w:rPr>
        <w:t>所附投标报价表中规定的应提交和交付的货物和服务投标总价为</w:t>
      </w:r>
      <w:r>
        <w:rPr>
          <w:rFonts w:hint="eastAsia" w:ascii="仿宋" w:hAnsi="仿宋" w:eastAsia="仿宋" w:cs="仿宋"/>
          <w:highlight w:val="none"/>
          <w:lang w:val="en-US"/>
        </w:rPr>
        <w:t xml:space="preserve">  </w:t>
      </w:r>
      <w:r>
        <w:rPr>
          <w:rFonts w:hint="eastAsia" w:ascii="仿宋" w:hAnsi="仿宋" w:eastAsia="仿宋" w:cs="仿宋"/>
          <w:highlight w:val="none"/>
          <w:u w:val="single"/>
        </w:rPr>
        <w:t>（注明币种</w:t>
      </w:r>
      <w:r>
        <w:rPr>
          <w:rFonts w:hint="eastAsia" w:ascii="仿宋" w:hAnsi="仿宋" w:eastAsia="仿宋" w:cs="仿宋"/>
          <w:highlight w:val="none"/>
          <w:u w:val="single"/>
          <w:lang w:val="en-US"/>
        </w:rPr>
        <w:t xml:space="preserve">     </w:t>
      </w:r>
      <w:r>
        <w:rPr>
          <w:rFonts w:hint="eastAsia" w:ascii="仿宋" w:hAnsi="仿宋" w:eastAsia="仿宋" w:cs="仿宋"/>
          <w:highlight w:val="none"/>
          <w:u w:val="single"/>
        </w:rPr>
        <w:t>，</w:t>
      </w:r>
      <w:r>
        <w:rPr>
          <w:rFonts w:hint="eastAsia" w:ascii="仿宋" w:hAnsi="仿宋" w:eastAsia="仿宋" w:cs="仿宋"/>
          <w:highlight w:val="none"/>
          <w:u w:val="single"/>
        </w:rPr>
        <w:tab/>
      </w:r>
      <w:r>
        <w:rPr>
          <w:rFonts w:hint="eastAsia" w:ascii="仿宋" w:hAnsi="仿宋" w:eastAsia="仿宋" w:cs="仿宋"/>
          <w:highlight w:val="none"/>
          <w:u w:val="single"/>
        </w:rPr>
        <w:t>并用文字和数字表示的投标总价）。</w:t>
      </w:r>
    </w:p>
    <w:p w14:paraId="555190DE">
      <w:pPr>
        <w:pStyle w:val="9"/>
        <w:spacing w:before="0"/>
        <w:ind w:left="0"/>
        <w:rPr>
          <w:rFonts w:hint="eastAsia" w:ascii="仿宋" w:hAnsi="仿宋" w:eastAsia="仿宋" w:cs="仿宋"/>
          <w:highlight w:val="none"/>
        </w:rPr>
      </w:pPr>
      <w:r>
        <w:rPr>
          <w:rFonts w:hint="eastAsia" w:ascii="仿宋" w:hAnsi="仿宋" w:eastAsia="仿宋" w:cs="仿宋"/>
          <w:highlight w:val="none"/>
          <w:lang w:val="en-US"/>
        </w:rPr>
        <w:t xml:space="preserve">    </w:t>
      </w:r>
      <w:r>
        <w:rPr>
          <w:rFonts w:hint="eastAsia" w:ascii="仿宋" w:hAnsi="仿宋" w:eastAsia="仿宋" w:cs="仿宋"/>
          <w:highlight w:val="none"/>
        </w:rPr>
        <w:t>2、投标人将按采购文件的规定履行合同责任和义务；</w:t>
      </w:r>
    </w:p>
    <w:p w14:paraId="797FFDB5">
      <w:pPr>
        <w:pStyle w:val="9"/>
        <w:spacing w:before="0" w:line="364" w:lineRule="auto"/>
        <w:ind w:left="0" w:firstLine="480" w:firstLineChars="200"/>
        <w:rPr>
          <w:rFonts w:hint="eastAsia" w:ascii="仿宋" w:hAnsi="仿宋" w:eastAsia="仿宋" w:cs="仿宋"/>
          <w:highlight w:val="none"/>
        </w:rPr>
      </w:pPr>
      <w:r>
        <w:rPr>
          <w:rFonts w:hint="eastAsia" w:ascii="仿宋" w:hAnsi="仿宋" w:eastAsia="仿宋" w:cs="仿宋"/>
          <w:highlight w:val="none"/>
        </w:rPr>
        <w:t>3、投标人已详细阅读并理解了采购文件的全部，包括修改文件。我们完全理解并同意放弃对这方面有不明及误解的权利。</w:t>
      </w:r>
    </w:p>
    <w:p w14:paraId="22989EF0">
      <w:pPr>
        <w:pStyle w:val="9"/>
        <w:tabs>
          <w:tab w:val="left" w:pos="5151"/>
        </w:tabs>
        <w:spacing w:before="0"/>
        <w:ind w:left="0" w:firstLine="480" w:firstLineChars="200"/>
        <w:rPr>
          <w:rFonts w:hint="eastAsia" w:ascii="仿宋" w:hAnsi="仿宋" w:eastAsia="仿宋" w:cs="仿宋"/>
          <w:highlight w:val="none"/>
        </w:rPr>
      </w:pPr>
      <w:r>
        <w:rPr>
          <w:rFonts w:hint="eastAsia" w:ascii="仿宋" w:hAnsi="仿宋" w:eastAsia="仿宋" w:cs="仿宋"/>
          <w:highlight w:val="none"/>
        </w:rPr>
        <w:t>4、本投标有效期自开标之日起</w:t>
      </w:r>
      <w:r>
        <w:rPr>
          <w:rFonts w:hint="eastAsia" w:ascii="仿宋" w:hAnsi="仿宋" w:eastAsia="仿宋" w:cs="仿宋"/>
          <w:highlight w:val="none"/>
          <w:u w:val="single"/>
        </w:rPr>
        <w:t xml:space="preserve"> </w:t>
      </w:r>
      <w:r>
        <w:rPr>
          <w:rFonts w:hint="eastAsia" w:ascii="仿宋" w:hAnsi="仿宋" w:eastAsia="仿宋" w:cs="仿宋"/>
          <w:highlight w:val="none"/>
          <w:u w:val="single"/>
        </w:rPr>
        <w:tab/>
      </w:r>
      <w:r>
        <w:rPr>
          <w:rFonts w:hint="eastAsia" w:ascii="仿宋" w:hAnsi="仿宋" w:eastAsia="仿宋" w:cs="仿宋"/>
          <w:highlight w:val="none"/>
        </w:rPr>
        <w:t>个日历日。</w:t>
      </w:r>
    </w:p>
    <w:p w14:paraId="4DECF80E">
      <w:pPr>
        <w:pStyle w:val="9"/>
        <w:spacing w:before="0" w:line="364" w:lineRule="auto"/>
        <w:ind w:left="0" w:firstLine="480" w:firstLineChars="200"/>
        <w:rPr>
          <w:rFonts w:hint="eastAsia" w:ascii="仿宋" w:hAnsi="仿宋" w:eastAsia="仿宋" w:cs="仿宋"/>
          <w:highlight w:val="none"/>
        </w:rPr>
      </w:pPr>
      <w:r>
        <w:rPr>
          <w:rFonts w:hint="eastAsia" w:ascii="仿宋" w:hAnsi="仿宋" w:eastAsia="仿宋" w:cs="仿宋"/>
          <w:highlight w:val="none"/>
        </w:rPr>
        <w:t>5、在规定的开标时间后，如果在投标有效期内撤回投标，同意投标保证金将被贵方没收。</w:t>
      </w:r>
    </w:p>
    <w:p w14:paraId="5FB55C14">
      <w:pPr>
        <w:pStyle w:val="9"/>
        <w:spacing w:before="0" w:line="364" w:lineRule="auto"/>
        <w:ind w:left="0" w:firstLine="480" w:firstLineChars="200"/>
        <w:rPr>
          <w:rFonts w:hint="eastAsia" w:ascii="仿宋" w:hAnsi="仿宋" w:eastAsia="仿宋" w:cs="仿宋"/>
          <w:highlight w:val="none"/>
        </w:rPr>
      </w:pPr>
      <w:r>
        <w:rPr>
          <w:rFonts w:hint="eastAsia" w:ascii="仿宋" w:hAnsi="仿宋" w:eastAsia="仿宋" w:cs="仿宋"/>
          <w:highlight w:val="none"/>
        </w:rPr>
        <w:t>6、投标人同意提供按照贵方可能要求的与其投标有关的一切数据或资料，完全理解贵方不一定接受最低价的投标或收到的任何投标的约定。</w:t>
      </w:r>
    </w:p>
    <w:p w14:paraId="1BE4E8CA">
      <w:pPr>
        <w:pStyle w:val="9"/>
        <w:spacing w:before="0"/>
        <w:ind w:left="0" w:firstLine="480" w:firstLineChars="200"/>
        <w:rPr>
          <w:rFonts w:hint="eastAsia" w:ascii="仿宋" w:hAnsi="仿宋" w:eastAsia="仿宋" w:cs="仿宋"/>
          <w:highlight w:val="none"/>
        </w:rPr>
      </w:pPr>
      <w:r>
        <w:rPr>
          <w:rFonts w:hint="eastAsia" w:ascii="仿宋" w:hAnsi="仿宋" w:eastAsia="仿宋" w:cs="仿宋"/>
          <w:highlight w:val="none"/>
        </w:rPr>
        <w:t>7、与本投标有关的一切正式往来信函请寄：</w:t>
      </w:r>
    </w:p>
    <w:p w14:paraId="27EC0975">
      <w:pPr>
        <w:pStyle w:val="9"/>
        <w:spacing w:before="0"/>
        <w:ind w:left="0" w:firstLine="480" w:firstLineChars="200"/>
        <w:rPr>
          <w:rFonts w:hint="eastAsia" w:ascii="仿宋" w:hAnsi="仿宋" w:eastAsia="仿宋" w:cs="仿宋"/>
          <w:highlight w:val="none"/>
        </w:rPr>
      </w:pPr>
    </w:p>
    <w:p w14:paraId="51ABCA29">
      <w:pPr>
        <w:pStyle w:val="9"/>
        <w:spacing w:before="0" w:line="364" w:lineRule="auto"/>
        <w:ind w:left="0" w:firstLine="480" w:firstLineChars="200"/>
        <w:rPr>
          <w:rFonts w:hint="eastAsia" w:ascii="仿宋" w:hAnsi="仿宋" w:eastAsia="仿宋" w:cs="仿宋"/>
          <w:highlight w:val="none"/>
        </w:rPr>
      </w:pPr>
      <w:r>
        <w:rPr>
          <w:rFonts w:hint="eastAsia" w:ascii="仿宋" w:hAnsi="仿宋" w:eastAsia="仿宋" w:cs="仿宋"/>
          <w:highlight w:val="none"/>
        </w:rPr>
        <w:t>投标人名称（盖章）：</w:t>
      </w:r>
      <w:r>
        <w:rPr>
          <w:rFonts w:hint="eastAsia" w:ascii="仿宋" w:hAnsi="仿宋" w:eastAsia="仿宋" w:cs="仿宋"/>
          <w:highlight w:val="none"/>
          <w:u w:val="single"/>
          <w:lang w:val="en-US"/>
        </w:rPr>
        <w:t xml:space="preserve">                       </w:t>
      </w:r>
      <w:r>
        <w:rPr>
          <w:rFonts w:hint="eastAsia" w:ascii="仿宋" w:hAnsi="仿宋" w:eastAsia="仿宋" w:cs="仿宋"/>
          <w:highlight w:val="none"/>
          <w:lang w:val="en-US"/>
        </w:rPr>
        <w:t xml:space="preserve">              </w:t>
      </w:r>
      <w:r>
        <w:rPr>
          <w:rFonts w:hint="eastAsia" w:ascii="仿宋" w:hAnsi="仿宋" w:eastAsia="仿宋" w:cs="仿宋"/>
          <w:highlight w:val="none"/>
        </w:rPr>
        <w:t xml:space="preserve"> </w:t>
      </w:r>
    </w:p>
    <w:p w14:paraId="6958DC93">
      <w:pPr>
        <w:pStyle w:val="9"/>
        <w:spacing w:before="0" w:line="364" w:lineRule="auto"/>
        <w:ind w:left="0" w:firstLine="480" w:firstLineChars="200"/>
        <w:rPr>
          <w:rFonts w:hint="eastAsia" w:ascii="仿宋" w:hAnsi="仿宋" w:eastAsia="仿宋" w:cs="仿宋"/>
          <w:highlight w:val="none"/>
          <w:lang w:val="en-US"/>
        </w:rPr>
      </w:pPr>
      <w:r>
        <w:rPr>
          <w:rFonts w:hint="eastAsia" w:ascii="仿宋" w:hAnsi="仿宋" w:eastAsia="仿宋" w:cs="仿宋"/>
          <w:highlight w:val="none"/>
        </w:rPr>
        <w:t>法定代表人或委托代理人签字（或盖章）：</w:t>
      </w:r>
      <w:r>
        <w:rPr>
          <w:rFonts w:hint="eastAsia" w:ascii="仿宋" w:hAnsi="仿宋" w:eastAsia="仿宋" w:cs="仿宋"/>
          <w:highlight w:val="none"/>
          <w:u w:val="single"/>
          <w:lang w:val="en-US"/>
        </w:rPr>
        <w:t xml:space="preserve">                 </w:t>
      </w:r>
      <w:r>
        <w:rPr>
          <w:rFonts w:hint="eastAsia" w:ascii="仿宋" w:hAnsi="仿宋" w:eastAsia="仿宋" w:cs="仿宋"/>
          <w:highlight w:val="none"/>
          <w:lang w:val="en-US"/>
        </w:rPr>
        <w:t xml:space="preserve">                        </w:t>
      </w:r>
      <w:r>
        <w:rPr>
          <w:rFonts w:hint="eastAsia" w:ascii="仿宋" w:hAnsi="仿宋" w:eastAsia="仿宋" w:cs="仿宋"/>
          <w:highlight w:val="none"/>
        </w:rPr>
        <w:t xml:space="preserve">  </w:t>
      </w:r>
      <w:r>
        <w:rPr>
          <w:rFonts w:hint="eastAsia" w:ascii="仿宋" w:hAnsi="仿宋" w:eastAsia="仿宋" w:cs="仿宋"/>
          <w:highlight w:val="none"/>
          <w:lang w:val="en-US"/>
        </w:rPr>
        <w:t xml:space="preserve">                          </w:t>
      </w:r>
    </w:p>
    <w:p w14:paraId="5EF4C2CB">
      <w:pPr>
        <w:pStyle w:val="9"/>
        <w:spacing w:before="0" w:line="364" w:lineRule="auto"/>
        <w:ind w:left="0" w:firstLine="480" w:firstLineChars="200"/>
        <w:rPr>
          <w:rFonts w:hint="eastAsia" w:ascii="仿宋" w:hAnsi="仿宋" w:eastAsia="仿宋" w:cs="仿宋"/>
          <w:highlight w:val="none"/>
          <w:lang w:val="en-US"/>
        </w:rPr>
      </w:pPr>
      <w:r>
        <w:rPr>
          <w:rFonts w:hint="eastAsia" w:ascii="仿宋" w:hAnsi="仿宋" w:eastAsia="仿宋" w:cs="仿宋"/>
          <w:highlight w:val="none"/>
        </w:rPr>
        <w:t>地</w:t>
      </w:r>
      <w:r>
        <w:rPr>
          <w:rFonts w:hint="eastAsia" w:ascii="仿宋" w:hAnsi="仿宋" w:eastAsia="仿宋" w:cs="仿宋"/>
          <w:highlight w:val="none"/>
          <w:lang w:val="en-US"/>
        </w:rPr>
        <w:t xml:space="preserve"> </w:t>
      </w:r>
      <w:r>
        <w:rPr>
          <w:rFonts w:hint="eastAsia" w:ascii="仿宋" w:hAnsi="仿宋" w:eastAsia="仿宋" w:cs="仿宋"/>
          <w:highlight w:val="none"/>
        </w:rPr>
        <w:t>址：</w:t>
      </w:r>
      <w:r>
        <w:rPr>
          <w:rFonts w:hint="eastAsia" w:ascii="仿宋" w:hAnsi="仿宋" w:eastAsia="仿宋" w:cs="仿宋"/>
          <w:highlight w:val="none"/>
          <w:u w:val="single"/>
          <w:lang w:val="en-US"/>
        </w:rPr>
        <w:t xml:space="preserve">                       </w:t>
      </w:r>
      <w:r>
        <w:rPr>
          <w:rFonts w:hint="eastAsia" w:ascii="仿宋" w:hAnsi="仿宋" w:eastAsia="仿宋" w:cs="仿宋"/>
          <w:highlight w:val="none"/>
        </w:rPr>
        <w:t xml:space="preserve"> </w:t>
      </w:r>
      <w:r>
        <w:rPr>
          <w:rFonts w:hint="eastAsia" w:ascii="仿宋" w:hAnsi="仿宋" w:eastAsia="仿宋" w:cs="仿宋"/>
          <w:highlight w:val="none"/>
          <w:lang w:val="en-US"/>
        </w:rPr>
        <w:t xml:space="preserve">         </w:t>
      </w:r>
      <w:r>
        <w:rPr>
          <w:rFonts w:hint="eastAsia" w:ascii="仿宋" w:hAnsi="仿宋" w:eastAsia="仿宋" w:cs="仿宋"/>
          <w:highlight w:val="none"/>
        </w:rPr>
        <w:tab/>
      </w:r>
      <w:r>
        <w:rPr>
          <w:rFonts w:hint="eastAsia" w:ascii="仿宋" w:hAnsi="仿宋" w:eastAsia="仿宋" w:cs="仿宋"/>
          <w:highlight w:val="none"/>
          <w:lang w:val="en-US"/>
        </w:rPr>
        <w:t xml:space="preserve">      </w:t>
      </w:r>
    </w:p>
    <w:p w14:paraId="70F7A155">
      <w:pPr>
        <w:pStyle w:val="9"/>
        <w:spacing w:before="0" w:line="364" w:lineRule="auto"/>
        <w:ind w:left="0" w:firstLine="480" w:firstLineChars="200"/>
        <w:rPr>
          <w:rFonts w:hint="eastAsia" w:ascii="仿宋" w:hAnsi="仿宋" w:eastAsia="仿宋" w:cs="仿宋"/>
          <w:b/>
          <w:bCs/>
          <w:highlight w:val="none"/>
        </w:rPr>
      </w:pPr>
      <w:r>
        <w:rPr>
          <w:rFonts w:hint="eastAsia" w:ascii="仿宋" w:hAnsi="仿宋" w:eastAsia="仿宋" w:cs="仿宋"/>
          <w:highlight w:val="none"/>
        </w:rPr>
        <w:t>电话：</w:t>
      </w:r>
      <w:r>
        <w:rPr>
          <w:rFonts w:hint="eastAsia" w:ascii="仿宋" w:hAnsi="仿宋" w:eastAsia="仿宋" w:cs="仿宋"/>
          <w:highlight w:val="none"/>
          <w:u w:val="single"/>
          <w:lang w:val="en-US"/>
        </w:rPr>
        <w:t xml:space="preserve">                       </w:t>
      </w:r>
      <w:r>
        <w:rPr>
          <w:rFonts w:hint="eastAsia" w:ascii="仿宋" w:hAnsi="仿宋" w:eastAsia="仿宋" w:cs="仿宋"/>
          <w:highlight w:val="none"/>
          <w:lang w:val="en-US"/>
        </w:rPr>
        <w:t xml:space="preserve"> </w:t>
      </w:r>
      <w:r>
        <w:rPr>
          <w:rFonts w:hint="eastAsia" w:ascii="仿宋" w:hAnsi="仿宋" w:eastAsia="仿宋" w:cs="仿宋"/>
          <w:b/>
          <w:bCs/>
          <w:highlight w:val="none"/>
          <w:lang w:val="en-US"/>
        </w:rPr>
        <w:t xml:space="preserve">        </w:t>
      </w:r>
      <w:r>
        <w:rPr>
          <w:rFonts w:hint="eastAsia" w:ascii="仿宋" w:hAnsi="仿宋" w:eastAsia="仿宋" w:cs="仿宋"/>
          <w:b/>
          <w:bCs/>
          <w:highlight w:val="none"/>
        </w:rPr>
        <w:t xml:space="preserve"> </w:t>
      </w:r>
      <w:r>
        <w:rPr>
          <w:rFonts w:hint="eastAsia" w:ascii="仿宋" w:hAnsi="仿宋" w:eastAsia="仿宋" w:cs="仿宋"/>
          <w:b/>
          <w:bCs/>
          <w:highlight w:val="none"/>
        </w:rPr>
        <w:tab/>
      </w:r>
    </w:p>
    <w:p w14:paraId="2259051E">
      <w:pPr>
        <w:pStyle w:val="9"/>
        <w:tabs>
          <w:tab w:val="left" w:pos="2917"/>
          <w:tab w:val="left" w:pos="5496"/>
        </w:tabs>
        <w:spacing w:before="0"/>
        <w:ind w:left="0" w:firstLine="480" w:firstLineChars="200"/>
        <w:jc w:val="center"/>
        <w:rPr>
          <w:rFonts w:hint="eastAsia" w:ascii="仿宋" w:hAnsi="仿宋" w:eastAsia="仿宋" w:cs="仿宋"/>
          <w:highlight w:val="none"/>
          <w:u w:val="single"/>
        </w:rPr>
      </w:pPr>
      <w:r>
        <w:rPr>
          <w:rFonts w:hint="eastAsia" w:ascii="仿宋" w:hAnsi="仿宋" w:eastAsia="仿宋" w:cs="仿宋"/>
          <w:highlight w:val="none"/>
          <w:lang w:val="en-US"/>
        </w:rPr>
        <w:t xml:space="preserve">            </w:t>
      </w:r>
      <w:r>
        <w:rPr>
          <w:rFonts w:hint="eastAsia" w:ascii="仿宋" w:hAnsi="仿宋" w:eastAsia="仿宋" w:cs="仿宋"/>
          <w:highlight w:val="none"/>
          <w:u w:val="single"/>
          <w:lang w:val="en-US"/>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rPr>
        <w:t xml:space="preserve">      </w:t>
      </w:r>
      <w:r>
        <w:rPr>
          <w:rFonts w:hint="eastAsia" w:ascii="仿宋" w:hAnsi="仿宋" w:eastAsia="仿宋" w:cs="仿宋"/>
          <w:highlight w:val="none"/>
          <w:lang w:val="en-US"/>
        </w:rPr>
        <w:t xml:space="preserve"> </w:t>
      </w:r>
      <w:r>
        <w:rPr>
          <w:rFonts w:hint="eastAsia" w:ascii="仿宋" w:hAnsi="仿宋" w:eastAsia="仿宋" w:cs="仿宋"/>
          <w:highlight w:val="none"/>
        </w:rPr>
        <w:t>月</w:t>
      </w:r>
      <w:r>
        <w:rPr>
          <w:rFonts w:hint="eastAsia" w:ascii="仿宋" w:hAnsi="仿宋" w:eastAsia="仿宋" w:cs="仿宋"/>
          <w:highlight w:val="none"/>
          <w:lang w:val="en-US"/>
        </w:rPr>
        <w:t xml:space="preserve"> </w:t>
      </w:r>
      <w:r>
        <w:rPr>
          <w:rFonts w:hint="eastAsia" w:ascii="仿宋" w:hAnsi="仿宋" w:eastAsia="仿宋" w:cs="仿宋"/>
          <w:highlight w:val="none"/>
          <w:u w:val="single"/>
          <w:lang w:val="en-US"/>
        </w:rPr>
        <w:t xml:space="preserve">      </w:t>
      </w:r>
      <w:r>
        <w:rPr>
          <w:rFonts w:hint="eastAsia" w:ascii="仿宋" w:hAnsi="仿宋" w:eastAsia="仿宋" w:cs="仿宋"/>
          <w:highlight w:val="none"/>
        </w:rPr>
        <w:t>日</w:t>
      </w:r>
    </w:p>
    <w:p w14:paraId="75F22947">
      <w:pPr>
        <w:rPr>
          <w:rFonts w:hint="eastAsia" w:ascii="仿宋" w:hAnsi="仿宋" w:eastAsia="仿宋" w:cs="仿宋"/>
          <w:highlight w:val="none"/>
        </w:rPr>
      </w:pPr>
    </w:p>
    <w:p w14:paraId="1732790D">
      <w:pPr>
        <w:spacing w:before="67"/>
        <w:jc w:val="center"/>
        <w:rPr>
          <w:rFonts w:hint="eastAsia" w:ascii="仿宋" w:hAnsi="仿宋" w:eastAsia="仿宋" w:cs="仿宋"/>
          <w:b/>
          <w:bCs/>
          <w:sz w:val="28"/>
          <w:szCs w:val="28"/>
          <w:highlight w:val="none"/>
        </w:rPr>
      </w:pPr>
      <w:r>
        <w:rPr>
          <w:rFonts w:hint="eastAsia" w:ascii="仿宋" w:hAnsi="仿宋" w:eastAsia="仿宋" w:cs="仿宋"/>
          <w:highlight w:val="none"/>
        </w:rPr>
        <w:br w:type="page"/>
      </w:r>
      <w:r>
        <w:rPr>
          <w:rFonts w:hint="eastAsia" w:ascii="仿宋" w:hAnsi="仿宋" w:eastAsia="仿宋" w:cs="仿宋"/>
          <w:b/>
          <w:bCs/>
          <w:sz w:val="28"/>
          <w:szCs w:val="28"/>
          <w:highlight w:val="none"/>
        </w:rPr>
        <w:t>法定代表人资格证明书或法定代表人授权委托书格式</w:t>
      </w:r>
    </w:p>
    <w:p w14:paraId="2BEAEF8E">
      <w:pPr>
        <w:pStyle w:val="9"/>
        <w:spacing w:before="0"/>
        <w:ind w:left="0"/>
        <w:rPr>
          <w:rFonts w:hint="eastAsia" w:ascii="仿宋" w:hAnsi="仿宋" w:eastAsia="仿宋" w:cs="仿宋"/>
          <w:b/>
          <w:highlight w:val="none"/>
        </w:rPr>
      </w:pPr>
    </w:p>
    <w:p w14:paraId="62DFC5AA">
      <w:pPr>
        <w:pStyle w:val="32"/>
        <w:adjustRightInd w:val="0"/>
        <w:snapToGrid w:val="0"/>
        <w:spacing w:line="400" w:lineRule="exact"/>
        <w:jc w:val="center"/>
        <w:rPr>
          <w:rFonts w:hint="eastAsia" w:ascii="仿宋" w:hAnsi="仿宋" w:eastAsia="仿宋" w:cs="仿宋"/>
          <w:b/>
          <w:bCs/>
          <w:sz w:val="24"/>
          <w:szCs w:val="24"/>
          <w:highlight w:val="none"/>
        </w:rPr>
      </w:pPr>
    </w:p>
    <w:p w14:paraId="1C734FDF">
      <w:pPr>
        <w:pStyle w:val="32"/>
        <w:adjustRightInd w:val="0"/>
        <w:snapToGrid w:val="0"/>
        <w:spacing w:line="400" w:lineRule="exact"/>
        <w:jc w:val="center"/>
        <w:rPr>
          <w:rFonts w:hint="eastAsia" w:ascii="仿宋" w:hAnsi="仿宋" w:eastAsia="仿宋" w:cs="仿宋"/>
          <w:b/>
          <w:bCs/>
          <w:szCs w:val="28"/>
          <w:highlight w:val="none"/>
        </w:rPr>
      </w:pPr>
      <w:r>
        <w:rPr>
          <w:rFonts w:hint="eastAsia" w:ascii="仿宋" w:hAnsi="仿宋" w:eastAsia="仿宋" w:cs="仿宋"/>
          <w:b/>
          <w:bCs/>
          <w:szCs w:val="28"/>
          <w:highlight w:val="none"/>
        </w:rPr>
        <w:t>法定代表人资格证明书</w:t>
      </w:r>
    </w:p>
    <w:p w14:paraId="30F32552">
      <w:pPr>
        <w:pStyle w:val="32"/>
        <w:adjustRightInd w:val="0"/>
        <w:snapToGrid w:val="0"/>
        <w:spacing w:line="400" w:lineRule="exact"/>
        <w:jc w:val="center"/>
        <w:rPr>
          <w:rFonts w:hint="eastAsia" w:ascii="仿宋" w:hAnsi="仿宋" w:eastAsia="仿宋" w:cs="仿宋"/>
          <w:b/>
          <w:bCs/>
          <w:szCs w:val="28"/>
          <w:highlight w:val="none"/>
        </w:rPr>
      </w:pPr>
    </w:p>
    <w:p w14:paraId="41D1542A">
      <w:pPr>
        <w:pStyle w:val="32"/>
        <w:adjustRightInd w:val="0"/>
        <w:snapToGrid w:val="0"/>
        <w:spacing w:line="360" w:lineRule="auto"/>
        <w:ind w:firstLine="1200" w:firstLineChars="500"/>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 xml:space="preserve">（采购人名称）                </w:t>
      </w:r>
      <w:r>
        <w:rPr>
          <w:rFonts w:hint="eastAsia" w:ascii="仿宋" w:hAnsi="仿宋" w:eastAsia="仿宋" w:cs="仿宋"/>
          <w:sz w:val="24"/>
          <w:szCs w:val="24"/>
          <w:highlight w:val="none"/>
        </w:rPr>
        <w:t>：</w:t>
      </w:r>
    </w:p>
    <w:p w14:paraId="546F8279">
      <w:pPr>
        <w:pStyle w:val="32"/>
        <w:adjustRightInd w:val="0"/>
        <w:snapToGrid w:val="0"/>
        <w:spacing w:line="360" w:lineRule="auto"/>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兹有</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同志为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公司法定代表人，代表我公司办理一切社会公务事宜，具有法律效力。 </w:t>
      </w:r>
    </w:p>
    <w:p w14:paraId="365C86D1">
      <w:pPr>
        <w:pStyle w:val="32"/>
        <w:adjustRightInd w:val="0"/>
        <w:snapToGrid w:val="0"/>
        <w:spacing w:line="360" w:lineRule="auto"/>
        <w:ind w:firstLine="1200" w:firstLineChars="5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附法定代表人基本情况： </w:t>
      </w:r>
    </w:p>
    <w:p w14:paraId="2D78D6CF">
      <w:pPr>
        <w:pStyle w:val="32"/>
        <w:adjustRightInd w:val="0"/>
        <w:snapToGrid w:val="0"/>
        <w:spacing w:line="360" w:lineRule="auto"/>
        <w:ind w:firstLine="1200" w:firstLineChars="5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性别：</w:t>
      </w:r>
      <w:r>
        <w:rPr>
          <w:rFonts w:hint="eastAsia" w:ascii="仿宋" w:hAnsi="仿宋" w:eastAsia="仿宋" w:cs="仿宋"/>
          <w:sz w:val="24"/>
          <w:szCs w:val="24"/>
          <w:highlight w:val="none"/>
          <w:u w:val="single"/>
        </w:rPr>
        <w:t xml:space="preserve">                     </w:t>
      </w:r>
    </w:p>
    <w:p w14:paraId="7D38D215">
      <w:pPr>
        <w:pStyle w:val="32"/>
        <w:adjustRightInd w:val="0"/>
        <w:snapToGrid w:val="0"/>
        <w:spacing w:line="360" w:lineRule="auto"/>
        <w:ind w:firstLine="1200" w:firstLineChars="5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年龄：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职务：</w:t>
      </w:r>
      <w:r>
        <w:rPr>
          <w:rFonts w:hint="eastAsia" w:ascii="仿宋" w:hAnsi="仿宋" w:eastAsia="仿宋" w:cs="仿宋"/>
          <w:sz w:val="24"/>
          <w:szCs w:val="24"/>
          <w:highlight w:val="none"/>
          <w:u w:val="single"/>
        </w:rPr>
        <w:t xml:space="preserve">                     </w:t>
      </w:r>
    </w:p>
    <w:p w14:paraId="701B81D7">
      <w:pPr>
        <w:pStyle w:val="32"/>
        <w:adjustRightInd w:val="0"/>
        <w:snapToGrid w:val="0"/>
        <w:spacing w:line="360" w:lineRule="auto"/>
        <w:ind w:firstLine="1200" w:firstLineChars="500"/>
        <w:rPr>
          <w:rFonts w:hint="eastAsia" w:ascii="仿宋" w:hAnsi="仿宋" w:eastAsia="仿宋" w:cs="仿宋"/>
          <w:sz w:val="24"/>
          <w:szCs w:val="24"/>
          <w:highlight w:val="none"/>
        </w:rPr>
      </w:pPr>
      <w:r>
        <w:rPr>
          <w:rFonts w:hint="eastAsia" w:ascii="仿宋" w:hAnsi="仿宋" w:eastAsia="仿宋" w:cs="仿宋"/>
          <w:sz w:val="24"/>
          <w:szCs w:val="24"/>
          <w:highlight w:val="none"/>
        </w:rPr>
        <w:t>身份证号码：</w:t>
      </w:r>
      <w:r>
        <w:rPr>
          <w:rFonts w:hint="eastAsia" w:ascii="仿宋" w:hAnsi="仿宋" w:eastAsia="仿宋" w:cs="仿宋"/>
          <w:sz w:val="24"/>
          <w:szCs w:val="24"/>
          <w:highlight w:val="none"/>
          <w:u w:val="single"/>
        </w:rPr>
        <w:t xml:space="preserve">                     </w:t>
      </w:r>
    </w:p>
    <w:p w14:paraId="1E1EC0CB">
      <w:pPr>
        <w:pStyle w:val="32"/>
        <w:adjustRightInd w:val="0"/>
        <w:snapToGrid w:val="0"/>
        <w:spacing w:line="360" w:lineRule="auto"/>
        <w:ind w:firstLine="1200" w:firstLineChars="500"/>
        <w:rPr>
          <w:rFonts w:hint="eastAsia" w:ascii="仿宋" w:hAnsi="仿宋" w:eastAsia="仿宋" w:cs="仿宋"/>
          <w:sz w:val="24"/>
          <w:szCs w:val="24"/>
          <w:highlight w:val="none"/>
        </w:rPr>
      </w:pPr>
      <w:r>
        <w:rPr>
          <w:rFonts w:hint="eastAsia" w:ascii="仿宋" w:hAnsi="仿宋" w:eastAsia="仿宋" w:cs="仿宋"/>
          <w:sz w:val="24"/>
          <w:szCs w:val="24"/>
          <w:highlight w:val="none"/>
        </w:rPr>
        <w:t>通讯地址：</w:t>
      </w:r>
      <w:r>
        <w:rPr>
          <w:rFonts w:hint="eastAsia" w:ascii="仿宋" w:hAnsi="仿宋" w:eastAsia="仿宋" w:cs="仿宋"/>
          <w:sz w:val="24"/>
          <w:szCs w:val="24"/>
          <w:highlight w:val="none"/>
          <w:u w:val="single"/>
        </w:rPr>
        <w:t xml:space="preserve">                       </w:t>
      </w:r>
    </w:p>
    <w:p w14:paraId="46B206FD">
      <w:pPr>
        <w:pStyle w:val="32"/>
        <w:adjustRightInd w:val="0"/>
        <w:snapToGrid w:val="0"/>
        <w:spacing w:line="360" w:lineRule="auto"/>
        <w:ind w:firstLine="1200" w:firstLineChars="500"/>
        <w:rPr>
          <w:rFonts w:hint="eastAsia" w:ascii="仿宋" w:hAnsi="仿宋" w:eastAsia="仿宋" w:cs="仿宋"/>
          <w:sz w:val="24"/>
          <w:szCs w:val="24"/>
          <w:highlight w:val="none"/>
        </w:rPr>
      </w:pPr>
      <w:r>
        <w:rPr>
          <w:rFonts w:hint="eastAsia" w:ascii="仿宋" w:hAnsi="仿宋" w:eastAsia="仿宋" w:cs="仿宋"/>
          <w:sz w:val="24"/>
          <w:szCs w:val="24"/>
          <w:highlight w:val="none"/>
        </w:rPr>
        <w:t>电话号码：</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邮政编码：</w:t>
      </w:r>
      <w:r>
        <w:rPr>
          <w:rFonts w:hint="eastAsia" w:ascii="仿宋" w:hAnsi="仿宋" w:eastAsia="仿宋" w:cs="仿宋"/>
          <w:sz w:val="24"/>
          <w:szCs w:val="24"/>
          <w:highlight w:val="none"/>
          <w:u w:val="single"/>
        </w:rPr>
        <w:t xml:space="preserve">               </w:t>
      </w:r>
    </w:p>
    <w:p w14:paraId="3B48D073">
      <w:pPr>
        <w:pStyle w:val="32"/>
        <w:adjustRightInd w:val="0"/>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tbl>
      <w:tblPr>
        <w:tblStyle w:val="18"/>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7B2F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33F15A7">
            <w:pPr>
              <w:pStyle w:val="32"/>
              <w:adjustRightInd w:val="0"/>
              <w:snapToGrid w:val="0"/>
              <w:spacing w:line="400" w:lineRule="exact"/>
              <w:jc w:val="center"/>
              <w:rPr>
                <w:rFonts w:hint="eastAsia" w:ascii="仿宋" w:hAnsi="仿宋" w:eastAsia="仿宋" w:cs="仿宋"/>
                <w:sz w:val="24"/>
                <w:szCs w:val="24"/>
                <w:highlight w:val="none"/>
              </w:rPr>
            </w:pPr>
          </w:p>
          <w:p w14:paraId="0CF8237E">
            <w:pPr>
              <w:pStyle w:val="32"/>
              <w:adjustRightInd w:val="0"/>
              <w:snapToGrid w:val="0"/>
              <w:spacing w:line="400" w:lineRule="exact"/>
              <w:jc w:val="center"/>
              <w:rPr>
                <w:rFonts w:hint="eastAsia" w:ascii="仿宋" w:hAnsi="仿宋" w:eastAsia="仿宋" w:cs="仿宋"/>
                <w:sz w:val="24"/>
                <w:szCs w:val="24"/>
                <w:highlight w:val="none"/>
              </w:rPr>
            </w:pPr>
          </w:p>
          <w:p w14:paraId="110CEF79">
            <w:pPr>
              <w:pStyle w:val="32"/>
              <w:adjustRightInd w:val="0"/>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法定代表人《居民身份证》扫描件</w:t>
            </w:r>
          </w:p>
        </w:tc>
      </w:tr>
    </w:tbl>
    <w:p w14:paraId="10BBD20A">
      <w:pPr>
        <w:pStyle w:val="32"/>
        <w:adjustRightInd w:val="0"/>
        <w:snapToGrid w:val="0"/>
        <w:spacing w:line="400" w:lineRule="exact"/>
        <w:rPr>
          <w:rFonts w:hint="eastAsia" w:ascii="仿宋" w:hAnsi="仿宋" w:eastAsia="仿宋" w:cs="仿宋"/>
          <w:sz w:val="24"/>
          <w:szCs w:val="24"/>
          <w:highlight w:val="none"/>
        </w:rPr>
      </w:pPr>
    </w:p>
    <w:p w14:paraId="2AEDF6E2">
      <w:pPr>
        <w:pStyle w:val="32"/>
        <w:tabs>
          <w:tab w:val="left" w:pos="750"/>
        </w:tabs>
        <w:adjustRightInd w:val="0"/>
        <w:snapToGrid w:val="0"/>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投标人名称（盖章）：</w:t>
      </w:r>
      <w:r>
        <w:rPr>
          <w:rFonts w:hint="eastAsia" w:ascii="仿宋" w:hAnsi="仿宋" w:eastAsia="仿宋" w:cs="仿宋"/>
          <w:sz w:val="24"/>
          <w:szCs w:val="24"/>
          <w:highlight w:val="none"/>
          <w:u w:val="single"/>
        </w:rPr>
        <w:t xml:space="preserve">                        </w:t>
      </w:r>
    </w:p>
    <w:p w14:paraId="1D5AE265">
      <w:pPr>
        <w:pStyle w:val="23"/>
        <w:spacing w:line="400" w:lineRule="exact"/>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 xml:space="preserve">  </w:t>
      </w:r>
    </w:p>
    <w:p w14:paraId="4DB445BE">
      <w:pPr>
        <w:pStyle w:val="32"/>
        <w:tabs>
          <w:tab w:val="left" w:pos="750"/>
        </w:tabs>
        <w:adjustRightInd w:val="0"/>
        <w:snapToGrid w:val="0"/>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法人代表人（签字或盖章）：</w:t>
      </w:r>
      <w:r>
        <w:rPr>
          <w:rFonts w:hint="eastAsia" w:ascii="仿宋" w:hAnsi="仿宋" w:eastAsia="仿宋" w:cs="仿宋"/>
          <w:sz w:val="24"/>
          <w:szCs w:val="24"/>
          <w:highlight w:val="none"/>
          <w:u w:val="single"/>
        </w:rPr>
        <w:t xml:space="preserve">                       </w:t>
      </w:r>
    </w:p>
    <w:p w14:paraId="53860FBA">
      <w:pPr>
        <w:pStyle w:val="23"/>
        <w:spacing w:line="400" w:lineRule="exact"/>
        <w:rPr>
          <w:rFonts w:hint="eastAsia" w:ascii="仿宋" w:hAnsi="仿宋" w:eastAsia="仿宋" w:cs="仿宋"/>
          <w:color w:val="auto"/>
          <w:kern w:val="2"/>
          <w:highlight w:val="none"/>
        </w:rPr>
      </w:pPr>
    </w:p>
    <w:p w14:paraId="275CB6F9">
      <w:pPr>
        <w:pStyle w:val="32"/>
        <w:tabs>
          <w:tab w:val="left" w:pos="750"/>
        </w:tabs>
        <w:adjustRightInd w:val="0"/>
        <w:snapToGrid w:val="0"/>
        <w:spacing w:line="400" w:lineRule="exact"/>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5C3B582C">
      <w:pPr>
        <w:pStyle w:val="32"/>
        <w:tabs>
          <w:tab w:val="left" w:pos="750"/>
        </w:tabs>
        <w:adjustRightInd w:val="0"/>
        <w:snapToGrid w:val="0"/>
        <w:spacing w:line="400" w:lineRule="exact"/>
        <w:ind w:firstLine="720" w:firstLineChars="300"/>
        <w:rPr>
          <w:rFonts w:hint="eastAsia" w:ascii="仿宋" w:hAnsi="仿宋" w:eastAsia="仿宋" w:cs="仿宋"/>
          <w:sz w:val="24"/>
          <w:szCs w:val="24"/>
          <w:highlight w:val="none"/>
        </w:rPr>
      </w:pPr>
    </w:p>
    <w:p w14:paraId="57F3727D">
      <w:pPr>
        <w:pStyle w:val="32"/>
        <w:adjustRightInd w:val="0"/>
        <w:snapToGrid w:val="0"/>
        <w:spacing w:line="400" w:lineRule="exact"/>
        <w:rPr>
          <w:rFonts w:hint="eastAsia" w:ascii="仿宋" w:hAnsi="仿宋" w:eastAsia="仿宋" w:cs="仿宋"/>
          <w:sz w:val="24"/>
          <w:szCs w:val="24"/>
          <w:highlight w:val="none"/>
        </w:rPr>
      </w:pPr>
    </w:p>
    <w:p w14:paraId="173B6B2B">
      <w:pPr>
        <w:pStyle w:val="32"/>
        <w:adjustRightInd w:val="0"/>
        <w:snapToGrid w:val="0"/>
        <w:spacing w:line="400" w:lineRule="exact"/>
        <w:jc w:val="center"/>
        <w:rPr>
          <w:rFonts w:hint="eastAsia" w:ascii="仿宋" w:hAnsi="仿宋" w:eastAsia="仿宋" w:cs="仿宋"/>
          <w:b/>
          <w:bCs/>
          <w:szCs w:val="28"/>
          <w:highlight w:val="none"/>
        </w:rPr>
      </w:pPr>
    </w:p>
    <w:p w14:paraId="3E403BFD">
      <w:pPr>
        <w:pStyle w:val="32"/>
        <w:adjustRightInd w:val="0"/>
        <w:snapToGrid w:val="0"/>
        <w:spacing w:line="400" w:lineRule="exact"/>
        <w:rPr>
          <w:rFonts w:hint="eastAsia" w:ascii="仿宋" w:hAnsi="仿宋" w:eastAsia="仿宋" w:cs="仿宋"/>
          <w:b/>
          <w:bCs/>
          <w:szCs w:val="28"/>
          <w:highlight w:val="none"/>
        </w:rPr>
      </w:pPr>
    </w:p>
    <w:p w14:paraId="3EB42042">
      <w:pPr>
        <w:pStyle w:val="32"/>
        <w:adjustRightInd w:val="0"/>
        <w:snapToGrid w:val="0"/>
        <w:spacing w:line="400" w:lineRule="exact"/>
        <w:jc w:val="center"/>
        <w:rPr>
          <w:rFonts w:hint="eastAsia" w:ascii="仿宋" w:hAnsi="仿宋" w:eastAsia="仿宋" w:cs="仿宋"/>
          <w:b/>
          <w:bCs/>
          <w:szCs w:val="28"/>
          <w:highlight w:val="none"/>
        </w:rPr>
      </w:pPr>
    </w:p>
    <w:p w14:paraId="150C9DD4">
      <w:pPr>
        <w:pStyle w:val="32"/>
        <w:adjustRightInd w:val="0"/>
        <w:snapToGrid w:val="0"/>
        <w:spacing w:line="400" w:lineRule="exact"/>
        <w:jc w:val="center"/>
        <w:rPr>
          <w:rFonts w:hint="eastAsia" w:ascii="仿宋" w:hAnsi="仿宋" w:eastAsia="仿宋" w:cs="仿宋"/>
          <w:b/>
          <w:bCs/>
          <w:szCs w:val="28"/>
          <w:highlight w:val="none"/>
        </w:rPr>
      </w:pPr>
      <w:r>
        <w:rPr>
          <w:rFonts w:hint="eastAsia" w:ascii="仿宋" w:hAnsi="仿宋" w:eastAsia="仿宋" w:cs="仿宋"/>
          <w:b/>
          <w:bCs/>
          <w:szCs w:val="28"/>
          <w:highlight w:val="none"/>
        </w:rPr>
        <w:br w:type="page"/>
      </w:r>
      <w:r>
        <w:rPr>
          <w:rFonts w:hint="eastAsia" w:ascii="仿宋" w:hAnsi="仿宋" w:eastAsia="仿宋" w:cs="仿宋"/>
          <w:b/>
          <w:bCs/>
          <w:szCs w:val="28"/>
          <w:highlight w:val="none"/>
        </w:rPr>
        <w:t>法定代表人授权委托书</w:t>
      </w:r>
    </w:p>
    <w:p w14:paraId="6A4E55A2">
      <w:pPr>
        <w:pStyle w:val="32"/>
        <w:adjustRightInd w:val="0"/>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BFC0C71">
      <w:pPr>
        <w:pStyle w:val="32"/>
        <w:adjustRightInd w:val="0"/>
        <w:snapToGrid w:val="0"/>
        <w:spacing w:line="360" w:lineRule="auto"/>
        <w:ind w:firstLine="518" w:firstLineChars="216"/>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本授权委托书声明：我系</w:t>
      </w:r>
      <w:r>
        <w:rPr>
          <w:rFonts w:hint="eastAsia" w:ascii="仿宋" w:hAnsi="仿宋" w:eastAsia="仿宋" w:cs="仿宋"/>
          <w:sz w:val="24"/>
          <w:szCs w:val="24"/>
          <w:highlight w:val="none"/>
          <w:u w:val="single"/>
        </w:rPr>
        <w:t xml:space="preserve">（供应商名称）                   </w:t>
      </w:r>
      <w:r>
        <w:rPr>
          <w:rFonts w:hint="eastAsia" w:ascii="仿宋" w:hAnsi="仿宋" w:eastAsia="仿宋" w:cs="仿宋"/>
          <w:sz w:val="24"/>
          <w:szCs w:val="24"/>
          <w:highlight w:val="none"/>
        </w:rPr>
        <w:t>的法定代表人，现授权委托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的为我的代理人，以</w:t>
      </w:r>
      <w:r>
        <w:rPr>
          <w:rFonts w:hint="eastAsia" w:ascii="仿宋" w:hAnsi="仿宋" w:eastAsia="仿宋" w:cs="仿宋"/>
          <w:sz w:val="24"/>
          <w:szCs w:val="24"/>
          <w:highlight w:val="none"/>
          <w:u w:val="single"/>
        </w:rPr>
        <w:t xml:space="preserve"> （供应商名称）                    </w:t>
      </w:r>
      <w:r>
        <w:rPr>
          <w:rFonts w:hint="eastAsia" w:ascii="仿宋" w:hAnsi="仿宋" w:eastAsia="仿宋" w:cs="仿宋"/>
          <w:sz w:val="24"/>
          <w:szCs w:val="24"/>
          <w:highlight w:val="none"/>
        </w:rPr>
        <w:t>的名义参加</w:t>
      </w:r>
      <w:r>
        <w:rPr>
          <w:rFonts w:hint="eastAsia" w:ascii="仿宋" w:hAnsi="仿宋" w:eastAsia="仿宋" w:cs="仿宋"/>
          <w:sz w:val="24"/>
          <w:szCs w:val="24"/>
          <w:highlight w:val="none"/>
          <w:u w:val="single"/>
        </w:rPr>
        <w:t xml:space="preserve">（项目名称和项目编号）               </w:t>
      </w:r>
      <w:r>
        <w:rPr>
          <w:rFonts w:hint="eastAsia" w:ascii="仿宋" w:hAnsi="仿宋" w:eastAsia="仿宋" w:cs="仿宋"/>
          <w:sz w:val="24"/>
          <w:szCs w:val="24"/>
          <w:highlight w:val="none"/>
        </w:rPr>
        <w:t xml:space="preserve"> 招标项目的投标活动。代理人在参加整个招标投标活动所签署的一切文件和处理与之相关的一切事物，我均予承认。</w:t>
      </w:r>
    </w:p>
    <w:p w14:paraId="5E2C1D8A">
      <w:pPr>
        <w:pStyle w:val="32"/>
        <w:adjustRightInd w:val="0"/>
        <w:snapToGrid w:val="0"/>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代理人：                 性别：                年龄：</w:t>
      </w:r>
    </w:p>
    <w:p w14:paraId="01750B78">
      <w:pPr>
        <w:pStyle w:val="32"/>
        <w:adjustRightInd w:val="0"/>
        <w:snapToGrid w:val="0"/>
        <w:spacing w:line="360" w:lineRule="auto"/>
        <w:ind w:firstLine="960" w:firstLineChars="400"/>
        <w:rPr>
          <w:rFonts w:hint="eastAsia" w:ascii="仿宋" w:hAnsi="仿宋" w:eastAsia="仿宋" w:cs="仿宋"/>
          <w:sz w:val="24"/>
          <w:szCs w:val="24"/>
          <w:highlight w:val="none"/>
        </w:rPr>
      </w:pPr>
      <w:r>
        <w:rPr>
          <w:rFonts w:hint="eastAsia" w:ascii="仿宋" w:hAnsi="仿宋" w:eastAsia="仿宋" w:cs="仿宋"/>
          <w:sz w:val="24"/>
          <w:szCs w:val="24"/>
          <w:highlight w:val="none"/>
        </w:rPr>
        <w:t>部  门：                 职务：</w:t>
      </w:r>
    </w:p>
    <w:p w14:paraId="792D0685">
      <w:pPr>
        <w:pStyle w:val="32"/>
        <w:adjustRightInd w:val="0"/>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122555</wp:posOffset>
                </wp:positionV>
                <wp:extent cx="2971800" cy="1895475"/>
                <wp:effectExtent l="4445" t="4445" r="10795" b="508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32E33292">
                            <w:pPr>
                              <w:rPr>
                                <w:rFonts w:hint="eastAsia"/>
                              </w:rPr>
                            </w:pPr>
                          </w:p>
                          <w:p w14:paraId="16921918">
                            <w:pPr>
                              <w:rPr>
                                <w:rFonts w:hint="eastAsia"/>
                              </w:rPr>
                            </w:pPr>
                          </w:p>
                          <w:p w14:paraId="5C1A3AF6">
                            <w:pPr>
                              <w:rPr>
                                <w:rFonts w:hint="eastAsia"/>
                              </w:rPr>
                            </w:pPr>
                          </w:p>
                          <w:p w14:paraId="04AA58F1">
                            <w:pPr>
                              <w:rPr>
                                <w:rFonts w:hint="eastAsia"/>
                              </w:rPr>
                            </w:pPr>
                          </w:p>
                          <w:p w14:paraId="61573806">
                            <w:pPr>
                              <w:jc w:val="center"/>
                              <w:rPr>
                                <w:rFonts w:hint="eastAsia" w:ascii="仿宋" w:hAnsi="仿宋" w:eastAsia="仿宋"/>
                                <w:sz w:val="36"/>
                                <w:szCs w:val="36"/>
                              </w:rPr>
                            </w:pPr>
                            <w:r>
                              <w:rPr>
                                <w:rFonts w:hint="eastAsia" w:ascii="仿宋" w:hAnsi="仿宋" w:eastAsia="仿宋"/>
                                <w:sz w:val="36"/>
                                <w:szCs w:val="36"/>
                              </w:rPr>
                              <w:t>代理人身份证复印件</w:t>
                            </w:r>
                          </w:p>
                          <w:p w14:paraId="38AA085D">
                            <w:pPr>
                              <w:jc w:val="center"/>
                              <w:rPr>
                                <w:rFonts w:hint="eastAsia" w:ascii="仿宋" w:hAnsi="仿宋" w:eastAsia="仿宋"/>
                                <w:sz w:val="36"/>
                                <w:szCs w:val="36"/>
                              </w:rPr>
                            </w:pPr>
                            <w:r>
                              <w:rPr>
                                <w:rFonts w:hint="eastAsia" w:ascii="仿宋" w:hAnsi="仿宋" w:eastAsia="仿宋"/>
                                <w:sz w:val="36"/>
                                <w:szCs w:val="36"/>
                              </w:rPr>
                              <w:t>（正面）</w:t>
                            </w:r>
                          </w:p>
                          <w:p w14:paraId="3B0E9E23">
                            <w:pPr>
                              <w:rPr>
                                <w:rFonts w:hint="eastAsia"/>
                              </w:rPr>
                            </w:pPr>
                          </w:p>
                          <w:p w14:paraId="08CA205C">
                            <w:pPr>
                              <w:rPr>
                                <w:rFonts w:hint="eastAsia"/>
                              </w:rPr>
                            </w:pPr>
                          </w:p>
                          <w:p w14:paraId="71F133ED">
                            <w:pPr>
                              <w:rPr>
                                <w:rFonts w:hint="eastAsia"/>
                              </w:rPr>
                            </w:pPr>
                          </w:p>
                          <w:p w14:paraId="3D86DB99">
                            <w:pPr>
                              <w:rPr>
                                <w:rFonts w:hint="eastAsia"/>
                              </w:rPr>
                            </w:pPr>
                          </w:p>
                          <w:p w14:paraId="7F0F320E">
                            <w:pPr>
                              <w:rPr>
                                <w:rFonts w:hint="eastAsia"/>
                              </w:rPr>
                            </w:pPr>
                          </w:p>
                          <w:p w14:paraId="1AC79F27">
                            <w:pPr>
                              <w:rPr>
                                <w:rFonts w:hint="eastAsia"/>
                              </w:rPr>
                            </w:pPr>
                          </w:p>
                          <w:p w14:paraId="4F9DF552">
                            <w:pPr>
                              <w:rPr>
                                <w:rFonts w:hint="eastAsia"/>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59264;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ZzwTWEc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ajczHbAAAACgEAAA8AAAAAAAAA&#10;AQAgAAAAIgAAAGRycy9kb3ducmV2LnhtbFBLAQIUABQAAAAIAIdO4kBnPBNYRwIAAJYEAAAOAAAA&#10;AAAAAAEAIAAAACoBAABkcnMvZTJvRG9jLnhtbFBLBQYAAAAABgAGAFkBAADjBQAAAAA=&#10;">
                <v:fill on="t" focussize="0,0"/>
                <v:stroke color="#000000" miterlimit="2" joinstyle="miter"/>
                <v:imagedata o:title=""/>
                <o:lock v:ext="edit" aspectratio="f"/>
                <v:textbox>
                  <w:txbxContent>
                    <w:p w14:paraId="32E33292">
                      <w:pPr>
                        <w:rPr>
                          <w:rFonts w:hint="eastAsia"/>
                        </w:rPr>
                      </w:pPr>
                    </w:p>
                    <w:p w14:paraId="16921918">
                      <w:pPr>
                        <w:rPr>
                          <w:rFonts w:hint="eastAsia"/>
                        </w:rPr>
                      </w:pPr>
                    </w:p>
                    <w:p w14:paraId="5C1A3AF6">
                      <w:pPr>
                        <w:rPr>
                          <w:rFonts w:hint="eastAsia"/>
                        </w:rPr>
                      </w:pPr>
                    </w:p>
                    <w:p w14:paraId="04AA58F1">
                      <w:pPr>
                        <w:rPr>
                          <w:rFonts w:hint="eastAsia"/>
                        </w:rPr>
                      </w:pPr>
                    </w:p>
                    <w:p w14:paraId="61573806">
                      <w:pPr>
                        <w:jc w:val="center"/>
                        <w:rPr>
                          <w:rFonts w:hint="eastAsia" w:ascii="仿宋" w:hAnsi="仿宋" w:eastAsia="仿宋"/>
                          <w:sz w:val="36"/>
                          <w:szCs w:val="36"/>
                        </w:rPr>
                      </w:pPr>
                      <w:r>
                        <w:rPr>
                          <w:rFonts w:hint="eastAsia" w:ascii="仿宋" w:hAnsi="仿宋" w:eastAsia="仿宋"/>
                          <w:sz w:val="36"/>
                          <w:szCs w:val="36"/>
                        </w:rPr>
                        <w:t>代理人身份证复印件</w:t>
                      </w:r>
                    </w:p>
                    <w:p w14:paraId="38AA085D">
                      <w:pPr>
                        <w:jc w:val="center"/>
                        <w:rPr>
                          <w:rFonts w:hint="eastAsia" w:ascii="仿宋" w:hAnsi="仿宋" w:eastAsia="仿宋"/>
                          <w:sz w:val="36"/>
                          <w:szCs w:val="36"/>
                        </w:rPr>
                      </w:pPr>
                      <w:r>
                        <w:rPr>
                          <w:rFonts w:hint="eastAsia" w:ascii="仿宋" w:hAnsi="仿宋" w:eastAsia="仿宋"/>
                          <w:sz w:val="36"/>
                          <w:szCs w:val="36"/>
                        </w:rPr>
                        <w:t>（正面）</w:t>
                      </w:r>
                    </w:p>
                    <w:p w14:paraId="3B0E9E23">
                      <w:pPr>
                        <w:rPr>
                          <w:rFonts w:hint="eastAsia"/>
                        </w:rPr>
                      </w:pPr>
                    </w:p>
                    <w:p w14:paraId="08CA205C">
                      <w:pPr>
                        <w:rPr>
                          <w:rFonts w:hint="eastAsia"/>
                        </w:rPr>
                      </w:pPr>
                    </w:p>
                    <w:p w14:paraId="71F133ED">
                      <w:pPr>
                        <w:rPr>
                          <w:rFonts w:hint="eastAsia"/>
                        </w:rPr>
                      </w:pPr>
                    </w:p>
                    <w:p w14:paraId="3D86DB99">
                      <w:pPr>
                        <w:rPr>
                          <w:rFonts w:hint="eastAsia"/>
                        </w:rPr>
                      </w:pPr>
                    </w:p>
                    <w:p w14:paraId="7F0F320E">
                      <w:pPr>
                        <w:rPr>
                          <w:rFonts w:hint="eastAsia"/>
                        </w:rPr>
                      </w:pPr>
                    </w:p>
                    <w:p w14:paraId="1AC79F27">
                      <w:pPr>
                        <w:rPr>
                          <w:rFonts w:hint="eastAsia"/>
                        </w:rPr>
                      </w:pPr>
                    </w:p>
                    <w:p w14:paraId="4F9DF552">
                      <w:pPr>
                        <w:rPr>
                          <w:rFonts w:hint="eastAsia"/>
                          <w:sz w:val="32"/>
                          <w:szCs w:val="32"/>
                        </w:rPr>
                      </w:pPr>
                    </w:p>
                  </w:txbxContent>
                </v:textbox>
              </v:shape>
            </w:pict>
          </mc:Fallback>
        </mc:AlternateContent>
      </w:r>
      <w:r>
        <w:rPr>
          <w:rFonts w:hint="eastAsia" w:ascii="仿宋" w:hAnsi="仿宋" w:eastAsia="仿宋" w:cs="仿宋"/>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3107690</wp:posOffset>
                </wp:positionH>
                <wp:positionV relativeFrom="paragraph">
                  <wp:posOffset>122555</wp:posOffset>
                </wp:positionV>
                <wp:extent cx="2971800" cy="1895475"/>
                <wp:effectExtent l="4445" t="4445" r="10795" b="508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14:paraId="00506212">
                            <w:pPr>
                              <w:rPr>
                                <w:rFonts w:hint="eastAsia"/>
                              </w:rPr>
                            </w:pPr>
                          </w:p>
                          <w:p w14:paraId="3892747C">
                            <w:pPr>
                              <w:rPr>
                                <w:rFonts w:hint="eastAsia"/>
                              </w:rPr>
                            </w:pPr>
                          </w:p>
                          <w:p w14:paraId="46AED442">
                            <w:pPr>
                              <w:rPr>
                                <w:rFonts w:hint="eastAsia"/>
                              </w:rPr>
                            </w:pPr>
                          </w:p>
                          <w:p w14:paraId="2F378CBE">
                            <w:pPr>
                              <w:rPr>
                                <w:rFonts w:hint="eastAsia"/>
                              </w:rPr>
                            </w:pPr>
                          </w:p>
                          <w:p w14:paraId="614DC553">
                            <w:pPr>
                              <w:jc w:val="center"/>
                              <w:rPr>
                                <w:rFonts w:hint="eastAsia" w:ascii="仿宋" w:hAnsi="仿宋" w:eastAsia="仿宋"/>
                                <w:sz w:val="36"/>
                                <w:szCs w:val="36"/>
                              </w:rPr>
                            </w:pPr>
                            <w:r>
                              <w:rPr>
                                <w:rFonts w:hint="eastAsia" w:ascii="仿宋" w:hAnsi="仿宋" w:eastAsia="仿宋"/>
                                <w:sz w:val="36"/>
                                <w:szCs w:val="36"/>
                              </w:rPr>
                              <w:t>代理人身份证复印件</w:t>
                            </w:r>
                          </w:p>
                          <w:p w14:paraId="75DABCA9">
                            <w:pPr>
                              <w:jc w:val="center"/>
                              <w:rPr>
                                <w:rFonts w:hint="eastAsia" w:ascii="仿宋" w:hAnsi="仿宋" w:eastAsia="仿宋"/>
                                <w:sz w:val="36"/>
                                <w:szCs w:val="36"/>
                              </w:rPr>
                            </w:pPr>
                            <w:r>
                              <w:rPr>
                                <w:rFonts w:hint="eastAsia" w:ascii="仿宋" w:hAnsi="仿宋" w:eastAsia="仿宋"/>
                                <w:sz w:val="36"/>
                                <w:szCs w:val="36"/>
                              </w:rPr>
                              <w:t>（背面）</w:t>
                            </w:r>
                          </w:p>
                          <w:p w14:paraId="48A40084">
                            <w:pPr>
                              <w:rPr>
                                <w:rFonts w:hint="eastAsia"/>
                              </w:rPr>
                            </w:pPr>
                          </w:p>
                          <w:p w14:paraId="77EE3CD8">
                            <w:pPr>
                              <w:rPr>
                                <w:rFonts w:hint="eastAsia"/>
                              </w:rPr>
                            </w:pPr>
                          </w:p>
                          <w:p w14:paraId="2D725AD3">
                            <w:pPr>
                              <w:rPr>
                                <w:rFonts w:hint="eastAsia"/>
                              </w:rPr>
                            </w:pPr>
                          </w:p>
                          <w:p w14:paraId="640DA8F3">
                            <w:pPr>
                              <w:rPr>
                                <w:rFonts w:hint="eastAsia"/>
                              </w:rPr>
                            </w:pPr>
                          </w:p>
                          <w:p w14:paraId="71CC5BAC">
                            <w:pPr>
                              <w:rPr>
                                <w:rFonts w:hint="eastAsia"/>
                              </w:rPr>
                            </w:pPr>
                          </w:p>
                          <w:p w14:paraId="6BC92289">
                            <w:pPr>
                              <w:rPr>
                                <w:rFonts w:hint="eastAsia"/>
                              </w:rPr>
                            </w:pPr>
                          </w:p>
                          <w:p w14:paraId="593380F8">
                            <w:pPr>
                              <w:rPr>
                                <w:rFonts w:hint="eastAsia"/>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0288;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TM17OUgCAACYBAAADgAA&#10;AAAAAAABACAAAAAqAQAAZHJzL2Uyb0RvYy54bWxQSwUGAAAAAAYABgBZAQAA5AUAAAAA&#10;">
                <v:fill on="t" focussize="0,0"/>
                <v:stroke color="#000000" miterlimit="2" joinstyle="miter"/>
                <v:imagedata o:title=""/>
                <o:lock v:ext="edit" aspectratio="f"/>
                <v:textbox>
                  <w:txbxContent>
                    <w:p w14:paraId="00506212">
                      <w:pPr>
                        <w:rPr>
                          <w:rFonts w:hint="eastAsia"/>
                        </w:rPr>
                      </w:pPr>
                    </w:p>
                    <w:p w14:paraId="3892747C">
                      <w:pPr>
                        <w:rPr>
                          <w:rFonts w:hint="eastAsia"/>
                        </w:rPr>
                      </w:pPr>
                    </w:p>
                    <w:p w14:paraId="46AED442">
                      <w:pPr>
                        <w:rPr>
                          <w:rFonts w:hint="eastAsia"/>
                        </w:rPr>
                      </w:pPr>
                    </w:p>
                    <w:p w14:paraId="2F378CBE">
                      <w:pPr>
                        <w:rPr>
                          <w:rFonts w:hint="eastAsia"/>
                        </w:rPr>
                      </w:pPr>
                    </w:p>
                    <w:p w14:paraId="614DC553">
                      <w:pPr>
                        <w:jc w:val="center"/>
                        <w:rPr>
                          <w:rFonts w:hint="eastAsia" w:ascii="仿宋" w:hAnsi="仿宋" w:eastAsia="仿宋"/>
                          <w:sz w:val="36"/>
                          <w:szCs w:val="36"/>
                        </w:rPr>
                      </w:pPr>
                      <w:r>
                        <w:rPr>
                          <w:rFonts w:hint="eastAsia" w:ascii="仿宋" w:hAnsi="仿宋" w:eastAsia="仿宋"/>
                          <w:sz w:val="36"/>
                          <w:szCs w:val="36"/>
                        </w:rPr>
                        <w:t>代理人身份证复印件</w:t>
                      </w:r>
                    </w:p>
                    <w:p w14:paraId="75DABCA9">
                      <w:pPr>
                        <w:jc w:val="center"/>
                        <w:rPr>
                          <w:rFonts w:hint="eastAsia" w:ascii="仿宋" w:hAnsi="仿宋" w:eastAsia="仿宋"/>
                          <w:sz w:val="36"/>
                          <w:szCs w:val="36"/>
                        </w:rPr>
                      </w:pPr>
                      <w:r>
                        <w:rPr>
                          <w:rFonts w:hint="eastAsia" w:ascii="仿宋" w:hAnsi="仿宋" w:eastAsia="仿宋"/>
                          <w:sz w:val="36"/>
                          <w:szCs w:val="36"/>
                        </w:rPr>
                        <w:t>（背面）</w:t>
                      </w:r>
                    </w:p>
                    <w:p w14:paraId="48A40084">
                      <w:pPr>
                        <w:rPr>
                          <w:rFonts w:hint="eastAsia"/>
                        </w:rPr>
                      </w:pPr>
                    </w:p>
                    <w:p w14:paraId="77EE3CD8">
                      <w:pPr>
                        <w:rPr>
                          <w:rFonts w:hint="eastAsia"/>
                        </w:rPr>
                      </w:pPr>
                    </w:p>
                    <w:p w14:paraId="2D725AD3">
                      <w:pPr>
                        <w:rPr>
                          <w:rFonts w:hint="eastAsia"/>
                        </w:rPr>
                      </w:pPr>
                    </w:p>
                    <w:p w14:paraId="640DA8F3">
                      <w:pPr>
                        <w:rPr>
                          <w:rFonts w:hint="eastAsia"/>
                        </w:rPr>
                      </w:pPr>
                    </w:p>
                    <w:p w14:paraId="71CC5BAC">
                      <w:pPr>
                        <w:rPr>
                          <w:rFonts w:hint="eastAsia"/>
                        </w:rPr>
                      </w:pPr>
                    </w:p>
                    <w:p w14:paraId="6BC92289">
                      <w:pPr>
                        <w:rPr>
                          <w:rFonts w:hint="eastAsia"/>
                        </w:rPr>
                      </w:pPr>
                    </w:p>
                    <w:p w14:paraId="593380F8">
                      <w:pPr>
                        <w:rPr>
                          <w:rFonts w:hint="eastAsia"/>
                          <w:sz w:val="32"/>
                          <w:szCs w:val="32"/>
                        </w:rPr>
                      </w:pPr>
                    </w:p>
                  </w:txbxContent>
                </v:textbox>
              </v:shape>
            </w:pict>
          </mc:Fallback>
        </mc:AlternateContent>
      </w:r>
    </w:p>
    <w:p w14:paraId="54CDA7A8">
      <w:pPr>
        <w:pStyle w:val="32"/>
        <w:adjustRightInd w:val="0"/>
        <w:snapToGrid w:val="0"/>
        <w:spacing w:line="400" w:lineRule="exact"/>
        <w:jc w:val="center"/>
        <w:rPr>
          <w:rFonts w:hint="eastAsia" w:ascii="仿宋" w:hAnsi="仿宋" w:eastAsia="仿宋" w:cs="仿宋"/>
          <w:sz w:val="24"/>
          <w:szCs w:val="24"/>
          <w:highlight w:val="none"/>
        </w:rPr>
      </w:pPr>
    </w:p>
    <w:p w14:paraId="0EC60BBB">
      <w:pPr>
        <w:pStyle w:val="32"/>
        <w:adjustRightInd w:val="0"/>
        <w:snapToGrid w:val="0"/>
        <w:spacing w:line="400" w:lineRule="exact"/>
        <w:jc w:val="center"/>
        <w:rPr>
          <w:rFonts w:hint="eastAsia" w:ascii="仿宋" w:hAnsi="仿宋" w:eastAsia="仿宋" w:cs="仿宋"/>
          <w:sz w:val="24"/>
          <w:szCs w:val="24"/>
          <w:highlight w:val="none"/>
        </w:rPr>
      </w:pPr>
    </w:p>
    <w:p w14:paraId="69620D5E">
      <w:pPr>
        <w:pStyle w:val="32"/>
        <w:adjustRightInd w:val="0"/>
        <w:snapToGrid w:val="0"/>
        <w:spacing w:line="400" w:lineRule="exact"/>
        <w:jc w:val="center"/>
        <w:rPr>
          <w:rFonts w:hint="eastAsia" w:ascii="仿宋" w:hAnsi="仿宋" w:eastAsia="仿宋" w:cs="仿宋"/>
          <w:sz w:val="24"/>
          <w:szCs w:val="24"/>
          <w:highlight w:val="none"/>
        </w:rPr>
      </w:pPr>
    </w:p>
    <w:p w14:paraId="3F0D7AB3">
      <w:pPr>
        <w:pStyle w:val="32"/>
        <w:adjustRightInd w:val="0"/>
        <w:snapToGrid w:val="0"/>
        <w:spacing w:line="400" w:lineRule="exact"/>
        <w:jc w:val="center"/>
        <w:rPr>
          <w:rFonts w:hint="eastAsia" w:ascii="仿宋" w:hAnsi="仿宋" w:eastAsia="仿宋" w:cs="仿宋"/>
          <w:sz w:val="24"/>
          <w:szCs w:val="24"/>
          <w:highlight w:val="none"/>
        </w:rPr>
      </w:pPr>
    </w:p>
    <w:p w14:paraId="23F39918">
      <w:pPr>
        <w:pStyle w:val="32"/>
        <w:adjustRightInd w:val="0"/>
        <w:snapToGrid w:val="0"/>
        <w:spacing w:line="400" w:lineRule="exact"/>
        <w:jc w:val="center"/>
        <w:rPr>
          <w:rFonts w:hint="eastAsia" w:ascii="仿宋" w:hAnsi="仿宋" w:eastAsia="仿宋" w:cs="仿宋"/>
          <w:sz w:val="24"/>
          <w:szCs w:val="24"/>
          <w:highlight w:val="none"/>
        </w:rPr>
      </w:pPr>
    </w:p>
    <w:p w14:paraId="0C4F0C0B">
      <w:pPr>
        <w:pStyle w:val="32"/>
        <w:adjustRightInd w:val="0"/>
        <w:snapToGrid w:val="0"/>
        <w:spacing w:line="400" w:lineRule="exact"/>
        <w:jc w:val="center"/>
        <w:rPr>
          <w:rFonts w:hint="eastAsia" w:ascii="仿宋" w:hAnsi="仿宋" w:eastAsia="仿宋" w:cs="仿宋"/>
          <w:sz w:val="24"/>
          <w:szCs w:val="24"/>
          <w:highlight w:val="none"/>
        </w:rPr>
      </w:pPr>
    </w:p>
    <w:p w14:paraId="2CA598F2">
      <w:pPr>
        <w:pStyle w:val="32"/>
        <w:adjustRightInd w:val="0"/>
        <w:snapToGrid w:val="0"/>
        <w:spacing w:line="400" w:lineRule="exact"/>
        <w:jc w:val="center"/>
        <w:rPr>
          <w:rFonts w:hint="eastAsia" w:ascii="仿宋" w:hAnsi="仿宋" w:eastAsia="仿宋" w:cs="仿宋"/>
          <w:sz w:val="24"/>
          <w:szCs w:val="24"/>
          <w:highlight w:val="none"/>
        </w:rPr>
      </w:pPr>
    </w:p>
    <w:p w14:paraId="39DACAF1">
      <w:pPr>
        <w:pStyle w:val="32"/>
        <w:tabs>
          <w:tab w:val="left" w:pos="750"/>
        </w:tabs>
        <w:adjustRightInd w:val="0"/>
        <w:snapToGrid w:val="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rPr>
        <w:tab/>
      </w:r>
      <w:r>
        <w:rPr>
          <w:rFonts w:hint="eastAsia" w:ascii="仿宋" w:hAnsi="仿宋" w:eastAsia="仿宋" w:cs="仿宋"/>
          <w:sz w:val="24"/>
          <w:szCs w:val="24"/>
          <w:highlight w:val="none"/>
        </w:rPr>
        <w:t>投标人名称（盖章）：</w:t>
      </w:r>
      <w:r>
        <w:rPr>
          <w:rFonts w:hint="eastAsia" w:ascii="仿宋" w:hAnsi="仿宋" w:eastAsia="仿宋" w:cs="仿宋"/>
          <w:sz w:val="24"/>
          <w:szCs w:val="24"/>
          <w:highlight w:val="none"/>
          <w:u w:val="single"/>
        </w:rPr>
        <w:t xml:space="preserve">                        </w:t>
      </w:r>
    </w:p>
    <w:p w14:paraId="233881F4">
      <w:pPr>
        <w:pStyle w:val="23"/>
        <w:ind w:firstLine="480" w:firstLineChars="200"/>
        <w:rPr>
          <w:rFonts w:hint="eastAsia" w:ascii="仿宋" w:hAnsi="仿宋" w:eastAsia="仿宋" w:cs="仿宋"/>
          <w:color w:val="auto"/>
          <w:kern w:val="2"/>
          <w:highlight w:val="none"/>
        </w:rPr>
      </w:pPr>
      <w:r>
        <w:rPr>
          <w:rFonts w:hint="eastAsia" w:ascii="仿宋" w:hAnsi="仿宋" w:eastAsia="仿宋" w:cs="仿宋"/>
          <w:color w:val="auto"/>
          <w:kern w:val="2"/>
          <w:highlight w:val="none"/>
        </w:rPr>
        <w:t xml:space="preserve">  </w:t>
      </w:r>
    </w:p>
    <w:p w14:paraId="43724B2D">
      <w:pPr>
        <w:pStyle w:val="32"/>
        <w:tabs>
          <w:tab w:val="left" w:pos="750"/>
        </w:tabs>
        <w:adjustRightInd w:val="0"/>
        <w:snapToGrid w:val="0"/>
        <w:ind w:firstLine="720" w:firstLineChars="3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法人代表人（盖章）：</w:t>
      </w:r>
      <w:r>
        <w:rPr>
          <w:rFonts w:hint="eastAsia" w:ascii="仿宋" w:hAnsi="仿宋" w:eastAsia="仿宋" w:cs="仿宋"/>
          <w:sz w:val="24"/>
          <w:szCs w:val="24"/>
          <w:highlight w:val="none"/>
          <w:u w:val="single"/>
        </w:rPr>
        <w:t xml:space="preserve">                        </w:t>
      </w:r>
    </w:p>
    <w:p w14:paraId="2A46EE2B">
      <w:pPr>
        <w:pStyle w:val="32"/>
        <w:tabs>
          <w:tab w:val="left" w:pos="750"/>
        </w:tabs>
        <w:adjustRightInd w:val="0"/>
        <w:snapToGrid w:val="0"/>
        <w:ind w:firstLine="720" w:firstLineChars="300"/>
        <w:rPr>
          <w:rFonts w:hint="eastAsia" w:ascii="仿宋" w:hAnsi="仿宋" w:eastAsia="仿宋" w:cs="仿宋"/>
          <w:sz w:val="24"/>
          <w:szCs w:val="24"/>
          <w:highlight w:val="none"/>
          <w:u w:val="single"/>
        </w:rPr>
      </w:pPr>
    </w:p>
    <w:p w14:paraId="0E4A869A">
      <w:pPr>
        <w:pStyle w:val="32"/>
        <w:tabs>
          <w:tab w:val="left" w:pos="750"/>
        </w:tabs>
        <w:adjustRightInd w:val="0"/>
        <w:snapToGrid w:val="0"/>
        <w:ind w:firstLine="720" w:firstLineChars="3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身份证号码：</w:t>
      </w:r>
      <w:r>
        <w:rPr>
          <w:rFonts w:hint="eastAsia" w:ascii="仿宋" w:hAnsi="仿宋" w:eastAsia="仿宋" w:cs="仿宋"/>
          <w:sz w:val="24"/>
          <w:szCs w:val="24"/>
          <w:highlight w:val="none"/>
          <w:u w:val="single"/>
        </w:rPr>
        <w:t xml:space="preserve">                               </w:t>
      </w:r>
    </w:p>
    <w:p w14:paraId="5A253172">
      <w:pPr>
        <w:pStyle w:val="32"/>
        <w:tabs>
          <w:tab w:val="left" w:pos="750"/>
        </w:tabs>
        <w:adjustRightInd w:val="0"/>
        <w:snapToGrid w:val="0"/>
        <w:rPr>
          <w:rFonts w:hint="eastAsia" w:ascii="仿宋" w:hAnsi="仿宋" w:eastAsia="仿宋" w:cs="仿宋"/>
          <w:sz w:val="24"/>
          <w:szCs w:val="24"/>
          <w:highlight w:val="none"/>
        </w:rPr>
      </w:pPr>
    </w:p>
    <w:p w14:paraId="08F055F0">
      <w:pPr>
        <w:pStyle w:val="32"/>
        <w:tabs>
          <w:tab w:val="left" w:pos="750"/>
        </w:tabs>
        <w:adjustRightInd w:val="0"/>
        <w:snapToGrid w:val="0"/>
        <w:ind w:firstLine="720" w:firstLineChars="3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委托代理人（签字）：</w:t>
      </w:r>
      <w:r>
        <w:rPr>
          <w:rFonts w:hint="eastAsia" w:ascii="仿宋" w:hAnsi="仿宋" w:eastAsia="仿宋" w:cs="仿宋"/>
          <w:sz w:val="24"/>
          <w:szCs w:val="24"/>
          <w:highlight w:val="none"/>
          <w:u w:val="single"/>
        </w:rPr>
        <w:t xml:space="preserve">                        </w:t>
      </w:r>
    </w:p>
    <w:p w14:paraId="27075DB6">
      <w:pPr>
        <w:pStyle w:val="32"/>
        <w:tabs>
          <w:tab w:val="left" w:pos="750"/>
        </w:tabs>
        <w:adjustRightInd w:val="0"/>
        <w:snapToGrid w:val="0"/>
        <w:ind w:firstLine="720" w:firstLineChars="300"/>
        <w:rPr>
          <w:rFonts w:hint="eastAsia" w:ascii="仿宋" w:hAnsi="仿宋" w:eastAsia="仿宋" w:cs="仿宋"/>
          <w:sz w:val="24"/>
          <w:szCs w:val="24"/>
          <w:highlight w:val="none"/>
          <w:u w:val="single"/>
        </w:rPr>
      </w:pPr>
    </w:p>
    <w:p w14:paraId="1494423F">
      <w:pPr>
        <w:pStyle w:val="32"/>
        <w:tabs>
          <w:tab w:val="left" w:pos="750"/>
        </w:tabs>
        <w:adjustRightInd w:val="0"/>
        <w:snapToGrid w:val="0"/>
        <w:ind w:firstLine="720" w:firstLineChars="30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身份证号码：</w:t>
      </w:r>
      <w:r>
        <w:rPr>
          <w:rFonts w:hint="eastAsia" w:ascii="仿宋" w:hAnsi="仿宋" w:eastAsia="仿宋" w:cs="仿宋"/>
          <w:sz w:val="24"/>
          <w:szCs w:val="24"/>
          <w:highlight w:val="none"/>
          <w:u w:val="single"/>
        </w:rPr>
        <w:t xml:space="preserve">                                     </w:t>
      </w:r>
    </w:p>
    <w:p w14:paraId="29DCF75A">
      <w:pPr>
        <w:pStyle w:val="23"/>
        <w:ind w:firstLine="480" w:firstLineChars="200"/>
        <w:rPr>
          <w:rFonts w:hint="eastAsia" w:ascii="仿宋" w:hAnsi="仿宋" w:eastAsia="仿宋" w:cs="仿宋"/>
          <w:color w:val="auto"/>
          <w:kern w:val="2"/>
          <w:highlight w:val="none"/>
        </w:rPr>
      </w:pPr>
    </w:p>
    <w:p w14:paraId="5089E7A8">
      <w:pPr>
        <w:pStyle w:val="23"/>
        <w:ind w:firstLine="1440" w:firstLineChars="600"/>
        <w:rPr>
          <w:rFonts w:hint="eastAsia" w:ascii="仿宋" w:hAnsi="仿宋" w:eastAsia="仿宋" w:cs="仿宋"/>
          <w:color w:val="auto"/>
          <w:kern w:val="2"/>
          <w:highlight w:val="none"/>
        </w:rPr>
      </w:pPr>
    </w:p>
    <w:p w14:paraId="2B8810A7">
      <w:pPr>
        <w:pStyle w:val="32"/>
        <w:tabs>
          <w:tab w:val="left" w:pos="750"/>
        </w:tabs>
        <w:adjustRightInd w:val="0"/>
        <w:snapToGrid w:val="0"/>
        <w:ind w:firstLine="720" w:firstLineChars="300"/>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164CCD16">
      <w:pPr>
        <w:pStyle w:val="32"/>
        <w:tabs>
          <w:tab w:val="left" w:pos="750"/>
        </w:tabs>
        <w:adjustRightInd w:val="0"/>
        <w:snapToGrid w:val="0"/>
        <w:spacing w:line="400" w:lineRule="exact"/>
        <w:ind w:firstLine="720" w:firstLineChars="300"/>
        <w:rPr>
          <w:rFonts w:hint="eastAsia" w:ascii="仿宋" w:hAnsi="仿宋" w:eastAsia="仿宋" w:cs="仿宋"/>
          <w:sz w:val="24"/>
          <w:szCs w:val="24"/>
          <w:highlight w:val="none"/>
        </w:rPr>
      </w:pPr>
    </w:p>
    <w:p w14:paraId="278E133D">
      <w:pPr>
        <w:pStyle w:val="32"/>
        <w:adjustRightInd w:val="0"/>
        <w:snapToGrid w:val="0"/>
        <w:spacing w:line="400" w:lineRule="exact"/>
        <w:ind w:firstLine="720" w:firstLineChars="300"/>
        <w:jc w:val="left"/>
        <w:rPr>
          <w:rFonts w:hint="eastAsia" w:ascii="仿宋" w:hAnsi="仿宋" w:eastAsia="仿宋" w:cs="仿宋"/>
          <w:b/>
          <w:szCs w:val="24"/>
          <w:highlight w:val="none"/>
        </w:rPr>
      </w:pPr>
      <w:r>
        <w:rPr>
          <w:rFonts w:hint="eastAsia" w:ascii="仿宋" w:hAnsi="仿宋" w:eastAsia="仿宋" w:cs="仿宋"/>
          <w:sz w:val="24"/>
          <w:szCs w:val="24"/>
          <w:highlight w:val="none"/>
        </w:rPr>
        <w:t>注：法人代表本人参加现场投标的，投标人可以不提供此项证明文件。</w:t>
      </w:r>
    </w:p>
    <w:p w14:paraId="0E57D314">
      <w:pPr>
        <w:pStyle w:val="6"/>
        <w:spacing w:line="400" w:lineRule="exact"/>
        <w:ind w:firstLine="0"/>
        <w:rPr>
          <w:rFonts w:hint="eastAsia" w:ascii="仿宋" w:hAnsi="仿宋" w:eastAsia="仿宋" w:cs="仿宋"/>
          <w:b/>
          <w:sz w:val="28"/>
          <w:szCs w:val="24"/>
          <w:highlight w:val="none"/>
        </w:rPr>
      </w:pPr>
    </w:p>
    <w:p w14:paraId="4FEF3FAF">
      <w:pPr>
        <w:pStyle w:val="9"/>
        <w:spacing w:before="3"/>
        <w:ind w:left="0"/>
        <w:rPr>
          <w:rFonts w:hint="eastAsia" w:ascii="仿宋" w:hAnsi="仿宋" w:eastAsia="仿宋" w:cs="仿宋"/>
          <w:b/>
          <w:sz w:val="28"/>
          <w:highlight w:val="none"/>
        </w:rPr>
      </w:pPr>
    </w:p>
    <w:p w14:paraId="23906EBE">
      <w:pPr>
        <w:pStyle w:val="9"/>
        <w:spacing w:before="3"/>
        <w:ind w:left="0"/>
        <w:rPr>
          <w:rFonts w:hint="eastAsia" w:ascii="仿宋" w:hAnsi="仿宋" w:eastAsia="仿宋" w:cs="仿宋"/>
          <w:b/>
          <w:sz w:val="28"/>
          <w:highlight w:val="none"/>
        </w:rPr>
      </w:pPr>
    </w:p>
    <w:p w14:paraId="300E4408">
      <w:pPr>
        <w:pStyle w:val="9"/>
        <w:spacing w:before="3"/>
        <w:ind w:left="0"/>
        <w:rPr>
          <w:rFonts w:hint="eastAsia" w:ascii="仿宋" w:hAnsi="仿宋" w:eastAsia="仿宋" w:cs="仿宋"/>
          <w:b/>
          <w:sz w:val="28"/>
          <w:highlight w:val="none"/>
        </w:rPr>
      </w:pPr>
    </w:p>
    <w:p w14:paraId="7A576986">
      <w:pPr>
        <w:rPr>
          <w:rFonts w:hint="eastAsia" w:ascii="仿宋" w:hAnsi="仿宋" w:eastAsia="仿宋" w:cs="仿宋"/>
          <w:sz w:val="28"/>
          <w:highlight w:val="none"/>
        </w:rPr>
        <w:sectPr>
          <w:headerReference r:id="rId8" w:type="default"/>
          <w:footerReference r:id="rId9" w:type="default"/>
          <w:pgSz w:w="11910" w:h="16840"/>
          <w:pgMar w:top="1134" w:right="1134" w:bottom="1134" w:left="1800" w:header="878" w:footer="993" w:gutter="0"/>
          <w:cols w:space="720" w:num="1"/>
        </w:sectPr>
      </w:pPr>
    </w:p>
    <w:p w14:paraId="62BDCA97">
      <w:pPr>
        <w:ind w:firstLine="3313" w:firstLineChars="1100"/>
        <w:jc w:val="both"/>
        <w:rPr>
          <w:rFonts w:hint="eastAsia" w:ascii="仿宋" w:hAnsi="仿宋" w:eastAsia="仿宋" w:cs="仿宋"/>
          <w:b/>
          <w:sz w:val="30"/>
          <w:highlight w:val="none"/>
        </w:rPr>
      </w:pPr>
    </w:p>
    <w:p w14:paraId="52F1DBDC">
      <w:pPr>
        <w:ind w:firstLine="4216" w:firstLineChars="1400"/>
        <w:jc w:val="both"/>
        <w:rPr>
          <w:rFonts w:hint="eastAsia" w:ascii="仿宋" w:hAnsi="仿宋" w:eastAsia="仿宋" w:cs="仿宋"/>
          <w:b/>
          <w:sz w:val="30"/>
          <w:highlight w:val="none"/>
        </w:rPr>
      </w:pPr>
      <w:r>
        <w:rPr>
          <w:rFonts w:hint="eastAsia" w:ascii="仿宋" w:hAnsi="仿宋" w:eastAsia="仿宋" w:cs="仿宋"/>
          <w:b/>
          <w:sz w:val="30"/>
          <w:highlight w:val="none"/>
        </w:rPr>
        <w:t>开标一览表</w:t>
      </w:r>
    </w:p>
    <w:p w14:paraId="14CF8CED">
      <w:pPr>
        <w:pStyle w:val="9"/>
        <w:spacing w:before="5"/>
        <w:ind w:left="0"/>
        <w:rPr>
          <w:rFonts w:hint="eastAsia" w:ascii="仿宋" w:hAnsi="仿宋" w:eastAsia="仿宋" w:cs="仿宋"/>
          <w:b/>
          <w:sz w:val="10"/>
          <w:highlight w:val="none"/>
        </w:rPr>
      </w:pPr>
    </w:p>
    <w:p w14:paraId="2B0F1855">
      <w:pPr>
        <w:spacing w:before="90" w:line="364" w:lineRule="auto"/>
        <w:rPr>
          <w:rFonts w:hint="eastAsia" w:ascii="仿宋" w:hAnsi="仿宋" w:eastAsia="仿宋" w:cs="仿宋"/>
          <w:b/>
          <w:sz w:val="24"/>
          <w:highlight w:val="none"/>
        </w:rPr>
      </w:pPr>
      <w:r>
        <w:rPr>
          <w:rFonts w:hint="eastAsia" w:ascii="仿宋" w:hAnsi="仿宋" w:eastAsia="仿宋" w:cs="仿宋"/>
          <w:b/>
          <w:sz w:val="24"/>
          <w:highlight w:val="none"/>
        </w:rPr>
        <w:t>项目编号：</w:t>
      </w:r>
    </w:p>
    <w:p w14:paraId="22F101C1">
      <w:pPr>
        <w:spacing w:before="90" w:line="364" w:lineRule="auto"/>
        <w:rPr>
          <w:rFonts w:hint="eastAsia" w:ascii="仿宋" w:hAnsi="仿宋" w:eastAsia="仿宋" w:cs="仿宋"/>
          <w:b/>
          <w:sz w:val="24"/>
          <w:highlight w:val="none"/>
        </w:rPr>
      </w:pPr>
      <w:r>
        <w:rPr>
          <w:rFonts w:hint="eastAsia" w:ascii="仿宋" w:hAnsi="仿宋" w:eastAsia="仿宋" w:cs="仿宋"/>
          <w:b/>
          <w:sz w:val="24"/>
          <w:highlight w:val="none"/>
        </w:rPr>
        <w:t>项目名称：</w:t>
      </w:r>
    </w:p>
    <w:p w14:paraId="6684A3AB">
      <w:pPr>
        <w:spacing w:before="90" w:line="364" w:lineRule="auto"/>
        <w:rPr>
          <w:rFonts w:hint="eastAsia" w:ascii="仿宋" w:hAnsi="仿宋" w:eastAsia="仿宋" w:cs="仿宋"/>
          <w:b/>
          <w:highlight w:val="none"/>
        </w:rPr>
      </w:pPr>
      <w:r>
        <w:rPr>
          <w:rFonts w:hint="eastAsia" w:ascii="仿宋" w:hAnsi="仿宋" w:eastAsia="仿宋" w:cs="仿宋"/>
          <w:b/>
          <w:sz w:val="24"/>
          <w:highlight w:val="none"/>
        </w:rPr>
        <w:t>包号：</w:t>
      </w:r>
      <w:r>
        <w:rPr>
          <w:rFonts w:hint="eastAsia" w:ascii="仿宋" w:hAnsi="仿宋" w:eastAsia="仿宋" w:cs="仿宋"/>
          <w:b/>
          <w:sz w:val="24"/>
          <w:highlight w:val="none"/>
          <w:lang w:val="en-US"/>
        </w:rPr>
        <w:t xml:space="preserve">                                                   </w:t>
      </w:r>
    </w:p>
    <w:tbl>
      <w:tblPr>
        <w:tblStyle w:val="18"/>
        <w:tblW w:w="10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80"/>
        <w:gridCol w:w="2770"/>
        <w:gridCol w:w="1710"/>
        <w:gridCol w:w="1203"/>
        <w:gridCol w:w="1337"/>
        <w:gridCol w:w="1337"/>
      </w:tblGrid>
      <w:tr w14:paraId="52F1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0" w:hRule="atLeast"/>
        </w:trPr>
        <w:tc>
          <w:tcPr>
            <w:tcW w:w="1680" w:type="dxa"/>
            <w:vAlign w:val="center"/>
          </w:tcPr>
          <w:p w14:paraId="680604C4">
            <w:pPr>
              <w:tabs>
                <w:tab w:val="left" w:pos="5580"/>
              </w:tabs>
              <w:spacing w:line="360" w:lineRule="auto"/>
              <w:ind w:right="-199"/>
              <w:jc w:val="both"/>
              <w:rPr>
                <w:rFonts w:hint="eastAsia" w:ascii="仿宋" w:hAnsi="仿宋" w:eastAsia="仿宋" w:cs="仿宋"/>
                <w:sz w:val="24"/>
                <w:highlight w:val="none"/>
              </w:rPr>
            </w:pPr>
            <w:r>
              <w:rPr>
                <w:rFonts w:hint="eastAsia" w:ascii="仿宋" w:hAnsi="仿宋" w:eastAsia="仿宋" w:cs="仿宋"/>
                <w:sz w:val="24"/>
                <w:highlight w:val="none"/>
                <w:lang w:val="en-US"/>
              </w:rPr>
              <w:t>项目</w:t>
            </w:r>
            <w:r>
              <w:rPr>
                <w:rFonts w:hint="eastAsia" w:ascii="仿宋" w:hAnsi="仿宋" w:eastAsia="仿宋" w:cs="仿宋"/>
                <w:sz w:val="24"/>
                <w:highlight w:val="none"/>
              </w:rPr>
              <w:t>名称</w:t>
            </w:r>
          </w:p>
        </w:tc>
        <w:tc>
          <w:tcPr>
            <w:tcW w:w="2770" w:type="dxa"/>
            <w:vAlign w:val="center"/>
          </w:tcPr>
          <w:p w14:paraId="3D225DB3">
            <w:pPr>
              <w:tabs>
                <w:tab w:val="left" w:pos="5580"/>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投标总价</w:t>
            </w:r>
          </w:p>
        </w:tc>
        <w:tc>
          <w:tcPr>
            <w:tcW w:w="1710" w:type="dxa"/>
            <w:vAlign w:val="center"/>
          </w:tcPr>
          <w:p w14:paraId="2791B17F">
            <w:pPr>
              <w:tabs>
                <w:tab w:val="left" w:pos="5580"/>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交货期</w:t>
            </w:r>
          </w:p>
        </w:tc>
        <w:tc>
          <w:tcPr>
            <w:tcW w:w="1203" w:type="dxa"/>
            <w:vAlign w:val="center"/>
          </w:tcPr>
          <w:p w14:paraId="4386319B">
            <w:pPr>
              <w:tabs>
                <w:tab w:val="left" w:pos="5580"/>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交货地点</w:t>
            </w:r>
          </w:p>
        </w:tc>
        <w:tc>
          <w:tcPr>
            <w:tcW w:w="1337" w:type="dxa"/>
            <w:vAlign w:val="center"/>
          </w:tcPr>
          <w:p w14:paraId="027AA38B">
            <w:pPr>
              <w:tabs>
                <w:tab w:val="left" w:pos="5580"/>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质保期</w:t>
            </w:r>
          </w:p>
        </w:tc>
        <w:tc>
          <w:tcPr>
            <w:tcW w:w="1337" w:type="dxa"/>
            <w:vAlign w:val="center"/>
          </w:tcPr>
          <w:p w14:paraId="40FD6B77">
            <w:pPr>
              <w:tabs>
                <w:tab w:val="left" w:pos="5580"/>
              </w:tabs>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备注</w:t>
            </w:r>
          </w:p>
        </w:tc>
      </w:tr>
      <w:tr w14:paraId="4461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28" w:hRule="atLeast"/>
        </w:trPr>
        <w:tc>
          <w:tcPr>
            <w:tcW w:w="1680" w:type="dxa"/>
            <w:vAlign w:val="center"/>
          </w:tcPr>
          <w:p w14:paraId="1E92885A">
            <w:pPr>
              <w:tabs>
                <w:tab w:val="left" w:pos="5580"/>
              </w:tabs>
              <w:spacing w:line="360" w:lineRule="auto"/>
              <w:ind w:left="1105" w:leftChars="257" w:hanging="540"/>
              <w:jc w:val="center"/>
              <w:rPr>
                <w:rFonts w:hint="eastAsia" w:ascii="仿宋" w:hAnsi="仿宋" w:eastAsia="仿宋" w:cs="仿宋"/>
                <w:sz w:val="24"/>
                <w:highlight w:val="none"/>
              </w:rPr>
            </w:pPr>
          </w:p>
        </w:tc>
        <w:tc>
          <w:tcPr>
            <w:tcW w:w="2770" w:type="dxa"/>
            <w:vAlign w:val="center"/>
          </w:tcPr>
          <w:p w14:paraId="0533477C">
            <w:pPr>
              <w:tabs>
                <w:tab w:val="left" w:pos="558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大写：</w:t>
            </w:r>
          </w:p>
          <w:p w14:paraId="7B000882">
            <w:pPr>
              <w:tabs>
                <w:tab w:val="left" w:pos="5580"/>
              </w:tabs>
              <w:spacing w:line="360" w:lineRule="auto"/>
              <w:rPr>
                <w:rFonts w:hint="eastAsia" w:ascii="仿宋" w:hAnsi="仿宋" w:eastAsia="仿宋" w:cs="仿宋"/>
                <w:sz w:val="24"/>
                <w:highlight w:val="none"/>
              </w:rPr>
            </w:pPr>
            <w:r>
              <w:rPr>
                <w:rFonts w:hint="eastAsia" w:ascii="仿宋" w:hAnsi="仿宋" w:eastAsia="仿宋" w:cs="仿宋"/>
                <w:sz w:val="24"/>
                <w:highlight w:val="none"/>
              </w:rPr>
              <w:t>小写：</w:t>
            </w:r>
          </w:p>
        </w:tc>
        <w:tc>
          <w:tcPr>
            <w:tcW w:w="1710" w:type="dxa"/>
            <w:vAlign w:val="center"/>
          </w:tcPr>
          <w:p w14:paraId="18675B65">
            <w:pPr>
              <w:tabs>
                <w:tab w:val="left" w:pos="5580"/>
              </w:tabs>
              <w:spacing w:line="360" w:lineRule="auto"/>
              <w:ind w:left="1105" w:leftChars="257" w:hanging="540"/>
              <w:jc w:val="both"/>
              <w:rPr>
                <w:rFonts w:hint="eastAsia" w:ascii="仿宋" w:hAnsi="仿宋" w:eastAsia="仿宋" w:cs="仿宋"/>
                <w:sz w:val="24"/>
                <w:highlight w:val="none"/>
              </w:rPr>
            </w:pPr>
          </w:p>
        </w:tc>
        <w:tc>
          <w:tcPr>
            <w:tcW w:w="1203" w:type="dxa"/>
            <w:vAlign w:val="center"/>
          </w:tcPr>
          <w:p w14:paraId="17ACB31A">
            <w:pPr>
              <w:tabs>
                <w:tab w:val="left" w:pos="5580"/>
              </w:tabs>
              <w:spacing w:line="360" w:lineRule="auto"/>
              <w:ind w:left="1105" w:leftChars="257" w:hanging="540"/>
              <w:jc w:val="center"/>
              <w:rPr>
                <w:rFonts w:hint="eastAsia" w:ascii="仿宋" w:hAnsi="仿宋" w:eastAsia="仿宋" w:cs="仿宋"/>
                <w:sz w:val="24"/>
                <w:highlight w:val="none"/>
              </w:rPr>
            </w:pPr>
          </w:p>
        </w:tc>
        <w:tc>
          <w:tcPr>
            <w:tcW w:w="1337" w:type="dxa"/>
            <w:vAlign w:val="center"/>
          </w:tcPr>
          <w:p w14:paraId="51CFF209">
            <w:pPr>
              <w:tabs>
                <w:tab w:val="left" w:pos="5580"/>
              </w:tabs>
              <w:spacing w:line="360" w:lineRule="auto"/>
              <w:ind w:left="1105" w:leftChars="257" w:hanging="540"/>
              <w:jc w:val="center"/>
              <w:rPr>
                <w:rFonts w:hint="eastAsia" w:ascii="仿宋" w:hAnsi="仿宋" w:eastAsia="仿宋" w:cs="仿宋"/>
                <w:sz w:val="24"/>
                <w:highlight w:val="none"/>
              </w:rPr>
            </w:pPr>
          </w:p>
        </w:tc>
        <w:tc>
          <w:tcPr>
            <w:tcW w:w="1337" w:type="dxa"/>
            <w:vAlign w:val="center"/>
          </w:tcPr>
          <w:p w14:paraId="3E15BF9A">
            <w:pPr>
              <w:tabs>
                <w:tab w:val="left" w:pos="5580"/>
              </w:tabs>
              <w:spacing w:line="360" w:lineRule="auto"/>
              <w:ind w:left="1105" w:leftChars="257" w:hanging="540"/>
              <w:jc w:val="center"/>
              <w:rPr>
                <w:rFonts w:hint="eastAsia" w:ascii="仿宋" w:hAnsi="仿宋" w:eastAsia="仿宋" w:cs="仿宋"/>
                <w:sz w:val="24"/>
                <w:highlight w:val="none"/>
              </w:rPr>
            </w:pPr>
          </w:p>
        </w:tc>
      </w:tr>
    </w:tbl>
    <w:p w14:paraId="20484A21">
      <w:pPr>
        <w:pStyle w:val="9"/>
        <w:spacing w:before="0"/>
        <w:ind w:left="0"/>
        <w:rPr>
          <w:rFonts w:hint="eastAsia" w:ascii="仿宋" w:hAnsi="仿宋" w:eastAsia="仿宋" w:cs="仿宋"/>
          <w:b/>
          <w:highlight w:val="none"/>
        </w:rPr>
      </w:pPr>
    </w:p>
    <w:p w14:paraId="75A2386A">
      <w:pPr>
        <w:pStyle w:val="32"/>
        <w:tabs>
          <w:tab w:val="left" w:pos="750"/>
        </w:tabs>
        <w:adjustRightInd w:val="0"/>
        <w:snapToGrid w:val="0"/>
        <w:spacing w:line="480" w:lineRule="auto"/>
        <w:ind w:firstLine="723" w:firstLineChars="3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备注：</w:t>
      </w:r>
    </w:p>
    <w:p w14:paraId="2A86CB33">
      <w:pPr>
        <w:pStyle w:val="32"/>
        <w:tabs>
          <w:tab w:val="left" w:pos="750"/>
        </w:tabs>
        <w:adjustRightInd w:val="0"/>
        <w:snapToGrid w:val="0"/>
        <w:spacing w:line="480" w:lineRule="auto"/>
        <w:ind w:firstLine="723" w:firstLineChars="3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bidi="zh-CN"/>
        </w:rPr>
        <w:t>1、</w:t>
      </w:r>
      <w:r>
        <w:rPr>
          <w:rFonts w:hint="eastAsia" w:ascii="仿宋" w:hAnsi="仿宋" w:eastAsia="仿宋" w:cs="仿宋"/>
          <w:b/>
          <w:kern w:val="0"/>
          <w:sz w:val="24"/>
          <w:highlight w:val="none"/>
          <w:lang w:val="zh-CN" w:bidi="zh-CN"/>
        </w:rPr>
        <w:t>总价中包括但不限于税费、运输费、保险费及所配套的土建、吊装就位，培训、安装、调试等所有相关费用。</w:t>
      </w:r>
    </w:p>
    <w:p w14:paraId="3A46D328">
      <w:pPr>
        <w:pStyle w:val="32"/>
        <w:tabs>
          <w:tab w:val="left" w:pos="750"/>
        </w:tabs>
        <w:adjustRightInd w:val="0"/>
        <w:snapToGrid w:val="0"/>
        <w:spacing w:line="480" w:lineRule="auto"/>
        <w:ind w:firstLine="723" w:firstLineChars="300"/>
        <w:rPr>
          <w:rFonts w:hint="eastAsia" w:ascii="仿宋" w:hAnsi="仿宋" w:eastAsia="仿宋" w:cs="仿宋"/>
          <w:b/>
          <w:kern w:val="0"/>
          <w:sz w:val="24"/>
          <w:highlight w:val="none"/>
          <w:lang w:val="zh-CN" w:bidi="zh-CN"/>
        </w:rPr>
      </w:pPr>
    </w:p>
    <w:p w14:paraId="2E66B531">
      <w:pPr>
        <w:pStyle w:val="32"/>
        <w:tabs>
          <w:tab w:val="left" w:pos="750"/>
        </w:tabs>
        <w:adjustRightInd w:val="0"/>
        <w:snapToGrid w:val="0"/>
        <w:spacing w:line="480" w:lineRule="auto"/>
        <w:ind w:firstLine="723" w:firstLineChars="3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投标人名称（盖章）：</w:t>
      </w:r>
      <w:r>
        <w:rPr>
          <w:rFonts w:hint="eastAsia" w:ascii="仿宋" w:hAnsi="仿宋" w:eastAsia="仿宋" w:cs="仿宋"/>
          <w:b/>
          <w:kern w:val="0"/>
          <w:sz w:val="24"/>
          <w:highlight w:val="none"/>
          <w:u w:val="single"/>
          <w:lang w:bidi="zh-CN"/>
        </w:rPr>
        <w:t xml:space="preserve">                 </w:t>
      </w:r>
      <w:r>
        <w:rPr>
          <w:rFonts w:hint="eastAsia" w:ascii="仿宋" w:hAnsi="仿宋" w:eastAsia="仿宋" w:cs="仿宋"/>
          <w:b/>
          <w:kern w:val="0"/>
          <w:sz w:val="24"/>
          <w:highlight w:val="none"/>
          <w:lang w:val="zh-CN" w:bidi="zh-CN"/>
        </w:rPr>
        <w:t xml:space="preserve">                        </w:t>
      </w:r>
    </w:p>
    <w:p w14:paraId="33E97380">
      <w:pPr>
        <w:pStyle w:val="32"/>
        <w:tabs>
          <w:tab w:val="left" w:pos="750"/>
        </w:tabs>
        <w:adjustRightInd w:val="0"/>
        <w:snapToGrid w:val="0"/>
        <w:spacing w:line="480" w:lineRule="auto"/>
        <w:ind w:firstLine="723" w:firstLineChars="3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法定代表人或委托代理人签字（或盖章）：</w:t>
      </w:r>
      <w:r>
        <w:rPr>
          <w:rFonts w:hint="eastAsia" w:ascii="仿宋" w:hAnsi="仿宋" w:eastAsia="仿宋" w:cs="仿宋"/>
          <w:b/>
          <w:kern w:val="0"/>
          <w:sz w:val="24"/>
          <w:highlight w:val="none"/>
          <w:u w:val="single"/>
          <w:lang w:bidi="zh-CN"/>
        </w:rPr>
        <w:t xml:space="preserve">                 </w:t>
      </w:r>
      <w:r>
        <w:rPr>
          <w:rFonts w:hint="eastAsia" w:ascii="仿宋" w:hAnsi="仿宋" w:eastAsia="仿宋" w:cs="仿宋"/>
          <w:b/>
          <w:kern w:val="0"/>
          <w:sz w:val="24"/>
          <w:highlight w:val="none"/>
          <w:lang w:val="zh-CN" w:bidi="zh-CN"/>
        </w:rPr>
        <w:t xml:space="preserve">                        </w:t>
      </w:r>
    </w:p>
    <w:p w14:paraId="78844A7E">
      <w:pPr>
        <w:pStyle w:val="32"/>
        <w:tabs>
          <w:tab w:val="left" w:pos="750"/>
        </w:tabs>
        <w:adjustRightInd w:val="0"/>
        <w:snapToGrid w:val="0"/>
        <w:spacing w:line="480" w:lineRule="auto"/>
        <w:ind w:firstLine="5783" w:firstLineChars="24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 xml:space="preserve">日期： </w:t>
      </w:r>
      <w:r>
        <w:rPr>
          <w:rFonts w:hint="eastAsia" w:ascii="仿宋" w:hAnsi="仿宋" w:eastAsia="仿宋" w:cs="仿宋"/>
          <w:b/>
          <w:kern w:val="0"/>
          <w:sz w:val="24"/>
          <w:highlight w:val="none"/>
          <w:u w:val="single"/>
          <w:lang w:val="zh-CN" w:bidi="zh-CN"/>
        </w:rPr>
        <w:t xml:space="preserve">    </w:t>
      </w:r>
      <w:r>
        <w:rPr>
          <w:rFonts w:hint="eastAsia" w:ascii="仿宋" w:hAnsi="仿宋" w:eastAsia="仿宋" w:cs="仿宋"/>
          <w:b/>
          <w:kern w:val="0"/>
          <w:sz w:val="24"/>
          <w:highlight w:val="none"/>
          <w:lang w:val="zh-CN" w:bidi="zh-CN"/>
        </w:rPr>
        <w:t xml:space="preserve"> 年</w:t>
      </w:r>
      <w:r>
        <w:rPr>
          <w:rFonts w:hint="eastAsia" w:ascii="仿宋" w:hAnsi="仿宋" w:eastAsia="仿宋" w:cs="仿宋"/>
          <w:b/>
          <w:kern w:val="0"/>
          <w:sz w:val="24"/>
          <w:highlight w:val="none"/>
          <w:u w:val="single"/>
          <w:lang w:val="zh-CN" w:bidi="zh-CN"/>
        </w:rPr>
        <w:t xml:space="preserve">    </w:t>
      </w:r>
      <w:r>
        <w:rPr>
          <w:rFonts w:hint="eastAsia" w:ascii="仿宋" w:hAnsi="仿宋" w:eastAsia="仿宋" w:cs="仿宋"/>
          <w:b/>
          <w:kern w:val="0"/>
          <w:sz w:val="24"/>
          <w:highlight w:val="none"/>
          <w:lang w:val="zh-CN" w:bidi="zh-CN"/>
        </w:rPr>
        <w:t>月</w:t>
      </w:r>
      <w:r>
        <w:rPr>
          <w:rFonts w:hint="eastAsia" w:ascii="仿宋" w:hAnsi="仿宋" w:eastAsia="仿宋" w:cs="仿宋"/>
          <w:b/>
          <w:kern w:val="0"/>
          <w:sz w:val="24"/>
          <w:highlight w:val="none"/>
          <w:u w:val="single"/>
          <w:lang w:val="zh-CN" w:bidi="zh-CN"/>
        </w:rPr>
        <w:t xml:space="preserve">     </w:t>
      </w:r>
      <w:r>
        <w:rPr>
          <w:rFonts w:hint="eastAsia" w:ascii="仿宋" w:hAnsi="仿宋" w:eastAsia="仿宋" w:cs="仿宋"/>
          <w:b/>
          <w:kern w:val="0"/>
          <w:sz w:val="24"/>
          <w:highlight w:val="none"/>
          <w:lang w:val="zh-CN" w:bidi="zh-CN"/>
        </w:rPr>
        <w:t>日</w:t>
      </w:r>
    </w:p>
    <w:p w14:paraId="7241EFCF">
      <w:pPr>
        <w:spacing w:line="400" w:lineRule="exact"/>
        <w:ind w:firstLine="562" w:firstLineChars="200"/>
        <w:jc w:val="center"/>
        <w:rPr>
          <w:rFonts w:hint="eastAsia" w:ascii="仿宋" w:hAnsi="仿宋" w:eastAsia="仿宋" w:cs="仿宋"/>
          <w:b/>
          <w:sz w:val="28"/>
          <w:szCs w:val="24"/>
          <w:highlight w:val="none"/>
        </w:rPr>
      </w:pPr>
    </w:p>
    <w:p w14:paraId="5AF93F25">
      <w:pPr>
        <w:rPr>
          <w:rFonts w:hint="eastAsia" w:ascii="仿宋" w:hAnsi="仿宋" w:eastAsia="仿宋" w:cs="仿宋"/>
          <w:b/>
          <w:sz w:val="24"/>
          <w:highlight w:val="none"/>
        </w:rPr>
      </w:pPr>
    </w:p>
    <w:p w14:paraId="0D3B044C">
      <w:pPr>
        <w:pStyle w:val="9"/>
        <w:spacing w:line="364" w:lineRule="auto"/>
        <w:ind w:left="0" w:firstLine="482" w:firstLineChars="200"/>
        <w:rPr>
          <w:rFonts w:hint="eastAsia" w:ascii="仿宋" w:hAnsi="仿宋" w:eastAsia="仿宋" w:cs="仿宋"/>
          <w:b/>
          <w:bCs/>
          <w:highlight w:val="none"/>
        </w:rPr>
      </w:pPr>
      <w:r>
        <w:rPr>
          <w:rFonts w:hint="eastAsia" w:ascii="仿宋" w:hAnsi="仿宋" w:eastAsia="仿宋" w:cs="仿宋"/>
          <w:b/>
          <w:bCs/>
          <w:highlight w:val="none"/>
          <w:lang w:val="en-US"/>
        </w:rPr>
        <w:t xml:space="preserve">    </w:t>
      </w:r>
      <w:r>
        <w:rPr>
          <w:rFonts w:hint="eastAsia" w:ascii="仿宋" w:hAnsi="仿宋" w:eastAsia="仿宋" w:cs="仿宋"/>
          <w:b/>
          <w:bCs/>
          <w:highlight w:val="none"/>
        </w:rPr>
        <w:t xml:space="preserve"> </w:t>
      </w:r>
      <w:r>
        <w:rPr>
          <w:rFonts w:hint="eastAsia" w:ascii="仿宋" w:hAnsi="仿宋" w:eastAsia="仿宋" w:cs="仿宋"/>
          <w:b/>
          <w:bCs/>
          <w:highlight w:val="none"/>
        </w:rPr>
        <w:tab/>
      </w:r>
    </w:p>
    <w:p w14:paraId="0F790C1E">
      <w:pPr>
        <w:pStyle w:val="9"/>
        <w:tabs>
          <w:tab w:val="left" w:pos="2917"/>
          <w:tab w:val="left" w:pos="5496"/>
        </w:tabs>
        <w:spacing w:before="161"/>
        <w:ind w:left="0"/>
        <w:jc w:val="center"/>
        <w:rPr>
          <w:rFonts w:hint="eastAsia" w:ascii="仿宋" w:hAnsi="仿宋" w:eastAsia="仿宋" w:cs="仿宋"/>
          <w:highlight w:val="none"/>
          <w:u w:val="single"/>
        </w:rPr>
      </w:pPr>
      <w:r>
        <w:rPr>
          <w:rFonts w:hint="eastAsia" w:ascii="仿宋" w:hAnsi="仿宋" w:eastAsia="仿宋" w:cs="仿宋"/>
          <w:highlight w:val="none"/>
          <w:lang w:val="en-US"/>
        </w:rPr>
        <w:t xml:space="preserve">         </w:t>
      </w:r>
    </w:p>
    <w:p w14:paraId="580DE456">
      <w:pPr>
        <w:rPr>
          <w:rFonts w:hint="eastAsia" w:ascii="仿宋" w:hAnsi="仿宋" w:eastAsia="仿宋" w:cs="仿宋"/>
          <w:b/>
          <w:sz w:val="24"/>
          <w:highlight w:val="none"/>
        </w:rPr>
      </w:pPr>
    </w:p>
    <w:p w14:paraId="532D636F">
      <w:pPr>
        <w:rPr>
          <w:rFonts w:hint="eastAsia" w:ascii="仿宋" w:hAnsi="仿宋" w:eastAsia="仿宋" w:cs="仿宋"/>
          <w:b/>
          <w:sz w:val="24"/>
          <w:highlight w:val="none"/>
        </w:rPr>
      </w:pPr>
    </w:p>
    <w:p w14:paraId="09209BE6">
      <w:pPr>
        <w:spacing w:before="201"/>
        <w:jc w:val="center"/>
        <w:rPr>
          <w:rFonts w:hint="eastAsia" w:ascii="仿宋" w:hAnsi="仿宋" w:eastAsia="仿宋" w:cs="仿宋"/>
          <w:highlight w:val="none"/>
        </w:rPr>
      </w:pPr>
      <w:r>
        <w:rPr>
          <w:rFonts w:hint="eastAsia" w:ascii="仿宋" w:hAnsi="仿宋" w:eastAsia="仿宋" w:cs="仿宋"/>
          <w:b/>
          <w:sz w:val="30"/>
          <w:highlight w:val="none"/>
        </w:rPr>
        <w:br w:type="page"/>
      </w:r>
      <w:r>
        <w:rPr>
          <w:rFonts w:hint="eastAsia" w:ascii="仿宋" w:hAnsi="仿宋" w:eastAsia="仿宋" w:cs="仿宋"/>
          <w:b/>
          <w:sz w:val="30"/>
          <w:highlight w:val="none"/>
        </w:rPr>
        <w:t>产品规格报价明细表</w:t>
      </w:r>
    </w:p>
    <w:p w14:paraId="6382F18A">
      <w:pPr>
        <w:tabs>
          <w:tab w:val="left" w:pos="5860"/>
          <w:tab w:val="left" w:pos="8378"/>
        </w:tabs>
        <w:spacing w:before="161"/>
        <w:ind w:firstLine="632" w:firstLineChars="300"/>
        <w:jc w:val="both"/>
        <w:rPr>
          <w:rFonts w:hint="eastAsia" w:ascii="仿宋" w:hAnsi="仿宋" w:eastAsia="仿宋" w:cs="仿宋"/>
          <w:b/>
          <w:sz w:val="21"/>
          <w:highlight w:val="none"/>
        </w:rPr>
      </w:pPr>
      <w:r>
        <w:rPr>
          <w:rFonts w:hint="eastAsia" w:ascii="仿宋" w:hAnsi="仿宋" w:eastAsia="仿宋" w:cs="仿宋"/>
          <w:b/>
          <w:sz w:val="21"/>
          <w:highlight w:val="none"/>
        </w:rPr>
        <w:t>项目名称：</w:t>
      </w:r>
      <w:r>
        <w:rPr>
          <w:rFonts w:hint="eastAsia" w:ascii="仿宋" w:hAnsi="仿宋" w:eastAsia="仿宋" w:cs="仿宋"/>
          <w:b/>
          <w:sz w:val="21"/>
          <w:highlight w:val="none"/>
        </w:rPr>
        <w:tab/>
      </w:r>
    </w:p>
    <w:p w14:paraId="404BAC0C">
      <w:pPr>
        <w:tabs>
          <w:tab w:val="left" w:pos="5860"/>
          <w:tab w:val="left" w:pos="8378"/>
        </w:tabs>
        <w:spacing w:before="161"/>
        <w:ind w:firstLine="632" w:firstLineChars="300"/>
        <w:jc w:val="both"/>
        <w:rPr>
          <w:rFonts w:hint="eastAsia" w:ascii="仿宋" w:hAnsi="仿宋" w:eastAsia="仿宋" w:cs="仿宋"/>
          <w:b/>
          <w:sz w:val="21"/>
          <w:highlight w:val="none"/>
        </w:rPr>
      </w:pPr>
      <w:r>
        <w:rPr>
          <w:rFonts w:hint="eastAsia" w:ascii="仿宋" w:hAnsi="仿宋" w:eastAsia="仿宋" w:cs="仿宋"/>
          <w:b/>
          <w:sz w:val="21"/>
          <w:highlight w:val="none"/>
        </w:rPr>
        <w:t>项目编号：</w:t>
      </w:r>
    </w:p>
    <w:p w14:paraId="0482C8BB">
      <w:pPr>
        <w:tabs>
          <w:tab w:val="left" w:pos="5860"/>
          <w:tab w:val="left" w:pos="8378"/>
        </w:tabs>
        <w:spacing w:before="161"/>
        <w:ind w:firstLine="632" w:firstLineChars="300"/>
        <w:jc w:val="both"/>
        <w:rPr>
          <w:rFonts w:hint="eastAsia" w:ascii="仿宋" w:hAnsi="仿宋" w:eastAsia="仿宋" w:cs="仿宋"/>
          <w:b/>
          <w:sz w:val="24"/>
          <w:highlight w:val="none"/>
        </w:rPr>
      </w:pPr>
      <w:r>
        <w:rPr>
          <w:rFonts w:hint="eastAsia" w:ascii="仿宋" w:hAnsi="仿宋" w:eastAsia="仿宋" w:cs="仿宋"/>
          <w:b/>
          <w:sz w:val="21"/>
          <w:highlight w:val="none"/>
        </w:rPr>
        <w:t>包号：</w:t>
      </w:r>
      <w:r>
        <w:rPr>
          <w:rFonts w:hint="eastAsia" w:ascii="仿宋" w:hAnsi="仿宋" w:eastAsia="仿宋" w:cs="仿宋"/>
          <w:b/>
          <w:sz w:val="24"/>
          <w:highlight w:val="none"/>
        </w:rPr>
        <w:tab/>
      </w:r>
    </w:p>
    <w:p w14:paraId="03C29B70">
      <w:pPr>
        <w:pStyle w:val="9"/>
        <w:spacing w:before="3"/>
        <w:ind w:left="0"/>
        <w:rPr>
          <w:rFonts w:hint="eastAsia" w:ascii="仿宋" w:hAnsi="仿宋" w:eastAsia="仿宋" w:cs="仿宋"/>
          <w:b/>
          <w:sz w:val="6"/>
          <w:highlight w:val="none"/>
        </w:rPr>
      </w:pPr>
    </w:p>
    <w:tbl>
      <w:tblPr>
        <w:tblStyle w:val="18"/>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5"/>
        <w:gridCol w:w="1840"/>
        <w:gridCol w:w="527"/>
        <w:gridCol w:w="1342"/>
        <w:gridCol w:w="1649"/>
        <w:gridCol w:w="939"/>
        <w:gridCol w:w="939"/>
        <w:gridCol w:w="1342"/>
        <w:gridCol w:w="729"/>
      </w:tblGrid>
      <w:tr w14:paraId="6F36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25" w:type="dxa"/>
            <w:tcBorders>
              <w:top w:val="single" w:color="auto" w:sz="4" w:space="0"/>
              <w:left w:val="single" w:color="auto" w:sz="4" w:space="0"/>
              <w:bottom w:val="single" w:color="auto" w:sz="4" w:space="0"/>
              <w:right w:val="single" w:color="auto" w:sz="4" w:space="0"/>
            </w:tcBorders>
            <w:vAlign w:val="center"/>
          </w:tcPr>
          <w:p w14:paraId="32D90813">
            <w:pPr>
              <w:pStyle w:val="29"/>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序号</w:t>
            </w:r>
          </w:p>
        </w:tc>
        <w:tc>
          <w:tcPr>
            <w:tcW w:w="1840" w:type="dxa"/>
            <w:tcBorders>
              <w:top w:val="single" w:color="auto" w:sz="4" w:space="0"/>
              <w:left w:val="single" w:color="auto" w:sz="4" w:space="0"/>
              <w:bottom w:val="single" w:color="auto" w:sz="4" w:space="0"/>
              <w:right w:val="single" w:color="auto" w:sz="4" w:space="0"/>
            </w:tcBorders>
            <w:vAlign w:val="center"/>
          </w:tcPr>
          <w:p w14:paraId="05ABB7B8">
            <w:pPr>
              <w:pStyle w:val="29"/>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设备名称</w:t>
            </w:r>
          </w:p>
        </w:tc>
        <w:tc>
          <w:tcPr>
            <w:tcW w:w="527" w:type="dxa"/>
            <w:tcBorders>
              <w:top w:val="single" w:color="auto" w:sz="4" w:space="0"/>
              <w:left w:val="single" w:color="auto" w:sz="4" w:space="0"/>
              <w:bottom w:val="single" w:color="auto" w:sz="4" w:space="0"/>
              <w:right w:val="single" w:color="auto" w:sz="4" w:space="0"/>
            </w:tcBorders>
            <w:vAlign w:val="center"/>
          </w:tcPr>
          <w:p w14:paraId="77EC6AB0">
            <w:pPr>
              <w:pStyle w:val="29"/>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数量</w:t>
            </w:r>
          </w:p>
        </w:tc>
        <w:tc>
          <w:tcPr>
            <w:tcW w:w="1342" w:type="dxa"/>
            <w:tcBorders>
              <w:top w:val="single" w:color="auto" w:sz="4" w:space="0"/>
              <w:left w:val="single" w:color="auto" w:sz="4" w:space="0"/>
              <w:bottom w:val="single" w:color="auto" w:sz="4" w:space="0"/>
              <w:right w:val="single" w:color="auto" w:sz="4" w:space="0"/>
            </w:tcBorders>
            <w:vAlign w:val="center"/>
          </w:tcPr>
          <w:p w14:paraId="479A3C72">
            <w:pPr>
              <w:pStyle w:val="29"/>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质保期限</w:t>
            </w:r>
          </w:p>
        </w:tc>
        <w:tc>
          <w:tcPr>
            <w:tcW w:w="1649" w:type="dxa"/>
            <w:tcBorders>
              <w:top w:val="single" w:color="auto" w:sz="4" w:space="0"/>
              <w:left w:val="single" w:color="auto" w:sz="4" w:space="0"/>
              <w:bottom w:val="single" w:color="auto" w:sz="4" w:space="0"/>
              <w:right w:val="single" w:color="auto" w:sz="4" w:space="0"/>
            </w:tcBorders>
            <w:vAlign w:val="center"/>
          </w:tcPr>
          <w:p w14:paraId="05DFD4E9">
            <w:pPr>
              <w:pStyle w:val="29"/>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交货日期</w:t>
            </w:r>
          </w:p>
          <w:p w14:paraId="36EEC730">
            <w:pPr>
              <w:pStyle w:val="29"/>
              <w:snapToGrid w:val="0"/>
              <w:jc w:val="center"/>
              <w:rPr>
                <w:rFonts w:hint="eastAsia" w:ascii="仿宋" w:hAnsi="仿宋" w:eastAsia="仿宋" w:cs="仿宋"/>
                <w:b/>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55058417">
            <w:pPr>
              <w:pStyle w:val="29"/>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单价</w:t>
            </w:r>
          </w:p>
          <w:p w14:paraId="562BDB05">
            <w:pPr>
              <w:pStyle w:val="29"/>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(万元)</w:t>
            </w:r>
          </w:p>
        </w:tc>
        <w:tc>
          <w:tcPr>
            <w:tcW w:w="939" w:type="dxa"/>
            <w:tcBorders>
              <w:top w:val="single" w:color="auto" w:sz="4" w:space="0"/>
              <w:left w:val="single" w:color="auto" w:sz="4" w:space="0"/>
              <w:bottom w:val="single" w:color="auto" w:sz="4" w:space="0"/>
              <w:right w:val="single" w:color="auto" w:sz="4" w:space="0"/>
            </w:tcBorders>
            <w:vAlign w:val="center"/>
          </w:tcPr>
          <w:p w14:paraId="7AE1B24C">
            <w:pPr>
              <w:pStyle w:val="29"/>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总价</w:t>
            </w:r>
          </w:p>
          <w:p w14:paraId="326FEF65">
            <w:pPr>
              <w:pStyle w:val="29"/>
              <w:snapToGrid w:val="0"/>
              <w:jc w:val="center"/>
              <w:rPr>
                <w:rFonts w:hint="eastAsia" w:ascii="仿宋" w:hAnsi="仿宋" w:eastAsia="仿宋" w:cs="仿宋"/>
                <w:b/>
                <w:sz w:val="21"/>
                <w:szCs w:val="21"/>
                <w:highlight w:val="none"/>
              </w:rPr>
            </w:pPr>
            <w:r>
              <w:rPr>
                <w:rFonts w:hint="eastAsia" w:ascii="仿宋" w:hAnsi="仿宋" w:eastAsia="仿宋" w:cs="仿宋"/>
                <w:b/>
                <w:sz w:val="21"/>
                <w:szCs w:val="21"/>
                <w:highlight w:val="none"/>
              </w:rPr>
              <w:t>(万元)</w:t>
            </w:r>
          </w:p>
        </w:tc>
        <w:tc>
          <w:tcPr>
            <w:tcW w:w="1342" w:type="dxa"/>
            <w:tcBorders>
              <w:top w:val="single" w:color="auto" w:sz="4" w:space="0"/>
              <w:left w:val="single" w:color="auto" w:sz="4" w:space="0"/>
              <w:bottom w:val="single" w:color="auto" w:sz="4" w:space="0"/>
              <w:right w:val="single" w:color="auto" w:sz="4" w:space="0"/>
            </w:tcBorders>
            <w:vAlign w:val="center"/>
          </w:tcPr>
          <w:p w14:paraId="480EA410">
            <w:pPr>
              <w:snapToGrid w:val="0"/>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备注</w:t>
            </w:r>
          </w:p>
          <w:p w14:paraId="085099C6">
            <w:pPr>
              <w:snapToGrid w:val="0"/>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（进口、国产）</w:t>
            </w:r>
          </w:p>
        </w:tc>
        <w:tc>
          <w:tcPr>
            <w:tcW w:w="729" w:type="dxa"/>
            <w:tcBorders>
              <w:top w:val="single" w:color="auto" w:sz="4" w:space="0"/>
              <w:left w:val="single" w:color="auto" w:sz="4" w:space="0"/>
              <w:bottom w:val="single" w:color="auto" w:sz="4" w:space="0"/>
              <w:right w:val="single" w:color="auto" w:sz="4" w:space="0"/>
            </w:tcBorders>
            <w:vAlign w:val="center"/>
          </w:tcPr>
          <w:p w14:paraId="4A7EB131">
            <w:pPr>
              <w:snapToGrid w:val="0"/>
              <w:jc w:val="center"/>
              <w:rPr>
                <w:rFonts w:hint="eastAsia"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核心产品</w:t>
            </w:r>
          </w:p>
        </w:tc>
      </w:tr>
      <w:tr w14:paraId="0635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3F2B67B4">
            <w:pPr>
              <w:snapToGrid w:val="0"/>
              <w:jc w:val="center"/>
              <w:rPr>
                <w:rFonts w:hint="eastAsia" w:ascii="仿宋" w:hAnsi="仿宋" w:eastAsia="仿宋" w:cs="仿宋"/>
                <w:color w:val="000000"/>
                <w:sz w:val="21"/>
                <w:szCs w:val="21"/>
                <w:highlight w:val="none"/>
              </w:rPr>
            </w:pPr>
          </w:p>
        </w:tc>
        <w:tc>
          <w:tcPr>
            <w:tcW w:w="1840" w:type="dxa"/>
            <w:tcBorders>
              <w:top w:val="single" w:color="auto" w:sz="4" w:space="0"/>
              <w:left w:val="single" w:color="auto" w:sz="4" w:space="0"/>
              <w:bottom w:val="single" w:color="auto" w:sz="4" w:space="0"/>
              <w:right w:val="single" w:color="auto" w:sz="4" w:space="0"/>
            </w:tcBorders>
            <w:vAlign w:val="center"/>
          </w:tcPr>
          <w:p w14:paraId="05963BAD">
            <w:pPr>
              <w:snapToGrid w:val="0"/>
              <w:jc w:val="center"/>
              <w:rPr>
                <w:rFonts w:hint="eastAsia" w:ascii="仿宋" w:hAnsi="仿宋" w:eastAsia="仿宋" w:cs="仿宋"/>
                <w:color w:val="000000"/>
                <w:sz w:val="21"/>
                <w:szCs w:val="21"/>
                <w:highlight w:val="none"/>
              </w:rPr>
            </w:pPr>
          </w:p>
        </w:tc>
        <w:tc>
          <w:tcPr>
            <w:tcW w:w="527" w:type="dxa"/>
            <w:tcBorders>
              <w:top w:val="single" w:color="auto" w:sz="4" w:space="0"/>
              <w:left w:val="single" w:color="auto" w:sz="4" w:space="0"/>
              <w:bottom w:val="single" w:color="auto" w:sz="4" w:space="0"/>
              <w:right w:val="single" w:color="auto" w:sz="4" w:space="0"/>
            </w:tcBorders>
            <w:vAlign w:val="center"/>
          </w:tcPr>
          <w:p w14:paraId="03498090">
            <w:pPr>
              <w:snapToGrid w:val="0"/>
              <w:jc w:val="center"/>
              <w:rPr>
                <w:rFonts w:hint="eastAsia" w:ascii="仿宋" w:hAnsi="仿宋" w:eastAsia="仿宋" w:cs="仿宋"/>
                <w:color w:val="000000"/>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40BC1100">
            <w:pPr>
              <w:snapToGrid w:val="0"/>
              <w:jc w:val="center"/>
              <w:rPr>
                <w:rFonts w:hint="eastAsia" w:ascii="仿宋" w:hAnsi="仿宋" w:eastAsia="仿宋" w:cs="仿宋"/>
                <w:color w:val="000000"/>
                <w:sz w:val="21"/>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4BBCAA23">
            <w:pPr>
              <w:snapToGrid w:val="0"/>
              <w:jc w:val="center"/>
              <w:rPr>
                <w:rFonts w:hint="eastAsia" w:ascii="仿宋" w:hAnsi="仿宋" w:eastAsia="仿宋" w:cs="仿宋"/>
                <w:color w:val="000000"/>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38B6D8E8">
            <w:pPr>
              <w:pStyle w:val="30"/>
              <w:snapToGrid w:val="0"/>
              <w:jc w:val="right"/>
              <w:rPr>
                <w:rFonts w:hint="eastAsia" w:ascii="仿宋" w:hAnsi="仿宋" w:eastAsia="仿宋" w:cs="仿宋"/>
                <w:color w:val="000000"/>
                <w:kern w:val="2"/>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4DA0A364">
            <w:pPr>
              <w:pStyle w:val="30"/>
              <w:snapToGrid w:val="0"/>
              <w:jc w:val="right"/>
              <w:rPr>
                <w:rFonts w:hint="eastAsia" w:ascii="仿宋" w:hAnsi="仿宋" w:eastAsia="仿宋" w:cs="仿宋"/>
                <w:color w:val="000000"/>
                <w:kern w:val="2"/>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09A89CB2">
            <w:pPr>
              <w:pStyle w:val="30"/>
              <w:snapToGrid w:val="0"/>
              <w:jc w:val="center"/>
              <w:rPr>
                <w:rFonts w:hint="eastAsia" w:ascii="仿宋" w:hAnsi="仿宋" w:eastAsia="仿宋" w:cs="仿宋"/>
                <w:color w:val="000000"/>
                <w:kern w:val="2"/>
                <w:sz w:val="21"/>
                <w:szCs w:val="21"/>
                <w:highlight w:val="none"/>
              </w:rPr>
            </w:pPr>
          </w:p>
        </w:tc>
        <w:tc>
          <w:tcPr>
            <w:tcW w:w="729" w:type="dxa"/>
            <w:tcBorders>
              <w:top w:val="single" w:color="auto" w:sz="4" w:space="0"/>
              <w:left w:val="single" w:color="auto" w:sz="4" w:space="0"/>
              <w:bottom w:val="single" w:color="auto" w:sz="4" w:space="0"/>
              <w:right w:val="single" w:color="auto" w:sz="4" w:space="0"/>
            </w:tcBorders>
            <w:vAlign w:val="center"/>
          </w:tcPr>
          <w:p w14:paraId="41A51F49">
            <w:pPr>
              <w:pStyle w:val="30"/>
              <w:snapToGrid w:val="0"/>
              <w:jc w:val="center"/>
              <w:rPr>
                <w:rFonts w:hint="eastAsia" w:ascii="仿宋" w:hAnsi="仿宋" w:eastAsia="仿宋" w:cs="仿宋"/>
                <w:color w:val="000000"/>
                <w:kern w:val="2"/>
                <w:sz w:val="21"/>
                <w:szCs w:val="21"/>
                <w:highlight w:val="none"/>
                <w:lang w:val="en-US"/>
              </w:rPr>
            </w:pPr>
          </w:p>
        </w:tc>
      </w:tr>
      <w:tr w14:paraId="6D39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3A3E3EB9">
            <w:pPr>
              <w:snapToGrid w:val="0"/>
              <w:jc w:val="center"/>
              <w:rPr>
                <w:rFonts w:hint="eastAsia" w:ascii="仿宋" w:hAnsi="仿宋" w:eastAsia="仿宋" w:cs="仿宋"/>
                <w:color w:val="000000"/>
                <w:sz w:val="21"/>
                <w:szCs w:val="21"/>
                <w:highlight w:val="none"/>
              </w:rPr>
            </w:pPr>
          </w:p>
        </w:tc>
        <w:tc>
          <w:tcPr>
            <w:tcW w:w="1840" w:type="dxa"/>
            <w:tcBorders>
              <w:top w:val="single" w:color="auto" w:sz="4" w:space="0"/>
              <w:left w:val="single" w:color="auto" w:sz="4" w:space="0"/>
              <w:bottom w:val="single" w:color="auto" w:sz="4" w:space="0"/>
              <w:right w:val="single" w:color="auto" w:sz="4" w:space="0"/>
            </w:tcBorders>
            <w:vAlign w:val="center"/>
          </w:tcPr>
          <w:p w14:paraId="65A7C13B">
            <w:pPr>
              <w:snapToGrid w:val="0"/>
              <w:jc w:val="center"/>
              <w:rPr>
                <w:rFonts w:hint="eastAsia" w:ascii="仿宋" w:hAnsi="仿宋" w:eastAsia="仿宋" w:cs="仿宋"/>
                <w:color w:val="000000"/>
                <w:sz w:val="21"/>
                <w:szCs w:val="21"/>
                <w:highlight w:val="none"/>
              </w:rPr>
            </w:pPr>
          </w:p>
        </w:tc>
        <w:tc>
          <w:tcPr>
            <w:tcW w:w="527" w:type="dxa"/>
            <w:tcBorders>
              <w:top w:val="single" w:color="auto" w:sz="4" w:space="0"/>
              <w:left w:val="single" w:color="auto" w:sz="4" w:space="0"/>
              <w:bottom w:val="single" w:color="auto" w:sz="4" w:space="0"/>
              <w:right w:val="single" w:color="auto" w:sz="4" w:space="0"/>
            </w:tcBorders>
            <w:vAlign w:val="center"/>
          </w:tcPr>
          <w:p w14:paraId="5D2AFC58">
            <w:pPr>
              <w:snapToGrid w:val="0"/>
              <w:jc w:val="center"/>
              <w:rPr>
                <w:rFonts w:hint="eastAsia" w:ascii="仿宋" w:hAnsi="仿宋" w:eastAsia="仿宋" w:cs="仿宋"/>
                <w:color w:val="000000"/>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2CD6B508">
            <w:pPr>
              <w:snapToGrid w:val="0"/>
              <w:jc w:val="center"/>
              <w:rPr>
                <w:rFonts w:hint="eastAsia" w:ascii="仿宋" w:hAnsi="仿宋" w:eastAsia="仿宋" w:cs="仿宋"/>
                <w:color w:val="000000"/>
                <w:sz w:val="21"/>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670F4133">
            <w:pPr>
              <w:snapToGrid w:val="0"/>
              <w:jc w:val="center"/>
              <w:rPr>
                <w:rFonts w:hint="eastAsia" w:ascii="仿宋" w:hAnsi="仿宋" w:eastAsia="仿宋" w:cs="仿宋"/>
                <w:color w:val="000000"/>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3AF826DF">
            <w:pPr>
              <w:pStyle w:val="30"/>
              <w:snapToGrid w:val="0"/>
              <w:jc w:val="right"/>
              <w:rPr>
                <w:rFonts w:hint="eastAsia" w:ascii="仿宋" w:hAnsi="仿宋" w:eastAsia="仿宋" w:cs="仿宋"/>
                <w:color w:val="000000"/>
                <w:kern w:val="2"/>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45F39EED">
            <w:pPr>
              <w:pStyle w:val="30"/>
              <w:snapToGrid w:val="0"/>
              <w:jc w:val="right"/>
              <w:rPr>
                <w:rFonts w:hint="eastAsia" w:ascii="仿宋" w:hAnsi="仿宋" w:eastAsia="仿宋" w:cs="仿宋"/>
                <w:color w:val="000000"/>
                <w:kern w:val="2"/>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50EE0EFE">
            <w:pPr>
              <w:pStyle w:val="30"/>
              <w:snapToGrid w:val="0"/>
              <w:jc w:val="center"/>
              <w:rPr>
                <w:rFonts w:hint="eastAsia" w:ascii="仿宋" w:hAnsi="仿宋" w:eastAsia="仿宋" w:cs="仿宋"/>
                <w:color w:val="000000"/>
                <w:kern w:val="2"/>
                <w:sz w:val="21"/>
                <w:szCs w:val="21"/>
                <w:highlight w:val="none"/>
              </w:rPr>
            </w:pPr>
          </w:p>
        </w:tc>
        <w:tc>
          <w:tcPr>
            <w:tcW w:w="729" w:type="dxa"/>
            <w:tcBorders>
              <w:top w:val="single" w:color="auto" w:sz="4" w:space="0"/>
              <w:left w:val="single" w:color="auto" w:sz="4" w:space="0"/>
              <w:bottom w:val="single" w:color="auto" w:sz="4" w:space="0"/>
              <w:right w:val="single" w:color="auto" w:sz="4" w:space="0"/>
            </w:tcBorders>
            <w:vAlign w:val="center"/>
          </w:tcPr>
          <w:p w14:paraId="6FB3AA2E">
            <w:pPr>
              <w:pStyle w:val="30"/>
              <w:snapToGrid w:val="0"/>
              <w:jc w:val="center"/>
              <w:rPr>
                <w:rFonts w:hint="eastAsia" w:ascii="仿宋" w:hAnsi="仿宋" w:eastAsia="仿宋" w:cs="仿宋"/>
                <w:color w:val="000000"/>
                <w:kern w:val="2"/>
                <w:sz w:val="21"/>
                <w:szCs w:val="21"/>
                <w:highlight w:val="none"/>
                <w:lang w:val="en-US"/>
              </w:rPr>
            </w:pPr>
          </w:p>
        </w:tc>
      </w:tr>
      <w:tr w14:paraId="7E40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7430408A">
            <w:pPr>
              <w:snapToGrid w:val="0"/>
              <w:jc w:val="center"/>
              <w:rPr>
                <w:rFonts w:hint="eastAsia" w:ascii="仿宋" w:hAnsi="仿宋" w:eastAsia="仿宋" w:cs="仿宋"/>
                <w:color w:val="000000"/>
                <w:sz w:val="21"/>
                <w:szCs w:val="21"/>
                <w:highlight w:val="none"/>
              </w:rPr>
            </w:pPr>
          </w:p>
        </w:tc>
        <w:tc>
          <w:tcPr>
            <w:tcW w:w="1840" w:type="dxa"/>
            <w:tcBorders>
              <w:top w:val="single" w:color="auto" w:sz="4" w:space="0"/>
              <w:left w:val="single" w:color="auto" w:sz="4" w:space="0"/>
              <w:bottom w:val="single" w:color="auto" w:sz="4" w:space="0"/>
              <w:right w:val="single" w:color="auto" w:sz="4" w:space="0"/>
            </w:tcBorders>
            <w:vAlign w:val="center"/>
          </w:tcPr>
          <w:p w14:paraId="1BE893C3">
            <w:pPr>
              <w:snapToGrid w:val="0"/>
              <w:jc w:val="center"/>
              <w:rPr>
                <w:rFonts w:hint="eastAsia" w:ascii="仿宋" w:hAnsi="仿宋" w:eastAsia="仿宋" w:cs="仿宋"/>
                <w:color w:val="000000"/>
                <w:sz w:val="21"/>
                <w:szCs w:val="21"/>
                <w:highlight w:val="none"/>
              </w:rPr>
            </w:pPr>
          </w:p>
        </w:tc>
        <w:tc>
          <w:tcPr>
            <w:tcW w:w="527" w:type="dxa"/>
            <w:tcBorders>
              <w:top w:val="single" w:color="auto" w:sz="4" w:space="0"/>
              <w:left w:val="single" w:color="auto" w:sz="4" w:space="0"/>
              <w:bottom w:val="single" w:color="auto" w:sz="4" w:space="0"/>
              <w:right w:val="single" w:color="auto" w:sz="4" w:space="0"/>
            </w:tcBorders>
            <w:vAlign w:val="center"/>
          </w:tcPr>
          <w:p w14:paraId="2BF74E08">
            <w:pPr>
              <w:snapToGrid w:val="0"/>
              <w:jc w:val="center"/>
              <w:rPr>
                <w:rFonts w:hint="eastAsia" w:ascii="仿宋" w:hAnsi="仿宋" w:eastAsia="仿宋" w:cs="仿宋"/>
                <w:color w:val="000000"/>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52A4ABFF">
            <w:pPr>
              <w:snapToGrid w:val="0"/>
              <w:jc w:val="center"/>
              <w:rPr>
                <w:rFonts w:hint="eastAsia" w:ascii="仿宋" w:hAnsi="仿宋" w:eastAsia="仿宋" w:cs="仿宋"/>
                <w:color w:val="000000"/>
                <w:sz w:val="21"/>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49E5B643">
            <w:pPr>
              <w:snapToGrid w:val="0"/>
              <w:jc w:val="center"/>
              <w:rPr>
                <w:rFonts w:hint="eastAsia" w:ascii="仿宋" w:hAnsi="仿宋" w:eastAsia="仿宋" w:cs="仿宋"/>
                <w:color w:val="000000"/>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78E7F647">
            <w:pPr>
              <w:pStyle w:val="30"/>
              <w:snapToGrid w:val="0"/>
              <w:jc w:val="right"/>
              <w:rPr>
                <w:rFonts w:hint="eastAsia" w:ascii="仿宋" w:hAnsi="仿宋" w:eastAsia="仿宋" w:cs="仿宋"/>
                <w:color w:val="000000"/>
                <w:kern w:val="2"/>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28DE976A">
            <w:pPr>
              <w:pStyle w:val="30"/>
              <w:snapToGrid w:val="0"/>
              <w:jc w:val="right"/>
              <w:rPr>
                <w:rFonts w:hint="eastAsia" w:ascii="仿宋" w:hAnsi="仿宋" w:eastAsia="仿宋" w:cs="仿宋"/>
                <w:color w:val="000000"/>
                <w:kern w:val="2"/>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28490948">
            <w:pPr>
              <w:pStyle w:val="30"/>
              <w:snapToGrid w:val="0"/>
              <w:jc w:val="center"/>
              <w:rPr>
                <w:rFonts w:hint="eastAsia" w:ascii="仿宋" w:hAnsi="仿宋" w:eastAsia="仿宋" w:cs="仿宋"/>
                <w:color w:val="000000"/>
                <w:kern w:val="2"/>
                <w:sz w:val="21"/>
                <w:szCs w:val="21"/>
                <w:highlight w:val="none"/>
              </w:rPr>
            </w:pPr>
          </w:p>
        </w:tc>
        <w:tc>
          <w:tcPr>
            <w:tcW w:w="729" w:type="dxa"/>
            <w:tcBorders>
              <w:top w:val="single" w:color="auto" w:sz="4" w:space="0"/>
              <w:left w:val="single" w:color="auto" w:sz="4" w:space="0"/>
              <w:bottom w:val="single" w:color="auto" w:sz="4" w:space="0"/>
              <w:right w:val="single" w:color="auto" w:sz="4" w:space="0"/>
            </w:tcBorders>
            <w:vAlign w:val="center"/>
          </w:tcPr>
          <w:p w14:paraId="0E60E7D8">
            <w:pPr>
              <w:pStyle w:val="30"/>
              <w:snapToGrid w:val="0"/>
              <w:jc w:val="center"/>
              <w:rPr>
                <w:rFonts w:hint="eastAsia" w:ascii="仿宋" w:hAnsi="仿宋" w:eastAsia="仿宋" w:cs="仿宋"/>
                <w:color w:val="000000"/>
                <w:kern w:val="2"/>
                <w:sz w:val="21"/>
                <w:szCs w:val="21"/>
                <w:highlight w:val="none"/>
                <w:lang w:val="en-US"/>
              </w:rPr>
            </w:pPr>
          </w:p>
        </w:tc>
      </w:tr>
      <w:tr w14:paraId="2D99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15ABC574">
            <w:pPr>
              <w:snapToGrid w:val="0"/>
              <w:jc w:val="center"/>
              <w:rPr>
                <w:rFonts w:hint="eastAsia" w:ascii="仿宋" w:hAnsi="仿宋" w:eastAsia="仿宋" w:cs="仿宋"/>
                <w:color w:val="000000"/>
                <w:sz w:val="21"/>
                <w:szCs w:val="21"/>
                <w:highlight w:val="none"/>
              </w:rPr>
            </w:pPr>
          </w:p>
        </w:tc>
        <w:tc>
          <w:tcPr>
            <w:tcW w:w="1840" w:type="dxa"/>
            <w:tcBorders>
              <w:top w:val="single" w:color="auto" w:sz="4" w:space="0"/>
              <w:left w:val="single" w:color="auto" w:sz="4" w:space="0"/>
              <w:bottom w:val="single" w:color="auto" w:sz="4" w:space="0"/>
              <w:right w:val="single" w:color="auto" w:sz="4" w:space="0"/>
            </w:tcBorders>
            <w:vAlign w:val="center"/>
          </w:tcPr>
          <w:p w14:paraId="05590CB9">
            <w:pPr>
              <w:snapToGrid w:val="0"/>
              <w:jc w:val="center"/>
              <w:rPr>
                <w:rFonts w:hint="eastAsia" w:ascii="仿宋" w:hAnsi="仿宋" w:eastAsia="仿宋" w:cs="仿宋"/>
                <w:color w:val="000000"/>
                <w:sz w:val="21"/>
                <w:szCs w:val="21"/>
                <w:highlight w:val="none"/>
              </w:rPr>
            </w:pPr>
          </w:p>
        </w:tc>
        <w:tc>
          <w:tcPr>
            <w:tcW w:w="527" w:type="dxa"/>
            <w:tcBorders>
              <w:top w:val="single" w:color="auto" w:sz="4" w:space="0"/>
              <w:left w:val="single" w:color="auto" w:sz="4" w:space="0"/>
              <w:bottom w:val="single" w:color="auto" w:sz="4" w:space="0"/>
              <w:right w:val="single" w:color="auto" w:sz="4" w:space="0"/>
            </w:tcBorders>
            <w:vAlign w:val="center"/>
          </w:tcPr>
          <w:p w14:paraId="16D2601A">
            <w:pPr>
              <w:snapToGrid w:val="0"/>
              <w:jc w:val="center"/>
              <w:rPr>
                <w:rFonts w:hint="eastAsia" w:ascii="仿宋" w:hAnsi="仿宋" w:eastAsia="仿宋" w:cs="仿宋"/>
                <w:color w:val="000000"/>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41467794">
            <w:pPr>
              <w:snapToGrid w:val="0"/>
              <w:jc w:val="center"/>
              <w:rPr>
                <w:rFonts w:hint="eastAsia" w:ascii="仿宋" w:hAnsi="仿宋" w:eastAsia="仿宋" w:cs="仿宋"/>
                <w:color w:val="000000"/>
                <w:sz w:val="21"/>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3ECB1988">
            <w:pPr>
              <w:snapToGrid w:val="0"/>
              <w:jc w:val="center"/>
              <w:rPr>
                <w:rFonts w:hint="eastAsia" w:ascii="仿宋" w:hAnsi="仿宋" w:eastAsia="仿宋" w:cs="仿宋"/>
                <w:color w:val="000000"/>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2B8B735F">
            <w:pPr>
              <w:pStyle w:val="30"/>
              <w:snapToGrid w:val="0"/>
              <w:jc w:val="right"/>
              <w:rPr>
                <w:rFonts w:hint="eastAsia" w:ascii="仿宋" w:hAnsi="仿宋" w:eastAsia="仿宋" w:cs="仿宋"/>
                <w:color w:val="000000"/>
                <w:kern w:val="2"/>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592CE179">
            <w:pPr>
              <w:pStyle w:val="30"/>
              <w:snapToGrid w:val="0"/>
              <w:jc w:val="right"/>
              <w:rPr>
                <w:rFonts w:hint="eastAsia" w:ascii="仿宋" w:hAnsi="仿宋" w:eastAsia="仿宋" w:cs="仿宋"/>
                <w:color w:val="000000"/>
                <w:kern w:val="2"/>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1B67F36B">
            <w:pPr>
              <w:pStyle w:val="30"/>
              <w:snapToGrid w:val="0"/>
              <w:jc w:val="center"/>
              <w:rPr>
                <w:rFonts w:hint="eastAsia" w:ascii="仿宋" w:hAnsi="仿宋" w:eastAsia="仿宋" w:cs="仿宋"/>
                <w:color w:val="000000"/>
                <w:kern w:val="2"/>
                <w:sz w:val="21"/>
                <w:szCs w:val="21"/>
                <w:highlight w:val="none"/>
              </w:rPr>
            </w:pPr>
          </w:p>
        </w:tc>
        <w:tc>
          <w:tcPr>
            <w:tcW w:w="729" w:type="dxa"/>
            <w:tcBorders>
              <w:top w:val="single" w:color="auto" w:sz="4" w:space="0"/>
              <w:left w:val="single" w:color="auto" w:sz="4" w:space="0"/>
              <w:bottom w:val="single" w:color="auto" w:sz="4" w:space="0"/>
              <w:right w:val="single" w:color="auto" w:sz="4" w:space="0"/>
            </w:tcBorders>
            <w:vAlign w:val="center"/>
          </w:tcPr>
          <w:p w14:paraId="5A48D6D6">
            <w:pPr>
              <w:pStyle w:val="30"/>
              <w:snapToGrid w:val="0"/>
              <w:jc w:val="center"/>
              <w:rPr>
                <w:rFonts w:hint="eastAsia" w:ascii="仿宋" w:hAnsi="仿宋" w:eastAsia="仿宋" w:cs="仿宋"/>
                <w:color w:val="000000"/>
                <w:kern w:val="2"/>
                <w:sz w:val="21"/>
                <w:szCs w:val="21"/>
                <w:highlight w:val="none"/>
                <w:lang w:val="en-US"/>
              </w:rPr>
            </w:pPr>
          </w:p>
        </w:tc>
      </w:tr>
      <w:tr w14:paraId="3E487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3E5DEBE9">
            <w:pPr>
              <w:snapToGrid w:val="0"/>
              <w:jc w:val="center"/>
              <w:rPr>
                <w:rFonts w:hint="eastAsia" w:ascii="仿宋" w:hAnsi="仿宋" w:eastAsia="仿宋" w:cs="仿宋"/>
                <w:color w:val="000000"/>
                <w:sz w:val="21"/>
                <w:szCs w:val="21"/>
                <w:highlight w:val="none"/>
              </w:rPr>
            </w:pPr>
          </w:p>
        </w:tc>
        <w:tc>
          <w:tcPr>
            <w:tcW w:w="1840" w:type="dxa"/>
            <w:tcBorders>
              <w:top w:val="single" w:color="auto" w:sz="4" w:space="0"/>
              <w:left w:val="single" w:color="auto" w:sz="4" w:space="0"/>
              <w:bottom w:val="single" w:color="auto" w:sz="4" w:space="0"/>
              <w:right w:val="single" w:color="auto" w:sz="4" w:space="0"/>
            </w:tcBorders>
            <w:vAlign w:val="center"/>
          </w:tcPr>
          <w:p w14:paraId="4EDDBB27">
            <w:pPr>
              <w:snapToGrid w:val="0"/>
              <w:jc w:val="center"/>
              <w:rPr>
                <w:rFonts w:hint="eastAsia" w:ascii="仿宋" w:hAnsi="仿宋" w:eastAsia="仿宋" w:cs="仿宋"/>
                <w:color w:val="000000"/>
                <w:sz w:val="21"/>
                <w:szCs w:val="21"/>
                <w:highlight w:val="none"/>
              </w:rPr>
            </w:pPr>
          </w:p>
        </w:tc>
        <w:tc>
          <w:tcPr>
            <w:tcW w:w="527" w:type="dxa"/>
            <w:tcBorders>
              <w:top w:val="single" w:color="auto" w:sz="4" w:space="0"/>
              <w:left w:val="single" w:color="auto" w:sz="4" w:space="0"/>
              <w:bottom w:val="single" w:color="auto" w:sz="4" w:space="0"/>
              <w:right w:val="single" w:color="auto" w:sz="4" w:space="0"/>
            </w:tcBorders>
            <w:vAlign w:val="center"/>
          </w:tcPr>
          <w:p w14:paraId="3A0B15C1">
            <w:pPr>
              <w:snapToGrid w:val="0"/>
              <w:jc w:val="center"/>
              <w:rPr>
                <w:rFonts w:hint="eastAsia" w:ascii="仿宋" w:hAnsi="仿宋" w:eastAsia="仿宋" w:cs="仿宋"/>
                <w:color w:val="000000"/>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3A9CF49F">
            <w:pPr>
              <w:snapToGrid w:val="0"/>
              <w:jc w:val="center"/>
              <w:rPr>
                <w:rFonts w:hint="eastAsia" w:ascii="仿宋" w:hAnsi="仿宋" w:eastAsia="仿宋" w:cs="仿宋"/>
                <w:color w:val="000000"/>
                <w:sz w:val="21"/>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2AB3738C">
            <w:pPr>
              <w:snapToGrid w:val="0"/>
              <w:jc w:val="center"/>
              <w:rPr>
                <w:rFonts w:hint="eastAsia" w:ascii="仿宋" w:hAnsi="仿宋" w:eastAsia="仿宋" w:cs="仿宋"/>
                <w:color w:val="000000"/>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2BEA1CC9">
            <w:pPr>
              <w:pStyle w:val="30"/>
              <w:snapToGrid w:val="0"/>
              <w:jc w:val="right"/>
              <w:rPr>
                <w:rFonts w:hint="eastAsia" w:ascii="仿宋" w:hAnsi="仿宋" w:eastAsia="仿宋" w:cs="仿宋"/>
                <w:color w:val="000000"/>
                <w:kern w:val="2"/>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24B0B630">
            <w:pPr>
              <w:pStyle w:val="30"/>
              <w:snapToGrid w:val="0"/>
              <w:jc w:val="right"/>
              <w:rPr>
                <w:rFonts w:hint="eastAsia" w:ascii="仿宋" w:hAnsi="仿宋" w:eastAsia="仿宋" w:cs="仿宋"/>
                <w:color w:val="000000"/>
                <w:kern w:val="2"/>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5AA4CB3C">
            <w:pPr>
              <w:pStyle w:val="30"/>
              <w:snapToGrid w:val="0"/>
              <w:jc w:val="center"/>
              <w:rPr>
                <w:rFonts w:hint="eastAsia" w:ascii="仿宋" w:hAnsi="仿宋" w:eastAsia="仿宋" w:cs="仿宋"/>
                <w:color w:val="000000"/>
                <w:kern w:val="2"/>
                <w:sz w:val="21"/>
                <w:szCs w:val="21"/>
                <w:highlight w:val="none"/>
              </w:rPr>
            </w:pPr>
          </w:p>
        </w:tc>
        <w:tc>
          <w:tcPr>
            <w:tcW w:w="729" w:type="dxa"/>
            <w:tcBorders>
              <w:top w:val="single" w:color="auto" w:sz="4" w:space="0"/>
              <w:left w:val="single" w:color="auto" w:sz="4" w:space="0"/>
              <w:bottom w:val="single" w:color="auto" w:sz="4" w:space="0"/>
              <w:right w:val="single" w:color="auto" w:sz="4" w:space="0"/>
            </w:tcBorders>
            <w:vAlign w:val="center"/>
          </w:tcPr>
          <w:p w14:paraId="6F9E6945">
            <w:pPr>
              <w:pStyle w:val="30"/>
              <w:snapToGrid w:val="0"/>
              <w:jc w:val="center"/>
              <w:rPr>
                <w:rFonts w:hint="eastAsia" w:ascii="仿宋" w:hAnsi="仿宋" w:eastAsia="仿宋" w:cs="仿宋"/>
                <w:color w:val="000000"/>
                <w:kern w:val="2"/>
                <w:sz w:val="21"/>
                <w:szCs w:val="21"/>
                <w:highlight w:val="none"/>
                <w:lang w:val="en-US"/>
              </w:rPr>
            </w:pPr>
          </w:p>
        </w:tc>
      </w:tr>
      <w:tr w14:paraId="23C3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1DED7814">
            <w:pPr>
              <w:snapToGrid w:val="0"/>
              <w:jc w:val="center"/>
              <w:rPr>
                <w:rFonts w:hint="eastAsia" w:ascii="仿宋" w:hAnsi="仿宋" w:eastAsia="仿宋" w:cs="仿宋"/>
                <w:color w:val="000000"/>
                <w:sz w:val="21"/>
                <w:szCs w:val="21"/>
                <w:highlight w:val="none"/>
              </w:rPr>
            </w:pPr>
          </w:p>
        </w:tc>
        <w:tc>
          <w:tcPr>
            <w:tcW w:w="1840" w:type="dxa"/>
            <w:tcBorders>
              <w:top w:val="single" w:color="auto" w:sz="4" w:space="0"/>
              <w:left w:val="single" w:color="auto" w:sz="4" w:space="0"/>
              <w:bottom w:val="single" w:color="auto" w:sz="4" w:space="0"/>
              <w:right w:val="single" w:color="auto" w:sz="4" w:space="0"/>
            </w:tcBorders>
            <w:vAlign w:val="center"/>
          </w:tcPr>
          <w:p w14:paraId="39F00AFE">
            <w:pPr>
              <w:snapToGrid w:val="0"/>
              <w:jc w:val="center"/>
              <w:rPr>
                <w:rFonts w:hint="eastAsia" w:ascii="仿宋" w:hAnsi="仿宋" w:eastAsia="仿宋" w:cs="仿宋"/>
                <w:color w:val="000000"/>
                <w:sz w:val="21"/>
                <w:szCs w:val="21"/>
                <w:highlight w:val="none"/>
              </w:rPr>
            </w:pPr>
          </w:p>
        </w:tc>
        <w:tc>
          <w:tcPr>
            <w:tcW w:w="527" w:type="dxa"/>
            <w:tcBorders>
              <w:top w:val="single" w:color="auto" w:sz="4" w:space="0"/>
              <w:left w:val="single" w:color="auto" w:sz="4" w:space="0"/>
              <w:bottom w:val="single" w:color="auto" w:sz="4" w:space="0"/>
              <w:right w:val="single" w:color="auto" w:sz="4" w:space="0"/>
            </w:tcBorders>
            <w:vAlign w:val="center"/>
          </w:tcPr>
          <w:p w14:paraId="710532DF">
            <w:pPr>
              <w:snapToGrid w:val="0"/>
              <w:jc w:val="center"/>
              <w:rPr>
                <w:rFonts w:hint="eastAsia" w:ascii="仿宋" w:hAnsi="仿宋" w:eastAsia="仿宋" w:cs="仿宋"/>
                <w:color w:val="000000"/>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630770CC">
            <w:pPr>
              <w:snapToGrid w:val="0"/>
              <w:jc w:val="center"/>
              <w:rPr>
                <w:rFonts w:hint="eastAsia" w:ascii="仿宋" w:hAnsi="仿宋" w:eastAsia="仿宋" w:cs="仿宋"/>
                <w:color w:val="000000"/>
                <w:sz w:val="21"/>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09350484">
            <w:pPr>
              <w:snapToGrid w:val="0"/>
              <w:jc w:val="center"/>
              <w:rPr>
                <w:rFonts w:hint="eastAsia" w:ascii="仿宋" w:hAnsi="仿宋" w:eastAsia="仿宋" w:cs="仿宋"/>
                <w:color w:val="000000"/>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3FC4ECEE">
            <w:pPr>
              <w:pStyle w:val="30"/>
              <w:snapToGrid w:val="0"/>
              <w:jc w:val="right"/>
              <w:rPr>
                <w:rFonts w:hint="eastAsia" w:ascii="仿宋" w:hAnsi="仿宋" w:eastAsia="仿宋" w:cs="仿宋"/>
                <w:color w:val="000000"/>
                <w:kern w:val="2"/>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73E63219">
            <w:pPr>
              <w:pStyle w:val="30"/>
              <w:snapToGrid w:val="0"/>
              <w:jc w:val="right"/>
              <w:rPr>
                <w:rFonts w:hint="eastAsia" w:ascii="仿宋" w:hAnsi="仿宋" w:eastAsia="仿宋" w:cs="仿宋"/>
                <w:color w:val="000000"/>
                <w:kern w:val="2"/>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04B61E37">
            <w:pPr>
              <w:pStyle w:val="30"/>
              <w:snapToGrid w:val="0"/>
              <w:jc w:val="center"/>
              <w:rPr>
                <w:rFonts w:hint="eastAsia" w:ascii="仿宋" w:hAnsi="仿宋" w:eastAsia="仿宋" w:cs="仿宋"/>
                <w:color w:val="000000"/>
                <w:kern w:val="2"/>
                <w:sz w:val="21"/>
                <w:szCs w:val="21"/>
                <w:highlight w:val="none"/>
              </w:rPr>
            </w:pPr>
          </w:p>
        </w:tc>
        <w:tc>
          <w:tcPr>
            <w:tcW w:w="729" w:type="dxa"/>
            <w:tcBorders>
              <w:top w:val="single" w:color="auto" w:sz="4" w:space="0"/>
              <w:left w:val="single" w:color="auto" w:sz="4" w:space="0"/>
              <w:bottom w:val="single" w:color="auto" w:sz="4" w:space="0"/>
              <w:right w:val="single" w:color="auto" w:sz="4" w:space="0"/>
            </w:tcBorders>
            <w:vAlign w:val="center"/>
          </w:tcPr>
          <w:p w14:paraId="705B0BAD">
            <w:pPr>
              <w:pStyle w:val="30"/>
              <w:snapToGrid w:val="0"/>
              <w:jc w:val="center"/>
              <w:rPr>
                <w:rFonts w:hint="eastAsia" w:ascii="仿宋" w:hAnsi="仿宋" w:eastAsia="仿宋" w:cs="仿宋"/>
                <w:color w:val="000000"/>
                <w:kern w:val="2"/>
                <w:sz w:val="21"/>
                <w:szCs w:val="21"/>
                <w:highlight w:val="none"/>
                <w:lang w:val="en-US"/>
              </w:rPr>
            </w:pPr>
          </w:p>
        </w:tc>
      </w:tr>
      <w:tr w14:paraId="71B82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222C4B09">
            <w:pPr>
              <w:snapToGrid w:val="0"/>
              <w:jc w:val="center"/>
              <w:rPr>
                <w:rFonts w:hint="eastAsia" w:ascii="仿宋" w:hAnsi="仿宋" w:eastAsia="仿宋" w:cs="仿宋"/>
                <w:color w:val="000000"/>
                <w:sz w:val="21"/>
                <w:szCs w:val="21"/>
                <w:highlight w:val="none"/>
              </w:rPr>
            </w:pPr>
          </w:p>
        </w:tc>
        <w:tc>
          <w:tcPr>
            <w:tcW w:w="1840" w:type="dxa"/>
            <w:tcBorders>
              <w:top w:val="single" w:color="auto" w:sz="4" w:space="0"/>
              <w:left w:val="single" w:color="auto" w:sz="4" w:space="0"/>
              <w:bottom w:val="single" w:color="auto" w:sz="4" w:space="0"/>
              <w:right w:val="single" w:color="auto" w:sz="4" w:space="0"/>
            </w:tcBorders>
            <w:vAlign w:val="center"/>
          </w:tcPr>
          <w:p w14:paraId="24874B41">
            <w:pPr>
              <w:snapToGrid w:val="0"/>
              <w:jc w:val="center"/>
              <w:rPr>
                <w:rFonts w:hint="eastAsia" w:ascii="仿宋" w:hAnsi="仿宋" w:eastAsia="仿宋" w:cs="仿宋"/>
                <w:color w:val="000000"/>
                <w:sz w:val="21"/>
                <w:szCs w:val="21"/>
                <w:highlight w:val="none"/>
              </w:rPr>
            </w:pPr>
          </w:p>
        </w:tc>
        <w:tc>
          <w:tcPr>
            <w:tcW w:w="527" w:type="dxa"/>
            <w:tcBorders>
              <w:top w:val="single" w:color="auto" w:sz="4" w:space="0"/>
              <w:left w:val="single" w:color="auto" w:sz="4" w:space="0"/>
              <w:bottom w:val="single" w:color="auto" w:sz="4" w:space="0"/>
              <w:right w:val="single" w:color="auto" w:sz="4" w:space="0"/>
            </w:tcBorders>
            <w:vAlign w:val="center"/>
          </w:tcPr>
          <w:p w14:paraId="6652C04B">
            <w:pPr>
              <w:snapToGrid w:val="0"/>
              <w:jc w:val="center"/>
              <w:rPr>
                <w:rFonts w:hint="eastAsia" w:ascii="仿宋" w:hAnsi="仿宋" w:eastAsia="仿宋" w:cs="仿宋"/>
                <w:color w:val="000000"/>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27DF7AA7">
            <w:pPr>
              <w:snapToGrid w:val="0"/>
              <w:jc w:val="center"/>
              <w:rPr>
                <w:rFonts w:hint="eastAsia" w:ascii="仿宋" w:hAnsi="仿宋" w:eastAsia="仿宋" w:cs="仿宋"/>
                <w:color w:val="000000"/>
                <w:sz w:val="21"/>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232FA271">
            <w:pPr>
              <w:snapToGrid w:val="0"/>
              <w:jc w:val="center"/>
              <w:rPr>
                <w:rFonts w:hint="eastAsia" w:ascii="仿宋" w:hAnsi="仿宋" w:eastAsia="仿宋" w:cs="仿宋"/>
                <w:color w:val="000000"/>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5501BFB7">
            <w:pPr>
              <w:pStyle w:val="30"/>
              <w:snapToGrid w:val="0"/>
              <w:jc w:val="right"/>
              <w:rPr>
                <w:rFonts w:hint="eastAsia" w:ascii="仿宋" w:hAnsi="仿宋" w:eastAsia="仿宋" w:cs="仿宋"/>
                <w:color w:val="000000"/>
                <w:kern w:val="2"/>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4027612A">
            <w:pPr>
              <w:pStyle w:val="30"/>
              <w:snapToGrid w:val="0"/>
              <w:jc w:val="right"/>
              <w:rPr>
                <w:rFonts w:hint="eastAsia" w:ascii="仿宋" w:hAnsi="仿宋" w:eastAsia="仿宋" w:cs="仿宋"/>
                <w:color w:val="000000"/>
                <w:kern w:val="2"/>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0008A9E6">
            <w:pPr>
              <w:pStyle w:val="30"/>
              <w:snapToGrid w:val="0"/>
              <w:jc w:val="center"/>
              <w:rPr>
                <w:rFonts w:hint="eastAsia" w:ascii="仿宋" w:hAnsi="仿宋" w:eastAsia="仿宋" w:cs="仿宋"/>
                <w:color w:val="000000"/>
                <w:kern w:val="2"/>
                <w:sz w:val="21"/>
                <w:szCs w:val="21"/>
                <w:highlight w:val="none"/>
              </w:rPr>
            </w:pPr>
          </w:p>
        </w:tc>
        <w:tc>
          <w:tcPr>
            <w:tcW w:w="729" w:type="dxa"/>
            <w:tcBorders>
              <w:top w:val="single" w:color="auto" w:sz="4" w:space="0"/>
              <w:left w:val="single" w:color="auto" w:sz="4" w:space="0"/>
              <w:bottom w:val="single" w:color="auto" w:sz="4" w:space="0"/>
              <w:right w:val="single" w:color="auto" w:sz="4" w:space="0"/>
            </w:tcBorders>
            <w:vAlign w:val="center"/>
          </w:tcPr>
          <w:p w14:paraId="38114528">
            <w:pPr>
              <w:pStyle w:val="30"/>
              <w:snapToGrid w:val="0"/>
              <w:jc w:val="center"/>
              <w:rPr>
                <w:rFonts w:hint="eastAsia" w:ascii="仿宋" w:hAnsi="仿宋" w:eastAsia="仿宋" w:cs="仿宋"/>
                <w:color w:val="000000"/>
                <w:kern w:val="2"/>
                <w:sz w:val="21"/>
                <w:szCs w:val="21"/>
                <w:highlight w:val="none"/>
                <w:lang w:val="en-US"/>
              </w:rPr>
            </w:pPr>
          </w:p>
        </w:tc>
      </w:tr>
      <w:tr w14:paraId="6B8D3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2FCF43B7">
            <w:pPr>
              <w:snapToGrid w:val="0"/>
              <w:jc w:val="center"/>
              <w:rPr>
                <w:rFonts w:hint="eastAsia" w:ascii="仿宋" w:hAnsi="仿宋" w:eastAsia="仿宋" w:cs="仿宋"/>
                <w:color w:val="000000"/>
                <w:sz w:val="21"/>
                <w:szCs w:val="21"/>
                <w:highlight w:val="none"/>
              </w:rPr>
            </w:pPr>
          </w:p>
        </w:tc>
        <w:tc>
          <w:tcPr>
            <w:tcW w:w="1840" w:type="dxa"/>
            <w:tcBorders>
              <w:top w:val="single" w:color="auto" w:sz="4" w:space="0"/>
              <w:left w:val="single" w:color="auto" w:sz="4" w:space="0"/>
              <w:bottom w:val="single" w:color="auto" w:sz="4" w:space="0"/>
              <w:right w:val="single" w:color="auto" w:sz="4" w:space="0"/>
            </w:tcBorders>
            <w:vAlign w:val="center"/>
          </w:tcPr>
          <w:p w14:paraId="0C21A1EC">
            <w:pPr>
              <w:snapToGrid w:val="0"/>
              <w:jc w:val="center"/>
              <w:rPr>
                <w:rFonts w:hint="eastAsia" w:ascii="仿宋" w:hAnsi="仿宋" w:eastAsia="仿宋" w:cs="仿宋"/>
                <w:color w:val="000000"/>
                <w:sz w:val="21"/>
                <w:szCs w:val="21"/>
                <w:highlight w:val="none"/>
              </w:rPr>
            </w:pPr>
          </w:p>
        </w:tc>
        <w:tc>
          <w:tcPr>
            <w:tcW w:w="527" w:type="dxa"/>
            <w:tcBorders>
              <w:top w:val="single" w:color="auto" w:sz="4" w:space="0"/>
              <w:left w:val="single" w:color="auto" w:sz="4" w:space="0"/>
              <w:bottom w:val="single" w:color="auto" w:sz="4" w:space="0"/>
              <w:right w:val="single" w:color="auto" w:sz="4" w:space="0"/>
            </w:tcBorders>
            <w:vAlign w:val="center"/>
          </w:tcPr>
          <w:p w14:paraId="188CAC0D">
            <w:pPr>
              <w:snapToGrid w:val="0"/>
              <w:jc w:val="center"/>
              <w:rPr>
                <w:rFonts w:hint="eastAsia" w:ascii="仿宋" w:hAnsi="仿宋" w:eastAsia="仿宋" w:cs="仿宋"/>
                <w:color w:val="000000"/>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02B4EC5C">
            <w:pPr>
              <w:snapToGrid w:val="0"/>
              <w:jc w:val="center"/>
              <w:rPr>
                <w:rFonts w:hint="eastAsia" w:ascii="仿宋" w:hAnsi="仿宋" w:eastAsia="仿宋" w:cs="仿宋"/>
                <w:color w:val="000000"/>
                <w:sz w:val="21"/>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570A5663">
            <w:pPr>
              <w:snapToGrid w:val="0"/>
              <w:jc w:val="center"/>
              <w:rPr>
                <w:rFonts w:hint="eastAsia" w:ascii="仿宋" w:hAnsi="仿宋" w:eastAsia="仿宋" w:cs="仿宋"/>
                <w:color w:val="000000"/>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0A2C360B">
            <w:pPr>
              <w:pStyle w:val="30"/>
              <w:snapToGrid w:val="0"/>
              <w:jc w:val="right"/>
              <w:rPr>
                <w:rFonts w:hint="eastAsia" w:ascii="仿宋" w:hAnsi="仿宋" w:eastAsia="仿宋" w:cs="仿宋"/>
                <w:color w:val="000000"/>
                <w:kern w:val="2"/>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5B168C18">
            <w:pPr>
              <w:pStyle w:val="30"/>
              <w:snapToGrid w:val="0"/>
              <w:jc w:val="right"/>
              <w:rPr>
                <w:rFonts w:hint="eastAsia" w:ascii="仿宋" w:hAnsi="仿宋" w:eastAsia="仿宋" w:cs="仿宋"/>
                <w:color w:val="000000"/>
                <w:kern w:val="2"/>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33017E8B">
            <w:pPr>
              <w:pStyle w:val="30"/>
              <w:snapToGrid w:val="0"/>
              <w:jc w:val="center"/>
              <w:rPr>
                <w:rFonts w:hint="eastAsia" w:ascii="仿宋" w:hAnsi="仿宋" w:eastAsia="仿宋" w:cs="仿宋"/>
                <w:color w:val="000000"/>
                <w:kern w:val="2"/>
                <w:sz w:val="21"/>
                <w:szCs w:val="21"/>
                <w:highlight w:val="none"/>
              </w:rPr>
            </w:pPr>
          </w:p>
        </w:tc>
        <w:tc>
          <w:tcPr>
            <w:tcW w:w="729" w:type="dxa"/>
            <w:tcBorders>
              <w:top w:val="single" w:color="auto" w:sz="4" w:space="0"/>
              <w:left w:val="single" w:color="auto" w:sz="4" w:space="0"/>
              <w:bottom w:val="single" w:color="auto" w:sz="4" w:space="0"/>
              <w:right w:val="single" w:color="auto" w:sz="4" w:space="0"/>
            </w:tcBorders>
            <w:vAlign w:val="center"/>
          </w:tcPr>
          <w:p w14:paraId="277CEB5F">
            <w:pPr>
              <w:pStyle w:val="30"/>
              <w:snapToGrid w:val="0"/>
              <w:jc w:val="center"/>
              <w:rPr>
                <w:rFonts w:hint="eastAsia" w:ascii="仿宋" w:hAnsi="仿宋" w:eastAsia="仿宋" w:cs="仿宋"/>
                <w:color w:val="000000"/>
                <w:kern w:val="2"/>
                <w:sz w:val="21"/>
                <w:szCs w:val="21"/>
                <w:highlight w:val="none"/>
                <w:lang w:val="en-US"/>
              </w:rPr>
            </w:pPr>
          </w:p>
        </w:tc>
      </w:tr>
      <w:tr w14:paraId="30A2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59B5586E">
            <w:pPr>
              <w:snapToGrid w:val="0"/>
              <w:jc w:val="center"/>
              <w:rPr>
                <w:rFonts w:hint="eastAsia" w:ascii="仿宋" w:hAnsi="仿宋" w:eastAsia="仿宋" w:cs="仿宋"/>
                <w:color w:val="000000"/>
                <w:sz w:val="21"/>
                <w:szCs w:val="21"/>
                <w:highlight w:val="none"/>
              </w:rPr>
            </w:pPr>
          </w:p>
        </w:tc>
        <w:tc>
          <w:tcPr>
            <w:tcW w:w="1840" w:type="dxa"/>
            <w:tcBorders>
              <w:top w:val="single" w:color="auto" w:sz="4" w:space="0"/>
              <w:left w:val="single" w:color="auto" w:sz="4" w:space="0"/>
              <w:bottom w:val="single" w:color="auto" w:sz="4" w:space="0"/>
              <w:right w:val="single" w:color="auto" w:sz="4" w:space="0"/>
            </w:tcBorders>
            <w:vAlign w:val="center"/>
          </w:tcPr>
          <w:p w14:paraId="327113DB">
            <w:pPr>
              <w:snapToGrid w:val="0"/>
              <w:jc w:val="center"/>
              <w:rPr>
                <w:rFonts w:hint="eastAsia" w:ascii="仿宋" w:hAnsi="仿宋" w:eastAsia="仿宋" w:cs="仿宋"/>
                <w:color w:val="000000"/>
                <w:sz w:val="21"/>
                <w:szCs w:val="21"/>
                <w:highlight w:val="none"/>
              </w:rPr>
            </w:pPr>
          </w:p>
        </w:tc>
        <w:tc>
          <w:tcPr>
            <w:tcW w:w="527" w:type="dxa"/>
            <w:tcBorders>
              <w:top w:val="single" w:color="auto" w:sz="4" w:space="0"/>
              <w:left w:val="single" w:color="auto" w:sz="4" w:space="0"/>
              <w:bottom w:val="single" w:color="auto" w:sz="4" w:space="0"/>
              <w:right w:val="single" w:color="auto" w:sz="4" w:space="0"/>
            </w:tcBorders>
            <w:vAlign w:val="center"/>
          </w:tcPr>
          <w:p w14:paraId="0F32FC2D">
            <w:pPr>
              <w:snapToGrid w:val="0"/>
              <w:jc w:val="center"/>
              <w:rPr>
                <w:rFonts w:hint="eastAsia" w:ascii="仿宋" w:hAnsi="仿宋" w:eastAsia="仿宋" w:cs="仿宋"/>
                <w:color w:val="000000"/>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746A22A8">
            <w:pPr>
              <w:snapToGrid w:val="0"/>
              <w:jc w:val="center"/>
              <w:rPr>
                <w:rFonts w:hint="eastAsia" w:ascii="仿宋" w:hAnsi="仿宋" w:eastAsia="仿宋" w:cs="仿宋"/>
                <w:color w:val="000000"/>
                <w:sz w:val="21"/>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172BBA84">
            <w:pPr>
              <w:snapToGrid w:val="0"/>
              <w:jc w:val="center"/>
              <w:rPr>
                <w:rFonts w:hint="eastAsia" w:ascii="仿宋" w:hAnsi="仿宋" w:eastAsia="仿宋" w:cs="仿宋"/>
                <w:color w:val="000000"/>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189B9057">
            <w:pPr>
              <w:pStyle w:val="30"/>
              <w:snapToGrid w:val="0"/>
              <w:jc w:val="right"/>
              <w:rPr>
                <w:rFonts w:hint="eastAsia" w:ascii="仿宋" w:hAnsi="仿宋" w:eastAsia="仿宋" w:cs="仿宋"/>
                <w:color w:val="000000"/>
                <w:kern w:val="2"/>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29517319">
            <w:pPr>
              <w:pStyle w:val="30"/>
              <w:snapToGrid w:val="0"/>
              <w:jc w:val="right"/>
              <w:rPr>
                <w:rFonts w:hint="eastAsia" w:ascii="仿宋" w:hAnsi="仿宋" w:eastAsia="仿宋" w:cs="仿宋"/>
                <w:color w:val="000000"/>
                <w:kern w:val="2"/>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1C271563">
            <w:pPr>
              <w:pStyle w:val="30"/>
              <w:snapToGrid w:val="0"/>
              <w:jc w:val="center"/>
              <w:rPr>
                <w:rFonts w:hint="eastAsia" w:ascii="仿宋" w:hAnsi="仿宋" w:eastAsia="仿宋" w:cs="仿宋"/>
                <w:color w:val="000000"/>
                <w:kern w:val="2"/>
                <w:sz w:val="21"/>
                <w:szCs w:val="21"/>
                <w:highlight w:val="none"/>
              </w:rPr>
            </w:pPr>
          </w:p>
        </w:tc>
        <w:tc>
          <w:tcPr>
            <w:tcW w:w="729" w:type="dxa"/>
            <w:tcBorders>
              <w:top w:val="single" w:color="auto" w:sz="4" w:space="0"/>
              <w:left w:val="single" w:color="auto" w:sz="4" w:space="0"/>
              <w:bottom w:val="single" w:color="auto" w:sz="4" w:space="0"/>
              <w:right w:val="single" w:color="auto" w:sz="4" w:space="0"/>
            </w:tcBorders>
            <w:vAlign w:val="center"/>
          </w:tcPr>
          <w:p w14:paraId="2F6C347C">
            <w:pPr>
              <w:pStyle w:val="30"/>
              <w:snapToGrid w:val="0"/>
              <w:jc w:val="center"/>
              <w:rPr>
                <w:rFonts w:hint="eastAsia" w:ascii="仿宋" w:hAnsi="仿宋" w:eastAsia="仿宋" w:cs="仿宋"/>
                <w:color w:val="000000"/>
                <w:kern w:val="2"/>
                <w:sz w:val="21"/>
                <w:szCs w:val="21"/>
                <w:highlight w:val="none"/>
                <w:lang w:val="en-US"/>
              </w:rPr>
            </w:pPr>
          </w:p>
        </w:tc>
      </w:tr>
      <w:tr w14:paraId="7912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5" w:type="dxa"/>
            <w:tcBorders>
              <w:top w:val="single" w:color="auto" w:sz="4" w:space="0"/>
              <w:left w:val="single" w:color="auto" w:sz="4" w:space="0"/>
              <w:bottom w:val="single" w:color="auto" w:sz="4" w:space="0"/>
              <w:right w:val="single" w:color="auto" w:sz="4" w:space="0"/>
            </w:tcBorders>
            <w:vAlign w:val="center"/>
          </w:tcPr>
          <w:p w14:paraId="1E352DCA">
            <w:pPr>
              <w:snapToGrid w:val="0"/>
              <w:jc w:val="center"/>
              <w:rPr>
                <w:rFonts w:hint="eastAsia" w:ascii="仿宋" w:hAnsi="仿宋" w:eastAsia="仿宋" w:cs="仿宋"/>
                <w:color w:val="000000"/>
                <w:sz w:val="21"/>
                <w:szCs w:val="21"/>
                <w:highlight w:val="none"/>
              </w:rPr>
            </w:pPr>
          </w:p>
        </w:tc>
        <w:tc>
          <w:tcPr>
            <w:tcW w:w="1840" w:type="dxa"/>
            <w:tcBorders>
              <w:top w:val="single" w:color="auto" w:sz="4" w:space="0"/>
              <w:left w:val="single" w:color="auto" w:sz="4" w:space="0"/>
              <w:bottom w:val="single" w:color="auto" w:sz="4" w:space="0"/>
              <w:right w:val="single" w:color="auto" w:sz="4" w:space="0"/>
            </w:tcBorders>
            <w:vAlign w:val="center"/>
          </w:tcPr>
          <w:p w14:paraId="5975321D">
            <w:pPr>
              <w:snapToGrid w:val="0"/>
              <w:jc w:val="center"/>
              <w:rPr>
                <w:rFonts w:hint="eastAsia" w:ascii="仿宋" w:hAnsi="仿宋" w:eastAsia="仿宋" w:cs="仿宋"/>
                <w:color w:val="000000"/>
                <w:sz w:val="21"/>
                <w:szCs w:val="21"/>
                <w:highlight w:val="none"/>
              </w:rPr>
            </w:pPr>
          </w:p>
        </w:tc>
        <w:tc>
          <w:tcPr>
            <w:tcW w:w="527" w:type="dxa"/>
            <w:tcBorders>
              <w:top w:val="single" w:color="auto" w:sz="4" w:space="0"/>
              <w:left w:val="single" w:color="auto" w:sz="4" w:space="0"/>
              <w:bottom w:val="single" w:color="auto" w:sz="4" w:space="0"/>
              <w:right w:val="single" w:color="auto" w:sz="4" w:space="0"/>
            </w:tcBorders>
            <w:vAlign w:val="center"/>
          </w:tcPr>
          <w:p w14:paraId="2B31659C">
            <w:pPr>
              <w:snapToGrid w:val="0"/>
              <w:jc w:val="center"/>
              <w:rPr>
                <w:rFonts w:hint="eastAsia" w:ascii="仿宋" w:hAnsi="仿宋" w:eastAsia="仿宋" w:cs="仿宋"/>
                <w:color w:val="000000"/>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098511A3">
            <w:pPr>
              <w:snapToGrid w:val="0"/>
              <w:jc w:val="center"/>
              <w:rPr>
                <w:rFonts w:hint="eastAsia" w:ascii="仿宋" w:hAnsi="仿宋" w:eastAsia="仿宋" w:cs="仿宋"/>
                <w:color w:val="000000"/>
                <w:sz w:val="21"/>
                <w:szCs w:val="21"/>
                <w:highlight w:val="none"/>
              </w:rPr>
            </w:pPr>
          </w:p>
        </w:tc>
        <w:tc>
          <w:tcPr>
            <w:tcW w:w="1649" w:type="dxa"/>
            <w:tcBorders>
              <w:top w:val="single" w:color="auto" w:sz="4" w:space="0"/>
              <w:left w:val="single" w:color="auto" w:sz="4" w:space="0"/>
              <w:bottom w:val="single" w:color="auto" w:sz="4" w:space="0"/>
              <w:right w:val="single" w:color="auto" w:sz="4" w:space="0"/>
            </w:tcBorders>
            <w:vAlign w:val="center"/>
          </w:tcPr>
          <w:p w14:paraId="464AD9E2">
            <w:pPr>
              <w:snapToGrid w:val="0"/>
              <w:jc w:val="center"/>
              <w:rPr>
                <w:rFonts w:hint="eastAsia" w:ascii="仿宋" w:hAnsi="仿宋" w:eastAsia="仿宋" w:cs="仿宋"/>
                <w:color w:val="000000"/>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447B8309">
            <w:pPr>
              <w:pStyle w:val="30"/>
              <w:snapToGrid w:val="0"/>
              <w:jc w:val="right"/>
              <w:rPr>
                <w:rFonts w:hint="eastAsia" w:ascii="仿宋" w:hAnsi="仿宋" w:eastAsia="仿宋" w:cs="仿宋"/>
                <w:color w:val="000000"/>
                <w:kern w:val="2"/>
                <w:sz w:val="21"/>
                <w:szCs w:val="21"/>
                <w:highlight w:val="none"/>
              </w:rPr>
            </w:pPr>
          </w:p>
        </w:tc>
        <w:tc>
          <w:tcPr>
            <w:tcW w:w="939" w:type="dxa"/>
            <w:tcBorders>
              <w:top w:val="single" w:color="auto" w:sz="4" w:space="0"/>
              <w:left w:val="single" w:color="auto" w:sz="4" w:space="0"/>
              <w:bottom w:val="single" w:color="auto" w:sz="4" w:space="0"/>
              <w:right w:val="single" w:color="auto" w:sz="4" w:space="0"/>
            </w:tcBorders>
            <w:vAlign w:val="center"/>
          </w:tcPr>
          <w:p w14:paraId="2BE3F6D4">
            <w:pPr>
              <w:pStyle w:val="30"/>
              <w:snapToGrid w:val="0"/>
              <w:jc w:val="right"/>
              <w:rPr>
                <w:rFonts w:hint="eastAsia" w:ascii="仿宋" w:hAnsi="仿宋" w:eastAsia="仿宋" w:cs="仿宋"/>
                <w:color w:val="000000"/>
                <w:kern w:val="2"/>
                <w:sz w:val="21"/>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3A5FEBF0">
            <w:pPr>
              <w:pStyle w:val="30"/>
              <w:snapToGrid w:val="0"/>
              <w:jc w:val="center"/>
              <w:rPr>
                <w:rFonts w:hint="eastAsia" w:ascii="仿宋" w:hAnsi="仿宋" w:eastAsia="仿宋" w:cs="仿宋"/>
                <w:color w:val="000000"/>
                <w:kern w:val="2"/>
                <w:sz w:val="21"/>
                <w:szCs w:val="21"/>
                <w:highlight w:val="none"/>
              </w:rPr>
            </w:pPr>
          </w:p>
        </w:tc>
        <w:tc>
          <w:tcPr>
            <w:tcW w:w="729" w:type="dxa"/>
            <w:tcBorders>
              <w:top w:val="single" w:color="auto" w:sz="4" w:space="0"/>
              <w:left w:val="single" w:color="auto" w:sz="4" w:space="0"/>
              <w:bottom w:val="single" w:color="auto" w:sz="4" w:space="0"/>
              <w:right w:val="single" w:color="auto" w:sz="4" w:space="0"/>
            </w:tcBorders>
            <w:vAlign w:val="center"/>
          </w:tcPr>
          <w:p w14:paraId="49FE69F7">
            <w:pPr>
              <w:pStyle w:val="30"/>
              <w:snapToGrid w:val="0"/>
              <w:jc w:val="center"/>
              <w:rPr>
                <w:rFonts w:hint="eastAsia" w:ascii="仿宋" w:hAnsi="仿宋" w:eastAsia="仿宋" w:cs="仿宋"/>
                <w:color w:val="000000"/>
                <w:kern w:val="2"/>
                <w:sz w:val="21"/>
                <w:szCs w:val="21"/>
                <w:highlight w:val="none"/>
                <w:lang w:val="en-US"/>
              </w:rPr>
            </w:pPr>
          </w:p>
        </w:tc>
      </w:tr>
    </w:tbl>
    <w:p w14:paraId="73572BB1">
      <w:pPr>
        <w:spacing w:before="80"/>
        <w:ind w:firstLine="240" w:firstLineChars="100"/>
        <w:rPr>
          <w:rFonts w:hint="eastAsia" w:ascii="仿宋" w:hAnsi="仿宋" w:eastAsia="仿宋" w:cs="仿宋"/>
          <w:kern w:val="2"/>
          <w:sz w:val="24"/>
          <w:highlight w:val="none"/>
          <w:lang w:val="en-US" w:bidi="ar-SA"/>
        </w:rPr>
      </w:pPr>
      <w:r>
        <w:rPr>
          <w:rFonts w:hint="eastAsia" w:ascii="仿宋" w:hAnsi="仿宋" w:eastAsia="仿宋" w:cs="仿宋"/>
          <w:kern w:val="2"/>
          <w:sz w:val="24"/>
          <w:highlight w:val="none"/>
          <w:lang w:val="en-US" w:bidi="ar-SA"/>
        </w:rPr>
        <w:t>注：此表需详列投标的每种产品，此表可按投标人实际情况修改填写。</w:t>
      </w:r>
    </w:p>
    <w:p w14:paraId="276247C8">
      <w:pPr>
        <w:pStyle w:val="32"/>
        <w:tabs>
          <w:tab w:val="left" w:pos="750"/>
        </w:tabs>
        <w:adjustRightInd w:val="0"/>
        <w:snapToGrid w:val="0"/>
        <w:spacing w:line="400" w:lineRule="exact"/>
        <w:ind w:firstLine="660" w:firstLineChars="300"/>
        <w:rPr>
          <w:rFonts w:hint="eastAsia" w:ascii="仿宋" w:hAnsi="仿宋" w:eastAsia="仿宋" w:cs="仿宋"/>
          <w:kern w:val="0"/>
          <w:sz w:val="22"/>
          <w:szCs w:val="18"/>
          <w:highlight w:val="none"/>
          <w:lang w:val="zh-CN"/>
        </w:rPr>
      </w:pPr>
      <w:r>
        <w:rPr>
          <w:rFonts w:hint="eastAsia" w:ascii="仿宋" w:hAnsi="仿宋" w:eastAsia="仿宋" w:cs="仿宋"/>
          <w:kern w:val="0"/>
          <w:sz w:val="22"/>
          <w:szCs w:val="18"/>
          <w:highlight w:val="none"/>
          <w:lang w:val="zh-CN"/>
        </w:rPr>
        <w:t>表后所附资料</w:t>
      </w:r>
      <w:r>
        <w:rPr>
          <w:rFonts w:hint="eastAsia" w:ascii="仿宋" w:hAnsi="仿宋" w:eastAsia="仿宋" w:cs="仿宋"/>
          <w:sz w:val="24"/>
          <w:highlight w:val="none"/>
        </w:rPr>
        <w:t>可以是文字资料、图纸和数据，并提供：</w:t>
      </w:r>
    </w:p>
    <w:p w14:paraId="476B4991">
      <w:pPr>
        <w:topLinePunct/>
        <w:spacing w:line="400" w:lineRule="exact"/>
        <w:ind w:firstLine="660" w:firstLineChars="300"/>
        <w:rPr>
          <w:rFonts w:hint="eastAsia" w:ascii="仿宋" w:hAnsi="仿宋" w:eastAsia="仿宋" w:cs="仿宋"/>
          <w:szCs w:val="18"/>
          <w:highlight w:val="none"/>
        </w:rPr>
      </w:pPr>
      <w:r>
        <w:rPr>
          <w:rFonts w:hint="eastAsia" w:ascii="仿宋" w:hAnsi="仿宋" w:eastAsia="仿宋" w:cs="仿宋"/>
          <w:szCs w:val="18"/>
          <w:highlight w:val="none"/>
        </w:rPr>
        <w:t>（1）货物主要技术及性能特点的详细描述；</w:t>
      </w:r>
    </w:p>
    <w:p w14:paraId="6DF6484D">
      <w:pPr>
        <w:topLinePunct/>
        <w:spacing w:line="400" w:lineRule="exact"/>
        <w:ind w:firstLine="660" w:firstLineChars="300"/>
        <w:rPr>
          <w:rFonts w:hint="eastAsia" w:ascii="仿宋" w:hAnsi="仿宋" w:eastAsia="仿宋" w:cs="仿宋"/>
          <w:szCs w:val="18"/>
          <w:highlight w:val="none"/>
        </w:rPr>
      </w:pPr>
      <w:r>
        <w:rPr>
          <w:rFonts w:hint="eastAsia" w:ascii="仿宋" w:hAnsi="仿宋" w:eastAsia="仿宋" w:cs="仿宋"/>
          <w:szCs w:val="18"/>
          <w:highlight w:val="none"/>
        </w:rPr>
        <w:t>（2）货物的详细资料，包括检验报告等；</w:t>
      </w:r>
    </w:p>
    <w:p w14:paraId="6AF91FE8">
      <w:pPr>
        <w:pStyle w:val="9"/>
        <w:ind w:left="0"/>
        <w:rPr>
          <w:rFonts w:hint="eastAsia" w:ascii="仿宋" w:hAnsi="仿宋" w:eastAsia="仿宋" w:cs="仿宋"/>
          <w:b/>
          <w:sz w:val="25"/>
          <w:highlight w:val="none"/>
        </w:rPr>
      </w:pPr>
    </w:p>
    <w:p w14:paraId="6DDBA58E">
      <w:pPr>
        <w:pStyle w:val="9"/>
        <w:ind w:left="0"/>
        <w:rPr>
          <w:rFonts w:hint="eastAsia" w:ascii="仿宋" w:hAnsi="仿宋" w:eastAsia="仿宋" w:cs="仿宋"/>
          <w:b/>
          <w:sz w:val="25"/>
          <w:highlight w:val="none"/>
        </w:rPr>
      </w:pPr>
    </w:p>
    <w:p w14:paraId="307A3818">
      <w:pPr>
        <w:pStyle w:val="32"/>
        <w:tabs>
          <w:tab w:val="left" w:pos="750"/>
        </w:tabs>
        <w:adjustRightInd w:val="0"/>
        <w:snapToGrid w:val="0"/>
        <w:spacing w:line="480" w:lineRule="auto"/>
        <w:ind w:firstLine="723" w:firstLineChars="3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投标人名称（盖章）：</w:t>
      </w:r>
      <w:r>
        <w:rPr>
          <w:rFonts w:hint="eastAsia" w:ascii="仿宋" w:hAnsi="仿宋" w:eastAsia="仿宋" w:cs="仿宋"/>
          <w:b/>
          <w:kern w:val="0"/>
          <w:sz w:val="24"/>
          <w:highlight w:val="none"/>
          <w:u w:val="single"/>
          <w:lang w:bidi="zh-CN"/>
        </w:rPr>
        <w:t xml:space="preserve">                 </w:t>
      </w:r>
      <w:r>
        <w:rPr>
          <w:rFonts w:hint="eastAsia" w:ascii="仿宋" w:hAnsi="仿宋" w:eastAsia="仿宋" w:cs="仿宋"/>
          <w:b/>
          <w:kern w:val="0"/>
          <w:sz w:val="24"/>
          <w:highlight w:val="none"/>
          <w:lang w:val="zh-CN" w:bidi="zh-CN"/>
        </w:rPr>
        <w:t xml:space="preserve">                        </w:t>
      </w:r>
    </w:p>
    <w:p w14:paraId="3F85E4DA">
      <w:pPr>
        <w:pStyle w:val="32"/>
        <w:tabs>
          <w:tab w:val="left" w:pos="750"/>
        </w:tabs>
        <w:adjustRightInd w:val="0"/>
        <w:snapToGrid w:val="0"/>
        <w:spacing w:line="480" w:lineRule="auto"/>
        <w:ind w:firstLine="723" w:firstLineChars="3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法定代表人或委托代理人签字（或盖章）：</w:t>
      </w:r>
      <w:r>
        <w:rPr>
          <w:rFonts w:hint="eastAsia" w:ascii="仿宋" w:hAnsi="仿宋" w:eastAsia="仿宋" w:cs="仿宋"/>
          <w:b/>
          <w:kern w:val="0"/>
          <w:sz w:val="24"/>
          <w:highlight w:val="none"/>
          <w:u w:val="single"/>
          <w:lang w:bidi="zh-CN"/>
        </w:rPr>
        <w:t xml:space="preserve">                 </w:t>
      </w:r>
      <w:r>
        <w:rPr>
          <w:rFonts w:hint="eastAsia" w:ascii="仿宋" w:hAnsi="仿宋" w:eastAsia="仿宋" w:cs="仿宋"/>
          <w:b/>
          <w:kern w:val="0"/>
          <w:sz w:val="24"/>
          <w:highlight w:val="none"/>
          <w:lang w:val="zh-CN" w:bidi="zh-CN"/>
        </w:rPr>
        <w:t xml:space="preserve">                        </w:t>
      </w:r>
    </w:p>
    <w:p w14:paraId="47A95E37">
      <w:pPr>
        <w:pStyle w:val="32"/>
        <w:tabs>
          <w:tab w:val="left" w:pos="750"/>
        </w:tabs>
        <w:adjustRightInd w:val="0"/>
        <w:snapToGrid w:val="0"/>
        <w:spacing w:line="480" w:lineRule="auto"/>
        <w:ind w:firstLine="5783" w:firstLineChars="24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 xml:space="preserve">日期： </w:t>
      </w:r>
      <w:r>
        <w:rPr>
          <w:rFonts w:hint="eastAsia" w:ascii="仿宋" w:hAnsi="仿宋" w:eastAsia="仿宋" w:cs="仿宋"/>
          <w:b/>
          <w:kern w:val="0"/>
          <w:sz w:val="24"/>
          <w:highlight w:val="none"/>
          <w:u w:val="single"/>
          <w:lang w:val="zh-CN" w:bidi="zh-CN"/>
        </w:rPr>
        <w:t xml:space="preserve">    </w:t>
      </w:r>
      <w:r>
        <w:rPr>
          <w:rFonts w:hint="eastAsia" w:ascii="仿宋" w:hAnsi="仿宋" w:eastAsia="仿宋" w:cs="仿宋"/>
          <w:b/>
          <w:kern w:val="0"/>
          <w:sz w:val="24"/>
          <w:highlight w:val="none"/>
          <w:lang w:val="zh-CN" w:bidi="zh-CN"/>
        </w:rPr>
        <w:t xml:space="preserve"> 年</w:t>
      </w:r>
      <w:r>
        <w:rPr>
          <w:rFonts w:hint="eastAsia" w:ascii="仿宋" w:hAnsi="仿宋" w:eastAsia="仿宋" w:cs="仿宋"/>
          <w:b/>
          <w:kern w:val="0"/>
          <w:sz w:val="24"/>
          <w:highlight w:val="none"/>
          <w:u w:val="single"/>
          <w:lang w:val="zh-CN" w:bidi="zh-CN"/>
        </w:rPr>
        <w:t xml:space="preserve">    </w:t>
      </w:r>
      <w:r>
        <w:rPr>
          <w:rFonts w:hint="eastAsia" w:ascii="仿宋" w:hAnsi="仿宋" w:eastAsia="仿宋" w:cs="仿宋"/>
          <w:b/>
          <w:kern w:val="0"/>
          <w:sz w:val="24"/>
          <w:highlight w:val="none"/>
          <w:lang w:val="zh-CN" w:bidi="zh-CN"/>
        </w:rPr>
        <w:t>月</w:t>
      </w:r>
      <w:r>
        <w:rPr>
          <w:rFonts w:hint="eastAsia" w:ascii="仿宋" w:hAnsi="仿宋" w:eastAsia="仿宋" w:cs="仿宋"/>
          <w:b/>
          <w:kern w:val="0"/>
          <w:sz w:val="24"/>
          <w:highlight w:val="none"/>
          <w:u w:val="single"/>
          <w:lang w:val="zh-CN" w:bidi="zh-CN"/>
        </w:rPr>
        <w:t xml:space="preserve">     </w:t>
      </w:r>
      <w:r>
        <w:rPr>
          <w:rFonts w:hint="eastAsia" w:ascii="仿宋" w:hAnsi="仿宋" w:eastAsia="仿宋" w:cs="仿宋"/>
          <w:b/>
          <w:kern w:val="0"/>
          <w:sz w:val="24"/>
          <w:highlight w:val="none"/>
          <w:lang w:val="zh-CN" w:bidi="zh-CN"/>
        </w:rPr>
        <w:t>日</w:t>
      </w:r>
    </w:p>
    <w:p w14:paraId="496E8547">
      <w:pPr>
        <w:pStyle w:val="32"/>
        <w:tabs>
          <w:tab w:val="left" w:pos="750"/>
        </w:tabs>
        <w:adjustRightInd w:val="0"/>
        <w:snapToGrid w:val="0"/>
        <w:spacing w:line="480" w:lineRule="auto"/>
        <w:ind w:firstLine="5783" w:firstLineChars="2400"/>
        <w:rPr>
          <w:rFonts w:hint="eastAsia" w:ascii="仿宋" w:hAnsi="仿宋" w:eastAsia="仿宋" w:cs="仿宋"/>
          <w:b/>
          <w:kern w:val="0"/>
          <w:sz w:val="24"/>
          <w:highlight w:val="none"/>
          <w:lang w:val="zh-CN" w:bidi="zh-CN"/>
        </w:rPr>
      </w:pPr>
    </w:p>
    <w:p w14:paraId="3DF6E58C">
      <w:pPr>
        <w:spacing w:before="58"/>
        <w:jc w:val="center"/>
        <w:rPr>
          <w:rFonts w:hint="eastAsia" w:ascii="仿宋" w:hAnsi="仿宋" w:eastAsia="仿宋" w:cs="仿宋"/>
          <w:sz w:val="24"/>
          <w:highlight w:val="none"/>
          <w:u w:val="single"/>
          <w:lang w:val="en-US"/>
        </w:rPr>
      </w:pPr>
      <w:r>
        <w:rPr>
          <w:rFonts w:hint="eastAsia" w:ascii="仿宋" w:hAnsi="仿宋" w:eastAsia="仿宋" w:cs="仿宋"/>
          <w:b/>
          <w:sz w:val="24"/>
          <w:highlight w:val="none"/>
        </w:rPr>
        <w:br w:type="page"/>
      </w:r>
      <w:r>
        <w:rPr>
          <w:rFonts w:hint="eastAsia" w:ascii="仿宋" w:hAnsi="仿宋" w:eastAsia="仿宋" w:cs="仿宋"/>
          <w:b/>
          <w:sz w:val="30"/>
          <w:highlight w:val="none"/>
        </w:rPr>
        <w:t>核心</w:t>
      </w:r>
      <w:r>
        <w:rPr>
          <w:rFonts w:hint="eastAsia" w:ascii="仿宋" w:hAnsi="仿宋" w:eastAsia="仿宋" w:cs="仿宋"/>
          <w:b/>
          <w:sz w:val="30"/>
          <w:highlight w:val="none"/>
          <w:lang w:val="en-US"/>
        </w:rPr>
        <w:t>产品品牌型号一览表</w:t>
      </w:r>
    </w:p>
    <w:p w14:paraId="39DCA11A">
      <w:pPr>
        <w:rPr>
          <w:rFonts w:hint="eastAsia" w:ascii="仿宋" w:hAnsi="仿宋" w:eastAsia="仿宋" w:cs="仿宋"/>
          <w:bCs/>
          <w:sz w:val="24"/>
          <w:highlight w:val="none"/>
        </w:rPr>
      </w:pPr>
      <w:r>
        <w:rPr>
          <w:rFonts w:hint="eastAsia" w:ascii="仿宋" w:hAnsi="仿宋" w:eastAsia="仿宋" w:cs="仿宋"/>
          <w:bCs/>
          <w:sz w:val="24"/>
          <w:highlight w:val="none"/>
        </w:rPr>
        <w:t xml:space="preserve">投标人名称：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363"/>
        <w:gridCol w:w="1663"/>
        <w:gridCol w:w="1533"/>
        <w:gridCol w:w="1696"/>
        <w:gridCol w:w="1618"/>
      </w:tblGrid>
      <w:tr w14:paraId="1E14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951" w:type="dxa"/>
            <w:vAlign w:val="center"/>
          </w:tcPr>
          <w:p w14:paraId="5060A53B">
            <w:pPr>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2363" w:type="dxa"/>
            <w:vAlign w:val="center"/>
          </w:tcPr>
          <w:p w14:paraId="701387C7">
            <w:pPr>
              <w:jc w:val="center"/>
              <w:rPr>
                <w:rFonts w:hint="eastAsia" w:ascii="仿宋" w:hAnsi="仿宋" w:eastAsia="仿宋" w:cs="仿宋"/>
                <w:sz w:val="24"/>
                <w:highlight w:val="none"/>
              </w:rPr>
            </w:pPr>
            <w:r>
              <w:rPr>
                <w:rFonts w:hint="eastAsia" w:ascii="仿宋" w:hAnsi="仿宋" w:eastAsia="仿宋" w:cs="仿宋"/>
                <w:sz w:val="24"/>
                <w:highlight w:val="none"/>
              </w:rPr>
              <w:t>产品名称</w:t>
            </w:r>
          </w:p>
        </w:tc>
        <w:tc>
          <w:tcPr>
            <w:tcW w:w="1663" w:type="dxa"/>
            <w:vAlign w:val="center"/>
          </w:tcPr>
          <w:p w14:paraId="169C53EC">
            <w:pPr>
              <w:jc w:val="center"/>
              <w:rPr>
                <w:rFonts w:hint="eastAsia" w:ascii="仿宋" w:hAnsi="仿宋" w:eastAsia="仿宋" w:cs="仿宋"/>
                <w:sz w:val="24"/>
                <w:highlight w:val="none"/>
              </w:rPr>
            </w:pPr>
            <w:r>
              <w:rPr>
                <w:rFonts w:hint="eastAsia" w:ascii="仿宋" w:hAnsi="仿宋" w:eastAsia="仿宋" w:cs="仿宋"/>
                <w:sz w:val="24"/>
                <w:highlight w:val="none"/>
              </w:rPr>
              <w:t>品牌</w:t>
            </w:r>
          </w:p>
        </w:tc>
        <w:tc>
          <w:tcPr>
            <w:tcW w:w="1533" w:type="dxa"/>
            <w:vAlign w:val="center"/>
          </w:tcPr>
          <w:p w14:paraId="2074AD7F">
            <w:pPr>
              <w:jc w:val="center"/>
              <w:rPr>
                <w:rFonts w:hint="eastAsia" w:ascii="仿宋" w:hAnsi="仿宋" w:eastAsia="仿宋" w:cs="仿宋"/>
                <w:sz w:val="24"/>
                <w:highlight w:val="none"/>
              </w:rPr>
            </w:pPr>
            <w:r>
              <w:rPr>
                <w:rFonts w:hint="eastAsia" w:ascii="仿宋" w:hAnsi="仿宋" w:eastAsia="仿宋" w:cs="仿宋"/>
                <w:sz w:val="24"/>
                <w:highlight w:val="none"/>
              </w:rPr>
              <w:t>规格型号</w:t>
            </w:r>
          </w:p>
        </w:tc>
        <w:tc>
          <w:tcPr>
            <w:tcW w:w="1696" w:type="dxa"/>
            <w:vAlign w:val="center"/>
          </w:tcPr>
          <w:p w14:paraId="27BF5D34">
            <w:pPr>
              <w:jc w:val="center"/>
              <w:rPr>
                <w:rFonts w:hint="eastAsia" w:ascii="仿宋" w:hAnsi="仿宋" w:eastAsia="仿宋" w:cs="仿宋"/>
                <w:sz w:val="24"/>
                <w:highlight w:val="none"/>
              </w:rPr>
            </w:pPr>
            <w:r>
              <w:rPr>
                <w:rFonts w:hint="eastAsia" w:ascii="仿宋" w:hAnsi="仿宋" w:eastAsia="仿宋" w:cs="仿宋"/>
                <w:sz w:val="24"/>
                <w:highlight w:val="none"/>
              </w:rPr>
              <w:t>制造商</w:t>
            </w:r>
          </w:p>
        </w:tc>
        <w:tc>
          <w:tcPr>
            <w:tcW w:w="1618" w:type="dxa"/>
            <w:vAlign w:val="center"/>
          </w:tcPr>
          <w:p w14:paraId="6843435A">
            <w:pPr>
              <w:jc w:val="center"/>
              <w:rPr>
                <w:rFonts w:hint="eastAsia" w:ascii="仿宋" w:hAnsi="仿宋" w:eastAsia="仿宋" w:cs="仿宋"/>
                <w:sz w:val="24"/>
                <w:highlight w:val="none"/>
              </w:rPr>
            </w:pPr>
            <w:r>
              <w:rPr>
                <w:rFonts w:hint="eastAsia" w:ascii="仿宋" w:hAnsi="仿宋" w:eastAsia="仿宋" w:cs="仿宋"/>
                <w:sz w:val="24"/>
                <w:highlight w:val="none"/>
              </w:rPr>
              <w:t>产地</w:t>
            </w:r>
          </w:p>
        </w:tc>
      </w:tr>
      <w:tr w14:paraId="3522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951" w:type="dxa"/>
            <w:vAlign w:val="center"/>
          </w:tcPr>
          <w:p w14:paraId="39CC757F">
            <w:pPr>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363" w:type="dxa"/>
            <w:vAlign w:val="center"/>
          </w:tcPr>
          <w:p w14:paraId="001B5121">
            <w:pPr>
              <w:jc w:val="center"/>
              <w:rPr>
                <w:rFonts w:hint="eastAsia" w:ascii="仿宋" w:hAnsi="仿宋" w:eastAsia="仿宋" w:cs="仿宋"/>
                <w:sz w:val="24"/>
                <w:szCs w:val="24"/>
                <w:highlight w:val="none"/>
              </w:rPr>
            </w:pPr>
          </w:p>
        </w:tc>
        <w:tc>
          <w:tcPr>
            <w:tcW w:w="1663" w:type="dxa"/>
            <w:vAlign w:val="center"/>
          </w:tcPr>
          <w:p w14:paraId="161A17C6">
            <w:pPr>
              <w:jc w:val="center"/>
              <w:rPr>
                <w:rFonts w:hint="eastAsia" w:ascii="仿宋" w:hAnsi="仿宋" w:eastAsia="仿宋" w:cs="仿宋"/>
                <w:bCs/>
                <w:sz w:val="24"/>
                <w:highlight w:val="none"/>
              </w:rPr>
            </w:pPr>
          </w:p>
        </w:tc>
        <w:tc>
          <w:tcPr>
            <w:tcW w:w="1533" w:type="dxa"/>
            <w:vAlign w:val="center"/>
          </w:tcPr>
          <w:p w14:paraId="511AF9E9">
            <w:pPr>
              <w:jc w:val="center"/>
              <w:rPr>
                <w:rFonts w:hint="eastAsia" w:ascii="仿宋" w:hAnsi="仿宋" w:eastAsia="仿宋" w:cs="仿宋"/>
                <w:sz w:val="24"/>
                <w:highlight w:val="none"/>
              </w:rPr>
            </w:pPr>
          </w:p>
        </w:tc>
        <w:tc>
          <w:tcPr>
            <w:tcW w:w="1696" w:type="dxa"/>
            <w:vAlign w:val="center"/>
          </w:tcPr>
          <w:p w14:paraId="149CC700">
            <w:pPr>
              <w:jc w:val="center"/>
              <w:rPr>
                <w:rFonts w:hint="eastAsia" w:ascii="仿宋" w:hAnsi="仿宋" w:eastAsia="仿宋" w:cs="仿宋"/>
                <w:sz w:val="24"/>
                <w:highlight w:val="none"/>
              </w:rPr>
            </w:pPr>
          </w:p>
        </w:tc>
        <w:tc>
          <w:tcPr>
            <w:tcW w:w="1618" w:type="dxa"/>
            <w:vAlign w:val="center"/>
          </w:tcPr>
          <w:p w14:paraId="5DE5008E">
            <w:pPr>
              <w:jc w:val="center"/>
              <w:rPr>
                <w:rFonts w:hint="eastAsia" w:ascii="仿宋" w:hAnsi="仿宋" w:eastAsia="仿宋" w:cs="仿宋"/>
                <w:sz w:val="24"/>
                <w:highlight w:val="none"/>
              </w:rPr>
            </w:pPr>
          </w:p>
        </w:tc>
      </w:tr>
    </w:tbl>
    <w:p w14:paraId="7ED237C0">
      <w:pPr>
        <w:pStyle w:val="12"/>
        <w:pBdr>
          <w:bottom w:val="none" w:color="auto" w:sz="0" w:space="0"/>
        </w:pBdr>
        <w:tabs>
          <w:tab w:val="left" w:pos="420"/>
        </w:tabs>
        <w:snapToGrid/>
        <w:spacing w:line="400" w:lineRule="exact"/>
        <w:jc w:val="both"/>
        <w:rPr>
          <w:rFonts w:hint="eastAsia" w:ascii="仿宋" w:hAnsi="仿宋" w:eastAsia="仿宋" w:cs="仿宋"/>
          <w:sz w:val="21"/>
          <w:szCs w:val="21"/>
          <w:highlight w:val="none"/>
        </w:rPr>
      </w:pPr>
    </w:p>
    <w:p w14:paraId="54F0011A">
      <w:pPr>
        <w:pStyle w:val="12"/>
        <w:pBdr>
          <w:bottom w:val="none" w:color="auto" w:sz="0" w:space="0"/>
        </w:pBdr>
        <w:tabs>
          <w:tab w:val="left" w:pos="420"/>
        </w:tabs>
        <w:snapToGrid/>
        <w:spacing w:line="400" w:lineRule="exact"/>
        <w:ind w:left="630" w:hanging="630" w:hangingChars="300"/>
        <w:jc w:val="both"/>
        <w:rPr>
          <w:rFonts w:hint="eastAsia" w:ascii="仿宋" w:hAnsi="仿宋" w:eastAsia="仿宋" w:cs="仿宋"/>
          <w:sz w:val="24"/>
          <w:highlight w:val="none"/>
          <w:u w:val="single"/>
        </w:rPr>
      </w:pPr>
      <w:r>
        <w:rPr>
          <w:rFonts w:hint="eastAsia" w:ascii="仿宋" w:hAnsi="仿宋" w:eastAsia="仿宋" w:cs="仿宋"/>
          <w:sz w:val="21"/>
          <w:szCs w:val="21"/>
          <w:highlight w:val="none"/>
        </w:rPr>
        <w:t xml:space="preserve">注：1. </w:t>
      </w:r>
      <w:r>
        <w:rPr>
          <w:rFonts w:hint="eastAsia" w:ascii="仿宋" w:hAnsi="仿宋" w:eastAsia="仿宋" w:cs="仿宋"/>
          <w:bCs/>
          <w:sz w:val="21"/>
          <w:szCs w:val="21"/>
          <w:highlight w:val="none"/>
        </w:rPr>
        <w:t>此表中的信息应予报价明细表中的信息一致，否则按废标处理。</w:t>
      </w:r>
    </w:p>
    <w:p w14:paraId="238AA562">
      <w:pPr>
        <w:spacing w:line="360" w:lineRule="exact"/>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1AE91D31">
      <w:pPr>
        <w:spacing w:line="360" w:lineRule="exact"/>
        <w:rPr>
          <w:rFonts w:hint="eastAsia" w:ascii="仿宋" w:hAnsi="仿宋" w:eastAsia="仿宋" w:cs="仿宋"/>
          <w:sz w:val="24"/>
          <w:highlight w:val="none"/>
        </w:rPr>
      </w:pPr>
      <w:r>
        <w:rPr>
          <w:rFonts w:hint="eastAsia" w:ascii="仿宋" w:hAnsi="仿宋" w:eastAsia="仿宋" w:cs="仿宋"/>
          <w:sz w:val="24"/>
          <w:highlight w:val="none"/>
        </w:rPr>
        <w:t xml:space="preserve">                                    投标单位：（盖章）</w:t>
      </w:r>
    </w:p>
    <w:p w14:paraId="4A4AF8F3">
      <w:pPr>
        <w:pStyle w:val="33"/>
        <w:widowControl w:val="0"/>
        <w:spacing w:line="360" w:lineRule="exact"/>
        <w:rPr>
          <w:rFonts w:hint="eastAsia" w:ascii="仿宋" w:hAnsi="仿宋" w:eastAsia="仿宋" w:cs="仿宋"/>
          <w:szCs w:val="24"/>
          <w:highlight w:val="none"/>
        </w:rPr>
      </w:pPr>
    </w:p>
    <w:p w14:paraId="015E29DE">
      <w:pPr>
        <w:pStyle w:val="33"/>
        <w:widowControl w:val="0"/>
        <w:spacing w:line="360" w:lineRule="exact"/>
        <w:rPr>
          <w:rFonts w:hint="eastAsia" w:ascii="仿宋" w:hAnsi="仿宋" w:eastAsia="仿宋" w:cs="仿宋"/>
          <w:szCs w:val="24"/>
          <w:highlight w:val="none"/>
        </w:rPr>
      </w:pPr>
      <w:r>
        <w:rPr>
          <w:rFonts w:hint="eastAsia" w:ascii="仿宋" w:hAnsi="仿宋" w:eastAsia="仿宋" w:cs="仿宋"/>
          <w:szCs w:val="24"/>
          <w:highlight w:val="none"/>
        </w:rPr>
        <w:t xml:space="preserve">                                    法定代表人或授权代理人：（签字或盖章）    </w:t>
      </w:r>
    </w:p>
    <w:p w14:paraId="01FCC25D">
      <w:pPr>
        <w:pStyle w:val="33"/>
        <w:widowControl w:val="0"/>
        <w:spacing w:line="360" w:lineRule="exact"/>
        <w:rPr>
          <w:rFonts w:hint="eastAsia" w:ascii="仿宋" w:hAnsi="仿宋" w:eastAsia="仿宋" w:cs="仿宋"/>
          <w:szCs w:val="24"/>
          <w:highlight w:val="none"/>
        </w:rPr>
      </w:pPr>
    </w:p>
    <w:p w14:paraId="587C4F89">
      <w:pPr>
        <w:pStyle w:val="33"/>
        <w:widowControl w:val="0"/>
        <w:spacing w:line="360" w:lineRule="exact"/>
        <w:rPr>
          <w:rFonts w:hint="eastAsia" w:ascii="仿宋" w:hAnsi="仿宋" w:eastAsia="仿宋" w:cs="仿宋"/>
          <w:szCs w:val="24"/>
          <w:highlight w:val="none"/>
        </w:rPr>
      </w:pPr>
      <w:r>
        <w:rPr>
          <w:rFonts w:hint="eastAsia" w:ascii="仿宋" w:hAnsi="仿宋" w:eastAsia="仿宋" w:cs="仿宋"/>
          <w:szCs w:val="24"/>
          <w:highlight w:val="none"/>
        </w:rPr>
        <w:t xml:space="preserve">                                             年    月   日</w:t>
      </w:r>
    </w:p>
    <w:p w14:paraId="510AB79A">
      <w:pPr>
        <w:pStyle w:val="33"/>
        <w:widowControl w:val="0"/>
        <w:spacing w:line="360" w:lineRule="exact"/>
        <w:rPr>
          <w:rFonts w:hint="eastAsia" w:ascii="仿宋" w:hAnsi="仿宋" w:eastAsia="仿宋" w:cs="仿宋"/>
          <w:szCs w:val="24"/>
          <w:highlight w:val="none"/>
        </w:rPr>
      </w:pPr>
    </w:p>
    <w:p w14:paraId="34272C68">
      <w:pPr>
        <w:pStyle w:val="33"/>
        <w:widowControl w:val="0"/>
        <w:spacing w:line="360" w:lineRule="exact"/>
        <w:rPr>
          <w:rFonts w:hint="eastAsia" w:ascii="仿宋" w:hAnsi="仿宋" w:eastAsia="仿宋" w:cs="仿宋"/>
          <w:szCs w:val="24"/>
          <w:highlight w:val="none"/>
        </w:rPr>
      </w:pPr>
    </w:p>
    <w:p w14:paraId="0EA59BE9">
      <w:pPr>
        <w:pStyle w:val="33"/>
        <w:widowControl w:val="0"/>
        <w:spacing w:line="360" w:lineRule="exact"/>
        <w:rPr>
          <w:rFonts w:hint="eastAsia" w:ascii="仿宋" w:hAnsi="仿宋" w:eastAsia="仿宋" w:cs="仿宋"/>
          <w:szCs w:val="24"/>
          <w:highlight w:val="none"/>
        </w:rPr>
      </w:pPr>
    </w:p>
    <w:p w14:paraId="66C8DD9E">
      <w:pPr>
        <w:spacing w:before="58"/>
        <w:jc w:val="center"/>
        <w:rPr>
          <w:rFonts w:hint="eastAsia" w:ascii="仿宋" w:hAnsi="仿宋" w:eastAsia="仿宋" w:cs="仿宋"/>
          <w:b/>
          <w:sz w:val="30"/>
          <w:highlight w:val="none"/>
          <w:lang w:val="en-US"/>
        </w:rPr>
      </w:pPr>
      <w:r>
        <w:rPr>
          <w:rFonts w:hint="eastAsia" w:ascii="仿宋" w:hAnsi="仿宋" w:eastAsia="仿宋" w:cs="仿宋"/>
          <w:b/>
          <w:sz w:val="30"/>
          <w:highlight w:val="none"/>
          <w:lang w:val="en-US"/>
        </w:rPr>
        <w:t>技术及商务响应（偏离）表</w:t>
      </w:r>
    </w:p>
    <w:p w14:paraId="390D50E0">
      <w:pPr>
        <w:pStyle w:val="6"/>
        <w:rPr>
          <w:rFonts w:hint="eastAsia" w:ascii="仿宋" w:hAnsi="仿宋" w:eastAsia="仿宋" w:cs="仿宋"/>
          <w:highlight w:val="none"/>
          <w:lang w:val="en-US"/>
        </w:rPr>
      </w:pPr>
    </w:p>
    <w:p w14:paraId="20F5A10E">
      <w:pPr>
        <w:pStyle w:val="34"/>
        <w:adjustRightInd w:val="0"/>
        <w:snapToGrid w:val="0"/>
        <w:spacing w:line="400" w:lineRule="exact"/>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 xml:space="preserve">项目编号：                                 </w:t>
      </w:r>
    </w:p>
    <w:p w14:paraId="23AE5D25">
      <w:pPr>
        <w:pStyle w:val="34"/>
        <w:adjustRightInd w:val="0"/>
        <w:snapToGrid w:val="0"/>
        <w:spacing w:line="400" w:lineRule="exact"/>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 xml:space="preserve">项目名称：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684"/>
        <w:gridCol w:w="2989"/>
        <w:gridCol w:w="1461"/>
        <w:gridCol w:w="1846"/>
      </w:tblGrid>
      <w:tr w14:paraId="1F93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846" w:type="dxa"/>
            <w:tcBorders>
              <w:top w:val="single" w:color="auto" w:sz="4" w:space="0"/>
              <w:left w:val="single" w:color="auto" w:sz="4" w:space="0"/>
              <w:bottom w:val="single" w:color="auto" w:sz="4" w:space="0"/>
              <w:right w:val="single" w:color="auto" w:sz="4" w:space="0"/>
            </w:tcBorders>
            <w:vAlign w:val="center"/>
          </w:tcPr>
          <w:p w14:paraId="01A4A040">
            <w:pPr>
              <w:pStyle w:val="34"/>
              <w:spacing w:line="400" w:lineRule="exac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684" w:type="dxa"/>
            <w:tcBorders>
              <w:top w:val="single" w:color="auto" w:sz="4" w:space="0"/>
              <w:left w:val="single" w:color="auto" w:sz="4" w:space="0"/>
              <w:bottom w:val="single" w:color="auto" w:sz="4" w:space="0"/>
              <w:right w:val="single" w:color="auto" w:sz="4" w:space="0"/>
            </w:tcBorders>
            <w:vAlign w:val="center"/>
          </w:tcPr>
          <w:p w14:paraId="3AE3F2AE">
            <w:pPr>
              <w:pStyle w:val="34"/>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招标文件要求部分</w:t>
            </w:r>
          </w:p>
        </w:tc>
        <w:tc>
          <w:tcPr>
            <w:tcW w:w="2989" w:type="dxa"/>
            <w:tcBorders>
              <w:top w:val="single" w:color="auto" w:sz="4" w:space="0"/>
              <w:left w:val="single" w:color="auto" w:sz="4" w:space="0"/>
              <w:bottom w:val="single" w:color="auto" w:sz="4" w:space="0"/>
              <w:right w:val="single" w:color="auto" w:sz="4" w:space="0"/>
            </w:tcBorders>
            <w:vAlign w:val="center"/>
          </w:tcPr>
          <w:p w14:paraId="030EE8B4">
            <w:pPr>
              <w:pStyle w:val="34"/>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投标文件响应部分</w:t>
            </w:r>
          </w:p>
        </w:tc>
        <w:tc>
          <w:tcPr>
            <w:tcW w:w="1461" w:type="dxa"/>
            <w:tcBorders>
              <w:top w:val="single" w:color="auto" w:sz="4" w:space="0"/>
              <w:left w:val="single" w:color="auto" w:sz="4" w:space="0"/>
              <w:bottom w:val="single" w:color="auto" w:sz="4" w:space="0"/>
              <w:right w:val="single" w:color="auto" w:sz="4" w:space="0"/>
            </w:tcBorders>
            <w:vAlign w:val="center"/>
          </w:tcPr>
          <w:p w14:paraId="76E596D5">
            <w:pPr>
              <w:pStyle w:val="34"/>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偏离</w:t>
            </w:r>
          </w:p>
        </w:tc>
        <w:tc>
          <w:tcPr>
            <w:tcW w:w="1846" w:type="dxa"/>
            <w:tcBorders>
              <w:top w:val="single" w:color="auto" w:sz="4" w:space="0"/>
              <w:left w:val="single" w:color="auto" w:sz="4" w:space="0"/>
              <w:bottom w:val="single" w:color="auto" w:sz="4" w:space="0"/>
              <w:right w:val="single" w:color="auto" w:sz="4" w:space="0"/>
            </w:tcBorders>
            <w:vAlign w:val="center"/>
          </w:tcPr>
          <w:p w14:paraId="7663DAAE">
            <w:pPr>
              <w:pStyle w:val="34"/>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说明</w:t>
            </w:r>
          </w:p>
          <w:p w14:paraId="355DED53">
            <w:pPr>
              <w:pStyle w:val="34"/>
              <w:spacing w:line="4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（证明材料）</w:t>
            </w:r>
          </w:p>
        </w:tc>
      </w:tr>
      <w:tr w14:paraId="4E457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46" w:type="dxa"/>
            <w:tcBorders>
              <w:top w:val="single" w:color="auto" w:sz="4" w:space="0"/>
              <w:left w:val="single" w:color="auto" w:sz="4" w:space="0"/>
              <w:bottom w:val="single" w:color="auto" w:sz="4" w:space="0"/>
              <w:right w:val="single" w:color="auto" w:sz="4" w:space="0"/>
            </w:tcBorders>
            <w:vAlign w:val="center"/>
          </w:tcPr>
          <w:p w14:paraId="546EDE86">
            <w:pPr>
              <w:pStyle w:val="34"/>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684" w:type="dxa"/>
            <w:tcBorders>
              <w:top w:val="single" w:color="auto" w:sz="4" w:space="0"/>
              <w:left w:val="single" w:color="auto" w:sz="4" w:space="0"/>
              <w:bottom w:val="single" w:color="auto" w:sz="4" w:space="0"/>
              <w:right w:val="single" w:color="auto" w:sz="4" w:space="0"/>
            </w:tcBorders>
            <w:vAlign w:val="center"/>
          </w:tcPr>
          <w:p w14:paraId="3B70EAA0">
            <w:pPr>
              <w:pStyle w:val="34"/>
              <w:spacing w:line="400" w:lineRule="exact"/>
              <w:rPr>
                <w:rFonts w:hint="eastAsia" w:ascii="仿宋" w:hAnsi="仿宋" w:eastAsia="仿宋" w:cs="仿宋"/>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vAlign w:val="center"/>
          </w:tcPr>
          <w:p w14:paraId="0B8E1725">
            <w:pPr>
              <w:pStyle w:val="34"/>
              <w:spacing w:line="400" w:lineRule="exact"/>
              <w:rPr>
                <w:rFonts w:hint="eastAsia" w:ascii="仿宋" w:hAnsi="仿宋" w:eastAsia="仿宋" w:cs="仿宋"/>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010C6C84">
            <w:pPr>
              <w:pStyle w:val="34"/>
              <w:spacing w:line="400" w:lineRule="exact"/>
              <w:rPr>
                <w:rFonts w:hint="eastAsia" w:ascii="仿宋" w:hAnsi="仿宋" w:eastAsia="仿宋" w:cs="仿宋"/>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vAlign w:val="center"/>
          </w:tcPr>
          <w:p w14:paraId="4903E1DE">
            <w:pPr>
              <w:pStyle w:val="34"/>
              <w:spacing w:line="400" w:lineRule="exact"/>
              <w:rPr>
                <w:rFonts w:hint="eastAsia" w:ascii="仿宋" w:hAnsi="仿宋" w:eastAsia="仿宋" w:cs="仿宋"/>
                <w:sz w:val="24"/>
                <w:szCs w:val="24"/>
                <w:highlight w:val="none"/>
              </w:rPr>
            </w:pPr>
          </w:p>
        </w:tc>
      </w:tr>
      <w:tr w14:paraId="5118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46" w:type="dxa"/>
            <w:tcBorders>
              <w:top w:val="single" w:color="auto" w:sz="4" w:space="0"/>
              <w:left w:val="single" w:color="auto" w:sz="4" w:space="0"/>
              <w:bottom w:val="single" w:color="auto" w:sz="4" w:space="0"/>
              <w:right w:val="single" w:color="auto" w:sz="4" w:space="0"/>
            </w:tcBorders>
            <w:vAlign w:val="center"/>
          </w:tcPr>
          <w:p w14:paraId="1D567517">
            <w:pPr>
              <w:pStyle w:val="34"/>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2684" w:type="dxa"/>
            <w:tcBorders>
              <w:top w:val="single" w:color="auto" w:sz="4" w:space="0"/>
              <w:left w:val="single" w:color="auto" w:sz="4" w:space="0"/>
              <w:bottom w:val="single" w:color="auto" w:sz="4" w:space="0"/>
              <w:right w:val="single" w:color="auto" w:sz="4" w:space="0"/>
            </w:tcBorders>
            <w:vAlign w:val="center"/>
          </w:tcPr>
          <w:p w14:paraId="09E40564">
            <w:pPr>
              <w:pStyle w:val="34"/>
              <w:spacing w:line="400" w:lineRule="exact"/>
              <w:rPr>
                <w:rFonts w:hint="eastAsia" w:ascii="仿宋" w:hAnsi="仿宋" w:eastAsia="仿宋" w:cs="仿宋"/>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vAlign w:val="center"/>
          </w:tcPr>
          <w:p w14:paraId="6D50402A">
            <w:pPr>
              <w:pStyle w:val="34"/>
              <w:spacing w:line="400" w:lineRule="exact"/>
              <w:rPr>
                <w:rFonts w:hint="eastAsia" w:ascii="仿宋" w:hAnsi="仿宋" w:eastAsia="仿宋" w:cs="仿宋"/>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66239EE7">
            <w:pPr>
              <w:pStyle w:val="34"/>
              <w:spacing w:line="400" w:lineRule="exact"/>
              <w:rPr>
                <w:rFonts w:hint="eastAsia" w:ascii="仿宋" w:hAnsi="仿宋" w:eastAsia="仿宋" w:cs="仿宋"/>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vAlign w:val="center"/>
          </w:tcPr>
          <w:p w14:paraId="7AB02E8B">
            <w:pPr>
              <w:pStyle w:val="34"/>
              <w:spacing w:line="400" w:lineRule="exact"/>
              <w:rPr>
                <w:rFonts w:hint="eastAsia" w:ascii="仿宋" w:hAnsi="仿宋" w:eastAsia="仿宋" w:cs="仿宋"/>
                <w:sz w:val="24"/>
                <w:szCs w:val="24"/>
                <w:highlight w:val="none"/>
              </w:rPr>
            </w:pPr>
          </w:p>
        </w:tc>
      </w:tr>
      <w:tr w14:paraId="3B08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846" w:type="dxa"/>
            <w:tcBorders>
              <w:top w:val="single" w:color="auto" w:sz="4" w:space="0"/>
              <w:left w:val="single" w:color="auto" w:sz="4" w:space="0"/>
              <w:bottom w:val="single" w:color="auto" w:sz="4" w:space="0"/>
              <w:right w:val="single" w:color="auto" w:sz="4" w:space="0"/>
            </w:tcBorders>
            <w:vAlign w:val="center"/>
          </w:tcPr>
          <w:p w14:paraId="62A84F84">
            <w:pPr>
              <w:pStyle w:val="34"/>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w:t>
            </w:r>
          </w:p>
        </w:tc>
        <w:tc>
          <w:tcPr>
            <w:tcW w:w="2684" w:type="dxa"/>
            <w:tcBorders>
              <w:top w:val="single" w:color="auto" w:sz="4" w:space="0"/>
              <w:left w:val="single" w:color="auto" w:sz="4" w:space="0"/>
              <w:bottom w:val="single" w:color="auto" w:sz="4" w:space="0"/>
              <w:right w:val="single" w:color="auto" w:sz="4" w:space="0"/>
            </w:tcBorders>
            <w:vAlign w:val="center"/>
          </w:tcPr>
          <w:p w14:paraId="4588174A">
            <w:pPr>
              <w:pStyle w:val="34"/>
              <w:spacing w:line="400" w:lineRule="exact"/>
              <w:rPr>
                <w:rFonts w:hint="eastAsia" w:ascii="仿宋" w:hAnsi="仿宋" w:eastAsia="仿宋" w:cs="仿宋"/>
                <w:sz w:val="24"/>
                <w:szCs w:val="24"/>
                <w:highlight w:val="none"/>
              </w:rPr>
            </w:pPr>
          </w:p>
        </w:tc>
        <w:tc>
          <w:tcPr>
            <w:tcW w:w="2989" w:type="dxa"/>
            <w:tcBorders>
              <w:top w:val="single" w:color="auto" w:sz="4" w:space="0"/>
              <w:left w:val="single" w:color="auto" w:sz="4" w:space="0"/>
              <w:bottom w:val="single" w:color="auto" w:sz="4" w:space="0"/>
              <w:right w:val="single" w:color="auto" w:sz="4" w:space="0"/>
            </w:tcBorders>
            <w:vAlign w:val="center"/>
          </w:tcPr>
          <w:p w14:paraId="2974D62E">
            <w:pPr>
              <w:pStyle w:val="34"/>
              <w:spacing w:line="400" w:lineRule="exact"/>
              <w:rPr>
                <w:rFonts w:hint="eastAsia" w:ascii="仿宋" w:hAnsi="仿宋" w:eastAsia="仿宋" w:cs="仿宋"/>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vAlign w:val="center"/>
          </w:tcPr>
          <w:p w14:paraId="0FC0F2C6">
            <w:pPr>
              <w:pStyle w:val="34"/>
              <w:spacing w:line="400" w:lineRule="exact"/>
              <w:rPr>
                <w:rFonts w:hint="eastAsia" w:ascii="仿宋" w:hAnsi="仿宋" w:eastAsia="仿宋" w:cs="仿宋"/>
                <w:sz w:val="24"/>
                <w:szCs w:val="24"/>
                <w:highlight w:val="none"/>
              </w:rPr>
            </w:pPr>
          </w:p>
        </w:tc>
        <w:tc>
          <w:tcPr>
            <w:tcW w:w="1846" w:type="dxa"/>
            <w:tcBorders>
              <w:top w:val="single" w:color="auto" w:sz="4" w:space="0"/>
              <w:left w:val="single" w:color="auto" w:sz="4" w:space="0"/>
              <w:bottom w:val="single" w:color="auto" w:sz="4" w:space="0"/>
              <w:right w:val="single" w:color="auto" w:sz="4" w:space="0"/>
            </w:tcBorders>
            <w:vAlign w:val="center"/>
          </w:tcPr>
          <w:p w14:paraId="464F7963">
            <w:pPr>
              <w:pStyle w:val="34"/>
              <w:spacing w:line="400" w:lineRule="exact"/>
              <w:rPr>
                <w:rFonts w:hint="eastAsia" w:ascii="仿宋" w:hAnsi="仿宋" w:eastAsia="仿宋" w:cs="仿宋"/>
                <w:sz w:val="24"/>
                <w:szCs w:val="24"/>
                <w:highlight w:val="none"/>
              </w:rPr>
            </w:pPr>
          </w:p>
        </w:tc>
      </w:tr>
    </w:tbl>
    <w:p w14:paraId="486B2839">
      <w:pPr>
        <w:pStyle w:val="32"/>
        <w:tabs>
          <w:tab w:val="left" w:pos="750"/>
        </w:tabs>
        <w:adjustRightInd w:val="0"/>
        <w:snapToGrid w:val="0"/>
        <w:spacing w:line="4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注：投标人应对照采购文件要求列出并在偏差内容“偏离情况”栏注明“正偏离”、“负偏离”或“无偏离”。</w:t>
      </w:r>
      <w:r>
        <w:rPr>
          <w:rFonts w:hint="eastAsia" w:ascii="仿宋" w:hAnsi="仿宋" w:eastAsia="仿宋" w:cs="仿宋"/>
          <w:b/>
          <w:bCs/>
          <w:sz w:val="24"/>
          <w:szCs w:val="24"/>
          <w:highlight w:val="none"/>
        </w:rPr>
        <w:t>技术参数须投标人每种设备逐条参数进行偏离对比。</w:t>
      </w:r>
    </w:p>
    <w:p w14:paraId="66153574">
      <w:pPr>
        <w:pStyle w:val="32"/>
        <w:tabs>
          <w:tab w:val="left" w:pos="750"/>
        </w:tabs>
        <w:adjustRightInd w:val="0"/>
        <w:snapToGrid w:val="0"/>
        <w:spacing w:line="400" w:lineRule="exact"/>
        <w:rPr>
          <w:rFonts w:hint="eastAsia" w:ascii="仿宋" w:hAnsi="仿宋" w:eastAsia="仿宋" w:cs="仿宋"/>
          <w:sz w:val="24"/>
          <w:szCs w:val="24"/>
          <w:highlight w:val="none"/>
        </w:rPr>
      </w:pPr>
    </w:p>
    <w:p w14:paraId="574612BC">
      <w:pPr>
        <w:pStyle w:val="32"/>
        <w:tabs>
          <w:tab w:val="left" w:pos="750"/>
        </w:tabs>
        <w:adjustRightInd w:val="0"/>
        <w:snapToGrid w:val="0"/>
        <w:spacing w:line="480" w:lineRule="auto"/>
        <w:ind w:firstLine="723" w:firstLineChars="3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投标人名称（盖章）：</w:t>
      </w:r>
      <w:r>
        <w:rPr>
          <w:rFonts w:hint="eastAsia" w:ascii="仿宋" w:hAnsi="仿宋" w:eastAsia="仿宋" w:cs="仿宋"/>
          <w:b/>
          <w:kern w:val="0"/>
          <w:sz w:val="24"/>
          <w:highlight w:val="none"/>
          <w:u w:val="single"/>
          <w:lang w:bidi="zh-CN"/>
        </w:rPr>
        <w:t xml:space="preserve">   </w:t>
      </w:r>
      <w:r>
        <w:rPr>
          <w:rFonts w:hint="eastAsia" w:ascii="仿宋" w:hAnsi="仿宋" w:eastAsia="仿宋" w:cs="仿宋"/>
          <w:b/>
          <w:kern w:val="0"/>
          <w:sz w:val="24"/>
          <w:highlight w:val="none"/>
          <w:lang w:val="zh-CN" w:bidi="zh-CN"/>
        </w:rPr>
        <w:t xml:space="preserve">                      </w:t>
      </w:r>
    </w:p>
    <w:p w14:paraId="63610F3C">
      <w:pPr>
        <w:pStyle w:val="32"/>
        <w:tabs>
          <w:tab w:val="left" w:pos="750"/>
        </w:tabs>
        <w:adjustRightInd w:val="0"/>
        <w:snapToGrid w:val="0"/>
        <w:spacing w:line="480" w:lineRule="auto"/>
        <w:ind w:firstLine="723" w:firstLineChars="3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 xml:space="preserve">法定代表人或委托代理人签字（或盖章）：                     </w:t>
      </w:r>
    </w:p>
    <w:p w14:paraId="1936DE2D">
      <w:pPr>
        <w:pStyle w:val="32"/>
        <w:tabs>
          <w:tab w:val="left" w:pos="750"/>
        </w:tabs>
        <w:adjustRightInd w:val="0"/>
        <w:snapToGrid w:val="0"/>
        <w:spacing w:line="480" w:lineRule="auto"/>
        <w:ind w:firstLine="5783" w:firstLineChars="24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 xml:space="preserve">日期： </w:t>
      </w:r>
      <w:r>
        <w:rPr>
          <w:rFonts w:hint="eastAsia" w:ascii="仿宋" w:hAnsi="仿宋" w:eastAsia="仿宋" w:cs="仿宋"/>
          <w:b/>
          <w:kern w:val="0"/>
          <w:sz w:val="24"/>
          <w:highlight w:val="none"/>
          <w:u w:val="single"/>
          <w:lang w:val="zh-CN" w:bidi="zh-CN"/>
        </w:rPr>
        <w:t xml:space="preserve">    </w:t>
      </w:r>
      <w:r>
        <w:rPr>
          <w:rFonts w:hint="eastAsia" w:ascii="仿宋" w:hAnsi="仿宋" w:eastAsia="仿宋" w:cs="仿宋"/>
          <w:b/>
          <w:kern w:val="0"/>
          <w:sz w:val="24"/>
          <w:highlight w:val="none"/>
          <w:u w:val="single"/>
          <w:lang w:bidi="zh-CN"/>
        </w:rPr>
        <w:t xml:space="preserve"> </w:t>
      </w:r>
      <w:r>
        <w:rPr>
          <w:rFonts w:hint="eastAsia" w:ascii="仿宋" w:hAnsi="仿宋" w:eastAsia="仿宋" w:cs="仿宋"/>
          <w:b/>
          <w:kern w:val="0"/>
          <w:sz w:val="24"/>
          <w:highlight w:val="none"/>
          <w:lang w:val="zh-CN" w:bidi="zh-CN"/>
        </w:rPr>
        <w:t>年</w:t>
      </w:r>
      <w:r>
        <w:rPr>
          <w:rFonts w:hint="eastAsia" w:ascii="仿宋" w:hAnsi="仿宋" w:eastAsia="仿宋" w:cs="仿宋"/>
          <w:b/>
          <w:kern w:val="0"/>
          <w:sz w:val="24"/>
          <w:highlight w:val="none"/>
          <w:u w:val="single"/>
          <w:lang w:val="zh-CN" w:bidi="zh-CN"/>
        </w:rPr>
        <w:t xml:space="preserve">    </w:t>
      </w:r>
      <w:r>
        <w:rPr>
          <w:rFonts w:hint="eastAsia" w:ascii="仿宋" w:hAnsi="仿宋" w:eastAsia="仿宋" w:cs="仿宋"/>
          <w:b/>
          <w:kern w:val="0"/>
          <w:sz w:val="24"/>
          <w:highlight w:val="none"/>
          <w:lang w:val="zh-CN" w:bidi="zh-CN"/>
        </w:rPr>
        <w:t>月</w:t>
      </w:r>
      <w:r>
        <w:rPr>
          <w:rFonts w:hint="eastAsia" w:ascii="仿宋" w:hAnsi="仿宋" w:eastAsia="仿宋" w:cs="仿宋"/>
          <w:b/>
          <w:kern w:val="0"/>
          <w:sz w:val="24"/>
          <w:highlight w:val="none"/>
          <w:u w:val="single"/>
          <w:lang w:val="zh-CN" w:bidi="zh-CN"/>
        </w:rPr>
        <w:t xml:space="preserve">     </w:t>
      </w:r>
      <w:r>
        <w:rPr>
          <w:rFonts w:hint="eastAsia" w:ascii="仿宋" w:hAnsi="仿宋" w:eastAsia="仿宋" w:cs="仿宋"/>
          <w:b/>
          <w:kern w:val="0"/>
          <w:sz w:val="24"/>
          <w:highlight w:val="none"/>
          <w:lang w:val="zh-CN" w:bidi="zh-CN"/>
        </w:rPr>
        <w:t>日</w:t>
      </w:r>
    </w:p>
    <w:p w14:paraId="067F38C8">
      <w:pPr>
        <w:spacing w:before="199"/>
        <w:jc w:val="center"/>
        <w:rPr>
          <w:rFonts w:hint="eastAsia" w:ascii="仿宋" w:hAnsi="仿宋" w:eastAsia="仿宋" w:cs="仿宋"/>
          <w:b/>
          <w:sz w:val="30"/>
          <w:highlight w:val="none"/>
        </w:rPr>
      </w:pPr>
      <w:r>
        <w:rPr>
          <w:rFonts w:hint="eastAsia" w:ascii="仿宋" w:hAnsi="仿宋" w:eastAsia="仿宋" w:cs="仿宋"/>
          <w:b/>
          <w:sz w:val="30"/>
          <w:highlight w:val="none"/>
        </w:rPr>
        <w:t>投标人（供应商）反商业贿赂承诺书</w:t>
      </w:r>
    </w:p>
    <w:p w14:paraId="359F4939">
      <w:pPr>
        <w:pStyle w:val="9"/>
        <w:spacing w:before="201" w:line="364" w:lineRule="auto"/>
        <w:ind w:left="0" w:firstLine="480"/>
        <w:jc w:val="both"/>
        <w:rPr>
          <w:rFonts w:hint="eastAsia" w:ascii="仿宋" w:hAnsi="仿宋" w:eastAsia="仿宋" w:cs="仿宋"/>
          <w:highlight w:val="none"/>
        </w:rPr>
      </w:pPr>
      <w:r>
        <w:rPr>
          <w:rFonts w:hint="eastAsia" w:ascii="仿宋" w:hAnsi="仿宋" w:eastAsia="仿宋" w:cs="仿宋"/>
          <w:highlight w:val="none"/>
        </w:rPr>
        <w:t>我公司承诺在</w:t>
      </w:r>
      <w:r>
        <w:rPr>
          <w:rFonts w:hint="eastAsia" w:ascii="仿宋" w:hAnsi="仿宋" w:eastAsia="仿宋" w:cs="仿宋"/>
          <w:highlight w:val="none"/>
          <w:u w:val="single"/>
        </w:rPr>
        <w:t>（项目编号、项目名称）</w:t>
      </w:r>
      <w:r>
        <w:rPr>
          <w:rFonts w:hint="eastAsia" w:ascii="仿宋" w:hAnsi="仿宋" w:eastAsia="仿宋" w:cs="仿宋"/>
          <w:highlight w:val="none"/>
          <w:u w:val="single"/>
          <w:lang w:val="en-US"/>
        </w:rPr>
        <w:t xml:space="preserve">       </w:t>
      </w:r>
      <w:r>
        <w:rPr>
          <w:rFonts w:hint="eastAsia" w:ascii="仿宋" w:hAnsi="仿宋" w:eastAsia="仿宋" w:cs="仿宋"/>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14:paraId="1F067804">
      <w:pPr>
        <w:pStyle w:val="9"/>
        <w:spacing w:line="364" w:lineRule="auto"/>
        <w:ind w:left="0" w:firstLine="480" w:firstLineChars="200"/>
        <w:rPr>
          <w:rFonts w:hint="eastAsia" w:ascii="仿宋" w:hAnsi="仿宋" w:eastAsia="仿宋" w:cs="仿宋"/>
          <w:highlight w:val="none"/>
        </w:rPr>
      </w:pPr>
      <w:r>
        <w:rPr>
          <w:rFonts w:hint="eastAsia" w:ascii="仿宋" w:hAnsi="仿宋" w:eastAsia="仿宋" w:cs="仿宋"/>
          <w:highlight w:val="none"/>
        </w:rPr>
        <w:t>投标人名称（盖章）：</w:t>
      </w:r>
      <w:r>
        <w:rPr>
          <w:rFonts w:hint="eastAsia" w:ascii="仿宋" w:hAnsi="仿宋" w:eastAsia="仿宋" w:cs="仿宋"/>
          <w:highlight w:val="none"/>
          <w:u w:val="single"/>
          <w:lang w:val="en-US"/>
        </w:rPr>
        <w:t xml:space="preserve">                       </w:t>
      </w:r>
      <w:r>
        <w:rPr>
          <w:rFonts w:hint="eastAsia" w:ascii="仿宋" w:hAnsi="仿宋" w:eastAsia="仿宋" w:cs="仿宋"/>
          <w:highlight w:val="none"/>
          <w:lang w:val="en-US"/>
        </w:rPr>
        <w:t xml:space="preserve">              </w:t>
      </w:r>
      <w:r>
        <w:rPr>
          <w:rFonts w:hint="eastAsia" w:ascii="仿宋" w:hAnsi="仿宋" w:eastAsia="仿宋" w:cs="仿宋"/>
          <w:highlight w:val="none"/>
        </w:rPr>
        <w:t xml:space="preserve"> </w:t>
      </w:r>
      <w:r>
        <w:rPr>
          <w:rFonts w:hint="eastAsia" w:ascii="仿宋" w:hAnsi="仿宋" w:eastAsia="仿宋" w:cs="仿宋"/>
          <w:highlight w:val="none"/>
        </w:rPr>
        <w:tab/>
      </w:r>
      <w:r>
        <w:rPr>
          <w:rFonts w:hint="eastAsia" w:ascii="仿宋" w:hAnsi="仿宋" w:eastAsia="仿宋" w:cs="仿宋"/>
          <w:highlight w:val="none"/>
        </w:rPr>
        <w:t xml:space="preserve">                      </w:t>
      </w:r>
    </w:p>
    <w:p w14:paraId="75144651">
      <w:pPr>
        <w:pStyle w:val="9"/>
        <w:spacing w:line="364" w:lineRule="auto"/>
        <w:ind w:left="0" w:firstLine="480" w:firstLineChars="200"/>
        <w:rPr>
          <w:rFonts w:hint="eastAsia" w:ascii="仿宋" w:hAnsi="仿宋" w:eastAsia="仿宋" w:cs="仿宋"/>
          <w:highlight w:val="none"/>
          <w:lang w:val="en-US"/>
        </w:rPr>
      </w:pPr>
      <w:r>
        <w:rPr>
          <w:rFonts w:hint="eastAsia" w:ascii="仿宋" w:hAnsi="仿宋" w:eastAsia="仿宋" w:cs="仿宋"/>
          <w:highlight w:val="none"/>
        </w:rPr>
        <w:t>法定代表人或委托代理人签字（或盖章）：</w:t>
      </w:r>
      <w:r>
        <w:rPr>
          <w:rFonts w:hint="eastAsia" w:ascii="仿宋" w:hAnsi="仿宋" w:eastAsia="仿宋" w:cs="仿宋"/>
          <w:highlight w:val="none"/>
          <w:u w:val="single"/>
          <w:lang w:val="en-US"/>
        </w:rPr>
        <w:t xml:space="preserve">                 </w:t>
      </w:r>
      <w:r>
        <w:rPr>
          <w:rFonts w:hint="eastAsia" w:ascii="仿宋" w:hAnsi="仿宋" w:eastAsia="仿宋" w:cs="仿宋"/>
          <w:highlight w:val="none"/>
          <w:lang w:val="en-US"/>
        </w:rPr>
        <w:t xml:space="preserve">                        </w:t>
      </w:r>
      <w:r>
        <w:rPr>
          <w:rFonts w:hint="eastAsia" w:ascii="仿宋" w:hAnsi="仿宋" w:eastAsia="仿宋" w:cs="仿宋"/>
          <w:highlight w:val="none"/>
        </w:rPr>
        <w:t xml:space="preserve">  </w:t>
      </w:r>
      <w:r>
        <w:rPr>
          <w:rFonts w:hint="eastAsia" w:ascii="仿宋" w:hAnsi="仿宋" w:eastAsia="仿宋" w:cs="仿宋"/>
          <w:highlight w:val="none"/>
          <w:lang w:val="en-US"/>
        </w:rPr>
        <w:t xml:space="preserve">                          </w:t>
      </w:r>
    </w:p>
    <w:p w14:paraId="55097B75">
      <w:pPr>
        <w:pStyle w:val="9"/>
        <w:spacing w:line="364" w:lineRule="auto"/>
        <w:ind w:left="0" w:firstLine="480" w:firstLineChars="200"/>
        <w:rPr>
          <w:rFonts w:hint="eastAsia" w:ascii="仿宋" w:hAnsi="仿宋" w:eastAsia="仿宋" w:cs="仿宋"/>
          <w:sz w:val="22"/>
          <w:highlight w:val="none"/>
        </w:rPr>
      </w:pPr>
      <w:r>
        <w:rPr>
          <w:rFonts w:hint="eastAsia" w:ascii="仿宋" w:hAnsi="仿宋" w:eastAsia="仿宋" w:cs="仿宋"/>
          <w:highlight w:val="none"/>
          <w:lang w:val="en-US"/>
        </w:rPr>
        <w:t xml:space="preserve"> </w:t>
      </w:r>
      <w:r>
        <w:rPr>
          <w:rFonts w:hint="eastAsia" w:ascii="仿宋" w:hAnsi="仿宋" w:eastAsia="仿宋" w:cs="仿宋"/>
          <w:b/>
          <w:bCs/>
          <w:highlight w:val="none"/>
          <w:lang w:val="en-US"/>
        </w:rPr>
        <w:t xml:space="preserve">   </w:t>
      </w:r>
      <w:r>
        <w:rPr>
          <w:rFonts w:hint="eastAsia" w:ascii="仿宋" w:hAnsi="仿宋" w:eastAsia="仿宋" w:cs="仿宋"/>
          <w:highlight w:val="none"/>
          <w:lang w:val="en-US"/>
        </w:rPr>
        <w:t xml:space="preserve">    </w:t>
      </w:r>
    </w:p>
    <w:p w14:paraId="247A76AB">
      <w:pPr>
        <w:tabs>
          <w:tab w:val="left" w:pos="5859"/>
          <w:tab w:val="left" w:pos="6459"/>
          <w:tab w:val="left" w:pos="7179"/>
        </w:tabs>
        <w:rPr>
          <w:rFonts w:hint="eastAsia" w:ascii="仿宋" w:hAnsi="仿宋" w:eastAsia="仿宋" w:cs="仿宋"/>
          <w:sz w:val="24"/>
          <w:highlight w:val="none"/>
        </w:rPr>
      </w:pPr>
      <w:r>
        <w:rPr>
          <w:rFonts w:hint="eastAsia" w:ascii="仿宋" w:hAnsi="仿宋" w:eastAsia="仿宋" w:cs="仿宋"/>
          <w:b/>
          <w:sz w:val="24"/>
          <w:highlight w:val="none"/>
        </w:rPr>
        <w:t>承诺日期：</w:t>
      </w:r>
      <w:r>
        <w:rPr>
          <w:rFonts w:hint="eastAsia" w:ascii="仿宋" w:hAnsi="仿宋" w:eastAsia="仿宋" w:cs="仿宋"/>
          <w:highlight w:val="none"/>
          <w:lang w:val="en-US"/>
        </w:rPr>
        <w:t xml:space="preserve"> </w:t>
      </w:r>
      <w:r>
        <w:rPr>
          <w:rFonts w:hint="eastAsia" w:ascii="仿宋" w:hAnsi="仿宋" w:eastAsia="仿宋" w:cs="仿宋"/>
          <w:highlight w:val="none"/>
          <w:u w:val="single"/>
          <w:lang w:val="en-US"/>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u w:val="single"/>
          <w:lang w:val="en-US"/>
        </w:rPr>
        <w:t xml:space="preserve">      </w:t>
      </w:r>
      <w:r>
        <w:rPr>
          <w:rFonts w:hint="eastAsia" w:ascii="仿宋" w:hAnsi="仿宋" w:eastAsia="仿宋" w:cs="仿宋"/>
          <w:highlight w:val="none"/>
          <w:lang w:val="en-US"/>
        </w:rPr>
        <w:t xml:space="preserve"> </w:t>
      </w:r>
      <w:r>
        <w:rPr>
          <w:rFonts w:hint="eastAsia" w:ascii="仿宋" w:hAnsi="仿宋" w:eastAsia="仿宋" w:cs="仿宋"/>
          <w:highlight w:val="none"/>
        </w:rPr>
        <w:t>月</w:t>
      </w:r>
      <w:r>
        <w:rPr>
          <w:rFonts w:hint="eastAsia" w:ascii="仿宋" w:hAnsi="仿宋" w:eastAsia="仿宋" w:cs="仿宋"/>
          <w:highlight w:val="none"/>
          <w:lang w:val="en-US"/>
        </w:rPr>
        <w:t xml:space="preserve"> </w:t>
      </w:r>
      <w:r>
        <w:rPr>
          <w:rFonts w:hint="eastAsia" w:ascii="仿宋" w:hAnsi="仿宋" w:eastAsia="仿宋" w:cs="仿宋"/>
          <w:highlight w:val="none"/>
          <w:u w:val="single"/>
          <w:lang w:val="en-US"/>
        </w:rPr>
        <w:t xml:space="preserve">      </w:t>
      </w:r>
      <w:r>
        <w:rPr>
          <w:rFonts w:hint="eastAsia" w:ascii="仿宋" w:hAnsi="仿宋" w:eastAsia="仿宋" w:cs="仿宋"/>
          <w:highlight w:val="none"/>
        </w:rPr>
        <w:t>日</w:t>
      </w:r>
    </w:p>
    <w:p w14:paraId="79E1E5B4">
      <w:pPr>
        <w:rPr>
          <w:rFonts w:hint="eastAsia" w:ascii="仿宋" w:hAnsi="仿宋" w:eastAsia="仿宋" w:cs="仿宋"/>
          <w:highlight w:val="none"/>
        </w:rPr>
      </w:pPr>
    </w:p>
    <w:p w14:paraId="3FAE282E">
      <w:pPr>
        <w:rPr>
          <w:rFonts w:hint="eastAsia" w:ascii="仿宋" w:hAnsi="仿宋" w:eastAsia="仿宋" w:cs="仿宋"/>
          <w:b/>
          <w:sz w:val="24"/>
          <w:highlight w:val="none"/>
        </w:rPr>
      </w:pPr>
    </w:p>
    <w:p w14:paraId="751BD622">
      <w:pPr>
        <w:pStyle w:val="6"/>
        <w:rPr>
          <w:rFonts w:hint="eastAsia" w:ascii="仿宋" w:hAnsi="仿宋" w:eastAsia="仿宋" w:cs="仿宋"/>
          <w:highlight w:val="none"/>
        </w:rPr>
      </w:pPr>
    </w:p>
    <w:p w14:paraId="5091B7EC">
      <w:pPr>
        <w:spacing w:before="201"/>
        <w:jc w:val="center"/>
        <w:rPr>
          <w:rFonts w:hint="eastAsia" w:ascii="仿宋" w:hAnsi="仿宋" w:eastAsia="仿宋" w:cs="仿宋"/>
          <w:b/>
          <w:sz w:val="30"/>
          <w:highlight w:val="none"/>
        </w:rPr>
      </w:pPr>
      <w:r>
        <w:rPr>
          <w:rFonts w:hint="eastAsia" w:ascii="仿宋" w:hAnsi="仿宋" w:eastAsia="仿宋" w:cs="仿宋"/>
          <w:b/>
          <w:sz w:val="30"/>
          <w:highlight w:val="none"/>
        </w:rPr>
        <w:t>关于资格的声明函</w:t>
      </w:r>
    </w:p>
    <w:p w14:paraId="2FFD0B94">
      <w:pPr>
        <w:spacing w:before="199"/>
        <w:rPr>
          <w:rFonts w:hint="eastAsia" w:ascii="仿宋" w:hAnsi="仿宋" w:eastAsia="仿宋" w:cs="仿宋"/>
          <w:b/>
          <w:sz w:val="24"/>
          <w:highlight w:val="none"/>
        </w:rPr>
      </w:pPr>
      <w:r>
        <w:rPr>
          <w:rFonts w:hint="eastAsia" w:ascii="仿宋" w:hAnsi="仿宋" w:eastAsia="仿宋" w:cs="仿宋"/>
          <w:b/>
          <w:sz w:val="24"/>
          <w:highlight w:val="none"/>
        </w:rPr>
        <w:t>致：新疆华域建设工程项目管理咨询有限公司：</w:t>
      </w:r>
    </w:p>
    <w:p w14:paraId="42D3C228">
      <w:pPr>
        <w:pStyle w:val="9"/>
        <w:tabs>
          <w:tab w:val="left" w:pos="2797"/>
        </w:tabs>
        <w:spacing w:before="160" w:line="364" w:lineRule="auto"/>
        <w:ind w:left="0" w:firstLine="480"/>
        <w:jc w:val="both"/>
        <w:rPr>
          <w:rFonts w:hint="eastAsia" w:ascii="仿宋" w:hAnsi="仿宋" w:eastAsia="仿宋" w:cs="仿宋"/>
          <w:highlight w:val="none"/>
        </w:rPr>
      </w:pPr>
      <w:r>
        <w:rPr>
          <w:rFonts w:hint="eastAsia" w:ascii="仿宋" w:hAnsi="仿宋" w:eastAsia="仿宋" w:cs="仿宋"/>
          <w:highlight w:val="none"/>
        </w:rPr>
        <w:t>关 于 贵 方</w:t>
      </w:r>
      <w:r>
        <w:rPr>
          <w:rFonts w:hint="eastAsia" w:ascii="仿宋" w:hAnsi="仿宋" w:eastAsia="仿宋" w:cs="仿宋"/>
          <w:highlight w:val="none"/>
          <w:u w:val="single"/>
        </w:rPr>
        <w:t xml:space="preserve">    </w:t>
      </w:r>
      <w:r>
        <w:rPr>
          <w:rFonts w:hint="eastAsia" w:ascii="仿宋" w:hAnsi="仿宋" w:eastAsia="仿宋" w:cs="仿宋"/>
          <w:highlight w:val="none"/>
        </w:rPr>
        <w:t>年</w:t>
      </w:r>
      <w:r>
        <w:rPr>
          <w:rFonts w:hint="eastAsia" w:ascii="仿宋" w:hAnsi="仿宋" w:eastAsia="仿宋" w:cs="仿宋"/>
          <w:highlight w:val="none"/>
          <w:u w:val="single"/>
        </w:rPr>
        <w:t xml:space="preserve">     </w:t>
      </w:r>
      <w:r>
        <w:rPr>
          <w:rFonts w:hint="eastAsia" w:ascii="仿宋" w:hAnsi="仿宋" w:eastAsia="仿宋" w:cs="仿宋"/>
          <w:highlight w:val="none"/>
        </w:rPr>
        <w:t>月</w:t>
      </w:r>
      <w:r>
        <w:rPr>
          <w:rFonts w:hint="eastAsia" w:ascii="仿宋" w:hAnsi="仿宋" w:eastAsia="仿宋" w:cs="仿宋"/>
          <w:highlight w:val="none"/>
          <w:u w:val="single"/>
        </w:rPr>
        <w:t xml:space="preserve">     </w:t>
      </w:r>
      <w:r>
        <w:rPr>
          <w:rFonts w:hint="eastAsia" w:ascii="仿宋" w:hAnsi="仿宋" w:eastAsia="仿宋" w:cs="仿宋"/>
          <w:highlight w:val="none"/>
        </w:rPr>
        <w:t>日 第 （ 招 标 编 号 ） 招 标 公 告 关 于</w:t>
      </w:r>
      <w:r>
        <w:rPr>
          <w:rFonts w:hint="eastAsia" w:ascii="仿宋" w:hAnsi="仿宋" w:eastAsia="仿宋" w:cs="仿宋"/>
          <w:highlight w:val="none"/>
          <w:u w:val="single"/>
        </w:rPr>
        <w:t>“</w:t>
      </w:r>
      <w:r>
        <w:rPr>
          <w:rFonts w:hint="eastAsia" w:ascii="仿宋" w:hAnsi="仿宋" w:eastAsia="仿宋" w:cs="仿宋"/>
          <w:highlight w:val="none"/>
          <w:u w:val="single"/>
        </w:rPr>
        <w:tab/>
      </w:r>
      <w:r>
        <w:rPr>
          <w:rFonts w:hint="eastAsia" w:ascii="仿宋" w:hAnsi="仿宋" w:eastAsia="仿宋" w:cs="仿宋"/>
          <w:highlight w:val="none"/>
          <w:u w:val="single"/>
        </w:rPr>
        <w:t>”</w:t>
      </w:r>
      <w:r>
        <w:rPr>
          <w:rFonts w:hint="eastAsia" w:ascii="仿宋" w:hAnsi="仿宋" w:eastAsia="仿宋" w:cs="仿宋"/>
          <w:highlight w:val="none"/>
        </w:rPr>
        <w:t>的招标项目，本签字人愿意参加投标，并有能力提供</w:t>
      </w:r>
      <w:r>
        <w:rPr>
          <w:rFonts w:hint="eastAsia" w:ascii="仿宋" w:hAnsi="仿宋" w:eastAsia="仿宋" w:cs="仿宋"/>
          <w:highlight w:val="none"/>
          <w:u w:val="single"/>
        </w:rPr>
        <w:t xml:space="preserve"> （项目名称）    </w:t>
      </w:r>
      <w:r>
        <w:rPr>
          <w:rFonts w:hint="eastAsia" w:ascii="仿宋" w:hAnsi="仿宋" w:eastAsia="仿宋" w:cs="仿宋"/>
          <w:highlight w:val="none"/>
        </w:rPr>
        <w:t>项目中的（</w:t>
      </w:r>
      <w:r>
        <w:rPr>
          <w:rFonts w:hint="eastAsia" w:ascii="仿宋" w:hAnsi="仿宋" w:eastAsia="仿宋" w:cs="仿宋"/>
          <w:highlight w:val="none"/>
          <w:u w:val="single"/>
        </w:rPr>
        <w:t>包号及货物名称）</w:t>
      </w:r>
      <w:r>
        <w:rPr>
          <w:rFonts w:hint="eastAsia" w:ascii="仿宋" w:hAnsi="仿宋" w:eastAsia="仿宋" w:cs="仿宋"/>
          <w:highlight w:val="none"/>
        </w:rPr>
        <w:t>招标货物及相关服务，并保证所提交的所有文件和说明是真实和准确的。</w:t>
      </w:r>
    </w:p>
    <w:p w14:paraId="09AD3C76">
      <w:pPr>
        <w:pStyle w:val="9"/>
        <w:tabs>
          <w:tab w:val="left" w:pos="8376"/>
        </w:tabs>
        <w:spacing w:before="3"/>
        <w:ind w:left="0"/>
        <w:jc w:val="both"/>
        <w:rPr>
          <w:rFonts w:hint="eastAsia" w:ascii="仿宋" w:hAnsi="仿宋" w:eastAsia="仿宋" w:cs="仿宋"/>
          <w:highlight w:val="none"/>
        </w:rPr>
      </w:pPr>
      <w:r>
        <w:rPr>
          <w:rFonts w:hint="eastAsia" w:ascii="仿宋" w:hAnsi="仿宋" w:eastAsia="仿宋" w:cs="仿宋"/>
          <w:highlight w:val="none"/>
        </w:rPr>
        <w:t>投标人（盖章）：</w:t>
      </w:r>
      <w:r>
        <w:rPr>
          <w:rFonts w:hint="eastAsia" w:ascii="仿宋" w:hAnsi="仿宋" w:eastAsia="仿宋" w:cs="仿宋"/>
          <w:highlight w:val="none"/>
          <w:u w:val="single"/>
        </w:rPr>
        <w:t xml:space="preserve"> 投标人名称</w:t>
      </w:r>
      <w:r>
        <w:rPr>
          <w:rFonts w:hint="eastAsia" w:ascii="仿宋" w:hAnsi="仿宋" w:eastAsia="仿宋" w:cs="仿宋"/>
          <w:highlight w:val="none"/>
          <w:u w:val="single"/>
        </w:rPr>
        <w:tab/>
      </w:r>
    </w:p>
    <w:p w14:paraId="2C9594D3">
      <w:pPr>
        <w:pStyle w:val="9"/>
        <w:spacing w:before="9"/>
        <w:ind w:left="0"/>
        <w:rPr>
          <w:rFonts w:hint="eastAsia" w:ascii="仿宋" w:hAnsi="仿宋" w:eastAsia="仿宋" w:cs="仿宋"/>
          <w:sz w:val="16"/>
          <w:highlight w:val="none"/>
        </w:rPr>
      </w:pPr>
    </w:p>
    <w:p w14:paraId="62B35F64">
      <w:pPr>
        <w:pStyle w:val="9"/>
        <w:spacing w:before="67"/>
        <w:ind w:left="0"/>
        <w:rPr>
          <w:rFonts w:hint="eastAsia" w:ascii="仿宋" w:hAnsi="仿宋" w:eastAsia="仿宋" w:cs="仿宋"/>
          <w:highlight w:val="none"/>
        </w:rPr>
      </w:pPr>
      <w:r>
        <w:rPr>
          <w:rFonts w:hint="eastAsia" w:ascii="仿宋" w:hAnsi="仿宋" w:eastAsia="仿宋" w:cs="仿宋"/>
          <w:highlight w:val="none"/>
        </w:rPr>
        <w:t>授权签署本资格文件人（签字）：</w:t>
      </w:r>
      <w:r>
        <w:rPr>
          <w:rFonts w:hint="eastAsia" w:ascii="仿宋" w:hAnsi="仿宋" w:eastAsia="仿宋" w:cs="仿宋"/>
          <w:highlight w:val="none"/>
          <w:u w:val="single"/>
        </w:rPr>
        <w:t>授权人姓名、职务</w:t>
      </w:r>
    </w:p>
    <w:p w14:paraId="3814A089">
      <w:pPr>
        <w:pStyle w:val="9"/>
        <w:spacing w:before="9"/>
        <w:ind w:left="0"/>
        <w:rPr>
          <w:rFonts w:hint="eastAsia" w:ascii="仿宋" w:hAnsi="仿宋" w:eastAsia="仿宋" w:cs="仿宋"/>
          <w:sz w:val="16"/>
          <w:highlight w:val="none"/>
        </w:rPr>
      </w:pPr>
    </w:p>
    <w:p w14:paraId="79C6E27A">
      <w:pPr>
        <w:pStyle w:val="9"/>
        <w:spacing w:before="67"/>
        <w:ind w:left="0"/>
        <w:rPr>
          <w:rFonts w:hint="eastAsia" w:ascii="仿宋" w:hAnsi="仿宋" w:eastAsia="仿宋" w:cs="仿宋"/>
          <w:highlight w:val="none"/>
        </w:rPr>
      </w:pPr>
      <w:r>
        <w:rPr>
          <w:rFonts w:hint="eastAsia" w:ascii="仿宋" w:hAnsi="仿宋" w:eastAsia="仿宋" w:cs="仿宋"/>
          <w:highlight w:val="none"/>
        </w:rPr>
        <w:t>签字人姓名、职务：</w:t>
      </w:r>
      <w:r>
        <w:rPr>
          <w:rFonts w:hint="eastAsia" w:ascii="仿宋" w:hAnsi="仿宋" w:eastAsia="仿宋" w:cs="仿宋"/>
          <w:highlight w:val="none"/>
          <w:u w:val="single"/>
        </w:rPr>
        <w:t>被授权人姓名、职务</w:t>
      </w:r>
    </w:p>
    <w:p w14:paraId="0972DD81">
      <w:pPr>
        <w:pStyle w:val="9"/>
        <w:spacing w:before="9"/>
        <w:ind w:left="0"/>
        <w:rPr>
          <w:rFonts w:hint="eastAsia" w:ascii="仿宋" w:hAnsi="仿宋" w:eastAsia="仿宋" w:cs="仿宋"/>
          <w:sz w:val="16"/>
          <w:highlight w:val="none"/>
        </w:rPr>
      </w:pPr>
    </w:p>
    <w:p w14:paraId="74CBAC62">
      <w:pPr>
        <w:pStyle w:val="9"/>
        <w:tabs>
          <w:tab w:val="left" w:pos="6479"/>
        </w:tabs>
        <w:spacing w:before="66"/>
        <w:ind w:left="0"/>
        <w:jc w:val="center"/>
        <w:rPr>
          <w:rFonts w:hint="eastAsia" w:ascii="仿宋" w:hAnsi="仿宋" w:eastAsia="仿宋" w:cs="仿宋"/>
          <w:highlight w:val="none"/>
        </w:rPr>
      </w:pPr>
      <w:r>
        <w:rPr>
          <w:rFonts w:hint="eastAsia" w:ascii="仿宋" w:hAnsi="仿宋" w:eastAsia="仿宋" w:cs="仿宋"/>
          <w:highlight w:val="none"/>
        </w:rPr>
        <w:t>地址：</w:t>
      </w:r>
      <w:r>
        <w:rPr>
          <w:rFonts w:hint="eastAsia" w:ascii="仿宋" w:hAnsi="仿宋" w:eastAsia="仿宋" w:cs="仿宋"/>
          <w:highlight w:val="none"/>
          <w:u w:val="single"/>
        </w:rPr>
        <w:t>投标人地址</w:t>
      </w:r>
      <w:r>
        <w:rPr>
          <w:rFonts w:hint="eastAsia" w:ascii="仿宋" w:hAnsi="仿宋" w:eastAsia="仿宋" w:cs="仿宋"/>
          <w:highlight w:val="none"/>
          <w:u w:val="single"/>
        </w:rPr>
        <w:tab/>
      </w:r>
    </w:p>
    <w:p w14:paraId="40222AE9">
      <w:pPr>
        <w:pStyle w:val="9"/>
        <w:spacing w:before="2"/>
        <w:ind w:left="0"/>
        <w:rPr>
          <w:rFonts w:hint="eastAsia" w:ascii="仿宋" w:hAnsi="仿宋" w:eastAsia="仿宋" w:cs="仿宋"/>
          <w:sz w:val="16"/>
          <w:highlight w:val="none"/>
        </w:rPr>
      </w:pPr>
    </w:p>
    <w:p w14:paraId="13643707">
      <w:pPr>
        <w:pStyle w:val="9"/>
        <w:tabs>
          <w:tab w:val="left" w:pos="1979"/>
          <w:tab w:val="left" w:pos="4379"/>
          <w:tab w:val="left" w:pos="4679"/>
          <w:tab w:val="left" w:pos="6539"/>
        </w:tabs>
        <w:spacing w:before="74"/>
        <w:ind w:left="0"/>
        <w:jc w:val="center"/>
        <w:rPr>
          <w:rFonts w:hint="eastAsia" w:ascii="仿宋" w:hAnsi="仿宋" w:eastAsia="仿宋" w:cs="仿宋"/>
          <w:highlight w:val="none"/>
        </w:rPr>
      </w:pPr>
      <w:r>
        <w:rPr>
          <w:rFonts w:hint="eastAsia" w:ascii="仿宋" w:hAnsi="仿宋" w:eastAsia="仿宋" w:cs="仿宋"/>
          <w:highlight w:val="none"/>
        </w:rPr>
        <w:t>传真：</w:t>
      </w:r>
      <w:r>
        <w:rPr>
          <w:rFonts w:hint="eastAsia" w:ascii="仿宋" w:hAnsi="仿宋" w:eastAsia="仿宋" w:cs="仿宋"/>
          <w:highlight w:val="none"/>
          <w:u w:val="single"/>
        </w:rPr>
        <w:t xml:space="preserve"> </w:t>
      </w:r>
      <w:r>
        <w:rPr>
          <w:rFonts w:hint="eastAsia" w:ascii="仿宋" w:hAnsi="仿宋" w:eastAsia="仿宋" w:cs="仿宋"/>
          <w:highlight w:val="none"/>
          <w:u w:val="single"/>
        </w:rPr>
        <w:tab/>
      </w:r>
      <w:r>
        <w:rPr>
          <w:rFonts w:hint="eastAsia" w:ascii="仿宋" w:hAnsi="仿宋" w:eastAsia="仿宋" w:cs="仿宋"/>
          <w:highlight w:val="none"/>
        </w:rPr>
        <w:t>电话：</w:t>
      </w:r>
      <w:r>
        <w:rPr>
          <w:rFonts w:hint="eastAsia" w:ascii="仿宋" w:hAnsi="仿宋" w:eastAsia="仿宋" w:cs="仿宋"/>
          <w:highlight w:val="none"/>
          <w:u w:val="single"/>
        </w:rPr>
        <w:t xml:space="preserve"> </w:t>
      </w:r>
      <w:r>
        <w:rPr>
          <w:rFonts w:hint="eastAsia" w:ascii="仿宋" w:hAnsi="仿宋" w:eastAsia="仿宋" w:cs="仿宋"/>
          <w:highlight w:val="none"/>
          <w:u w:val="single"/>
        </w:rPr>
        <w:tab/>
      </w:r>
      <w:r>
        <w:rPr>
          <w:rFonts w:hint="eastAsia" w:ascii="仿宋" w:hAnsi="仿宋" w:eastAsia="仿宋" w:cs="仿宋"/>
          <w:highlight w:val="none"/>
        </w:rPr>
        <w:tab/>
      </w:r>
      <w:r>
        <w:rPr>
          <w:rFonts w:hint="eastAsia" w:ascii="仿宋" w:hAnsi="仿宋" w:eastAsia="仿宋" w:cs="仿宋"/>
          <w:highlight w:val="none"/>
        </w:rPr>
        <w:t>邮编：</w:t>
      </w:r>
      <w:r>
        <w:rPr>
          <w:rFonts w:hint="eastAsia" w:ascii="仿宋" w:hAnsi="仿宋" w:eastAsia="仿宋" w:cs="仿宋"/>
          <w:highlight w:val="none"/>
          <w:u w:val="single"/>
        </w:rPr>
        <w:t xml:space="preserve"> </w:t>
      </w:r>
      <w:r>
        <w:rPr>
          <w:rFonts w:hint="eastAsia" w:ascii="仿宋" w:hAnsi="仿宋" w:eastAsia="仿宋" w:cs="仿宋"/>
          <w:highlight w:val="none"/>
          <w:u w:val="single"/>
        </w:rPr>
        <w:tab/>
      </w:r>
    </w:p>
    <w:p w14:paraId="103078FC">
      <w:pPr>
        <w:pStyle w:val="9"/>
        <w:spacing w:before="0"/>
        <w:ind w:left="0"/>
        <w:rPr>
          <w:rFonts w:hint="eastAsia" w:ascii="仿宋" w:hAnsi="仿宋" w:eastAsia="仿宋" w:cs="仿宋"/>
          <w:sz w:val="20"/>
          <w:highlight w:val="none"/>
        </w:rPr>
      </w:pPr>
    </w:p>
    <w:p w14:paraId="35F3D889">
      <w:pPr>
        <w:pStyle w:val="9"/>
        <w:spacing w:before="0"/>
        <w:ind w:left="0"/>
        <w:rPr>
          <w:rFonts w:hint="eastAsia" w:ascii="仿宋" w:hAnsi="仿宋" w:eastAsia="仿宋" w:cs="仿宋"/>
          <w:sz w:val="20"/>
          <w:highlight w:val="none"/>
        </w:rPr>
      </w:pPr>
    </w:p>
    <w:p w14:paraId="7A9602FC">
      <w:pPr>
        <w:pStyle w:val="9"/>
        <w:ind w:left="0"/>
        <w:rPr>
          <w:rFonts w:hint="eastAsia" w:ascii="仿宋" w:hAnsi="仿宋" w:eastAsia="仿宋" w:cs="仿宋"/>
          <w:sz w:val="29"/>
          <w:highlight w:val="none"/>
        </w:rPr>
      </w:pPr>
    </w:p>
    <w:p w14:paraId="5A3AEC74">
      <w:pPr>
        <w:tabs>
          <w:tab w:val="left" w:pos="7232"/>
        </w:tabs>
        <w:spacing w:before="74"/>
        <w:rPr>
          <w:rFonts w:hint="eastAsia" w:ascii="仿宋" w:hAnsi="仿宋" w:eastAsia="仿宋" w:cs="仿宋"/>
          <w:sz w:val="26"/>
          <w:highlight w:val="none"/>
        </w:rPr>
      </w:pPr>
      <w:r>
        <w:rPr>
          <w:rFonts w:hint="eastAsia" w:ascii="仿宋" w:hAnsi="仿宋" w:eastAsia="仿宋" w:cs="仿宋"/>
          <w:b/>
          <w:sz w:val="24"/>
          <w:highlight w:val="none"/>
        </w:rPr>
        <w:t>声明日期：</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u w:val="single"/>
          <w:lang w:val="en-US"/>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rPr>
        <w:t xml:space="preserve"> </w:t>
      </w:r>
      <w:r>
        <w:rPr>
          <w:rFonts w:hint="eastAsia" w:ascii="仿宋" w:hAnsi="仿宋" w:eastAsia="仿宋" w:cs="仿宋"/>
          <w:sz w:val="24"/>
          <w:highlight w:val="none"/>
        </w:rPr>
        <w:t>日</w:t>
      </w:r>
    </w:p>
    <w:p w14:paraId="0713E09D">
      <w:pPr>
        <w:pStyle w:val="9"/>
        <w:spacing w:before="0"/>
        <w:ind w:left="0"/>
        <w:rPr>
          <w:rFonts w:hint="eastAsia" w:ascii="仿宋" w:hAnsi="仿宋" w:eastAsia="仿宋" w:cs="仿宋"/>
          <w:sz w:val="23"/>
          <w:highlight w:val="none"/>
        </w:rPr>
      </w:pPr>
    </w:p>
    <w:p w14:paraId="06287AB1">
      <w:pPr>
        <w:rPr>
          <w:rFonts w:hint="eastAsia" w:ascii="仿宋" w:hAnsi="仿宋" w:eastAsia="仿宋" w:cs="仿宋"/>
          <w:sz w:val="23"/>
          <w:highlight w:val="none"/>
        </w:rPr>
      </w:pPr>
    </w:p>
    <w:p w14:paraId="33FE8AF5">
      <w:pPr>
        <w:keepNext/>
        <w:keepLines/>
        <w:spacing w:line="360" w:lineRule="auto"/>
        <w:jc w:val="center"/>
        <w:rPr>
          <w:rFonts w:hint="eastAsia" w:ascii="仿宋" w:hAnsi="仿宋" w:eastAsia="仿宋" w:cs="仿宋"/>
          <w:sz w:val="28"/>
          <w:highlight w:val="none"/>
          <w:lang w:val="en-US"/>
        </w:rPr>
      </w:pPr>
      <w:r>
        <w:rPr>
          <w:rFonts w:hint="eastAsia" w:ascii="仿宋" w:hAnsi="仿宋" w:eastAsia="仿宋" w:cs="仿宋"/>
          <w:highlight w:val="none"/>
        </w:rPr>
        <w:br w:type="page"/>
      </w:r>
      <w:r>
        <w:rPr>
          <w:rFonts w:hint="eastAsia" w:ascii="仿宋" w:hAnsi="仿宋" w:eastAsia="仿宋" w:cs="仿宋"/>
          <w:b/>
          <w:sz w:val="30"/>
          <w:highlight w:val="none"/>
        </w:rPr>
        <w:t>具备履行合同所必需的设备和专业技术能力的书面声明</w:t>
      </w:r>
    </w:p>
    <w:p w14:paraId="78B8514A">
      <w:pPr>
        <w:spacing w:before="156" w:after="156" w:line="300" w:lineRule="atLeast"/>
        <w:ind w:firstLine="492"/>
        <w:jc w:val="both"/>
        <w:rPr>
          <w:rFonts w:hint="eastAsia" w:ascii="仿宋" w:hAnsi="仿宋" w:eastAsia="仿宋" w:cs="仿宋"/>
          <w:b/>
          <w:sz w:val="24"/>
          <w:highlight w:val="none"/>
        </w:rPr>
      </w:pPr>
      <w:r>
        <w:rPr>
          <w:rFonts w:hint="eastAsia" w:ascii="仿宋" w:hAnsi="仿宋" w:eastAsia="仿宋" w:cs="仿宋"/>
          <w:b/>
          <w:sz w:val="24"/>
          <w:highlight w:val="none"/>
        </w:rPr>
        <w:t>致：招标人</w:t>
      </w:r>
    </w:p>
    <w:p w14:paraId="5586D805">
      <w:pPr>
        <w:spacing w:before="156" w:after="156" w:line="300" w:lineRule="atLeast"/>
        <w:ind w:firstLine="492"/>
        <w:jc w:val="both"/>
        <w:rPr>
          <w:rFonts w:hint="eastAsia" w:ascii="仿宋" w:hAnsi="仿宋" w:eastAsia="仿宋" w:cs="仿宋"/>
          <w:sz w:val="24"/>
          <w:highlight w:val="none"/>
        </w:rPr>
      </w:pPr>
      <w:r>
        <w:rPr>
          <w:rFonts w:hint="eastAsia" w:ascii="仿宋" w:hAnsi="仿宋" w:eastAsia="仿宋" w:cs="仿宋"/>
          <w:sz w:val="24"/>
          <w:highlight w:val="none"/>
        </w:rPr>
        <w:t>我单位郑重声明：我单位具备履行本项采购合同所必需的设备和专业技术能力，为履行本项采购合同我公司具备如下主要设备和主要专业技术能力：</w:t>
      </w:r>
    </w:p>
    <w:p w14:paraId="4D45EF20">
      <w:pPr>
        <w:spacing w:before="156" w:after="156" w:line="300" w:lineRule="atLeast"/>
        <w:ind w:firstLine="492"/>
        <w:jc w:val="both"/>
        <w:rPr>
          <w:rFonts w:hint="eastAsia" w:ascii="仿宋" w:hAnsi="仿宋" w:eastAsia="仿宋" w:cs="仿宋"/>
          <w:sz w:val="24"/>
          <w:highlight w:val="none"/>
        </w:rPr>
      </w:pPr>
      <w:r>
        <w:rPr>
          <w:rFonts w:hint="eastAsia" w:ascii="仿宋" w:hAnsi="仿宋" w:eastAsia="仿宋" w:cs="仿宋"/>
          <w:sz w:val="24"/>
          <w:highlight w:val="none"/>
        </w:rPr>
        <w:t>主要设备有：</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0FE68A21">
      <w:pPr>
        <w:spacing w:before="156" w:after="156" w:line="300" w:lineRule="atLeast"/>
        <w:ind w:firstLine="492"/>
        <w:jc w:val="both"/>
        <w:rPr>
          <w:rFonts w:hint="eastAsia" w:ascii="仿宋" w:hAnsi="仿宋" w:eastAsia="仿宋" w:cs="仿宋"/>
          <w:sz w:val="24"/>
          <w:highlight w:val="none"/>
        </w:rPr>
      </w:pPr>
      <w:r>
        <w:rPr>
          <w:rFonts w:hint="eastAsia" w:ascii="仿宋" w:hAnsi="仿宋" w:eastAsia="仿宋" w:cs="仿宋"/>
          <w:sz w:val="24"/>
          <w:highlight w:val="none"/>
        </w:rPr>
        <w:t>主要专业技术能力有：</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p>
    <w:p w14:paraId="73A7E930">
      <w:pPr>
        <w:spacing w:before="156" w:after="156" w:line="300" w:lineRule="atLeast"/>
        <w:ind w:left="5760" w:hanging="720"/>
        <w:rPr>
          <w:rFonts w:hint="eastAsia" w:ascii="仿宋" w:hAnsi="仿宋" w:eastAsia="仿宋" w:cs="仿宋"/>
          <w:sz w:val="24"/>
          <w:highlight w:val="none"/>
        </w:rPr>
      </w:pPr>
      <w:r>
        <w:rPr>
          <w:rFonts w:hint="eastAsia" w:ascii="仿宋" w:hAnsi="仿宋" w:eastAsia="仿宋" w:cs="仿宋"/>
          <w:sz w:val="24"/>
          <w:highlight w:val="none"/>
        </w:rPr>
        <w:t xml:space="preserve">                                     投标人名称（盖章）： </w:t>
      </w:r>
    </w:p>
    <w:p w14:paraId="461CEC71">
      <w:pPr>
        <w:spacing w:before="156" w:after="156" w:line="300" w:lineRule="atLeast"/>
        <w:ind w:firstLine="5775"/>
        <w:jc w:val="both"/>
        <w:rPr>
          <w:rFonts w:hint="eastAsia" w:ascii="仿宋" w:hAnsi="仿宋" w:eastAsia="仿宋" w:cs="仿宋"/>
          <w:sz w:val="24"/>
          <w:highlight w:val="none"/>
        </w:rPr>
      </w:pPr>
      <w:r>
        <w:rPr>
          <w:rFonts w:hint="eastAsia" w:ascii="仿宋" w:hAnsi="仿宋" w:eastAsia="仿宋" w:cs="仿宋"/>
          <w:sz w:val="21"/>
          <w:highlight w:val="none"/>
        </w:rPr>
        <w:t>______年____月____日</w:t>
      </w:r>
    </w:p>
    <w:p w14:paraId="786D9CE9">
      <w:pPr>
        <w:spacing w:before="156" w:after="156" w:line="300" w:lineRule="atLeast"/>
        <w:jc w:val="both"/>
        <w:rPr>
          <w:rFonts w:hint="eastAsia" w:ascii="仿宋" w:hAnsi="仿宋" w:eastAsia="仿宋" w:cs="仿宋"/>
          <w:sz w:val="24"/>
          <w:highlight w:val="none"/>
        </w:rPr>
      </w:pPr>
    </w:p>
    <w:p w14:paraId="31B913ED">
      <w:pPr>
        <w:rPr>
          <w:rFonts w:hint="eastAsia" w:ascii="仿宋" w:hAnsi="仿宋" w:eastAsia="仿宋" w:cs="仿宋"/>
          <w:sz w:val="30"/>
          <w:highlight w:val="none"/>
        </w:rPr>
      </w:pPr>
    </w:p>
    <w:p w14:paraId="1C7CF9D3">
      <w:pPr>
        <w:spacing w:before="156" w:after="156" w:line="300" w:lineRule="atLeast"/>
        <w:jc w:val="both"/>
        <w:rPr>
          <w:rFonts w:hint="eastAsia" w:ascii="仿宋" w:hAnsi="仿宋" w:eastAsia="仿宋" w:cs="仿宋"/>
          <w:sz w:val="24"/>
          <w:highlight w:val="none"/>
        </w:rPr>
      </w:pPr>
    </w:p>
    <w:p w14:paraId="745AA200">
      <w:pPr>
        <w:keepNext/>
        <w:keepLines/>
        <w:spacing w:line="360" w:lineRule="auto"/>
        <w:jc w:val="center"/>
        <w:rPr>
          <w:rFonts w:hint="eastAsia" w:ascii="仿宋" w:hAnsi="仿宋" w:eastAsia="仿宋" w:cs="仿宋"/>
          <w:b/>
          <w:sz w:val="30"/>
          <w:highlight w:val="none"/>
          <w:lang w:val="en-US"/>
        </w:rPr>
      </w:pPr>
      <w:r>
        <w:rPr>
          <w:rFonts w:hint="eastAsia" w:ascii="仿宋" w:hAnsi="仿宋" w:eastAsia="仿宋" w:cs="仿宋"/>
          <w:b/>
          <w:sz w:val="30"/>
          <w:highlight w:val="none"/>
        </w:rPr>
        <w:t>参加政府采购活动前</w:t>
      </w:r>
      <w:r>
        <w:rPr>
          <w:rFonts w:hint="eastAsia" w:ascii="仿宋" w:hAnsi="仿宋" w:eastAsia="仿宋" w:cs="仿宋"/>
          <w:b/>
          <w:sz w:val="30"/>
          <w:highlight w:val="none"/>
          <w:lang w:val="en-US"/>
        </w:rPr>
        <w:t xml:space="preserve"> 3 </w:t>
      </w:r>
      <w:r>
        <w:rPr>
          <w:rFonts w:hint="eastAsia" w:ascii="仿宋" w:hAnsi="仿宋" w:eastAsia="仿宋" w:cs="仿宋"/>
          <w:b/>
          <w:sz w:val="30"/>
          <w:highlight w:val="none"/>
        </w:rPr>
        <w:t>年内在经营活动中没有重大违法记录的</w:t>
      </w:r>
    </w:p>
    <w:p w14:paraId="3709B0B3">
      <w:pPr>
        <w:keepNext/>
        <w:keepLines/>
        <w:spacing w:line="360" w:lineRule="auto"/>
        <w:jc w:val="center"/>
        <w:rPr>
          <w:rFonts w:hint="eastAsia" w:ascii="仿宋" w:hAnsi="仿宋" w:eastAsia="仿宋" w:cs="仿宋"/>
          <w:b/>
          <w:sz w:val="30"/>
          <w:highlight w:val="none"/>
          <w:lang w:val="en-US"/>
        </w:rPr>
      </w:pPr>
      <w:r>
        <w:rPr>
          <w:rFonts w:hint="eastAsia" w:ascii="仿宋" w:hAnsi="仿宋" w:eastAsia="仿宋" w:cs="仿宋"/>
          <w:b/>
          <w:sz w:val="30"/>
          <w:highlight w:val="none"/>
        </w:rPr>
        <w:t>书面声明</w:t>
      </w:r>
    </w:p>
    <w:p w14:paraId="4D72659F">
      <w:pPr>
        <w:jc w:val="both"/>
        <w:rPr>
          <w:rFonts w:hint="eastAsia" w:ascii="仿宋" w:hAnsi="仿宋" w:eastAsia="仿宋" w:cs="仿宋"/>
          <w:sz w:val="28"/>
          <w:highlight w:val="none"/>
          <w:lang w:val="en-US"/>
        </w:rPr>
      </w:pPr>
    </w:p>
    <w:p w14:paraId="2EE6C08A">
      <w:pPr>
        <w:spacing w:before="156" w:after="156" w:line="300" w:lineRule="atLeast"/>
        <w:jc w:val="both"/>
        <w:rPr>
          <w:rFonts w:hint="eastAsia" w:ascii="仿宋" w:hAnsi="仿宋" w:eastAsia="仿宋" w:cs="仿宋"/>
          <w:sz w:val="24"/>
          <w:highlight w:val="none"/>
        </w:rPr>
      </w:pPr>
      <w:r>
        <w:rPr>
          <w:rFonts w:hint="eastAsia" w:ascii="仿宋" w:hAnsi="仿宋" w:eastAsia="仿宋" w:cs="仿宋"/>
          <w:b/>
          <w:sz w:val="24"/>
          <w:highlight w:val="none"/>
        </w:rPr>
        <w:t xml:space="preserve">    </w:t>
      </w:r>
      <w:r>
        <w:rPr>
          <w:rFonts w:hint="eastAsia" w:ascii="仿宋" w:hAnsi="仿宋" w:eastAsia="仿宋" w:cs="仿宋"/>
          <w:sz w:val="24"/>
          <w:highlight w:val="none"/>
        </w:rPr>
        <w:t>我单位郑重声明：参加本次政府采购活动前 3 年内，我单位在经营活动中没有因违法经营受到刑事处罚或者责令停产停业、吊销许可证或者执照、较大数额罚款等行政处罚。</w:t>
      </w:r>
    </w:p>
    <w:p w14:paraId="27982A99">
      <w:pPr>
        <w:spacing w:before="156" w:after="156" w:line="300" w:lineRule="atLeast"/>
        <w:jc w:val="both"/>
        <w:rPr>
          <w:rFonts w:hint="eastAsia" w:ascii="仿宋" w:hAnsi="仿宋" w:eastAsia="仿宋" w:cs="仿宋"/>
          <w:sz w:val="24"/>
          <w:highlight w:val="none"/>
        </w:rPr>
      </w:pPr>
    </w:p>
    <w:p w14:paraId="716BCB89">
      <w:pPr>
        <w:spacing w:before="156" w:after="156" w:line="300" w:lineRule="atLeast"/>
        <w:ind w:left="420" w:firstLine="5280"/>
        <w:rPr>
          <w:rFonts w:hint="eastAsia" w:ascii="仿宋" w:hAnsi="仿宋" w:eastAsia="仿宋" w:cs="仿宋"/>
          <w:sz w:val="24"/>
          <w:highlight w:val="none"/>
        </w:rPr>
      </w:pPr>
      <w:r>
        <w:rPr>
          <w:rFonts w:hint="eastAsia" w:ascii="仿宋" w:hAnsi="仿宋" w:eastAsia="仿宋" w:cs="仿宋"/>
          <w:sz w:val="24"/>
          <w:highlight w:val="none"/>
        </w:rPr>
        <w:t xml:space="preserve">投标人名称（盖章）： </w:t>
      </w:r>
    </w:p>
    <w:p w14:paraId="211763AB">
      <w:pPr>
        <w:spacing w:before="156" w:after="156" w:line="300" w:lineRule="atLeast"/>
        <w:ind w:firstLine="5775"/>
        <w:jc w:val="both"/>
        <w:rPr>
          <w:rFonts w:hint="eastAsia" w:ascii="仿宋" w:hAnsi="仿宋" w:eastAsia="仿宋" w:cs="仿宋"/>
          <w:sz w:val="24"/>
          <w:highlight w:val="none"/>
        </w:rPr>
      </w:pPr>
      <w:r>
        <w:rPr>
          <w:rFonts w:hint="eastAsia" w:ascii="仿宋" w:hAnsi="仿宋" w:eastAsia="仿宋" w:cs="仿宋"/>
          <w:sz w:val="21"/>
          <w:highlight w:val="none"/>
        </w:rPr>
        <w:t>______年____月____日</w:t>
      </w:r>
    </w:p>
    <w:p w14:paraId="6EB4DDEC">
      <w:pPr>
        <w:pStyle w:val="9"/>
        <w:spacing w:before="0"/>
        <w:ind w:left="0"/>
        <w:rPr>
          <w:rFonts w:hint="eastAsia" w:ascii="仿宋" w:hAnsi="仿宋" w:eastAsia="仿宋" w:cs="仿宋"/>
          <w:sz w:val="23"/>
          <w:highlight w:val="none"/>
        </w:rPr>
      </w:pPr>
    </w:p>
    <w:p w14:paraId="4CFBE469">
      <w:pPr>
        <w:rPr>
          <w:rFonts w:hint="eastAsia" w:ascii="仿宋" w:hAnsi="仿宋" w:eastAsia="仿宋" w:cs="仿宋"/>
          <w:sz w:val="23"/>
          <w:highlight w:val="none"/>
        </w:rPr>
      </w:pPr>
    </w:p>
    <w:p w14:paraId="04C6D807">
      <w:pPr>
        <w:rPr>
          <w:rFonts w:hint="eastAsia" w:ascii="仿宋" w:hAnsi="仿宋" w:eastAsia="仿宋" w:cs="仿宋"/>
          <w:highlight w:val="none"/>
        </w:rPr>
      </w:pPr>
    </w:p>
    <w:p w14:paraId="5F336DD4">
      <w:pPr>
        <w:rPr>
          <w:rFonts w:hint="eastAsia" w:ascii="仿宋" w:hAnsi="仿宋" w:eastAsia="仿宋" w:cs="仿宋"/>
          <w:sz w:val="23"/>
          <w:highlight w:val="none"/>
        </w:rPr>
      </w:pPr>
    </w:p>
    <w:p w14:paraId="5CA09A6D">
      <w:pPr>
        <w:rPr>
          <w:rFonts w:hint="eastAsia" w:ascii="仿宋" w:hAnsi="仿宋" w:eastAsia="仿宋" w:cs="仿宋"/>
          <w:highlight w:val="none"/>
        </w:rPr>
        <w:sectPr>
          <w:pgSz w:w="11910" w:h="16840"/>
          <w:pgMar w:top="1420" w:right="1134" w:bottom="1180" w:left="1160" w:header="878" w:footer="993" w:gutter="0"/>
          <w:cols w:space="720" w:num="1"/>
        </w:sectPr>
      </w:pPr>
    </w:p>
    <w:p w14:paraId="69DD0D44">
      <w:pPr>
        <w:spacing w:before="199"/>
        <w:jc w:val="center"/>
        <w:rPr>
          <w:rFonts w:hint="eastAsia" w:ascii="仿宋" w:hAnsi="仿宋" w:eastAsia="仿宋" w:cs="仿宋"/>
          <w:b/>
          <w:sz w:val="30"/>
          <w:highlight w:val="none"/>
        </w:rPr>
      </w:pPr>
      <w:r>
        <w:rPr>
          <w:rFonts w:hint="eastAsia" w:ascii="仿宋" w:hAnsi="仿宋" w:eastAsia="仿宋" w:cs="仿宋"/>
          <w:b/>
          <w:sz w:val="30"/>
          <w:highlight w:val="none"/>
          <w:lang w:val="en-US"/>
        </w:rPr>
        <w:t>类似</w:t>
      </w:r>
      <w:r>
        <w:rPr>
          <w:rFonts w:hint="eastAsia" w:ascii="仿宋" w:hAnsi="仿宋" w:eastAsia="仿宋" w:cs="仿宋"/>
          <w:b/>
          <w:sz w:val="30"/>
          <w:highlight w:val="none"/>
        </w:rPr>
        <w:t>项目业绩表</w:t>
      </w:r>
    </w:p>
    <w:p w14:paraId="1260E5FB">
      <w:pPr>
        <w:tabs>
          <w:tab w:val="left" w:pos="6529"/>
          <w:tab w:val="left" w:pos="9015"/>
        </w:tabs>
        <w:spacing w:before="201"/>
        <w:rPr>
          <w:rFonts w:hint="eastAsia" w:ascii="仿宋" w:hAnsi="仿宋" w:eastAsia="仿宋" w:cs="仿宋"/>
          <w:b/>
          <w:sz w:val="24"/>
          <w:highlight w:val="none"/>
        </w:rPr>
      </w:pPr>
      <w:r>
        <w:rPr>
          <w:rFonts w:hint="eastAsia" w:ascii="仿宋" w:hAnsi="仿宋" w:eastAsia="仿宋" w:cs="仿宋"/>
          <w:b/>
          <w:sz w:val="24"/>
          <w:highlight w:val="none"/>
        </w:rPr>
        <w:t>投标人名称  ：</w:t>
      </w:r>
      <w:r>
        <w:rPr>
          <w:rFonts w:hint="eastAsia" w:ascii="仿宋" w:hAnsi="仿宋" w:eastAsia="仿宋" w:cs="仿宋"/>
          <w:b/>
          <w:sz w:val="24"/>
          <w:highlight w:val="none"/>
        </w:rPr>
        <w:tab/>
      </w:r>
      <w:r>
        <w:rPr>
          <w:rFonts w:hint="eastAsia" w:ascii="仿宋" w:hAnsi="仿宋" w:eastAsia="仿宋" w:cs="仿宋"/>
          <w:b/>
          <w:sz w:val="24"/>
          <w:highlight w:val="none"/>
        </w:rPr>
        <w:t>项目编号：</w:t>
      </w:r>
      <w:r>
        <w:rPr>
          <w:rFonts w:hint="eastAsia" w:ascii="仿宋" w:hAnsi="仿宋" w:eastAsia="仿宋" w:cs="仿宋"/>
          <w:b/>
          <w:sz w:val="24"/>
          <w:highlight w:val="none"/>
        </w:rPr>
        <w:tab/>
      </w:r>
    </w:p>
    <w:p w14:paraId="73A60B1A">
      <w:pPr>
        <w:pStyle w:val="9"/>
        <w:spacing w:before="3"/>
        <w:ind w:left="0"/>
        <w:rPr>
          <w:rFonts w:hint="eastAsia" w:ascii="仿宋" w:hAnsi="仿宋" w:eastAsia="仿宋" w:cs="仿宋"/>
          <w:b/>
          <w:sz w:val="6"/>
          <w:highlight w:val="none"/>
        </w:rPr>
      </w:pPr>
    </w:p>
    <w:tbl>
      <w:tblPr>
        <w:tblStyle w:val="18"/>
        <w:tblW w:w="50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9"/>
        <w:gridCol w:w="1513"/>
        <w:gridCol w:w="1164"/>
        <w:gridCol w:w="1311"/>
        <w:gridCol w:w="1229"/>
        <w:gridCol w:w="1245"/>
        <w:gridCol w:w="1245"/>
        <w:gridCol w:w="1262"/>
      </w:tblGrid>
      <w:tr w14:paraId="7EEFC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418" w:type="pct"/>
            <w:vAlign w:val="center"/>
          </w:tcPr>
          <w:p w14:paraId="540CB547">
            <w:pPr>
              <w:pStyle w:val="6"/>
              <w:ind w:firstLine="0"/>
              <w:jc w:val="center"/>
              <w:rPr>
                <w:rFonts w:hint="eastAsia" w:ascii="仿宋" w:hAnsi="仿宋" w:eastAsia="仿宋" w:cs="仿宋"/>
                <w:highlight w:val="none"/>
              </w:rPr>
            </w:pPr>
            <w:r>
              <w:rPr>
                <w:rFonts w:hint="eastAsia" w:ascii="仿宋" w:hAnsi="仿宋" w:eastAsia="仿宋" w:cs="仿宋"/>
                <w:highlight w:val="none"/>
              </w:rPr>
              <w:t>序号</w:t>
            </w:r>
          </w:p>
        </w:tc>
        <w:tc>
          <w:tcPr>
            <w:tcW w:w="772" w:type="pct"/>
            <w:vAlign w:val="center"/>
          </w:tcPr>
          <w:p w14:paraId="0C98B2D2">
            <w:pPr>
              <w:pStyle w:val="6"/>
              <w:ind w:firstLine="0"/>
              <w:jc w:val="center"/>
              <w:rPr>
                <w:rFonts w:hint="eastAsia" w:ascii="仿宋" w:hAnsi="仿宋" w:eastAsia="仿宋" w:cs="仿宋"/>
                <w:highlight w:val="none"/>
              </w:rPr>
            </w:pPr>
            <w:r>
              <w:rPr>
                <w:rFonts w:hint="eastAsia" w:ascii="仿宋" w:hAnsi="仿宋" w:eastAsia="仿宋" w:cs="仿宋"/>
                <w:highlight w:val="none"/>
              </w:rPr>
              <w:t>项目名称</w:t>
            </w:r>
          </w:p>
        </w:tc>
        <w:tc>
          <w:tcPr>
            <w:tcW w:w="594" w:type="pct"/>
            <w:vAlign w:val="center"/>
          </w:tcPr>
          <w:p w14:paraId="71072538">
            <w:pPr>
              <w:pStyle w:val="6"/>
              <w:ind w:firstLine="0"/>
              <w:jc w:val="center"/>
              <w:rPr>
                <w:rFonts w:hint="eastAsia" w:ascii="仿宋" w:hAnsi="仿宋" w:eastAsia="仿宋" w:cs="仿宋"/>
                <w:highlight w:val="none"/>
              </w:rPr>
            </w:pPr>
            <w:r>
              <w:rPr>
                <w:rFonts w:hint="eastAsia" w:ascii="仿宋" w:hAnsi="仿宋" w:eastAsia="仿宋" w:cs="仿宋"/>
                <w:highlight w:val="none"/>
              </w:rPr>
              <w:t>招标单位</w:t>
            </w:r>
          </w:p>
        </w:tc>
        <w:tc>
          <w:tcPr>
            <w:tcW w:w="669" w:type="pct"/>
            <w:vAlign w:val="center"/>
          </w:tcPr>
          <w:p w14:paraId="5A966071">
            <w:pPr>
              <w:pStyle w:val="6"/>
              <w:ind w:firstLine="0"/>
              <w:jc w:val="center"/>
              <w:rPr>
                <w:rFonts w:hint="eastAsia" w:ascii="仿宋" w:hAnsi="仿宋" w:eastAsia="仿宋" w:cs="仿宋"/>
                <w:highlight w:val="none"/>
              </w:rPr>
            </w:pPr>
            <w:r>
              <w:rPr>
                <w:rFonts w:hint="eastAsia" w:ascii="仿宋" w:hAnsi="仿宋" w:eastAsia="仿宋" w:cs="仿宋"/>
                <w:highlight w:val="none"/>
              </w:rPr>
              <w:t>时间</w:t>
            </w:r>
          </w:p>
        </w:tc>
        <w:tc>
          <w:tcPr>
            <w:tcW w:w="627" w:type="pct"/>
            <w:vAlign w:val="center"/>
          </w:tcPr>
          <w:p w14:paraId="078E658B">
            <w:pPr>
              <w:pStyle w:val="6"/>
              <w:ind w:firstLine="0"/>
              <w:jc w:val="center"/>
              <w:rPr>
                <w:rFonts w:hint="eastAsia" w:ascii="仿宋" w:hAnsi="仿宋" w:eastAsia="仿宋" w:cs="仿宋"/>
                <w:highlight w:val="none"/>
              </w:rPr>
            </w:pPr>
            <w:r>
              <w:rPr>
                <w:rFonts w:hint="eastAsia" w:ascii="仿宋" w:hAnsi="仿宋" w:eastAsia="仿宋" w:cs="仿宋"/>
                <w:highlight w:val="none"/>
              </w:rPr>
              <w:t>金额</w:t>
            </w:r>
          </w:p>
        </w:tc>
        <w:tc>
          <w:tcPr>
            <w:tcW w:w="635" w:type="pct"/>
            <w:vAlign w:val="center"/>
          </w:tcPr>
          <w:p w14:paraId="529BE178">
            <w:pPr>
              <w:pStyle w:val="6"/>
              <w:ind w:firstLine="0"/>
              <w:jc w:val="center"/>
              <w:rPr>
                <w:rFonts w:hint="eastAsia" w:ascii="仿宋" w:hAnsi="仿宋" w:eastAsia="仿宋" w:cs="仿宋"/>
                <w:highlight w:val="none"/>
                <w:lang w:val="en-US"/>
              </w:rPr>
            </w:pPr>
            <w:r>
              <w:rPr>
                <w:rFonts w:hint="eastAsia" w:ascii="仿宋" w:hAnsi="仿宋" w:eastAsia="仿宋" w:cs="仿宋"/>
                <w:highlight w:val="none"/>
                <w:lang w:val="en-US"/>
              </w:rPr>
              <w:t>所供产品</w:t>
            </w:r>
          </w:p>
        </w:tc>
        <w:tc>
          <w:tcPr>
            <w:tcW w:w="635" w:type="pct"/>
            <w:vAlign w:val="center"/>
          </w:tcPr>
          <w:p w14:paraId="21C5F288">
            <w:pPr>
              <w:pStyle w:val="6"/>
              <w:ind w:firstLine="0"/>
              <w:jc w:val="center"/>
              <w:rPr>
                <w:rFonts w:hint="eastAsia" w:ascii="仿宋" w:hAnsi="仿宋" w:eastAsia="仿宋" w:cs="仿宋"/>
                <w:highlight w:val="none"/>
              </w:rPr>
            </w:pPr>
            <w:r>
              <w:rPr>
                <w:rFonts w:hint="eastAsia" w:ascii="仿宋" w:hAnsi="仿宋" w:eastAsia="仿宋" w:cs="仿宋"/>
                <w:highlight w:val="none"/>
                <w:lang w:val="en-US"/>
              </w:rPr>
              <w:t>招标方</w:t>
            </w:r>
            <w:r>
              <w:rPr>
                <w:rFonts w:hint="eastAsia" w:ascii="仿宋" w:hAnsi="仿宋" w:eastAsia="仿宋" w:cs="仿宋"/>
                <w:highlight w:val="none"/>
              </w:rPr>
              <w:t>负责人</w:t>
            </w:r>
            <w:r>
              <w:rPr>
                <w:rFonts w:hint="eastAsia" w:ascii="仿宋" w:hAnsi="仿宋" w:eastAsia="仿宋" w:cs="仿宋"/>
                <w:highlight w:val="none"/>
                <w:lang w:val="en-US"/>
              </w:rPr>
              <w:t>及</w:t>
            </w:r>
            <w:r>
              <w:rPr>
                <w:rFonts w:hint="eastAsia" w:ascii="仿宋" w:hAnsi="仿宋" w:eastAsia="仿宋" w:cs="仿宋"/>
                <w:highlight w:val="none"/>
              </w:rPr>
              <w:t>联系电话</w:t>
            </w:r>
          </w:p>
        </w:tc>
        <w:tc>
          <w:tcPr>
            <w:tcW w:w="644" w:type="pct"/>
            <w:vAlign w:val="center"/>
          </w:tcPr>
          <w:p w14:paraId="1E814767">
            <w:pPr>
              <w:pStyle w:val="6"/>
              <w:ind w:firstLine="0"/>
              <w:jc w:val="center"/>
              <w:rPr>
                <w:rFonts w:hint="eastAsia" w:ascii="仿宋" w:hAnsi="仿宋" w:eastAsia="仿宋" w:cs="仿宋"/>
                <w:highlight w:val="none"/>
              </w:rPr>
            </w:pPr>
            <w:r>
              <w:rPr>
                <w:rFonts w:hint="eastAsia" w:ascii="仿宋" w:hAnsi="仿宋" w:eastAsia="仿宋" w:cs="仿宋"/>
                <w:highlight w:val="none"/>
                <w:lang w:val="en-US"/>
              </w:rPr>
              <w:t>供货方</w:t>
            </w:r>
            <w:r>
              <w:rPr>
                <w:rFonts w:hint="eastAsia" w:ascii="仿宋" w:hAnsi="仿宋" w:eastAsia="仿宋" w:cs="仿宋"/>
                <w:highlight w:val="none"/>
              </w:rPr>
              <w:t>负责人</w:t>
            </w:r>
            <w:r>
              <w:rPr>
                <w:rFonts w:hint="eastAsia" w:ascii="仿宋" w:hAnsi="仿宋" w:eastAsia="仿宋" w:cs="仿宋"/>
                <w:highlight w:val="none"/>
                <w:lang w:val="en-US"/>
              </w:rPr>
              <w:t>及</w:t>
            </w:r>
            <w:r>
              <w:rPr>
                <w:rFonts w:hint="eastAsia" w:ascii="仿宋" w:hAnsi="仿宋" w:eastAsia="仿宋" w:cs="仿宋"/>
                <w:highlight w:val="none"/>
              </w:rPr>
              <w:t>联系电话</w:t>
            </w:r>
          </w:p>
        </w:tc>
      </w:tr>
      <w:tr w14:paraId="77F72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5E9311FB">
            <w:pPr>
              <w:pStyle w:val="6"/>
              <w:rPr>
                <w:rFonts w:hint="eastAsia" w:ascii="仿宋" w:hAnsi="仿宋" w:eastAsia="仿宋" w:cs="仿宋"/>
                <w:highlight w:val="none"/>
              </w:rPr>
            </w:pPr>
          </w:p>
        </w:tc>
        <w:tc>
          <w:tcPr>
            <w:tcW w:w="772" w:type="pct"/>
            <w:vAlign w:val="center"/>
          </w:tcPr>
          <w:p w14:paraId="5722E6CF">
            <w:pPr>
              <w:pStyle w:val="6"/>
              <w:rPr>
                <w:rFonts w:hint="eastAsia" w:ascii="仿宋" w:hAnsi="仿宋" w:eastAsia="仿宋" w:cs="仿宋"/>
                <w:highlight w:val="none"/>
              </w:rPr>
            </w:pPr>
          </w:p>
        </w:tc>
        <w:tc>
          <w:tcPr>
            <w:tcW w:w="594" w:type="pct"/>
          </w:tcPr>
          <w:p w14:paraId="5E1DF328">
            <w:pPr>
              <w:pStyle w:val="6"/>
              <w:rPr>
                <w:rFonts w:hint="eastAsia" w:ascii="仿宋" w:hAnsi="仿宋" w:eastAsia="仿宋" w:cs="仿宋"/>
                <w:highlight w:val="none"/>
              </w:rPr>
            </w:pPr>
          </w:p>
        </w:tc>
        <w:tc>
          <w:tcPr>
            <w:tcW w:w="669" w:type="pct"/>
            <w:vAlign w:val="center"/>
          </w:tcPr>
          <w:p w14:paraId="000E61ED">
            <w:pPr>
              <w:pStyle w:val="6"/>
              <w:rPr>
                <w:rFonts w:hint="eastAsia" w:ascii="仿宋" w:hAnsi="仿宋" w:eastAsia="仿宋" w:cs="仿宋"/>
                <w:highlight w:val="none"/>
              </w:rPr>
            </w:pPr>
          </w:p>
        </w:tc>
        <w:tc>
          <w:tcPr>
            <w:tcW w:w="627" w:type="pct"/>
            <w:vAlign w:val="center"/>
          </w:tcPr>
          <w:p w14:paraId="624109B0">
            <w:pPr>
              <w:pStyle w:val="6"/>
              <w:rPr>
                <w:rFonts w:hint="eastAsia" w:ascii="仿宋" w:hAnsi="仿宋" w:eastAsia="仿宋" w:cs="仿宋"/>
                <w:highlight w:val="none"/>
              </w:rPr>
            </w:pPr>
          </w:p>
        </w:tc>
        <w:tc>
          <w:tcPr>
            <w:tcW w:w="635" w:type="pct"/>
            <w:vAlign w:val="center"/>
          </w:tcPr>
          <w:p w14:paraId="09735032">
            <w:pPr>
              <w:pStyle w:val="6"/>
              <w:rPr>
                <w:rFonts w:hint="eastAsia" w:ascii="仿宋" w:hAnsi="仿宋" w:eastAsia="仿宋" w:cs="仿宋"/>
                <w:highlight w:val="none"/>
              </w:rPr>
            </w:pPr>
          </w:p>
        </w:tc>
        <w:tc>
          <w:tcPr>
            <w:tcW w:w="635" w:type="pct"/>
            <w:vAlign w:val="center"/>
          </w:tcPr>
          <w:p w14:paraId="57C7A5BA">
            <w:pPr>
              <w:pStyle w:val="6"/>
              <w:rPr>
                <w:rFonts w:hint="eastAsia" w:ascii="仿宋" w:hAnsi="仿宋" w:eastAsia="仿宋" w:cs="仿宋"/>
                <w:highlight w:val="none"/>
              </w:rPr>
            </w:pPr>
          </w:p>
        </w:tc>
        <w:tc>
          <w:tcPr>
            <w:tcW w:w="644" w:type="pct"/>
            <w:vAlign w:val="center"/>
          </w:tcPr>
          <w:p w14:paraId="3101BD0D">
            <w:pPr>
              <w:pStyle w:val="6"/>
              <w:rPr>
                <w:rFonts w:hint="eastAsia" w:ascii="仿宋" w:hAnsi="仿宋" w:eastAsia="仿宋" w:cs="仿宋"/>
                <w:highlight w:val="none"/>
              </w:rPr>
            </w:pPr>
          </w:p>
        </w:tc>
      </w:tr>
      <w:tr w14:paraId="2E81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3EA31496">
            <w:pPr>
              <w:pStyle w:val="6"/>
              <w:rPr>
                <w:rFonts w:hint="eastAsia" w:ascii="仿宋" w:hAnsi="仿宋" w:eastAsia="仿宋" w:cs="仿宋"/>
                <w:highlight w:val="none"/>
              </w:rPr>
            </w:pPr>
          </w:p>
        </w:tc>
        <w:tc>
          <w:tcPr>
            <w:tcW w:w="772" w:type="pct"/>
            <w:vAlign w:val="center"/>
          </w:tcPr>
          <w:p w14:paraId="2835D9C9">
            <w:pPr>
              <w:pStyle w:val="6"/>
              <w:rPr>
                <w:rFonts w:hint="eastAsia" w:ascii="仿宋" w:hAnsi="仿宋" w:eastAsia="仿宋" w:cs="仿宋"/>
                <w:highlight w:val="none"/>
              </w:rPr>
            </w:pPr>
          </w:p>
        </w:tc>
        <w:tc>
          <w:tcPr>
            <w:tcW w:w="594" w:type="pct"/>
          </w:tcPr>
          <w:p w14:paraId="5065BC0D">
            <w:pPr>
              <w:pStyle w:val="6"/>
              <w:rPr>
                <w:rFonts w:hint="eastAsia" w:ascii="仿宋" w:hAnsi="仿宋" w:eastAsia="仿宋" w:cs="仿宋"/>
                <w:highlight w:val="none"/>
              </w:rPr>
            </w:pPr>
          </w:p>
        </w:tc>
        <w:tc>
          <w:tcPr>
            <w:tcW w:w="669" w:type="pct"/>
            <w:vAlign w:val="center"/>
          </w:tcPr>
          <w:p w14:paraId="7B1E0612">
            <w:pPr>
              <w:pStyle w:val="6"/>
              <w:rPr>
                <w:rFonts w:hint="eastAsia" w:ascii="仿宋" w:hAnsi="仿宋" w:eastAsia="仿宋" w:cs="仿宋"/>
                <w:highlight w:val="none"/>
              </w:rPr>
            </w:pPr>
          </w:p>
        </w:tc>
        <w:tc>
          <w:tcPr>
            <w:tcW w:w="627" w:type="pct"/>
            <w:vAlign w:val="center"/>
          </w:tcPr>
          <w:p w14:paraId="61E32B75">
            <w:pPr>
              <w:pStyle w:val="6"/>
              <w:rPr>
                <w:rFonts w:hint="eastAsia" w:ascii="仿宋" w:hAnsi="仿宋" w:eastAsia="仿宋" w:cs="仿宋"/>
                <w:highlight w:val="none"/>
              </w:rPr>
            </w:pPr>
          </w:p>
        </w:tc>
        <w:tc>
          <w:tcPr>
            <w:tcW w:w="635" w:type="pct"/>
            <w:vAlign w:val="center"/>
          </w:tcPr>
          <w:p w14:paraId="34857649">
            <w:pPr>
              <w:pStyle w:val="6"/>
              <w:rPr>
                <w:rFonts w:hint="eastAsia" w:ascii="仿宋" w:hAnsi="仿宋" w:eastAsia="仿宋" w:cs="仿宋"/>
                <w:highlight w:val="none"/>
              </w:rPr>
            </w:pPr>
          </w:p>
        </w:tc>
        <w:tc>
          <w:tcPr>
            <w:tcW w:w="635" w:type="pct"/>
            <w:vAlign w:val="center"/>
          </w:tcPr>
          <w:p w14:paraId="002D23D5">
            <w:pPr>
              <w:pStyle w:val="6"/>
              <w:rPr>
                <w:rFonts w:hint="eastAsia" w:ascii="仿宋" w:hAnsi="仿宋" w:eastAsia="仿宋" w:cs="仿宋"/>
                <w:highlight w:val="none"/>
              </w:rPr>
            </w:pPr>
          </w:p>
        </w:tc>
        <w:tc>
          <w:tcPr>
            <w:tcW w:w="644" w:type="pct"/>
            <w:vAlign w:val="center"/>
          </w:tcPr>
          <w:p w14:paraId="701A575F">
            <w:pPr>
              <w:pStyle w:val="6"/>
              <w:rPr>
                <w:rFonts w:hint="eastAsia" w:ascii="仿宋" w:hAnsi="仿宋" w:eastAsia="仿宋" w:cs="仿宋"/>
                <w:highlight w:val="none"/>
              </w:rPr>
            </w:pPr>
          </w:p>
        </w:tc>
      </w:tr>
      <w:tr w14:paraId="24D06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4EED1DA8">
            <w:pPr>
              <w:pStyle w:val="6"/>
              <w:rPr>
                <w:rFonts w:hint="eastAsia" w:ascii="仿宋" w:hAnsi="仿宋" w:eastAsia="仿宋" w:cs="仿宋"/>
                <w:highlight w:val="none"/>
              </w:rPr>
            </w:pPr>
          </w:p>
        </w:tc>
        <w:tc>
          <w:tcPr>
            <w:tcW w:w="772" w:type="pct"/>
            <w:vAlign w:val="center"/>
          </w:tcPr>
          <w:p w14:paraId="49E7801B">
            <w:pPr>
              <w:pStyle w:val="6"/>
              <w:rPr>
                <w:rFonts w:hint="eastAsia" w:ascii="仿宋" w:hAnsi="仿宋" w:eastAsia="仿宋" w:cs="仿宋"/>
                <w:highlight w:val="none"/>
              </w:rPr>
            </w:pPr>
          </w:p>
        </w:tc>
        <w:tc>
          <w:tcPr>
            <w:tcW w:w="594" w:type="pct"/>
          </w:tcPr>
          <w:p w14:paraId="75A674F7">
            <w:pPr>
              <w:pStyle w:val="6"/>
              <w:rPr>
                <w:rFonts w:hint="eastAsia" w:ascii="仿宋" w:hAnsi="仿宋" w:eastAsia="仿宋" w:cs="仿宋"/>
                <w:highlight w:val="none"/>
              </w:rPr>
            </w:pPr>
          </w:p>
        </w:tc>
        <w:tc>
          <w:tcPr>
            <w:tcW w:w="669" w:type="pct"/>
            <w:vAlign w:val="center"/>
          </w:tcPr>
          <w:p w14:paraId="670D61F3">
            <w:pPr>
              <w:pStyle w:val="6"/>
              <w:rPr>
                <w:rFonts w:hint="eastAsia" w:ascii="仿宋" w:hAnsi="仿宋" w:eastAsia="仿宋" w:cs="仿宋"/>
                <w:highlight w:val="none"/>
              </w:rPr>
            </w:pPr>
          </w:p>
        </w:tc>
        <w:tc>
          <w:tcPr>
            <w:tcW w:w="627" w:type="pct"/>
            <w:vAlign w:val="center"/>
          </w:tcPr>
          <w:p w14:paraId="67D6F7EB">
            <w:pPr>
              <w:pStyle w:val="6"/>
              <w:rPr>
                <w:rFonts w:hint="eastAsia" w:ascii="仿宋" w:hAnsi="仿宋" w:eastAsia="仿宋" w:cs="仿宋"/>
                <w:highlight w:val="none"/>
              </w:rPr>
            </w:pPr>
          </w:p>
        </w:tc>
        <w:tc>
          <w:tcPr>
            <w:tcW w:w="635" w:type="pct"/>
            <w:vAlign w:val="center"/>
          </w:tcPr>
          <w:p w14:paraId="6777683B">
            <w:pPr>
              <w:pStyle w:val="6"/>
              <w:rPr>
                <w:rFonts w:hint="eastAsia" w:ascii="仿宋" w:hAnsi="仿宋" w:eastAsia="仿宋" w:cs="仿宋"/>
                <w:highlight w:val="none"/>
              </w:rPr>
            </w:pPr>
          </w:p>
        </w:tc>
        <w:tc>
          <w:tcPr>
            <w:tcW w:w="635" w:type="pct"/>
            <w:vAlign w:val="center"/>
          </w:tcPr>
          <w:p w14:paraId="53C3DB56">
            <w:pPr>
              <w:pStyle w:val="6"/>
              <w:rPr>
                <w:rFonts w:hint="eastAsia" w:ascii="仿宋" w:hAnsi="仿宋" w:eastAsia="仿宋" w:cs="仿宋"/>
                <w:highlight w:val="none"/>
              </w:rPr>
            </w:pPr>
          </w:p>
        </w:tc>
        <w:tc>
          <w:tcPr>
            <w:tcW w:w="644" w:type="pct"/>
            <w:vAlign w:val="center"/>
          </w:tcPr>
          <w:p w14:paraId="302025FD">
            <w:pPr>
              <w:pStyle w:val="6"/>
              <w:rPr>
                <w:rFonts w:hint="eastAsia" w:ascii="仿宋" w:hAnsi="仿宋" w:eastAsia="仿宋" w:cs="仿宋"/>
                <w:highlight w:val="none"/>
              </w:rPr>
            </w:pPr>
          </w:p>
        </w:tc>
      </w:tr>
      <w:tr w14:paraId="004F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418" w:type="pct"/>
          </w:tcPr>
          <w:p w14:paraId="65BF887F">
            <w:pPr>
              <w:pStyle w:val="6"/>
              <w:rPr>
                <w:rFonts w:hint="eastAsia" w:ascii="仿宋" w:hAnsi="仿宋" w:eastAsia="仿宋" w:cs="仿宋"/>
                <w:highlight w:val="none"/>
              </w:rPr>
            </w:pPr>
          </w:p>
        </w:tc>
        <w:tc>
          <w:tcPr>
            <w:tcW w:w="772" w:type="pct"/>
            <w:vAlign w:val="center"/>
          </w:tcPr>
          <w:p w14:paraId="7621D4F0">
            <w:pPr>
              <w:pStyle w:val="6"/>
              <w:rPr>
                <w:rFonts w:hint="eastAsia" w:ascii="仿宋" w:hAnsi="仿宋" w:eastAsia="仿宋" w:cs="仿宋"/>
                <w:highlight w:val="none"/>
              </w:rPr>
            </w:pPr>
          </w:p>
        </w:tc>
        <w:tc>
          <w:tcPr>
            <w:tcW w:w="594" w:type="pct"/>
          </w:tcPr>
          <w:p w14:paraId="00FDBD2F">
            <w:pPr>
              <w:pStyle w:val="6"/>
              <w:rPr>
                <w:rFonts w:hint="eastAsia" w:ascii="仿宋" w:hAnsi="仿宋" w:eastAsia="仿宋" w:cs="仿宋"/>
                <w:highlight w:val="none"/>
              </w:rPr>
            </w:pPr>
          </w:p>
        </w:tc>
        <w:tc>
          <w:tcPr>
            <w:tcW w:w="669" w:type="pct"/>
            <w:vAlign w:val="center"/>
          </w:tcPr>
          <w:p w14:paraId="6D58B933">
            <w:pPr>
              <w:pStyle w:val="6"/>
              <w:rPr>
                <w:rFonts w:hint="eastAsia" w:ascii="仿宋" w:hAnsi="仿宋" w:eastAsia="仿宋" w:cs="仿宋"/>
                <w:highlight w:val="none"/>
              </w:rPr>
            </w:pPr>
          </w:p>
        </w:tc>
        <w:tc>
          <w:tcPr>
            <w:tcW w:w="627" w:type="pct"/>
            <w:vAlign w:val="center"/>
          </w:tcPr>
          <w:p w14:paraId="5F95A0EC">
            <w:pPr>
              <w:pStyle w:val="6"/>
              <w:rPr>
                <w:rFonts w:hint="eastAsia" w:ascii="仿宋" w:hAnsi="仿宋" w:eastAsia="仿宋" w:cs="仿宋"/>
                <w:highlight w:val="none"/>
              </w:rPr>
            </w:pPr>
          </w:p>
        </w:tc>
        <w:tc>
          <w:tcPr>
            <w:tcW w:w="635" w:type="pct"/>
            <w:vAlign w:val="center"/>
          </w:tcPr>
          <w:p w14:paraId="656FA5EE">
            <w:pPr>
              <w:pStyle w:val="6"/>
              <w:rPr>
                <w:rFonts w:hint="eastAsia" w:ascii="仿宋" w:hAnsi="仿宋" w:eastAsia="仿宋" w:cs="仿宋"/>
                <w:highlight w:val="none"/>
              </w:rPr>
            </w:pPr>
          </w:p>
        </w:tc>
        <w:tc>
          <w:tcPr>
            <w:tcW w:w="635" w:type="pct"/>
            <w:vAlign w:val="center"/>
          </w:tcPr>
          <w:p w14:paraId="59E76CE1">
            <w:pPr>
              <w:pStyle w:val="6"/>
              <w:rPr>
                <w:rFonts w:hint="eastAsia" w:ascii="仿宋" w:hAnsi="仿宋" w:eastAsia="仿宋" w:cs="仿宋"/>
                <w:highlight w:val="none"/>
              </w:rPr>
            </w:pPr>
          </w:p>
        </w:tc>
        <w:tc>
          <w:tcPr>
            <w:tcW w:w="644" w:type="pct"/>
            <w:vAlign w:val="center"/>
          </w:tcPr>
          <w:p w14:paraId="69C64F3A">
            <w:pPr>
              <w:pStyle w:val="6"/>
              <w:rPr>
                <w:rFonts w:hint="eastAsia" w:ascii="仿宋" w:hAnsi="仿宋" w:eastAsia="仿宋" w:cs="仿宋"/>
                <w:highlight w:val="none"/>
              </w:rPr>
            </w:pPr>
          </w:p>
        </w:tc>
      </w:tr>
      <w:tr w14:paraId="62D0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0" w:hRule="atLeast"/>
          <w:jc w:val="center"/>
        </w:trPr>
        <w:tc>
          <w:tcPr>
            <w:tcW w:w="418" w:type="pct"/>
          </w:tcPr>
          <w:p w14:paraId="0D41234F">
            <w:pPr>
              <w:pStyle w:val="6"/>
              <w:rPr>
                <w:rFonts w:hint="eastAsia" w:ascii="仿宋" w:hAnsi="仿宋" w:eastAsia="仿宋" w:cs="仿宋"/>
                <w:highlight w:val="none"/>
              </w:rPr>
            </w:pPr>
          </w:p>
        </w:tc>
        <w:tc>
          <w:tcPr>
            <w:tcW w:w="772" w:type="pct"/>
            <w:vAlign w:val="center"/>
          </w:tcPr>
          <w:p w14:paraId="6C062D9D">
            <w:pPr>
              <w:pStyle w:val="6"/>
              <w:rPr>
                <w:rFonts w:hint="eastAsia" w:ascii="仿宋" w:hAnsi="仿宋" w:eastAsia="仿宋" w:cs="仿宋"/>
                <w:highlight w:val="none"/>
              </w:rPr>
            </w:pPr>
          </w:p>
        </w:tc>
        <w:tc>
          <w:tcPr>
            <w:tcW w:w="594" w:type="pct"/>
          </w:tcPr>
          <w:p w14:paraId="10465F38">
            <w:pPr>
              <w:pStyle w:val="6"/>
              <w:rPr>
                <w:rFonts w:hint="eastAsia" w:ascii="仿宋" w:hAnsi="仿宋" w:eastAsia="仿宋" w:cs="仿宋"/>
                <w:highlight w:val="none"/>
              </w:rPr>
            </w:pPr>
          </w:p>
        </w:tc>
        <w:tc>
          <w:tcPr>
            <w:tcW w:w="669" w:type="pct"/>
            <w:vAlign w:val="center"/>
          </w:tcPr>
          <w:p w14:paraId="04D5BC4E">
            <w:pPr>
              <w:pStyle w:val="6"/>
              <w:rPr>
                <w:rFonts w:hint="eastAsia" w:ascii="仿宋" w:hAnsi="仿宋" w:eastAsia="仿宋" w:cs="仿宋"/>
                <w:highlight w:val="none"/>
              </w:rPr>
            </w:pPr>
          </w:p>
        </w:tc>
        <w:tc>
          <w:tcPr>
            <w:tcW w:w="627" w:type="pct"/>
            <w:vAlign w:val="center"/>
          </w:tcPr>
          <w:p w14:paraId="502FEF39">
            <w:pPr>
              <w:pStyle w:val="6"/>
              <w:rPr>
                <w:rFonts w:hint="eastAsia" w:ascii="仿宋" w:hAnsi="仿宋" w:eastAsia="仿宋" w:cs="仿宋"/>
                <w:highlight w:val="none"/>
              </w:rPr>
            </w:pPr>
          </w:p>
        </w:tc>
        <w:tc>
          <w:tcPr>
            <w:tcW w:w="635" w:type="pct"/>
            <w:vAlign w:val="center"/>
          </w:tcPr>
          <w:p w14:paraId="0DC8BDAA">
            <w:pPr>
              <w:pStyle w:val="6"/>
              <w:rPr>
                <w:rFonts w:hint="eastAsia" w:ascii="仿宋" w:hAnsi="仿宋" w:eastAsia="仿宋" w:cs="仿宋"/>
                <w:highlight w:val="none"/>
              </w:rPr>
            </w:pPr>
          </w:p>
        </w:tc>
        <w:tc>
          <w:tcPr>
            <w:tcW w:w="635" w:type="pct"/>
            <w:vAlign w:val="center"/>
          </w:tcPr>
          <w:p w14:paraId="502DD7AF">
            <w:pPr>
              <w:pStyle w:val="6"/>
              <w:rPr>
                <w:rFonts w:hint="eastAsia" w:ascii="仿宋" w:hAnsi="仿宋" w:eastAsia="仿宋" w:cs="仿宋"/>
                <w:highlight w:val="none"/>
              </w:rPr>
            </w:pPr>
          </w:p>
        </w:tc>
        <w:tc>
          <w:tcPr>
            <w:tcW w:w="644" w:type="pct"/>
            <w:vAlign w:val="center"/>
          </w:tcPr>
          <w:p w14:paraId="6761986F">
            <w:pPr>
              <w:pStyle w:val="6"/>
              <w:rPr>
                <w:rFonts w:hint="eastAsia" w:ascii="仿宋" w:hAnsi="仿宋" w:eastAsia="仿宋" w:cs="仿宋"/>
                <w:highlight w:val="none"/>
              </w:rPr>
            </w:pPr>
          </w:p>
        </w:tc>
      </w:tr>
    </w:tbl>
    <w:p w14:paraId="0D883FA0">
      <w:pPr>
        <w:spacing w:before="91"/>
        <w:rPr>
          <w:rFonts w:hint="eastAsia" w:ascii="仿宋" w:hAnsi="仿宋" w:eastAsia="仿宋" w:cs="仿宋"/>
          <w:b/>
          <w:sz w:val="24"/>
          <w:highlight w:val="none"/>
        </w:rPr>
      </w:pPr>
      <w:r>
        <w:rPr>
          <w:rFonts w:hint="eastAsia" w:ascii="仿宋" w:hAnsi="仿宋" w:eastAsia="仿宋" w:cs="仿宋"/>
          <w:b/>
          <w:sz w:val="24"/>
          <w:highlight w:val="none"/>
        </w:rPr>
        <w:t>注：业绩须附有</w:t>
      </w:r>
      <w:r>
        <w:rPr>
          <w:rFonts w:hint="eastAsia" w:ascii="仿宋" w:hAnsi="仿宋" w:eastAsia="仿宋" w:cs="仿宋"/>
          <w:b/>
          <w:sz w:val="24"/>
          <w:highlight w:val="none"/>
          <w:lang w:val="en-US"/>
        </w:rPr>
        <w:t>中标通知书或</w:t>
      </w:r>
      <w:r>
        <w:rPr>
          <w:rFonts w:hint="eastAsia" w:ascii="仿宋" w:hAnsi="仿宋" w:eastAsia="仿宋" w:cs="仿宋"/>
          <w:b/>
          <w:sz w:val="24"/>
          <w:highlight w:val="none"/>
        </w:rPr>
        <w:t>合同复印件。</w:t>
      </w:r>
    </w:p>
    <w:p w14:paraId="122022D7">
      <w:pPr>
        <w:pStyle w:val="32"/>
        <w:tabs>
          <w:tab w:val="left" w:pos="750"/>
        </w:tabs>
        <w:adjustRightInd w:val="0"/>
        <w:snapToGrid w:val="0"/>
        <w:spacing w:line="400" w:lineRule="exact"/>
        <w:rPr>
          <w:rFonts w:hint="eastAsia" w:ascii="仿宋" w:hAnsi="仿宋" w:eastAsia="仿宋" w:cs="仿宋"/>
          <w:sz w:val="24"/>
          <w:szCs w:val="24"/>
          <w:highlight w:val="none"/>
        </w:rPr>
      </w:pPr>
    </w:p>
    <w:p w14:paraId="2DC03C96">
      <w:pPr>
        <w:pStyle w:val="32"/>
        <w:tabs>
          <w:tab w:val="left" w:pos="750"/>
        </w:tabs>
        <w:adjustRightInd w:val="0"/>
        <w:snapToGrid w:val="0"/>
        <w:spacing w:line="480" w:lineRule="auto"/>
        <w:ind w:firstLine="723" w:firstLineChars="3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投标人名称（盖章）：</w:t>
      </w:r>
      <w:r>
        <w:rPr>
          <w:rFonts w:hint="eastAsia" w:ascii="仿宋" w:hAnsi="仿宋" w:eastAsia="仿宋" w:cs="仿宋"/>
          <w:b/>
          <w:kern w:val="0"/>
          <w:sz w:val="24"/>
          <w:highlight w:val="none"/>
          <w:u w:val="single"/>
          <w:lang w:bidi="zh-CN"/>
        </w:rPr>
        <w:t xml:space="preserve">                 </w:t>
      </w:r>
      <w:r>
        <w:rPr>
          <w:rFonts w:hint="eastAsia" w:ascii="仿宋" w:hAnsi="仿宋" w:eastAsia="仿宋" w:cs="仿宋"/>
          <w:b/>
          <w:kern w:val="0"/>
          <w:sz w:val="24"/>
          <w:highlight w:val="none"/>
          <w:lang w:val="zh-CN" w:bidi="zh-CN"/>
        </w:rPr>
        <w:t xml:space="preserve">  </w:t>
      </w:r>
    </w:p>
    <w:p w14:paraId="7F737CE5">
      <w:pPr>
        <w:pStyle w:val="32"/>
        <w:tabs>
          <w:tab w:val="left" w:pos="750"/>
        </w:tabs>
        <w:adjustRightInd w:val="0"/>
        <w:snapToGrid w:val="0"/>
        <w:spacing w:line="480" w:lineRule="auto"/>
        <w:ind w:firstLine="723" w:firstLineChars="3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 xml:space="preserve">                      </w:t>
      </w:r>
    </w:p>
    <w:p w14:paraId="73DBBE2A">
      <w:pPr>
        <w:pStyle w:val="32"/>
        <w:tabs>
          <w:tab w:val="left" w:pos="750"/>
        </w:tabs>
        <w:adjustRightInd w:val="0"/>
        <w:snapToGrid w:val="0"/>
        <w:spacing w:line="480" w:lineRule="auto"/>
        <w:ind w:firstLine="723" w:firstLineChars="3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法定代表人或委托代理人签字（或盖章）：</w:t>
      </w:r>
      <w:r>
        <w:rPr>
          <w:rFonts w:hint="eastAsia" w:ascii="仿宋" w:hAnsi="仿宋" w:eastAsia="仿宋" w:cs="仿宋"/>
          <w:b/>
          <w:kern w:val="0"/>
          <w:sz w:val="24"/>
          <w:highlight w:val="none"/>
          <w:u w:val="single"/>
          <w:lang w:bidi="zh-CN"/>
        </w:rPr>
        <w:t xml:space="preserve">                 </w:t>
      </w:r>
      <w:r>
        <w:rPr>
          <w:rFonts w:hint="eastAsia" w:ascii="仿宋" w:hAnsi="仿宋" w:eastAsia="仿宋" w:cs="仿宋"/>
          <w:b/>
          <w:kern w:val="0"/>
          <w:sz w:val="24"/>
          <w:highlight w:val="none"/>
          <w:lang w:val="zh-CN" w:bidi="zh-CN"/>
        </w:rPr>
        <w:t xml:space="preserve">   </w:t>
      </w:r>
    </w:p>
    <w:p w14:paraId="293E71EA">
      <w:pPr>
        <w:pStyle w:val="32"/>
        <w:tabs>
          <w:tab w:val="left" w:pos="750"/>
        </w:tabs>
        <w:adjustRightInd w:val="0"/>
        <w:snapToGrid w:val="0"/>
        <w:spacing w:line="480" w:lineRule="auto"/>
        <w:ind w:firstLine="723" w:firstLineChars="3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 xml:space="preserve">                     </w:t>
      </w:r>
    </w:p>
    <w:p w14:paraId="48F2526E">
      <w:pPr>
        <w:pStyle w:val="32"/>
        <w:tabs>
          <w:tab w:val="left" w:pos="750"/>
        </w:tabs>
        <w:adjustRightInd w:val="0"/>
        <w:snapToGrid w:val="0"/>
        <w:spacing w:line="480" w:lineRule="auto"/>
        <w:ind w:firstLine="5783" w:firstLineChars="2400"/>
        <w:rPr>
          <w:rFonts w:hint="eastAsia" w:ascii="仿宋" w:hAnsi="仿宋" w:eastAsia="仿宋" w:cs="仿宋"/>
          <w:b/>
          <w:kern w:val="0"/>
          <w:sz w:val="24"/>
          <w:highlight w:val="none"/>
          <w:lang w:val="zh-CN" w:bidi="zh-CN"/>
        </w:rPr>
      </w:pPr>
      <w:r>
        <w:rPr>
          <w:rFonts w:hint="eastAsia" w:ascii="仿宋" w:hAnsi="仿宋" w:eastAsia="仿宋" w:cs="仿宋"/>
          <w:b/>
          <w:kern w:val="0"/>
          <w:sz w:val="24"/>
          <w:highlight w:val="none"/>
          <w:lang w:val="zh-CN" w:bidi="zh-CN"/>
        </w:rPr>
        <w:t xml:space="preserve">日期： </w:t>
      </w:r>
      <w:r>
        <w:rPr>
          <w:rFonts w:hint="eastAsia" w:ascii="仿宋" w:hAnsi="仿宋" w:eastAsia="仿宋" w:cs="仿宋"/>
          <w:b/>
          <w:kern w:val="0"/>
          <w:sz w:val="24"/>
          <w:highlight w:val="none"/>
          <w:u w:val="single"/>
          <w:lang w:val="zh-CN" w:bidi="zh-CN"/>
        </w:rPr>
        <w:t xml:space="preserve">    </w:t>
      </w:r>
      <w:r>
        <w:rPr>
          <w:rFonts w:hint="eastAsia" w:ascii="仿宋" w:hAnsi="仿宋" w:eastAsia="仿宋" w:cs="仿宋"/>
          <w:b/>
          <w:kern w:val="0"/>
          <w:sz w:val="24"/>
          <w:highlight w:val="none"/>
          <w:u w:val="single"/>
          <w:lang w:bidi="zh-CN"/>
        </w:rPr>
        <w:t xml:space="preserve"> </w:t>
      </w:r>
      <w:r>
        <w:rPr>
          <w:rFonts w:hint="eastAsia" w:ascii="仿宋" w:hAnsi="仿宋" w:eastAsia="仿宋" w:cs="仿宋"/>
          <w:b/>
          <w:kern w:val="0"/>
          <w:sz w:val="24"/>
          <w:highlight w:val="none"/>
          <w:lang w:val="zh-CN" w:bidi="zh-CN"/>
        </w:rPr>
        <w:t>年</w:t>
      </w:r>
      <w:r>
        <w:rPr>
          <w:rFonts w:hint="eastAsia" w:ascii="仿宋" w:hAnsi="仿宋" w:eastAsia="仿宋" w:cs="仿宋"/>
          <w:b/>
          <w:kern w:val="0"/>
          <w:sz w:val="24"/>
          <w:highlight w:val="none"/>
          <w:u w:val="single"/>
          <w:lang w:val="zh-CN" w:bidi="zh-CN"/>
        </w:rPr>
        <w:t xml:space="preserve">    </w:t>
      </w:r>
      <w:r>
        <w:rPr>
          <w:rFonts w:hint="eastAsia" w:ascii="仿宋" w:hAnsi="仿宋" w:eastAsia="仿宋" w:cs="仿宋"/>
          <w:b/>
          <w:kern w:val="0"/>
          <w:sz w:val="24"/>
          <w:highlight w:val="none"/>
          <w:lang w:val="zh-CN" w:bidi="zh-CN"/>
        </w:rPr>
        <w:t>月</w:t>
      </w:r>
      <w:r>
        <w:rPr>
          <w:rFonts w:hint="eastAsia" w:ascii="仿宋" w:hAnsi="仿宋" w:eastAsia="仿宋" w:cs="仿宋"/>
          <w:b/>
          <w:kern w:val="0"/>
          <w:sz w:val="24"/>
          <w:highlight w:val="none"/>
          <w:u w:val="single"/>
          <w:lang w:val="zh-CN" w:bidi="zh-CN"/>
        </w:rPr>
        <w:t xml:space="preserve">     </w:t>
      </w:r>
      <w:r>
        <w:rPr>
          <w:rFonts w:hint="eastAsia" w:ascii="仿宋" w:hAnsi="仿宋" w:eastAsia="仿宋" w:cs="仿宋"/>
          <w:b/>
          <w:kern w:val="0"/>
          <w:sz w:val="24"/>
          <w:highlight w:val="none"/>
          <w:lang w:val="zh-CN" w:bidi="zh-CN"/>
        </w:rPr>
        <w:t>日</w:t>
      </w:r>
    </w:p>
    <w:p w14:paraId="53133F37">
      <w:pPr>
        <w:rPr>
          <w:rFonts w:hint="eastAsia" w:ascii="仿宋" w:hAnsi="仿宋" w:eastAsia="仿宋" w:cs="仿宋"/>
          <w:highlight w:val="none"/>
        </w:rPr>
      </w:pPr>
    </w:p>
    <w:p w14:paraId="5AF3AAE5">
      <w:pPr>
        <w:rPr>
          <w:rFonts w:hint="eastAsia" w:ascii="仿宋" w:hAnsi="仿宋" w:eastAsia="仿宋" w:cs="仿宋"/>
          <w:highlight w:val="none"/>
        </w:rPr>
      </w:pPr>
    </w:p>
    <w:p w14:paraId="472596B9">
      <w:pPr>
        <w:rPr>
          <w:rFonts w:hint="eastAsia" w:ascii="仿宋" w:hAnsi="仿宋" w:eastAsia="仿宋" w:cs="仿宋"/>
          <w:highlight w:val="none"/>
        </w:rPr>
      </w:pPr>
    </w:p>
    <w:p w14:paraId="59107986">
      <w:pPr>
        <w:rPr>
          <w:rFonts w:hint="eastAsia" w:ascii="仿宋" w:hAnsi="仿宋" w:eastAsia="仿宋" w:cs="仿宋"/>
          <w:highlight w:val="none"/>
        </w:rPr>
      </w:pPr>
    </w:p>
    <w:p w14:paraId="098205ED">
      <w:pPr>
        <w:spacing w:line="336" w:lineRule="auto"/>
        <w:rPr>
          <w:rFonts w:hint="eastAsia" w:ascii="仿宋" w:hAnsi="仿宋" w:eastAsia="仿宋" w:cs="仿宋"/>
          <w:b/>
          <w:sz w:val="28"/>
          <w:highlight w:val="none"/>
        </w:rPr>
      </w:pPr>
      <w:r>
        <w:rPr>
          <w:rFonts w:hint="eastAsia" w:ascii="仿宋" w:hAnsi="仿宋" w:eastAsia="仿宋" w:cs="仿宋"/>
          <w:b/>
          <w:sz w:val="28"/>
          <w:highlight w:val="none"/>
        </w:rPr>
        <w:t>附件资料：</w:t>
      </w:r>
    </w:p>
    <w:p w14:paraId="31C731FC">
      <w:pPr>
        <w:jc w:val="center"/>
        <w:rPr>
          <w:rFonts w:hint="eastAsia" w:ascii="仿宋" w:hAnsi="仿宋" w:eastAsia="仿宋" w:cs="仿宋"/>
          <w:b/>
          <w:sz w:val="32"/>
          <w:highlight w:val="none"/>
        </w:rPr>
      </w:pPr>
      <w:r>
        <w:rPr>
          <w:rFonts w:hint="eastAsia" w:ascii="仿宋" w:hAnsi="仿宋" w:eastAsia="仿宋" w:cs="仿宋"/>
          <w:b/>
          <w:sz w:val="32"/>
          <w:highlight w:val="none"/>
        </w:rPr>
        <w:t>中小企业声明函（货物）</w:t>
      </w:r>
    </w:p>
    <w:p w14:paraId="7436964E">
      <w:pPr>
        <w:ind w:firstLine="480"/>
        <w:rPr>
          <w:rFonts w:hint="eastAsia" w:ascii="仿宋" w:hAnsi="仿宋" w:eastAsia="仿宋" w:cs="仿宋"/>
          <w:highlight w:val="none"/>
        </w:rPr>
      </w:pPr>
      <w:r>
        <w:rPr>
          <w:rFonts w:hint="eastAsia" w:ascii="仿宋" w:hAnsi="仿宋" w:eastAsia="仿宋" w:cs="仿宋"/>
          <w:highlight w:val="none"/>
        </w:rPr>
        <w:t>本公司（联合体）郑重声明，根据《政府采购促进‘’中小 企业发展管理办法》（财库﹝2020﹞46 号）的规定，本公司 （联合体）参加</w:t>
      </w:r>
      <w:r>
        <w:rPr>
          <w:rFonts w:hint="eastAsia" w:ascii="仿宋" w:hAnsi="仿宋" w:eastAsia="仿宋" w:cs="仿宋"/>
          <w:i/>
          <w:iCs/>
          <w:highlight w:val="none"/>
          <w:u w:val="single"/>
        </w:rPr>
        <w:t>（单位名称）</w:t>
      </w:r>
      <w:r>
        <w:rPr>
          <w:rFonts w:hint="eastAsia" w:ascii="仿宋" w:hAnsi="仿宋" w:eastAsia="仿宋" w:cs="仿宋"/>
          <w:highlight w:val="none"/>
        </w:rPr>
        <w:t>的</w:t>
      </w:r>
      <w:r>
        <w:rPr>
          <w:rFonts w:hint="eastAsia" w:ascii="仿宋" w:hAnsi="仿宋" w:eastAsia="仿宋" w:cs="仿宋"/>
          <w:i/>
          <w:iCs/>
          <w:highlight w:val="none"/>
          <w:u w:val="single"/>
        </w:rPr>
        <w:t>（项目名称）</w:t>
      </w:r>
      <w:r>
        <w:rPr>
          <w:rFonts w:hint="eastAsia" w:ascii="仿宋" w:hAnsi="仿宋" w:eastAsia="仿宋" w:cs="仿宋"/>
          <w:highlight w:val="none"/>
        </w:rPr>
        <w:t>采购活动，提 供的货物全部由符合政策要求的中小企业制造。相关企业 （含联合体中的中小企业、签订分包意向协议的中小企业） 的具体情况如下：</w:t>
      </w:r>
    </w:p>
    <w:p w14:paraId="7C091AC6">
      <w:pPr>
        <w:pStyle w:val="8"/>
        <w:adjustRightInd w:val="0"/>
        <w:snapToGrid w:val="0"/>
        <w:ind w:left="0" w:firstLine="480"/>
        <w:rPr>
          <w:rFonts w:hint="eastAsia" w:ascii="仿宋" w:hAnsi="仿宋" w:eastAsia="仿宋" w:cs="仿宋"/>
          <w:highlight w:val="none"/>
        </w:rPr>
      </w:pPr>
      <w:r>
        <w:rPr>
          <w:rFonts w:hint="eastAsia" w:ascii="仿宋" w:hAnsi="仿宋" w:eastAsia="仿宋" w:cs="仿宋"/>
          <w:highlight w:val="none"/>
        </w:rPr>
        <w:t xml:space="preserve">1. </w:t>
      </w:r>
      <w:r>
        <w:rPr>
          <w:rFonts w:hint="eastAsia" w:ascii="仿宋" w:hAnsi="仿宋" w:eastAsia="仿宋" w:cs="仿宋"/>
          <w:highlight w:val="none"/>
          <w:u w:val="single"/>
        </w:rPr>
        <w:t xml:space="preserve">（标的名称） </w:t>
      </w:r>
      <w:r>
        <w:rPr>
          <w:rFonts w:hint="eastAsia" w:ascii="仿宋" w:hAnsi="仿宋" w:eastAsia="仿宋" w:cs="仿宋"/>
          <w:highlight w:val="none"/>
        </w:rPr>
        <w:t>，属于</w:t>
      </w:r>
      <w:r>
        <w:rPr>
          <w:rFonts w:hint="eastAsia" w:ascii="仿宋" w:hAnsi="仿宋" w:eastAsia="仿宋" w:cs="仿宋"/>
          <w:highlight w:val="none"/>
          <w:u w:val="single"/>
        </w:rPr>
        <w:t>（采购文件中明确的所属行业） 行业</w:t>
      </w:r>
      <w:r>
        <w:rPr>
          <w:rFonts w:hint="eastAsia" w:ascii="仿宋" w:hAnsi="仿宋" w:eastAsia="仿宋" w:cs="仿宋"/>
          <w:highlight w:val="none"/>
        </w:rPr>
        <w:t>；制造商为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xml:space="preserve">   </w:t>
      </w:r>
      <w:r>
        <w:rPr>
          <w:rFonts w:hint="eastAsia" w:ascii="仿宋" w:hAnsi="仿宋" w:eastAsia="仿宋" w:cs="仿宋"/>
          <w:highlight w:val="none"/>
        </w:rPr>
        <w:t>人，营业收入为</w:t>
      </w:r>
      <w:r>
        <w:rPr>
          <w:rFonts w:hint="eastAsia" w:ascii="仿宋" w:hAnsi="仿宋" w:eastAsia="仿宋" w:cs="仿宋"/>
          <w:highlight w:val="none"/>
          <w:u w:val="single"/>
        </w:rPr>
        <w:t xml:space="preserve">     </w:t>
      </w:r>
      <w:r>
        <w:rPr>
          <w:rFonts w:hint="eastAsia" w:ascii="仿宋" w:hAnsi="仿宋" w:eastAsia="仿宋" w:cs="仿宋"/>
          <w:highlight w:val="none"/>
        </w:rPr>
        <w:t>万元，资产总额为</w:t>
      </w:r>
      <w:r>
        <w:rPr>
          <w:rFonts w:hint="eastAsia" w:ascii="仿宋" w:hAnsi="仿宋" w:eastAsia="仿宋" w:cs="仿宋"/>
          <w:highlight w:val="none"/>
          <w:u w:val="single"/>
        </w:rPr>
        <w:t xml:space="preserve">       </w:t>
      </w:r>
      <w:r>
        <w:rPr>
          <w:rFonts w:hint="eastAsia" w:ascii="仿宋" w:hAnsi="仿宋" w:eastAsia="仿宋" w:cs="仿宋"/>
          <w:highlight w:val="none"/>
        </w:rPr>
        <w:t>万元，属于</w:t>
      </w:r>
      <w:r>
        <w:rPr>
          <w:rFonts w:hint="eastAsia" w:ascii="仿宋" w:hAnsi="仿宋" w:eastAsia="仿宋" w:cs="仿宋"/>
          <w:highlight w:val="none"/>
          <w:u w:val="single"/>
        </w:rPr>
        <w:t xml:space="preserve"> （中型企业、小型企业、微型企业）</w:t>
      </w:r>
      <w:r>
        <w:rPr>
          <w:rFonts w:hint="eastAsia" w:ascii="仿宋" w:hAnsi="仿宋" w:eastAsia="仿宋" w:cs="仿宋"/>
          <w:highlight w:val="none"/>
        </w:rPr>
        <w:t>；</w:t>
      </w:r>
    </w:p>
    <w:p w14:paraId="02738A98">
      <w:pPr>
        <w:pStyle w:val="8"/>
        <w:adjustRightInd w:val="0"/>
        <w:snapToGrid w:val="0"/>
        <w:ind w:left="0" w:firstLine="480"/>
        <w:rPr>
          <w:rFonts w:hint="eastAsia" w:ascii="仿宋" w:hAnsi="仿宋" w:eastAsia="仿宋" w:cs="仿宋"/>
          <w:highlight w:val="none"/>
        </w:rPr>
      </w:pPr>
    </w:p>
    <w:p w14:paraId="3F89BAF3">
      <w:pPr>
        <w:pStyle w:val="8"/>
        <w:adjustRightInd w:val="0"/>
        <w:snapToGrid w:val="0"/>
        <w:ind w:left="0" w:firstLine="480"/>
        <w:rPr>
          <w:rFonts w:hint="eastAsia" w:ascii="仿宋" w:hAnsi="仿宋" w:eastAsia="仿宋" w:cs="仿宋"/>
          <w:highlight w:val="none"/>
        </w:rPr>
      </w:pPr>
      <w:r>
        <w:rPr>
          <w:rFonts w:hint="eastAsia" w:ascii="仿宋" w:hAnsi="仿宋" w:eastAsia="仿宋" w:cs="仿宋"/>
          <w:highlight w:val="none"/>
        </w:rPr>
        <w:t xml:space="preserve">2. </w:t>
      </w:r>
      <w:r>
        <w:rPr>
          <w:rFonts w:hint="eastAsia" w:ascii="仿宋" w:hAnsi="仿宋" w:eastAsia="仿宋" w:cs="仿宋"/>
          <w:highlight w:val="none"/>
          <w:u w:val="single"/>
        </w:rPr>
        <w:t>（标的名称）</w:t>
      </w:r>
      <w:r>
        <w:rPr>
          <w:rFonts w:hint="eastAsia" w:ascii="仿宋" w:hAnsi="仿宋" w:eastAsia="仿宋" w:cs="仿宋"/>
          <w:highlight w:val="none"/>
        </w:rPr>
        <w:t xml:space="preserve"> ，属于</w:t>
      </w:r>
      <w:r>
        <w:rPr>
          <w:rFonts w:hint="eastAsia" w:ascii="仿宋" w:hAnsi="仿宋" w:eastAsia="仿宋" w:cs="仿宋"/>
          <w:highlight w:val="none"/>
          <w:u w:val="single"/>
        </w:rPr>
        <w:t>（采购文件中明确的所属行业）行业</w:t>
      </w:r>
      <w:r>
        <w:rPr>
          <w:rFonts w:hint="eastAsia" w:ascii="仿宋" w:hAnsi="仿宋" w:eastAsia="仿宋" w:cs="仿宋"/>
          <w:highlight w:val="none"/>
        </w:rPr>
        <w:t>；制造商为</w:t>
      </w:r>
      <w:r>
        <w:rPr>
          <w:rFonts w:hint="eastAsia" w:ascii="仿宋" w:hAnsi="仿宋" w:eastAsia="仿宋" w:cs="仿宋"/>
          <w:highlight w:val="none"/>
          <w:u w:val="single"/>
        </w:rPr>
        <w:t>（企业名称）</w:t>
      </w:r>
      <w:r>
        <w:rPr>
          <w:rFonts w:hint="eastAsia" w:ascii="仿宋" w:hAnsi="仿宋" w:eastAsia="仿宋" w:cs="仿宋"/>
          <w:highlight w:val="none"/>
        </w:rPr>
        <w:t>，从业人员</w:t>
      </w:r>
      <w:r>
        <w:rPr>
          <w:rFonts w:hint="eastAsia" w:ascii="仿宋" w:hAnsi="仿宋" w:eastAsia="仿宋" w:cs="仿宋"/>
          <w:highlight w:val="none"/>
          <w:u w:val="single"/>
        </w:rPr>
        <w:t xml:space="preserve">     </w:t>
      </w:r>
      <w:r>
        <w:rPr>
          <w:rFonts w:hint="eastAsia" w:ascii="仿宋" w:hAnsi="仿宋" w:eastAsia="仿宋" w:cs="仿宋"/>
          <w:highlight w:val="none"/>
        </w:rPr>
        <w:t>人，营业收入 为</w:t>
      </w:r>
      <w:r>
        <w:rPr>
          <w:rFonts w:hint="eastAsia" w:ascii="仿宋" w:hAnsi="仿宋" w:eastAsia="仿宋" w:cs="仿宋"/>
          <w:highlight w:val="none"/>
          <w:u w:val="single"/>
        </w:rPr>
        <w:t xml:space="preserve">    </w:t>
      </w:r>
      <w:r>
        <w:rPr>
          <w:rFonts w:hint="eastAsia" w:ascii="仿宋" w:hAnsi="仿宋" w:eastAsia="仿宋" w:cs="仿宋"/>
          <w:highlight w:val="none"/>
        </w:rPr>
        <w:t>万元，资产总额为</w:t>
      </w:r>
      <w:r>
        <w:rPr>
          <w:rFonts w:hint="eastAsia" w:ascii="仿宋" w:hAnsi="仿宋" w:eastAsia="仿宋" w:cs="仿宋"/>
          <w:highlight w:val="none"/>
          <w:u w:val="single"/>
        </w:rPr>
        <w:t xml:space="preserve">    </w:t>
      </w:r>
      <w:r>
        <w:rPr>
          <w:rFonts w:hint="eastAsia" w:ascii="仿宋" w:hAnsi="仿宋" w:eastAsia="仿宋" w:cs="仿宋"/>
          <w:highlight w:val="none"/>
        </w:rPr>
        <w:t>万元，属于</w:t>
      </w:r>
      <w:r>
        <w:rPr>
          <w:rFonts w:hint="eastAsia" w:ascii="仿宋" w:hAnsi="仿宋" w:eastAsia="仿宋" w:cs="仿宋"/>
          <w:highlight w:val="none"/>
          <w:u w:val="single"/>
        </w:rPr>
        <w:t>（中型企业、小型 企业、微型企业）</w:t>
      </w:r>
      <w:r>
        <w:rPr>
          <w:rFonts w:hint="eastAsia" w:ascii="仿宋" w:hAnsi="仿宋" w:eastAsia="仿宋" w:cs="仿宋"/>
          <w:highlight w:val="none"/>
        </w:rPr>
        <w:t>；</w:t>
      </w:r>
    </w:p>
    <w:p w14:paraId="1140C3CA">
      <w:pPr>
        <w:pStyle w:val="8"/>
        <w:adjustRightInd w:val="0"/>
        <w:snapToGrid w:val="0"/>
        <w:ind w:left="0" w:firstLine="480"/>
        <w:rPr>
          <w:rFonts w:hint="eastAsia" w:ascii="仿宋" w:hAnsi="仿宋" w:eastAsia="仿宋" w:cs="仿宋"/>
          <w:highlight w:val="none"/>
        </w:rPr>
      </w:pPr>
    </w:p>
    <w:p w14:paraId="77A27BF3">
      <w:pPr>
        <w:pStyle w:val="8"/>
        <w:adjustRightInd w:val="0"/>
        <w:snapToGrid w:val="0"/>
        <w:ind w:left="0" w:firstLine="480"/>
        <w:rPr>
          <w:rFonts w:hint="eastAsia" w:ascii="仿宋" w:hAnsi="仿宋" w:eastAsia="仿宋" w:cs="仿宋"/>
          <w:highlight w:val="none"/>
        </w:rPr>
      </w:pPr>
      <w:r>
        <w:rPr>
          <w:rFonts w:hint="eastAsia" w:ascii="仿宋" w:hAnsi="仿宋" w:eastAsia="仿宋" w:cs="仿宋"/>
          <w:highlight w:val="none"/>
        </w:rPr>
        <w:t>……</w:t>
      </w:r>
    </w:p>
    <w:p w14:paraId="75540B66">
      <w:pPr>
        <w:ind w:firstLine="480"/>
        <w:rPr>
          <w:rFonts w:hint="eastAsia" w:ascii="仿宋" w:hAnsi="仿宋" w:eastAsia="仿宋" w:cs="仿宋"/>
          <w:highlight w:val="none"/>
        </w:rPr>
      </w:pPr>
      <w:r>
        <w:rPr>
          <w:rFonts w:hint="eastAsia" w:ascii="仿宋" w:hAnsi="仿宋" w:eastAsia="仿宋" w:cs="仿宋"/>
          <w:highlight w:val="none"/>
        </w:rPr>
        <w:t>以上企业，不属于大企业的分支机构，不存在控股股东 为大企业的情形，也不存在与大企业的负责人为同一人的情 形。</w:t>
      </w:r>
    </w:p>
    <w:p w14:paraId="07061E0F">
      <w:pPr>
        <w:ind w:firstLine="480"/>
        <w:rPr>
          <w:rFonts w:hint="eastAsia" w:ascii="仿宋" w:hAnsi="仿宋" w:eastAsia="仿宋" w:cs="仿宋"/>
          <w:highlight w:val="none"/>
        </w:rPr>
      </w:pPr>
      <w:r>
        <w:rPr>
          <w:rFonts w:hint="eastAsia" w:ascii="仿宋" w:hAnsi="仿宋" w:eastAsia="仿宋" w:cs="仿宋"/>
          <w:highlight w:val="none"/>
        </w:rPr>
        <w:t>本企业对上述声明内容的真实性负责。如有虚假，将依 法承担相应责任。</w:t>
      </w:r>
    </w:p>
    <w:p w14:paraId="752FAB19">
      <w:pPr>
        <w:ind w:firstLine="480"/>
        <w:rPr>
          <w:rFonts w:hint="eastAsia" w:ascii="仿宋" w:hAnsi="仿宋" w:eastAsia="仿宋" w:cs="仿宋"/>
          <w:highlight w:val="none"/>
        </w:rPr>
      </w:pPr>
    </w:p>
    <w:p w14:paraId="4B87FE32">
      <w:pPr>
        <w:ind w:firstLine="480"/>
        <w:rPr>
          <w:rFonts w:hint="eastAsia" w:ascii="仿宋" w:hAnsi="仿宋" w:eastAsia="仿宋" w:cs="仿宋"/>
          <w:highlight w:val="none"/>
        </w:rPr>
      </w:pPr>
      <w:r>
        <w:rPr>
          <w:rFonts w:hint="eastAsia" w:ascii="仿宋" w:hAnsi="仿宋" w:eastAsia="仿宋" w:cs="仿宋"/>
          <w:highlight w:val="none"/>
        </w:rPr>
        <w:t>企业名称（盖章）： 日期：</w:t>
      </w:r>
    </w:p>
    <w:p w14:paraId="2EC12031">
      <w:pPr>
        <w:ind w:firstLine="480"/>
        <w:rPr>
          <w:rFonts w:hint="eastAsia" w:ascii="仿宋" w:hAnsi="仿宋" w:eastAsia="仿宋" w:cs="仿宋"/>
          <w:highlight w:val="none"/>
        </w:rPr>
      </w:pPr>
    </w:p>
    <w:p w14:paraId="525C98F8">
      <w:pPr>
        <w:ind w:firstLine="480"/>
        <w:rPr>
          <w:rFonts w:hint="eastAsia" w:ascii="仿宋" w:hAnsi="仿宋" w:eastAsia="仿宋" w:cs="仿宋"/>
          <w:highlight w:val="none"/>
        </w:rPr>
      </w:pPr>
    </w:p>
    <w:p w14:paraId="23E8F9B6">
      <w:pPr>
        <w:rPr>
          <w:rStyle w:val="20"/>
          <w:rFonts w:hint="eastAsia" w:ascii="仿宋" w:hAnsi="仿宋" w:eastAsia="仿宋" w:cs="仿宋"/>
          <w:sz w:val="21"/>
          <w:szCs w:val="21"/>
          <w:highlight w:val="none"/>
        </w:rPr>
      </w:pPr>
      <w:r>
        <w:rPr>
          <w:rFonts w:hint="eastAsia" w:ascii="仿宋" w:hAnsi="仿宋" w:eastAsia="仿宋" w:cs="仿宋"/>
          <w:highlight w:val="none"/>
        </w:rPr>
        <w:t>从业人员、营业收入、资产总额填报上一年度数据，无上一年度数据的新成立企业可不填报。</w:t>
      </w:r>
      <w:r>
        <w:rPr>
          <w:rFonts w:hint="eastAsia" w:ascii="仿宋" w:hAnsi="仿宋" w:eastAsia="仿宋" w:cs="仿宋"/>
          <w:b/>
          <w:sz w:val="32"/>
          <w:highlight w:val="none"/>
        </w:rPr>
        <w:br w:type="page"/>
      </w:r>
      <w:r>
        <w:rPr>
          <w:rFonts w:hint="eastAsia" w:ascii="仿宋" w:hAnsi="仿宋" w:eastAsia="仿宋" w:cs="仿宋"/>
          <w:sz w:val="21"/>
          <w:szCs w:val="21"/>
          <w:highlight w:val="none"/>
        </w:rPr>
        <w:t xml:space="preserve"> </w:t>
      </w:r>
      <w:r>
        <w:rPr>
          <w:rStyle w:val="20"/>
          <w:rFonts w:hint="eastAsia" w:ascii="仿宋" w:hAnsi="仿宋" w:eastAsia="仿宋" w:cs="仿宋"/>
          <w:sz w:val="21"/>
          <w:szCs w:val="21"/>
          <w:highlight w:val="none"/>
        </w:rPr>
        <w:t>关于印发中小企业划型标准规定的通知</w:t>
      </w:r>
    </w:p>
    <w:p w14:paraId="2AFF6793">
      <w:pPr>
        <w:pStyle w:val="14"/>
        <w:spacing w:before="0" w:beforeAutospacing="0" w:after="0" w:afterAutospacing="0"/>
        <w:ind w:firstLine="60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工信部联企业〔2011〕300号</w:t>
      </w:r>
    </w:p>
    <w:p w14:paraId="1D56B333">
      <w:pPr>
        <w:pStyle w:val="14"/>
        <w:spacing w:before="0" w:beforeAutospacing="0" w:after="0" w:afterAutospacing="0"/>
        <w:ind w:firstLine="480"/>
        <w:rPr>
          <w:rFonts w:hint="eastAsia" w:ascii="仿宋" w:hAnsi="仿宋" w:eastAsia="仿宋" w:cs="仿宋"/>
          <w:sz w:val="21"/>
          <w:szCs w:val="21"/>
          <w:highlight w:val="none"/>
        </w:rPr>
      </w:pPr>
      <w:r>
        <w:rPr>
          <w:rFonts w:hint="eastAsia" w:ascii="仿宋" w:hAnsi="仿宋" w:eastAsia="仿宋" w:cs="仿宋"/>
          <w:sz w:val="21"/>
          <w:szCs w:val="21"/>
          <w:highlight w:val="none"/>
        </w:rPr>
        <w:t>各省、自治区、直辖市人民政府，国务院各部委、各直属机构及有关单位：</w:t>
      </w:r>
    </w:p>
    <w:p w14:paraId="463D2163">
      <w:pPr>
        <w:pStyle w:val="14"/>
        <w:spacing w:before="0" w:beforeAutospacing="0" w:after="0" w:afterAutospacing="0"/>
        <w:ind w:firstLine="480"/>
        <w:rPr>
          <w:rFonts w:hint="eastAsia" w:ascii="仿宋" w:hAnsi="仿宋" w:eastAsia="仿宋" w:cs="仿宋"/>
          <w:sz w:val="21"/>
          <w:szCs w:val="21"/>
          <w:highlight w:val="none"/>
        </w:rPr>
      </w:pPr>
      <w:r>
        <w:rPr>
          <w:rFonts w:hint="eastAsia" w:ascii="仿宋" w:hAnsi="仿宋" w:eastAsia="仿宋" w:cs="仿宋"/>
          <w:sz w:val="21"/>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09750D6">
      <w:pPr>
        <w:pStyle w:val="14"/>
        <w:spacing w:before="0" w:beforeAutospacing="0" w:after="0" w:afterAutospacing="0"/>
        <w:rPr>
          <w:rFonts w:hint="eastAsia" w:ascii="仿宋" w:hAnsi="仿宋" w:eastAsia="仿宋" w:cs="仿宋"/>
          <w:sz w:val="21"/>
          <w:szCs w:val="21"/>
          <w:highlight w:val="none"/>
        </w:rPr>
      </w:pPr>
      <w:r>
        <w:rPr>
          <w:rFonts w:hint="eastAsia" w:ascii="仿宋" w:hAnsi="仿宋" w:eastAsia="仿宋" w:cs="仿宋"/>
          <w:sz w:val="21"/>
          <w:szCs w:val="21"/>
          <w:highlight w:val="none"/>
        </w:rPr>
        <w:t>　　　　　　　　　　　　　　　　　　　　　工业和信息化部　国家统计局</w:t>
      </w:r>
    </w:p>
    <w:p w14:paraId="7ED7E222">
      <w:pPr>
        <w:pStyle w:val="14"/>
        <w:spacing w:before="0" w:beforeAutospacing="0" w:after="0" w:afterAutospacing="0"/>
        <w:rPr>
          <w:rFonts w:hint="eastAsia" w:ascii="仿宋" w:hAnsi="仿宋" w:eastAsia="仿宋" w:cs="仿宋"/>
          <w:sz w:val="21"/>
          <w:szCs w:val="21"/>
          <w:highlight w:val="none"/>
        </w:rPr>
      </w:pPr>
      <w:r>
        <w:rPr>
          <w:rFonts w:hint="eastAsia" w:ascii="仿宋" w:hAnsi="仿宋" w:eastAsia="仿宋" w:cs="仿宋"/>
          <w:sz w:val="21"/>
          <w:szCs w:val="21"/>
          <w:highlight w:val="none"/>
        </w:rPr>
        <w:t>　　　　　　　　　　　　　　　　　　　　国家发展和改革委员会　财政部</w:t>
      </w:r>
    </w:p>
    <w:p w14:paraId="278B2DC3">
      <w:pPr>
        <w:pStyle w:val="14"/>
        <w:spacing w:before="0" w:beforeAutospacing="0" w:after="0" w:afterAutospacing="0"/>
        <w:rPr>
          <w:rFonts w:hint="eastAsia" w:ascii="仿宋" w:hAnsi="仿宋" w:eastAsia="仿宋" w:cs="仿宋"/>
          <w:sz w:val="21"/>
          <w:szCs w:val="21"/>
          <w:highlight w:val="none"/>
        </w:rPr>
      </w:pPr>
      <w:r>
        <w:rPr>
          <w:rFonts w:hint="eastAsia" w:ascii="仿宋" w:hAnsi="仿宋" w:eastAsia="仿宋" w:cs="仿宋"/>
          <w:sz w:val="21"/>
          <w:szCs w:val="21"/>
          <w:highlight w:val="none"/>
        </w:rPr>
        <w:t>　　　　　　　　　　　　　　　　　　　　　　　　二○一一年六月十八日</w:t>
      </w:r>
    </w:p>
    <w:p w14:paraId="49FABCDD">
      <w:pPr>
        <w:pStyle w:val="14"/>
        <w:spacing w:before="0" w:beforeAutospacing="0" w:after="0" w:afterAutospacing="0"/>
        <w:jc w:val="center"/>
        <w:rPr>
          <w:rFonts w:hint="eastAsia" w:ascii="仿宋" w:hAnsi="仿宋" w:eastAsia="仿宋" w:cs="仿宋"/>
          <w:sz w:val="21"/>
          <w:szCs w:val="21"/>
          <w:highlight w:val="none"/>
        </w:rPr>
      </w:pPr>
      <w:r>
        <w:rPr>
          <w:rStyle w:val="20"/>
          <w:rFonts w:hint="eastAsia" w:ascii="仿宋" w:hAnsi="仿宋" w:eastAsia="仿宋" w:cs="仿宋"/>
          <w:sz w:val="21"/>
          <w:szCs w:val="21"/>
          <w:highlight w:val="none"/>
        </w:rPr>
        <w:t>中小企业划型标准规定</w:t>
      </w:r>
    </w:p>
    <w:p w14:paraId="29F643D9">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一、根据《中华人民共和国中小企业促进法》和《国务院关于进一步促进中小企业发展的若干意见》(国发〔2009〕36号)，制定本规定。</w:t>
      </w:r>
    </w:p>
    <w:p w14:paraId="736527BC">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二、中小企业划分为中型、小型、微型三种类型，具体标准根据企业从业人员、营业收入、资产总额等指标，结合行业特点制定。</w:t>
      </w:r>
    </w:p>
    <w:p w14:paraId="68450E15">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9845639">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四、各行业划型标准为：</w:t>
      </w:r>
    </w:p>
    <w:p w14:paraId="392AAE01">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7DE0FEED">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F0651D4">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E5B5BA0">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11343BBF">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86B9A3F">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02C635A">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DFFD2F5">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E26A82">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47A0830">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C35E154">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256844B">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90DDE07">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43C4D95">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CE6B61E">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4F16319">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20DB6F65">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五、企业类型的划分以统计部门的统计数据为依据。</w:t>
      </w:r>
    </w:p>
    <w:p w14:paraId="3E454B9D">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六、本规定适用于在中华人民共和国境内依法设立的各类所有制和各种组织形式的企业。个体工商户和本规定以外的行业，参照本规定进行划型。</w:t>
      </w:r>
    </w:p>
    <w:p w14:paraId="27706066">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937A469">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八、本规定由工业和信息化部、国家统计局会同有关部门根据《国民经济行业分类》修订情况和企业发展变化情况适时修订。</w:t>
      </w:r>
    </w:p>
    <w:p w14:paraId="063E2116">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九、本规定由工业和信息化部、国家统计局会同有关部门负责解释。</w:t>
      </w:r>
    </w:p>
    <w:p w14:paraId="36FEB539">
      <w:pPr>
        <w:pStyle w:val="14"/>
        <w:spacing w:before="0" w:beforeAutospacing="0" w:after="0" w:afterAutospacing="0"/>
        <w:ind w:firstLine="367" w:firstLineChars="175"/>
        <w:jc w:val="both"/>
        <w:rPr>
          <w:rFonts w:hint="eastAsia" w:ascii="仿宋" w:hAnsi="仿宋" w:eastAsia="仿宋" w:cs="仿宋"/>
          <w:sz w:val="21"/>
          <w:szCs w:val="21"/>
          <w:highlight w:val="none"/>
        </w:rPr>
      </w:pPr>
      <w:r>
        <w:rPr>
          <w:rFonts w:hint="eastAsia" w:ascii="仿宋" w:hAnsi="仿宋" w:eastAsia="仿宋" w:cs="仿宋"/>
          <w:sz w:val="21"/>
          <w:szCs w:val="21"/>
          <w:highlight w:val="none"/>
        </w:rPr>
        <w:t>十、本规定自发布之日起执行，原国家经贸委、原国家计委、财政部和国家统计局2003年颁布的《中小企业标准暂行规定》同时废止。</w:t>
      </w:r>
    </w:p>
    <w:p w14:paraId="30B0560A">
      <w:pPr>
        <w:jc w:val="center"/>
        <w:rPr>
          <w:rFonts w:hint="eastAsia" w:ascii="仿宋" w:hAnsi="仿宋" w:eastAsia="仿宋" w:cs="仿宋"/>
          <w:b/>
          <w:szCs w:val="21"/>
          <w:highlight w:val="none"/>
        </w:rPr>
      </w:pPr>
      <w:bookmarkStart w:id="4" w:name="_Toc503336056"/>
      <w:bookmarkStart w:id="5" w:name="_Toc444702747"/>
      <w:r>
        <w:rPr>
          <w:rFonts w:hint="eastAsia" w:ascii="仿宋" w:hAnsi="仿宋" w:eastAsia="仿宋" w:cs="仿宋"/>
          <w:b/>
          <w:szCs w:val="21"/>
          <w:highlight w:val="none"/>
        </w:rPr>
        <w:br w:type="page"/>
      </w:r>
      <w:r>
        <w:rPr>
          <w:rFonts w:hint="eastAsia" w:ascii="仿宋" w:hAnsi="仿宋" w:eastAsia="仿宋" w:cs="仿宋"/>
          <w:b/>
          <w:szCs w:val="21"/>
          <w:highlight w:val="none"/>
        </w:rPr>
        <w:t>监狱、戒毒企业声明函</w:t>
      </w:r>
      <w:bookmarkEnd w:id="4"/>
      <w:bookmarkEnd w:id="5"/>
    </w:p>
    <w:p w14:paraId="6187A352">
      <w:pPr>
        <w:pStyle w:val="6"/>
        <w:jc w:val="center"/>
        <w:rPr>
          <w:rFonts w:hint="eastAsia" w:ascii="仿宋" w:hAnsi="仿宋" w:eastAsia="仿宋" w:cs="仿宋"/>
          <w:b/>
          <w:szCs w:val="21"/>
          <w:highlight w:val="none"/>
        </w:rPr>
      </w:pPr>
      <w:r>
        <w:rPr>
          <w:rFonts w:hint="eastAsia" w:ascii="仿宋" w:hAnsi="仿宋" w:eastAsia="仿宋" w:cs="仿宋"/>
          <w:szCs w:val="21"/>
          <w:highlight w:val="none"/>
        </w:rPr>
        <w:t>（如为监狱、戒毒企业，须提供声明函）</w:t>
      </w:r>
    </w:p>
    <w:p w14:paraId="12E1E455">
      <w:pPr>
        <w:pStyle w:val="35"/>
        <w:widowControl w:val="0"/>
        <w:ind w:firstLine="389" w:firstLineChars="177"/>
        <w:rPr>
          <w:rFonts w:hint="eastAsia" w:ascii="仿宋" w:hAnsi="仿宋" w:eastAsia="仿宋" w:cs="仿宋"/>
          <w:kern w:val="2"/>
          <w:highlight w:val="none"/>
        </w:rPr>
      </w:pPr>
      <w:r>
        <w:rPr>
          <w:rFonts w:hint="eastAsia" w:ascii="仿宋" w:hAnsi="仿宋" w:eastAsia="仿宋" w:cs="仿宋"/>
          <w:kern w:val="2"/>
          <w:highlight w:val="none"/>
        </w:rPr>
        <w:t>本公司为______（请填写：监狱、戒毒）企业。即，本公司同时满足以下条件：</w:t>
      </w:r>
    </w:p>
    <w:p w14:paraId="308A743F">
      <w:pPr>
        <w:pStyle w:val="35"/>
        <w:widowControl w:val="0"/>
        <w:ind w:firstLine="389" w:firstLineChars="177"/>
        <w:rPr>
          <w:rFonts w:hint="eastAsia" w:ascii="仿宋" w:hAnsi="仿宋" w:eastAsia="仿宋" w:cs="仿宋"/>
          <w:kern w:val="2"/>
          <w:highlight w:val="none"/>
        </w:rPr>
      </w:pPr>
      <w:r>
        <w:rPr>
          <w:rFonts w:hint="eastAsia" w:ascii="仿宋" w:hAnsi="仿宋" w:eastAsia="仿宋" w:cs="仿宋"/>
          <w:kern w:val="2"/>
          <w:highlight w:val="none"/>
        </w:rPr>
        <w:t>1.本公司为______（请填写：监狱、戒毒）企业。</w:t>
      </w:r>
    </w:p>
    <w:p w14:paraId="55528FEE">
      <w:pPr>
        <w:pStyle w:val="35"/>
        <w:widowControl w:val="0"/>
        <w:ind w:firstLine="389" w:firstLineChars="177"/>
        <w:rPr>
          <w:rFonts w:hint="eastAsia" w:ascii="仿宋" w:hAnsi="仿宋" w:eastAsia="仿宋" w:cs="仿宋"/>
          <w:kern w:val="2"/>
          <w:highlight w:val="none"/>
        </w:rPr>
      </w:pPr>
      <w:r>
        <w:rPr>
          <w:rFonts w:hint="eastAsia" w:ascii="仿宋" w:hAnsi="仿宋" w:eastAsia="仿宋" w:cs="仿宋"/>
          <w:kern w:val="2"/>
          <w:highlight w:val="none"/>
        </w:rPr>
        <w:t>2.本公司参加______单位的______项目采购活动提供本企业制造的货物，由本企业承担工程、提供服务，或者提供其他______（请填写：监狱、戒毒）企业制造的货物。</w:t>
      </w:r>
    </w:p>
    <w:p w14:paraId="159D7F9E">
      <w:pPr>
        <w:pStyle w:val="35"/>
        <w:widowControl w:val="0"/>
        <w:ind w:firstLine="389" w:firstLineChars="177"/>
        <w:rPr>
          <w:rFonts w:hint="eastAsia" w:ascii="仿宋" w:hAnsi="仿宋" w:eastAsia="仿宋" w:cs="仿宋"/>
          <w:kern w:val="2"/>
          <w:highlight w:val="none"/>
        </w:rPr>
      </w:pPr>
      <w:r>
        <w:rPr>
          <w:rFonts w:hint="eastAsia" w:ascii="仿宋" w:hAnsi="仿宋" w:eastAsia="仿宋" w:cs="仿宋"/>
          <w:kern w:val="2"/>
          <w:highlight w:val="none"/>
        </w:rPr>
        <w:t>本公司对上述声明的真实性负责。如有虚假，将依法承担相应责任。</w:t>
      </w:r>
    </w:p>
    <w:p w14:paraId="351B470E">
      <w:pPr>
        <w:ind w:firstLine="152"/>
        <w:jc w:val="right"/>
        <w:rPr>
          <w:rFonts w:hint="eastAsia" w:ascii="仿宋" w:hAnsi="仿宋" w:eastAsia="仿宋" w:cs="仿宋"/>
          <w:szCs w:val="21"/>
          <w:highlight w:val="none"/>
        </w:rPr>
      </w:pPr>
      <w:r>
        <w:rPr>
          <w:rFonts w:hint="eastAsia" w:ascii="仿宋" w:hAnsi="仿宋" w:eastAsia="仿宋" w:cs="仿宋"/>
          <w:szCs w:val="21"/>
          <w:highlight w:val="none"/>
        </w:rPr>
        <w:t xml:space="preserve">             企业名称（盖章）：</w:t>
      </w:r>
    </w:p>
    <w:p w14:paraId="74D095BB">
      <w:pPr>
        <w:ind w:firstLine="426"/>
        <w:jc w:val="right"/>
        <w:rPr>
          <w:rFonts w:hint="eastAsia" w:ascii="仿宋" w:hAnsi="仿宋" w:eastAsia="仿宋" w:cs="仿宋"/>
          <w:szCs w:val="21"/>
          <w:highlight w:val="none"/>
        </w:rPr>
      </w:pPr>
      <w:r>
        <w:rPr>
          <w:rFonts w:hint="eastAsia" w:ascii="仿宋" w:hAnsi="仿宋" w:eastAsia="仿宋" w:cs="仿宋"/>
          <w:szCs w:val="21"/>
          <w:highlight w:val="none"/>
        </w:rPr>
        <w:t>日           期：</w:t>
      </w:r>
    </w:p>
    <w:p w14:paraId="359D537E">
      <w:pPr>
        <w:pStyle w:val="35"/>
        <w:widowControl w:val="0"/>
        <w:ind w:firstLine="391" w:firstLineChars="177"/>
        <w:rPr>
          <w:rFonts w:hint="eastAsia" w:ascii="仿宋" w:hAnsi="仿宋" w:eastAsia="仿宋" w:cs="仿宋"/>
          <w:b/>
          <w:kern w:val="2"/>
          <w:highlight w:val="none"/>
        </w:rPr>
      </w:pPr>
    </w:p>
    <w:p w14:paraId="118062C0">
      <w:pPr>
        <w:pStyle w:val="35"/>
        <w:widowControl w:val="0"/>
        <w:ind w:firstLine="391" w:firstLineChars="177"/>
        <w:rPr>
          <w:rFonts w:hint="eastAsia" w:ascii="仿宋" w:hAnsi="仿宋" w:eastAsia="仿宋" w:cs="仿宋"/>
          <w:b/>
          <w:kern w:val="2"/>
          <w:highlight w:val="none"/>
        </w:rPr>
      </w:pPr>
      <w:r>
        <w:rPr>
          <w:rFonts w:hint="eastAsia" w:ascii="仿宋" w:hAnsi="仿宋" w:eastAsia="仿宋" w:cs="仿宋"/>
          <w:b/>
          <w:kern w:val="2"/>
          <w:highlight w:val="none"/>
        </w:rPr>
        <w:t>注：</w:t>
      </w:r>
    </w:p>
    <w:p w14:paraId="60696972">
      <w:pPr>
        <w:pStyle w:val="35"/>
        <w:widowControl w:val="0"/>
        <w:ind w:firstLine="391" w:firstLineChars="177"/>
        <w:rPr>
          <w:rFonts w:hint="eastAsia" w:ascii="仿宋" w:hAnsi="仿宋" w:eastAsia="仿宋" w:cs="仿宋"/>
          <w:b/>
          <w:kern w:val="2"/>
          <w:highlight w:val="none"/>
        </w:rPr>
      </w:pPr>
      <w:r>
        <w:rPr>
          <w:rFonts w:hint="eastAsia" w:ascii="仿宋" w:hAnsi="仿宋" w:eastAsia="仿宋" w:cs="仿宋"/>
          <w:b/>
          <w:kern w:val="2"/>
          <w:highlight w:val="none"/>
        </w:rPr>
        <w:t>(1)不符合上述情形的供应商无须提供上述声明函件。</w:t>
      </w:r>
    </w:p>
    <w:p w14:paraId="7CDC2881">
      <w:pPr>
        <w:pStyle w:val="35"/>
        <w:widowControl w:val="0"/>
        <w:ind w:firstLine="391" w:firstLineChars="177"/>
        <w:rPr>
          <w:rFonts w:hint="eastAsia" w:ascii="仿宋" w:hAnsi="仿宋" w:eastAsia="仿宋" w:cs="仿宋"/>
          <w:b/>
          <w:kern w:val="2"/>
          <w:highlight w:val="none"/>
        </w:rPr>
      </w:pPr>
      <w:r>
        <w:rPr>
          <w:rFonts w:hint="eastAsia" w:ascii="仿宋" w:hAnsi="仿宋" w:eastAsia="仿宋" w:cs="仿宋"/>
          <w:b/>
          <w:kern w:val="2"/>
          <w:highlight w:val="none"/>
        </w:rPr>
        <w:t>(2)提供市监狱管理局、市教育矫治局出具的监狱企业的证明文件。</w:t>
      </w:r>
    </w:p>
    <w:p w14:paraId="13AD6F0B">
      <w:pPr>
        <w:pStyle w:val="35"/>
        <w:widowControl w:val="0"/>
        <w:ind w:firstLine="391" w:firstLineChars="177"/>
        <w:rPr>
          <w:rFonts w:hint="eastAsia" w:ascii="仿宋" w:hAnsi="仿宋" w:eastAsia="仿宋" w:cs="仿宋"/>
          <w:b/>
          <w:kern w:val="2"/>
          <w:highlight w:val="none"/>
        </w:rPr>
      </w:pPr>
      <w:r>
        <w:rPr>
          <w:rFonts w:hint="eastAsia" w:ascii="仿宋" w:hAnsi="仿宋" w:eastAsia="仿宋" w:cs="仿宋"/>
          <w:b/>
          <w:kern w:val="2"/>
          <w:highlight w:val="none"/>
        </w:rPr>
        <w:t>(3)在政府采购活动中，监狱、戒毒企业视同小型、微型企业，享受预留份额、评审中价格扣除等政府采购促进中小企业发展的相关政策。向监狱、戒毒企业采购的金额，计入面向中小企业采购的统计数据。</w:t>
      </w:r>
    </w:p>
    <w:p w14:paraId="6695DBB1">
      <w:pPr>
        <w:ind w:firstLine="444" w:firstLineChars="201"/>
        <w:rPr>
          <w:rFonts w:hint="eastAsia" w:ascii="仿宋" w:hAnsi="仿宋" w:eastAsia="仿宋" w:cs="仿宋"/>
          <w:b/>
          <w:szCs w:val="21"/>
          <w:highlight w:val="none"/>
        </w:rPr>
      </w:pPr>
    </w:p>
    <w:p w14:paraId="75959DE3">
      <w:pPr>
        <w:jc w:val="center"/>
        <w:rPr>
          <w:rFonts w:hint="eastAsia" w:ascii="仿宋" w:hAnsi="仿宋" w:eastAsia="仿宋" w:cs="仿宋"/>
          <w:szCs w:val="21"/>
          <w:highlight w:val="none"/>
        </w:rPr>
      </w:pPr>
    </w:p>
    <w:p w14:paraId="5A556E18">
      <w:pPr>
        <w:ind w:firstLine="330" w:firstLineChars="150"/>
        <w:rPr>
          <w:rFonts w:hint="eastAsia" w:ascii="仿宋" w:hAnsi="仿宋" w:eastAsia="仿宋" w:cs="仿宋"/>
          <w:szCs w:val="21"/>
          <w:highlight w:val="none"/>
        </w:rPr>
        <w:sectPr>
          <w:footerReference r:id="rId10" w:type="default"/>
          <w:pgSz w:w="11907" w:h="16840"/>
          <w:pgMar w:top="1440" w:right="1080" w:bottom="1440" w:left="1080" w:header="851" w:footer="851" w:gutter="0"/>
          <w:cols w:space="720" w:num="1"/>
          <w:docGrid w:type="lines" w:linePitch="462" w:charSpace="0"/>
        </w:sectPr>
      </w:pPr>
    </w:p>
    <w:p w14:paraId="02D3173F">
      <w:pPr>
        <w:jc w:val="center"/>
        <w:rPr>
          <w:rFonts w:hint="eastAsia" w:ascii="仿宋" w:hAnsi="仿宋" w:eastAsia="仿宋" w:cs="仿宋"/>
          <w:b/>
          <w:szCs w:val="21"/>
          <w:highlight w:val="none"/>
        </w:rPr>
      </w:pPr>
      <w:bookmarkStart w:id="6" w:name="_Toc503336057"/>
      <w:r>
        <w:rPr>
          <w:rFonts w:hint="eastAsia" w:ascii="仿宋" w:hAnsi="仿宋" w:eastAsia="仿宋" w:cs="仿宋"/>
          <w:b/>
          <w:szCs w:val="21"/>
          <w:highlight w:val="none"/>
        </w:rPr>
        <w:t>残疾人福利性单位声明函</w:t>
      </w:r>
      <w:bookmarkEnd w:id="6"/>
    </w:p>
    <w:p w14:paraId="3E6EDCDA">
      <w:pPr>
        <w:jc w:val="center"/>
        <w:rPr>
          <w:rFonts w:hint="eastAsia" w:ascii="仿宋" w:hAnsi="仿宋" w:eastAsia="仿宋" w:cs="仿宋"/>
          <w:szCs w:val="21"/>
          <w:highlight w:val="none"/>
        </w:rPr>
      </w:pPr>
      <w:r>
        <w:rPr>
          <w:rFonts w:hint="eastAsia" w:ascii="仿宋" w:hAnsi="仿宋" w:eastAsia="仿宋" w:cs="仿宋"/>
          <w:szCs w:val="21"/>
          <w:highlight w:val="none"/>
        </w:rPr>
        <w:t>（如为残疾人福利性单位，须提供声明函）</w:t>
      </w:r>
    </w:p>
    <w:p w14:paraId="2E4FDEC0">
      <w:pPr>
        <w:jc w:val="center"/>
        <w:rPr>
          <w:rFonts w:hint="eastAsia" w:ascii="仿宋" w:hAnsi="仿宋" w:eastAsia="仿宋" w:cs="仿宋"/>
          <w:szCs w:val="21"/>
          <w:highlight w:val="none"/>
        </w:rPr>
      </w:pPr>
    </w:p>
    <w:p w14:paraId="678EA7C3">
      <w:pPr>
        <w:ind w:firstLine="389" w:firstLineChars="177"/>
        <w:rPr>
          <w:rFonts w:hint="eastAsia" w:ascii="仿宋" w:hAnsi="仿宋" w:eastAsia="仿宋" w:cs="仿宋"/>
          <w:szCs w:val="21"/>
          <w:highlight w:val="none"/>
        </w:rPr>
      </w:pPr>
      <w:r>
        <w:rPr>
          <w:rFonts w:hint="eastAsia" w:ascii="仿宋" w:hAnsi="仿宋" w:eastAsia="仿宋" w:cs="仿宋"/>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230A133">
      <w:pPr>
        <w:ind w:firstLine="389" w:firstLineChars="177"/>
        <w:rPr>
          <w:rFonts w:hint="eastAsia" w:ascii="仿宋" w:hAnsi="仿宋" w:eastAsia="仿宋" w:cs="仿宋"/>
          <w:szCs w:val="21"/>
          <w:highlight w:val="none"/>
        </w:rPr>
      </w:pPr>
      <w:r>
        <w:rPr>
          <w:rFonts w:hint="eastAsia" w:ascii="仿宋" w:hAnsi="仿宋" w:eastAsia="仿宋" w:cs="仿宋"/>
          <w:szCs w:val="21"/>
          <w:highlight w:val="none"/>
        </w:rPr>
        <w:t>本单位对上述声明的真实性负责。如有虚假，将依法承担相应责任。</w:t>
      </w:r>
    </w:p>
    <w:p w14:paraId="0E7E0C7B">
      <w:pPr>
        <w:jc w:val="center"/>
        <w:rPr>
          <w:rFonts w:hint="eastAsia" w:ascii="仿宋" w:hAnsi="仿宋" w:eastAsia="仿宋" w:cs="仿宋"/>
          <w:szCs w:val="21"/>
          <w:highlight w:val="none"/>
        </w:rPr>
      </w:pPr>
    </w:p>
    <w:p w14:paraId="0115482D">
      <w:pPr>
        <w:jc w:val="center"/>
        <w:rPr>
          <w:rFonts w:hint="eastAsia" w:ascii="仿宋" w:hAnsi="仿宋" w:eastAsia="仿宋" w:cs="仿宋"/>
          <w:szCs w:val="21"/>
          <w:highlight w:val="none"/>
        </w:rPr>
      </w:pPr>
    </w:p>
    <w:p w14:paraId="10DBA3F2">
      <w:pPr>
        <w:jc w:val="center"/>
        <w:rPr>
          <w:rFonts w:hint="eastAsia" w:ascii="仿宋" w:hAnsi="仿宋" w:eastAsia="仿宋" w:cs="仿宋"/>
          <w:szCs w:val="21"/>
          <w:highlight w:val="none"/>
        </w:rPr>
      </w:pPr>
      <w:r>
        <w:rPr>
          <w:rFonts w:hint="eastAsia" w:ascii="仿宋" w:hAnsi="仿宋" w:eastAsia="仿宋" w:cs="仿宋"/>
          <w:szCs w:val="21"/>
          <w:highlight w:val="none"/>
        </w:rPr>
        <w:t xml:space="preserve">               单位名称（盖章）：</w:t>
      </w:r>
    </w:p>
    <w:p w14:paraId="677D2728">
      <w:pPr>
        <w:ind w:firstLine="330" w:firstLineChars="150"/>
        <w:rPr>
          <w:rFonts w:hint="eastAsia" w:ascii="仿宋" w:hAnsi="仿宋" w:eastAsia="仿宋" w:cs="仿宋"/>
          <w:szCs w:val="21"/>
          <w:highlight w:val="none"/>
        </w:rPr>
      </w:pPr>
      <w:r>
        <w:rPr>
          <w:rFonts w:hint="eastAsia" w:ascii="仿宋" w:hAnsi="仿宋" w:eastAsia="仿宋" w:cs="仿宋"/>
          <w:szCs w:val="21"/>
          <w:highlight w:val="none"/>
        </w:rPr>
        <w:t xml:space="preserve">                                    日  期：</w:t>
      </w:r>
    </w:p>
    <w:p w14:paraId="5335DA4F">
      <w:pPr>
        <w:ind w:firstLine="330" w:firstLineChars="150"/>
        <w:rPr>
          <w:rFonts w:hint="eastAsia" w:ascii="仿宋" w:hAnsi="仿宋" w:eastAsia="仿宋" w:cs="仿宋"/>
          <w:szCs w:val="21"/>
          <w:highlight w:val="none"/>
        </w:rPr>
      </w:pPr>
    </w:p>
    <w:p w14:paraId="59388474">
      <w:pPr>
        <w:ind w:firstLine="330" w:firstLineChars="150"/>
        <w:rPr>
          <w:rFonts w:hint="eastAsia" w:ascii="仿宋" w:hAnsi="仿宋" w:eastAsia="仿宋" w:cs="仿宋"/>
          <w:szCs w:val="21"/>
          <w:highlight w:val="none"/>
        </w:rPr>
      </w:pPr>
    </w:p>
    <w:p w14:paraId="1E2323FF">
      <w:pPr>
        <w:pStyle w:val="35"/>
        <w:widowControl w:val="0"/>
        <w:ind w:firstLine="391" w:firstLineChars="177"/>
        <w:rPr>
          <w:rFonts w:hint="eastAsia" w:ascii="仿宋" w:hAnsi="仿宋" w:eastAsia="仿宋" w:cs="仿宋"/>
          <w:b/>
          <w:kern w:val="2"/>
          <w:highlight w:val="none"/>
        </w:rPr>
      </w:pPr>
      <w:r>
        <w:rPr>
          <w:rFonts w:hint="eastAsia" w:ascii="仿宋" w:hAnsi="仿宋" w:eastAsia="仿宋" w:cs="仿宋"/>
          <w:b/>
          <w:kern w:val="2"/>
          <w:highlight w:val="none"/>
        </w:rPr>
        <w:t>注：不符合上述情形的供应商无须提供上述声明函件。</w:t>
      </w:r>
    </w:p>
    <w:p w14:paraId="69044478">
      <w:pPr>
        <w:pStyle w:val="15"/>
        <w:outlineLvl w:val="9"/>
        <w:rPr>
          <w:rFonts w:hint="eastAsia" w:ascii="仿宋" w:hAnsi="仿宋" w:eastAsia="仿宋" w:cs="仿宋"/>
          <w:sz w:val="30"/>
          <w:szCs w:val="30"/>
          <w:highlight w:val="none"/>
        </w:rPr>
      </w:pPr>
      <w:r>
        <w:rPr>
          <w:rFonts w:hint="eastAsia" w:ascii="仿宋" w:hAnsi="仿宋" w:eastAsia="仿宋" w:cs="仿宋"/>
          <w:highlight w:val="none"/>
        </w:rPr>
        <w:br w:type="page"/>
      </w:r>
      <w:r>
        <w:rPr>
          <w:rFonts w:hint="eastAsia" w:ascii="仿宋" w:hAnsi="仿宋" w:eastAsia="仿宋" w:cs="仿宋"/>
          <w:sz w:val="30"/>
          <w:szCs w:val="30"/>
          <w:highlight w:val="none"/>
        </w:rPr>
        <w:t>关于符合本国产品标准的声明函</w:t>
      </w:r>
    </w:p>
    <w:p w14:paraId="05058F2C">
      <w:pPr>
        <w:spacing w:line="360" w:lineRule="auto"/>
        <w:rPr>
          <w:rFonts w:hint="eastAsia" w:ascii="仿宋" w:hAnsi="仿宋" w:eastAsia="仿宋" w:cs="仿宋"/>
          <w:sz w:val="24"/>
          <w:highlight w:val="none"/>
        </w:rPr>
      </w:pPr>
    </w:p>
    <w:p w14:paraId="3F2F0101">
      <w:pPr>
        <w:spacing w:line="360" w:lineRule="auto"/>
        <w:ind w:firstLine="440" w:firstLineChars="200"/>
        <w:rPr>
          <w:rFonts w:hint="eastAsia" w:ascii="仿宋" w:hAnsi="仿宋" w:eastAsia="仿宋" w:cs="仿宋"/>
          <w:szCs w:val="21"/>
          <w:highlight w:val="none"/>
        </w:rPr>
      </w:pPr>
      <w:r>
        <w:rPr>
          <w:rFonts w:hint="eastAsia" w:ascii="仿宋" w:hAnsi="仿宋" w:eastAsia="仿宋" w:cs="仿宋"/>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51F92DE0">
      <w:pPr>
        <w:spacing w:line="360" w:lineRule="auto"/>
        <w:ind w:firstLine="440" w:firstLineChars="200"/>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u w:val="single"/>
        </w:rPr>
        <w:t>（产品名称1）</w:t>
      </w:r>
      <w:r>
        <w:rPr>
          <w:rFonts w:hint="eastAsia" w:ascii="仿宋" w:hAnsi="仿宋" w:eastAsia="仿宋" w:cs="仿宋"/>
          <w:szCs w:val="21"/>
          <w:highlight w:val="none"/>
          <w:vertAlign w:val="superscript"/>
        </w:rPr>
        <w:t>1</w:t>
      </w:r>
      <w:r>
        <w:rPr>
          <w:rFonts w:hint="eastAsia" w:ascii="仿宋" w:hAnsi="仿宋" w:eastAsia="仿宋" w:cs="仿宋"/>
          <w:szCs w:val="21"/>
          <w:highlight w:val="none"/>
        </w:rPr>
        <w:t>，生产厂为</w:t>
      </w:r>
      <w:r>
        <w:rPr>
          <w:rFonts w:hint="eastAsia" w:ascii="仿宋" w:hAnsi="仿宋" w:eastAsia="仿宋" w:cs="仿宋"/>
          <w:szCs w:val="21"/>
          <w:highlight w:val="none"/>
          <w:u w:val="single"/>
        </w:rPr>
        <w:t>（厂名）</w:t>
      </w:r>
      <w:r>
        <w:rPr>
          <w:rFonts w:hint="eastAsia" w:ascii="仿宋" w:hAnsi="仿宋" w:eastAsia="仿宋" w:cs="仿宋"/>
          <w:szCs w:val="21"/>
          <w:highlight w:val="none"/>
          <w:vertAlign w:val="superscript"/>
        </w:rPr>
        <w:t>2</w:t>
      </w:r>
      <w:r>
        <w:rPr>
          <w:rFonts w:hint="eastAsia" w:ascii="仿宋" w:hAnsi="仿宋" w:eastAsia="仿宋" w:cs="仿宋"/>
          <w:szCs w:val="21"/>
          <w:highlight w:val="none"/>
        </w:rPr>
        <w:t>，厂址为</w:t>
      </w:r>
      <w:r>
        <w:rPr>
          <w:rFonts w:hint="eastAsia" w:ascii="仿宋" w:hAnsi="仿宋" w:eastAsia="仿宋" w:cs="仿宋"/>
          <w:szCs w:val="21"/>
          <w:highlight w:val="none"/>
          <w:u w:val="single"/>
        </w:rPr>
        <w:t>（生产厂址）</w:t>
      </w:r>
      <w:r>
        <w:rPr>
          <w:rFonts w:hint="eastAsia" w:ascii="仿宋" w:hAnsi="仿宋" w:eastAsia="仿宋" w:cs="仿宋"/>
          <w:szCs w:val="21"/>
          <w:highlight w:val="none"/>
        </w:rPr>
        <w:t>。</w:t>
      </w:r>
      <w:r>
        <w:rPr>
          <w:rFonts w:hint="eastAsia" w:ascii="仿宋" w:hAnsi="仿宋" w:eastAsia="仿宋" w:cs="仿宋"/>
          <w:szCs w:val="21"/>
          <w:highlight w:val="none"/>
          <w:u w:val="single"/>
        </w:rPr>
        <w:t>（产品名称1）</w:t>
      </w:r>
      <w:r>
        <w:rPr>
          <w:rFonts w:hint="eastAsia" w:ascii="仿宋" w:hAnsi="仿宋" w:eastAsia="仿宋" w:cs="仿宋"/>
          <w:szCs w:val="21"/>
          <w:highlight w:val="none"/>
        </w:rPr>
        <w:t>的中国境内生产的组件成本占比≥</w:t>
      </w:r>
      <w:r>
        <w:rPr>
          <w:rFonts w:hint="eastAsia" w:ascii="仿宋" w:hAnsi="仿宋" w:eastAsia="仿宋" w:cs="仿宋"/>
          <w:szCs w:val="21"/>
          <w:highlight w:val="none"/>
          <w:u w:val="single"/>
        </w:rPr>
        <w:t>（规定比例）</w:t>
      </w:r>
      <w:r>
        <w:rPr>
          <w:rFonts w:hint="eastAsia" w:ascii="仿宋" w:hAnsi="仿宋" w:eastAsia="仿宋" w:cs="仿宋"/>
          <w:szCs w:val="21"/>
          <w:highlight w:val="none"/>
          <w:vertAlign w:val="superscript"/>
        </w:rPr>
        <w:t>3</w:t>
      </w:r>
      <w:r>
        <w:rPr>
          <w:rFonts w:hint="eastAsia" w:ascii="仿宋" w:hAnsi="仿宋" w:eastAsia="仿宋" w:cs="仿宋"/>
          <w:szCs w:val="21"/>
          <w:highlight w:val="none"/>
        </w:rPr>
        <w:t>。</w:t>
      </w:r>
      <w:r>
        <w:rPr>
          <w:rFonts w:hint="eastAsia" w:ascii="仿宋" w:hAnsi="仿宋" w:eastAsia="仿宋" w:cs="仿宋"/>
          <w:szCs w:val="21"/>
          <w:highlight w:val="none"/>
          <w:u w:val="single"/>
        </w:rPr>
        <w:t>（产品名称1）</w:t>
      </w:r>
      <w:r>
        <w:rPr>
          <w:rFonts w:hint="eastAsia" w:ascii="仿宋" w:hAnsi="仿宋" w:eastAsia="仿宋" w:cs="仿宋"/>
          <w:szCs w:val="21"/>
          <w:highlight w:val="none"/>
        </w:rPr>
        <w:t>的</w:t>
      </w:r>
      <w:r>
        <w:rPr>
          <w:rFonts w:hint="eastAsia" w:ascii="仿宋" w:hAnsi="仿宋" w:eastAsia="仿宋" w:cs="仿宋"/>
          <w:szCs w:val="21"/>
          <w:highlight w:val="none"/>
          <w:u w:val="single"/>
        </w:rPr>
        <w:t>（关键组件）</w:t>
      </w:r>
      <w:r>
        <w:rPr>
          <w:rFonts w:hint="eastAsia" w:ascii="仿宋" w:hAnsi="仿宋" w:eastAsia="仿宋" w:cs="仿宋"/>
          <w:szCs w:val="21"/>
          <w:highlight w:val="none"/>
          <w:vertAlign w:val="superscript"/>
        </w:rPr>
        <w:t>4</w:t>
      </w:r>
      <w:r>
        <w:rPr>
          <w:rFonts w:hint="eastAsia" w:ascii="仿宋" w:hAnsi="仿宋" w:eastAsia="仿宋" w:cs="仿宋"/>
          <w:szCs w:val="21"/>
          <w:highlight w:val="none"/>
        </w:rPr>
        <w:t>在中国境内生产。</w:t>
      </w:r>
      <w:r>
        <w:rPr>
          <w:rFonts w:hint="eastAsia" w:ascii="仿宋" w:hAnsi="仿宋" w:eastAsia="仿宋" w:cs="仿宋"/>
          <w:szCs w:val="21"/>
          <w:highlight w:val="none"/>
          <w:u w:val="single"/>
        </w:rPr>
        <w:t>（产品名称1）</w:t>
      </w:r>
      <w:r>
        <w:rPr>
          <w:rFonts w:hint="eastAsia" w:ascii="仿宋" w:hAnsi="仿宋" w:eastAsia="仿宋" w:cs="仿宋"/>
          <w:szCs w:val="21"/>
          <w:highlight w:val="none"/>
        </w:rPr>
        <w:t>的</w:t>
      </w:r>
      <w:r>
        <w:rPr>
          <w:rFonts w:hint="eastAsia" w:ascii="仿宋" w:hAnsi="仿宋" w:eastAsia="仿宋" w:cs="仿宋"/>
          <w:szCs w:val="21"/>
          <w:highlight w:val="none"/>
          <w:u w:val="single"/>
        </w:rPr>
        <w:t>（关键工序）</w:t>
      </w:r>
      <w:r>
        <w:rPr>
          <w:rFonts w:hint="eastAsia" w:ascii="仿宋" w:hAnsi="仿宋" w:eastAsia="仿宋" w:cs="仿宋"/>
          <w:szCs w:val="21"/>
          <w:highlight w:val="none"/>
          <w:vertAlign w:val="superscript"/>
        </w:rPr>
        <w:t>5</w:t>
      </w:r>
      <w:r>
        <w:rPr>
          <w:rFonts w:hint="eastAsia" w:ascii="仿宋" w:hAnsi="仿宋" w:eastAsia="仿宋" w:cs="仿宋"/>
          <w:szCs w:val="21"/>
          <w:highlight w:val="none"/>
        </w:rPr>
        <w:t>在中国境内完成。</w:t>
      </w:r>
    </w:p>
    <w:p w14:paraId="4D2FF190">
      <w:pPr>
        <w:spacing w:line="360" w:lineRule="auto"/>
        <w:ind w:firstLine="440" w:firstLineChars="200"/>
        <w:rPr>
          <w:rFonts w:hint="eastAsia"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szCs w:val="21"/>
          <w:highlight w:val="none"/>
          <w:u w:val="single"/>
        </w:rPr>
        <w:t>（产品名称2）</w:t>
      </w:r>
      <w:r>
        <w:rPr>
          <w:rFonts w:hint="eastAsia" w:ascii="仿宋" w:hAnsi="仿宋" w:eastAsia="仿宋" w:cs="仿宋"/>
          <w:szCs w:val="21"/>
          <w:highlight w:val="none"/>
        </w:rPr>
        <w:t>，生产厂为</w:t>
      </w:r>
      <w:r>
        <w:rPr>
          <w:rFonts w:hint="eastAsia" w:ascii="仿宋" w:hAnsi="仿宋" w:eastAsia="仿宋" w:cs="仿宋"/>
          <w:szCs w:val="21"/>
          <w:highlight w:val="none"/>
          <w:u w:val="single"/>
        </w:rPr>
        <w:t>（厂名）</w:t>
      </w:r>
      <w:r>
        <w:rPr>
          <w:rFonts w:hint="eastAsia" w:ascii="仿宋" w:hAnsi="仿宋" w:eastAsia="仿宋" w:cs="仿宋"/>
          <w:szCs w:val="21"/>
          <w:highlight w:val="none"/>
        </w:rPr>
        <w:t>，厂址为</w:t>
      </w:r>
      <w:r>
        <w:rPr>
          <w:rFonts w:hint="eastAsia" w:ascii="仿宋" w:hAnsi="仿宋" w:eastAsia="仿宋" w:cs="仿宋"/>
          <w:szCs w:val="21"/>
          <w:highlight w:val="none"/>
          <w:u w:val="single"/>
        </w:rPr>
        <w:t>（生产厂址）</w:t>
      </w:r>
      <w:r>
        <w:rPr>
          <w:rFonts w:hint="eastAsia" w:ascii="仿宋" w:hAnsi="仿宋" w:eastAsia="仿宋" w:cs="仿宋"/>
          <w:szCs w:val="21"/>
          <w:highlight w:val="none"/>
        </w:rPr>
        <w:t>。</w:t>
      </w:r>
      <w:r>
        <w:rPr>
          <w:rFonts w:hint="eastAsia" w:ascii="仿宋" w:hAnsi="仿宋" w:eastAsia="仿宋" w:cs="仿宋"/>
          <w:szCs w:val="21"/>
          <w:highlight w:val="none"/>
          <w:u w:val="single"/>
        </w:rPr>
        <w:t>（产品名称2）</w:t>
      </w:r>
      <w:r>
        <w:rPr>
          <w:rFonts w:hint="eastAsia" w:ascii="仿宋" w:hAnsi="仿宋" w:eastAsia="仿宋" w:cs="仿宋"/>
          <w:szCs w:val="21"/>
          <w:highlight w:val="none"/>
        </w:rPr>
        <w:t>的中国境内生产的组件成本占比≥</w:t>
      </w:r>
      <w:r>
        <w:rPr>
          <w:rFonts w:hint="eastAsia" w:ascii="仿宋" w:hAnsi="仿宋" w:eastAsia="仿宋" w:cs="仿宋"/>
          <w:szCs w:val="21"/>
          <w:highlight w:val="none"/>
          <w:u w:val="single"/>
        </w:rPr>
        <w:t>（规定比例）</w:t>
      </w:r>
      <w:r>
        <w:rPr>
          <w:rFonts w:hint="eastAsia" w:ascii="仿宋" w:hAnsi="仿宋" w:eastAsia="仿宋" w:cs="仿宋"/>
          <w:szCs w:val="21"/>
          <w:highlight w:val="none"/>
        </w:rPr>
        <w:t>。</w:t>
      </w:r>
      <w:r>
        <w:rPr>
          <w:rFonts w:hint="eastAsia" w:ascii="仿宋" w:hAnsi="仿宋" w:eastAsia="仿宋" w:cs="仿宋"/>
          <w:szCs w:val="21"/>
          <w:highlight w:val="none"/>
          <w:u w:val="single"/>
        </w:rPr>
        <w:t>（产品名称2）</w:t>
      </w:r>
      <w:r>
        <w:rPr>
          <w:rFonts w:hint="eastAsia" w:ascii="仿宋" w:hAnsi="仿宋" w:eastAsia="仿宋" w:cs="仿宋"/>
          <w:szCs w:val="21"/>
          <w:highlight w:val="none"/>
        </w:rPr>
        <w:t>的</w:t>
      </w:r>
      <w:r>
        <w:rPr>
          <w:rFonts w:hint="eastAsia" w:ascii="仿宋" w:hAnsi="仿宋" w:eastAsia="仿宋" w:cs="仿宋"/>
          <w:szCs w:val="21"/>
          <w:highlight w:val="none"/>
          <w:u w:val="single"/>
        </w:rPr>
        <w:t>（关键组件）</w:t>
      </w:r>
      <w:r>
        <w:rPr>
          <w:rFonts w:hint="eastAsia" w:ascii="仿宋" w:hAnsi="仿宋" w:eastAsia="仿宋" w:cs="仿宋"/>
          <w:szCs w:val="21"/>
          <w:highlight w:val="none"/>
        </w:rPr>
        <w:t>在中国境内生产。</w:t>
      </w:r>
      <w:r>
        <w:rPr>
          <w:rFonts w:hint="eastAsia" w:ascii="仿宋" w:hAnsi="仿宋" w:eastAsia="仿宋" w:cs="仿宋"/>
          <w:szCs w:val="21"/>
          <w:highlight w:val="none"/>
          <w:u w:val="single"/>
        </w:rPr>
        <w:t>（产品名称2）</w:t>
      </w:r>
      <w:r>
        <w:rPr>
          <w:rFonts w:hint="eastAsia" w:ascii="仿宋" w:hAnsi="仿宋" w:eastAsia="仿宋" w:cs="仿宋"/>
          <w:szCs w:val="21"/>
          <w:highlight w:val="none"/>
        </w:rPr>
        <w:t>的</w:t>
      </w:r>
      <w:r>
        <w:rPr>
          <w:rFonts w:hint="eastAsia" w:ascii="仿宋" w:hAnsi="仿宋" w:eastAsia="仿宋" w:cs="仿宋"/>
          <w:szCs w:val="21"/>
          <w:highlight w:val="none"/>
          <w:u w:val="single"/>
        </w:rPr>
        <w:t>（关键工序）</w:t>
      </w:r>
      <w:r>
        <w:rPr>
          <w:rFonts w:hint="eastAsia" w:ascii="仿宋" w:hAnsi="仿宋" w:eastAsia="仿宋" w:cs="仿宋"/>
          <w:szCs w:val="21"/>
          <w:highlight w:val="none"/>
        </w:rPr>
        <w:t>在中国境内完成。</w:t>
      </w:r>
    </w:p>
    <w:p w14:paraId="55F1A275">
      <w:pPr>
        <w:spacing w:line="360" w:lineRule="auto"/>
        <w:ind w:firstLine="440" w:firstLineChars="200"/>
        <w:rPr>
          <w:rFonts w:hint="eastAsia" w:ascii="仿宋" w:hAnsi="仿宋" w:eastAsia="仿宋" w:cs="仿宋"/>
          <w:szCs w:val="21"/>
          <w:highlight w:val="none"/>
        </w:rPr>
      </w:pPr>
      <w:r>
        <w:rPr>
          <w:rFonts w:hint="eastAsia" w:ascii="仿宋" w:hAnsi="仿宋" w:eastAsia="仿宋" w:cs="仿宋"/>
          <w:szCs w:val="21"/>
          <w:highlight w:val="none"/>
        </w:rPr>
        <w:t>……</w:t>
      </w:r>
    </w:p>
    <w:p w14:paraId="4344C784">
      <w:pPr>
        <w:spacing w:line="360" w:lineRule="auto"/>
        <w:ind w:firstLine="440" w:firstLineChars="200"/>
        <w:rPr>
          <w:rFonts w:hint="eastAsia" w:ascii="仿宋" w:hAnsi="仿宋" w:eastAsia="仿宋" w:cs="仿宋"/>
          <w:szCs w:val="21"/>
          <w:highlight w:val="none"/>
        </w:rPr>
      </w:pPr>
      <w:r>
        <w:rPr>
          <w:rFonts w:hint="eastAsia" w:ascii="仿宋" w:hAnsi="仿宋" w:eastAsia="仿宋" w:cs="仿宋"/>
          <w:szCs w:val="21"/>
          <w:highlight w:val="none"/>
        </w:rPr>
        <w:t>本公司（单位）对上述声明内容的真实性负责。如有虚假，愿承担相应法律责任。</w:t>
      </w:r>
    </w:p>
    <w:p w14:paraId="030C858A">
      <w:pPr>
        <w:spacing w:line="360" w:lineRule="auto"/>
        <w:rPr>
          <w:rFonts w:hint="eastAsia" w:ascii="仿宋" w:hAnsi="仿宋" w:eastAsia="仿宋" w:cs="仿宋"/>
          <w:szCs w:val="21"/>
          <w:highlight w:val="none"/>
        </w:rPr>
      </w:pPr>
    </w:p>
    <w:p w14:paraId="2BB277CF">
      <w:pPr>
        <w:spacing w:line="360" w:lineRule="auto"/>
        <w:rPr>
          <w:rFonts w:hint="eastAsia" w:ascii="仿宋" w:hAnsi="仿宋" w:eastAsia="仿宋" w:cs="仿宋"/>
          <w:szCs w:val="21"/>
          <w:highlight w:val="none"/>
        </w:rPr>
      </w:pPr>
    </w:p>
    <w:p w14:paraId="57AF157D">
      <w:pPr>
        <w:spacing w:line="360" w:lineRule="auto"/>
        <w:ind w:left="2940" w:firstLine="420"/>
        <w:rPr>
          <w:rFonts w:hint="eastAsia" w:ascii="仿宋" w:hAnsi="仿宋" w:eastAsia="仿宋" w:cs="仿宋"/>
          <w:szCs w:val="21"/>
          <w:highlight w:val="none"/>
        </w:rPr>
      </w:pPr>
      <w:r>
        <w:rPr>
          <w:rFonts w:hint="eastAsia" w:ascii="仿宋" w:hAnsi="仿宋" w:eastAsia="仿宋" w:cs="仿宋"/>
          <w:szCs w:val="21"/>
          <w:highlight w:val="none"/>
        </w:rPr>
        <w:t>公司（单位）名称（盖章）：　        </w:t>
      </w:r>
    </w:p>
    <w:p w14:paraId="2F23789D">
      <w:pPr>
        <w:spacing w:line="360" w:lineRule="auto"/>
        <w:ind w:left="2940" w:firstLine="420"/>
        <w:rPr>
          <w:rFonts w:hint="eastAsia" w:ascii="仿宋" w:hAnsi="仿宋" w:eastAsia="仿宋" w:cs="仿宋"/>
          <w:szCs w:val="21"/>
          <w:highlight w:val="none"/>
        </w:rPr>
      </w:pPr>
      <w:r>
        <w:rPr>
          <w:rFonts w:hint="eastAsia" w:ascii="仿宋" w:hAnsi="仿宋" w:eastAsia="仿宋" w:cs="仿宋"/>
          <w:szCs w:val="21"/>
          <w:highlight w:val="none"/>
        </w:rPr>
        <w:t>日期：　     年　  月　  日    </w:t>
      </w:r>
    </w:p>
    <w:p w14:paraId="7AF5288B">
      <w:pPr>
        <w:spacing w:line="360" w:lineRule="auto"/>
        <w:rPr>
          <w:rFonts w:hint="eastAsia" w:ascii="仿宋" w:hAnsi="仿宋" w:eastAsia="仿宋" w:cs="仿宋"/>
          <w:szCs w:val="21"/>
          <w:highlight w:val="none"/>
        </w:rPr>
      </w:pPr>
    </w:p>
    <w:p w14:paraId="4A9DAC1B">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__________________</w:t>
      </w:r>
    </w:p>
    <w:p w14:paraId="57CF6671">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1.产品如有型号，请在“产品名称”栏一并填写。</w:t>
      </w:r>
    </w:p>
    <w:p w14:paraId="4B29AD7D">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2.生产厂名与厂址应与生产厂营业执照载明的相关信息保持一致。</w:t>
      </w:r>
    </w:p>
    <w:p w14:paraId="273E5917">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3.该产品的中国境内生产的组件成本占比相关要求实施前，“规定比例”栏可不填，下同。</w:t>
      </w:r>
    </w:p>
    <w:p w14:paraId="047810E1">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4.该产品的关键组件要求实施前，“关键组件”栏可不填，下同。</w:t>
      </w:r>
    </w:p>
    <w:p w14:paraId="492CA2D1">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5.该产品的关键工序要求实施前，“关键工序”栏可不填，下同。</w:t>
      </w:r>
    </w:p>
    <w:p w14:paraId="11469591">
      <w:pPr>
        <w:jc w:val="center"/>
        <w:rPr>
          <w:rFonts w:hint="eastAsia" w:ascii="仿宋" w:hAnsi="仿宋" w:eastAsia="仿宋" w:cs="仿宋"/>
          <w:b/>
          <w:bCs/>
          <w:sz w:val="44"/>
          <w:szCs w:val="44"/>
          <w:highlight w:val="none"/>
        </w:rPr>
      </w:pPr>
      <w:r>
        <w:rPr>
          <w:rFonts w:hint="eastAsia" w:ascii="仿宋" w:hAnsi="仿宋" w:eastAsia="仿宋" w:cs="仿宋"/>
          <w:sz w:val="24"/>
          <w:highlight w:val="none"/>
        </w:rPr>
        <w:br w:type="page"/>
      </w:r>
      <w:r>
        <w:rPr>
          <w:rFonts w:hint="eastAsia" w:ascii="仿宋" w:hAnsi="仿宋" w:eastAsia="仿宋" w:cs="仿宋"/>
          <w:b/>
          <w:bCs/>
          <w:sz w:val="44"/>
          <w:szCs w:val="44"/>
          <w:highlight w:val="none"/>
        </w:rPr>
        <w:t>质疑函范本（</w:t>
      </w:r>
      <w:r>
        <w:rPr>
          <w:rFonts w:hint="eastAsia" w:ascii="仿宋" w:hAnsi="仿宋" w:eastAsia="仿宋" w:cs="仿宋"/>
          <w:b/>
          <w:bCs/>
          <w:sz w:val="44"/>
          <w:szCs w:val="44"/>
          <w:highlight w:val="none"/>
          <w:lang w:val="en-US"/>
        </w:rPr>
        <w:t>投标文件中无需提供</w:t>
      </w:r>
      <w:r>
        <w:rPr>
          <w:rFonts w:hint="eastAsia" w:ascii="仿宋" w:hAnsi="仿宋" w:eastAsia="仿宋" w:cs="仿宋"/>
          <w:b/>
          <w:bCs/>
          <w:sz w:val="44"/>
          <w:szCs w:val="44"/>
          <w:highlight w:val="none"/>
        </w:rPr>
        <w:t>）</w:t>
      </w:r>
    </w:p>
    <w:p w14:paraId="52E35D95">
      <w:pPr>
        <w:adjustRightInd w:val="0"/>
        <w:snapToGrid w:val="0"/>
        <w:spacing w:before="240" w:beforeLines="100" w:line="360" w:lineRule="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一、质疑供应商基本信息</w:t>
      </w:r>
    </w:p>
    <w:p w14:paraId="439A9B67">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质疑供应商：</w:t>
      </w:r>
      <w:r>
        <w:rPr>
          <w:rFonts w:hint="eastAsia" w:ascii="仿宋" w:hAnsi="仿宋" w:eastAsia="仿宋" w:cs="仿宋"/>
          <w:sz w:val="32"/>
          <w:szCs w:val="32"/>
          <w:highlight w:val="none"/>
          <w:u w:val="dotted"/>
        </w:rPr>
        <w:t xml:space="preserve">                                        </w:t>
      </w:r>
    </w:p>
    <w:p w14:paraId="32D225F7">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dotted"/>
        </w:rPr>
        <w:t xml:space="preserve">                                                   </w:t>
      </w:r>
    </w:p>
    <w:p w14:paraId="4B75F874">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u w:val="dotted"/>
        </w:rPr>
        <w:t xml:space="preserve">                              </w:t>
      </w:r>
    </w:p>
    <w:p w14:paraId="7ACEA938">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授权代表：</w:t>
      </w:r>
      <w:r>
        <w:rPr>
          <w:rFonts w:hint="eastAsia" w:ascii="仿宋" w:hAnsi="仿宋" w:eastAsia="仿宋" w:cs="仿宋"/>
          <w:sz w:val="32"/>
          <w:szCs w:val="32"/>
          <w:highlight w:val="none"/>
          <w:u w:val="dotted"/>
        </w:rPr>
        <w:t xml:space="preserve">                                          </w:t>
      </w:r>
    </w:p>
    <w:p w14:paraId="5499D37C">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u w:val="dotted"/>
        </w:rPr>
        <w:t xml:space="preserve">                                           </w:t>
      </w:r>
      <w:r>
        <w:rPr>
          <w:rFonts w:ascii="仿宋" w:hAnsi="仿宋" w:eastAsia="仿宋" w:cs="仿宋"/>
          <w:sz w:val="32"/>
          <w:szCs w:val="32"/>
          <w:highlight w:val="none"/>
        </w:rPr>
        <w:t xml:space="preserve"> </w:t>
      </w:r>
    </w:p>
    <w:p w14:paraId="5E47E6D5">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地址：</w:t>
      </w:r>
      <w:r>
        <w:rPr>
          <w:rFonts w:ascii="仿宋" w:hAnsi="仿宋" w:eastAsia="仿宋" w:cs="仿宋"/>
          <w:sz w:val="32"/>
          <w:szCs w:val="32"/>
          <w:highlight w:val="none"/>
        </w:rPr>
        <w:t xml:space="preserve"> </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dotted"/>
        </w:rPr>
        <w:t xml:space="preserve">                                                </w:t>
      </w:r>
    </w:p>
    <w:p w14:paraId="1E412CEC">
      <w:pPr>
        <w:adjustRightInd w:val="0"/>
        <w:snapToGrid w:val="0"/>
        <w:spacing w:line="360" w:lineRule="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二、质疑项目基本情况</w:t>
      </w:r>
    </w:p>
    <w:p w14:paraId="4FB07020">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质疑项目的名称：</w:t>
      </w:r>
      <w:r>
        <w:rPr>
          <w:rFonts w:hint="eastAsia" w:ascii="仿宋" w:hAnsi="仿宋" w:eastAsia="仿宋" w:cs="仿宋"/>
          <w:sz w:val="32"/>
          <w:szCs w:val="32"/>
          <w:highlight w:val="none"/>
          <w:u w:val="dotted"/>
        </w:rPr>
        <w:t xml:space="preserve">                                      </w:t>
      </w:r>
    </w:p>
    <w:p w14:paraId="17FF256B">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质疑项目的编号：</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包号：</w:t>
      </w:r>
      <w:r>
        <w:rPr>
          <w:rFonts w:hint="eastAsia" w:ascii="仿宋" w:hAnsi="仿宋" w:eastAsia="仿宋" w:cs="仿宋"/>
          <w:sz w:val="32"/>
          <w:szCs w:val="32"/>
          <w:highlight w:val="none"/>
          <w:u w:val="dotted"/>
        </w:rPr>
        <w:t xml:space="preserve">                 </w:t>
      </w:r>
    </w:p>
    <w:p w14:paraId="50521362">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采购人名称：</w:t>
      </w:r>
      <w:r>
        <w:rPr>
          <w:rFonts w:hint="eastAsia" w:ascii="仿宋" w:hAnsi="仿宋" w:eastAsia="仿宋" w:cs="仿宋"/>
          <w:sz w:val="32"/>
          <w:szCs w:val="32"/>
          <w:highlight w:val="none"/>
          <w:u w:val="dotted"/>
        </w:rPr>
        <w:t xml:space="preserve">                                         </w:t>
      </w:r>
    </w:p>
    <w:p w14:paraId="56D4510D">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采购文件获取日期：</w:t>
      </w:r>
      <w:r>
        <w:rPr>
          <w:rFonts w:hint="eastAsia" w:ascii="仿宋" w:hAnsi="仿宋" w:eastAsia="仿宋" w:cs="仿宋"/>
          <w:sz w:val="32"/>
          <w:szCs w:val="32"/>
          <w:highlight w:val="none"/>
          <w:u w:val="dotted"/>
        </w:rPr>
        <w:t xml:space="preserve">                                           </w:t>
      </w:r>
    </w:p>
    <w:p w14:paraId="292D8374">
      <w:pPr>
        <w:adjustRightInd w:val="0"/>
        <w:snapToGrid w:val="0"/>
        <w:spacing w:line="360" w:lineRule="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三、质疑事项具体内容</w:t>
      </w:r>
    </w:p>
    <w:p w14:paraId="65F0932A">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质疑事项1：</w:t>
      </w:r>
      <w:r>
        <w:rPr>
          <w:rFonts w:hint="eastAsia" w:ascii="仿宋" w:hAnsi="仿宋" w:eastAsia="仿宋" w:cs="仿宋"/>
          <w:sz w:val="32"/>
          <w:szCs w:val="32"/>
          <w:highlight w:val="none"/>
          <w:u w:val="dotted"/>
        </w:rPr>
        <w:t xml:space="preserve">                                         </w:t>
      </w:r>
    </w:p>
    <w:p w14:paraId="2140B608">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事实依据：</w:t>
      </w:r>
      <w:r>
        <w:rPr>
          <w:rFonts w:hint="eastAsia" w:ascii="仿宋" w:hAnsi="仿宋" w:eastAsia="仿宋" w:cs="仿宋"/>
          <w:sz w:val="32"/>
          <w:szCs w:val="32"/>
          <w:highlight w:val="none"/>
          <w:u w:val="dotted"/>
        </w:rPr>
        <w:t xml:space="preserve">                                          </w:t>
      </w:r>
    </w:p>
    <w:p w14:paraId="062B3FAD">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u w:val="dotted"/>
        </w:rPr>
        <w:t xml:space="preserve">                                                       </w:t>
      </w:r>
    </w:p>
    <w:p w14:paraId="7C1AF0AF">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法律依据：</w:t>
      </w:r>
      <w:r>
        <w:rPr>
          <w:rFonts w:hint="eastAsia" w:ascii="仿宋" w:hAnsi="仿宋" w:eastAsia="仿宋" w:cs="仿宋"/>
          <w:sz w:val="32"/>
          <w:szCs w:val="32"/>
          <w:highlight w:val="none"/>
          <w:u w:val="dotted"/>
        </w:rPr>
        <w:t xml:space="preserve">                                          </w:t>
      </w:r>
    </w:p>
    <w:p w14:paraId="22CAD48D">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u w:val="dotted"/>
        </w:rPr>
        <w:t xml:space="preserve">                                                     </w:t>
      </w:r>
    </w:p>
    <w:p w14:paraId="3FD24C61">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质疑事项2</w:t>
      </w:r>
    </w:p>
    <w:p w14:paraId="40100665">
      <w:pPr>
        <w:adjustRightInd w:val="0"/>
        <w:snapToGrid w:val="0"/>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w:t>
      </w:r>
    </w:p>
    <w:p w14:paraId="3C829D7B">
      <w:pPr>
        <w:adjustRightInd w:val="0"/>
        <w:snapToGrid w:val="0"/>
        <w:spacing w:line="360" w:lineRule="auto"/>
        <w:rPr>
          <w:rFonts w:hint="eastAsia" w:ascii="仿宋" w:hAnsi="仿宋" w:eastAsia="仿宋" w:cs="仿宋"/>
          <w:bCs/>
          <w:sz w:val="32"/>
          <w:szCs w:val="32"/>
          <w:highlight w:val="none"/>
        </w:rPr>
      </w:pPr>
      <w:r>
        <w:rPr>
          <w:rFonts w:hint="eastAsia" w:ascii="仿宋" w:hAnsi="仿宋" w:eastAsia="仿宋" w:cs="仿宋"/>
          <w:bCs/>
          <w:sz w:val="32"/>
          <w:szCs w:val="32"/>
          <w:highlight w:val="none"/>
        </w:rPr>
        <w:t>四、与质疑事项相关的质疑请求</w:t>
      </w:r>
    </w:p>
    <w:p w14:paraId="7638AA8B">
      <w:pPr>
        <w:adjustRightInd w:val="0"/>
        <w:snapToGrid w:val="0"/>
        <w:spacing w:line="360" w:lineRule="auto"/>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请求：</w:t>
      </w:r>
      <w:r>
        <w:rPr>
          <w:rFonts w:hint="eastAsia" w:ascii="仿宋" w:hAnsi="仿宋" w:eastAsia="仿宋" w:cs="仿宋"/>
          <w:sz w:val="32"/>
          <w:szCs w:val="32"/>
          <w:highlight w:val="none"/>
          <w:u w:val="dotted"/>
        </w:rPr>
        <w:t xml:space="preserve">                                               </w:t>
      </w:r>
    </w:p>
    <w:p w14:paraId="4F13491A">
      <w:pPr>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签字(签章)：                   公章：                      </w:t>
      </w:r>
    </w:p>
    <w:p w14:paraId="0AC4E0DD">
      <w:pPr>
        <w:rPr>
          <w:rFonts w:hint="eastAsia" w:ascii="仿宋" w:hAnsi="仿宋" w:eastAsia="仿宋" w:cs="仿宋"/>
          <w:sz w:val="30"/>
          <w:szCs w:val="30"/>
          <w:highlight w:val="none"/>
        </w:rPr>
      </w:pPr>
      <w:r>
        <w:rPr>
          <w:rFonts w:hint="eastAsia" w:ascii="仿宋" w:hAnsi="仿宋" w:eastAsia="仿宋" w:cs="仿宋"/>
          <w:sz w:val="30"/>
          <w:szCs w:val="30"/>
          <w:highlight w:val="none"/>
        </w:rPr>
        <w:t xml:space="preserve">日期：    </w:t>
      </w:r>
    </w:p>
    <w:p w14:paraId="5C81C942">
      <w:pPr>
        <w:adjustRightInd w:val="0"/>
        <w:snapToGrid w:val="0"/>
        <w:spacing w:line="360" w:lineRule="auto"/>
        <w:rPr>
          <w:rFonts w:hint="eastAsia" w:ascii="仿宋" w:hAnsi="仿宋" w:eastAsia="仿宋" w:cs="仿宋"/>
          <w:sz w:val="32"/>
          <w:szCs w:val="32"/>
          <w:highlight w:val="none"/>
        </w:rPr>
      </w:pPr>
    </w:p>
    <w:p w14:paraId="2CE7D5A1">
      <w:pPr>
        <w:adjustRightInd w:val="0"/>
        <w:snapToGrid w:val="0"/>
        <w:spacing w:line="360" w:lineRule="auto"/>
        <w:rPr>
          <w:rFonts w:hint="eastAsia" w:ascii="仿宋" w:hAnsi="仿宋" w:eastAsia="仿宋" w:cs="仿宋"/>
          <w:sz w:val="32"/>
          <w:szCs w:val="32"/>
          <w:highlight w:val="none"/>
        </w:rPr>
      </w:pPr>
    </w:p>
    <w:p w14:paraId="61F0EB4C">
      <w:pPr>
        <w:jc w:val="center"/>
        <w:rPr>
          <w:rFonts w:hint="eastAsia" w:ascii="仿宋" w:hAnsi="仿宋" w:eastAsia="仿宋" w:cs="仿宋"/>
          <w:b/>
          <w:bCs/>
          <w:sz w:val="32"/>
          <w:szCs w:val="32"/>
          <w:highlight w:val="none"/>
        </w:rPr>
      </w:pPr>
    </w:p>
    <w:p w14:paraId="4BC71A04">
      <w:pPr>
        <w:jc w:val="center"/>
        <w:rPr>
          <w:rFonts w:hint="eastAsia" w:ascii="仿宋" w:hAnsi="仿宋" w:eastAsia="仿宋" w:cs="仿宋"/>
          <w:b/>
          <w:bCs/>
          <w:sz w:val="32"/>
          <w:szCs w:val="32"/>
          <w:highlight w:val="none"/>
        </w:rPr>
      </w:pPr>
    </w:p>
    <w:p w14:paraId="77E5C07F">
      <w:pPr>
        <w:rPr>
          <w:rFonts w:hint="eastAsia" w:ascii="仿宋" w:hAnsi="仿宋" w:eastAsia="仿宋" w:cs="仿宋"/>
          <w:b/>
          <w:sz w:val="32"/>
          <w:szCs w:val="32"/>
          <w:highlight w:val="none"/>
        </w:rPr>
      </w:pPr>
    </w:p>
    <w:p w14:paraId="0A80D7F9">
      <w:pPr>
        <w:rPr>
          <w:rFonts w:hint="eastAsia" w:ascii="仿宋" w:hAnsi="仿宋" w:eastAsia="仿宋" w:cs="仿宋"/>
          <w:b/>
          <w:sz w:val="32"/>
          <w:szCs w:val="32"/>
          <w:highlight w:val="none"/>
        </w:rPr>
      </w:pPr>
      <w:r>
        <w:rPr>
          <w:rFonts w:hint="eastAsia" w:ascii="仿宋" w:hAnsi="仿宋" w:eastAsia="仿宋" w:cs="仿宋"/>
          <w:b/>
          <w:sz w:val="32"/>
          <w:szCs w:val="32"/>
          <w:highlight w:val="none"/>
        </w:rPr>
        <w:t>质疑函制作说明：</w:t>
      </w:r>
    </w:p>
    <w:p w14:paraId="34D54D16">
      <w:pPr>
        <w:widowControl/>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1.供应商提出质疑时，应提交质疑函和必要的证明材料。</w:t>
      </w:r>
    </w:p>
    <w:p w14:paraId="1D66CD35">
      <w:pPr>
        <w:widowControl/>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C9B658C">
      <w:pPr>
        <w:widowControl/>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3.质疑供应商若对项目的某一分包进行质疑，质疑函中应列明具体分包号。</w:t>
      </w:r>
    </w:p>
    <w:p w14:paraId="14BDE144">
      <w:pPr>
        <w:widowControl/>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4.质疑函的质疑事项应具体、明确，并有必要的事实依据和法律依据。</w:t>
      </w:r>
    </w:p>
    <w:p w14:paraId="1AAD4E14">
      <w:pPr>
        <w:widowControl/>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5.质疑函的质疑请求应与质疑事项相关。</w:t>
      </w:r>
    </w:p>
    <w:p w14:paraId="5E9C899D">
      <w:pPr>
        <w:widowControl/>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6.质疑供应商为自然人的，质疑函应由本人签字；质疑供应商为法人或者其他组织的，质疑函应由法定代表人、主要负责人，或者其授权代表签字或者盖章，并加盖公章。</w:t>
      </w:r>
    </w:p>
    <w:p w14:paraId="1B7FB049">
      <w:pPr>
        <w:jc w:val="center"/>
        <w:rPr>
          <w:rFonts w:hint="eastAsia" w:ascii="仿宋" w:hAnsi="仿宋" w:eastAsia="仿宋" w:cs="仿宋"/>
          <w:b/>
          <w:sz w:val="44"/>
          <w:szCs w:val="44"/>
          <w:highlight w:val="none"/>
        </w:rPr>
      </w:pPr>
      <w:r>
        <w:rPr>
          <w:rFonts w:hint="eastAsia" w:ascii="仿宋" w:hAnsi="仿宋" w:eastAsia="仿宋" w:cs="仿宋"/>
          <w:sz w:val="24"/>
          <w:highlight w:val="none"/>
        </w:rPr>
        <w:br w:type="page"/>
      </w:r>
      <w:r>
        <w:rPr>
          <w:rFonts w:hint="eastAsia" w:ascii="仿宋" w:hAnsi="仿宋" w:eastAsia="仿宋" w:cs="仿宋"/>
          <w:b/>
          <w:sz w:val="44"/>
          <w:szCs w:val="44"/>
          <w:highlight w:val="none"/>
        </w:rPr>
        <w:t>投诉书范本</w:t>
      </w:r>
      <w:r>
        <w:rPr>
          <w:rFonts w:hint="eastAsia" w:ascii="仿宋" w:hAnsi="仿宋" w:eastAsia="仿宋" w:cs="仿宋"/>
          <w:b/>
          <w:bCs/>
          <w:sz w:val="44"/>
          <w:szCs w:val="44"/>
          <w:highlight w:val="none"/>
        </w:rPr>
        <w:t>（</w:t>
      </w:r>
      <w:r>
        <w:rPr>
          <w:rFonts w:hint="eastAsia" w:ascii="仿宋" w:hAnsi="仿宋" w:eastAsia="仿宋" w:cs="仿宋"/>
          <w:b/>
          <w:bCs/>
          <w:sz w:val="44"/>
          <w:szCs w:val="44"/>
          <w:highlight w:val="none"/>
          <w:lang w:val="en-US"/>
        </w:rPr>
        <w:t>投标文件中无需提供</w:t>
      </w:r>
      <w:r>
        <w:rPr>
          <w:rFonts w:hint="eastAsia" w:ascii="仿宋" w:hAnsi="仿宋" w:eastAsia="仿宋" w:cs="仿宋"/>
          <w:b/>
          <w:bCs/>
          <w:sz w:val="44"/>
          <w:szCs w:val="44"/>
          <w:highlight w:val="none"/>
        </w:rPr>
        <w:t>）</w:t>
      </w:r>
    </w:p>
    <w:p w14:paraId="735F1613">
      <w:pPr>
        <w:rPr>
          <w:rFonts w:hint="eastAsia" w:ascii="仿宋" w:hAnsi="仿宋" w:eastAsia="仿宋" w:cs="仿宋"/>
          <w:sz w:val="32"/>
          <w:szCs w:val="32"/>
          <w:highlight w:val="none"/>
        </w:rPr>
      </w:pPr>
      <w:r>
        <w:rPr>
          <w:rFonts w:hint="eastAsia" w:ascii="仿宋" w:hAnsi="仿宋" w:eastAsia="仿宋" w:cs="仿宋"/>
          <w:sz w:val="32"/>
          <w:szCs w:val="32"/>
          <w:highlight w:val="none"/>
        </w:rPr>
        <w:t>一、投诉相关主体基本情况</w:t>
      </w:r>
    </w:p>
    <w:p w14:paraId="66A7F7FF">
      <w:pPr>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投诉人：</w:t>
      </w:r>
      <w:r>
        <w:rPr>
          <w:rFonts w:hint="eastAsia" w:ascii="仿宋" w:hAnsi="仿宋" w:eastAsia="仿宋" w:cs="仿宋"/>
          <w:sz w:val="32"/>
          <w:szCs w:val="32"/>
          <w:highlight w:val="none"/>
          <w:u w:val="dotted"/>
        </w:rPr>
        <w:t xml:space="preserve">                                               </w:t>
      </w:r>
    </w:p>
    <w:p w14:paraId="49B48FBA">
      <w:pPr>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地     址：</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u w:val="single"/>
        </w:rPr>
        <w:t xml:space="preserve">   </w:t>
      </w:r>
    </w:p>
    <w:p w14:paraId="6A306B0A">
      <w:pPr>
        <w:tabs>
          <w:tab w:val="left" w:pos="6510"/>
        </w:tabs>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法定代表人/主要负责人：</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 xml:space="preserve">  </w:t>
      </w:r>
    </w:p>
    <w:p w14:paraId="1D33CBA0">
      <w:pPr>
        <w:tabs>
          <w:tab w:val="left" w:pos="6510"/>
        </w:tabs>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u w:val="dotted"/>
        </w:rPr>
        <w:t xml:space="preserve">                                             </w:t>
      </w:r>
    </w:p>
    <w:p w14:paraId="18989D33">
      <w:pPr>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授权代表：</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u w:val="dotted"/>
        </w:rPr>
        <w:t xml:space="preserve">：                  </w:t>
      </w:r>
    </w:p>
    <w:p w14:paraId="533F6106">
      <w:pPr>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地     址：</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u w:val="single"/>
        </w:rPr>
        <w:t xml:space="preserve"> </w:t>
      </w:r>
      <w:r>
        <w:rPr>
          <w:rFonts w:hint="eastAsia" w:ascii="仿宋" w:hAnsi="仿宋" w:eastAsia="仿宋" w:cs="仿宋"/>
          <w:sz w:val="32"/>
          <w:szCs w:val="32"/>
          <w:highlight w:val="none"/>
          <w:u w:val="dotted"/>
        </w:rPr>
        <w:t xml:space="preserve">                   </w:t>
      </w:r>
    </w:p>
    <w:p w14:paraId="1C31ACCD">
      <w:pPr>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被投诉人1：</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u w:val="single"/>
        </w:rPr>
        <w:t xml:space="preserve">  </w:t>
      </w:r>
    </w:p>
    <w:p w14:paraId="66C6C482">
      <w:pPr>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地     址：</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u w:val="single"/>
        </w:rPr>
        <w:t xml:space="preserve"> </w:t>
      </w:r>
    </w:p>
    <w:p w14:paraId="69D5367F">
      <w:pPr>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u w:val="single"/>
        </w:rPr>
        <w:t xml:space="preserve"> </w:t>
      </w:r>
    </w:p>
    <w:p w14:paraId="6A0DC066">
      <w:pPr>
        <w:rPr>
          <w:rFonts w:hint="eastAsia" w:ascii="仿宋" w:hAnsi="仿宋" w:eastAsia="仿宋" w:cs="仿宋"/>
          <w:sz w:val="32"/>
          <w:szCs w:val="32"/>
          <w:highlight w:val="none"/>
        </w:rPr>
      </w:pPr>
      <w:r>
        <w:rPr>
          <w:rFonts w:hint="eastAsia" w:ascii="仿宋" w:hAnsi="仿宋" w:eastAsia="仿宋" w:cs="仿宋"/>
          <w:sz w:val="32"/>
          <w:szCs w:val="32"/>
          <w:highlight w:val="none"/>
        </w:rPr>
        <w:t>被投诉人2</w:t>
      </w:r>
    </w:p>
    <w:p w14:paraId="00D61560">
      <w:pPr>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w:t>
      </w:r>
    </w:p>
    <w:p w14:paraId="5FEA5F7A">
      <w:pPr>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相关供应商：</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u w:val="single"/>
        </w:rPr>
        <w:t xml:space="preserve">    </w:t>
      </w:r>
    </w:p>
    <w:p w14:paraId="07354E77">
      <w:pPr>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地     址：</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邮编：</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u w:val="single"/>
        </w:rPr>
        <w:t xml:space="preserve"> </w:t>
      </w:r>
    </w:p>
    <w:p w14:paraId="231CCAAE">
      <w:pPr>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联系人：</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联系电话：</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u w:val="single"/>
        </w:rPr>
        <w:t xml:space="preserve">      </w:t>
      </w:r>
    </w:p>
    <w:p w14:paraId="6F5E7523">
      <w:pPr>
        <w:rPr>
          <w:rFonts w:hint="eastAsia" w:ascii="仿宋" w:hAnsi="仿宋" w:eastAsia="仿宋" w:cs="仿宋"/>
          <w:sz w:val="32"/>
          <w:szCs w:val="32"/>
          <w:highlight w:val="none"/>
        </w:rPr>
      </w:pPr>
      <w:r>
        <w:rPr>
          <w:rFonts w:hint="eastAsia" w:ascii="仿宋" w:hAnsi="仿宋" w:eastAsia="仿宋" w:cs="仿宋"/>
          <w:sz w:val="32"/>
          <w:szCs w:val="32"/>
          <w:highlight w:val="none"/>
        </w:rPr>
        <w:t>二、投诉项目基本情况</w:t>
      </w:r>
    </w:p>
    <w:p w14:paraId="519A27BC">
      <w:pPr>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采购项目名称：</w:t>
      </w:r>
      <w:r>
        <w:rPr>
          <w:rFonts w:hint="eastAsia" w:ascii="仿宋" w:hAnsi="仿宋" w:eastAsia="仿宋" w:cs="仿宋"/>
          <w:sz w:val="32"/>
          <w:szCs w:val="32"/>
          <w:highlight w:val="none"/>
          <w:u w:val="dotted"/>
        </w:rPr>
        <w:t xml:space="preserve">                                        </w:t>
      </w:r>
    </w:p>
    <w:p w14:paraId="20F75660">
      <w:pPr>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采购项目编号：</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包号：</w:t>
      </w:r>
      <w:r>
        <w:rPr>
          <w:rFonts w:hint="eastAsia" w:ascii="仿宋" w:hAnsi="仿宋" w:eastAsia="仿宋" w:cs="仿宋"/>
          <w:sz w:val="32"/>
          <w:szCs w:val="32"/>
          <w:highlight w:val="none"/>
          <w:u w:val="dotted"/>
        </w:rPr>
        <w:t xml:space="preserve">              </w:t>
      </w:r>
    </w:p>
    <w:p w14:paraId="047E28A0">
      <w:pPr>
        <w:rPr>
          <w:rFonts w:hint="eastAsia" w:ascii="仿宋" w:hAnsi="仿宋" w:eastAsia="仿宋" w:cs="仿宋"/>
          <w:sz w:val="32"/>
          <w:szCs w:val="32"/>
          <w:highlight w:val="none"/>
        </w:rPr>
      </w:pPr>
      <w:r>
        <w:rPr>
          <w:rFonts w:hint="eastAsia" w:ascii="仿宋" w:hAnsi="仿宋" w:eastAsia="仿宋" w:cs="仿宋"/>
          <w:sz w:val="32"/>
          <w:szCs w:val="32"/>
          <w:highlight w:val="none"/>
        </w:rPr>
        <w:t>采购人名称：</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u w:val="single"/>
        </w:rPr>
        <w:t xml:space="preserve">  </w:t>
      </w:r>
    </w:p>
    <w:p w14:paraId="39D85422">
      <w:pPr>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代理机构名称：</w:t>
      </w:r>
      <w:r>
        <w:rPr>
          <w:rFonts w:hint="eastAsia" w:ascii="仿宋" w:hAnsi="仿宋" w:eastAsia="仿宋" w:cs="仿宋"/>
          <w:sz w:val="32"/>
          <w:szCs w:val="32"/>
          <w:highlight w:val="none"/>
          <w:u w:val="dotted"/>
        </w:rPr>
        <w:t xml:space="preserve">                                         </w:t>
      </w:r>
    </w:p>
    <w:p w14:paraId="272B0643">
      <w:pPr>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采购文件公告:</w:t>
      </w:r>
      <w:r>
        <w:rPr>
          <w:rFonts w:hint="eastAsia" w:ascii="仿宋" w:hAnsi="仿宋" w:eastAsia="仿宋" w:cs="仿宋"/>
          <w:sz w:val="32"/>
          <w:szCs w:val="32"/>
          <w:highlight w:val="none"/>
          <w:u w:val="dotted"/>
        </w:rPr>
        <w:t xml:space="preserve">是/否 </w:t>
      </w:r>
      <w:r>
        <w:rPr>
          <w:rFonts w:hint="eastAsia" w:ascii="仿宋" w:hAnsi="仿宋" w:eastAsia="仿宋" w:cs="仿宋"/>
          <w:sz w:val="32"/>
          <w:szCs w:val="32"/>
          <w:highlight w:val="none"/>
        </w:rPr>
        <w:t>公告期限：</w:t>
      </w:r>
      <w:r>
        <w:rPr>
          <w:rFonts w:hint="eastAsia" w:ascii="仿宋" w:hAnsi="仿宋" w:eastAsia="仿宋" w:cs="仿宋"/>
          <w:sz w:val="32"/>
          <w:szCs w:val="32"/>
          <w:highlight w:val="none"/>
          <w:u w:val="dotted"/>
        </w:rPr>
        <w:t xml:space="preserve">                                 </w:t>
      </w:r>
    </w:p>
    <w:p w14:paraId="7E55A32A">
      <w:pPr>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采购结果公告:</w:t>
      </w:r>
      <w:r>
        <w:rPr>
          <w:rFonts w:hint="eastAsia" w:ascii="仿宋" w:hAnsi="仿宋" w:eastAsia="仿宋" w:cs="仿宋"/>
          <w:sz w:val="32"/>
          <w:szCs w:val="32"/>
          <w:highlight w:val="none"/>
          <w:u w:val="dotted"/>
        </w:rPr>
        <w:t xml:space="preserve">是/否 </w:t>
      </w:r>
      <w:r>
        <w:rPr>
          <w:rFonts w:hint="eastAsia" w:ascii="仿宋" w:hAnsi="仿宋" w:eastAsia="仿宋" w:cs="仿宋"/>
          <w:sz w:val="32"/>
          <w:szCs w:val="32"/>
          <w:highlight w:val="none"/>
        </w:rPr>
        <w:t>公告期限：</w:t>
      </w:r>
      <w:r>
        <w:rPr>
          <w:rFonts w:hint="eastAsia" w:ascii="仿宋" w:hAnsi="仿宋" w:eastAsia="仿宋" w:cs="仿宋"/>
          <w:sz w:val="32"/>
          <w:szCs w:val="32"/>
          <w:highlight w:val="none"/>
          <w:u w:val="dotted"/>
        </w:rPr>
        <w:t xml:space="preserve">                        </w:t>
      </w:r>
    </w:p>
    <w:p w14:paraId="1E38361E">
      <w:pPr>
        <w:rPr>
          <w:rFonts w:hint="eastAsia" w:ascii="仿宋" w:hAnsi="仿宋" w:eastAsia="仿宋" w:cs="仿宋"/>
          <w:sz w:val="32"/>
          <w:szCs w:val="32"/>
          <w:highlight w:val="none"/>
        </w:rPr>
      </w:pPr>
      <w:r>
        <w:rPr>
          <w:rFonts w:hint="eastAsia" w:ascii="仿宋" w:hAnsi="仿宋" w:eastAsia="仿宋" w:cs="仿宋"/>
          <w:sz w:val="32"/>
          <w:szCs w:val="32"/>
          <w:highlight w:val="none"/>
        </w:rPr>
        <w:t>三、质疑基本情况</w:t>
      </w:r>
    </w:p>
    <w:p w14:paraId="0C16E1B9">
      <w:pPr>
        <w:ind w:firstLine="640" w:firstLineChars="200"/>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投诉人于</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日,向</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提出质疑，质疑事项为：</w:t>
      </w:r>
      <w:r>
        <w:rPr>
          <w:rFonts w:hint="eastAsia" w:ascii="仿宋" w:hAnsi="仿宋" w:eastAsia="仿宋" w:cs="仿宋"/>
          <w:sz w:val="32"/>
          <w:szCs w:val="32"/>
          <w:highlight w:val="none"/>
          <w:u w:val="dotted"/>
        </w:rPr>
        <w:t xml:space="preserve">                                </w:t>
      </w:r>
    </w:p>
    <w:p w14:paraId="12E0AA0D">
      <w:pPr>
        <w:rPr>
          <w:rFonts w:hint="eastAsia" w:ascii="仿宋" w:hAnsi="仿宋" w:eastAsia="仿宋" w:cs="仿宋"/>
          <w:sz w:val="32"/>
          <w:szCs w:val="32"/>
          <w:highlight w:val="none"/>
          <w:u w:val="dotted"/>
        </w:rPr>
      </w:pP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 xml:space="preserve">  </w:t>
      </w:r>
    </w:p>
    <w:p w14:paraId="1A8BE9E1">
      <w:pPr>
        <w:ind w:firstLine="480" w:firstLineChars="150"/>
        <w:rPr>
          <w:rFonts w:hint="eastAsia" w:ascii="仿宋" w:hAnsi="仿宋" w:eastAsia="仿宋" w:cs="仿宋"/>
          <w:sz w:val="32"/>
          <w:szCs w:val="32"/>
          <w:highlight w:val="none"/>
        </w:rPr>
      </w:pPr>
      <w:r>
        <w:rPr>
          <w:rFonts w:hint="eastAsia" w:ascii="仿宋" w:hAnsi="仿宋" w:eastAsia="仿宋" w:cs="仿宋"/>
          <w:sz w:val="32"/>
          <w:szCs w:val="32"/>
          <w:highlight w:val="none"/>
          <w:u w:val="dotted"/>
        </w:rPr>
        <w:t>采购人/代理机构</w:t>
      </w:r>
      <w:r>
        <w:rPr>
          <w:rFonts w:hint="eastAsia" w:ascii="仿宋" w:hAnsi="仿宋" w:eastAsia="仿宋" w:cs="仿宋"/>
          <w:sz w:val="32"/>
          <w:szCs w:val="32"/>
          <w:highlight w:val="none"/>
        </w:rPr>
        <w:t>于</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年</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月</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日,就质疑事项作出了答复/没有在法定期限内作出答复。</w:t>
      </w:r>
    </w:p>
    <w:p w14:paraId="04883562">
      <w:pPr>
        <w:rPr>
          <w:rFonts w:hint="eastAsia" w:ascii="仿宋" w:hAnsi="仿宋" w:eastAsia="仿宋" w:cs="仿宋"/>
          <w:sz w:val="32"/>
          <w:szCs w:val="32"/>
          <w:highlight w:val="none"/>
        </w:rPr>
      </w:pPr>
      <w:r>
        <w:rPr>
          <w:rFonts w:hint="eastAsia" w:ascii="仿宋" w:hAnsi="仿宋" w:eastAsia="仿宋" w:cs="仿宋"/>
          <w:sz w:val="32"/>
          <w:szCs w:val="32"/>
          <w:highlight w:val="none"/>
        </w:rPr>
        <w:t>四、投诉事项具体内容</w:t>
      </w:r>
    </w:p>
    <w:p w14:paraId="1718401D">
      <w:pPr>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投诉事项 1：</w:t>
      </w:r>
      <w:r>
        <w:rPr>
          <w:rFonts w:hint="eastAsia" w:ascii="仿宋" w:hAnsi="仿宋" w:eastAsia="仿宋" w:cs="仿宋"/>
          <w:sz w:val="32"/>
          <w:szCs w:val="32"/>
          <w:highlight w:val="none"/>
          <w:u w:val="dotted"/>
        </w:rPr>
        <w:t xml:space="preserve">                                       </w:t>
      </w:r>
    </w:p>
    <w:p w14:paraId="6EBD4B5E">
      <w:pPr>
        <w:rPr>
          <w:rFonts w:hint="eastAsia" w:ascii="仿宋" w:hAnsi="仿宋" w:eastAsia="仿宋" w:cs="仿宋"/>
          <w:sz w:val="32"/>
          <w:szCs w:val="32"/>
          <w:highlight w:val="none"/>
        </w:rPr>
      </w:pPr>
      <w:r>
        <w:rPr>
          <w:rFonts w:hint="eastAsia" w:ascii="仿宋" w:hAnsi="仿宋" w:eastAsia="仿宋" w:cs="仿宋"/>
          <w:sz w:val="32"/>
          <w:szCs w:val="32"/>
          <w:highlight w:val="none"/>
        </w:rPr>
        <w:t>事实依据：</w:t>
      </w:r>
      <w:r>
        <w:rPr>
          <w:rFonts w:hint="eastAsia" w:ascii="仿宋" w:hAnsi="仿宋" w:eastAsia="仿宋" w:cs="仿宋"/>
          <w:sz w:val="32"/>
          <w:szCs w:val="32"/>
          <w:highlight w:val="none"/>
          <w:u w:val="dotted"/>
        </w:rPr>
        <w:t xml:space="preserve">                                         </w:t>
      </w:r>
    </w:p>
    <w:p w14:paraId="67A4EA89">
      <w:pPr>
        <w:rPr>
          <w:rFonts w:hint="eastAsia" w:ascii="仿宋" w:hAnsi="仿宋" w:eastAsia="仿宋" w:cs="仿宋"/>
          <w:sz w:val="32"/>
          <w:szCs w:val="32"/>
          <w:highlight w:val="none"/>
          <w:u w:val="dotted"/>
        </w:rPr>
      </w:pPr>
      <w:r>
        <w:rPr>
          <w:rFonts w:hint="eastAsia" w:ascii="仿宋" w:hAnsi="仿宋" w:eastAsia="仿宋" w:cs="仿宋"/>
          <w:sz w:val="32"/>
          <w:szCs w:val="32"/>
          <w:highlight w:val="none"/>
          <w:u w:val="dotted"/>
        </w:rPr>
        <w:t xml:space="preserve">                                                      </w:t>
      </w:r>
    </w:p>
    <w:p w14:paraId="55C3F9C9">
      <w:pPr>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法律依据：</w:t>
      </w:r>
      <w:r>
        <w:rPr>
          <w:rFonts w:hint="eastAsia" w:ascii="仿宋" w:hAnsi="仿宋" w:eastAsia="仿宋" w:cs="仿宋"/>
          <w:sz w:val="32"/>
          <w:szCs w:val="32"/>
          <w:highlight w:val="none"/>
          <w:u w:val="dotted"/>
        </w:rPr>
        <w:t xml:space="preserve">                                          </w:t>
      </w:r>
    </w:p>
    <w:p w14:paraId="7C30F84F">
      <w:pPr>
        <w:rPr>
          <w:rFonts w:hint="eastAsia" w:ascii="仿宋" w:hAnsi="仿宋" w:eastAsia="仿宋" w:cs="仿宋"/>
          <w:sz w:val="32"/>
          <w:szCs w:val="32"/>
          <w:highlight w:val="none"/>
          <w:u w:val="dotted"/>
        </w:rPr>
      </w:pPr>
      <w:r>
        <w:rPr>
          <w:rFonts w:hint="eastAsia" w:ascii="仿宋" w:hAnsi="仿宋" w:eastAsia="仿宋" w:cs="仿宋"/>
          <w:sz w:val="32"/>
          <w:szCs w:val="32"/>
          <w:highlight w:val="none"/>
          <w:u w:val="dotted"/>
        </w:rPr>
        <w:t xml:space="preserve">                                                      </w:t>
      </w:r>
    </w:p>
    <w:p w14:paraId="44327BE9">
      <w:pPr>
        <w:rPr>
          <w:rFonts w:hint="eastAsia" w:ascii="仿宋" w:hAnsi="仿宋" w:eastAsia="仿宋" w:cs="仿宋"/>
          <w:sz w:val="32"/>
          <w:szCs w:val="32"/>
          <w:highlight w:val="none"/>
        </w:rPr>
      </w:pPr>
      <w:r>
        <w:rPr>
          <w:rFonts w:hint="eastAsia" w:ascii="仿宋" w:hAnsi="仿宋" w:eastAsia="仿宋" w:cs="仿宋"/>
          <w:sz w:val="32"/>
          <w:szCs w:val="32"/>
          <w:highlight w:val="none"/>
        </w:rPr>
        <w:t>投诉事项2</w:t>
      </w:r>
    </w:p>
    <w:p w14:paraId="61C3EDB2">
      <w:pPr>
        <w:rPr>
          <w:rFonts w:hint="eastAsia" w:ascii="仿宋" w:hAnsi="仿宋" w:eastAsia="仿宋" w:cs="仿宋"/>
          <w:sz w:val="32"/>
          <w:szCs w:val="32"/>
          <w:highlight w:val="none"/>
          <w:u w:val="dotted"/>
        </w:rPr>
      </w:pPr>
      <w:r>
        <w:rPr>
          <w:rFonts w:hint="eastAsia" w:ascii="仿宋" w:hAnsi="仿宋" w:eastAsia="仿宋" w:cs="仿宋"/>
          <w:sz w:val="32"/>
          <w:szCs w:val="32"/>
          <w:highlight w:val="none"/>
        </w:rPr>
        <w:t>……</w:t>
      </w:r>
    </w:p>
    <w:p w14:paraId="533B6817">
      <w:pPr>
        <w:rPr>
          <w:rFonts w:hint="eastAsia" w:ascii="仿宋" w:hAnsi="仿宋" w:eastAsia="仿宋" w:cs="仿宋"/>
          <w:sz w:val="32"/>
          <w:szCs w:val="32"/>
          <w:highlight w:val="none"/>
        </w:rPr>
      </w:pPr>
      <w:r>
        <w:rPr>
          <w:rFonts w:hint="eastAsia" w:ascii="仿宋" w:hAnsi="仿宋" w:eastAsia="仿宋" w:cs="仿宋"/>
          <w:sz w:val="32"/>
          <w:szCs w:val="32"/>
          <w:highlight w:val="none"/>
        </w:rPr>
        <w:t>五、与投诉事项相关的投诉请求</w:t>
      </w:r>
    </w:p>
    <w:p w14:paraId="354AD602">
      <w:pPr>
        <w:rPr>
          <w:rFonts w:hint="eastAsia" w:ascii="仿宋" w:hAnsi="仿宋" w:eastAsia="仿宋" w:cs="仿宋"/>
          <w:sz w:val="32"/>
          <w:szCs w:val="32"/>
          <w:highlight w:val="none"/>
        </w:rPr>
      </w:pPr>
      <w:r>
        <w:rPr>
          <w:rFonts w:hint="eastAsia" w:ascii="仿宋" w:hAnsi="仿宋" w:eastAsia="仿宋" w:cs="仿宋"/>
          <w:sz w:val="32"/>
          <w:szCs w:val="32"/>
          <w:highlight w:val="none"/>
        </w:rPr>
        <w:t>请求：</w:t>
      </w:r>
      <w:r>
        <w:rPr>
          <w:rFonts w:hint="eastAsia" w:ascii="仿宋" w:hAnsi="仿宋" w:eastAsia="仿宋" w:cs="仿宋"/>
          <w:sz w:val="32"/>
          <w:szCs w:val="32"/>
          <w:highlight w:val="none"/>
          <w:u w:val="dotted"/>
        </w:rPr>
        <w:t xml:space="preserve">                                              </w:t>
      </w:r>
      <w:r>
        <w:rPr>
          <w:rFonts w:hint="eastAsia" w:ascii="仿宋" w:hAnsi="仿宋" w:eastAsia="仿宋" w:cs="仿宋"/>
          <w:sz w:val="32"/>
          <w:szCs w:val="32"/>
          <w:highlight w:val="none"/>
        </w:rPr>
        <w:t xml:space="preserve"> </w:t>
      </w:r>
    </w:p>
    <w:p w14:paraId="30F4EB2F">
      <w:pPr>
        <w:rPr>
          <w:rFonts w:hint="eastAsia" w:ascii="仿宋" w:hAnsi="仿宋" w:eastAsia="仿宋" w:cs="仿宋"/>
          <w:sz w:val="32"/>
          <w:szCs w:val="32"/>
          <w:highlight w:val="none"/>
          <w:u w:val="single"/>
        </w:rPr>
      </w:pPr>
      <w:r>
        <w:rPr>
          <w:rFonts w:hint="eastAsia" w:ascii="仿宋" w:hAnsi="仿宋" w:eastAsia="仿宋" w:cs="仿宋"/>
          <w:sz w:val="32"/>
          <w:szCs w:val="32"/>
          <w:highlight w:val="none"/>
        </w:rPr>
        <w:t xml:space="preserve">                                                                                                    </w:t>
      </w:r>
    </w:p>
    <w:p w14:paraId="1F74F17F">
      <w:pPr>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签字(签章)：                   公章：                      </w:t>
      </w:r>
    </w:p>
    <w:p w14:paraId="36D50714">
      <w:pPr>
        <w:rPr>
          <w:rFonts w:hint="eastAsia" w:ascii="仿宋" w:hAnsi="仿宋" w:eastAsia="仿宋" w:cs="仿宋"/>
          <w:sz w:val="32"/>
          <w:szCs w:val="32"/>
          <w:highlight w:val="none"/>
        </w:rPr>
      </w:pPr>
      <w:r>
        <w:rPr>
          <w:rFonts w:hint="eastAsia" w:ascii="仿宋" w:hAnsi="仿宋" w:eastAsia="仿宋" w:cs="仿宋"/>
          <w:sz w:val="32"/>
          <w:szCs w:val="32"/>
          <w:highlight w:val="none"/>
        </w:rPr>
        <w:t xml:space="preserve">日期：    </w:t>
      </w:r>
    </w:p>
    <w:p w14:paraId="4725C5DC">
      <w:pPr>
        <w:rPr>
          <w:rFonts w:hint="eastAsia" w:ascii="仿宋" w:hAnsi="仿宋" w:eastAsia="仿宋" w:cs="仿宋"/>
          <w:b/>
          <w:sz w:val="32"/>
          <w:szCs w:val="32"/>
          <w:highlight w:val="none"/>
        </w:rPr>
      </w:pPr>
    </w:p>
    <w:p w14:paraId="64944D51">
      <w:pPr>
        <w:rPr>
          <w:rFonts w:hint="eastAsia" w:ascii="仿宋" w:hAnsi="仿宋" w:eastAsia="仿宋" w:cs="仿宋"/>
          <w:b/>
          <w:sz w:val="32"/>
          <w:szCs w:val="32"/>
          <w:highlight w:val="none"/>
        </w:rPr>
      </w:pPr>
    </w:p>
    <w:p w14:paraId="7E8552B8">
      <w:pPr>
        <w:rPr>
          <w:rFonts w:hint="eastAsia" w:ascii="仿宋" w:hAnsi="仿宋" w:eastAsia="仿宋" w:cs="仿宋"/>
          <w:b/>
          <w:sz w:val="32"/>
          <w:szCs w:val="32"/>
          <w:highlight w:val="none"/>
        </w:rPr>
      </w:pPr>
    </w:p>
    <w:p w14:paraId="343351D1">
      <w:pPr>
        <w:rPr>
          <w:rFonts w:hint="eastAsia" w:ascii="仿宋" w:hAnsi="仿宋" w:eastAsia="仿宋" w:cs="仿宋"/>
          <w:b/>
          <w:sz w:val="32"/>
          <w:szCs w:val="32"/>
          <w:highlight w:val="none"/>
        </w:rPr>
      </w:pPr>
    </w:p>
    <w:p w14:paraId="6690A325">
      <w:pPr>
        <w:rPr>
          <w:rFonts w:hint="eastAsia" w:ascii="仿宋" w:hAnsi="仿宋" w:eastAsia="仿宋" w:cs="仿宋"/>
          <w:b/>
          <w:sz w:val="32"/>
          <w:szCs w:val="32"/>
          <w:highlight w:val="none"/>
        </w:rPr>
      </w:pPr>
    </w:p>
    <w:p w14:paraId="0D2760F3">
      <w:pPr>
        <w:rPr>
          <w:rFonts w:hint="eastAsia" w:ascii="仿宋" w:hAnsi="仿宋" w:eastAsia="仿宋" w:cs="仿宋"/>
          <w:b/>
          <w:sz w:val="32"/>
          <w:szCs w:val="32"/>
          <w:highlight w:val="none"/>
        </w:rPr>
      </w:pPr>
    </w:p>
    <w:p w14:paraId="1DCA5942">
      <w:pPr>
        <w:rPr>
          <w:rFonts w:hint="eastAsia" w:ascii="仿宋" w:hAnsi="仿宋" w:eastAsia="仿宋" w:cs="仿宋"/>
          <w:b/>
          <w:sz w:val="32"/>
          <w:szCs w:val="32"/>
          <w:highlight w:val="none"/>
        </w:rPr>
      </w:pPr>
    </w:p>
    <w:p w14:paraId="484897BF">
      <w:pPr>
        <w:rPr>
          <w:rFonts w:hint="eastAsia" w:ascii="仿宋" w:hAnsi="仿宋" w:eastAsia="仿宋" w:cs="仿宋"/>
          <w:b/>
          <w:sz w:val="32"/>
          <w:szCs w:val="32"/>
          <w:highlight w:val="none"/>
        </w:rPr>
      </w:pPr>
      <w:r>
        <w:rPr>
          <w:rFonts w:hint="eastAsia" w:ascii="仿宋" w:hAnsi="仿宋" w:eastAsia="仿宋" w:cs="仿宋"/>
          <w:b/>
          <w:sz w:val="32"/>
          <w:szCs w:val="32"/>
          <w:highlight w:val="none"/>
        </w:rPr>
        <w:t>投诉书制作说明：</w:t>
      </w:r>
    </w:p>
    <w:p w14:paraId="6FEAA328">
      <w:pPr>
        <w:widowControl/>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1.投诉人提起投诉时，应当提交投诉书和必要的证明材料，并按照被投诉人和与投诉事项有关的供应商数量提供投诉书副本。</w:t>
      </w:r>
    </w:p>
    <w:p w14:paraId="42EA6502">
      <w:pPr>
        <w:widowControl/>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50E1C9AC">
      <w:pPr>
        <w:widowControl/>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3.投诉人若对项目的某一分包进行投诉，投诉书应列明具体分包号。</w:t>
      </w:r>
    </w:p>
    <w:p w14:paraId="3B20C780">
      <w:pPr>
        <w:widowControl/>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4.投诉书应简要列明质疑事项，质疑函、质疑答复等作为附件材料提供。</w:t>
      </w:r>
    </w:p>
    <w:p w14:paraId="1352502C">
      <w:pPr>
        <w:widowControl/>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5.投诉书的投诉事项应具体、明确，并有必要的事实依据和法律依据。</w:t>
      </w:r>
    </w:p>
    <w:p w14:paraId="678BD6EB">
      <w:pPr>
        <w:widowControl/>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6.投诉书的投诉请求应与投诉事项相关。</w:t>
      </w:r>
    </w:p>
    <w:p w14:paraId="22126733">
      <w:pPr>
        <w:widowControl/>
        <w:ind w:firstLine="640" w:firstLineChars="200"/>
        <w:rPr>
          <w:highlight w:val="none"/>
        </w:rPr>
      </w:pPr>
      <w:r>
        <w:rPr>
          <w:rFonts w:hint="eastAsia" w:ascii="仿宋" w:hAnsi="仿宋" w:eastAsia="仿宋" w:cs="仿宋"/>
          <w:sz w:val="32"/>
          <w:szCs w:val="32"/>
          <w:highlight w:val="none"/>
        </w:rPr>
        <w:t>7.投诉人为自然人的，投诉书应当由本人签字；投诉人为法人或者其他组织的，投诉书应当由法定代表人、主要负责人，或者其授权代表签字或者盖章，并加盖公章。</w:t>
      </w:r>
      <w:bookmarkStart w:id="7" w:name="_GoBack"/>
      <w:bookmarkEnd w:id="7"/>
    </w:p>
    <w:sectPr>
      <w:footerReference r:id="rId11" w:type="default"/>
      <w:pgSz w:w="11910" w:h="16840"/>
      <w:pgMar w:top="1420" w:right="1134" w:bottom="1180" w:left="1160" w:header="878" w:footer="9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A5C17">
    <w:pPr>
      <w:pStyle w:val="9"/>
      <w:spacing w:before="0" w:line="14" w:lineRule="auto"/>
      <w:ind w:left="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D661E">
    <w:pPr>
      <w:pStyle w:val="9"/>
      <w:spacing w:before="0" w:line="14" w:lineRule="auto"/>
      <w:ind w:left="0"/>
      <w:rPr>
        <w:rFonts w:hint="eastAsia"/>
        <w:sz w:val="20"/>
      </w:rPr>
    </w:pPr>
    <w:r>
      <mc:AlternateContent>
        <mc:Choice Requires="wps">
          <w:drawing>
            <wp:anchor distT="0" distB="0" distL="114300" distR="114300" simplePos="0" relativeHeight="251669504" behindDoc="1" locked="0" layoutInCell="1" allowOverlap="1">
              <wp:simplePos x="0" y="0"/>
              <wp:positionH relativeFrom="page">
                <wp:posOffset>3823970</wp:posOffset>
              </wp:positionH>
              <wp:positionV relativeFrom="page">
                <wp:posOffset>9921240</wp:posOffset>
              </wp:positionV>
              <wp:extent cx="379095" cy="152400"/>
              <wp:effectExtent l="0" t="0" r="0" b="0"/>
              <wp:wrapNone/>
              <wp:docPr id="21" name="文本框 17"/>
              <wp:cNvGraphicFramePr/>
              <a:graphic xmlns:a="http://schemas.openxmlformats.org/drawingml/2006/main">
                <a:graphicData uri="http://schemas.microsoft.com/office/word/2010/wordprocessingShape">
                  <wps:wsp>
                    <wps:cNvSpPr txBox="1"/>
                    <wps:spPr>
                      <a:xfrm>
                        <a:off x="0" y="0"/>
                        <a:ext cx="379095" cy="152400"/>
                      </a:xfrm>
                      <a:prstGeom prst="rect">
                        <a:avLst/>
                      </a:prstGeom>
                      <a:noFill/>
                      <a:ln>
                        <a:noFill/>
                      </a:ln>
                      <a:effectLst/>
                    </wps:spPr>
                    <wps:txbx>
                      <w:txbxContent>
                        <w:p w14:paraId="5FFED627">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w:t>
                          </w:r>
                          <w:r>
                            <w:fldChar w:fldCharType="end"/>
                          </w:r>
                        </w:p>
                      </w:txbxContent>
                    </wps:txbx>
                    <wps:bodyPr wrap="square" lIns="0" tIns="0" rIns="0" bIns="0" upright="1"/>
                  </wps:wsp>
                </a:graphicData>
              </a:graphic>
            </wp:anchor>
          </w:drawing>
        </mc:Choice>
        <mc:Fallback>
          <w:pict>
            <v:shape id="文本框 17" o:spid="_x0000_s1026" o:spt="202" type="#_x0000_t202" style="position:absolute;left:0pt;margin-left:301.1pt;margin-top:781.2pt;height:12pt;width:29.85pt;mso-position-horizontal-relative:page;mso-position-vertical-relative:page;z-index:-251646976;mso-width-relative:page;mso-height-relative:page;" filled="f" stroked="f" coordsize="21600,21600" o:gfxdata="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T/qaA2gAAAA0BAAAPAAAAAAAAAAEAIAAAACIAAABk&#10;cnMvZG93bnJldi54bWxQSwECFAAUAAAACACHTuJAEAXBn8sBAACPAwAADgAAAAAAAAABACAAAAAp&#10;AQAAZHJzL2Uyb0RvYy54bWxQSwUGAAAAAAYABgBZAQAAZgUAAAAA&#10;">
              <v:fill on="f" focussize="0,0"/>
              <v:stroke on="f"/>
              <v:imagedata o:title=""/>
              <o:lock v:ext="edit" aspectratio="f"/>
              <v:textbox inset="0mm,0mm,0mm,0mm">
                <w:txbxContent>
                  <w:p w14:paraId="5FFED627">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3507D">
    <w:pPr>
      <w:pStyle w:val="9"/>
      <w:spacing w:before="0" w:line="14" w:lineRule="auto"/>
      <w:ind w:left="0"/>
      <w:rPr>
        <w:rFonts w:hint="eastAsia"/>
        <w:sz w:val="20"/>
      </w:rPr>
    </w:pPr>
    <w:r>
      <mc:AlternateContent>
        <mc:Choice Requires="wps">
          <w:drawing>
            <wp:anchor distT="0" distB="0" distL="114300" distR="114300" simplePos="0" relativeHeight="251665408"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15"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14:paraId="424612CC">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49</w:t>
                          </w:r>
                          <w:r>
                            <w:fldChar w:fldCharType="end"/>
                          </w:r>
                        </w:p>
                      </w:txbxContent>
                    </wps:txbx>
                    <wps:bodyPr wrap="square" lIns="0" tIns="0" rIns="0" bIns="0" upright="1"/>
                  </wps:wsp>
                </a:graphicData>
              </a:graphic>
            </wp:anchor>
          </w:drawing>
        </mc:Choice>
        <mc:Fallback>
          <w:pict>
            <v:shape id="文本框 5" o:spid="_x0000_s1026" o:spt="202" type="#_x0000_t202" style="position:absolute;left:0pt;margin-left:298.8pt;margin-top:781.2pt;height:12pt;width:13.1pt;mso-position-horizontal-relative:page;mso-position-vertical-relative:page;z-index:-251651072;mso-width-relative:page;mso-height-relative:page;" filled="f" stroked="f" coordsize="21600,21600" o:gfxdata="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EuT5y2wAAAA0BAAAPAAAAAAAAAAEAIAAAACIAAABkcnMv&#10;ZG93bnJldi54bWxQSwECFAAUAAAACACHTuJAbCrpEscBAACOAwAADgAAAAAAAAABACAAAAAqAQAA&#10;ZHJzL2Uyb0RvYy54bWxQSwUGAAAAAAYABgBZAQAAYwUAAAAA&#10;">
              <v:fill on="f" focussize="0,0"/>
              <v:stroke on="f"/>
              <v:imagedata o:title=""/>
              <o:lock v:ext="edit" aspectratio="f"/>
              <v:textbox inset="0mm,0mm,0mm,0mm">
                <w:txbxContent>
                  <w:p w14:paraId="424612CC">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49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19B82">
    <w:pPr>
      <w:pStyle w:val="9"/>
      <w:spacing w:before="0" w:line="14" w:lineRule="auto"/>
      <w:ind w:left="0"/>
      <w:rPr>
        <w:rFonts w:hint="eastAsia"/>
        <w:sz w:val="20"/>
      </w:rPr>
    </w:pPr>
    <w:r>
      <mc:AlternateContent>
        <mc:Choice Requires="wps">
          <w:drawing>
            <wp:anchor distT="0" distB="0" distL="114300" distR="114300" simplePos="0" relativeHeight="251666432"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14:paraId="135729B9">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35</w:t>
                          </w:r>
                          <w:r>
                            <w:fldChar w:fldCharType="end"/>
                          </w:r>
                        </w:p>
                      </w:txbxContent>
                    </wps:txbx>
                    <wps:bodyPr wrap="square" lIns="0" tIns="0" rIns="0" bIns="0" upright="1"/>
                  </wps:wsp>
                </a:graphicData>
              </a:graphic>
            </wp:anchor>
          </w:drawing>
        </mc:Choice>
        <mc:Fallback>
          <w:pict>
            <v:shape id="文本框 5" o:spid="_x0000_s1026" o:spt="202" type="#_x0000_t202" style="position:absolute;left:0pt;margin-left:298.8pt;margin-top:781.2pt;height:12pt;width:13.1pt;mso-position-horizontal-relative:page;mso-position-vertical-relative:page;z-index:-251650048;mso-width-relative:page;mso-height-relative:page;" filled="f" stroked="f" coordsize="21600,21600" o:gfxdata="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Lk+ctsAAAANAQAADwAAAAAAAAABACAAAAAiAAAAZHJz&#10;L2Rvd25yZXYueG1sUEsBAhQAFAAAAAgAh07iQF40MxHIAQAAjgMAAA4AAAAAAAAAAQAgAAAAKgEA&#10;AGRycy9lMm9Eb2MueG1sUEsFBgAAAAAGAAYAWQEAAGQFAAAAAA==&#10;">
              <v:fill on="f" focussize="0,0"/>
              <v:stroke on="f"/>
              <v:imagedata o:title=""/>
              <o:lock v:ext="edit" aspectratio="f"/>
              <v:textbox inset="0mm,0mm,0mm,0mm">
                <w:txbxContent>
                  <w:p w14:paraId="135729B9">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30967">
    <w:pPr>
      <w:pStyle w:val="9"/>
      <w:spacing w:before="0" w:line="14" w:lineRule="auto"/>
      <w:ind w:left="0"/>
      <w:rPr>
        <w:rFonts w:hint="eastAsia"/>
        <w:sz w:val="20"/>
      </w:rPr>
    </w:pPr>
    <w:r>
      <mc:AlternateContent>
        <mc:Choice Requires="wps">
          <w:drawing>
            <wp:anchor distT="0" distB="0" distL="114300" distR="114300" simplePos="0" relativeHeight="251667456" behindDoc="1" locked="0" layoutInCell="1" allowOverlap="1">
              <wp:simplePos x="0" y="0"/>
              <wp:positionH relativeFrom="page">
                <wp:posOffset>3794760</wp:posOffset>
              </wp:positionH>
              <wp:positionV relativeFrom="page">
                <wp:posOffset>9921240</wp:posOffset>
              </wp:positionV>
              <wp:extent cx="166370" cy="152400"/>
              <wp:effectExtent l="0" t="0" r="0" b="0"/>
              <wp:wrapNone/>
              <wp:docPr id="17" name="文本框 1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14:paraId="4CBFDB58">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wps:txbx>
                    <wps:bodyPr wrap="square" lIns="0" tIns="0" rIns="0" bIns="0" upright="1"/>
                  </wps:wsp>
                </a:graphicData>
              </a:graphic>
            </wp:anchor>
          </w:drawing>
        </mc:Choice>
        <mc:Fallback>
          <w:pict>
            <v:shape id="文本框 11" o:spid="_x0000_s1026" o:spt="202" type="#_x0000_t202" style="position:absolute;left:0pt;margin-left:298.8pt;margin-top:781.2pt;height:12pt;width:13.1pt;mso-position-horizontal-relative:page;mso-position-vertical-relative:page;z-index:-251649024;mso-width-relative:page;mso-height-relative:page;" filled="f" stroked="f" coordsize="21600,21600" o:gfxdata="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Lk+ctsAAAANAQAADwAAAAAAAAABACAAAAAiAAAAZHJz&#10;L2Rvd25yZXYueG1sUEsBAhQAFAAAAAgAh07iQAjcqlTIAQAAjwMAAA4AAAAAAAAAAQAgAAAAKgEA&#10;AGRycy9lMm9Eb2MueG1sUEsFBgAAAAAGAAYAWQEAAGQFAAAAAA==&#10;">
              <v:fill on="f" focussize="0,0"/>
              <v:stroke on="f"/>
              <v:imagedata o:title=""/>
              <o:lock v:ext="edit" aspectratio="f"/>
              <v:textbox inset="0mm,0mm,0mm,0mm">
                <w:txbxContent>
                  <w:p w14:paraId="4CBFDB58">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FCBCF">
    <w:pPr>
      <w:pStyle w:val="9"/>
      <w:spacing w:before="0" w:line="14" w:lineRule="auto"/>
      <w:ind w:left="0"/>
      <w:rPr>
        <w:rFonts w:hint="eastAsia"/>
        <w:sz w:val="20"/>
      </w:rPr>
    </w:pPr>
    <w:r>
      <mc:AlternateContent>
        <mc:Choice Requires="wps">
          <w:drawing>
            <wp:anchor distT="0" distB="0" distL="114300" distR="114300" simplePos="0" relativeHeight="251668480" behindDoc="1" locked="0" layoutInCell="1" allowOverlap="1">
              <wp:simplePos x="0" y="0"/>
              <wp:positionH relativeFrom="page">
                <wp:posOffset>3794760</wp:posOffset>
              </wp:positionH>
              <wp:positionV relativeFrom="page">
                <wp:posOffset>9921240</wp:posOffset>
              </wp:positionV>
              <wp:extent cx="280670" cy="152400"/>
              <wp:effectExtent l="0" t="0" r="0" b="0"/>
              <wp:wrapNone/>
              <wp:docPr id="20" name="文本框 1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a:effectLst/>
                    </wps:spPr>
                    <wps:txbx>
                      <w:txbxContent>
                        <w:p w14:paraId="4A6879BB">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55</w:t>
                          </w:r>
                          <w:r>
                            <w:fldChar w:fldCharType="end"/>
                          </w:r>
                        </w:p>
                      </w:txbxContent>
                    </wps:txbx>
                    <wps:bodyPr vert="horz" wrap="square" lIns="0" tIns="0" rIns="0" bIns="0" anchor="t" anchorCtr="0" upright="1"/>
                  </wps:wsp>
                </a:graphicData>
              </a:graphic>
            </wp:anchor>
          </w:drawing>
        </mc:Choice>
        <mc:Fallback>
          <w:pict>
            <v:shape id="文本框 11" o:spid="_x0000_s1026" o:spt="202" type="#_x0000_t202" style="position:absolute;left:0pt;margin-left:298.8pt;margin-top:781.2pt;height:12pt;width:22.1pt;mso-position-horizontal-relative:page;mso-position-vertical-relative:page;z-index:-251648000;mso-width-relative:page;mso-height-relative:page;" filled="f" stroked="f" coordsize="21600,21600" o:gfxdata="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Mg2vLNsAAAANAQAA&#10;DwAAAAAAAAABACAAAAAiAAAAZHJzL2Rvd25yZXYueG1sUEsBAhQAFAAAAAgAh07iQFvo5C/dAQAA&#10;tAMAAA4AAAAAAAAAAQAgAAAAKgEAAGRycy9lMm9Eb2MueG1sUEsFBgAAAAAGAAYAWQEAAHkFAAAA&#10;AA==&#10;">
              <v:fill on="f" focussize="0,0"/>
              <v:stroke on="f"/>
              <v:imagedata o:title=""/>
              <o:lock v:ext="edit" aspectratio="f"/>
              <v:textbox inset="0mm,0mm,0mm,0mm">
                <w:txbxContent>
                  <w:p w14:paraId="4A6879BB">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rPr>
                        <w:rFonts w:ascii="Times New Roman"/>
                        <w:sz w:val="18"/>
                      </w:rP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BA966">
    <w:pPr>
      <w:pStyle w:val="9"/>
      <w:spacing w:before="0" w:line="14" w:lineRule="auto"/>
      <w:ind w:left="0"/>
      <w:rPr>
        <w:rFonts w:hint="eastAsia"/>
        <w:sz w:val="20"/>
      </w:rPr>
    </w:pPr>
    <w:r>
      <mc:AlternateContent>
        <mc:Choice Requires="wps">
          <w:drawing>
            <wp:anchor distT="0" distB="0" distL="114300" distR="114300" simplePos="0" relativeHeight="251660288" behindDoc="1" locked="0" layoutInCell="1" allowOverlap="1">
              <wp:simplePos x="0" y="0"/>
              <wp:positionH relativeFrom="page">
                <wp:posOffset>921385</wp:posOffset>
              </wp:positionH>
              <wp:positionV relativeFrom="page">
                <wp:posOffset>466725</wp:posOffset>
              </wp:positionV>
              <wp:extent cx="5906770" cy="30353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3441700" cy="160655"/>
                      </a:xfrm>
                      <a:prstGeom prst="rect">
                        <a:avLst/>
                      </a:prstGeom>
                      <a:noFill/>
                      <a:ln>
                        <a:noFill/>
                      </a:ln>
                      <a:effectLst/>
                    </wps:spPr>
                    <wps:txbx>
                      <w:txbxContent>
                        <w:p w14:paraId="598300DF">
                          <w:pPr>
                            <w:spacing w:line="220" w:lineRule="exact"/>
                            <w:ind w:left="20"/>
                            <w:jc w:val="both"/>
                            <w:rPr>
                              <w:rFonts w:hint="eastAsia"/>
                              <w:sz w:val="21"/>
                              <w:szCs w:val="21"/>
                              <w:lang w:val="en-US"/>
                            </w:rPr>
                          </w:pPr>
                          <w:r>
                            <w:rPr>
                              <w:rFonts w:hint="eastAsia"/>
                              <w:sz w:val="21"/>
                              <w:szCs w:val="21"/>
                            </w:rPr>
                            <w:t>新疆华域建设工程项目管理咨询有限公司</w:t>
                          </w:r>
                          <w:r>
                            <w:rPr>
                              <w:rFonts w:hint="eastAsia"/>
                              <w:sz w:val="21"/>
                              <w:szCs w:val="21"/>
                              <w:lang w:val="en-US"/>
                            </w:rPr>
                            <w:t xml:space="preserve">                                        公开招标文件</w:t>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72.55pt;margin-top:36.75pt;height:23.9pt;width:465.1pt;mso-position-horizontal-relative:page;mso-position-vertical-relative:page;z-index:-251656192;mso-width-relative:page;mso-height-relative:page;" filled="f" stroked="f" coordsize="21600,21600" o:gfxdata="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g38mc2QAAAAsBAAAP&#10;AAAAAAAAAAEAIAAAACIAAABkcnMvZG93bnJldi54bWxQSwECFAAUAAAACACHTuJApLt3o94BAAC1&#10;AwAADgAAAAAAAAABACAAAAAoAQAAZHJzL2Uyb0RvYy54bWxQSwUGAAAAAAYABgBZAQAAeAUAAAAA&#10;">
              <v:fill on="f" focussize="0,0"/>
              <v:stroke on="f"/>
              <v:imagedata o:title=""/>
              <o:lock v:ext="edit" aspectratio="f"/>
              <v:textbox inset="0mm,0mm,0mm,0mm">
                <w:txbxContent>
                  <w:p w14:paraId="598300DF">
                    <w:pPr>
                      <w:spacing w:line="220" w:lineRule="exact"/>
                      <w:ind w:left="20"/>
                      <w:jc w:val="both"/>
                      <w:rPr>
                        <w:rFonts w:hint="eastAsia"/>
                        <w:sz w:val="21"/>
                        <w:szCs w:val="21"/>
                        <w:lang w:val="en-US"/>
                      </w:rPr>
                    </w:pPr>
                    <w:r>
                      <w:rPr>
                        <w:rFonts w:hint="eastAsia"/>
                        <w:sz w:val="21"/>
                        <w:szCs w:val="21"/>
                      </w:rPr>
                      <w:t>新疆华域建设工程项目管理咨询有限公司</w:t>
                    </w:r>
                    <w:r>
                      <w:rPr>
                        <w:rFonts w:hint="eastAsia"/>
                        <w:sz w:val="21"/>
                        <w:szCs w:val="21"/>
                        <w:lang w:val="en-US"/>
                      </w:rPr>
                      <w:t xml:space="preserve">                                        公开招标文件</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1140460</wp:posOffset>
              </wp:positionH>
              <wp:positionV relativeFrom="page">
                <wp:posOffset>705485</wp:posOffset>
              </wp:positionV>
              <wp:extent cx="5473700" cy="0"/>
              <wp:effectExtent l="0" t="4445" r="0" b="5080"/>
              <wp:wrapNone/>
              <wp:docPr id="19" name="直接连接符 19"/>
              <wp:cNvGraphicFramePr/>
              <a:graphic xmlns:a="http://schemas.openxmlformats.org/drawingml/2006/main">
                <a:graphicData uri="http://schemas.microsoft.com/office/word/2010/wordprocessingShape">
                  <wps:wsp>
                    <wps:cNvCnPr/>
                    <wps:spPr>
                      <a:xfrm>
                        <a:off x="0" y="0"/>
                        <a:ext cx="5473700"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89.8pt;margin-top:55.55pt;height:0pt;width:431pt;mso-position-horizontal-relative:page;mso-position-vertical-relative:page;z-index:-251657216;mso-width-relative:page;mso-height-relative:page;" filled="f" stroked="t" coordsize="21600,21600" o:gfxdata="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JhWTo9QAAAAMAQAADwAAAAAAAAABACAAAAAiAAAAZHJzL2Rvd25yZXYueG1sUEsBAhQAFAAA&#10;AAgAh07iQMdY9OzzAQAA6AMAAA4AAAAAAAAAAQAgAAAAIwEAAGRycy9lMm9Eb2MueG1sUEsFBgAA&#10;AAAGAAYAWQEAAIgFAAAAAA==&#10;">
              <v:fill on="f" focussize="0,0"/>
              <v:stroke weight="0.72pt"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3BE73">
    <w:pPr>
      <w:pStyle w:val="9"/>
      <w:spacing w:before="0" w:line="14" w:lineRule="auto"/>
      <w:ind w:left="0"/>
      <w:rPr>
        <w:rFonts w:hint="eastAsia"/>
        <w:sz w:val="20"/>
      </w:rPr>
    </w:pPr>
    <w:r>
      <mc:AlternateContent>
        <mc:Choice Requires="wps">
          <w:drawing>
            <wp:anchor distT="0" distB="0" distL="114300" distR="114300" simplePos="0" relativeHeight="251663360" behindDoc="1" locked="0" layoutInCell="1" allowOverlap="1">
              <wp:simplePos x="0" y="0"/>
              <wp:positionH relativeFrom="page">
                <wp:posOffset>859155</wp:posOffset>
              </wp:positionH>
              <wp:positionV relativeFrom="page">
                <wp:posOffset>544830</wp:posOffset>
              </wp:positionV>
              <wp:extent cx="6104255" cy="172085"/>
              <wp:effectExtent l="0" t="0" r="0" b="0"/>
              <wp:wrapNone/>
              <wp:docPr id="13"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464CDB60">
                          <w:pPr>
                            <w:rPr>
                              <w:rFonts w:hint="eastAsia"/>
                            </w:rPr>
                          </w:pPr>
                          <w:r>
                            <w:rPr>
                              <w:rFonts w:hint="eastAsia"/>
                              <w:sz w:val="21"/>
                              <w:szCs w:val="21"/>
                            </w:rPr>
                            <w:t>新疆华域建设工程项目管理咨询有限公司</w:t>
                          </w:r>
                          <w:r>
                            <w:rPr>
                              <w:rFonts w:hint="eastAsia"/>
                              <w:sz w:val="21"/>
                              <w:szCs w:val="21"/>
                              <w:lang w:val="en-US"/>
                            </w:rPr>
                            <w:t xml:space="preserve">                                        公开招标文件</w:t>
                          </w:r>
                        </w:p>
                      </w:txbxContent>
                    </wps:txbx>
                    <wps:bodyPr vert="horz" wrap="square" lIns="0" tIns="0" rIns="0" bIns="0" anchor="t" anchorCtr="0" upright="1"/>
                  </wps:wsp>
                </a:graphicData>
              </a:graphic>
            </wp:anchor>
          </w:drawing>
        </mc:Choice>
        <mc:Fallback>
          <w:pict>
            <v:shape id="文本框 4" o:spid="_x0000_s1026" o:spt="202" type="#_x0000_t202" style="position:absolute;left:0pt;margin-left:67.65pt;margin-top:42.9pt;height:13.55pt;width:480.65pt;mso-position-horizontal-relative:page;mso-position-vertical-relative:page;z-index:-251653120;mso-width-relative:page;mso-height-relative:page;" filled="f" stroked="f" coordsize="21600,21600" o:gfxdata="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zvj9NgAAAALAQAADwAA&#10;AAAAAAABACAAAAAiAAAAZHJzL2Rvd25yZXYueG1sUEsBAhQAFAAAAAgAh07iQMe3kq/dAQAAtAMA&#10;AA4AAAAAAAAAAQAgAAAAJwEAAGRycy9lMm9Eb2MueG1sUEsFBgAAAAAGAAYAWQEAAHYFAAAAAA==&#10;">
              <v:fill on="f" focussize="0,0"/>
              <v:stroke on="f"/>
              <v:imagedata o:title=""/>
              <o:lock v:ext="edit" aspectratio="f"/>
              <v:textbox inset="0mm,0mm,0mm,0mm">
                <w:txbxContent>
                  <w:p w14:paraId="464CDB60">
                    <w:pPr>
                      <w:rPr>
                        <w:rFonts w:hint="eastAsia"/>
                      </w:rPr>
                    </w:pPr>
                    <w:r>
                      <w:rPr>
                        <w:rFonts w:hint="eastAsia"/>
                        <w:sz w:val="21"/>
                        <w:szCs w:val="21"/>
                      </w:rPr>
                      <w:t>新疆华域建设工程项目管理咨询有限公司</w:t>
                    </w:r>
                    <w:r>
                      <w:rPr>
                        <w:rFonts w:hint="eastAsia"/>
                        <w:sz w:val="21"/>
                        <w:szCs w:val="21"/>
                        <w:lang w:val="en-US"/>
                      </w:rPr>
                      <w:t xml:space="preserve">                                        公开招标文件</w:t>
                    </w:r>
                  </w:p>
                </w:txbxContent>
              </v:textbox>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1140460</wp:posOffset>
              </wp:positionH>
              <wp:positionV relativeFrom="page">
                <wp:posOffset>705485</wp:posOffset>
              </wp:positionV>
              <wp:extent cx="5473700" cy="0"/>
              <wp:effectExtent l="0" t="4445" r="0" b="5080"/>
              <wp:wrapNone/>
              <wp:docPr id="11" name="直接连接符 2"/>
              <wp:cNvGraphicFramePr/>
              <a:graphic xmlns:a="http://schemas.openxmlformats.org/drawingml/2006/main">
                <a:graphicData uri="http://schemas.microsoft.com/office/word/2010/wordprocessingShape">
                  <wps:wsp>
                    <wps:cNvCnPr/>
                    <wps:spPr>
                      <a:xfrm>
                        <a:off x="0" y="0"/>
                        <a:ext cx="5473700"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89.8pt;margin-top:55.55pt;height:0pt;width:431pt;mso-position-horizontal-relative:page;mso-position-vertical-relative:page;z-index:-251655168;mso-width-relative:page;mso-height-relative:page;" filled="f" stroked="t" coordsize="21600,21600" o:gfxdata="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FZOj1AAAAAwBAAAPAAAAAAAAAAEAIAAAACIAAABkcnMvZG93bnJldi54bWxQSwECFAAUAAAA&#10;CACHTuJAbV14+/IBAADnAwAADgAAAAAAAAABACAAAAAjAQAAZHJzL2Uyb0RvYy54bWxQSwUGAAAA&#10;AAYABgBZAQAAhwUAAAAA&#10;">
              <v:fill on="f" focussize="0,0"/>
              <v:stroke weight="0.72pt" color="#000000"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71D68">
    <w:pPr>
      <w:pStyle w:val="9"/>
      <w:spacing w:before="0" w:line="14" w:lineRule="auto"/>
      <w:ind w:left="0"/>
      <w:rPr>
        <w:rFonts w:hint="eastAsia"/>
        <w:sz w:val="20"/>
      </w:rPr>
    </w:pPr>
    <w:r>
      <mc:AlternateContent>
        <mc:Choice Requires="wps">
          <w:drawing>
            <wp:anchor distT="0" distB="0" distL="114300" distR="114300" simplePos="0" relativeHeight="251664384" behindDoc="1" locked="0" layoutInCell="1" allowOverlap="1">
              <wp:simplePos x="0" y="0"/>
              <wp:positionH relativeFrom="page">
                <wp:posOffset>699770</wp:posOffset>
              </wp:positionH>
              <wp:positionV relativeFrom="page">
                <wp:posOffset>563880</wp:posOffset>
              </wp:positionV>
              <wp:extent cx="6181725" cy="172085"/>
              <wp:effectExtent l="0" t="0" r="0" b="0"/>
              <wp:wrapNone/>
              <wp:docPr id="14" name="文本框 4"/>
              <wp:cNvGraphicFramePr/>
              <a:graphic xmlns:a="http://schemas.openxmlformats.org/drawingml/2006/main">
                <a:graphicData uri="http://schemas.microsoft.com/office/word/2010/wordprocessingShape">
                  <wps:wsp>
                    <wps:cNvSpPr txBox="1"/>
                    <wps:spPr>
                      <a:xfrm>
                        <a:off x="0" y="0"/>
                        <a:ext cx="1625600" cy="139700"/>
                      </a:xfrm>
                      <a:prstGeom prst="rect">
                        <a:avLst/>
                      </a:prstGeom>
                      <a:noFill/>
                      <a:ln>
                        <a:noFill/>
                      </a:ln>
                      <a:effectLst/>
                    </wps:spPr>
                    <wps:txbx>
                      <w:txbxContent>
                        <w:p w14:paraId="570EBB04">
                          <w:pPr>
                            <w:spacing w:line="220" w:lineRule="exact"/>
                            <w:rPr>
                              <w:rFonts w:hint="eastAsia"/>
                              <w:sz w:val="18"/>
                            </w:rPr>
                          </w:pPr>
                          <w:r>
                            <w:rPr>
                              <w:rFonts w:hint="eastAsia"/>
                              <w:sz w:val="21"/>
                              <w:szCs w:val="21"/>
                            </w:rPr>
                            <w:t>新疆华域建设工程项目管理咨询有限公司</w:t>
                          </w:r>
                          <w:r>
                            <w:rPr>
                              <w:rFonts w:hint="eastAsia"/>
                              <w:sz w:val="21"/>
                              <w:szCs w:val="21"/>
                              <w:lang w:val="en-US"/>
                            </w:rPr>
                            <w:t xml:space="preserve">                                            公开招标文件</w:t>
                          </w:r>
                        </w:p>
                      </w:txbxContent>
                    </wps:txbx>
                    <wps:bodyPr vert="horz" wrap="square" lIns="0" tIns="0" rIns="0" bIns="0" anchor="t" anchorCtr="0" upright="1"/>
                  </wps:wsp>
                </a:graphicData>
              </a:graphic>
            </wp:anchor>
          </w:drawing>
        </mc:Choice>
        <mc:Fallback>
          <w:pict>
            <v:shape id="文本框 4" o:spid="_x0000_s1026" o:spt="202" type="#_x0000_t202" style="position:absolute;left:0pt;margin-left:55.1pt;margin-top:44.4pt;height:13.55pt;width:486.75pt;mso-position-horizontal-relative:page;mso-position-vertical-relative:page;z-index:-251652096;mso-width-relative:page;mso-height-relative:page;" filled="f" stroked="f" coordsize="21600,21600" o:gfxdata="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QuWrnXAAAACwEAAA8AAAAA&#10;AAAAAQAgAAAAIgAAAGRycy9kb3ducmV2LnhtbFBLAQIUABQAAAAIAIdO4kApdkhg3AEAALQDAAAO&#10;AAAAAAAAAAEAIAAAACYBAABkcnMvZTJvRG9jLnhtbFBLBQYAAAAABgAGAFkBAAB0BQAAAAA=&#10;">
              <v:fill on="f" focussize="0,0"/>
              <v:stroke on="f"/>
              <v:imagedata o:title=""/>
              <o:lock v:ext="edit" aspectratio="f"/>
              <v:textbox inset="0mm,0mm,0mm,0mm">
                <w:txbxContent>
                  <w:p w14:paraId="570EBB04">
                    <w:pPr>
                      <w:spacing w:line="220" w:lineRule="exact"/>
                      <w:rPr>
                        <w:rFonts w:hint="eastAsia"/>
                        <w:sz w:val="18"/>
                      </w:rPr>
                    </w:pPr>
                    <w:r>
                      <w:rPr>
                        <w:rFonts w:hint="eastAsia"/>
                        <w:sz w:val="21"/>
                        <w:szCs w:val="21"/>
                      </w:rPr>
                      <w:t>新疆华域建设工程项目管理咨询有限公司</w:t>
                    </w:r>
                    <w:r>
                      <w:rPr>
                        <w:rFonts w:hint="eastAsia"/>
                        <w:sz w:val="21"/>
                        <w:szCs w:val="21"/>
                        <w:lang w:val="en-US"/>
                      </w:rPr>
                      <w:t xml:space="preserve">                                            公开招标文件</w:t>
                    </w: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1140460</wp:posOffset>
              </wp:positionH>
              <wp:positionV relativeFrom="page">
                <wp:posOffset>705485</wp:posOffset>
              </wp:positionV>
              <wp:extent cx="5473700" cy="0"/>
              <wp:effectExtent l="0" t="4445" r="0" b="5080"/>
              <wp:wrapNone/>
              <wp:docPr id="12" name="直接连接符 2"/>
              <wp:cNvGraphicFramePr/>
              <a:graphic xmlns:a="http://schemas.openxmlformats.org/drawingml/2006/main">
                <a:graphicData uri="http://schemas.microsoft.com/office/word/2010/wordprocessingShape">
                  <wps:wsp>
                    <wps:cNvCnPr/>
                    <wps:spPr>
                      <a:xfrm>
                        <a:off x="0" y="0"/>
                        <a:ext cx="5473700"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直接连接符 2" o:spid="_x0000_s1026" o:spt="20" style="position:absolute;left:0pt;margin-left:89.8pt;margin-top:55.55pt;height:0pt;width:431pt;mso-position-horizontal-relative:page;mso-position-vertical-relative:page;z-index:-251654144;mso-width-relative:page;mso-height-relative:page;" filled="f" stroked="t" coordsize="21600,21600" o:gfxdata="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mFZOj1AAAAAwBAAAPAAAAAAAAAAEAIAAAACIAAABkcnMvZG93bnJldi54bWxQSwECFAAUAAAA&#10;CACHTuJASA4bsfIBAADnAwAADgAAAAAAAAABACAAAAAjAQAAZHJzL2Uyb0RvYy54bWxQSwUGAAAA&#10;AAYABgBZAQAAhwU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47E22"/>
    <w:multiLevelType w:val="singleLevel"/>
    <w:tmpl w:val="95847E22"/>
    <w:lvl w:ilvl="0" w:tentative="0">
      <w:start w:val="1"/>
      <w:numFmt w:val="decimal"/>
      <w:lvlText w:val="%1)"/>
      <w:lvlJc w:val="left"/>
      <w:pPr>
        <w:ind w:left="425" w:hanging="425"/>
      </w:pPr>
      <w:rPr>
        <w:rFonts w:hint="default"/>
      </w:rPr>
    </w:lvl>
  </w:abstractNum>
  <w:abstractNum w:abstractNumId="1">
    <w:nsid w:val="D9EB68F0"/>
    <w:multiLevelType w:val="singleLevel"/>
    <w:tmpl w:val="D9EB68F0"/>
    <w:lvl w:ilvl="0" w:tentative="0">
      <w:start w:val="1"/>
      <w:numFmt w:val="decimal"/>
      <w:lvlText w:val="%1)"/>
      <w:lvlJc w:val="left"/>
      <w:pPr>
        <w:ind w:left="425" w:hanging="425"/>
      </w:pPr>
      <w:rPr>
        <w:rFonts w:hint="default"/>
      </w:rPr>
    </w:lvl>
  </w:abstractNum>
  <w:abstractNum w:abstractNumId="2">
    <w:nsid w:val="04958717"/>
    <w:multiLevelType w:val="singleLevel"/>
    <w:tmpl w:val="04958717"/>
    <w:lvl w:ilvl="0" w:tentative="0">
      <w:start w:val="1"/>
      <w:numFmt w:val="decimal"/>
      <w:lvlText w:val="%1)"/>
      <w:lvlJc w:val="left"/>
      <w:pPr>
        <w:ind w:left="425" w:hanging="425"/>
      </w:pPr>
      <w:rPr>
        <w:rFonts w:hint="default"/>
      </w:rPr>
    </w:lvl>
  </w:abstractNum>
  <w:abstractNum w:abstractNumId="3">
    <w:nsid w:val="16EF7B64"/>
    <w:multiLevelType w:val="singleLevel"/>
    <w:tmpl w:val="16EF7B64"/>
    <w:lvl w:ilvl="0" w:tentative="0">
      <w:start w:val="1"/>
      <w:numFmt w:val="decimal"/>
      <w:lvlText w:val="%1)"/>
      <w:lvlJc w:val="left"/>
      <w:pPr>
        <w:ind w:left="425" w:hanging="425"/>
      </w:pPr>
      <w:rPr>
        <w:rFonts w:hint="default"/>
      </w:rPr>
    </w:lvl>
  </w:abstractNum>
  <w:abstractNum w:abstractNumId="4">
    <w:nsid w:val="19F6FE57"/>
    <w:multiLevelType w:val="singleLevel"/>
    <w:tmpl w:val="19F6FE57"/>
    <w:lvl w:ilvl="0" w:tentative="0">
      <w:start w:val="6"/>
      <w:numFmt w:val="chineseCounting"/>
      <w:suff w:val="space"/>
      <w:lvlText w:val="第%1部分"/>
      <w:lvlJc w:val="left"/>
      <w:rPr>
        <w:rFonts w:hint="eastAsia"/>
      </w:rPr>
    </w:lvl>
  </w:abstractNum>
  <w:abstractNum w:abstractNumId="5">
    <w:nsid w:val="1CBC5303"/>
    <w:multiLevelType w:val="singleLevel"/>
    <w:tmpl w:val="1CBC5303"/>
    <w:lvl w:ilvl="0" w:tentative="0">
      <w:start w:val="1"/>
      <w:numFmt w:val="chineseCounting"/>
      <w:suff w:val="space"/>
      <w:lvlText w:val="第%1部分"/>
      <w:lvlJc w:val="left"/>
      <w:rPr>
        <w:rFonts w:hint="eastAsia"/>
      </w:rPr>
    </w:lvl>
  </w:abstractNum>
  <w:abstractNum w:abstractNumId="6">
    <w:nsid w:val="4CC23CC1"/>
    <w:multiLevelType w:val="singleLevel"/>
    <w:tmpl w:val="4CC23CC1"/>
    <w:lvl w:ilvl="0" w:tentative="0">
      <w:start w:val="1"/>
      <w:numFmt w:val="decimal"/>
      <w:lvlText w:val="%1)"/>
      <w:lvlJc w:val="left"/>
      <w:pPr>
        <w:ind w:left="425" w:hanging="425"/>
      </w:pPr>
      <w:rPr>
        <w:rFonts w:hint="default"/>
      </w:rPr>
    </w:lvl>
  </w:abstractNum>
  <w:abstractNum w:abstractNumId="7">
    <w:nsid w:val="5BCEBC66"/>
    <w:multiLevelType w:val="singleLevel"/>
    <w:tmpl w:val="5BCEBC66"/>
    <w:lvl w:ilvl="0" w:tentative="0">
      <w:start w:val="1"/>
      <w:numFmt w:val="decimal"/>
      <w:lvlText w:val="%1)"/>
      <w:lvlJc w:val="left"/>
      <w:pPr>
        <w:ind w:left="425" w:hanging="425"/>
      </w:pPr>
      <w:rPr>
        <w:rFonts w:hint="default"/>
      </w:rPr>
    </w:lvl>
  </w:abstractNum>
  <w:abstractNum w:abstractNumId="8">
    <w:nsid w:val="5E29AB5A"/>
    <w:multiLevelType w:val="multilevel"/>
    <w:tmpl w:val="5E29AB5A"/>
    <w:lvl w:ilvl="0" w:tentative="0">
      <w:start w:val="1"/>
      <w:numFmt w:val="decimal"/>
      <w:lvlText w:val="（%1）"/>
      <w:lvlJc w:val="left"/>
      <w:pPr>
        <w:ind w:left="1840" w:hanging="689"/>
      </w:pPr>
      <w:rPr>
        <w:rFonts w:hint="default" w:ascii="宋体" w:hAnsi="宋体" w:eastAsia="宋体" w:cs="宋体"/>
        <w:w w:val="100"/>
        <w:sz w:val="24"/>
        <w:szCs w:val="24"/>
        <w:lang w:val="zh-CN" w:eastAsia="zh-CN" w:bidi="zh-CN"/>
      </w:rPr>
    </w:lvl>
    <w:lvl w:ilvl="1" w:tentative="0">
      <w:start w:val="0"/>
      <w:numFmt w:val="bullet"/>
      <w:lvlText w:val="•"/>
      <w:lvlJc w:val="left"/>
      <w:pPr>
        <w:ind w:left="2702" w:hanging="689"/>
      </w:pPr>
      <w:rPr>
        <w:rFonts w:hint="default"/>
        <w:lang w:val="zh-CN" w:eastAsia="zh-CN" w:bidi="zh-CN"/>
      </w:rPr>
    </w:lvl>
    <w:lvl w:ilvl="2" w:tentative="0">
      <w:start w:val="0"/>
      <w:numFmt w:val="bullet"/>
      <w:lvlText w:val="•"/>
      <w:lvlJc w:val="left"/>
      <w:pPr>
        <w:ind w:left="3565" w:hanging="689"/>
      </w:pPr>
      <w:rPr>
        <w:rFonts w:hint="default"/>
        <w:lang w:val="zh-CN" w:eastAsia="zh-CN" w:bidi="zh-CN"/>
      </w:rPr>
    </w:lvl>
    <w:lvl w:ilvl="3" w:tentative="0">
      <w:start w:val="0"/>
      <w:numFmt w:val="bullet"/>
      <w:lvlText w:val="•"/>
      <w:lvlJc w:val="left"/>
      <w:pPr>
        <w:ind w:left="4427" w:hanging="689"/>
      </w:pPr>
      <w:rPr>
        <w:rFonts w:hint="default"/>
        <w:lang w:val="zh-CN" w:eastAsia="zh-CN" w:bidi="zh-CN"/>
      </w:rPr>
    </w:lvl>
    <w:lvl w:ilvl="4" w:tentative="0">
      <w:start w:val="0"/>
      <w:numFmt w:val="bullet"/>
      <w:lvlText w:val="•"/>
      <w:lvlJc w:val="left"/>
      <w:pPr>
        <w:ind w:left="5290" w:hanging="689"/>
      </w:pPr>
      <w:rPr>
        <w:rFonts w:hint="default"/>
        <w:lang w:val="zh-CN" w:eastAsia="zh-CN" w:bidi="zh-CN"/>
      </w:rPr>
    </w:lvl>
    <w:lvl w:ilvl="5" w:tentative="0">
      <w:start w:val="0"/>
      <w:numFmt w:val="bullet"/>
      <w:lvlText w:val="•"/>
      <w:lvlJc w:val="left"/>
      <w:pPr>
        <w:ind w:left="6153" w:hanging="689"/>
      </w:pPr>
      <w:rPr>
        <w:rFonts w:hint="default"/>
        <w:lang w:val="zh-CN" w:eastAsia="zh-CN" w:bidi="zh-CN"/>
      </w:rPr>
    </w:lvl>
    <w:lvl w:ilvl="6" w:tentative="0">
      <w:start w:val="0"/>
      <w:numFmt w:val="bullet"/>
      <w:lvlText w:val="•"/>
      <w:lvlJc w:val="left"/>
      <w:pPr>
        <w:ind w:left="7015" w:hanging="689"/>
      </w:pPr>
      <w:rPr>
        <w:rFonts w:hint="default"/>
        <w:lang w:val="zh-CN" w:eastAsia="zh-CN" w:bidi="zh-CN"/>
      </w:rPr>
    </w:lvl>
    <w:lvl w:ilvl="7" w:tentative="0">
      <w:start w:val="0"/>
      <w:numFmt w:val="bullet"/>
      <w:lvlText w:val="•"/>
      <w:lvlJc w:val="left"/>
      <w:pPr>
        <w:ind w:left="7878" w:hanging="689"/>
      </w:pPr>
      <w:rPr>
        <w:rFonts w:hint="default"/>
        <w:lang w:val="zh-CN" w:eastAsia="zh-CN" w:bidi="zh-CN"/>
      </w:rPr>
    </w:lvl>
    <w:lvl w:ilvl="8" w:tentative="0">
      <w:start w:val="0"/>
      <w:numFmt w:val="bullet"/>
      <w:lvlText w:val="•"/>
      <w:lvlJc w:val="left"/>
      <w:pPr>
        <w:ind w:left="8740" w:hanging="689"/>
      </w:pPr>
      <w:rPr>
        <w:rFonts w:hint="default"/>
        <w:lang w:val="zh-CN" w:eastAsia="zh-CN" w:bidi="zh-CN"/>
      </w:rPr>
    </w:lvl>
  </w:abstractNum>
  <w:abstractNum w:abstractNumId="9">
    <w:nsid w:val="60376F48"/>
    <w:multiLevelType w:val="singleLevel"/>
    <w:tmpl w:val="60376F48"/>
    <w:lvl w:ilvl="0" w:tentative="0">
      <w:start w:val="1"/>
      <w:numFmt w:val="decimal"/>
      <w:suff w:val="nothing"/>
      <w:lvlText w:val="%1、"/>
      <w:lvlJc w:val="left"/>
    </w:lvl>
  </w:abstractNum>
  <w:abstractNum w:abstractNumId="10">
    <w:nsid w:val="7BFC285B"/>
    <w:multiLevelType w:val="singleLevel"/>
    <w:tmpl w:val="7BFC285B"/>
    <w:lvl w:ilvl="0" w:tentative="0">
      <w:start w:val="4"/>
      <w:numFmt w:val="chineseCounting"/>
      <w:suff w:val="nothing"/>
      <w:lvlText w:val="%1、"/>
      <w:lvlJc w:val="left"/>
      <w:rPr>
        <w:rFonts w:hint="eastAsia"/>
      </w:rPr>
    </w:lvl>
  </w:abstractNum>
  <w:abstractNum w:abstractNumId="11">
    <w:nsid w:val="7F8700BD"/>
    <w:multiLevelType w:val="singleLevel"/>
    <w:tmpl w:val="7F8700BD"/>
    <w:lvl w:ilvl="0" w:tentative="0">
      <w:start w:val="1"/>
      <w:numFmt w:val="decimal"/>
      <w:suff w:val="nothing"/>
      <w:lvlText w:val="%1、"/>
      <w:lvlJc w:val="left"/>
    </w:lvl>
  </w:abstractNum>
  <w:num w:numId="1">
    <w:abstractNumId w:val="5"/>
  </w:num>
  <w:num w:numId="2">
    <w:abstractNumId w:val="10"/>
  </w:num>
  <w:num w:numId="3">
    <w:abstractNumId w:val="11"/>
  </w:num>
  <w:num w:numId="4">
    <w:abstractNumId w:val="4"/>
  </w:num>
  <w:num w:numId="5">
    <w:abstractNumId w:val="7"/>
  </w:num>
  <w:num w:numId="6">
    <w:abstractNumId w:val="3"/>
  </w:num>
  <w:num w:numId="7">
    <w:abstractNumId w:val="1"/>
  </w:num>
  <w:num w:numId="8">
    <w:abstractNumId w:val="2"/>
  </w:num>
  <w:num w:numId="9">
    <w:abstractNumId w:val="6"/>
  </w:num>
  <w:num w:numId="10">
    <w:abstractNumId w:val="0"/>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0007E"/>
    <w:rsid w:val="013E6DCE"/>
    <w:rsid w:val="015F4510"/>
    <w:rsid w:val="0186190D"/>
    <w:rsid w:val="02CF5DA7"/>
    <w:rsid w:val="036D7252"/>
    <w:rsid w:val="0630007E"/>
    <w:rsid w:val="0B304DED"/>
    <w:rsid w:val="0D074274"/>
    <w:rsid w:val="0D3122B2"/>
    <w:rsid w:val="15CA0293"/>
    <w:rsid w:val="15EC04AB"/>
    <w:rsid w:val="197902A7"/>
    <w:rsid w:val="1B7041DC"/>
    <w:rsid w:val="1C054074"/>
    <w:rsid w:val="20EC5803"/>
    <w:rsid w:val="216D01BE"/>
    <w:rsid w:val="226A4BFB"/>
    <w:rsid w:val="24FD7FDE"/>
    <w:rsid w:val="250A26FB"/>
    <w:rsid w:val="25643DED"/>
    <w:rsid w:val="258E50DA"/>
    <w:rsid w:val="26134EB0"/>
    <w:rsid w:val="27424CC0"/>
    <w:rsid w:val="304626BD"/>
    <w:rsid w:val="31124E12"/>
    <w:rsid w:val="32081D71"/>
    <w:rsid w:val="3264169D"/>
    <w:rsid w:val="330834E7"/>
    <w:rsid w:val="330F7364"/>
    <w:rsid w:val="331A61FF"/>
    <w:rsid w:val="33D740F0"/>
    <w:rsid w:val="33DC1707"/>
    <w:rsid w:val="358B7F7F"/>
    <w:rsid w:val="38003C16"/>
    <w:rsid w:val="38D33834"/>
    <w:rsid w:val="3C6329C5"/>
    <w:rsid w:val="3E9E5F37"/>
    <w:rsid w:val="43B32C49"/>
    <w:rsid w:val="45D87F80"/>
    <w:rsid w:val="488937B4"/>
    <w:rsid w:val="495947D4"/>
    <w:rsid w:val="4C833F61"/>
    <w:rsid w:val="4DF94F37"/>
    <w:rsid w:val="4F551602"/>
    <w:rsid w:val="503C4C24"/>
    <w:rsid w:val="527B23BF"/>
    <w:rsid w:val="540B32CF"/>
    <w:rsid w:val="567F61F6"/>
    <w:rsid w:val="568D0913"/>
    <w:rsid w:val="571E5A0F"/>
    <w:rsid w:val="594554D5"/>
    <w:rsid w:val="5A5B33E1"/>
    <w:rsid w:val="5A717211"/>
    <w:rsid w:val="5E960581"/>
    <w:rsid w:val="5FBD7956"/>
    <w:rsid w:val="623600B0"/>
    <w:rsid w:val="629E17B2"/>
    <w:rsid w:val="62B06A6F"/>
    <w:rsid w:val="64202DC6"/>
    <w:rsid w:val="6A136F29"/>
    <w:rsid w:val="6ABC136F"/>
    <w:rsid w:val="6C8C5016"/>
    <w:rsid w:val="6D940381"/>
    <w:rsid w:val="6EEA7BD1"/>
    <w:rsid w:val="6F6618A9"/>
    <w:rsid w:val="719C26CA"/>
    <w:rsid w:val="74E2279A"/>
    <w:rsid w:val="75703482"/>
    <w:rsid w:val="75774810"/>
    <w:rsid w:val="7A9F7C19"/>
    <w:rsid w:val="7EBD6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qFormat="1" w:unhideWhenUsed="0" w:uiPriority="9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3"/>
    <w:next w:val="3"/>
    <w:link w:val="25"/>
    <w:qFormat/>
    <w:uiPriority w:val="1"/>
    <w:pPr>
      <w:spacing w:before="90"/>
      <w:ind w:right="608"/>
      <w:jc w:val="center"/>
      <w:outlineLvl w:val="0"/>
    </w:pPr>
    <w:rPr>
      <w:b/>
      <w:bCs/>
      <w:sz w:val="36"/>
      <w:szCs w:val="36"/>
    </w:rPr>
  </w:style>
  <w:style w:type="paragraph" w:styleId="4">
    <w:name w:val="heading 2"/>
    <w:basedOn w:val="1"/>
    <w:next w:val="1"/>
    <w:qFormat/>
    <w:uiPriority w:val="1"/>
    <w:pPr>
      <w:ind w:right="610"/>
      <w:jc w:val="center"/>
      <w:outlineLvl w:val="1"/>
    </w:pPr>
    <w:rPr>
      <w:b/>
      <w:bCs/>
      <w:sz w:val="32"/>
      <w:szCs w:val="32"/>
    </w:rPr>
  </w:style>
  <w:style w:type="paragraph" w:styleId="5">
    <w:name w:val="heading 3"/>
    <w:basedOn w:val="1"/>
    <w:next w:val="1"/>
    <w:qFormat/>
    <w:uiPriority w:val="1"/>
    <w:pPr>
      <w:spacing w:before="1"/>
      <w:ind w:left="637"/>
      <w:jc w:val="center"/>
      <w:outlineLvl w:val="2"/>
    </w:pPr>
    <w:rPr>
      <w:b/>
      <w:bCs/>
      <w:sz w:val="28"/>
      <w:szCs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3">
    <w:name w:val="Block Text"/>
    <w:basedOn w:val="1"/>
    <w:qFormat/>
    <w:uiPriority w:val="0"/>
    <w:pPr>
      <w:spacing w:after="120"/>
      <w:ind w:left="700" w:leftChars="700" w:right="700" w:rightChars="700"/>
    </w:pPr>
    <w:rPr>
      <w:szCs w:val="21"/>
    </w:rPr>
  </w:style>
  <w:style w:type="paragraph" w:styleId="6">
    <w:name w:val="Normal Indent"/>
    <w:basedOn w:val="1"/>
    <w:qFormat/>
    <w:uiPriority w:val="0"/>
    <w:pPr>
      <w:ind w:firstLine="420"/>
    </w:pPr>
  </w:style>
  <w:style w:type="paragraph" w:styleId="7">
    <w:name w:val="annotation text"/>
    <w:basedOn w:val="1"/>
    <w:qFormat/>
    <w:uiPriority w:val="0"/>
    <w:pPr>
      <w:jc w:val="left"/>
    </w:pPr>
  </w:style>
  <w:style w:type="paragraph" w:styleId="8">
    <w:name w:val="index 6"/>
    <w:basedOn w:val="1"/>
    <w:next w:val="1"/>
    <w:qFormat/>
    <w:uiPriority w:val="99"/>
    <w:pPr>
      <w:ind w:left="2100"/>
    </w:pPr>
  </w:style>
  <w:style w:type="paragraph" w:styleId="9">
    <w:name w:val="Body Text"/>
    <w:basedOn w:val="1"/>
    <w:next w:val="10"/>
    <w:qFormat/>
    <w:uiPriority w:val="1"/>
    <w:pPr>
      <w:spacing w:before="1"/>
      <w:ind w:left="637"/>
    </w:pPr>
    <w:rPr>
      <w:sz w:val="24"/>
      <w:szCs w:val="24"/>
    </w:rPr>
  </w:style>
  <w:style w:type="paragraph" w:styleId="10">
    <w:name w:val="toc 9"/>
    <w:basedOn w:val="1"/>
    <w:next w:val="1"/>
    <w:qFormat/>
    <w:uiPriority w:val="99"/>
    <w:pPr>
      <w:ind w:left="3360" w:leftChars="1600"/>
    </w:pPr>
  </w:style>
  <w:style w:type="paragraph" w:styleId="11">
    <w:name w:val="Plain Text"/>
    <w:basedOn w:val="1"/>
    <w:qFormat/>
    <w:uiPriority w:val="0"/>
    <w:rPr>
      <w:rFonts w:hAnsi="Courier New" w:cs="Courier New"/>
      <w:szCs w:val="21"/>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cs="Times New Roman"/>
      <w:sz w:val="18"/>
    </w:rPr>
  </w:style>
  <w:style w:type="paragraph" w:styleId="13">
    <w:name w:val="toc 6"/>
    <w:next w:val="1"/>
    <w:unhideWhenUsed/>
    <w:qFormat/>
    <w:uiPriority w:val="39"/>
    <w:pPr>
      <w:widowControl w:val="0"/>
      <w:ind w:left="2100" w:leftChars="1000"/>
      <w:jc w:val="both"/>
    </w:pPr>
    <w:rPr>
      <w:rFonts w:asciiTheme="minorHAnsi" w:hAnsiTheme="minorHAnsi" w:eastAsiaTheme="minorEastAsia" w:cstheme="minorBidi"/>
      <w:kern w:val="2"/>
      <w:sz w:val="21"/>
      <w:szCs w:val="22"/>
      <w:lang w:val="en-US" w:eastAsia="zh-CN" w:bidi="ar-SA"/>
    </w:rPr>
  </w:style>
  <w:style w:type="paragraph" w:styleId="14">
    <w:name w:val="Normal (Web)"/>
    <w:basedOn w:val="1"/>
    <w:qFormat/>
    <w:uiPriority w:val="0"/>
    <w:pPr>
      <w:spacing w:before="100" w:beforeAutospacing="1" w:after="100" w:afterAutospacing="1"/>
    </w:pPr>
    <w:rPr>
      <w:kern w:val="1"/>
      <w:sz w:val="24"/>
      <w:szCs w:val="20"/>
    </w:rPr>
  </w:style>
  <w:style w:type="paragraph" w:styleId="15">
    <w:name w:val="Title"/>
    <w:basedOn w:val="1"/>
    <w:next w:val="1"/>
    <w:qFormat/>
    <w:uiPriority w:val="0"/>
    <w:pPr>
      <w:spacing w:line="520" w:lineRule="exact"/>
      <w:jc w:val="center"/>
      <w:outlineLvl w:val="3"/>
    </w:pPr>
    <w:rPr>
      <w:rFonts w:ascii="Cambria" w:hAnsi="Cambria"/>
      <w:b/>
      <w:bCs/>
      <w:sz w:val="28"/>
      <w:szCs w:val="32"/>
    </w:rPr>
  </w:style>
  <w:style w:type="paragraph" w:styleId="16">
    <w:name w:val="Body Text First Indent"/>
    <w:basedOn w:val="9"/>
    <w:next w:val="13"/>
    <w:qFormat/>
    <w:uiPriority w:val="0"/>
    <w:pPr>
      <w:spacing w:after="120"/>
      <w:ind w:firstLine="420" w:firstLineChars="100"/>
    </w:pPr>
    <w:rPr>
      <w:rFonts w:ascii="Times New Roman" w:hAnsi="Times New Roman" w:cs="Times New Roman"/>
      <w:sz w:val="21"/>
    </w:rPr>
  </w:style>
  <w:style w:type="paragraph" w:styleId="17">
    <w:name w:val="Body Text First Indent 2"/>
    <w:next w:val="16"/>
    <w:unhideWhenUsed/>
    <w:qFormat/>
    <w:uiPriority w:val="99"/>
    <w:pPr>
      <w:widowControl w:val="0"/>
      <w:spacing w:after="120" w:line="360" w:lineRule="auto"/>
      <w:ind w:left="420" w:leftChars="200" w:firstLine="420" w:firstLineChars="200"/>
      <w:jc w:val="both"/>
    </w:pPr>
    <w:rPr>
      <w:rFonts w:ascii="Times New Roman" w:hAnsi="Times New Roman" w:eastAsiaTheme="minorEastAsia" w:cstheme="minorBidi"/>
      <w:sz w:val="21"/>
      <w:szCs w:val="24"/>
      <w:lang w:val="en-US" w:eastAsia="zh-CN" w:bidi="ar-SA"/>
    </w:rPr>
  </w:style>
  <w:style w:type="character" w:styleId="20">
    <w:name w:val="Strong"/>
    <w:basedOn w:val="19"/>
    <w:qFormat/>
    <w:uiPriority w:val="0"/>
    <w:rPr>
      <w:b/>
    </w:rPr>
  </w:style>
  <w:style w:type="character" w:styleId="21">
    <w:name w:val="annotation reference"/>
    <w:basedOn w:val="19"/>
    <w:qFormat/>
    <w:uiPriority w:val="0"/>
    <w:rPr>
      <w:sz w:val="21"/>
      <w:szCs w:val="21"/>
    </w:rPr>
  </w:style>
  <w:style w:type="character" w:styleId="22">
    <w:name w:val="HTML Sample"/>
    <w:basedOn w:val="19"/>
    <w:qFormat/>
    <w:uiPriority w:val="0"/>
    <w:rPr>
      <w:rFonts w:ascii="Courier New" w:hAnsi="Courier New"/>
    </w:rPr>
  </w:style>
  <w:style w:type="paragraph" w:customStyle="1" w:styleId="2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文档正文"/>
    <w:basedOn w:val="1"/>
    <w:qFormat/>
    <w:uiPriority w:val="0"/>
    <w:pPr>
      <w:adjustRightInd w:val="0"/>
      <w:snapToGrid w:val="0"/>
      <w:spacing w:line="288" w:lineRule="auto"/>
      <w:ind w:firstLine="420" w:firstLineChars="200"/>
      <w:jc w:val="center"/>
      <w:textAlignment w:val="baseline"/>
    </w:pPr>
    <w:rPr>
      <w:bCs/>
    </w:rPr>
  </w:style>
  <w:style w:type="character" w:customStyle="1" w:styleId="25">
    <w:name w:val="标题 1 字符"/>
    <w:link w:val="2"/>
    <w:qFormat/>
    <w:uiPriority w:val="1"/>
    <w:rPr>
      <w:b/>
      <w:bCs/>
      <w:sz w:val="36"/>
      <w:szCs w:val="36"/>
    </w:rPr>
  </w:style>
  <w:style w:type="paragraph" w:customStyle="1" w:styleId="26">
    <w:name w:val="表格文字2"/>
    <w:basedOn w:val="27"/>
    <w:qFormat/>
    <w:uiPriority w:val="99"/>
    <w:pPr>
      <w:spacing w:before="25" w:after="25"/>
      <w:jc w:val="left"/>
    </w:pPr>
    <w:rPr>
      <w:bCs/>
      <w:spacing w:val="10"/>
      <w:kern w:val="0"/>
    </w:rPr>
  </w:style>
  <w:style w:type="paragraph" w:customStyle="1" w:styleId="27">
    <w:name w:val="正文1"/>
    <w:qFormat/>
    <w:uiPriority w:val="0"/>
    <w:pPr>
      <w:widowControl w:val="0"/>
      <w:jc w:val="both"/>
    </w:pPr>
    <w:rPr>
      <w:rFonts w:ascii="Calibri" w:hAnsi="Calibri" w:eastAsia="宋体" w:cs="Times New Roman"/>
      <w:kern w:val="2"/>
      <w:sz w:val="21"/>
      <w:szCs w:val="22"/>
      <w:lang w:val="en-US" w:eastAsia="zh-CN" w:bidi="ar-SA"/>
    </w:rPr>
  </w:style>
  <w:style w:type="paragraph" w:styleId="28">
    <w:name w:val="List Paragraph"/>
    <w:basedOn w:val="1"/>
    <w:qFormat/>
    <w:uiPriority w:val="1"/>
    <w:pPr>
      <w:spacing w:before="1"/>
      <w:ind w:left="637" w:firstLine="480"/>
    </w:pPr>
  </w:style>
  <w:style w:type="paragraph" w:customStyle="1" w:styleId="29">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0">
    <w:name w:val="reader-word-layer reader-word-s1-14"/>
    <w:basedOn w:val="1"/>
    <w:qFormat/>
    <w:uiPriority w:val="0"/>
    <w:pPr>
      <w:widowControl/>
      <w:spacing w:before="100" w:beforeAutospacing="1" w:after="100" w:afterAutospacing="1"/>
    </w:pPr>
    <w:rPr>
      <w:sz w:val="24"/>
    </w:rPr>
  </w:style>
  <w:style w:type="paragraph" w:customStyle="1" w:styleId="31">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customStyle="1" w:styleId="32">
    <w:name w:val="正文_0_0_0_0"/>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3">
    <w:name w:val="È±Ê¡ÎÄ±¾"/>
    <w:basedOn w:val="1"/>
    <w:qFormat/>
    <w:uiPriority w:val="0"/>
    <w:pPr>
      <w:widowControl/>
      <w:overflowPunct w:val="0"/>
      <w:adjustRightInd w:val="0"/>
      <w:textAlignment w:val="baseline"/>
    </w:pPr>
    <w:rPr>
      <w:sz w:val="24"/>
      <w:szCs w:val="20"/>
    </w:rPr>
  </w:style>
  <w:style w:type="paragraph" w:customStyle="1" w:styleId="34">
    <w:name w:val="正文_0_0_2"/>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35">
    <w:name w:val="p0"/>
    <w:basedOn w:val="1"/>
    <w:qFormat/>
    <w:uiPriority w:val="0"/>
    <w:pPr>
      <w:widowControl/>
    </w:pPr>
    <w:rPr>
      <w:szCs w:val="21"/>
    </w:rPr>
  </w:style>
  <w:style w:type="paragraph" w:styleId="36">
    <w:name w:val="No Spacing"/>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8593</Words>
  <Characters>9606</Characters>
  <Lines>0</Lines>
  <Paragraphs>0</Paragraphs>
  <TotalTime>11</TotalTime>
  <ScaleCrop>false</ScaleCrop>
  <LinksUpToDate>false</LinksUpToDate>
  <CharactersWithSpaces>9709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2026-04-10T09:19:00Z</dcterms:created>
  <dc:creator>文彩飞扬</dc:creator>
  <cp:lastModifiedBy>没关系正合我意、</cp:lastModifiedBy>
  <dcterms:modified xsi:type="dcterms:W3CDTF">2026-04-23T05:25:05Z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B5F2CC0917ED43FFA97A1A038A39D05E_13</vt:lpwstr>
  </property>
  <property fmtid="{D5CDD505-2E9C-101B-9397-08002B2CF9AE}" pid="4" name="KSOTemplateDocerSaveRecord">
    <vt:lpwstr>eyJoZGlkIjoiYjg1MzdhYTk3ZTY1OTJmZmQxMmJjMzA2NTBiZDU2N2UiLCJ1c2VySWQiOiIzMTA2MDI4NzYifQ==</vt:lpwstr>
  </property>
</Properties>
</file>