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0A178">
      <w:pPr>
        <w:jc w:val="both"/>
        <w:rPr>
          <w:rFonts w:hint="eastAsia" w:ascii="宋体" w:hAnsi="宋体" w:cs="宋体"/>
          <w:b/>
          <w:bCs/>
          <w:color w:val="auto"/>
          <w:sz w:val="48"/>
          <w:szCs w:val="48"/>
          <w:highlight w:val="none"/>
        </w:rPr>
      </w:pPr>
    </w:p>
    <w:p w14:paraId="681F72F3">
      <w:pPr>
        <w:spacing w:line="360" w:lineRule="auto"/>
        <w:jc w:val="center"/>
        <w:rPr>
          <w:rFonts w:hint="eastAsia" w:ascii="宋体" w:hAnsi="宋体" w:eastAsia="宋体" w:cs="宋体"/>
          <w:b/>
          <w:bCs/>
          <w:color w:val="auto"/>
          <w:spacing w:val="17"/>
          <w:sz w:val="56"/>
          <w:szCs w:val="56"/>
          <w:highlight w:val="none"/>
          <w:lang w:eastAsia="zh-CN"/>
        </w:rPr>
      </w:pPr>
      <w:r>
        <w:rPr>
          <w:rFonts w:hint="eastAsia" w:ascii="宋体" w:hAnsi="宋体" w:cs="宋体"/>
          <w:b/>
          <w:bCs/>
          <w:color w:val="auto"/>
          <w:spacing w:val="17"/>
          <w:sz w:val="44"/>
          <w:szCs w:val="44"/>
          <w:highlight w:val="none"/>
          <w:lang w:eastAsia="zh-CN"/>
        </w:rPr>
        <w:t>大理护理职业学院眼健康产业学院（一期）建设项目（一标段）</w:t>
      </w:r>
    </w:p>
    <w:p w14:paraId="1989C5F2">
      <w:pPr>
        <w:tabs>
          <w:tab w:val="left" w:pos="2077"/>
        </w:tabs>
        <w:spacing w:line="360" w:lineRule="auto"/>
        <w:rPr>
          <w:rFonts w:hint="eastAsia" w:ascii="宋体" w:hAnsi="宋体"/>
          <w:b/>
          <w:bCs/>
          <w:color w:val="auto"/>
          <w:sz w:val="36"/>
          <w:szCs w:val="36"/>
          <w:highlight w:val="none"/>
        </w:rPr>
      </w:pPr>
      <w:r>
        <w:rPr>
          <w:rFonts w:hint="eastAsia" w:ascii="宋体" w:hAnsi="宋体"/>
          <w:b/>
          <w:bCs/>
          <w:color w:val="auto"/>
          <w:sz w:val="36"/>
          <w:szCs w:val="36"/>
          <w:highlight w:val="none"/>
        </w:rPr>
        <w:tab/>
      </w:r>
    </w:p>
    <w:p w14:paraId="557B9D72">
      <w:pPr>
        <w:rPr>
          <w:rFonts w:hint="eastAsia" w:ascii="宋体" w:hAnsi="宋体"/>
          <w:color w:val="auto"/>
          <w:highlight w:val="none"/>
        </w:rPr>
      </w:pPr>
    </w:p>
    <w:p w14:paraId="0253F1AA">
      <w:pPr>
        <w:pStyle w:val="33"/>
        <w:rPr>
          <w:rFonts w:hint="eastAsia" w:ascii="宋体" w:hAnsi="宋体"/>
          <w:color w:val="auto"/>
          <w:highlight w:val="none"/>
        </w:rPr>
      </w:pPr>
    </w:p>
    <w:p w14:paraId="74E250BF">
      <w:pPr>
        <w:spacing w:line="360" w:lineRule="auto"/>
        <w:jc w:val="both"/>
        <w:rPr>
          <w:rFonts w:hint="eastAsia" w:ascii="宋体" w:hAnsi="宋体"/>
          <w:b/>
          <w:bCs/>
          <w:color w:val="auto"/>
          <w:sz w:val="72"/>
          <w:szCs w:val="72"/>
          <w:highlight w:val="none"/>
        </w:rPr>
      </w:pPr>
    </w:p>
    <w:p w14:paraId="3D550E89">
      <w:pPr>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竞争性磋商文件</w:t>
      </w:r>
    </w:p>
    <w:p w14:paraId="031B6209">
      <w:pPr>
        <w:spacing w:line="360" w:lineRule="auto"/>
        <w:jc w:val="center"/>
        <w:rPr>
          <w:rFonts w:hint="eastAsia" w:ascii="宋体" w:hAnsi="宋体" w:eastAsia="宋体"/>
          <w:b/>
          <w:bCs/>
          <w:color w:val="auto"/>
          <w:sz w:val="30"/>
          <w:szCs w:val="30"/>
          <w:highlight w:val="none"/>
          <w:lang w:eastAsia="zh-CN"/>
        </w:rPr>
      </w:pPr>
      <w:r>
        <w:rPr>
          <w:rFonts w:hint="eastAsia" w:ascii="宋体" w:hAnsi="宋体" w:cs="宋体"/>
          <w:b/>
          <w:bCs/>
          <w:color w:val="auto"/>
          <w:sz w:val="30"/>
          <w:szCs w:val="30"/>
          <w:highlight w:val="none"/>
        </w:rPr>
        <w:t>政采云项目编号</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DLZC2026-C2-00424-YNXD-0067</w:t>
      </w:r>
    </w:p>
    <w:p w14:paraId="4C8C9297">
      <w:pPr>
        <w:spacing w:line="360" w:lineRule="auto"/>
        <w:jc w:val="center"/>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招标编号：</w:t>
      </w:r>
      <w:r>
        <w:rPr>
          <w:rFonts w:hint="eastAsia" w:ascii="宋体" w:hAnsi="宋体"/>
          <w:b/>
          <w:bCs/>
          <w:color w:val="auto"/>
          <w:sz w:val="30"/>
          <w:szCs w:val="30"/>
          <w:highlight w:val="none"/>
          <w:lang w:eastAsia="zh-CN"/>
        </w:rPr>
        <w:t>云鑫招字2026-4-023</w:t>
      </w:r>
    </w:p>
    <w:p w14:paraId="47E081D9">
      <w:pPr>
        <w:spacing w:line="360" w:lineRule="auto"/>
        <w:rPr>
          <w:rFonts w:hint="eastAsia" w:ascii="宋体" w:hAnsi="宋体"/>
          <w:color w:val="auto"/>
          <w:highlight w:val="none"/>
        </w:rPr>
      </w:pPr>
    </w:p>
    <w:p w14:paraId="0AE24E42">
      <w:pPr>
        <w:rPr>
          <w:rFonts w:hint="eastAsia" w:ascii="宋体" w:hAnsi="宋体"/>
          <w:color w:val="auto"/>
          <w:highlight w:val="none"/>
        </w:rPr>
      </w:pPr>
    </w:p>
    <w:p w14:paraId="26E0E716">
      <w:pPr>
        <w:rPr>
          <w:rFonts w:hint="eastAsia" w:ascii="宋体" w:hAnsi="宋体"/>
          <w:color w:val="auto"/>
          <w:highlight w:val="none"/>
        </w:rPr>
      </w:pPr>
    </w:p>
    <w:p w14:paraId="1D0DF7CF">
      <w:pPr>
        <w:rPr>
          <w:rFonts w:hint="eastAsia" w:ascii="宋体" w:hAnsi="宋体"/>
          <w:color w:val="auto"/>
          <w:highlight w:val="none"/>
        </w:rPr>
      </w:pPr>
    </w:p>
    <w:p w14:paraId="3BE8783F">
      <w:pPr>
        <w:rPr>
          <w:rFonts w:hint="eastAsia" w:ascii="宋体" w:hAnsi="宋体"/>
          <w:color w:val="auto"/>
          <w:highlight w:val="none"/>
        </w:rPr>
      </w:pPr>
    </w:p>
    <w:p w14:paraId="6059DDA1">
      <w:pPr>
        <w:rPr>
          <w:rFonts w:hint="eastAsia" w:ascii="宋体" w:hAnsi="宋体"/>
          <w:color w:val="auto"/>
          <w:highlight w:val="none"/>
        </w:rPr>
      </w:pPr>
    </w:p>
    <w:p w14:paraId="72985409">
      <w:pPr>
        <w:rPr>
          <w:rFonts w:hint="eastAsia" w:ascii="宋体" w:hAnsi="宋体"/>
          <w:color w:val="auto"/>
          <w:highlight w:val="none"/>
        </w:rPr>
      </w:pPr>
    </w:p>
    <w:p w14:paraId="58DCC259">
      <w:pPr>
        <w:rPr>
          <w:rFonts w:hint="eastAsia" w:ascii="宋体" w:hAnsi="宋体"/>
          <w:color w:val="auto"/>
          <w:highlight w:val="none"/>
        </w:rPr>
      </w:pPr>
    </w:p>
    <w:p w14:paraId="2818AB86">
      <w:pPr>
        <w:rPr>
          <w:rFonts w:hint="eastAsia" w:ascii="宋体" w:hAnsi="宋体"/>
          <w:color w:val="auto"/>
          <w:sz w:val="30"/>
          <w:szCs w:val="30"/>
          <w:highlight w:val="none"/>
        </w:rPr>
      </w:pPr>
    </w:p>
    <w:p w14:paraId="3E6C9033">
      <w:pPr>
        <w:pStyle w:val="33"/>
        <w:rPr>
          <w:rFonts w:hint="eastAsia" w:ascii="宋体" w:hAnsi="宋体"/>
          <w:color w:val="auto"/>
          <w:sz w:val="30"/>
          <w:szCs w:val="30"/>
          <w:highlight w:val="none"/>
        </w:rPr>
      </w:pPr>
    </w:p>
    <w:p w14:paraId="6AF0A236">
      <w:pPr>
        <w:rPr>
          <w:rFonts w:hint="eastAsia"/>
          <w:color w:val="auto"/>
          <w:highlight w:val="none"/>
        </w:rPr>
      </w:pPr>
    </w:p>
    <w:p w14:paraId="5578E954">
      <w:pPr>
        <w:spacing w:line="360" w:lineRule="auto"/>
        <w:jc w:val="center"/>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采购人：</w:t>
      </w:r>
      <w:r>
        <w:rPr>
          <w:rFonts w:hint="eastAsia" w:ascii="宋体" w:hAnsi="宋体"/>
          <w:b/>
          <w:bCs/>
          <w:color w:val="auto"/>
          <w:sz w:val="30"/>
          <w:szCs w:val="30"/>
          <w:highlight w:val="none"/>
          <w:lang w:eastAsia="zh-CN"/>
        </w:rPr>
        <w:t>大理护理职业学院</w:t>
      </w:r>
    </w:p>
    <w:p w14:paraId="1A9C1775">
      <w:pPr>
        <w:spacing w:line="360" w:lineRule="auto"/>
        <w:jc w:val="center"/>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采购代理机构：</w:t>
      </w:r>
      <w:r>
        <w:rPr>
          <w:rFonts w:hint="eastAsia" w:ascii="宋体" w:hAnsi="宋体"/>
          <w:b/>
          <w:bCs/>
          <w:color w:val="auto"/>
          <w:sz w:val="30"/>
          <w:szCs w:val="30"/>
          <w:highlight w:val="none"/>
          <w:lang w:eastAsia="zh-CN"/>
        </w:rPr>
        <w:t>云南鑫德招标咨询有限公司</w:t>
      </w:r>
    </w:p>
    <w:p w14:paraId="713C921B">
      <w:pPr>
        <w:spacing w:line="360" w:lineRule="auto"/>
        <w:jc w:val="center"/>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lang w:eastAsia="zh-CN"/>
        </w:rPr>
        <w:t>2026年05月</w:t>
      </w:r>
    </w:p>
    <w:p w14:paraId="3BBE1543">
      <w:pPr>
        <w:rPr>
          <w:rFonts w:hint="eastAsia" w:ascii="宋体" w:hAnsi="宋体"/>
          <w:b/>
          <w:color w:val="auto"/>
          <w:sz w:val="24"/>
          <w:highlight w:val="none"/>
        </w:rPr>
      </w:pPr>
      <w:r>
        <w:rPr>
          <w:rFonts w:hint="eastAsia" w:ascii="宋体" w:hAnsi="宋体"/>
          <w:b/>
          <w:color w:val="auto"/>
          <w:sz w:val="24"/>
          <w:highlight w:val="none"/>
        </w:rPr>
        <w:t xml:space="preserve"> </w:t>
      </w:r>
    </w:p>
    <w:p w14:paraId="06428422">
      <w:pPr>
        <w:pStyle w:val="59"/>
        <w:adjustRightInd w:val="0"/>
        <w:snapToGrid w:val="0"/>
        <w:jc w:val="center"/>
        <w:rPr>
          <w:rFonts w:hint="eastAsia" w:ascii="宋体"/>
          <w:color w:val="auto"/>
          <w:highlight w:val="none"/>
        </w:rPr>
      </w:pPr>
      <w:r>
        <w:rPr>
          <w:rFonts w:ascii="宋体"/>
          <w:b w:val="0"/>
          <w:bCs/>
          <w:color w:val="auto"/>
          <w:sz w:val="44"/>
          <w:szCs w:val="44"/>
          <w:highlight w:val="none"/>
        </w:rPr>
        <w:br w:type="page"/>
      </w:r>
      <w:r>
        <w:rPr>
          <w:rFonts w:ascii="宋体"/>
          <w:color w:val="auto"/>
          <w:sz w:val="44"/>
          <w:szCs w:val="44"/>
          <w:highlight w:val="none"/>
          <w:lang w:val="zh-CN"/>
        </w:rPr>
        <w:t>目</w:t>
      </w:r>
      <w:r>
        <w:rPr>
          <w:rFonts w:hint="eastAsia" w:ascii="宋体"/>
          <w:color w:val="auto"/>
          <w:sz w:val="44"/>
          <w:szCs w:val="44"/>
          <w:highlight w:val="none"/>
          <w:lang w:val="zh-CN"/>
        </w:rPr>
        <w:t xml:space="preserve">  </w:t>
      </w:r>
      <w:r>
        <w:rPr>
          <w:rFonts w:ascii="宋体"/>
          <w:color w:val="auto"/>
          <w:sz w:val="44"/>
          <w:szCs w:val="44"/>
          <w:highlight w:val="none"/>
          <w:lang w:val="zh-CN"/>
        </w:rPr>
        <w:t>录</w:t>
      </w:r>
    </w:p>
    <w:p w14:paraId="40D3C932">
      <w:pPr>
        <w:pStyle w:val="59"/>
        <w:tabs>
          <w:tab w:val="right" w:leader="dot" w:pos="9746"/>
          <w:tab w:val="clear" w:pos="9628"/>
        </w:tabs>
        <w:adjustRightInd w:val="0"/>
        <w:snapToGrid w:val="0"/>
        <w:rPr>
          <w:rFonts w:hint="eastAsia" w:ascii="宋体"/>
          <w:color w:val="auto"/>
          <w:sz w:val="21"/>
          <w:szCs w:val="21"/>
          <w:highlight w:val="none"/>
        </w:rPr>
      </w:pPr>
      <w:r>
        <w:rPr>
          <w:rFonts w:ascii="宋体"/>
          <w:color w:val="auto"/>
          <w:highlight w:val="none"/>
        </w:rPr>
        <w:fldChar w:fldCharType="begin"/>
      </w:r>
      <w:r>
        <w:rPr>
          <w:rFonts w:ascii="宋体"/>
          <w:color w:val="auto"/>
          <w:highlight w:val="none"/>
        </w:rPr>
        <w:instrText xml:space="preserve"> TOC \o "1-3" \h \z \u </w:instrText>
      </w:r>
      <w:r>
        <w:rPr>
          <w:rFonts w:ascii="宋体"/>
          <w:color w:val="auto"/>
          <w:highlight w:val="none"/>
        </w:rPr>
        <w:fldChar w:fldCharType="separate"/>
      </w:r>
      <w:r>
        <w:rPr>
          <w:color w:val="auto"/>
          <w:highlight w:val="none"/>
        </w:rPr>
        <w:fldChar w:fldCharType="begin"/>
      </w:r>
      <w:r>
        <w:rPr>
          <w:color w:val="auto"/>
          <w:highlight w:val="none"/>
        </w:rPr>
        <w:instrText xml:space="preserve"> HYPERLINK \l "_Toc179645080" </w:instrText>
      </w:r>
      <w:r>
        <w:rPr>
          <w:color w:val="auto"/>
          <w:highlight w:val="none"/>
        </w:rPr>
        <w:fldChar w:fldCharType="separate"/>
      </w:r>
      <w:r>
        <w:rPr>
          <w:rStyle w:val="144"/>
          <w:rFonts w:hint="eastAsia" w:ascii="宋体"/>
          <w:color w:val="auto"/>
          <w:sz w:val="21"/>
          <w:szCs w:val="21"/>
          <w:highlight w:val="none"/>
        </w:rPr>
        <w:t>第一章  竞争性磋商公告</w:t>
      </w:r>
      <w:r>
        <w:rPr>
          <w:rFonts w:hint="eastAsia" w:ascii="宋体"/>
          <w:color w:val="auto"/>
          <w:sz w:val="21"/>
          <w:szCs w:val="21"/>
          <w:highlight w:val="none"/>
        </w:rPr>
        <w:tab/>
      </w:r>
      <w:r>
        <w:rPr>
          <w:rFonts w:hint="eastAsia" w:ascii="宋体"/>
          <w:color w:val="auto"/>
          <w:sz w:val="21"/>
          <w:szCs w:val="21"/>
          <w:highlight w:val="none"/>
        </w:rPr>
        <w:fldChar w:fldCharType="begin"/>
      </w:r>
      <w:r>
        <w:rPr>
          <w:rFonts w:hint="eastAsia" w:ascii="宋体"/>
          <w:color w:val="auto"/>
          <w:sz w:val="21"/>
          <w:szCs w:val="21"/>
          <w:highlight w:val="none"/>
        </w:rPr>
        <w:instrText xml:space="preserve"> </w:instrText>
      </w:r>
      <w:r>
        <w:rPr>
          <w:rFonts w:ascii="宋体"/>
          <w:color w:val="auto"/>
          <w:sz w:val="21"/>
          <w:szCs w:val="21"/>
          <w:highlight w:val="none"/>
        </w:rPr>
        <w:instrText xml:space="preserve">PAGEREF _Toc179645080 \h</w:instrText>
      </w:r>
      <w:r>
        <w:rPr>
          <w:rFonts w:hint="eastAsia" w:ascii="宋体"/>
          <w:color w:val="auto"/>
          <w:sz w:val="21"/>
          <w:szCs w:val="21"/>
          <w:highlight w:val="none"/>
        </w:rPr>
        <w:instrText xml:space="preserve"> </w:instrText>
      </w:r>
      <w:r>
        <w:rPr>
          <w:rFonts w:hint="eastAsia" w:ascii="宋体"/>
          <w:color w:val="auto"/>
          <w:sz w:val="21"/>
          <w:szCs w:val="21"/>
          <w:highlight w:val="none"/>
        </w:rPr>
        <w:fldChar w:fldCharType="separate"/>
      </w:r>
      <w:r>
        <w:rPr>
          <w:rFonts w:ascii="宋体"/>
          <w:color w:val="auto"/>
          <w:sz w:val="21"/>
          <w:szCs w:val="21"/>
          <w:highlight w:val="none"/>
        </w:rPr>
        <w:t>1</w:t>
      </w:r>
      <w:r>
        <w:rPr>
          <w:rFonts w:hint="eastAsia" w:ascii="宋体"/>
          <w:color w:val="auto"/>
          <w:sz w:val="21"/>
          <w:szCs w:val="21"/>
          <w:highlight w:val="none"/>
        </w:rPr>
        <w:fldChar w:fldCharType="end"/>
      </w:r>
      <w:r>
        <w:rPr>
          <w:rFonts w:hint="eastAsia" w:ascii="宋体"/>
          <w:color w:val="auto"/>
          <w:sz w:val="21"/>
          <w:szCs w:val="21"/>
          <w:highlight w:val="none"/>
        </w:rPr>
        <w:fldChar w:fldCharType="end"/>
      </w:r>
    </w:p>
    <w:p w14:paraId="17DA4986">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"_Toc179645081" </w:instrText>
      </w:r>
      <w:r>
        <w:rPr>
          <w:color w:val="auto"/>
          <w:highlight w:val="none"/>
        </w:rPr>
        <w:fldChar w:fldCharType="separate"/>
      </w:r>
      <w:r>
        <w:rPr>
          <w:rStyle w:val="144"/>
          <w:rFonts w:hint="eastAsia" w:ascii="宋体" w:hAnsi="宋体" w:cs="宋体"/>
          <w:bCs/>
          <w:color w:val="auto"/>
          <w:szCs w:val="21"/>
          <w:highlight w:val="none"/>
        </w:rPr>
        <w:t>一、项目基本情况</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_Toc179645081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1</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2C4362A9">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"_Toc179645082" </w:instrText>
      </w:r>
      <w:r>
        <w:rPr>
          <w:color w:val="auto"/>
          <w:highlight w:val="none"/>
        </w:rPr>
        <w:fldChar w:fldCharType="separate"/>
      </w:r>
      <w:r>
        <w:rPr>
          <w:rStyle w:val="144"/>
          <w:rFonts w:hint="eastAsia" w:ascii="宋体" w:hAnsi="宋体" w:cs="宋体"/>
          <w:bCs/>
          <w:color w:val="auto"/>
          <w:szCs w:val="21"/>
          <w:highlight w:val="none"/>
        </w:rPr>
        <w:t>二、申请人的资格要求：</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_Toc179645082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1</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302CC416">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"_Toc179645083" </w:instrText>
      </w:r>
      <w:r>
        <w:rPr>
          <w:color w:val="auto"/>
          <w:highlight w:val="none"/>
        </w:rPr>
        <w:fldChar w:fldCharType="separate"/>
      </w:r>
      <w:r>
        <w:rPr>
          <w:rStyle w:val="144"/>
          <w:rFonts w:hint="eastAsia" w:ascii="宋体" w:hAnsi="宋体" w:cs="宋体"/>
          <w:bCs/>
          <w:color w:val="auto"/>
          <w:szCs w:val="21"/>
          <w:highlight w:val="none"/>
        </w:rPr>
        <w:t>三、获取采购文件</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_Toc179645083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2</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406B5FE7">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"_Toc179645084" </w:instrText>
      </w:r>
      <w:r>
        <w:rPr>
          <w:color w:val="auto"/>
          <w:highlight w:val="none"/>
        </w:rPr>
        <w:fldChar w:fldCharType="separate"/>
      </w:r>
      <w:r>
        <w:rPr>
          <w:rStyle w:val="144"/>
          <w:rFonts w:hint="eastAsia" w:ascii="宋体" w:hAnsi="宋体" w:cs="宋体"/>
          <w:bCs/>
          <w:color w:val="auto"/>
          <w:szCs w:val="21"/>
          <w:highlight w:val="none"/>
        </w:rPr>
        <w:t>四、响应文件提交</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_Toc179645084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2</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724AE793">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"_Toc179645085" </w:instrText>
      </w:r>
      <w:r>
        <w:rPr>
          <w:color w:val="auto"/>
          <w:highlight w:val="none"/>
        </w:rPr>
        <w:fldChar w:fldCharType="separate"/>
      </w:r>
      <w:r>
        <w:rPr>
          <w:rStyle w:val="144"/>
          <w:rFonts w:hint="eastAsia" w:ascii="宋体" w:hAnsi="宋体" w:cs="宋体"/>
          <w:bCs/>
          <w:color w:val="auto"/>
          <w:szCs w:val="21"/>
          <w:highlight w:val="none"/>
        </w:rPr>
        <w:t>五、开启</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_Toc179645085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2</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3EA2D742">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"_Toc179645086" </w:instrText>
      </w:r>
      <w:r>
        <w:rPr>
          <w:color w:val="auto"/>
          <w:highlight w:val="none"/>
        </w:rPr>
        <w:fldChar w:fldCharType="separate"/>
      </w:r>
      <w:r>
        <w:rPr>
          <w:rStyle w:val="144"/>
          <w:rFonts w:hint="eastAsia" w:ascii="宋体" w:hAnsi="宋体" w:cs="宋体"/>
          <w:bCs/>
          <w:color w:val="auto"/>
          <w:szCs w:val="21"/>
          <w:highlight w:val="none"/>
        </w:rPr>
        <w:t>六、公告期限</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_Toc179645086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2</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0828C557">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"_Toc179645087" </w:instrText>
      </w:r>
      <w:r>
        <w:rPr>
          <w:color w:val="auto"/>
          <w:highlight w:val="none"/>
        </w:rPr>
        <w:fldChar w:fldCharType="separate"/>
      </w:r>
      <w:r>
        <w:rPr>
          <w:rStyle w:val="144"/>
          <w:rFonts w:hint="eastAsia" w:ascii="宋体" w:hAnsi="宋体" w:cs="宋体"/>
          <w:bCs/>
          <w:color w:val="auto"/>
          <w:szCs w:val="21"/>
          <w:highlight w:val="none"/>
        </w:rPr>
        <w:t>七、其他补充事宜</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_Toc179645087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2</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1F273D3A">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"_Toc179645088" </w:instrText>
      </w:r>
      <w:r>
        <w:rPr>
          <w:color w:val="auto"/>
          <w:highlight w:val="none"/>
        </w:rPr>
        <w:fldChar w:fldCharType="separate"/>
      </w:r>
      <w:r>
        <w:rPr>
          <w:rStyle w:val="144"/>
          <w:rFonts w:hint="eastAsia" w:ascii="宋体" w:hAnsi="宋体" w:cs="宋体"/>
          <w:bCs/>
          <w:color w:val="auto"/>
          <w:szCs w:val="21"/>
          <w:highlight w:val="none"/>
        </w:rPr>
        <w:t>八、凡对本次采购提出询问，请按以下方式联系。</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_Toc179645088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3</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3F648A66">
      <w:pPr>
        <w:pStyle w:val="59"/>
        <w:tabs>
          <w:tab w:val="right" w:leader="dot" w:pos="9746"/>
          <w:tab w:val="clear" w:pos="9628"/>
        </w:tabs>
        <w:adjustRightInd w:val="0"/>
        <w:snapToGrid w:val="0"/>
        <w:rPr>
          <w:rFonts w:hint="eastAsia" w:ascii="宋体"/>
          <w:color w:val="auto"/>
          <w:sz w:val="21"/>
          <w:szCs w:val="21"/>
          <w:highlight w:val="none"/>
        </w:rPr>
      </w:pPr>
      <w:r>
        <w:rPr>
          <w:color w:val="auto"/>
          <w:highlight w:val="none"/>
        </w:rPr>
        <w:fldChar w:fldCharType="begin"/>
      </w:r>
      <w:r>
        <w:rPr>
          <w:color w:val="auto"/>
          <w:highlight w:val="none"/>
        </w:rPr>
        <w:instrText xml:space="preserve"> HYPERLINK \l "_Toc179645089" </w:instrText>
      </w:r>
      <w:r>
        <w:rPr>
          <w:color w:val="auto"/>
          <w:highlight w:val="none"/>
        </w:rPr>
        <w:fldChar w:fldCharType="separate"/>
      </w:r>
      <w:r>
        <w:rPr>
          <w:rStyle w:val="144"/>
          <w:rFonts w:hint="eastAsia" w:ascii="宋体"/>
          <w:color w:val="auto"/>
          <w:sz w:val="21"/>
          <w:szCs w:val="21"/>
          <w:highlight w:val="none"/>
        </w:rPr>
        <w:t>第二章  供应商须知</w:t>
      </w:r>
      <w:r>
        <w:rPr>
          <w:rFonts w:hint="eastAsia" w:ascii="宋体"/>
          <w:color w:val="auto"/>
          <w:sz w:val="21"/>
          <w:szCs w:val="21"/>
          <w:highlight w:val="none"/>
        </w:rPr>
        <w:tab/>
      </w:r>
      <w:r>
        <w:rPr>
          <w:rFonts w:hint="eastAsia" w:ascii="宋体"/>
          <w:color w:val="auto"/>
          <w:sz w:val="21"/>
          <w:szCs w:val="21"/>
          <w:highlight w:val="none"/>
        </w:rPr>
        <w:fldChar w:fldCharType="begin"/>
      </w:r>
      <w:r>
        <w:rPr>
          <w:rFonts w:hint="eastAsia" w:ascii="宋体"/>
          <w:color w:val="auto"/>
          <w:sz w:val="21"/>
          <w:szCs w:val="21"/>
          <w:highlight w:val="none"/>
        </w:rPr>
        <w:instrText xml:space="preserve"> </w:instrText>
      </w:r>
      <w:r>
        <w:rPr>
          <w:rFonts w:ascii="宋体"/>
          <w:color w:val="auto"/>
          <w:sz w:val="21"/>
          <w:szCs w:val="21"/>
          <w:highlight w:val="none"/>
        </w:rPr>
        <w:instrText xml:space="preserve">PAGEREF _Toc179645089 \h</w:instrText>
      </w:r>
      <w:r>
        <w:rPr>
          <w:rFonts w:hint="eastAsia" w:ascii="宋体"/>
          <w:color w:val="auto"/>
          <w:sz w:val="21"/>
          <w:szCs w:val="21"/>
          <w:highlight w:val="none"/>
        </w:rPr>
        <w:instrText xml:space="preserve"> </w:instrText>
      </w:r>
      <w:r>
        <w:rPr>
          <w:rFonts w:hint="eastAsia" w:ascii="宋体"/>
          <w:color w:val="auto"/>
          <w:sz w:val="21"/>
          <w:szCs w:val="21"/>
          <w:highlight w:val="none"/>
        </w:rPr>
        <w:fldChar w:fldCharType="separate"/>
      </w:r>
      <w:r>
        <w:rPr>
          <w:rFonts w:ascii="宋体"/>
          <w:color w:val="auto"/>
          <w:sz w:val="21"/>
          <w:szCs w:val="21"/>
          <w:highlight w:val="none"/>
        </w:rPr>
        <w:t>4</w:t>
      </w:r>
      <w:r>
        <w:rPr>
          <w:rFonts w:hint="eastAsia" w:ascii="宋体"/>
          <w:color w:val="auto"/>
          <w:sz w:val="21"/>
          <w:szCs w:val="21"/>
          <w:highlight w:val="none"/>
        </w:rPr>
        <w:fldChar w:fldCharType="end"/>
      </w:r>
      <w:r>
        <w:rPr>
          <w:rFonts w:hint="eastAsia" w:ascii="宋体"/>
          <w:color w:val="auto"/>
          <w:sz w:val="21"/>
          <w:szCs w:val="21"/>
          <w:highlight w:val="none"/>
        </w:rPr>
        <w:fldChar w:fldCharType="end"/>
      </w:r>
    </w:p>
    <w:p w14:paraId="0F1E4AF7">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"_Toc179645090" </w:instrText>
      </w:r>
      <w:r>
        <w:rPr>
          <w:color w:val="auto"/>
          <w:highlight w:val="none"/>
        </w:rPr>
        <w:fldChar w:fldCharType="separate"/>
      </w:r>
      <w:r>
        <w:rPr>
          <w:rStyle w:val="144"/>
          <w:rFonts w:hint="eastAsia" w:ascii="宋体" w:hAnsi="宋体"/>
          <w:bCs/>
          <w:color w:val="auto"/>
          <w:szCs w:val="21"/>
          <w:highlight w:val="none"/>
        </w:rPr>
        <w:t>供应商须知前附表</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_Toc179645090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4</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182EAC64">
      <w:pPr>
        <w:pStyle w:val="59"/>
        <w:tabs>
          <w:tab w:val="right" w:leader="dot" w:pos="9746"/>
          <w:tab w:val="clear" w:pos="9628"/>
        </w:tabs>
        <w:adjustRightInd w:val="0"/>
        <w:snapToGrid w:val="0"/>
        <w:rPr>
          <w:rFonts w:hint="eastAsia" w:ascii="宋体"/>
          <w:color w:val="auto"/>
          <w:sz w:val="21"/>
          <w:szCs w:val="21"/>
          <w:highlight w:val="none"/>
        </w:rPr>
      </w:pPr>
      <w:r>
        <w:rPr>
          <w:color w:val="auto"/>
          <w:highlight w:val="none"/>
        </w:rPr>
        <w:fldChar w:fldCharType="begin"/>
      </w:r>
      <w:r>
        <w:rPr>
          <w:color w:val="auto"/>
          <w:highlight w:val="none"/>
        </w:rPr>
        <w:instrText xml:space="preserve"> HYPERLINK \l "_Toc179645121" </w:instrText>
      </w:r>
      <w:r>
        <w:rPr>
          <w:color w:val="auto"/>
          <w:highlight w:val="none"/>
        </w:rPr>
        <w:fldChar w:fldCharType="separate"/>
      </w:r>
      <w:r>
        <w:rPr>
          <w:rStyle w:val="144"/>
          <w:rFonts w:hint="eastAsia" w:ascii="宋体"/>
          <w:color w:val="auto"/>
          <w:sz w:val="21"/>
          <w:szCs w:val="21"/>
          <w:highlight w:val="none"/>
        </w:rPr>
        <w:t>第三章  合同书样式及主要条款</w:t>
      </w:r>
      <w:r>
        <w:rPr>
          <w:rFonts w:hint="eastAsia" w:ascii="宋体"/>
          <w:color w:val="auto"/>
          <w:sz w:val="21"/>
          <w:szCs w:val="21"/>
          <w:highlight w:val="none"/>
        </w:rPr>
        <w:tab/>
      </w:r>
      <w:r>
        <w:rPr>
          <w:rFonts w:hint="eastAsia" w:ascii="宋体"/>
          <w:color w:val="auto"/>
          <w:sz w:val="21"/>
          <w:szCs w:val="21"/>
          <w:highlight w:val="none"/>
        </w:rPr>
        <w:fldChar w:fldCharType="begin"/>
      </w:r>
      <w:r>
        <w:rPr>
          <w:rFonts w:hint="eastAsia" w:ascii="宋体"/>
          <w:color w:val="auto"/>
          <w:sz w:val="21"/>
          <w:szCs w:val="21"/>
          <w:highlight w:val="none"/>
        </w:rPr>
        <w:instrText xml:space="preserve"> </w:instrText>
      </w:r>
      <w:r>
        <w:rPr>
          <w:rFonts w:ascii="宋体"/>
          <w:color w:val="auto"/>
          <w:sz w:val="21"/>
          <w:szCs w:val="21"/>
          <w:highlight w:val="none"/>
        </w:rPr>
        <w:instrText xml:space="preserve">PAGEREF _Toc179645121 \h</w:instrText>
      </w:r>
      <w:r>
        <w:rPr>
          <w:rFonts w:hint="eastAsia" w:ascii="宋体"/>
          <w:color w:val="auto"/>
          <w:sz w:val="21"/>
          <w:szCs w:val="21"/>
          <w:highlight w:val="none"/>
        </w:rPr>
        <w:instrText xml:space="preserve"> </w:instrText>
      </w:r>
      <w:r>
        <w:rPr>
          <w:rFonts w:hint="eastAsia" w:ascii="宋体"/>
          <w:color w:val="auto"/>
          <w:sz w:val="21"/>
          <w:szCs w:val="21"/>
          <w:highlight w:val="none"/>
        </w:rPr>
        <w:fldChar w:fldCharType="separate"/>
      </w:r>
      <w:r>
        <w:rPr>
          <w:rFonts w:ascii="宋体"/>
          <w:color w:val="auto"/>
          <w:sz w:val="21"/>
          <w:szCs w:val="21"/>
          <w:highlight w:val="none"/>
        </w:rPr>
        <w:t>20</w:t>
      </w:r>
      <w:r>
        <w:rPr>
          <w:rFonts w:hint="eastAsia" w:ascii="宋体"/>
          <w:color w:val="auto"/>
          <w:sz w:val="21"/>
          <w:szCs w:val="21"/>
          <w:highlight w:val="none"/>
        </w:rPr>
        <w:fldChar w:fldCharType="end"/>
      </w:r>
      <w:r>
        <w:rPr>
          <w:rFonts w:hint="eastAsia" w:ascii="宋体"/>
          <w:color w:val="auto"/>
          <w:sz w:val="21"/>
          <w:szCs w:val="21"/>
          <w:highlight w:val="none"/>
        </w:rPr>
        <w:fldChar w:fldCharType="end"/>
      </w:r>
    </w:p>
    <w:p w14:paraId="519836D1">
      <w:pPr>
        <w:pStyle w:val="59"/>
        <w:tabs>
          <w:tab w:val="right" w:leader="dot" w:pos="9746"/>
          <w:tab w:val="clear" w:pos="9628"/>
        </w:tabs>
        <w:adjustRightInd w:val="0"/>
        <w:snapToGrid w:val="0"/>
        <w:rPr>
          <w:rFonts w:hint="eastAsia" w:ascii="宋体"/>
          <w:color w:val="auto"/>
          <w:sz w:val="21"/>
          <w:szCs w:val="21"/>
          <w:highlight w:val="none"/>
        </w:rPr>
      </w:pPr>
      <w:r>
        <w:rPr>
          <w:color w:val="auto"/>
          <w:highlight w:val="none"/>
        </w:rPr>
        <w:fldChar w:fldCharType="begin"/>
      </w:r>
      <w:r>
        <w:rPr>
          <w:color w:val="auto"/>
          <w:highlight w:val="none"/>
        </w:rPr>
        <w:instrText xml:space="preserve"> HYPERLINK \l "_Toc179645122" </w:instrText>
      </w:r>
      <w:r>
        <w:rPr>
          <w:color w:val="auto"/>
          <w:highlight w:val="none"/>
        </w:rPr>
        <w:fldChar w:fldCharType="separate"/>
      </w:r>
      <w:r>
        <w:rPr>
          <w:rStyle w:val="144"/>
          <w:rFonts w:hint="eastAsia" w:ascii="宋体"/>
          <w:color w:val="auto"/>
          <w:sz w:val="21"/>
          <w:szCs w:val="21"/>
          <w:highlight w:val="none"/>
        </w:rPr>
        <w:t>第四章  响应文件格式</w:t>
      </w:r>
      <w:r>
        <w:rPr>
          <w:rFonts w:hint="eastAsia" w:ascii="宋体"/>
          <w:color w:val="auto"/>
          <w:sz w:val="21"/>
          <w:szCs w:val="21"/>
          <w:highlight w:val="none"/>
        </w:rPr>
        <w:tab/>
      </w:r>
      <w:r>
        <w:rPr>
          <w:rFonts w:hint="eastAsia" w:ascii="宋体"/>
          <w:color w:val="auto"/>
          <w:sz w:val="21"/>
          <w:szCs w:val="21"/>
          <w:highlight w:val="none"/>
        </w:rPr>
        <w:fldChar w:fldCharType="begin"/>
      </w:r>
      <w:r>
        <w:rPr>
          <w:rFonts w:hint="eastAsia" w:ascii="宋体"/>
          <w:color w:val="auto"/>
          <w:sz w:val="21"/>
          <w:szCs w:val="21"/>
          <w:highlight w:val="none"/>
        </w:rPr>
        <w:instrText xml:space="preserve"> </w:instrText>
      </w:r>
      <w:r>
        <w:rPr>
          <w:rFonts w:ascii="宋体"/>
          <w:color w:val="auto"/>
          <w:sz w:val="21"/>
          <w:szCs w:val="21"/>
          <w:highlight w:val="none"/>
        </w:rPr>
        <w:instrText xml:space="preserve">PAGEREF _Toc179645122 \h</w:instrText>
      </w:r>
      <w:r>
        <w:rPr>
          <w:rFonts w:hint="eastAsia" w:ascii="宋体"/>
          <w:color w:val="auto"/>
          <w:sz w:val="21"/>
          <w:szCs w:val="21"/>
          <w:highlight w:val="none"/>
        </w:rPr>
        <w:instrText xml:space="preserve"> </w:instrText>
      </w:r>
      <w:r>
        <w:rPr>
          <w:rFonts w:hint="eastAsia" w:ascii="宋体"/>
          <w:color w:val="auto"/>
          <w:sz w:val="21"/>
          <w:szCs w:val="21"/>
          <w:highlight w:val="none"/>
        </w:rPr>
        <w:fldChar w:fldCharType="separate"/>
      </w:r>
      <w:r>
        <w:rPr>
          <w:rFonts w:ascii="宋体"/>
          <w:color w:val="auto"/>
          <w:sz w:val="21"/>
          <w:szCs w:val="21"/>
          <w:highlight w:val="none"/>
        </w:rPr>
        <w:t>52</w:t>
      </w:r>
      <w:r>
        <w:rPr>
          <w:rFonts w:hint="eastAsia" w:ascii="宋体"/>
          <w:color w:val="auto"/>
          <w:sz w:val="21"/>
          <w:szCs w:val="21"/>
          <w:highlight w:val="none"/>
        </w:rPr>
        <w:fldChar w:fldCharType="end"/>
      </w:r>
      <w:r>
        <w:rPr>
          <w:rFonts w:hint="eastAsia" w:ascii="宋体"/>
          <w:color w:val="auto"/>
          <w:sz w:val="21"/>
          <w:szCs w:val="21"/>
          <w:highlight w:val="none"/>
        </w:rPr>
        <w:fldChar w:fldCharType="end"/>
      </w:r>
    </w:p>
    <w:p w14:paraId="577BDC7F">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"_Toc179645123" </w:instrText>
      </w:r>
      <w:r>
        <w:rPr>
          <w:color w:val="auto"/>
          <w:highlight w:val="none"/>
        </w:rPr>
        <w:fldChar w:fldCharType="separate"/>
      </w:r>
      <w:r>
        <w:rPr>
          <w:rStyle w:val="144"/>
          <w:rFonts w:hint="eastAsia" w:ascii="宋体" w:hAnsi="宋体" w:cs="宋体"/>
          <w:bCs/>
          <w:color w:val="auto"/>
          <w:szCs w:val="21"/>
          <w:highlight w:val="none"/>
        </w:rPr>
        <w:t>一、★报价一览表</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_Toc179645123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54</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45C6D58B">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"_Toc179645124" </w:instrText>
      </w:r>
      <w:r>
        <w:rPr>
          <w:color w:val="auto"/>
          <w:highlight w:val="none"/>
        </w:rPr>
        <w:fldChar w:fldCharType="separate"/>
      </w:r>
      <w:r>
        <w:rPr>
          <w:rStyle w:val="144"/>
          <w:rFonts w:hint="eastAsia" w:ascii="宋体" w:hAnsi="宋体"/>
          <w:bCs/>
          <w:color w:val="auto"/>
          <w:szCs w:val="21"/>
          <w:highlight w:val="none"/>
        </w:rPr>
        <w:t>二、资格证明文件</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_Toc179645124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55</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77FB146D">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"_Toc179645136" </w:instrText>
      </w:r>
      <w:r>
        <w:rPr>
          <w:color w:val="auto"/>
          <w:highlight w:val="none"/>
        </w:rPr>
        <w:fldChar w:fldCharType="separate"/>
      </w:r>
      <w:r>
        <w:rPr>
          <w:rStyle w:val="144"/>
          <w:rFonts w:hint="eastAsia" w:ascii="宋体" w:hAnsi="宋体"/>
          <w:bCs/>
          <w:color w:val="auto"/>
          <w:szCs w:val="21"/>
          <w:highlight w:val="none"/>
        </w:rPr>
        <w:t>三</w:t>
      </w:r>
      <w:r>
        <w:rPr>
          <w:rStyle w:val="144"/>
          <w:rFonts w:hint="eastAsia" w:ascii="宋体" w:hAnsi="宋体" w:cs="宋体"/>
          <w:bCs/>
          <w:color w:val="auto"/>
          <w:szCs w:val="21"/>
          <w:highlight w:val="none"/>
        </w:rPr>
        <w:t>、技术部分</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_Toc179645136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68</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764B9F1E">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"_Toc179645142" </w:instrText>
      </w:r>
      <w:r>
        <w:rPr>
          <w:color w:val="auto"/>
          <w:highlight w:val="none"/>
        </w:rPr>
        <w:fldChar w:fldCharType="separate"/>
      </w:r>
      <w:r>
        <w:rPr>
          <w:rStyle w:val="144"/>
          <w:rFonts w:hint="eastAsia" w:ascii="宋体" w:hAnsi="宋体"/>
          <w:bCs/>
          <w:color w:val="auto"/>
          <w:szCs w:val="21"/>
          <w:highlight w:val="none"/>
        </w:rPr>
        <w:t>四</w:t>
      </w:r>
      <w:r>
        <w:rPr>
          <w:rStyle w:val="144"/>
          <w:rFonts w:hint="eastAsia" w:ascii="宋体" w:hAnsi="宋体" w:cs="宋体"/>
          <w:bCs/>
          <w:color w:val="auto"/>
          <w:szCs w:val="21"/>
          <w:highlight w:val="none"/>
        </w:rPr>
        <w:t>、商务部分</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_Toc179645142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71</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4E24361D">
      <w:pPr>
        <w:pStyle w:val="59"/>
        <w:tabs>
          <w:tab w:val="right" w:leader="dot" w:pos="9746"/>
          <w:tab w:val="clear" w:pos="9628"/>
        </w:tabs>
        <w:adjustRightInd w:val="0"/>
        <w:snapToGrid w:val="0"/>
        <w:rPr>
          <w:rFonts w:hint="eastAsia" w:ascii="宋体"/>
          <w:color w:val="auto"/>
          <w:sz w:val="21"/>
          <w:szCs w:val="21"/>
          <w:highlight w:val="none"/>
        </w:rPr>
      </w:pPr>
      <w:r>
        <w:rPr>
          <w:color w:val="auto"/>
          <w:highlight w:val="none"/>
        </w:rPr>
        <w:fldChar w:fldCharType="begin"/>
      </w:r>
      <w:r>
        <w:rPr>
          <w:color w:val="auto"/>
          <w:highlight w:val="none"/>
        </w:rPr>
        <w:instrText xml:space="preserve"> HYPERLINK \l "_Toc179645152" </w:instrText>
      </w:r>
      <w:r>
        <w:rPr>
          <w:color w:val="auto"/>
          <w:highlight w:val="none"/>
        </w:rPr>
        <w:fldChar w:fldCharType="separate"/>
      </w:r>
      <w:r>
        <w:rPr>
          <w:rStyle w:val="144"/>
          <w:rFonts w:hint="eastAsia" w:ascii="宋体"/>
          <w:color w:val="auto"/>
          <w:sz w:val="21"/>
          <w:szCs w:val="21"/>
          <w:highlight w:val="none"/>
        </w:rPr>
        <w:t>第五章  项目需求</w:t>
      </w:r>
      <w:r>
        <w:rPr>
          <w:rFonts w:hint="eastAsia" w:ascii="宋体"/>
          <w:color w:val="auto"/>
          <w:sz w:val="21"/>
          <w:szCs w:val="21"/>
          <w:highlight w:val="none"/>
        </w:rPr>
        <w:tab/>
      </w:r>
      <w:r>
        <w:rPr>
          <w:rFonts w:hint="eastAsia" w:ascii="宋体"/>
          <w:color w:val="auto"/>
          <w:sz w:val="21"/>
          <w:szCs w:val="21"/>
          <w:highlight w:val="none"/>
        </w:rPr>
        <w:fldChar w:fldCharType="begin"/>
      </w:r>
      <w:r>
        <w:rPr>
          <w:rFonts w:hint="eastAsia" w:ascii="宋体"/>
          <w:color w:val="auto"/>
          <w:sz w:val="21"/>
          <w:szCs w:val="21"/>
          <w:highlight w:val="none"/>
        </w:rPr>
        <w:instrText xml:space="preserve"> </w:instrText>
      </w:r>
      <w:r>
        <w:rPr>
          <w:rFonts w:ascii="宋体"/>
          <w:color w:val="auto"/>
          <w:sz w:val="21"/>
          <w:szCs w:val="21"/>
          <w:highlight w:val="none"/>
        </w:rPr>
        <w:instrText xml:space="preserve">PAGEREF _Toc179645152 \h</w:instrText>
      </w:r>
      <w:r>
        <w:rPr>
          <w:rFonts w:hint="eastAsia" w:ascii="宋体"/>
          <w:color w:val="auto"/>
          <w:sz w:val="21"/>
          <w:szCs w:val="21"/>
          <w:highlight w:val="none"/>
        </w:rPr>
        <w:instrText xml:space="preserve"> </w:instrText>
      </w:r>
      <w:r>
        <w:rPr>
          <w:rFonts w:hint="eastAsia" w:ascii="宋体"/>
          <w:color w:val="auto"/>
          <w:sz w:val="21"/>
          <w:szCs w:val="21"/>
          <w:highlight w:val="none"/>
        </w:rPr>
        <w:fldChar w:fldCharType="separate"/>
      </w:r>
      <w:r>
        <w:rPr>
          <w:rFonts w:ascii="宋体"/>
          <w:color w:val="auto"/>
          <w:sz w:val="21"/>
          <w:szCs w:val="21"/>
          <w:highlight w:val="none"/>
        </w:rPr>
        <w:t>76</w:t>
      </w:r>
      <w:r>
        <w:rPr>
          <w:rFonts w:hint="eastAsia" w:ascii="宋体"/>
          <w:color w:val="auto"/>
          <w:sz w:val="21"/>
          <w:szCs w:val="21"/>
          <w:highlight w:val="none"/>
        </w:rPr>
        <w:fldChar w:fldCharType="end"/>
      </w:r>
      <w:r>
        <w:rPr>
          <w:rFonts w:hint="eastAsia" w:ascii="宋体"/>
          <w:color w:val="auto"/>
          <w:sz w:val="21"/>
          <w:szCs w:val="21"/>
          <w:highlight w:val="none"/>
        </w:rPr>
        <w:fldChar w:fldCharType="end"/>
      </w:r>
    </w:p>
    <w:p w14:paraId="5E3CC5E2">
      <w:pPr>
        <w:pStyle w:val="59"/>
        <w:tabs>
          <w:tab w:val="right" w:leader="dot" w:pos="9746"/>
          <w:tab w:val="clear" w:pos="9628"/>
        </w:tabs>
        <w:adjustRightInd w:val="0"/>
        <w:snapToGrid w:val="0"/>
        <w:rPr>
          <w:rFonts w:hint="eastAsia" w:ascii="宋体"/>
          <w:color w:val="auto"/>
          <w:sz w:val="21"/>
          <w:szCs w:val="21"/>
          <w:highlight w:val="none"/>
        </w:rPr>
      </w:pPr>
      <w:r>
        <w:rPr>
          <w:color w:val="auto"/>
          <w:highlight w:val="none"/>
        </w:rPr>
        <w:fldChar w:fldCharType="begin"/>
      </w:r>
      <w:r>
        <w:rPr>
          <w:color w:val="auto"/>
          <w:highlight w:val="none"/>
        </w:rPr>
        <w:instrText xml:space="preserve"> HYPERLINK \l "_Toc179645153" </w:instrText>
      </w:r>
      <w:r>
        <w:rPr>
          <w:color w:val="auto"/>
          <w:highlight w:val="none"/>
        </w:rPr>
        <w:fldChar w:fldCharType="separate"/>
      </w:r>
      <w:r>
        <w:rPr>
          <w:rStyle w:val="144"/>
          <w:rFonts w:hint="eastAsia" w:ascii="宋体"/>
          <w:color w:val="auto"/>
          <w:sz w:val="21"/>
          <w:szCs w:val="21"/>
          <w:highlight w:val="none"/>
        </w:rPr>
        <w:t>第六章  磋商程序和方法</w:t>
      </w:r>
      <w:r>
        <w:rPr>
          <w:rFonts w:hint="eastAsia" w:ascii="宋体"/>
          <w:color w:val="auto"/>
          <w:sz w:val="21"/>
          <w:szCs w:val="21"/>
          <w:highlight w:val="none"/>
        </w:rPr>
        <w:tab/>
      </w:r>
      <w:r>
        <w:rPr>
          <w:rFonts w:hint="eastAsia" w:ascii="宋体"/>
          <w:color w:val="auto"/>
          <w:sz w:val="21"/>
          <w:szCs w:val="21"/>
          <w:highlight w:val="none"/>
        </w:rPr>
        <w:fldChar w:fldCharType="begin"/>
      </w:r>
      <w:r>
        <w:rPr>
          <w:rFonts w:hint="eastAsia" w:ascii="宋体"/>
          <w:color w:val="auto"/>
          <w:sz w:val="21"/>
          <w:szCs w:val="21"/>
          <w:highlight w:val="none"/>
        </w:rPr>
        <w:instrText xml:space="preserve"> </w:instrText>
      </w:r>
      <w:r>
        <w:rPr>
          <w:rFonts w:ascii="宋体"/>
          <w:color w:val="auto"/>
          <w:sz w:val="21"/>
          <w:szCs w:val="21"/>
          <w:highlight w:val="none"/>
        </w:rPr>
        <w:instrText xml:space="preserve">PAGEREF _Toc179645153 \h</w:instrText>
      </w:r>
      <w:r>
        <w:rPr>
          <w:rFonts w:hint="eastAsia" w:ascii="宋体"/>
          <w:color w:val="auto"/>
          <w:sz w:val="21"/>
          <w:szCs w:val="21"/>
          <w:highlight w:val="none"/>
        </w:rPr>
        <w:instrText xml:space="preserve"> </w:instrText>
      </w:r>
      <w:r>
        <w:rPr>
          <w:rFonts w:hint="eastAsia" w:ascii="宋体"/>
          <w:color w:val="auto"/>
          <w:sz w:val="21"/>
          <w:szCs w:val="21"/>
          <w:highlight w:val="none"/>
        </w:rPr>
        <w:fldChar w:fldCharType="separate"/>
      </w:r>
      <w:r>
        <w:rPr>
          <w:rFonts w:ascii="宋体"/>
          <w:color w:val="auto"/>
          <w:sz w:val="21"/>
          <w:szCs w:val="21"/>
          <w:highlight w:val="none"/>
        </w:rPr>
        <w:t>77</w:t>
      </w:r>
      <w:r>
        <w:rPr>
          <w:rFonts w:hint="eastAsia" w:ascii="宋体"/>
          <w:color w:val="auto"/>
          <w:sz w:val="21"/>
          <w:szCs w:val="21"/>
          <w:highlight w:val="none"/>
        </w:rPr>
        <w:fldChar w:fldCharType="end"/>
      </w:r>
      <w:r>
        <w:rPr>
          <w:rFonts w:hint="eastAsia" w:ascii="宋体"/>
          <w:color w:val="auto"/>
          <w:sz w:val="21"/>
          <w:szCs w:val="21"/>
          <w:highlight w:val="none"/>
        </w:rPr>
        <w:fldChar w:fldCharType="end"/>
      </w:r>
    </w:p>
    <w:p w14:paraId="5C8056A7">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"_Toc179645154" </w:instrText>
      </w:r>
      <w:r>
        <w:rPr>
          <w:color w:val="auto"/>
          <w:highlight w:val="none"/>
        </w:rPr>
        <w:fldChar w:fldCharType="separate"/>
      </w:r>
      <w:r>
        <w:rPr>
          <w:rStyle w:val="144"/>
          <w:rFonts w:hint="eastAsia" w:ascii="宋体" w:hAnsi="宋体"/>
          <w:bCs/>
          <w:color w:val="auto"/>
          <w:szCs w:val="21"/>
          <w:highlight w:val="none"/>
        </w:rPr>
        <w:t>一、磋商程序和方法前附表</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_Toc179645154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77</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42891F8E">
      <w:pPr>
        <w:pStyle w:val="74"/>
        <w:tabs>
          <w:tab w:val="right" w:leader="dot" w:pos="9746"/>
          <w:tab w:val="clear" w:pos="9515"/>
        </w:tabs>
        <w:adjustRightInd w:val="0"/>
        <w:snapToGrid w:val="0"/>
        <w:spacing w:line="360" w:lineRule="auto"/>
        <w:ind w:left="0" w:leftChars="0" w:right="0" w:rightChars="0" w:firstLine="420" w:firstLineChars="200"/>
        <w:rPr>
          <w:rFonts w:hint="eastAsia" w:ascii="宋体" w:hAnsi="宋体"/>
          <w:bCs/>
          <w:color w:val="auto"/>
          <w:szCs w:val="21"/>
          <w:highlight w:val="none"/>
        </w:rPr>
      </w:pPr>
      <w:r>
        <w:rPr>
          <w:color w:val="auto"/>
          <w:highlight w:val="none"/>
        </w:rPr>
        <w:fldChar w:fldCharType="begin"/>
      </w:r>
      <w:r>
        <w:rPr>
          <w:color w:val="auto"/>
          <w:highlight w:val="none"/>
        </w:rPr>
        <w:instrText xml:space="preserve"> HYPERLINK \l "_Toc179645155" </w:instrText>
      </w:r>
      <w:r>
        <w:rPr>
          <w:color w:val="auto"/>
          <w:highlight w:val="none"/>
        </w:rPr>
        <w:fldChar w:fldCharType="separate"/>
      </w:r>
      <w:r>
        <w:rPr>
          <w:rStyle w:val="144"/>
          <w:rFonts w:hint="eastAsia" w:ascii="宋体" w:hAnsi="宋体"/>
          <w:bCs/>
          <w:color w:val="auto"/>
          <w:szCs w:val="21"/>
          <w:highlight w:val="none"/>
        </w:rPr>
        <w:t>二、磋商程序及方法</w:t>
      </w:r>
      <w:r>
        <w:rPr>
          <w:rFonts w:hint="eastAsia" w:ascii="宋体" w:hAnsi="宋体"/>
          <w:bCs/>
          <w:color w:val="auto"/>
          <w:szCs w:val="21"/>
          <w:highlight w:val="none"/>
        </w:rPr>
        <w:tab/>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w:instrText>
      </w:r>
      <w:r>
        <w:rPr>
          <w:rFonts w:ascii="宋体" w:hAnsi="宋体"/>
          <w:bCs/>
          <w:color w:val="auto"/>
          <w:szCs w:val="21"/>
          <w:highlight w:val="none"/>
        </w:rPr>
        <w:instrText xml:space="preserve">PAGEREF _Toc179645155 \h</w:instrText>
      </w:r>
      <w:r>
        <w:rPr>
          <w:rFonts w:hint="eastAsia" w:ascii="宋体" w:hAnsi="宋体"/>
          <w:bCs/>
          <w:color w:val="auto"/>
          <w:szCs w:val="21"/>
          <w:highlight w:val="none"/>
        </w:rPr>
        <w:instrText xml:space="preserve"> </w:instrText>
      </w:r>
      <w:r>
        <w:rPr>
          <w:rFonts w:hint="eastAsia" w:ascii="宋体" w:hAnsi="宋体"/>
          <w:bCs/>
          <w:color w:val="auto"/>
          <w:szCs w:val="21"/>
          <w:highlight w:val="none"/>
        </w:rPr>
        <w:fldChar w:fldCharType="separate"/>
      </w:r>
      <w:r>
        <w:rPr>
          <w:rFonts w:ascii="宋体" w:hAnsi="宋体"/>
          <w:bCs/>
          <w:color w:val="auto"/>
          <w:szCs w:val="21"/>
          <w:highlight w:val="none"/>
        </w:rPr>
        <w:t>79</w:t>
      </w:r>
      <w:r>
        <w:rPr>
          <w:rFonts w:hint="eastAsia" w:ascii="宋体" w:hAnsi="宋体"/>
          <w:bCs/>
          <w:color w:val="auto"/>
          <w:szCs w:val="21"/>
          <w:highlight w:val="none"/>
        </w:rPr>
        <w:fldChar w:fldCharType="end"/>
      </w:r>
      <w:r>
        <w:rPr>
          <w:rFonts w:hint="eastAsia" w:ascii="宋体" w:hAnsi="宋体"/>
          <w:bCs/>
          <w:color w:val="auto"/>
          <w:szCs w:val="21"/>
          <w:highlight w:val="none"/>
        </w:rPr>
        <w:fldChar w:fldCharType="end"/>
      </w:r>
    </w:p>
    <w:p w14:paraId="218C7117">
      <w:pPr>
        <w:pStyle w:val="44"/>
        <w:ind w:left="0" w:leftChars="0"/>
        <w:rPr>
          <w:rFonts w:hint="eastAsia" w:ascii="宋体" w:hAnsi="宋体"/>
          <w:color w:val="auto"/>
          <w:sz w:val="22"/>
          <w:highlight w:val="none"/>
        </w:rPr>
      </w:pPr>
    </w:p>
    <w:p w14:paraId="23DB456A">
      <w:pPr>
        <w:rPr>
          <w:rFonts w:hint="eastAsia" w:ascii="宋体" w:hAnsi="宋体"/>
          <w:color w:val="auto"/>
          <w:highlight w:val="none"/>
        </w:rPr>
      </w:pPr>
      <w:r>
        <w:rPr>
          <w:rFonts w:ascii="宋体" w:hAnsi="宋体"/>
          <w:b/>
          <w:bCs/>
          <w:color w:val="auto"/>
          <w:highlight w:val="none"/>
          <w:lang w:val="zh-CN"/>
        </w:rPr>
        <w:fldChar w:fldCharType="end"/>
      </w:r>
    </w:p>
    <w:p w14:paraId="2E02C6FB">
      <w:pPr>
        <w:pStyle w:val="3"/>
        <w:rPr>
          <w:rFonts w:hint="eastAsia" w:ascii="宋体" w:hAnsi="宋体" w:eastAsia="宋体"/>
          <w:color w:val="auto"/>
          <w:highlight w:val="none"/>
        </w:rPr>
        <w:sectPr>
          <w:headerReference r:id="rId3" w:type="default"/>
          <w:footerReference r:id="rId4" w:type="default"/>
          <w:pgSz w:w="11906" w:h="16838"/>
          <w:pgMar w:top="1440" w:right="1080" w:bottom="1440" w:left="1080" w:header="850" w:footer="850" w:gutter="0"/>
          <w:pgNumType w:fmt="decimal" w:start="1"/>
          <w:cols w:space="720" w:num="1"/>
          <w:docGrid w:linePitch="312" w:charSpace="0"/>
        </w:sectPr>
      </w:pPr>
    </w:p>
    <w:p w14:paraId="3B984BFF">
      <w:pPr>
        <w:pStyle w:val="3"/>
        <w:jc w:val="center"/>
        <w:rPr>
          <w:rFonts w:hint="eastAsia" w:ascii="宋体" w:hAnsi="宋体" w:eastAsia="宋体"/>
          <w:color w:val="auto"/>
          <w:highlight w:val="none"/>
        </w:rPr>
        <w:sectPr>
          <w:type w:val="continuous"/>
          <w:pgSz w:w="11906" w:h="16838"/>
          <w:pgMar w:top="1440" w:right="1080" w:bottom="1440" w:left="1080" w:header="680" w:footer="850" w:gutter="0"/>
          <w:pgNumType w:fmt="decimal"/>
          <w:cols w:space="720" w:num="1"/>
          <w:docGrid w:linePitch="312" w:charSpace="0"/>
        </w:sectPr>
      </w:pPr>
    </w:p>
    <w:p w14:paraId="5CA8540C">
      <w:pPr>
        <w:pStyle w:val="3"/>
        <w:spacing w:line="360" w:lineRule="auto"/>
        <w:jc w:val="center"/>
        <w:rPr>
          <w:rFonts w:hint="eastAsia" w:ascii="宋体" w:hAnsi="宋体" w:eastAsia="宋体"/>
          <w:color w:val="auto"/>
          <w:sz w:val="36"/>
          <w:szCs w:val="21"/>
          <w:highlight w:val="none"/>
        </w:rPr>
      </w:pPr>
      <w:bookmarkStart w:id="0" w:name="_Toc174031415"/>
      <w:bookmarkStart w:id="1" w:name="_Toc179645080"/>
      <w:bookmarkStart w:id="2" w:name="_Toc10694"/>
      <w:bookmarkStart w:id="3" w:name="_Toc23358"/>
      <w:r>
        <w:rPr>
          <w:rFonts w:hint="eastAsia" w:ascii="宋体" w:hAnsi="宋体" w:eastAsia="宋体"/>
          <w:color w:val="auto"/>
          <w:sz w:val="36"/>
          <w:szCs w:val="21"/>
          <w:highlight w:val="none"/>
        </w:rPr>
        <w:t>第一章</w:t>
      </w:r>
      <w:r>
        <w:rPr>
          <w:rFonts w:ascii="宋体" w:hAnsi="宋体" w:eastAsia="宋体"/>
          <w:color w:val="auto"/>
          <w:sz w:val="36"/>
          <w:szCs w:val="21"/>
          <w:highlight w:val="none"/>
        </w:rPr>
        <w:t xml:space="preserve">  </w:t>
      </w:r>
      <w:r>
        <w:rPr>
          <w:rFonts w:hint="eastAsia" w:ascii="宋体" w:hAnsi="宋体" w:eastAsia="宋体"/>
          <w:color w:val="auto"/>
          <w:sz w:val="36"/>
          <w:szCs w:val="21"/>
          <w:highlight w:val="none"/>
        </w:rPr>
        <w:t>竞争性磋商公告</w:t>
      </w:r>
      <w:bookmarkEnd w:id="0"/>
      <w:bookmarkEnd w:id="1"/>
      <w:bookmarkEnd w:id="2"/>
      <w:bookmarkEnd w:id="3"/>
      <w:bookmarkStart w:id="4" w:name="OLE_LINK4"/>
      <w:bookmarkStart w:id="5" w:name="OLE_LINK3"/>
    </w:p>
    <w:p w14:paraId="249840DA">
      <w:pPr>
        <w:pBdr>
          <w:top w:val="single" w:color="auto" w:sz="4" w:space="1"/>
          <w:left w:val="single" w:color="auto" w:sz="4" w:space="4"/>
          <w:bottom w:val="single" w:color="auto" w:sz="4" w:space="1"/>
          <w:right w:val="single" w:color="auto" w:sz="4" w:space="4"/>
        </w:pBdr>
        <w:spacing w:line="360" w:lineRule="auto"/>
        <w:rPr>
          <w:rFonts w:hint="eastAsia" w:ascii="宋体" w:hAnsi="宋体"/>
          <w:b/>
          <w:bCs/>
          <w:color w:val="auto"/>
          <w:szCs w:val="21"/>
          <w:highlight w:val="none"/>
        </w:rPr>
      </w:pPr>
      <w:bookmarkStart w:id="6" w:name="_Toc432106468"/>
      <w:bookmarkStart w:id="7" w:name="_Toc86124033"/>
      <w:bookmarkStart w:id="8" w:name="OLE_LINK1"/>
      <w:bookmarkStart w:id="9" w:name="_Toc432194819"/>
      <w:bookmarkStart w:id="10" w:name="OLE_LINK2"/>
      <w:r>
        <w:rPr>
          <w:rFonts w:hint="eastAsia" w:ascii="宋体" w:hAnsi="宋体"/>
          <w:b/>
          <w:bCs/>
          <w:color w:val="auto"/>
          <w:szCs w:val="21"/>
          <w:highlight w:val="none"/>
        </w:rPr>
        <w:t>项目概况</w:t>
      </w:r>
    </w:p>
    <w:p w14:paraId="7FFCB84B">
      <w:pPr>
        <w:pBdr>
          <w:top w:val="single" w:color="auto" w:sz="4" w:space="1"/>
          <w:left w:val="single" w:color="auto" w:sz="4" w:space="4"/>
          <w:bottom w:val="single" w:color="auto" w:sz="4" w:space="1"/>
          <w:right w:val="single" w:color="auto" w:sz="4" w:space="4"/>
        </w:pBdr>
        <w:wordWrap w:val="0"/>
        <w:spacing w:line="360" w:lineRule="auto"/>
        <w:ind w:firstLine="422" w:firstLineChars="200"/>
        <w:rPr>
          <w:rFonts w:hint="eastAsia" w:ascii="宋体" w:hAnsi="宋体"/>
          <w:color w:val="auto"/>
          <w:szCs w:val="21"/>
          <w:highlight w:val="none"/>
        </w:rPr>
      </w:pPr>
      <w:r>
        <w:rPr>
          <w:rFonts w:hint="eastAsia" w:ascii="宋体" w:hAnsi="宋体"/>
          <w:b/>
          <w:bCs/>
          <w:color w:val="auto"/>
          <w:kern w:val="0"/>
          <w:szCs w:val="21"/>
          <w:highlight w:val="none"/>
          <w:u w:val="single"/>
          <w:lang w:eastAsia="zh-CN"/>
        </w:rPr>
        <w:t>大理护理职业学院眼健康产业学院（一期）建设项目（一标段）</w:t>
      </w:r>
      <w:r>
        <w:rPr>
          <w:rFonts w:hint="eastAsia" w:ascii="宋体" w:hAnsi="宋体"/>
          <w:color w:val="auto"/>
          <w:kern w:val="0"/>
          <w:szCs w:val="21"/>
          <w:highlight w:val="none"/>
        </w:rPr>
        <w:t>采购项目</w:t>
      </w:r>
      <w:r>
        <w:rPr>
          <w:rFonts w:hint="eastAsia" w:ascii="宋体" w:hAnsi="宋体"/>
          <w:color w:val="auto"/>
          <w:szCs w:val="21"/>
          <w:highlight w:val="none"/>
        </w:rPr>
        <w:t>的潜在供应商应在</w:t>
      </w:r>
      <w:r>
        <w:rPr>
          <w:rFonts w:hint="eastAsia" w:ascii="宋体" w:hAnsi="宋体"/>
          <w:b/>
          <w:bCs/>
          <w:color w:val="auto"/>
          <w:szCs w:val="21"/>
          <w:highlight w:val="none"/>
          <w:u w:val="single"/>
        </w:rPr>
        <w:t>政采云平台（https://www.zcygov.cn/）</w:t>
      </w:r>
      <w:r>
        <w:rPr>
          <w:rFonts w:hint="eastAsia" w:ascii="宋体" w:hAnsi="宋体"/>
          <w:color w:val="auto"/>
          <w:szCs w:val="21"/>
          <w:highlight w:val="none"/>
          <w:u w:val="single"/>
        </w:rPr>
        <w:t>获取采购文件，并于</w:t>
      </w:r>
      <w:r>
        <w:rPr>
          <w:rFonts w:hint="eastAsia" w:ascii="宋体" w:hAnsi="宋体"/>
          <w:b/>
          <w:bCs/>
          <w:color w:val="auto"/>
          <w:szCs w:val="21"/>
          <w:highlight w:val="none"/>
          <w:u w:val="single"/>
          <w:lang w:eastAsia="zh-CN"/>
        </w:rPr>
        <w:t>2026年05月25日14时30分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264B355B">
      <w:pPr>
        <w:rPr>
          <w:rFonts w:hint="eastAsia" w:ascii="宋体" w:hAnsi="宋体"/>
          <w:color w:val="auto"/>
          <w:highlight w:val="none"/>
        </w:rPr>
      </w:pPr>
    </w:p>
    <w:p w14:paraId="2E4A98CF">
      <w:pPr>
        <w:adjustRightInd w:val="0"/>
        <w:snapToGrid w:val="0"/>
        <w:spacing w:line="360" w:lineRule="auto"/>
        <w:outlineLvl w:val="1"/>
        <w:rPr>
          <w:rFonts w:hint="eastAsia" w:ascii="宋体" w:hAnsi="宋体"/>
          <w:b/>
          <w:color w:val="auto"/>
          <w:sz w:val="24"/>
          <w:highlight w:val="none"/>
        </w:rPr>
      </w:pPr>
      <w:bookmarkStart w:id="11" w:name="_Toc179645081"/>
      <w:bookmarkStart w:id="12" w:name="_Toc174031416"/>
      <w:bookmarkStart w:id="13" w:name="_Toc35393629"/>
      <w:bookmarkStart w:id="14" w:name="_Toc28359012"/>
      <w:bookmarkStart w:id="15" w:name="_Toc28359089"/>
      <w:bookmarkStart w:id="16" w:name="_Toc35393798"/>
      <w:r>
        <w:rPr>
          <w:rFonts w:hint="eastAsia" w:ascii="宋体" w:hAnsi="宋体" w:cs="宋体"/>
          <w:b/>
          <w:color w:val="auto"/>
          <w:sz w:val="24"/>
          <w:highlight w:val="none"/>
        </w:rPr>
        <w:t>一、项目基本情况</w:t>
      </w:r>
      <w:bookmarkEnd w:id="11"/>
      <w:bookmarkEnd w:id="12"/>
      <w:bookmarkEnd w:id="13"/>
      <w:bookmarkEnd w:id="14"/>
      <w:bookmarkEnd w:id="15"/>
      <w:bookmarkEnd w:id="16"/>
    </w:p>
    <w:p w14:paraId="7ED5123D">
      <w:pPr>
        <w:snapToGrid w:val="0"/>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政采云项目编号：</w:t>
      </w:r>
      <w:r>
        <w:rPr>
          <w:rFonts w:hint="eastAsia" w:ascii="宋体" w:hAnsi="宋体"/>
          <w:color w:val="auto"/>
          <w:szCs w:val="21"/>
          <w:highlight w:val="none"/>
          <w:lang w:eastAsia="zh-CN"/>
        </w:rPr>
        <w:t>DLZC2026-C2-00424-YNXD-0067</w:t>
      </w:r>
    </w:p>
    <w:p w14:paraId="4F29B495">
      <w:pPr>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招标编号：</w:t>
      </w:r>
      <w:r>
        <w:rPr>
          <w:rFonts w:hint="eastAsia" w:ascii="宋体" w:hAnsi="宋体"/>
          <w:color w:val="auto"/>
          <w:szCs w:val="21"/>
          <w:highlight w:val="none"/>
          <w:lang w:eastAsia="zh-CN"/>
        </w:rPr>
        <w:t>云鑫招字2026-4-023</w:t>
      </w:r>
      <w:r>
        <w:rPr>
          <w:rFonts w:hint="eastAsia" w:ascii="宋体" w:hAnsi="宋体"/>
          <w:color w:val="auto"/>
          <w:szCs w:val="21"/>
          <w:highlight w:val="none"/>
        </w:rPr>
        <w:t xml:space="preserve"> </w:t>
      </w:r>
    </w:p>
    <w:p w14:paraId="0E018CE0">
      <w:pPr>
        <w:snapToGrid w:val="0"/>
        <w:spacing w:line="360" w:lineRule="auto"/>
        <w:ind w:firstLine="422" w:firstLineChars="200"/>
        <w:rPr>
          <w:rFonts w:hint="eastAsia" w:ascii="宋体" w:hAnsi="宋体" w:eastAsia="宋体"/>
          <w:color w:val="auto"/>
          <w:szCs w:val="21"/>
          <w:highlight w:val="none"/>
          <w:u w:val="single"/>
          <w:lang w:eastAsia="zh-CN"/>
        </w:rPr>
      </w:pPr>
      <w:r>
        <w:rPr>
          <w:rFonts w:hint="eastAsia" w:ascii="宋体" w:hAnsi="宋体"/>
          <w:b/>
          <w:bCs/>
          <w:color w:val="auto"/>
          <w:szCs w:val="21"/>
          <w:highlight w:val="none"/>
        </w:rPr>
        <w:t>项目名称</w:t>
      </w:r>
      <w:r>
        <w:rPr>
          <w:rFonts w:hint="eastAsia" w:ascii="宋体" w:hAnsi="宋体"/>
          <w:color w:val="auto"/>
          <w:szCs w:val="21"/>
          <w:highlight w:val="none"/>
        </w:rPr>
        <w:t>：</w:t>
      </w:r>
      <w:r>
        <w:rPr>
          <w:rFonts w:hint="eastAsia" w:ascii="宋体" w:hAnsi="宋体"/>
          <w:color w:val="auto"/>
          <w:kern w:val="0"/>
          <w:szCs w:val="21"/>
          <w:highlight w:val="none"/>
          <w:lang w:eastAsia="zh-CN"/>
        </w:rPr>
        <w:t>大理护理职业学院眼健康产业学院（一期）建设项目（一标段）</w:t>
      </w:r>
    </w:p>
    <w:p w14:paraId="6C86318F">
      <w:pPr>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采购方式：</w:t>
      </w:r>
      <w:r>
        <w:rPr>
          <w:rFonts w:hint="eastAsia" w:ascii="宋体" w:hAnsi="宋体"/>
          <w:color w:val="auto"/>
          <w:szCs w:val="21"/>
          <w:highlight w:val="none"/>
        </w:rPr>
        <w:t>竞争性磋商</w:t>
      </w:r>
    </w:p>
    <w:p w14:paraId="73282006">
      <w:pPr>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预算金额：</w:t>
      </w:r>
      <w:r>
        <w:rPr>
          <w:rFonts w:hint="eastAsia" w:ascii="宋体" w:hAnsi="宋体"/>
          <w:color w:val="auto"/>
          <w:szCs w:val="21"/>
          <w:highlight w:val="none"/>
          <w:lang w:eastAsia="zh-CN"/>
        </w:rPr>
        <w:t>1498761.01元</w:t>
      </w:r>
    </w:p>
    <w:p w14:paraId="656187BB">
      <w:pPr>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最高限价：</w:t>
      </w:r>
      <w:r>
        <w:rPr>
          <w:rFonts w:hint="eastAsia" w:ascii="宋体" w:hAnsi="宋体"/>
          <w:color w:val="auto"/>
          <w:szCs w:val="21"/>
          <w:highlight w:val="none"/>
          <w:lang w:eastAsia="zh-CN"/>
        </w:rPr>
        <w:t>1498761.01元</w:t>
      </w:r>
    </w:p>
    <w:p w14:paraId="69A0ED05">
      <w:pPr>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采购需求：</w:t>
      </w:r>
      <w:r>
        <w:rPr>
          <w:rFonts w:hint="eastAsia" w:ascii="宋体" w:hAnsi="宋体"/>
          <w:color w:val="auto"/>
          <w:kern w:val="0"/>
          <w:szCs w:val="21"/>
          <w:highlight w:val="none"/>
          <w:lang w:eastAsia="zh-CN"/>
        </w:rPr>
        <w:t>拟对大理护理职业学院医学技术系眼视光实训基地进行装修改造，具体内容详见“工程量清单”</w:t>
      </w:r>
      <w:r>
        <w:rPr>
          <w:rFonts w:hint="eastAsia" w:ascii="宋体" w:hAnsi="宋体"/>
          <w:color w:val="auto"/>
          <w:kern w:val="0"/>
          <w:szCs w:val="21"/>
          <w:highlight w:val="none"/>
        </w:rPr>
        <w:t>。</w:t>
      </w:r>
    </w:p>
    <w:p w14:paraId="5DB1BBB8">
      <w:pPr>
        <w:snapToGrid w:val="0"/>
        <w:spacing w:line="360" w:lineRule="auto"/>
        <w:ind w:firstLine="422" w:firstLineChars="200"/>
        <w:rPr>
          <w:rFonts w:hint="eastAsia" w:ascii="宋体" w:hAnsi="宋体"/>
          <w:color w:val="auto"/>
          <w:szCs w:val="21"/>
          <w:highlight w:val="none"/>
          <w:u w:val="single"/>
        </w:rPr>
      </w:pPr>
      <w:r>
        <w:rPr>
          <w:rFonts w:hint="eastAsia" w:ascii="宋体" w:hAnsi="宋体" w:cs="宋体"/>
          <w:b/>
          <w:bCs/>
          <w:color w:val="auto"/>
          <w:szCs w:val="21"/>
          <w:highlight w:val="none"/>
        </w:rPr>
        <w:t>合同履行期限：</w:t>
      </w:r>
      <w:r>
        <w:rPr>
          <w:rFonts w:hint="eastAsia" w:ascii="宋体" w:hAnsi="宋体"/>
          <w:color w:val="auto"/>
          <w:highlight w:val="none"/>
          <w:lang w:eastAsia="zh-CN"/>
        </w:rPr>
        <w:t>90日历天</w:t>
      </w:r>
      <w:r>
        <w:rPr>
          <w:rFonts w:hint="eastAsia" w:ascii="宋体" w:hAnsi="宋体" w:cs="宋体"/>
          <w:color w:val="auto"/>
          <w:szCs w:val="21"/>
          <w:highlight w:val="none"/>
        </w:rPr>
        <w:t>。</w:t>
      </w:r>
    </w:p>
    <w:p w14:paraId="067B790F">
      <w:pPr>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本项目（否）接受联合体。</w:t>
      </w:r>
    </w:p>
    <w:p w14:paraId="49DFE78D">
      <w:pPr>
        <w:adjustRightInd w:val="0"/>
        <w:snapToGrid w:val="0"/>
        <w:spacing w:line="360" w:lineRule="auto"/>
        <w:outlineLvl w:val="1"/>
        <w:rPr>
          <w:rFonts w:hint="eastAsia" w:ascii="宋体" w:hAnsi="宋体" w:cs="宋体"/>
          <w:b/>
          <w:color w:val="auto"/>
          <w:sz w:val="24"/>
          <w:highlight w:val="none"/>
        </w:rPr>
      </w:pPr>
      <w:bookmarkStart w:id="17" w:name="_Toc174031417"/>
      <w:bookmarkStart w:id="18" w:name="_Toc35393799"/>
      <w:bookmarkStart w:id="19" w:name="_Toc28359013"/>
      <w:bookmarkStart w:id="20" w:name="_Toc35393630"/>
      <w:bookmarkStart w:id="21" w:name="_Toc46765001"/>
      <w:bookmarkStart w:id="22" w:name="_Toc179645082"/>
      <w:bookmarkStart w:id="23" w:name="_Toc28359090"/>
      <w:r>
        <w:rPr>
          <w:rFonts w:hint="eastAsia" w:ascii="宋体" w:hAnsi="宋体" w:cs="宋体"/>
          <w:b/>
          <w:color w:val="auto"/>
          <w:sz w:val="24"/>
          <w:highlight w:val="none"/>
        </w:rPr>
        <w:t>二、申请人的资格要求：</w:t>
      </w:r>
      <w:bookmarkEnd w:id="17"/>
      <w:bookmarkEnd w:id="18"/>
      <w:bookmarkEnd w:id="19"/>
      <w:bookmarkEnd w:id="20"/>
      <w:bookmarkEnd w:id="21"/>
      <w:bookmarkEnd w:id="22"/>
      <w:bookmarkEnd w:id="23"/>
    </w:p>
    <w:p w14:paraId="2DC2E16B">
      <w:pPr>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1.满足《中华人民共和国政府采购法》第二十二条规定；</w:t>
      </w:r>
    </w:p>
    <w:p w14:paraId="284E8D81">
      <w:pPr>
        <w:snapToGrid w:val="0"/>
        <w:spacing w:line="360" w:lineRule="auto"/>
        <w:ind w:firstLine="422" w:firstLineChars="200"/>
        <w:rPr>
          <w:rFonts w:hint="eastAsia" w:ascii="宋体" w:hAnsi="宋体"/>
          <w:b/>
          <w:bCs/>
          <w:i/>
          <w:iCs/>
          <w:color w:val="auto"/>
          <w:szCs w:val="21"/>
          <w:highlight w:val="none"/>
          <w:u w:val="single"/>
        </w:rPr>
      </w:pPr>
      <w:bookmarkStart w:id="24" w:name="_Toc28359091"/>
      <w:bookmarkStart w:id="25" w:name="_Toc28359014"/>
      <w:r>
        <w:rPr>
          <w:rFonts w:ascii="宋体" w:hAnsi="宋体"/>
          <w:b/>
          <w:bCs/>
          <w:color w:val="auto"/>
          <w:szCs w:val="21"/>
          <w:highlight w:val="none"/>
        </w:rPr>
        <w:t>2</w:t>
      </w:r>
      <w:r>
        <w:rPr>
          <w:rFonts w:hint="eastAsia" w:ascii="宋体" w:hAnsi="宋体"/>
          <w:b/>
          <w:bCs/>
          <w:color w:val="auto"/>
          <w:szCs w:val="21"/>
          <w:highlight w:val="none"/>
        </w:rPr>
        <w:t>.落实政府采购政策需满足的资格要求：</w:t>
      </w:r>
      <w:r>
        <w:rPr>
          <w:rFonts w:hint="eastAsia" w:ascii="宋体" w:hAnsi="宋体"/>
          <w:b/>
          <w:bCs/>
          <w:color w:val="auto"/>
          <w:szCs w:val="21"/>
          <w:highlight w:val="none"/>
          <w:lang w:eastAsia="zh-CN"/>
        </w:rPr>
        <w:t>本项目为非专门面向中小微企业采购的项目</w:t>
      </w:r>
      <w:r>
        <w:rPr>
          <w:rFonts w:hint="eastAsia" w:ascii="宋体" w:hAnsi="宋体"/>
          <w:b/>
          <w:bCs/>
          <w:color w:val="auto"/>
          <w:szCs w:val="21"/>
          <w:highlight w:val="none"/>
        </w:rPr>
        <w:t>（</w:t>
      </w:r>
      <w:r>
        <w:rPr>
          <w:rFonts w:hint="eastAsia" w:ascii="宋体" w:hAnsi="宋体"/>
          <w:b/>
          <w:bCs/>
          <w:color w:val="auto"/>
          <w:szCs w:val="21"/>
          <w:highlight w:val="none"/>
          <w:lang w:eastAsia="zh-CN"/>
        </w:rPr>
        <w:t>残疾人福利性单位、监狱企业视同中小微企业</w:t>
      </w:r>
      <w:r>
        <w:rPr>
          <w:rFonts w:hint="eastAsia" w:ascii="宋体" w:hAnsi="宋体"/>
          <w:b/>
          <w:bCs/>
          <w:color w:val="auto"/>
          <w:szCs w:val="21"/>
          <w:highlight w:val="none"/>
        </w:rPr>
        <w:t>）。</w:t>
      </w:r>
    </w:p>
    <w:p w14:paraId="68975A37">
      <w:pPr>
        <w:snapToGrid w:val="0"/>
        <w:spacing w:line="360" w:lineRule="auto"/>
        <w:ind w:firstLine="422" w:firstLineChars="200"/>
        <w:rPr>
          <w:rFonts w:hint="eastAsia" w:ascii="宋体" w:hAnsi="宋体"/>
          <w:color w:val="auto"/>
          <w:szCs w:val="21"/>
          <w:highlight w:val="none"/>
          <w:u w:val="single"/>
        </w:rPr>
      </w:pPr>
      <w:r>
        <w:rPr>
          <w:rFonts w:hint="eastAsia" w:ascii="宋体" w:hAnsi="宋体"/>
          <w:b/>
          <w:bCs/>
          <w:color w:val="auto"/>
          <w:szCs w:val="21"/>
          <w:highlight w:val="none"/>
        </w:rPr>
        <w:t>3.本项目的特定资格要求：</w:t>
      </w:r>
    </w:p>
    <w:p w14:paraId="21E30D73">
      <w:pPr>
        <w:spacing w:line="360" w:lineRule="auto"/>
        <w:ind w:firstLine="422" w:firstLineChars="200"/>
        <w:rPr>
          <w:rFonts w:hint="eastAsia" w:ascii="宋体" w:hAnsi="宋体"/>
          <w:color w:val="auto"/>
          <w:szCs w:val="21"/>
          <w:highlight w:val="none"/>
        </w:rPr>
      </w:pPr>
      <w:bookmarkStart w:id="26" w:name="_Toc46765002"/>
      <w:bookmarkStart w:id="27" w:name="_Toc35393631"/>
      <w:bookmarkStart w:id="28" w:name="_Toc35393800"/>
      <w:r>
        <w:rPr>
          <w:rFonts w:ascii="宋体" w:hAnsi="宋体"/>
          <w:b/>
          <w:bCs/>
          <w:color w:val="auto"/>
          <w:szCs w:val="21"/>
          <w:highlight w:val="none"/>
        </w:rPr>
        <w:t>3.</w:t>
      </w:r>
      <w:bookmarkStart w:id="29" w:name="_Hlk89422712"/>
      <w:r>
        <w:rPr>
          <w:rFonts w:hint="eastAsia" w:ascii="宋体" w:hAnsi="宋体"/>
          <w:b/>
          <w:bCs/>
          <w:color w:val="auto"/>
          <w:szCs w:val="21"/>
          <w:highlight w:val="none"/>
        </w:rPr>
        <w:t>1</w:t>
      </w:r>
      <w:bookmarkEnd w:id="29"/>
      <w:r>
        <w:rPr>
          <w:rFonts w:hint="eastAsia" w:ascii="宋体" w:hAnsi="宋体"/>
          <w:color w:val="auto"/>
          <w:szCs w:val="21"/>
          <w:highlight w:val="none"/>
          <w:lang w:eastAsia="zh-CN"/>
        </w:rPr>
        <w:t>供应商须具有建设行政主管部门核发的建筑工程施工总承包叁级或建筑装修装饰工程专业承包二级及以上资质，且应具有建设行政主管部门核发的在有效期内的安全生产许可证</w:t>
      </w:r>
      <w:r>
        <w:rPr>
          <w:rFonts w:hint="eastAsia" w:ascii="宋体" w:hAnsi="宋体"/>
          <w:b/>
          <w:bCs/>
          <w:color w:val="auto"/>
          <w:szCs w:val="21"/>
          <w:highlight w:val="none"/>
        </w:rPr>
        <w:t>。</w:t>
      </w:r>
    </w:p>
    <w:p w14:paraId="6D9B9D1F">
      <w:pPr>
        <w:overflowPunct w:val="0"/>
        <w:spacing w:line="360" w:lineRule="auto"/>
        <w:ind w:firstLine="422" w:firstLineChars="200"/>
        <w:rPr>
          <w:rFonts w:hint="eastAsia" w:ascii="宋体" w:hAnsi="宋体" w:cs="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2</w:t>
      </w:r>
      <w:r>
        <w:rPr>
          <w:rFonts w:hint="eastAsia" w:ascii="宋体" w:hAnsi="宋体"/>
          <w:color w:val="auto"/>
          <w:szCs w:val="21"/>
          <w:highlight w:val="none"/>
          <w:lang w:eastAsia="zh-CN"/>
        </w:rPr>
        <w:t>供应商拟派的本项目的项目经理须须具备有效的贰级及以上注册建造师证（建筑工程专业）（须注册在本单位的），有效的安全生产考核合格证书（B证）</w:t>
      </w:r>
      <w:r>
        <w:rPr>
          <w:rFonts w:ascii="宋体" w:hAnsi="宋体"/>
          <w:color w:val="auto"/>
          <w:szCs w:val="21"/>
          <w:highlight w:val="none"/>
        </w:rPr>
        <w:t>，必须为供应商本单位人员（提供有效的劳动合同和</w:t>
      </w:r>
      <w:r>
        <w:rPr>
          <w:rFonts w:hint="eastAsia" w:ascii="宋体" w:hAnsi="宋体"/>
          <w:color w:val="auto"/>
          <w:szCs w:val="21"/>
          <w:highlight w:val="none"/>
        </w:rPr>
        <w:t>近三个月内开具的</w:t>
      </w:r>
      <w:r>
        <w:rPr>
          <w:rFonts w:ascii="宋体" w:hAnsi="宋体"/>
          <w:color w:val="auto"/>
          <w:szCs w:val="21"/>
          <w:highlight w:val="none"/>
        </w:rPr>
        <w:t>社保缴纳证明等证明材料）</w:t>
      </w:r>
      <w:r>
        <w:rPr>
          <w:rFonts w:hint="eastAsia" w:ascii="宋体" w:hAnsi="宋体"/>
          <w:color w:val="auto"/>
          <w:szCs w:val="21"/>
          <w:highlight w:val="none"/>
        </w:rPr>
        <w:t>，</w:t>
      </w:r>
      <w:r>
        <w:rPr>
          <w:rFonts w:ascii="宋体" w:hAnsi="宋体"/>
          <w:color w:val="auto"/>
          <w:szCs w:val="21"/>
          <w:highlight w:val="none"/>
        </w:rPr>
        <w:t>且未担任其它在建工程项目的项目经理</w:t>
      </w:r>
      <w:r>
        <w:rPr>
          <w:rFonts w:hint="eastAsia" w:ascii="宋体" w:hAnsi="宋体"/>
          <w:b/>
          <w:bCs/>
          <w:color w:val="auto"/>
          <w:szCs w:val="21"/>
          <w:highlight w:val="none"/>
        </w:rPr>
        <w:t>（提供无在建项目承诺书）</w:t>
      </w:r>
      <w:r>
        <w:rPr>
          <w:rFonts w:hint="eastAsia" w:ascii="宋体" w:hAnsi="宋体"/>
          <w:color w:val="auto"/>
          <w:kern w:val="0"/>
          <w:szCs w:val="21"/>
          <w:highlight w:val="none"/>
        </w:rPr>
        <w:t>（</w:t>
      </w:r>
      <w:r>
        <w:rPr>
          <w:rFonts w:hint="eastAsia" w:ascii="宋体" w:hAnsi="宋体"/>
          <w:b/>
          <w:bCs/>
          <w:color w:val="auto"/>
          <w:kern w:val="0"/>
          <w:szCs w:val="21"/>
          <w:highlight w:val="none"/>
        </w:rPr>
        <w:t>注：</w:t>
      </w:r>
      <w:r>
        <w:rPr>
          <w:rFonts w:hint="eastAsia" w:ascii="宋体" w:hAnsi="宋体"/>
          <w:color w:val="auto"/>
          <w:kern w:val="0"/>
          <w:szCs w:val="21"/>
          <w:highlight w:val="none"/>
        </w:rPr>
        <w:t>若</w:t>
      </w:r>
      <w:r>
        <w:rPr>
          <w:rFonts w:ascii="宋体" w:hAnsi="宋体"/>
          <w:color w:val="auto"/>
          <w:szCs w:val="21"/>
          <w:highlight w:val="none"/>
        </w:rPr>
        <w:t>项目经理</w:t>
      </w:r>
      <w:r>
        <w:rPr>
          <w:rFonts w:hint="eastAsia" w:ascii="宋体" w:hAnsi="宋体"/>
          <w:color w:val="auto"/>
          <w:kern w:val="0"/>
          <w:szCs w:val="21"/>
          <w:highlight w:val="none"/>
        </w:rPr>
        <w:t>有在建工程，但已做变更的，需提供全套</w:t>
      </w:r>
      <w:r>
        <w:rPr>
          <w:rFonts w:ascii="宋体" w:hAnsi="宋体"/>
          <w:color w:val="auto"/>
          <w:szCs w:val="21"/>
          <w:highlight w:val="none"/>
        </w:rPr>
        <w:t>项目经理</w:t>
      </w:r>
      <w:r>
        <w:rPr>
          <w:rFonts w:hint="eastAsia" w:ascii="宋体" w:hAnsi="宋体"/>
          <w:color w:val="auto"/>
          <w:kern w:val="0"/>
          <w:szCs w:val="21"/>
          <w:highlight w:val="none"/>
        </w:rPr>
        <w:t>变更相关证明材料扫描件；若</w:t>
      </w:r>
      <w:r>
        <w:rPr>
          <w:rFonts w:ascii="宋体" w:hAnsi="宋体"/>
          <w:color w:val="auto"/>
          <w:szCs w:val="21"/>
          <w:highlight w:val="none"/>
        </w:rPr>
        <w:t>项目经理</w:t>
      </w:r>
      <w:r>
        <w:rPr>
          <w:rFonts w:hint="eastAsia" w:ascii="宋体" w:hAnsi="宋体"/>
          <w:color w:val="auto"/>
          <w:kern w:val="0"/>
          <w:szCs w:val="21"/>
          <w:highlight w:val="none"/>
        </w:rPr>
        <w:t>在本项目成交人确定前已在其他项目中中标（成交）并担任</w:t>
      </w:r>
      <w:r>
        <w:rPr>
          <w:rFonts w:ascii="宋体" w:hAnsi="宋体"/>
          <w:color w:val="auto"/>
          <w:szCs w:val="21"/>
          <w:highlight w:val="none"/>
        </w:rPr>
        <w:t>项目经理</w:t>
      </w:r>
      <w:r>
        <w:rPr>
          <w:rFonts w:hint="eastAsia" w:ascii="宋体" w:hAnsi="宋体"/>
          <w:color w:val="auto"/>
          <w:kern w:val="0"/>
          <w:szCs w:val="21"/>
          <w:highlight w:val="none"/>
        </w:rPr>
        <w:t>,且投标时未提供</w:t>
      </w:r>
      <w:r>
        <w:rPr>
          <w:rFonts w:ascii="宋体" w:hAnsi="宋体"/>
          <w:color w:val="auto"/>
          <w:szCs w:val="21"/>
          <w:highlight w:val="none"/>
        </w:rPr>
        <w:t>项目经理</w:t>
      </w:r>
      <w:r>
        <w:rPr>
          <w:rFonts w:hint="eastAsia" w:ascii="宋体" w:hAnsi="宋体"/>
          <w:color w:val="auto"/>
          <w:kern w:val="0"/>
          <w:szCs w:val="21"/>
          <w:highlight w:val="none"/>
        </w:rPr>
        <w:t>变更材料的，视其为“担任其他在建设工程项目的</w:t>
      </w:r>
      <w:r>
        <w:rPr>
          <w:rFonts w:ascii="宋体" w:hAnsi="宋体"/>
          <w:color w:val="auto"/>
          <w:szCs w:val="21"/>
          <w:highlight w:val="none"/>
        </w:rPr>
        <w:t>项目经理</w:t>
      </w:r>
      <w:r>
        <w:rPr>
          <w:rFonts w:hint="eastAsia" w:ascii="宋体" w:hAnsi="宋体"/>
          <w:color w:val="auto"/>
          <w:kern w:val="0"/>
          <w:szCs w:val="21"/>
          <w:highlight w:val="none"/>
        </w:rPr>
        <w:t>”)</w:t>
      </w:r>
      <w:r>
        <w:rPr>
          <w:rFonts w:ascii="宋体" w:hAnsi="宋体"/>
          <w:color w:val="auto"/>
          <w:szCs w:val="21"/>
          <w:highlight w:val="none"/>
        </w:rPr>
        <w:t>。</w:t>
      </w:r>
    </w:p>
    <w:p w14:paraId="116CCD58">
      <w:pPr>
        <w:overflowPunct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3.3</w:t>
      </w:r>
      <w:r>
        <w:rPr>
          <w:rFonts w:hint="eastAsia" w:ascii="宋体" w:hAnsi="宋体" w:cs="宋体"/>
          <w:color w:val="auto"/>
          <w:szCs w:val="21"/>
          <w:highlight w:val="none"/>
        </w:rPr>
        <w:t>供应商未被列入“信用中国”网站（www.creditchina.gov.cn）失信被执行人、重大税收违法失信主体、政府采购严重违法失信行为记录名单，及未被列入中国政府采购网（www.ccgp.gov.cn）“政府采购严重违法失信行为信息记录”。</w:t>
      </w:r>
      <w:r>
        <w:rPr>
          <w:rFonts w:hint="eastAsia" w:ascii="宋体" w:hAnsi="宋体" w:cs="宋体"/>
          <w:b/>
          <w:bCs/>
          <w:color w:val="auto"/>
          <w:szCs w:val="21"/>
          <w:highlight w:val="none"/>
        </w:rPr>
        <w:t>（以截止时间后磋商现场工作人员查询结果为准）</w:t>
      </w:r>
      <w:r>
        <w:rPr>
          <w:rFonts w:hint="eastAsia" w:ascii="宋体" w:hAnsi="宋体" w:cs="宋体"/>
          <w:color w:val="auto"/>
          <w:szCs w:val="21"/>
          <w:highlight w:val="none"/>
        </w:rPr>
        <w:t>。</w:t>
      </w:r>
    </w:p>
    <w:p w14:paraId="160E68E3">
      <w:pPr>
        <w:overflowPunct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3.4</w:t>
      </w:r>
      <w:r>
        <w:rPr>
          <w:rFonts w:hint="eastAsia" w:ascii="宋体" w:hAnsi="宋体" w:cs="宋体"/>
          <w:color w:val="auto"/>
          <w:szCs w:val="21"/>
          <w:highlight w:val="none"/>
        </w:rPr>
        <w:t>单位负责人为同一人或者存在直接控股、管理关系的不同供应商，不得参加同一合同项下的政府采购活动。</w:t>
      </w:r>
      <w:r>
        <w:rPr>
          <w:rFonts w:hint="eastAsia" w:ascii="宋体" w:hAnsi="宋体" w:cs="宋体"/>
          <w:b/>
          <w:bCs/>
          <w:color w:val="auto"/>
          <w:szCs w:val="21"/>
          <w:highlight w:val="none"/>
        </w:rPr>
        <w:t>（提供承诺书）</w:t>
      </w:r>
    </w:p>
    <w:p w14:paraId="7611F63B">
      <w:pPr>
        <w:overflowPunct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3.5</w:t>
      </w:r>
      <w:r>
        <w:rPr>
          <w:rFonts w:hint="eastAsia" w:ascii="宋体" w:hAnsi="宋体" w:cs="宋体"/>
          <w:color w:val="auto"/>
          <w:szCs w:val="21"/>
          <w:highlight w:val="none"/>
        </w:rPr>
        <w:t>本项目不接受联合体磋商。</w:t>
      </w:r>
    </w:p>
    <w:p w14:paraId="2A201B7D">
      <w:pPr>
        <w:adjustRightInd w:val="0"/>
        <w:snapToGrid w:val="0"/>
        <w:spacing w:line="360" w:lineRule="auto"/>
        <w:outlineLvl w:val="1"/>
        <w:rPr>
          <w:rFonts w:hint="eastAsia" w:ascii="宋体" w:hAnsi="宋体" w:cs="宋体"/>
          <w:b/>
          <w:color w:val="auto"/>
          <w:sz w:val="24"/>
          <w:highlight w:val="none"/>
        </w:rPr>
      </w:pPr>
      <w:bookmarkStart w:id="30" w:name="_Toc179645083"/>
      <w:bookmarkStart w:id="31" w:name="_Toc174031418"/>
      <w:r>
        <w:rPr>
          <w:rFonts w:hint="eastAsia" w:ascii="宋体" w:hAnsi="宋体" w:cs="宋体"/>
          <w:b/>
          <w:color w:val="auto"/>
          <w:sz w:val="24"/>
          <w:highlight w:val="none"/>
        </w:rPr>
        <w:t>三、获取采购文件</w:t>
      </w:r>
      <w:bookmarkEnd w:id="24"/>
      <w:bookmarkEnd w:id="25"/>
      <w:bookmarkEnd w:id="26"/>
      <w:bookmarkEnd w:id="27"/>
      <w:bookmarkEnd w:id="28"/>
      <w:bookmarkEnd w:id="30"/>
      <w:bookmarkEnd w:id="31"/>
    </w:p>
    <w:p w14:paraId="2CCB4D2C">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时间：</w:t>
      </w:r>
      <w:r>
        <w:rPr>
          <w:rFonts w:hint="eastAsia" w:ascii="宋体" w:hAnsi="宋体" w:cs="宋体"/>
          <w:b/>
          <w:bCs/>
          <w:color w:val="auto"/>
          <w:szCs w:val="21"/>
          <w:highlight w:val="none"/>
          <w:u w:val="single"/>
          <w:lang w:eastAsia="zh-CN"/>
        </w:rPr>
        <w:t>2026年05月</w:t>
      </w:r>
      <w:r>
        <w:rPr>
          <w:rFonts w:hint="eastAsia" w:ascii="宋体" w:hAnsi="宋体" w:cs="宋体"/>
          <w:b/>
          <w:bCs/>
          <w:color w:val="auto"/>
          <w:szCs w:val="21"/>
          <w:highlight w:val="none"/>
          <w:u w:val="single"/>
          <w:lang w:val="en-US" w:eastAsia="zh-CN"/>
        </w:rPr>
        <w:t>13</w:t>
      </w:r>
      <w:r>
        <w:rPr>
          <w:rFonts w:hint="eastAsia" w:ascii="宋体" w:hAnsi="宋体" w:cs="宋体"/>
          <w:b/>
          <w:bCs/>
          <w:color w:val="auto"/>
          <w:szCs w:val="21"/>
          <w:highlight w:val="none"/>
          <w:u w:val="single"/>
          <w:lang w:eastAsia="zh-CN"/>
        </w:rPr>
        <w:t>日</w:t>
      </w:r>
      <w:r>
        <w:rPr>
          <w:rFonts w:ascii="宋体" w:hAnsi="宋体" w:cs="宋体"/>
          <w:b/>
          <w:bCs/>
          <w:color w:val="auto"/>
          <w:szCs w:val="21"/>
          <w:highlight w:val="none"/>
          <w:u w:val="single"/>
        </w:rPr>
        <w:t>06</w:t>
      </w:r>
      <w:r>
        <w:rPr>
          <w:rFonts w:hint="eastAsia" w:ascii="宋体" w:hAnsi="宋体" w:cs="宋体"/>
          <w:b/>
          <w:bCs/>
          <w:color w:val="auto"/>
          <w:szCs w:val="21"/>
          <w:highlight w:val="none"/>
          <w:u w:val="single"/>
        </w:rPr>
        <w:t>时</w:t>
      </w:r>
      <w:r>
        <w:rPr>
          <w:rFonts w:ascii="宋体" w:hAnsi="宋体" w:cs="宋体"/>
          <w:b/>
          <w:bCs/>
          <w:color w:val="auto"/>
          <w:szCs w:val="21"/>
          <w:highlight w:val="none"/>
          <w:u w:val="single"/>
        </w:rPr>
        <w:t>00</w:t>
      </w:r>
      <w:r>
        <w:rPr>
          <w:rFonts w:hint="eastAsia" w:ascii="宋体" w:hAnsi="宋体" w:cs="宋体"/>
          <w:b/>
          <w:bCs/>
          <w:color w:val="auto"/>
          <w:szCs w:val="21"/>
          <w:highlight w:val="none"/>
          <w:u w:val="single"/>
        </w:rPr>
        <w:t>分至</w:t>
      </w:r>
      <w:r>
        <w:rPr>
          <w:rFonts w:hint="eastAsia" w:ascii="宋体" w:hAnsi="宋体" w:cs="宋体"/>
          <w:b/>
          <w:bCs/>
          <w:color w:val="auto"/>
          <w:szCs w:val="21"/>
          <w:highlight w:val="none"/>
          <w:u w:val="single"/>
          <w:lang w:eastAsia="zh-CN"/>
        </w:rPr>
        <w:t>2026年05月</w:t>
      </w:r>
      <w:r>
        <w:rPr>
          <w:rFonts w:hint="eastAsia" w:ascii="宋体" w:hAnsi="宋体" w:cs="宋体"/>
          <w:b/>
          <w:bCs/>
          <w:color w:val="auto"/>
          <w:szCs w:val="21"/>
          <w:highlight w:val="none"/>
          <w:u w:val="single"/>
          <w:lang w:val="en-US" w:eastAsia="zh-CN"/>
        </w:rPr>
        <w:t>20</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rPr>
        <w:t>23时59分</w:t>
      </w:r>
      <w:r>
        <w:rPr>
          <w:rFonts w:hint="eastAsia" w:ascii="宋体" w:hAnsi="宋体" w:cs="宋体"/>
          <w:color w:val="auto"/>
          <w:szCs w:val="21"/>
          <w:highlight w:val="none"/>
        </w:rPr>
        <w:t>，每天上午06:00至12:00，下午12:00至23:59（北京时间，法定节假日除外）。</w:t>
      </w:r>
    </w:p>
    <w:p w14:paraId="0E5C64C2">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地点：</w:t>
      </w:r>
      <w:r>
        <w:rPr>
          <w:rFonts w:hint="eastAsia" w:ascii="宋体" w:hAnsi="宋体" w:cs="宋体"/>
          <w:b/>
          <w:bCs/>
          <w:color w:val="auto"/>
          <w:szCs w:val="21"/>
          <w:highlight w:val="none"/>
          <w:u w:val="single"/>
        </w:rPr>
        <w:t>政采云平台线上获取（https://www.zcygov.cn/）</w:t>
      </w:r>
    </w:p>
    <w:p w14:paraId="3633C94C">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方式：</w:t>
      </w:r>
      <w:r>
        <w:rPr>
          <w:rFonts w:hint="eastAsia" w:ascii="宋体" w:hAnsi="宋体" w:cs="宋体"/>
          <w:bCs/>
          <w:color w:val="auto"/>
          <w:sz w:val="21"/>
          <w:szCs w:val="21"/>
          <w:highlight w:val="none"/>
        </w:rPr>
        <w:t>有意参加投标的，需要在政采云平台办理数字证书（CA）。完成数字证书（CA）办理后，投标人需要在政采云平台绑定数字证书(CA)，并在平台上获取采购文件和其他相关采购资料。注：按上述要求获取文件的投标人视为合法获取了本项目采购文件，具备本项目的投标资格。供应商可根据自己需求在政采云平台自主选择CA办理厂商，其中，云南CA申领链接：https://cap.yunnanca.net/。云南CA可支持线上、线下办理方式，并提供7*24小时全天候客户服</w:t>
      </w:r>
      <w:bookmarkStart w:id="1377" w:name="_GoBack"/>
      <w:bookmarkEnd w:id="1377"/>
      <w:r>
        <w:rPr>
          <w:rFonts w:hint="eastAsia" w:ascii="宋体" w:hAnsi="宋体" w:cs="宋体"/>
          <w:bCs/>
          <w:color w:val="auto"/>
          <w:sz w:val="21"/>
          <w:szCs w:val="21"/>
          <w:highlight w:val="none"/>
        </w:rPr>
        <w:t>务支持，客服热线400-672-7666（紧急办理CA电话：0872-2367898）</w:t>
      </w:r>
      <w:r>
        <w:rPr>
          <w:rFonts w:hint="eastAsia" w:ascii="宋体" w:hAnsi="宋体" w:cs="宋体"/>
          <w:bCs/>
          <w:color w:val="auto"/>
          <w:szCs w:val="22"/>
          <w:highlight w:val="none"/>
        </w:rPr>
        <w:t>。云南壹证通CA申领链接：https://yzt.ynsmartcer.cn/。云南壹证通CA 可支持线上、线下办理方式，并提供7*24小时全天候客户服务支持，客服热线400-004-0628（紧急办理CA电话：19988166369）。</w:t>
      </w:r>
    </w:p>
    <w:p w14:paraId="7BBE4511">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售价（元）：</w:t>
      </w:r>
      <w:r>
        <w:rPr>
          <w:rFonts w:hint="eastAsia" w:ascii="宋体" w:hAnsi="宋体" w:cs="宋体"/>
          <w:color w:val="auto"/>
          <w:szCs w:val="21"/>
          <w:highlight w:val="none"/>
        </w:rPr>
        <w:t>0</w:t>
      </w:r>
      <w:r>
        <w:rPr>
          <w:rFonts w:ascii="宋体" w:hAnsi="宋体" w:cs="宋体"/>
          <w:color w:val="auto"/>
          <w:szCs w:val="21"/>
          <w:highlight w:val="none"/>
        </w:rPr>
        <w:t xml:space="preserve"> </w:t>
      </w:r>
    </w:p>
    <w:p w14:paraId="4D6CA2EC">
      <w:pPr>
        <w:adjustRightInd w:val="0"/>
        <w:snapToGrid w:val="0"/>
        <w:spacing w:line="360" w:lineRule="auto"/>
        <w:outlineLvl w:val="1"/>
        <w:rPr>
          <w:rFonts w:hint="eastAsia" w:ascii="宋体" w:hAnsi="宋体" w:cs="宋体"/>
          <w:b/>
          <w:color w:val="auto"/>
          <w:sz w:val="24"/>
          <w:highlight w:val="none"/>
        </w:rPr>
      </w:pPr>
      <w:bookmarkStart w:id="32" w:name="_Toc35393632"/>
      <w:bookmarkStart w:id="33" w:name="_Toc28359015"/>
      <w:bookmarkStart w:id="34" w:name="_Toc179645084"/>
      <w:bookmarkStart w:id="35" w:name="_Toc46765003"/>
      <w:bookmarkStart w:id="36" w:name="_Toc174031419"/>
      <w:bookmarkStart w:id="37" w:name="_Toc35393801"/>
      <w:bookmarkStart w:id="38" w:name="_Toc28359092"/>
      <w:r>
        <w:rPr>
          <w:rFonts w:hint="eastAsia" w:ascii="宋体" w:hAnsi="宋体" w:cs="宋体"/>
          <w:b/>
          <w:color w:val="auto"/>
          <w:sz w:val="24"/>
          <w:highlight w:val="none"/>
        </w:rPr>
        <w:t>四、响应文件提交</w:t>
      </w:r>
      <w:bookmarkEnd w:id="32"/>
      <w:bookmarkEnd w:id="33"/>
      <w:bookmarkEnd w:id="34"/>
      <w:bookmarkEnd w:id="35"/>
      <w:bookmarkEnd w:id="36"/>
      <w:bookmarkEnd w:id="37"/>
      <w:bookmarkEnd w:id="38"/>
    </w:p>
    <w:p w14:paraId="5BB31A6A">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时间：</w:t>
      </w:r>
      <w:r>
        <w:rPr>
          <w:rFonts w:hint="eastAsia" w:ascii="宋体" w:hAnsi="宋体"/>
          <w:b/>
          <w:bCs/>
          <w:color w:val="auto"/>
          <w:szCs w:val="21"/>
          <w:highlight w:val="none"/>
          <w:u w:val="single"/>
          <w:lang w:eastAsia="zh-CN"/>
        </w:rPr>
        <w:t>2026年05月25日14时30分</w:t>
      </w:r>
      <w:r>
        <w:rPr>
          <w:rFonts w:hint="eastAsia" w:ascii="宋体" w:hAnsi="宋体" w:cs="宋体"/>
          <w:color w:val="auto"/>
          <w:szCs w:val="21"/>
          <w:highlight w:val="none"/>
        </w:rPr>
        <w:t>（北京时间）；</w:t>
      </w:r>
    </w:p>
    <w:p w14:paraId="010936D1">
      <w:pPr>
        <w:adjustRightInd w:val="0"/>
        <w:snapToGrid w:val="0"/>
        <w:spacing w:line="360" w:lineRule="auto"/>
        <w:ind w:firstLine="422" w:firstLineChars="200"/>
        <w:rPr>
          <w:rFonts w:hint="eastAsia" w:ascii="宋体" w:hAnsi="宋体"/>
          <w:bCs/>
          <w:color w:val="auto"/>
          <w:szCs w:val="21"/>
          <w:highlight w:val="none"/>
        </w:rPr>
      </w:pPr>
      <w:r>
        <w:rPr>
          <w:rFonts w:hint="eastAsia" w:ascii="宋体" w:hAnsi="宋体" w:cs="宋体"/>
          <w:b/>
          <w:bCs/>
          <w:color w:val="auto"/>
          <w:szCs w:val="21"/>
          <w:highlight w:val="none"/>
        </w:rPr>
        <w:t>地点：</w:t>
      </w:r>
      <w:r>
        <w:rPr>
          <w:rFonts w:hint="eastAsia" w:ascii="宋体" w:hAnsi="宋体"/>
          <w:b/>
          <w:bCs/>
          <w:color w:val="auto"/>
          <w:szCs w:val="21"/>
          <w:highlight w:val="none"/>
          <w:u w:val="single"/>
        </w:rPr>
        <w:t>供应商应按照本项目采购文件和“</w:t>
      </w:r>
      <w:r>
        <w:rPr>
          <w:rFonts w:ascii="宋体" w:hAnsi="宋体"/>
          <w:b/>
          <w:bCs/>
          <w:color w:val="auto"/>
          <w:szCs w:val="21"/>
          <w:highlight w:val="none"/>
          <w:u w:val="single"/>
        </w:rPr>
        <w:t>政采云</w:t>
      </w:r>
      <w:r>
        <w:rPr>
          <w:rFonts w:hint="eastAsia" w:ascii="宋体" w:hAnsi="宋体"/>
          <w:b/>
          <w:bCs/>
          <w:color w:val="auto"/>
          <w:szCs w:val="21"/>
          <w:highlight w:val="none"/>
          <w:u w:val="single"/>
        </w:rPr>
        <w:t>”</w:t>
      </w:r>
      <w:r>
        <w:rPr>
          <w:rFonts w:ascii="宋体" w:hAnsi="宋体"/>
          <w:b/>
          <w:bCs/>
          <w:color w:val="auto"/>
          <w:szCs w:val="21"/>
          <w:highlight w:val="none"/>
          <w:u w:val="single"/>
        </w:rPr>
        <w:t>平台的要求编制、加密后在响应文件提交截止时间前上传至</w:t>
      </w:r>
      <w:r>
        <w:rPr>
          <w:rFonts w:hint="eastAsia" w:ascii="宋体" w:hAnsi="宋体"/>
          <w:b/>
          <w:bCs/>
          <w:color w:val="auto"/>
          <w:szCs w:val="21"/>
          <w:highlight w:val="none"/>
          <w:u w:val="single"/>
        </w:rPr>
        <w:t>“</w:t>
      </w:r>
      <w:r>
        <w:rPr>
          <w:rFonts w:ascii="宋体" w:hAnsi="宋体"/>
          <w:b/>
          <w:bCs/>
          <w:color w:val="auto"/>
          <w:szCs w:val="21"/>
          <w:highlight w:val="none"/>
          <w:u w:val="single"/>
        </w:rPr>
        <w:t>政采云</w:t>
      </w:r>
      <w:r>
        <w:rPr>
          <w:rFonts w:hint="eastAsia" w:ascii="宋体" w:hAnsi="宋体"/>
          <w:b/>
          <w:bCs/>
          <w:color w:val="auto"/>
          <w:szCs w:val="21"/>
          <w:highlight w:val="none"/>
          <w:u w:val="single"/>
        </w:rPr>
        <w:t>”</w:t>
      </w:r>
      <w:r>
        <w:rPr>
          <w:rFonts w:ascii="宋体" w:hAnsi="宋体"/>
          <w:b/>
          <w:bCs/>
          <w:color w:val="auto"/>
          <w:szCs w:val="21"/>
          <w:highlight w:val="none"/>
          <w:u w:val="single"/>
        </w:rPr>
        <w:t>平台，响应文件提交截止时间前未完成响应文件上传的，视为撤回响应文件。供应商在</w:t>
      </w:r>
      <w:r>
        <w:rPr>
          <w:rFonts w:hint="eastAsia" w:ascii="宋体" w:hAnsi="宋体"/>
          <w:b/>
          <w:bCs/>
          <w:color w:val="auto"/>
          <w:szCs w:val="21"/>
          <w:highlight w:val="none"/>
          <w:u w:val="single"/>
        </w:rPr>
        <w:t>“</w:t>
      </w:r>
      <w:r>
        <w:rPr>
          <w:rFonts w:ascii="宋体" w:hAnsi="宋体"/>
          <w:b/>
          <w:bCs/>
          <w:color w:val="auto"/>
          <w:szCs w:val="21"/>
          <w:highlight w:val="none"/>
          <w:u w:val="single"/>
        </w:rPr>
        <w:t>政采云</w:t>
      </w:r>
      <w:r>
        <w:rPr>
          <w:rFonts w:hint="eastAsia" w:ascii="宋体" w:hAnsi="宋体"/>
          <w:b/>
          <w:bCs/>
          <w:color w:val="auto"/>
          <w:szCs w:val="21"/>
          <w:highlight w:val="none"/>
          <w:u w:val="single"/>
        </w:rPr>
        <w:t>”</w:t>
      </w:r>
      <w:r>
        <w:rPr>
          <w:rFonts w:ascii="宋体" w:hAnsi="宋体"/>
          <w:b/>
          <w:bCs/>
          <w:color w:val="auto"/>
          <w:szCs w:val="21"/>
          <w:highlight w:val="none"/>
          <w:u w:val="single"/>
        </w:rPr>
        <w:t>平台提交电子版响应文件时，请填写参加远程采购活动经办人联系方式。</w:t>
      </w:r>
    </w:p>
    <w:p w14:paraId="5988AF64">
      <w:pPr>
        <w:adjustRightInd w:val="0"/>
        <w:snapToGrid w:val="0"/>
        <w:spacing w:line="360" w:lineRule="auto"/>
        <w:outlineLvl w:val="1"/>
        <w:rPr>
          <w:rFonts w:hint="eastAsia" w:ascii="宋体" w:hAnsi="宋体" w:cs="宋体"/>
          <w:b/>
          <w:color w:val="auto"/>
          <w:sz w:val="24"/>
          <w:highlight w:val="none"/>
        </w:rPr>
      </w:pPr>
      <w:bookmarkStart w:id="39" w:name="_Toc35393633"/>
      <w:bookmarkStart w:id="40" w:name="_Toc179645085"/>
      <w:bookmarkStart w:id="41" w:name="_Toc46765004"/>
      <w:bookmarkStart w:id="42" w:name="_Toc28359016"/>
      <w:bookmarkStart w:id="43" w:name="_Toc174031420"/>
      <w:bookmarkStart w:id="44" w:name="_Toc35393802"/>
      <w:bookmarkStart w:id="45" w:name="_Toc28359093"/>
      <w:r>
        <w:rPr>
          <w:rFonts w:hint="eastAsia" w:ascii="宋体" w:hAnsi="宋体" w:cs="宋体"/>
          <w:b/>
          <w:color w:val="auto"/>
          <w:sz w:val="24"/>
          <w:highlight w:val="none"/>
        </w:rPr>
        <w:t>五、开启</w:t>
      </w:r>
      <w:bookmarkEnd w:id="39"/>
      <w:bookmarkEnd w:id="40"/>
      <w:bookmarkEnd w:id="41"/>
      <w:bookmarkEnd w:id="42"/>
      <w:bookmarkEnd w:id="43"/>
      <w:bookmarkEnd w:id="44"/>
      <w:bookmarkEnd w:id="45"/>
    </w:p>
    <w:p w14:paraId="6BBD6366">
      <w:pPr>
        <w:snapToGrid w:val="0"/>
        <w:spacing w:line="360" w:lineRule="auto"/>
        <w:ind w:firstLine="422" w:firstLineChars="200"/>
        <w:rPr>
          <w:rFonts w:hint="eastAsia" w:ascii="宋体" w:hAnsi="宋体"/>
          <w:bCs/>
          <w:color w:val="auto"/>
          <w:szCs w:val="21"/>
          <w:highlight w:val="none"/>
          <w:u w:val="single"/>
        </w:rPr>
      </w:pPr>
      <w:r>
        <w:rPr>
          <w:rFonts w:hint="eastAsia" w:ascii="宋体" w:hAnsi="宋体"/>
          <w:b/>
          <w:bCs/>
          <w:color w:val="auto"/>
          <w:szCs w:val="21"/>
          <w:highlight w:val="none"/>
        </w:rPr>
        <w:t>时间：</w:t>
      </w:r>
      <w:r>
        <w:rPr>
          <w:rFonts w:hint="eastAsia" w:ascii="宋体" w:hAnsi="宋体"/>
          <w:b/>
          <w:bCs/>
          <w:color w:val="auto"/>
          <w:szCs w:val="21"/>
          <w:highlight w:val="none"/>
          <w:u w:val="single"/>
          <w:lang w:eastAsia="zh-CN"/>
        </w:rPr>
        <w:t>2026年05月25日14时30分</w:t>
      </w:r>
      <w:r>
        <w:rPr>
          <w:rFonts w:hint="eastAsia" w:ascii="宋体" w:hAnsi="宋体"/>
          <w:bCs/>
          <w:color w:val="auto"/>
          <w:szCs w:val="21"/>
          <w:highlight w:val="none"/>
        </w:rPr>
        <w:t>（北京时间）</w:t>
      </w:r>
    </w:p>
    <w:p w14:paraId="5B9B1DB7">
      <w:pPr>
        <w:snapToGrid w:val="0"/>
        <w:spacing w:line="360" w:lineRule="auto"/>
        <w:ind w:firstLine="422" w:firstLineChars="200"/>
        <w:rPr>
          <w:rFonts w:hint="eastAsia" w:ascii="宋体" w:hAnsi="宋体"/>
          <w:bCs/>
          <w:color w:val="auto"/>
          <w:szCs w:val="21"/>
          <w:highlight w:val="none"/>
          <w:u w:val="single"/>
        </w:rPr>
      </w:pPr>
      <w:r>
        <w:rPr>
          <w:rFonts w:hint="eastAsia" w:ascii="宋体" w:hAnsi="宋体"/>
          <w:b/>
          <w:bCs/>
          <w:color w:val="auto"/>
          <w:szCs w:val="21"/>
          <w:highlight w:val="none"/>
        </w:rPr>
        <w:t>地点：</w:t>
      </w:r>
      <w:r>
        <w:rPr>
          <w:rFonts w:hint="eastAsia" w:ascii="宋体" w:hAnsi="宋体"/>
          <w:b/>
          <w:bCs/>
          <w:color w:val="auto"/>
          <w:szCs w:val="21"/>
          <w:highlight w:val="none"/>
          <w:u w:val="single"/>
        </w:rPr>
        <w:t>政采云平台电子开标厅</w:t>
      </w:r>
    </w:p>
    <w:p w14:paraId="68CFD16A">
      <w:pPr>
        <w:adjustRightInd w:val="0"/>
        <w:snapToGrid w:val="0"/>
        <w:spacing w:line="360" w:lineRule="auto"/>
        <w:outlineLvl w:val="1"/>
        <w:rPr>
          <w:rFonts w:hint="eastAsia" w:ascii="宋体" w:hAnsi="宋体" w:cs="宋体"/>
          <w:b/>
          <w:color w:val="auto"/>
          <w:sz w:val="24"/>
          <w:highlight w:val="none"/>
        </w:rPr>
      </w:pPr>
      <w:bookmarkStart w:id="46" w:name="_Toc28359094"/>
      <w:bookmarkStart w:id="47" w:name="_Toc179645086"/>
      <w:bookmarkStart w:id="48" w:name="_Toc35393803"/>
      <w:bookmarkStart w:id="49" w:name="_Toc46765005"/>
      <w:bookmarkStart w:id="50" w:name="_Toc174031421"/>
      <w:bookmarkStart w:id="51" w:name="_Toc35393634"/>
      <w:bookmarkStart w:id="52" w:name="_Toc28359017"/>
      <w:r>
        <w:rPr>
          <w:rFonts w:hint="eastAsia" w:ascii="宋体" w:hAnsi="宋体" w:cs="宋体"/>
          <w:b/>
          <w:color w:val="auto"/>
          <w:sz w:val="24"/>
          <w:highlight w:val="none"/>
        </w:rPr>
        <w:t>六、公告期限</w:t>
      </w:r>
      <w:bookmarkEnd w:id="46"/>
      <w:bookmarkEnd w:id="47"/>
      <w:bookmarkEnd w:id="48"/>
      <w:bookmarkEnd w:id="49"/>
      <w:bookmarkEnd w:id="50"/>
      <w:bookmarkEnd w:id="51"/>
      <w:bookmarkEnd w:id="52"/>
    </w:p>
    <w:p w14:paraId="07A1CAD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4EF7331">
      <w:pPr>
        <w:adjustRightInd w:val="0"/>
        <w:snapToGrid w:val="0"/>
        <w:spacing w:line="360" w:lineRule="auto"/>
        <w:outlineLvl w:val="1"/>
        <w:rPr>
          <w:rFonts w:hint="eastAsia" w:ascii="宋体" w:hAnsi="宋体" w:cs="宋体"/>
          <w:b/>
          <w:color w:val="auto"/>
          <w:sz w:val="24"/>
          <w:highlight w:val="none"/>
        </w:rPr>
      </w:pPr>
      <w:bookmarkStart w:id="53" w:name="_Toc46765006"/>
      <w:bookmarkStart w:id="54" w:name="_Toc35393804"/>
      <w:bookmarkStart w:id="55" w:name="_Toc35393635"/>
      <w:bookmarkStart w:id="56" w:name="_Toc179645087"/>
      <w:bookmarkStart w:id="57" w:name="_Toc174031422"/>
      <w:r>
        <w:rPr>
          <w:rFonts w:hint="eastAsia" w:ascii="宋体" w:hAnsi="宋体" w:cs="宋体"/>
          <w:b/>
          <w:color w:val="auto"/>
          <w:sz w:val="24"/>
          <w:highlight w:val="none"/>
        </w:rPr>
        <w:t>七、其他补充事宜</w:t>
      </w:r>
      <w:bookmarkEnd w:id="53"/>
      <w:bookmarkEnd w:id="54"/>
      <w:bookmarkEnd w:id="55"/>
      <w:bookmarkEnd w:id="56"/>
      <w:bookmarkEnd w:id="57"/>
    </w:p>
    <w:p w14:paraId="51231DE1">
      <w:pPr>
        <w:snapToGrid w:val="0"/>
        <w:spacing w:line="360" w:lineRule="auto"/>
        <w:ind w:firstLine="420" w:firstLineChars="200"/>
        <w:rPr>
          <w:rFonts w:hint="eastAsia" w:ascii="宋体" w:hAnsi="宋体"/>
          <w:color w:val="auto"/>
          <w:szCs w:val="20"/>
          <w:highlight w:val="none"/>
        </w:rPr>
      </w:pPr>
      <w:bookmarkStart w:id="58" w:name="_Toc35393636"/>
      <w:bookmarkStart w:id="59" w:name="_Toc35393805"/>
      <w:bookmarkStart w:id="60" w:name="_Toc28359018"/>
      <w:bookmarkStart w:id="61" w:name="_Toc28359095"/>
      <w:bookmarkStart w:id="62" w:name="_Toc46765007"/>
      <w:r>
        <w:rPr>
          <w:rFonts w:hint="eastAsia" w:ascii="宋体" w:hAnsi="宋体"/>
          <w:color w:val="auto"/>
          <w:szCs w:val="20"/>
          <w:highlight w:val="none"/>
        </w:rPr>
        <w:t>开标方式：网上开标</w:t>
      </w:r>
    </w:p>
    <w:p w14:paraId="4B3E1CFA">
      <w:pPr>
        <w:adjustRightInd w:val="0"/>
        <w:snapToGrid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是否需要缴纳投标保证金：是</w:t>
      </w:r>
    </w:p>
    <w:p w14:paraId="28EA6D4D">
      <w:pPr>
        <w:adjustRightInd w:val="0"/>
        <w:snapToGrid w:val="0"/>
        <w:spacing w:line="360" w:lineRule="auto"/>
        <w:ind w:firstLine="422" w:firstLineChars="200"/>
        <w:rPr>
          <w:rFonts w:hint="eastAsia" w:ascii="宋体" w:hAnsi="宋体"/>
          <w:b/>
          <w:bCs/>
          <w:color w:val="auto"/>
          <w:highlight w:val="none"/>
        </w:rPr>
      </w:pPr>
      <w:r>
        <w:rPr>
          <w:rFonts w:hint="eastAsia" w:ascii="宋体" w:hAnsi="宋体" w:cs="宋体"/>
          <w:b/>
          <w:bCs/>
          <w:color w:val="auto"/>
          <w:szCs w:val="21"/>
          <w:highlight w:val="none"/>
        </w:rPr>
        <w:t>（</w:t>
      </w:r>
      <w:r>
        <w:rPr>
          <w:rFonts w:hint="eastAsia" w:ascii="宋体" w:hAnsi="宋体"/>
          <w:b/>
          <w:bCs/>
          <w:color w:val="auto"/>
          <w:highlight w:val="none"/>
        </w:rPr>
        <w:t>1</w:t>
      </w:r>
      <w:r>
        <w:rPr>
          <w:rFonts w:ascii="宋体" w:hAnsi="宋体" w:cs="宋体"/>
          <w:b/>
          <w:bCs/>
          <w:color w:val="auto"/>
          <w:szCs w:val="21"/>
          <w:highlight w:val="none"/>
        </w:rPr>
        <w:t>）</w:t>
      </w:r>
      <w:r>
        <w:rPr>
          <w:rFonts w:hint="eastAsia" w:ascii="宋体" w:hAnsi="宋体"/>
          <w:b/>
          <w:bCs/>
          <w:color w:val="auto"/>
          <w:kern w:val="0"/>
          <w:szCs w:val="21"/>
          <w:highlight w:val="none"/>
          <w:lang w:eastAsia="zh-CN"/>
        </w:rPr>
        <w:t>大理护理职业学院眼健康产业学院（一期）建设项目（一标段）</w:t>
      </w:r>
      <w:r>
        <w:rPr>
          <w:rFonts w:ascii="宋体" w:hAnsi="宋体" w:cs="宋体"/>
          <w:b/>
          <w:bCs/>
          <w:color w:val="auto"/>
          <w:szCs w:val="21"/>
          <w:highlight w:val="none"/>
        </w:rPr>
        <w:t>:</w:t>
      </w:r>
    </w:p>
    <w:p w14:paraId="446FEB94">
      <w:pPr>
        <w:adjustRightInd w:val="0"/>
        <w:snapToGrid w:val="0"/>
        <w:spacing w:line="360" w:lineRule="auto"/>
        <w:ind w:firstLine="840" w:firstLineChars="400"/>
        <w:rPr>
          <w:rFonts w:hint="eastAsia" w:ascii="宋体" w:hAnsi="宋体" w:cs="宋体"/>
          <w:color w:val="auto"/>
          <w:highlight w:val="none"/>
        </w:rPr>
      </w:pPr>
      <w:r>
        <w:rPr>
          <w:rFonts w:hint="eastAsia" w:ascii="宋体" w:hAnsi="宋体" w:cs="宋体"/>
          <w:color w:val="auto"/>
          <w:highlight w:val="none"/>
        </w:rPr>
        <w:t>保证金金额：</w:t>
      </w:r>
      <w:r>
        <w:rPr>
          <w:rFonts w:hint="eastAsia" w:ascii="宋体" w:hAnsi="宋体" w:cs="宋体"/>
          <w:color w:val="auto"/>
          <w:highlight w:val="none"/>
          <w:lang w:eastAsia="zh-CN"/>
        </w:rPr>
        <w:t>10000.00</w:t>
      </w:r>
      <w:r>
        <w:rPr>
          <w:rFonts w:hint="eastAsia" w:ascii="宋体" w:hAnsi="宋体" w:cs="宋体"/>
          <w:color w:val="auto"/>
          <w:highlight w:val="none"/>
        </w:rPr>
        <w:t>元</w:t>
      </w:r>
    </w:p>
    <w:p w14:paraId="14AD66FB">
      <w:pPr>
        <w:adjustRightInd w:val="0"/>
        <w:snapToGrid w:val="0"/>
        <w:spacing w:line="360" w:lineRule="auto"/>
        <w:ind w:firstLine="840" w:firstLineChars="400"/>
        <w:rPr>
          <w:rFonts w:hint="eastAsia" w:ascii="宋体" w:hAnsi="宋体" w:cs="宋体"/>
          <w:color w:val="auto"/>
          <w:highlight w:val="none"/>
        </w:rPr>
      </w:pPr>
      <w:r>
        <w:rPr>
          <w:rFonts w:hint="eastAsia" w:ascii="宋体" w:hAnsi="宋体" w:cs="宋体"/>
          <w:color w:val="auto"/>
          <w:highlight w:val="none"/>
        </w:rPr>
        <w:t>保证金缴纳方式：</w:t>
      </w:r>
      <w:r>
        <w:rPr>
          <w:rFonts w:ascii="宋体" w:hAnsi="宋体"/>
          <w:bCs/>
          <w:color w:val="auto"/>
          <w:szCs w:val="21"/>
          <w:highlight w:val="none"/>
        </w:rPr>
        <w:t>支票、汇票、本票、保函、保证保险、其他非现金形式：银行转账、网银、电汇等形式</w:t>
      </w:r>
    </w:p>
    <w:p w14:paraId="5B547955">
      <w:pPr>
        <w:adjustRightInd w:val="0"/>
        <w:snapToGrid w:val="0"/>
        <w:spacing w:line="360" w:lineRule="auto"/>
        <w:ind w:firstLine="840" w:firstLineChars="400"/>
        <w:rPr>
          <w:rFonts w:hint="eastAsia" w:ascii="宋体" w:hAnsi="宋体" w:cs="宋体"/>
          <w:color w:val="auto"/>
          <w:highlight w:val="none"/>
        </w:rPr>
      </w:pPr>
      <w:r>
        <w:rPr>
          <w:rFonts w:hint="eastAsia" w:ascii="宋体" w:hAnsi="宋体" w:cs="宋体"/>
          <w:color w:val="auto"/>
          <w:highlight w:val="none"/>
        </w:rPr>
        <w:t>保证金缴纳截止时间：</w:t>
      </w:r>
      <w:r>
        <w:rPr>
          <w:rFonts w:hint="eastAsia" w:ascii="宋体" w:hAnsi="宋体" w:cs="宋体"/>
          <w:b/>
          <w:bCs/>
          <w:color w:val="auto"/>
          <w:szCs w:val="21"/>
          <w:highlight w:val="none"/>
          <w:lang w:eastAsia="zh-CN"/>
        </w:rPr>
        <w:t>2026年05月25日14时30分</w:t>
      </w:r>
    </w:p>
    <w:p w14:paraId="52BF9D07">
      <w:pPr>
        <w:adjustRightInd w:val="0"/>
        <w:snapToGrid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其他：</w:t>
      </w:r>
    </w:p>
    <w:p w14:paraId="23DA1276">
      <w:pPr>
        <w:spacing w:line="360" w:lineRule="auto"/>
        <w:ind w:firstLine="422" w:firstLineChars="200"/>
        <w:rPr>
          <w:rFonts w:hint="eastAsia" w:ascii="宋体" w:hAnsi="宋体" w:cs="宋体"/>
          <w:color w:val="auto"/>
          <w:szCs w:val="21"/>
          <w:highlight w:val="none"/>
        </w:rPr>
      </w:pPr>
      <w:bookmarkStart w:id="63" w:name="OLE_LINK5"/>
      <w:r>
        <w:rPr>
          <w:rFonts w:hint="eastAsia" w:ascii="宋体" w:hAnsi="宋体" w:cs="宋体"/>
          <w:b/>
          <w:bCs/>
          <w:color w:val="auto"/>
          <w:szCs w:val="21"/>
          <w:highlight w:val="none"/>
        </w:rPr>
        <w:t>1、★工期：</w:t>
      </w:r>
      <w:r>
        <w:rPr>
          <w:rFonts w:hint="eastAsia" w:ascii="宋体" w:hAnsi="宋体" w:cs="宋体"/>
          <w:color w:val="auto"/>
          <w:szCs w:val="21"/>
          <w:highlight w:val="none"/>
          <w:lang w:eastAsia="zh-CN"/>
        </w:rPr>
        <w:t>合同签订后90个日历天内完成全部工作</w:t>
      </w:r>
      <w:r>
        <w:rPr>
          <w:rFonts w:hint="eastAsia" w:ascii="宋体" w:hAnsi="宋体" w:cs="宋体"/>
          <w:color w:val="auto"/>
          <w:szCs w:val="21"/>
          <w:highlight w:val="none"/>
        </w:rPr>
        <w:t>。</w:t>
      </w:r>
    </w:p>
    <w:p w14:paraId="0002EBE6">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2、★项目实施地点：</w:t>
      </w:r>
      <w:r>
        <w:rPr>
          <w:rFonts w:hint="eastAsia" w:ascii="宋体" w:hAnsi="宋体"/>
          <w:color w:val="auto"/>
          <w:kern w:val="0"/>
          <w:szCs w:val="21"/>
          <w:highlight w:val="none"/>
          <w:lang w:eastAsia="zh-CN"/>
        </w:rPr>
        <w:t>大理护理职业学院</w:t>
      </w:r>
      <w:r>
        <w:rPr>
          <w:rFonts w:hint="eastAsia" w:ascii="宋体" w:hAnsi="宋体" w:cs="宋体"/>
          <w:color w:val="auto"/>
          <w:szCs w:val="21"/>
          <w:highlight w:val="none"/>
        </w:rPr>
        <w:t>。</w:t>
      </w:r>
    </w:p>
    <w:p w14:paraId="0B207E6C">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3、★质量标准：</w:t>
      </w:r>
      <w:r>
        <w:rPr>
          <w:rFonts w:hint="eastAsia" w:ascii="宋体" w:hAnsi="宋体" w:cs="宋体"/>
          <w:color w:val="auto"/>
          <w:szCs w:val="21"/>
          <w:highlight w:val="none"/>
        </w:rPr>
        <w:t>工程质量、安全、技术规格、物理特性符合国家标准和行业标准以及采购人的要求，一次性验收合格。</w:t>
      </w:r>
    </w:p>
    <w:p w14:paraId="5B971508">
      <w:pPr>
        <w:spacing w:line="360" w:lineRule="auto"/>
        <w:ind w:firstLine="422" w:firstLineChars="200"/>
        <w:rPr>
          <w:rFonts w:hint="eastAsia" w:ascii="宋体" w:hAnsi="宋体"/>
          <w:color w:val="auto"/>
          <w:szCs w:val="20"/>
          <w:highlight w:val="none"/>
        </w:rPr>
      </w:pPr>
      <w:r>
        <w:rPr>
          <w:rFonts w:hint="eastAsia" w:ascii="宋体" w:hAnsi="宋体" w:cs="宋体"/>
          <w:b/>
          <w:bCs/>
          <w:color w:val="auto"/>
          <w:szCs w:val="21"/>
          <w:highlight w:val="none"/>
        </w:rPr>
        <w:t>4、★工程保修期：</w:t>
      </w:r>
      <w:r>
        <w:rPr>
          <w:rFonts w:hint="eastAsia" w:ascii="宋体" w:hAnsi="宋体" w:cs="宋体"/>
          <w:color w:val="auto"/>
          <w:szCs w:val="21"/>
          <w:highlight w:val="none"/>
        </w:rPr>
        <w:t>满足《建设工程质量管理条例》。</w:t>
      </w:r>
    </w:p>
    <w:p w14:paraId="4E0EBE27">
      <w:pPr>
        <w:spacing w:line="360" w:lineRule="auto"/>
        <w:ind w:firstLine="422" w:firstLineChars="200"/>
        <w:rPr>
          <w:rFonts w:hint="eastAsia" w:ascii="宋体" w:hAnsi="宋体" w:cs="宋体"/>
          <w:bCs/>
          <w:color w:val="auto"/>
          <w:szCs w:val="22"/>
          <w:highlight w:val="none"/>
        </w:rPr>
      </w:pPr>
      <w:r>
        <w:rPr>
          <w:rFonts w:hint="eastAsia" w:ascii="宋体" w:hAnsi="宋体" w:cs="宋体"/>
          <w:b/>
          <w:bCs/>
          <w:color w:val="auto"/>
          <w:szCs w:val="21"/>
          <w:highlight w:val="none"/>
        </w:rPr>
        <w:t>5、本项目公告发布媒体：</w:t>
      </w:r>
      <w:r>
        <w:rPr>
          <w:rFonts w:hint="eastAsia" w:ascii="宋体" w:hAnsi="宋体" w:cs="宋体"/>
          <w:color w:val="auto"/>
          <w:szCs w:val="21"/>
          <w:highlight w:val="none"/>
        </w:rPr>
        <w:t>在</w:t>
      </w:r>
      <w:r>
        <w:rPr>
          <w:rFonts w:hint="eastAsia" w:ascii="宋体" w:hAnsi="宋体" w:cs="宋体"/>
          <w:b/>
          <w:color w:val="auto"/>
          <w:szCs w:val="22"/>
          <w:highlight w:val="none"/>
        </w:rPr>
        <w:t>《云南省政府采购网》、《政府采购云平台》</w:t>
      </w:r>
      <w:r>
        <w:rPr>
          <w:rFonts w:hint="eastAsia" w:ascii="宋体" w:hAnsi="宋体" w:cs="宋体"/>
          <w:bCs/>
          <w:color w:val="auto"/>
          <w:szCs w:val="22"/>
          <w:highlight w:val="none"/>
        </w:rPr>
        <w:t>上发布。采购人及采购代理机构对其他网站发布或转载的公告内容不承担任何责任。</w:t>
      </w:r>
    </w:p>
    <w:p w14:paraId="26A1CDBD">
      <w:pPr>
        <w:tabs>
          <w:tab w:val="left" w:pos="360"/>
          <w:tab w:val="left" w:pos="596"/>
        </w:tabs>
        <w:spacing w:line="360" w:lineRule="auto"/>
        <w:jc w:val="left"/>
        <w:rPr>
          <w:rFonts w:hint="eastAsia" w:ascii="宋体" w:hAnsi="宋体" w:cs="宋体"/>
          <w:bCs/>
          <w:color w:val="auto"/>
          <w:szCs w:val="22"/>
          <w:highlight w:val="none"/>
        </w:rPr>
      </w:pPr>
      <w:r>
        <w:rPr>
          <w:rFonts w:hint="eastAsia" w:ascii="宋体" w:hAnsi="宋体" w:cs="宋体"/>
          <w:b/>
          <w:color w:val="auto"/>
          <w:szCs w:val="22"/>
          <w:highlight w:val="none"/>
        </w:rPr>
        <w:t>注：</w:t>
      </w:r>
      <w:r>
        <w:rPr>
          <w:rFonts w:hint="eastAsia" w:ascii="宋体" w:hAnsi="宋体" w:cs="宋体"/>
          <w:bCs/>
          <w:color w:val="auto"/>
          <w:szCs w:val="22"/>
          <w:highlight w:val="none"/>
        </w:rPr>
        <w:t>1.本项目为不见面开标，各供应商无需到达现场；</w:t>
      </w:r>
    </w:p>
    <w:p w14:paraId="285E90E5">
      <w:pPr>
        <w:tabs>
          <w:tab w:val="left" w:pos="360"/>
          <w:tab w:val="left" w:pos="596"/>
        </w:tabs>
        <w:spacing w:line="360" w:lineRule="auto"/>
        <w:ind w:firstLine="420" w:firstLineChars="200"/>
        <w:jc w:val="left"/>
        <w:rPr>
          <w:rFonts w:hint="eastAsia" w:ascii="宋体" w:hAnsi="宋体" w:cs="宋体"/>
          <w:bCs/>
          <w:color w:val="auto"/>
          <w:szCs w:val="22"/>
          <w:highlight w:val="none"/>
        </w:rPr>
      </w:pPr>
      <w:r>
        <w:rPr>
          <w:rFonts w:hint="eastAsia" w:ascii="宋体" w:hAnsi="宋体" w:cs="宋体"/>
          <w:bCs/>
          <w:color w:val="auto"/>
          <w:szCs w:val="22"/>
          <w:highlight w:val="none"/>
        </w:rPr>
        <w:t>2.本项目实行网上投标，采用电子响应文件；</w:t>
      </w:r>
    </w:p>
    <w:p w14:paraId="4EE974BC">
      <w:pPr>
        <w:tabs>
          <w:tab w:val="left" w:pos="360"/>
          <w:tab w:val="left" w:pos="596"/>
        </w:tabs>
        <w:spacing w:line="360" w:lineRule="auto"/>
        <w:ind w:firstLine="420" w:firstLineChars="200"/>
        <w:jc w:val="left"/>
        <w:rPr>
          <w:rFonts w:hint="eastAsia" w:ascii="宋体" w:hAnsi="宋体" w:cs="宋体"/>
          <w:bCs/>
          <w:color w:val="auto"/>
          <w:szCs w:val="22"/>
          <w:highlight w:val="none"/>
        </w:rPr>
      </w:pPr>
      <w:r>
        <w:rPr>
          <w:rFonts w:hint="eastAsia" w:ascii="宋体" w:hAnsi="宋体" w:cs="宋体"/>
          <w:bCs/>
          <w:color w:val="auto"/>
          <w:szCs w:val="22"/>
          <w:highlight w:val="none"/>
        </w:rPr>
        <w:t>3.各供应商应在开标前应确保成为政采云平台供应商，并完成CA数字证书申领。因未注册入库、未办理CA数字证书等原因造成无法投标或投标失败等后果由供应商自行承担。凡有意参加投标的供应商，须在政采云平台办理数字证书（CA）CA申领链接：</w:t>
      </w:r>
      <w:r>
        <w:rPr>
          <w:rFonts w:hint="eastAsia" w:ascii="宋体" w:hAnsi="宋体" w:cs="宋体"/>
          <w:b/>
          <w:color w:val="auto"/>
          <w:szCs w:val="22"/>
          <w:highlight w:val="none"/>
        </w:rPr>
        <w:t>https://middle.zcygov.cn/ca/apply/list?_app_=zcy.sys</w:t>
      </w:r>
      <w:r>
        <w:rPr>
          <w:rFonts w:hint="eastAsia" w:ascii="宋体" w:hAnsi="宋体" w:cs="宋体"/>
          <w:bCs/>
          <w:color w:val="auto"/>
          <w:szCs w:val="22"/>
          <w:highlight w:val="none"/>
        </w:rPr>
        <w:t>，并通过政采云绑定数字证书（CA）后在网上获取采购文件及其它采购资料（如有），数字证书（CA）详见其办理流程；</w:t>
      </w:r>
    </w:p>
    <w:p w14:paraId="6D303E70">
      <w:pPr>
        <w:spacing w:line="360" w:lineRule="auto"/>
        <w:ind w:firstLine="424" w:firstLineChars="202"/>
        <w:rPr>
          <w:rFonts w:hint="eastAsia" w:ascii="宋体" w:hAnsi="宋体" w:cs="宋体"/>
          <w:b/>
          <w:bCs/>
          <w:color w:val="auto"/>
          <w:highlight w:val="none"/>
        </w:rPr>
      </w:pPr>
      <w:r>
        <w:rPr>
          <w:rFonts w:hint="eastAsia" w:ascii="宋体" w:hAnsi="宋体" w:cs="宋体"/>
          <w:bCs/>
          <w:color w:val="auto"/>
          <w:szCs w:val="22"/>
          <w:highlight w:val="none"/>
        </w:rPr>
        <w:t>4.供应商将政采云电子交易客户端下载、安装完成后，可通过账号密码或CA登录客户端进行响应文件的制作。在使用政采云投标客户端时，建议使用WIN7（64位）及以上操作系统。客户端请至政采云公司网站</w:t>
      </w:r>
      <w:r>
        <w:rPr>
          <w:rFonts w:hint="eastAsia" w:ascii="宋体" w:hAnsi="宋体" w:cs="宋体"/>
          <w:color w:val="auto"/>
          <w:szCs w:val="22"/>
          <w:highlight w:val="none"/>
        </w:rPr>
        <w:t>（</w:t>
      </w:r>
      <w:r>
        <w:rPr>
          <w:rFonts w:hint="eastAsia" w:ascii="宋体" w:hAnsi="宋体" w:cs="宋体"/>
          <w:b/>
          <w:bCs/>
          <w:color w:val="auto"/>
          <w:szCs w:val="22"/>
          <w:highlight w:val="none"/>
        </w:rPr>
        <w:t>https://edu.zcygov.cn/luban/yunnan-dzjy-gys</w:t>
      </w:r>
      <w:r>
        <w:rPr>
          <w:rFonts w:hint="eastAsia" w:ascii="宋体" w:hAnsi="宋体" w:cs="宋体"/>
          <w:color w:val="auto"/>
          <w:szCs w:val="22"/>
          <w:highlight w:val="none"/>
        </w:rPr>
        <w:t>）</w:t>
      </w:r>
      <w:r>
        <w:rPr>
          <w:rFonts w:hint="eastAsia" w:ascii="宋体" w:hAnsi="宋体" w:cs="宋体"/>
          <w:bCs/>
          <w:color w:val="auto"/>
          <w:szCs w:val="22"/>
          <w:highlight w:val="none"/>
        </w:rPr>
        <w:t>进行查看下载，如有问题可拨打</w:t>
      </w:r>
      <w:r>
        <w:rPr>
          <w:rFonts w:hint="eastAsia" w:ascii="宋体" w:hAnsi="宋体" w:cs="宋体"/>
          <w:b/>
          <w:color w:val="auto"/>
          <w:szCs w:val="22"/>
          <w:highlight w:val="none"/>
        </w:rPr>
        <w:t>政采云客户服务热线</w:t>
      </w:r>
      <w:r>
        <w:rPr>
          <w:rFonts w:hint="eastAsia" w:ascii="宋体" w:hAnsi="宋体" w:cs="宋体"/>
          <w:b/>
          <w:bCs/>
          <w:color w:val="auto"/>
          <w:szCs w:val="22"/>
          <w:highlight w:val="none"/>
        </w:rPr>
        <w:t>95763</w:t>
      </w:r>
      <w:r>
        <w:rPr>
          <w:rFonts w:hint="eastAsia" w:ascii="宋体" w:hAnsi="宋体" w:cs="宋体"/>
          <w:bCs/>
          <w:color w:val="auto"/>
          <w:szCs w:val="22"/>
          <w:highlight w:val="none"/>
        </w:rPr>
        <w:t>进行咨询以及云南CA操作问题：请致电云南CA，</w:t>
      </w:r>
      <w:r>
        <w:rPr>
          <w:rFonts w:hint="eastAsia" w:ascii="宋体" w:hAnsi="宋体" w:cs="宋体"/>
          <w:color w:val="auto"/>
          <w:szCs w:val="22"/>
          <w:highlight w:val="none"/>
        </w:rPr>
        <w:t>4006727666</w:t>
      </w:r>
      <w:r>
        <w:rPr>
          <w:rFonts w:hint="eastAsia" w:ascii="宋体" w:hAnsi="宋体" w:cs="宋体"/>
          <w:bCs/>
          <w:color w:val="auto"/>
          <w:szCs w:val="22"/>
          <w:highlight w:val="none"/>
        </w:rPr>
        <w:t>。如因供应商自身原因导致在规定时间内无法正常解密的（如：浏览器故障、未安装相关驱动、网络故障、加密CA与解密CA不一致等），代理机构不予异常处理，视为供应商自动弃标。</w:t>
      </w:r>
      <w:bookmarkEnd w:id="63"/>
    </w:p>
    <w:p w14:paraId="6ED84F56">
      <w:pPr>
        <w:adjustRightInd w:val="0"/>
        <w:snapToGrid w:val="0"/>
        <w:spacing w:line="360" w:lineRule="auto"/>
        <w:outlineLvl w:val="1"/>
        <w:rPr>
          <w:rFonts w:hint="eastAsia" w:ascii="宋体" w:hAnsi="宋体" w:cs="宋体"/>
          <w:b/>
          <w:color w:val="auto"/>
          <w:sz w:val="24"/>
          <w:highlight w:val="none"/>
        </w:rPr>
      </w:pPr>
      <w:bookmarkStart w:id="64" w:name="_Toc174031423"/>
      <w:bookmarkStart w:id="65" w:name="_Toc179645088"/>
      <w:r>
        <w:rPr>
          <w:rFonts w:hint="eastAsia" w:ascii="宋体" w:hAnsi="宋体" w:cs="宋体"/>
          <w:b/>
          <w:color w:val="auto"/>
          <w:sz w:val="24"/>
          <w:highlight w:val="none"/>
        </w:rPr>
        <w:t>八、凡对本次采购提出询问，请按</w:t>
      </w:r>
      <w:r>
        <w:rPr>
          <w:rFonts w:ascii="宋体" w:hAnsi="宋体" w:cs="宋体"/>
          <w:b/>
          <w:color w:val="auto"/>
          <w:sz w:val="24"/>
          <w:highlight w:val="none"/>
        </w:rPr>
        <w:t>以下方式</w:t>
      </w:r>
      <w:r>
        <w:rPr>
          <w:rFonts w:hint="eastAsia" w:ascii="宋体" w:hAnsi="宋体" w:cs="宋体"/>
          <w:b/>
          <w:color w:val="auto"/>
          <w:sz w:val="24"/>
          <w:highlight w:val="none"/>
        </w:rPr>
        <w:t>联系。</w:t>
      </w:r>
      <w:bookmarkEnd w:id="58"/>
      <w:bookmarkEnd w:id="59"/>
      <w:bookmarkEnd w:id="60"/>
      <w:bookmarkEnd w:id="61"/>
      <w:bookmarkEnd w:id="62"/>
      <w:bookmarkEnd w:id="64"/>
      <w:bookmarkEnd w:id="65"/>
    </w:p>
    <w:p w14:paraId="7B6891CC">
      <w:pPr>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1.采购人信息</w:t>
      </w:r>
    </w:p>
    <w:p w14:paraId="75AE2D2D">
      <w:pPr>
        <w:spacing w:line="360" w:lineRule="auto"/>
        <w:ind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大理护理职业学院</w:t>
      </w:r>
    </w:p>
    <w:p w14:paraId="3608111B">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u w:val="single"/>
          <w:lang w:eastAsia="zh-CN"/>
        </w:rPr>
        <w:t>云南省大理白族自治州大理市海东新城蔚文街</w:t>
      </w:r>
    </w:p>
    <w:p w14:paraId="6E8519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赵老师</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13987289088</w:t>
      </w:r>
      <w:r>
        <w:rPr>
          <w:rFonts w:hint="eastAsia" w:ascii="宋体" w:hAnsi="宋体"/>
          <w:color w:val="auto"/>
          <w:szCs w:val="21"/>
          <w:highlight w:val="none"/>
          <w:u w:val="single"/>
        </w:rPr>
        <w:t>）</w:t>
      </w:r>
    </w:p>
    <w:p w14:paraId="032070DC">
      <w:pPr>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2.采购代理机构信息</w:t>
      </w:r>
    </w:p>
    <w:p w14:paraId="0E9651CF">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云南鑫德招标咨询有限公司</w:t>
      </w:r>
    </w:p>
    <w:p w14:paraId="37CD3A49">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s="宋体"/>
          <w:color w:val="auto"/>
          <w:szCs w:val="21"/>
          <w:highlight w:val="none"/>
          <w:u w:val="single"/>
          <w:lang w:eastAsia="zh-CN"/>
        </w:rPr>
        <w:t>大理市太和街道万花路东段苍洱天籁小区B-98幢</w:t>
      </w:r>
    </w:p>
    <w:p w14:paraId="5741C2F5">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0872-2180689、18387286786</w:t>
      </w:r>
    </w:p>
    <w:p w14:paraId="10E112F0">
      <w:pPr>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3.项目联系方式</w:t>
      </w:r>
    </w:p>
    <w:p w14:paraId="25A0442D">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项目联系人：</w:t>
      </w:r>
      <w:r>
        <w:rPr>
          <w:rFonts w:hint="eastAsia" w:ascii="宋体" w:hAnsi="宋体"/>
          <w:color w:val="auto"/>
          <w:szCs w:val="21"/>
          <w:highlight w:val="none"/>
          <w:u w:val="single"/>
          <w:lang w:eastAsia="zh-CN"/>
        </w:rPr>
        <w:t>周杰、李新蕾</w:t>
      </w:r>
    </w:p>
    <w:p w14:paraId="106434AA">
      <w:pPr>
        <w:snapToGrid w:val="0"/>
        <w:spacing w:line="360" w:lineRule="auto"/>
        <w:ind w:firstLine="420" w:firstLineChars="200"/>
        <w:rPr>
          <w:rFonts w:hint="eastAsia" w:ascii="宋体" w:hAnsi="宋体" w:eastAsia="宋体" w:cs="宋体"/>
          <w:color w:val="auto"/>
          <w:kern w:val="0"/>
          <w:szCs w:val="21"/>
          <w:highlight w:val="none"/>
          <w:u w:val="single"/>
          <w:lang w:eastAsia="zh-CN"/>
        </w:rPr>
      </w:pPr>
      <w:r>
        <w:rPr>
          <w:rFonts w:hint="eastAsia" w:ascii="宋体" w:hAnsi="宋体"/>
          <w:color w:val="auto"/>
          <w:szCs w:val="21"/>
          <w:highlight w:val="none"/>
        </w:rPr>
        <w:t>电话：</w:t>
      </w:r>
      <w:r>
        <w:rPr>
          <w:rFonts w:hint="eastAsia" w:ascii="宋体" w:hAnsi="宋体"/>
          <w:color w:val="auto"/>
          <w:szCs w:val="21"/>
          <w:highlight w:val="none"/>
          <w:u w:val="single"/>
          <w:lang w:eastAsia="zh-CN"/>
        </w:rPr>
        <w:t>0872-2180689、18387286786</w:t>
      </w:r>
    </w:p>
    <w:bookmarkEnd w:id="4"/>
    <w:bookmarkEnd w:id="5"/>
    <w:bookmarkEnd w:id="6"/>
    <w:bookmarkEnd w:id="7"/>
    <w:bookmarkEnd w:id="8"/>
    <w:bookmarkEnd w:id="9"/>
    <w:bookmarkEnd w:id="10"/>
    <w:p w14:paraId="6F4507B7">
      <w:pPr>
        <w:pStyle w:val="3"/>
        <w:spacing w:line="360" w:lineRule="auto"/>
        <w:jc w:val="center"/>
        <w:rPr>
          <w:rFonts w:hint="eastAsia" w:ascii="宋体" w:hAnsi="宋体" w:eastAsia="宋体"/>
          <w:color w:val="auto"/>
          <w:sz w:val="32"/>
          <w:highlight w:val="none"/>
        </w:rPr>
      </w:pPr>
      <w:r>
        <w:rPr>
          <w:rFonts w:ascii="宋体" w:hAnsi="宋体" w:eastAsia="宋体"/>
          <w:color w:val="auto"/>
          <w:sz w:val="32"/>
          <w:highlight w:val="none"/>
        </w:rPr>
        <w:br w:type="page"/>
      </w:r>
      <w:bookmarkStart w:id="66" w:name="_Toc179645089"/>
      <w:bookmarkStart w:id="67" w:name="_Toc174031424"/>
      <w:bookmarkStart w:id="68" w:name="_Toc12474"/>
      <w:bookmarkStart w:id="69" w:name="_Toc26746"/>
      <w:r>
        <w:rPr>
          <w:rFonts w:hint="eastAsia" w:ascii="宋体" w:hAnsi="宋体" w:eastAsia="宋体"/>
          <w:color w:val="auto"/>
          <w:sz w:val="36"/>
          <w:szCs w:val="21"/>
          <w:highlight w:val="none"/>
        </w:rPr>
        <w:t>第二章</w:t>
      </w:r>
      <w:r>
        <w:rPr>
          <w:rFonts w:ascii="宋体" w:hAnsi="宋体" w:eastAsia="宋体"/>
          <w:color w:val="auto"/>
          <w:sz w:val="36"/>
          <w:szCs w:val="21"/>
          <w:highlight w:val="none"/>
        </w:rPr>
        <w:t xml:space="preserve">  </w:t>
      </w:r>
      <w:r>
        <w:rPr>
          <w:rFonts w:hint="eastAsia" w:ascii="宋体" w:hAnsi="宋体" w:eastAsia="宋体"/>
          <w:color w:val="auto"/>
          <w:sz w:val="36"/>
          <w:szCs w:val="21"/>
          <w:highlight w:val="none"/>
        </w:rPr>
        <w:t>供应商须知</w:t>
      </w:r>
      <w:bookmarkEnd w:id="66"/>
      <w:bookmarkEnd w:id="67"/>
      <w:bookmarkEnd w:id="68"/>
      <w:bookmarkEnd w:id="69"/>
    </w:p>
    <w:p w14:paraId="4645ECE5">
      <w:pPr>
        <w:pStyle w:val="4"/>
        <w:spacing w:before="0"/>
        <w:rPr>
          <w:rFonts w:hint="eastAsia" w:ascii="宋体" w:hAnsi="宋体"/>
          <w:color w:val="auto"/>
          <w:szCs w:val="28"/>
          <w:highlight w:val="none"/>
        </w:rPr>
      </w:pPr>
      <w:bookmarkStart w:id="70" w:name="_Toc83328582"/>
      <w:bookmarkStart w:id="71" w:name="_Toc174031425"/>
      <w:bookmarkStart w:id="72" w:name="_Toc46765009"/>
      <w:bookmarkStart w:id="73" w:name="_Toc22187"/>
      <w:bookmarkStart w:id="74" w:name="_Toc23440"/>
      <w:bookmarkStart w:id="75" w:name="_Toc86124039"/>
      <w:bookmarkStart w:id="76" w:name="_Toc179645090"/>
      <w:r>
        <w:rPr>
          <w:rFonts w:hint="eastAsia" w:ascii="宋体" w:hAnsi="宋体"/>
          <w:color w:val="auto"/>
          <w:szCs w:val="28"/>
          <w:highlight w:val="none"/>
        </w:rPr>
        <w:t>供应商须知前附表</w:t>
      </w:r>
      <w:bookmarkEnd w:id="70"/>
      <w:bookmarkEnd w:id="71"/>
      <w:bookmarkEnd w:id="72"/>
      <w:bookmarkEnd w:id="73"/>
      <w:bookmarkEnd w:id="74"/>
      <w:bookmarkEnd w:id="75"/>
      <w:bookmarkEnd w:id="76"/>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50"/>
        <w:gridCol w:w="2238"/>
        <w:gridCol w:w="6013"/>
      </w:tblGrid>
      <w:tr w14:paraId="244E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518" w:type="dxa"/>
            <w:gridSpan w:val="2"/>
            <w:tcBorders>
              <w:top w:val="single" w:color="auto" w:sz="12" w:space="0"/>
              <w:left w:val="single" w:color="auto" w:sz="12" w:space="0"/>
              <w:bottom w:val="single" w:color="auto" w:sz="6" w:space="0"/>
              <w:right w:val="single" w:color="auto" w:sz="6" w:space="0"/>
            </w:tcBorders>
            <w:vAlign w:val="center"/>
          </w:tcPr>
          <w:p w14:paraId="039DD8F3">
            <w:pPr>
              <w:snapToGrid w:val="0"/>
              <w:jc w:val="center"/>
              <w:rPr>
                <w:rFonts w:hint="eastAsia" w:ascii="宋体" w:hAnsi="宋体"/>
                <w:b/>
                <w:color w:val="auto"/>
                <w:kern w:val="0"/>
                <w:highlight w:val="none"/>
              </w:rPr>
            </w:pPr>
            <w:r>
              <w:rPr>
                <w:rFonts w:hint="eastAsia" w:ascii="宋体" w:hAnsi="宋体"/>
                <w:b/>
                <w:color w:val="auto"/>
                <w:kern w:val="0"/>
                <w:highlight w:val="none"/>
              </w:rPr>
              <w:t>条款号</w:t>
            </w:r>
          </w:p>
        </w:tc>
        <w:tc>
          <w:tcPr>
            <w:tcW w:w="2238" w:type="dxa"/>
            <w:tcBorders>
              <w:top w:val="single" w:color="auto" w:sz="12" w:space="0"/>
              <w:left w:val="single" w:color="auto" w:sz="6" w:space="0"/>
              <w:bottom w:val="single" w:color="auto" w:sz="6" w:space="0"/>
              <w:right w:val="single" w:color="auto" w:sz="6" w:space="0"/>
            </w:tcBorders>
            <w:vAlign w:val="center"/>
          </w:tcPr>
          <w:p w14:paraId="599887E4">
            <w:pPr>
              <w:snapToGrid w:val="0"/>
              <w:jc w:val="center"/>
              <w:rPr>
                <w:rFonts w:hint="eastAsia" w:ascii="宋体" w:hAnsi="宋体"/>
                <w:b/>
                <w:color w:val="auto"/>
                <w:kern w:val="0"/>
                <w:highlight w:val="none"/>
              </w:rPr>
            </w:pPr>
            <w:r>
              <w:rPr>
                <w:rFonts w:hint="eastAsia" w:ascii="宋体" w:hAnsi="宋体"/>
                <w:b/>
                <w:color w:val="auto"/>
                <w:kern w:val="0"/>
                <w:highlight w:val="none"/>
              </w:rPr>
              <w:t>条</w:t>
            </w:r>
            <w:r>
              <w:rPr>
                <w:rFonts w:ascii="宋体" w:hAnsi="宋体"/>
                <w:b/>
                <w:color w:val="auto"/>
                <w:kern w:val="0"/>
                <w:highlight w:val="none"/>
              </w:rPr>
              <w:t xml:space="preserve"> </w:t>
            </w:r>
            <w:r>
              <w:rPr>
                <w:rFonts w:hint="eastAsia" w:ascii="宋体" w:hAnsi="宋体"/>
                <w:b/>
                <w:color w:val="auto"/>
                <w:kern w:val="0"/>
                <w:highlight w:val="none"/>
              </w:rPr>
              <w:t>款</w:t>
            </w:r>
            <w:r>
              <w:rPr>
                <w:rFonts w:ascii="宋体" w:hAnsi="宋体"/>
                <w:b/>
                <w:color w:val="auto"/>
                <w:kern w:val="0"/>
                <w:highlight w:val="none"/>
              </w:rPr>
              <w:t xml:space="preserve"> </w:t>
            </w:r>
            <w:r>
              <w:rPr>
                <w:rFonts w:hint="eastAsia" w:ascii="宋体" w:hAnsi="宋体"/>
                <w:b/>
                <w:color w:val="auto"/>
                <w:kern w:val="0"/>
                <w:highlight w:val="none"/>
              </w:rPr>
              <w:t>名</w:t>
            </w:r>
            <w:r>
              <w:rPr>
                <w:rFonts w:ascii="宋体" w:hAnsi="宋体"/>
                <w:b/>
                <w:color w:val="auto"/>
                <w:kern w:val="0"/>
                <w:highlight w:val="none"/>
              </w:rPr>
              <w:t xml:space="preserve"> </w:t>
            </w:r>
            <w:r>
              <w:rPr>
                <w:rFonts w:hint="eastAsia" w:ascii="宋体" w:hAnsi="宋体"/>
                <w:b/>
                <w:color w:val="auto"/>
                <w:kern w:val="0"/>
                <w:highlight w:val="none"/>
              </w:rPr>
              <w:t>称</w:t>
            </w:r>
          </w:p>
        </w:tc>
        <w:tc>
          <w:tcPr>
            <w:tcW w:w="6013" w:type="dxa"/>
            <w:tcBorders>
              <w:top w:val="single" w:color="auto" w:sz="12" w:space="0"/>
              <w:left w:val="single" w:color="auto" w:sz="6" w:space="0"/>
              <w:bottom w:val="single" w:color="auto" w:sz="6" w:space="0"/>
              <w:right w:val="single" w:color="auto" w:sz="12" w:space="0"/>
            </w:tcBorders>
            <w:vAlign w:val="center"/>
          </w:tcPr>
          <w:p w14:paraId="4BA216B6">
            <w:pPr>
              <w:snapToGrid w:val="0"/>
              <w:jc w:val="center"/>
              <w:rPr>
                <w:rFonts w:hint="eastAsia" w:ascii="宋体" w:hAnsi="宋体"/>
                <w:b/>
                <w:color w:val="auto"/>
                <w:kern w:val="0"/>
                <w:highlight w:val="none"/>
              </w:rPr>
            </w:pPr>
            <w:r>
              <w:rPr>
                <w:rFonts w:hint="eastAsia" w:ascii="宋体" w:hAnsi="宋体"/>
                <w:b/>
                <w:color w:val="auto"/>
                <w:kern w:val="0"/>
                <w:highlight w:val="none"/>
              </w:rPr>
              <w:t>编</w:t>
            </w:r>
            <w:r>
              <w:rPr>
                <w:rFonts w:ascii="宋体" w:hAnsi="宋体"/>
                <w:b/>
                <w:color w:val="auto"/>
                <w:kern w:val="0"/>
                <w:highlight w:val="none"/>
              </w:rPr>
              <w:t xml:space="preserve"> </w:t>
            </w:r>
            <w:r>
              <w:rPr>
                <w:rFonts w:hint="eastAsia" w:ascii="宋体" w:hAnsi="宋体"/>
                <w:b/>
                <w:color w:val="auto"/>
                <w:kern w:val="0"/>
                <w:highlight w:val="none"/>
              </w:rPr>
              <w:t>列</w:t>
            </w:r>
            <w:r>
              <w:rPr>
                <w:rFonts w:ascii="宋体" w:hAnsi="宋体"/>
                <w:b/>
                <w:color w:val="auto"/>
                <w:kern w:val="0"/>
                <w:highlight w:val="none"/>
              </w:rPr>
              <w:t xml:space="preserve"> </w:t>
            </w:r>
            <w:r>
              <w:rPr>
                <w:rFonts w:hint="eastAsia" w:ascii="宋体" w:hAnsi="宋体"/>
                <w:b/>
                <w:color w:val="auto"/>
                <w:kern w:val="0"/>
                <w:highlight w:val="none"/>
              </w:rPr>
              <w:t>内</w:t>
            </w:r>
            <w:r>
              <w:rPr>
                <w:rFonts w:ascii="宋体" w:hAnsi="宋体"/>
                <w:b/>
                <w:color w:val="auto"/>
                <w:kern w:val="0"/>
                <w:highlight w:val="none"/>
              </w:rPr>
              <w:t xml:space="preserve"> </w:t>
            </w:r>
            <w:r>
              <w:rPr>
                <w:rFonts w:hint="eastAsia" w:ascii="宋体" w:hAnsi="宋体"/>
                <w:b/>
                <w:color w:val="auto"/>
                <w:kern w:val="0"/>
                <w:highlight w:val="none"/>
              </w:rPr>
              <w:t>容</w:t>
            </w:r>
          </w:p>
        </w:tc>
      </w:tr>
      <w:tr w14:paraId="0CAC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gridSpan w:val="2"/>
            <w:vMerge w:val="restart"/>
            <w:tcBorders>
              <w:top w:val="single" w:color="auto" w:sz="6" w:space="0"/>
              <w:left w:val="single" w:color="auto" w:sz="12" w:space="0"/>
              <w:bottom w:val="single" w:color="auto" w:sz="6" w:space="0"/>
              <w:right w:val="single" w:color="auto" w:sz="6" w:space="0"/>
            </w:tcBorders>
            <w:vAlign w:val="center"/>
          </w:tcPr>
          <w:p w14:paraId="6313FADB">
            <w:pPr>
              <w:snapToGrid w:val="0"/>
              <w:jc w:val="center"/>
              <w:rPr>
                <w:rFonts w:hint="eastAsia" w:ascii="宋体" w:hAns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.2</w:t>
            </w:r>
          </w:p>
        </w:tc>
        <w:tc>
          <w:tcPr>
            <w:tcW w:w="2238" w:type="dxa"/>
            <w:tcBorders>
              <w:top w:val="single" w:color="auto" w:sz="6" w:space="0"/>
              <w:left w:val="single" w:color="auto" w:sz="6" w:space="0"/>
              <w:bottom w:val="single" w:color="auto" w:sz="6" w:space="0"/>
              <w:right w:val="single" w:color="auto" w:sz="6" w:space="0"/>
            </w:tcBorders>
            <w:vAlign w:val="center"/>
          </w:tcPr>
          <w:p w14:paraId="108B9501">
            <w:pPr>
              <w:snapToGrid w:val="0"/>
              <w:rPr>
                <w:rFonts w:hint="eastAsia" w:ascii="宋体" w:hAnsi="宋体"/>
                <w:b/>
                <w:bCs/>
                <w:color w:val="auto"/>
                <w:kern w:val="0"/>
                <w:highlight w:val="none"/>
                <w:u w:val="single"/>
              </w:rPr>
            </w:pPr>
            <w:r>
              <w:rPr>
                <w:rFonts w:hint="eastAsia" w:ascii="宋体" w:hAnsi="宋体"/>
                <w:b/>
                <w:bCs/>
                <w:color w:val="auto"/>
                <w:kern w:val="0"/>
                <w:highlight w:val="none"/>
              </w:rPr>
              <w:t>采购人</w:t>
            </w:r>
          </w:p>
        </w:tc>
        <w:tc>
          <w:tcPr>
            <w:tcW w:w="6013" w:type="dxa"/>
            <w:tcBorders>
              <w:top w:val="single" w:color="auto" w:sz="6" w:space="0"/>
              <w:left w:val="single" w:color="auto" w:sz="6" w:space="0"/>
              <w:bottom w:val="single" w:color="auto" w:sz="6" w:space="0"/>
              <w:right w:val="single" w:color="auto" w:sz="12" w:space="0"/>
            </w:tcBorders>
            <w:vAlign w:val="center"/>
          </w:tcPr>
          <w:p w14:paraId="55DFFAFD">
            <w:pPr>
              <w:snapToGrid w:val="0"/>
              <w:rPr>
                <w:rFonts w:hint="eastAsia" w:ascii="宋体" w:hAnsi="宋体" w:eastAsia="宋体"/>
                <w:color w:val="auto"/>
                <w:kern w:val="0"/>
                <w:highlight w:val="none"/>
                <w:lang w:eastAsia="zh-CN"/>
              </w:rPr>
            </w:pPr>
            <w:r>
              <w:rPr>
                <w:rFonts w:hint="eastAsia" w:ascii="宋体" w:hAnsi="宋体"/>
                <w:color w:val="auto"/>
                <w:kern w:val="0"/>
                <w:highlight w:val="none"/>
                <w:lang w:eastAsia="zh-CN"/>
              </w:rPr>
              <w:t>大理护理职业学院</w:t>
            </w:r>
          </w:p>
        </w:tc>
      </w:tr>
      <w:tr w14:paraId="7FDB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gridSpan w:val="2"/>
            <w:vMerge w:val="continue"/>
            <w:tcBorders>
              <w:top w:val="single" w:color="auto" w:sz="6" w:space="0"/>
              <w:left w:val="single" w:color="auto" w:sz="12" w:space="0"/>
              <w:bottom w:val="single" w:color="auto" w:sz="6" w:space="0"/>
              <w:right w:val="single" w:color="auto" w:sz="6" w:space="0"/>
            </w:tcBorders>
            <w:vAlign w:val="center"/>
          </w:tcPr>
          <w:p w14:paraId="54D70E76">
            <w:pPr>
              <w:adjustRightInd w:val="0"/>
              <w:snapToGrid w:val="0"/>
              <w:rPr>
                <w:rFonts w:hint="eastAsia" w:ascii="宋体" w:hAnsi="宋体"/>
                <w:b/>
                <w:bCs/>
                <w:color w:val="auto"/>
                <w:szCs w:val="21"/>
                <w:highlight w:val="none"/>
              </w:rPr>
            </w:pPr>
          </w:p>
        </w:tc>
        <w:tc>
          <w:tcPr>
            <w:tcW w:w="2238" w:type="dxa"/>
            <w:tcBorders>
              <w:top w:val="single" w:color="auto" w:sz="6" w:space="0"/>
              <w:left w:val="single" w:color="auto" w:sz="6" w:space="0"/>
              <w:bottom w:val="single" w:color="auto" w:sz="6" w:space="0"/>
              <w:right w:val="single" w:color="auto" w:sz="6" w:space="0"/>
            </w:tcBorders>
            <w:vAlign w:val="center"/>
          </w:tcPr>
          <w:p w14:paraId="5952BA34">
            <w:pPr>
              <w:snapToGrid w:val="0"/>
              <w:rPr>
                <w:rFonts w:hint="eastAsia" w:ascii="宋体" w:hAnsi="宋体"/>
                <w:b/>
                <w:bCs/>
                <w:color w:val="auto"/>
                <w:kern w:val="0"/>
                <w:highlight w:val="none"/>
              </w:rPr>
            </w:pPr>
            <w:r>
              <w:rPr>
                <w:rFonts w:hint="eastAsia" w:ascii="宋体" w:hAnsi="宋体"/>
                <w:b/>
                <w:bCs/>
                <w:color w:val="auto"/>
                <w:kern w:val="0"/>
                <w:highlight w:val="none"/>
              </w:rPr>
              <w:t>采购代理机构</w:t>
            </w:r>
          </w:p>
        </w:tc>
        <w:tc>
          <w:tcPr>
            <w:tcW w:w="6013" w:type="dxa"/>
            <w:tcBorders>
              <w:top w:val="single" w:color="auto" w:sz="6" w:space="0"/>
              <w:left w:val="single" w:color="auto" w:sz="6" w:space="0"/>
              <w:bottom w:val="single" w:color="auto" w:sz="6" w:space="0"/>
              <w:right w:val="single" w:color="auto" w:sz="12" w:space="0"/>
            </w:tcBorders>
            <w:vAlign w:val="center"/>
          </w:tcPr>
          <w:p w14:paraId="55BE47F6">
            <w:pPr>
              <w:snapToGrid w:val="0"/>
              <w:rPr>
                <w:rFonts w:hint="eastAsia" w:ascii="宋体" w:hAnsi="宋体" w:eastAsia="宋体"/>
                <w:color w:val="auto"/>
                <w:kern w:val="0"/>
                <w:highlight w:val="none"/>
                <w:lang w:eastAsia="zh-CN"/>
              </w:rPr>
            </w:pPr>
            <w:r>
              <w:rPr>
                <w:rFonts w:hint="eastAsia" w:ascii="宋体" w:hAnsi="宋体"/>
                <w:color w:val="auto"/>
                <w:kern w:val="0"/>
                <w:highlight w:val="none"/>
                <w:lang w:eastAsia="zh-CN"/>
              </w:rPr>
              <w:t>云南鑫德招标咨询有限公司</w:t>
            </w:r>
          </w:p>
        </w:tc>
      </w:tr>
      <w:tr w14:paraId="16E6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gridSpan w:val="2"/>
            <w:vMerge w:val="continue"/>
            <w:tcBorders>
              <w:top w:val="single" w:color="auto" w:sz="6" w:space="0"/>
              <w:left w:val="single" w:color="auto" w:sz="12" w:space="0"/>
              <w:bottom w:val="single" w:color="auto" w:sz="6" w:space="0"/>
              <w:right w:val="single" w:color="auto" w:sz="6" w:space="0"/>
            </w:tcBorders>
            <w:vAlign w:val="center"/>
          </w:tcPr>
          <w:p w14:paraId="265DB78D">
            <w:pPr>
              <w:adjustRightInd w:val="0"/>
              <w:snapToGrid w:val="0"/>
              <w:rPr>
                <w:rFonts w:hint="eastAsia" w:ascii="宋体" w:hAnsi="宋体"/>
                <w:b/>
                <w:bCs/>
                <w:color w:val="auto"/>
                <w:szCs w:val="21"/>
                <w:highlight w:val="none"/>
              </w:rPr>
            </w:pPr>
          </w:p>
        </w:tc>
        <w:tc>
          <w:tcPr>
            <w:tcW w:w="2238" w:type="dxa"/>
            <w:tcBorders>
              <w:top w:val="single" w:color="auto" w:sz="6" w:space="0"/>
              <w:left w:val="single" w:color="auto" w:sz="6" w:space="0"/>
              <w:bottom w:val="single" w:color="auto" w:sz="6" w:space="0"/>
              <w:right w:val="single" w:color="auto" w:sz="6" w:space="0"/>
            </w:tcBorders>
            <w:vAlign w:val="center"/>
          </w:tcPr>
          <w:p w14:paraId="745773F6">
            <w:pPr>
              <w:snapToGrid w:val="0"/>
              <w:rPr>
                <w:rFonts w:hint="eastAsia" w:ascii="宋体" w:hAnsi="宋体"/>
                <w:b/>
                <w:bCs/>
                <w:color w:val="auto"/>
                <w:kern w:val="0"/>
                <w:highlight w:val="none"/>
              </w:rPr>
            </w:pPr>
            <w:r>
              <w:rPr>
                <w:rFonts w:hint="eastAsia" w:ascii="宋体" w:hAnsi="宋体"/>
                <w:b/>
                <w:bCs/>
                <w:color w:val="auto"/>
                <w:kern w:val="0"/>
                <w:highlight w:val="none"/>
              </w:rPr>
              <w:t>项目名称</w:t>
            </w:r>
          </w:p>
        </w:tc>
        <w:tc>
          <w:tcPr>
            <w:tcW w:w="6013" w:type="dxa"/>
            <w:tcBorders>
              <w:top w:val="single" w:color="auto" w:sz="6" w:space="0"/>
              <w:left w:val="single" w:color="auto" w:sz="6" w:space="0"/>
              <w:bottom w:val="single" w:color="auto" w:sz="6" w:space="0"/>
              <w:right w:val="single" w:color="auto" w:sz="12" w:space="0"/>
            </w:tcBorders>
            <w:vAlign w:val="center"/>
          </w:tcPr>
          <w:p w14:paraId="5A08991B">
            <w:pPr>
              <w:snapToGrid w:val="0"/>
              <w:spacing w:line="276" w:lineRule="auto"/>
              <w:rPr>
                <w:rFonts w:hint="eastAsia" w:ascii="宋体" w:hAnsi="宋体" w:eastAsia="宋体"/>
                <w:color w:val="auto"/>
                <w:kern w:val="0"/>
                <w:highlight w:val="none"/>
                <w:lang w:eastAsia="zh-CN"/>
              </w:rPr>
            </w:pPr>
            <w:r>
              <w:rPr>
                <w:rFonts w:hint="eastAsia" w:ascii="宋体" w:hAnsi="宋体"/>
                <w:color w:val="auto"/>
                <w:kern w:val="0"/>
                <w:highlight w:val="none"/>
                <w:lang w:eastAsia="zh-CN"/>
              </w:rPr>
              <w:t>大理护理职业学院眼健康产业学院（一期）建设项目（一标段）</w:t>
            </w:r>
          </w:p>
        </w:tc>
      </w:tr>
      <w:tr w14:paraId="4597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gridSpan w:val="2"/>
            <w:vMerge w:val="continue"/>
            <w:tcBorders>
              <w:top w:val="single" w:color="auto" w:sz="6" w:space="0"/>
              <w:left w:val="single" w:color="auto" w:sz="12" w:space="0"/>
              <w:bottom w:val="single" w:color="auto" w:sz="6" w:space="0"/>
              <w:right w:val="single" w:color="auto" w:sz="6" w:space="0"/>
            </w:tcBorders>
            <w:vAlign w:val="center"/>
          </w:tcPr>
          <w:p w14:paraId="22FC03FB">
            <w:pPr>
              <w:adjustRightInd w:val="0"/>
              <w:snapToGrid w:val="0"/>
              <w:rPr>
                <w:rFonts w:hint="eastAsia" w:ascii="宋体" w:hAnsi="宋体"/>
                <w:b/>
                <w:bCs/>
                <w:color w:val="auto"/>
                <w:szCs w:val="21"/>
                <w:highlight w:val="none"/>
              </w:rPr>
            </w:pPr>
          </w:p>
        </w:tc>
        <w:tc>
          <w:tcPr>
            <w:tcW w:w="2238" w:type="dxa"/>
            <w:tcBorders>
              <w:top w:val="single" w:color="auto" w:sz="6" w:space="0"/>
              <w:left w:val="single" w:color="auto" w:sz="6" w:space="0"/>
              <w:bottom w:val="single" w:color="auto" w:sz="6" w:space="0"/>
              <w:right w:val="single" w:color="auto" w:sz="6" w:space="0"/>
            </w:tcBorders>
            <w:vAlign w:val="center"/>
          </w:tcPr>
          <w:p w14:paraId="39316736">
            <w:pPr>
              <w:snapToGrid w:val="0"/>
              <w:rPr>
                <w:rFonts w:hint="eastAsia" w:ascii="宋体" w:hAnsi="宋体"/>
                <w:b/>
                <w:bCs/>
                <w:color w:val="auto"/>
                <w:kern w:val="0"/>
                <w:highlight w:val="none"/>
              </w:rPr>
            </w:pPr>
            <w:r>
              <w:rPr>
                <w:rFonts w:hint="eastAsia" w:ascii="宋体" w:hAnsi="宋体"/>
                <w:b/>
                <w:bCs/>
                <w:color w:val="auto"/>
                <w:kern w:val="0"/>
                <w:highlight w:val="none"/>
              </w:rPr>
              <w:t>招标编号</w:t>
            </w:r>
          </w:p>
        </w:tc>
        <w:tc>
          <w:tcPr>
            <w:tcW w:w="6013" w:type="dxa"/>
            <w:tcBorders>
              <w:top w:val="single" w:color="auto" w:sz="6" w:space="0"/>
              <w:left w:val="single" w:color="auto" w:sz="6" w:space="0"/>
              <w:bottom w:val="single" w:color="auto" w:sz="6" w:space="0"/>
              <w:right w:val="single" w:color="auto" w:sz="12" w:space="0"/>
            </w:tcBorders>
            <w:vAlign w:val="center"/>
          </w:tcPr>
          <w:p w14:paraId="375150D8">
            <w:pPr>
              <w:snapToGrid w:val="0"/>
              <w:rPr>
                <w:rFonts w:hint="eastAsia" w:ascii="宋体" w:hAnsi="宋体"/>
                <w:color w:val="auto"/>
                <w:kern w:val="0"/>
                <w:highlight w:val="none"/>
              </w:rPr>
            </w:pPr>
            <w:r>
              <w:rPr>
                <w:rFonts w:hint="eastAsia" w:ascii="宋体" w:hAnsi="宋体"/>
                <w:color w:val="auto"/>
                <w:kern w:val="0"/>
                <w:highlight w:val="none"/>
                <w:lang w:eastAsia="zh-CN"/>
              </w:rPr>
              <w:t>云鑫招字2026-4-023</w:t>
            </w:r>
            <w:r>
              <w:rPr>
                <w:rFonts w:ascii="宋体" w:hAnsi="宋体"/>
                <w:color w:val="auto"/>
                <w:kern w:val="0"/>
                <w:highlight w:val="none"/>
              </w:rPr>
              <w:t xml:space="preserve"> </w:t>
            </w:r>
          </w:p>
        </w:tc>
      </w:tr>
      <w:tr w14:paraId="0A2F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55A168AF">
            <w:pPr>
              <w:adjustRightInd w:val="0"/>
              <w:snapToGrid w:val="0"/>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2238" w:type="dxa"/>
            <w:tcBorders>
              <w:top w:val="single" w:color="auto" w:sz="6" w:space="0"/>
              <w:left w:val="single" w:color="auto" w:sz="6" w:space="0"/>
              <w:bottom w:val="single" w:color="auto" w:sz="6" w:space="0"/>
              <w:right w:val="single" w:color="auto" w:sz="6" w:space="0"/>
            </w:tcBorders>
            <w:vAlign w:val="center"/>
          </w:tcPr>
          <w:p w14:paraId="2C39E275">
            <w:pPr>
              <w:pStyle w:val="45"/>
              <w:overflowPunct w:val="0"/>
              <w:spacing w:line="276" w:lineRule="auto"/>
              <w:rPr>
                <w:rFonts w:hint="eastAsia" w:hAnsi="宋体"/>
                <w:b/>
                <w:bCs/>
                <w:color w:val="auto"/>
                <w:kern w:val="0"/>
                <w:highlight w:val="none"/>
              </w:rPr>
            </w:pPr>
            <w:r>
              <w:rPr>
                <w:rFonts w:hint="eastAsia" w:hAnsi="宋体" w:cs="宋体"/>
                <w:b/>
                <w:bCs/>
                <w:color w:val="auto"/>
                <w:highlight w:val="none"/>
              </w:rPr>
              <w:t>资金来源</w:t>
            </w:r>
          </w:p>
        </w:tc>
        <w:tc>
          <w:tcPr>
            <w:tcW w:w="6013" w:type="dxa"/>
            <w:tcBorders>
              <w:top w:val="single" w:color="auto" w:sz="6" w:space="0"/>
              <w:left w:val="single" w:color="auto" w:sz="6" w:space="0"/>
              <w:bottom w:val="single" w:color="auto" w:sz="6" w:space="0"/>
              <w:right w:val="single" w:color="auto" w:sz="12" w:space="0"/>
            </w:tcBorders>
            <w:vAlign w:val="center"/>
          </w:tcPr>
          <w:p w14:paraId="43B17706">
            <w:pPr>
              <w:pStyle w:val="45"/>
              <w:overflowPunct w:val="0"/>
              <w:spacing w:line="276" w:lineRule="auto"/>
              <w:rPr>
                <w:rFonts w:hint="eastAsia" w:hAnsi="宋体" w:eastAsia="宋体"/>
                <w:color w:val="auto"/>
                <w:kern w:val="0"/>
                <w:highlight w:val="none"/>
                <w:lang w:eastAsia="zh-CN"/>
              </w:rPr>
            </w:pPr>
            <w:r>
              <w:rPr>
                <w:rFonts w:hint="eastAsia" w:ascii="宋体" w:hAnsi="宋体" w:cs="宋体"/>
                <w:color w:val="auto"/>
                <w:sz w:val="21"/>
                <w:szCs w:val="21"/>
                <w:highlight w:val="none"/>
                <w:lang w:val="en-US" w:eastAsia="zh-CN"/>
              </w:rPr>
              <w:t>上级财政专项资金及学校自筹</w:t>
            </w:r>
          </w:p>
        </w:tc>
      </w:tr>
      <w:tr w14:paraId="026C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8" w:type="dxa"/>
            <w:vMerge w:val="restart"/>
            <w:tcBorders>
              <w:top w:val="single" w:color="auto" w:sz="6" w:space="0"/>
              <w:left w:val="single" w:color="auto" w:sz="12" w:space="0"/>
              <w:bottom w:val="single" w:color="auto" w:sz="6" w:space="0"/>
              <w:right w:val="single" w:color="auto" w:sz="6" w:space="0"/>
            </w:tcBorders>
            <w:vAlign w:val="center"/>
          </w:tcPr>
          <w:p w14:paraId="6D1CC7BA">
            <w:pPr>
              <w:snapToGrid w:val="0"/>
              <w:jc w:val="center"/>
              <w:rPr>
                <w:rFonts w:hint="eastAsia" w:ascii="宋体" w:hAnsi="宋体"/>
                <w:b/>
                <w:bCs/>
                <w:color w:val="auto"/>
                <w:kern w:val="0"/>
                <w:highlight w:val="none"/>
              </w:rPr>
            </w:pPr>
            <w:r>
              <w:rPr>
                <w:rFonts w:hint="eastAsia" w:ascii="宋体" w:hAnsi="宋体"/>
                <w:b/>
                <w:bCs/>
                <w:color w:val="auto"/>
                <w:kern w:val="0"/>
                <w:highlight w:val="none"/>
              </w:rPr>
              <w:t>3</w:t>
            </w:r>
          </w:p>
        </w:tc>
        <w:tc>
          <w:tcPr>
            <w:tcW w:w="850" w:type="dxa"/>
            <w:tcBorders>
              <w:top w:val="single" w:color="auto" w:sz="6" w:space="0"/>
              <w:left w:val="single" w:color="auto" w:sz="6" w:space="0"/>
              <w:bottom w:val="single" w:color="auto" w:sz="6" w:space="0"/>
              <w:right w:val="single" w:color="auto" w:sz="6" w:space="0"/>
            </w:tcBorders>
            <w:vAlign w:val="center"/>
          </w:tcPr>
          <w:p w14:paraId="04272AED">
            <w:pPr>
              <w:snapToGrid w:val="0"/>
              <w:jc w:val="center"/>
              <w:rPr>
                <w:rFonts w:hint="eastAsia" w:ascii="宋体" w:hAnsi="宋体"/>
                <w:b/>
                <w:bCs/>
                <w:color w:val="auto"/>
                <w:kern w:val="0"/>
                <w:highlight w:val="none"/>
              </w:rPr>
            </w:pPr>
            <w:r>
              <w:rPr>
                <w:rFonts w:hint="eastAsia" w:ascii="宋体" w:hAnsi="宋体"/>
                <w:b/>
                <w:bCs/>
                <w:color w:val="auto"/>
                <w:kern w:val="0"/>
                <w:highlight w:val="none"/>
              </w:rPr>
              <w:t>3.1</w:t>
            </w:r>
          </w:p>
        </w:tc>
        <w:tc>
          <w:tcPr>
            <w:tcW w:w="2238" w:type="dxa"/>
            <w:tcBorders>
              <w:top w:val="single" w:color="auto" w:sz="6" w:space="0"/>
              <w:left w:val="single" w:color="auto" w:sz="6" w:space="0"/>
              <w:bottom w:val="single" w:color="auto" w:sz="6" w:space="0"/>
              <w:right w:val="single" w:color="auto" w:sz="6" w:space="0"/>
            </w:tcBorders>
            <w:vAlign w:val="center"/>
          </w:tcPr>
          <w:p w14:paraId="6DA67F6A">
            <w:pPr>
              <w:snapToGrid w:val="0"/>
              <w:rPr>
                <w:rFonts w:hint="eastAsia" w:ascii="宋体" w:hAnsi="宋体"/>
                <w:b/>
                <w:bCs/>
                <w:color w:val="auto"/>
                <w:kern w:val="0"/>
                <w:highlight w:val="none"/>
              </w:rPr>
            </w:pPr>
            <w:r>
              <w:rPr>
                <w:rFonts w:hint="eastAsia" w:ascii="宋体" w:hAnsi="宋体"/>
                <w:b/>
                <w:bCs/>
                <w:color w:val="auto"/>
                <w:highlight w:val="none"/>
              </w:rPr>
              <w:t>采购内容</w:t>
            </w:r>
          </w:p>
        </w:tc>
        <w:tc>
          <w:tcPr>
            <w:tcW w:w="6013" w:type="dxa"/>
            <w:tcBorders>
              <w:top w:val="single" w:color="auto" w:sz="6" w:space="0"/>
              <w:left w:val="single" w:color="auto" w:sz="6" w:space="0"/>
              <w:bottom w:val="single" w:color="auto" w:sz="6" w:space="0"/>
              <w:right w:val="single" w:color="auto" w:sz="12" w:space="0"/>
            </w:tcBorders>
            <w:vAlign w:val="center"/>
          </w:tcPr>
          <w:p w14:paraId="277303FD">
            <w:pPr>
              <w:snapToGrid w:val="0"/>
              <w:rPr>
                <w:rFonts w:hint="eastAsia" w:ascii="宋体" w:hAnsi="宋体"/>
                <w:color w:val="auto"/>
                <w:kern w:val="0"/>
                <w:highlight w:val="none"/>
              </w:rPr>
            </w:pPr>
            <w:r>
              <w:rPr>
                <w:rFonts w:hint="eastAsia" w:ascii="宋体" w:hAnsi="宋体" w:cs="宋体"/>
                <w:color w:val="auto"/>
                <w:szCs w:val="21"/>
                <w:highlight w:val="none"/>
              </w:rPr>
              <w:t>详见第一章“竞争性磋商公告”</w:t>
            </w:r>
            <w:r>
              <w:rPr>
                <w:rFonts w:hint="eastAsia" w:ascii="宋体" w:hAnsi="宋体"/>
                <w:color w:val="auto"/>
                <w:szCs w:val="21"/>
                <w:highlight w:val="none"/>
              </w:rPr>
              <w:t>。</w:t>
            </w:r>
          </w:p>
        </w:tc>
      </w:tr>
      <w:tr w14:paraId="1305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22D1E34A">
            <w:pPr>
              <w:snapToGrid w:val="0"/>
              <w:jc w:val="center"/>
              <w:rPr>
                <w:rFonts w:hint="eastAsia" w:ascii="宋体" w:hAnsi="宋体"/>
                <w:color w:val="auto"/>
                <w:kern w:val="0"/>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909537E">
            <w:pPr>
              <w:snapToGrid w:val="0"/>
              <w:jc w:val="center"/>
              <w:rPr>
                <w:rFonts w:hint="eastAsia" w:ascii="宋体" w:hAnsi="宋体"/>
                <w:color w:val="auto"/>
                <w:kern w:val="0"/>
                <w:highlight w:val="none"/>
              </w:rPr>
            </w:pPr>
            <w:r>
              <w:rPr>
                <w:rFonts w:hint="eastAsia" w:ascii="宋体" w:hAnsi="宋体" w:cs="宋体"/>
                <w:b/>
                <w:bCs/>
                <w:color w:val="auto"/>
                <w:szCs w:val="21"/>
                <w:highlight w:val="none"/>
              </w:rPr>
              <w:t>★</w:t>
            </w:r>
            <w:r>
              <w:rPr>
                <w:rFonts w:hint="eastAsia" w:ascii="宋体" w:hAnsi="宋体"/>
                <w:color w:val="auto"/>
                <w:kern w:val="0"/>
                <w:highlight w:val="none"/>
              </w:rPr>
              <w:t>3.2</w:t>
            </w:r>
          </w:p>
        </w:tc>
        <w:tc>
          <w:tcPr>
            <w:tcW w:w="2238" w:type="dxa"/>
            <w:tcBorders>
              <w:top w:val="single" w:color="auto" w:sz="6" w:space="0"/>
              <w:left w:val="single" w:color="auto" w:sz="6" w:space="0"/>
              <w:bottom w:val="single" w:color="auto" w:sz="6" w:space="0"/>
              <w:right w:val="single" w:color="auto" w:sz="6" w:space="0"/>
            </w:tcBorders>
            <w:vAlign w:val="center"/>
          </w:tcPr>
          <w:p w14:paraId="25D4EFCD">
            <w:pPr>
              <w:snapToGrid w:val="0"/>
              <w:spacing w:line="360" w:lineRule="auto"/>
              <w:rPr>
                <w:rFonts w:hint="eastAsia" w:ascii="宋体" w:hAnsi="宋体"/>
                <w:b/>
                <w:bCs/>
                <w:color w:val="auto"/>
                <w:highlight w:val="none"/>
              </w:rPr>
            </w:pPr>
            <w:r>
              <w:rPr>
                <w:rFonts w:hint="eastAsia" w:ascii="宋体" w:hAnsi="宋体" w:cs="宋体"/>
                <w:b/>
                <w:bCs/>
                <w:color w:val="auto"/>
                <w:szCs w:val="21"/>
                <w:highlight w:val="none"/>
              </w:rPr>
              <w:t>工期、项目实施地点、质量标准及工程保修期</w:t>
            </w:r>
          </w:p>
        </w:tc>
        <w:tc>
          <w:tcPr>
            <w:tcW w:w="6013" w:type="dxa"/>
            <w:tcBorders>
              <w:top w:val="single" w:color="auto" w:sz="6" w:space="0"/>
              <w:left w:val="single" w:color="auto" w:sz="6" w:space="0"/>
              <w:bottom w:val="single" w:color="auto" w:sz="6" w:space="0"/>
              <w:right w:val="single" w:color="auto" w:sz="12" w:space="0"/>
            </w:tcBorders>
            <w:vAlign w:val="center"/>
          </w:tcPr>
          <w:p w14:paraId="209CEADF">
            <w:pPr>
              <w:overflowPunct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1、工期：</w:t>
            </w:r>
            <w:r>
              <w:rPr>
                <w:rFonts w:hint="eastAsia" w:ascii="宋体" w:hAnsi="宋体" w:cs="宋体"/>
                <w:color w:val="auto"/>
                <w:szCs w:val="21"/>
                <w:highlight w:val="none"/>
                <w:lang w:eastAsia="zh-CN"/>
              </w:rPr>
              <w:t>合同签订后90个日历天内完成全部工作</w:t>
            </w:r>
            <w:r>
              <w:rPr>
                <w:rFonts w:hint="eastAsia" w:ascii="宋体" w:hAnsi="宋体" w:cs="宋体"/>
                <w:color w:val="auto"/>
                <w:szCs w:val="21"/>
                <w:highlight w:val="none"/>
              </w:rPr>
              <w:t>内容。</w:t>
            </w:r>
          </w:p>
          <w:p w14:paraId="3EEB2057">
            <w:pPr>
              <w:overflowPunct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2、项目实施地点：</w:t>
            </w:r>
            <w:r>
              <w:rPr>
                <w:rFonts w:hint="eastAsia" w:ascii="宋体" w:hAnsi="宋体" w:cs="宋体"/>
                <w:color w:val="auto"/>
                <w:szCs w:val="21"/>
                <w:highlight w:val="none"/>
                <w:lang w:eastAsia="zh-CN"/>
              </w:rPr>
              <w:t>大理护理职业学院</w:t>
            </w:r>
            <w:r>
              <w:rPr>
                <w:rFonts w:hint="eastAsia" w:ascii="宋体" w:hAnsi="宋体" w:cs="宋体"/>
                <w:color w:val="auto"/>
                <w:szCs w:val="21"/>
                <w:highlight w:val="none"/>
              </w:rPr>
              <w:t>。</w:t>
            </w:r>
          </w:p>
          <w:p w14:paraId="5D446D57">
            <w:pPr>
              <w:overflowPunct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3、质量标准：工程质量、安全、技术规格、物理特性符合国家标准和行业标准以及采购人的要求，一次性验收合格。</w:t>
            </w:r>
          </w:p>
          <w:p w14:paraId="4C3E746E">
            <w:pPr>
              <w:adjustRightInd w:val="0"/>
              <w:snapToGrid w:val="0"/>
              <w:spacing w:line="360" w:lineRule="auto"/>
              <w:jc w:val="left"/>
              <w:rPr>
                <w:rFonts w:hint="eastAsia" w:ascii="宋体" w:hAnsi="宋体"/>
                <w:color w:val="auto"/>
                <w:highlight w:val="none"/>
              </w:rPr>
            </w:pPr>
            <w:r>
              <w:rPr>
                <w:rFonts w:hint="eastAsia" w:ascii="宋体" w:hAnsi="宋体" w:cs="宋体"/>
                <w:color w:val="auto"/>
                <w:szCs w:val="21"/>
                <w:highlight w:val="none"/>
              </w:rPr>
              <w:t>4、工程保修期：满足《建设工程质量管理条例》。</w:t>
            </w:r>
          </w:p>
        </w:tc>
      </w:tr>
      <w:tr w14:paraId="6F6D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restart"/>
            <w:tcBorders>
              <w:top w:val="single" w:color="auto" w:sz="6" w:space="0"/>
              <w:left w:val="single" w:color="auto" w:sz="12" w:space="0"/>
              <w:bottom w:val="single" w:color="auto" w:sz="6" w:space="0"/>
              <w:right w:val="single" w:color="auto" w:sz="6" w:space="0"/>
            </w:tcBorders>
            <w:vAlign w:val="center"/>
          </w:tcPr>
          <w:p w14:paraId="522775C7">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szCs w:val="21"/>
                <w:highlight w:val="none"/>
              </w:rPr>
              <w:t>★4</w:t>
            </w:r>
          </w:p>
        </w:tc>
        <w:tc>
          <w:tcPr>
            <w:tcW w:w="850" w:type="dxa"/>
            <w:tcBorders>
              <w:top w:val="single" w:color="auto" w:sz="6" w:space="0"/>
              <w:left w:val="single" w:color="auto" w:sz="6" w:space="0"/>
              <w:bottom w:val="single" w:color="auto" w:sz="6" w:space="0"/>
              <w:right w:val="single" w:color="auto" w:sz="6" w:space="0"/>
            </w:tcBorders>
            <w:vAlign w:val="center"/>
          </w:tcPr>
          <w:p w14:paraId="4EDE24F7">
            <w:pPr>
              <w:pStyle w:val="45"/>
              <w:overflowPunct w:val="0"/>
              <w:spacing w:line="360" w:lineRule="auto"/>
              <w:jc w:val="center"/>
              <w:rPr>
                <w:rFonts w:hint="eastAsia" w:hAnsi="宋体"/>
                <w:b/>
                <w:bCs/>
                <w:color w:val="auto"/>
                <w:kern w:val="0"/>
                <w:highlight w:val="none"/>
              </w:rPr>
            </w:pPr>
            <w:r>
              <w:rPr>
                <w:rFonts w:hint="eastAsia" w:hAnsi="宋体"/>
                <w:b/>
                <w:bCs/>
                <w:color w:val="auto"/>
                <w:kern w:val="0"/>
                <w:highlight w:val="none"/>
              </w:rPr>
              <w:t>4.1.1</w:t>
            </w:r>
          </w:p>
        </w:tc>
        <w:tc>
          <w:tcPr>
            <w:tcW w:w="2238" w:type="dxa"/>
            <w:tcBorders>
              <w:top w:val="single" w:color="auto" w:sz="6" w:space="0"/>
              <w:left w:val="single" w:color="auto" w:sz="6" w:space="0"/>
              <w:bottom w:val="single" w:color="auto" w:sz="6" w:space="0"/>
              <w:right w:val="single" w:color="auto" w:sz="6" w:space="0"/>
            </w:tcBorders>
            <w:vAlign w:val="center"/>
          </w:tcPr>
          <w:p w14:paraId="3B3CF11F">
            <w:pPr>
              <w:pStyle w:val="45"/>
              <w:spacing w:line="360" w:lineRule="auto"/>
              <w:rPr>
                <w:rFonts w:hint="eastAsia" w:hAnsi="宋体"/>
                <w:b/>
                <w:bCs/>
                <w:color w:val="auto"/>
                <w:kern w:val="0"/>
                <w:highlight w:val="none"/>
              </w:rPr>
            </w:pPr>
            <w:r>
              <w:rPr>
                <w:rFonts w:hint="eastAsia" w:hAnsi="宋体" w:cs="宋体"/>
                <w:b/>
                <w:bCs/>
                <w:color w:val="auto"/>
                <w:highlight w:val="none"/>
              </w:rPr>
              <w:t>供应商必须是具有独立承担民事责任的能力的法人、其他组织或者自然人，须提供相关证明材料</w:t>
            </w:r>
          </w:p>
        </w:tc>
        <w:tc>
          <w:tcPr>
            <w:tcW w:w="6013" w:type="dxa"/>
            <w:tcBorders>
              <w:top w:val="single" w:color="auto" w:sz="6" w:space="0"/>
              <w:left w:val="single" w:color="auto" w:sz="6" w:space="0"/>
              <w:bottom w:val="single" w:color="auto" w:sz="6" w:space="0"/>
              <w:right w:val="single" w:color="auto" w:sz="12" w:space="0"/>
            </w:tcBorders>
            <w:vAlign w:val="center"/>
          </w:tcPr>
          <w:p w14:paraId="07053FCF">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供应商必须是具有独立承担民事责任能力的法人、其他组织或者自然人；提供多证合一营业执照（扫描件）或同等法定证明。</w:t>
            </w:r>
          </w:p>
        </w:tc>
      </w:tr>
      <w:tr w14:paraId="77E0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5B6468BC">
            <w:pPr>
              <w:autoSpaceDE w:val="0"/>
              <w:autoSpaceDN w:val="0"/>
              <w:adjustRightInd w:val="0"/>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612CEBC">
            <w:pPr>
              <w:pStyle w:val="45"/>
              <w:overflowPunct w:val="0"/>
              <w:spacing w:line="360" w:lineRule="auto"/>
              <w:jc w:val="center"/>
              <w:rPr>
                <w:rFonts w:hint="eastAsia" w:hAnsi="宋体" w:cs="宋体"/>
                <w:b/>
                <w:bCs/>
                <w:color w:val="auto"/>
                <w:highlight w:val="none"/>
              </w:rPr>
            </w:pPr>
            <w:r>
              <w:rPr>
                <w:rFonts w:hint="eastAsia" w:hAnsi="宋体" w:cs="宋体"/>
                <w:b/>
                <w:bCs/>
                <w:color w:val="auto"/>
                <w:highlight w:val="none"/>
              </w:rPr>
              <w:t>4.1.2</w:t>
            </w:r>
          </w:p>
        </w:tc>
        <w:tc>
          <w:tcPr>
            <w:tcW w:w="2238" w:type="dxa"/>
            <w:tcBorders>
              <w:top w:val="single" w:color="auto" w:sz="6" w:space="0"/>
              <w:left w:val="single" w:color="auto" w:sz="6" w:space="0"/>
              <w:bottom w:val="single" w:color="auto" w:sz="6" w:space="0"/>
              <w:right w:val="single" w:color="auto" w:sz="6" w:space="0"/>
            </w:tcBorders>
            <w:vAlign w:val="center"/>
          </w:tcPr>
          <w:p w14:paraId="0A91E55B">
            <w:pPr>
              <w:pStyle w:val="45"/>
              <w:spacing w:line="360" w:lineRule="auto"/>
              <w:rPr>
                <w:rFonts w:hint="eastAsia" w:hAnsi="宋体"/>
                <w:b/>
                <w:bCs/>
                <w:color w:val="auto"/>
                <w:kern w:val="0"/>
                <w:highlight w:val="none"/>
              </w:rPr>
            </w:pPr>
            <w:r>
              <w:rPr>
                <w:rFonts w:hint="eastAsia" w:hAnsi="宋体" w:cs="宋体"/>
                <w:b/>
                <w:bCs/>
                <w:color w:val="auto"/>
                <w:highlight w:val="none"/>
              </w:rPr>
              <w:t>供应商具有良好的商业信誉和健全的财务会计制度</w:t>
            </w:r>
          </w:p>
        </w:tc>
        <w:tc>
          <w:tcPr>
            <w:tcW w:w="6013" w:type="dxa"/>
            <w:tcBorders>
              <w:top w:val="single" w:color="auto" w:sz="6" w:space="0"/>
              <w:left w:val="single" w:color="auto" w:sz="6" w:space="0"/>
              <w:bottom w:val="single" w:color="auto" w:sz="6" w:space="0"/>
              <w:right w:val="single" w:color="auto" w:sz="12" w:space="0"/>
            </w:tcBorders>
            <w:vAlign w:val="center"/>
          </w:tcPr>
          <w:p w14:paraId="1A188C7B">
            <w:pPr>
              <w:pStyle w:val="45"/>
              <w:spacing w:line="360" w:lineRule="auto"/>
              <w:rPr>
                <w:rFonts w:hint="eastAsia" w:hAnsi="宋体" w:cs="宋体"/>
                <w:b/>
                <w:bCs/>
                <w:color w:val="auto"/>
                <w:highlight w:val="none"/>
              </w:rPr>
            </w:pPr>
            <w:r>
              <w:rPr>
                <w:rFonts w:hint="eastAsia" w:hAnsi="宋体" w:cs="宋体"/>
                <w:b/>
                <w:bCs/>
                <w:color w:val="auto"/>
                <w:highlight w:val="none"/>
              </w:rPr>
              <w:t>供应商具有良好的商业信誉和健全的财务会计制度：</w:t>
            </w:r>
          </w:p>
          <w:p w14:paraId="3AD21BE8">
            <w:pPr>
              <w:pStyle w:val="45"/>
              <w:spacing w:line="360" w:lineRule="auto"/>
              <w:rPr>
                <w:rFonts w:hint="eastAsia" w:hAnsi="宋体" w:cs="宋体"/>
                <w:color w:val="auto"/>
                <w:highlight w:val="none"/>
              </w:rPr>
            </w:pPr>
            <w:r>
              <w:rPr>
                <w:rFonts w:hint="eastAsia" w:hAnsi="宋体" w:cs="宋体"/>
                <w:color w:val="auto"/>
                <w:highlight w:val="none"/>
              </w:rPr>
              <w:t>供应商须提供财务状况报告，可提供以下</w:t>
            </w:r>
            <w:r>
              <w:rPr>
                <w:rFonts w:hint="eastAsia" w:hAnsi="宋体" w:cs="宋体"/>
                <w:b/>
                <w:bCs/>
                <w:color w:val="auto"/>
                <w:highlight w:val="none"/>
              </w:rPr>
              <w:t>（1）、（2）、（3）</w:t>
            </w:r>
            <w:r>
              <w:rPr>
                <w:rFonts w:hint="eastAsia" w:hAnsi="宋体" w:cs="宋体"/>
                <w:color w:val="auto"/>
                <w:highlight w:val="none"/>
              </w:rPr>
              <w:t>三者之一；若供应商成立时间短，不足以出具经审计的财务审计报告的供应商，则提供以下</w:t>
            </w:r>
            <w:r>
              <w:rPr>
                <w:rFonts w:hint="eastAsia" w:hAnsi="宋体" w:cs="宋体"/>
                <w:b/>
                <w:bCs/>
                <w:color w:val="auto"/>
                <w:highlight w:val="none"/>
              </w:rPr>
              <w:t>（2）、（3）</w:t>
            </w:r>
            <w:r>
              <w:rPr>
                <w:rFonts w:hint="eastAsia" w:hAnsi="宋体" w:cs="宋体"/>
                <w:color w:val="auto"/>
                <w:highlight w:val="none"/>
              </w:rPr>
              <w:t>二者之一。</w:t>
            </w:r>
          </w:p>
          <w:p w14:paraId="2985693A">
            <w:pPr>
              <w:pStyle w:val="45"/>
              <w:spacing w:line="360" w:lineRule="auto"/>
              <w:rPr>
                <w:rFonts w:hint="eastAsia" w:hAnsi="宋体" w:cs="宋体"/>
                <w:color w:val="auto"/>
                <w:highlight w:val="none"/>
              </w:rPr>
            </w:pPr>
            <w:r>
              <w:rPr>
                <w:rFonts w:hint="eastAsia" w:hAnsi="宋体" w:cs="宋体"/>
                <w:b/>
                <w:bCs/>
                <w:color w:val="auto"/>
                <w:highlight w:val="none"/>
              </w:rPr>
              <w:t>（1）</w:t>
            </w:r>
            <w:r>
              <w:rPr>
                <w:rFonts w:hint="eastAsia" w:hAnsi="宋体" w:cs="宋体"/>
                <w:b/>
                <w:bCs/>
                <w:color w:val="auto"/>
                <w:highlight w:val="none"/>
                <w:lang w:eastAsia="zh-CN"/>
              </w:rPr>
              <w:t>2023年-2025年任意一年</w:t>
            </w:r>
            <w:r>
              <w:rPr>
                <w:rFonts w:hint="eastAsia" w:hAnsi="宋体" w:cs="宋体"/>
                <w:color w:val="auto"/>
                <w:highlight w:val="none"/>
              </w:rPr>
              <w:t>度经审计的财务审计报告，包括财务审计报告及“四表一注”，“四表一注”即</w:t>
            </w:r>
            <w:r>
              <w:rPr>
                <w:rFonts w:hint="eastAsia" w:hAnsi="宋体" w:cs="宋体"/>
                <w:b/>
                <w:bCs/>
                <w:color w:val="auto"/>
                <w:highlight w:val="none"/>
              </w:rPr>
              <w:t>资产负债表、利润表、现金流量表、所有者权益变动表（执行中小企业会计准则的供应商可不提供）及其附注</w:t>
            </w:r>
            <w:r>
              <w:rPr>
                <w:rFonts w:hint="eastAsia" w:hAnsi="宋体" w:cs="宋体"/>
                <w:color w:val="auto"/>
                <w:highlight w:val="none"/>
              </w:rPr>
              <w:t>；</w:t>
            </w:r>
          </w:p>
          <w:p w14:paraId="7E2296A8">
            <w:pPr>
              <w:pStyle w:val="45"/>
              <w:spacing w:line="360" w:lineRule="auto"/>
              <w:rPr>
                <w:rFonts w:hint="eastAsia" w:hAnsi="宋体" w:cs="宋体"/>
                <w:color w:val="auto"/>
                <w:highlight w:val="none"/>
              </w:rPr>
            </w:pPr>
            <w:r>
              <w:rPr>
                <w:rFonts w:hint="eastAsia" w:hAnsi="宋体" w:cs="宋体"/>
                <w:b/>
                <w:bCs/>
                <w:color w:val="auto"/>
                <w:highlight w:val="none"/>
              </w:rPr>
              <w:t>（2）</w:t>
            </w:r>
            <w:r>
              <w:rPr>
                <w:rFonts w:hint="eastAsia" w:hAnsi="宋体" w:cs="宋体"/>
                <w:color w:val="auto"/>
                <w:highlight w:val="none"/>
              </w:rPr>
              <w:t>近三个月内基本开户银行出具的资信证明；</w:t>
            </w:r>
          </w:p>
          <w:p w14:paraId="0FFA9AE7">
            <w:pPr>
              <w:pStyle w:val="45"/>
              <w:spacing w:line="360" w:lineRule="auto"/>
              <w:rPr>
                <w:rFonts w:hint="eastAsia" w:hAnsi="宋体" w:cs="宋体"/>
                <w:color w:val="auto"/>
                <w:highlight w:val="none"/>
              </w:rPr>
            </w:pPr>
            <w:r>
              <w:rPr>
                <w:rFonts w:hint="eastAsia" w:hAnsi="宋体" w:cs="宋体"/>
                <w:b/>
                <w:bCs/>
                <w:color w:val="auto"/>
                <w:highlight w:val="none"/>
              </w:rPr>
              <w:t>（3）</w:t>
            </w:r>
            <w:r>
              <w:rPr>
                <w:rFonts w:hint="eastAsia" w:hAnsi="宋体" w:cs="宋体"/>
                <w:color w:val="auto"/>
                <w:highlight w:val="none"/>
              </w:rPr>
              <w:t>财政部门认可的政府采购专业担保机构出具的投标担保函，须同时提供专业担保机构经财政部门认可的证明文件。</w:t>
            </w:r>
          </w:p>
          <w:p w14:paraId="1C154ABD">
            <w:pPr>
              <w:pStyle w:val="45"/>
              <w:snapToGrid w:val="0"/>
              <w:spacing w:line="360" w:lineRule="auto"/>
              <w:rPr>
                <w:rFonts w:hint="eastAsia" w:hAnsi="宋体" w:cs="宋体"/>
                <w:b/>
                <w:color w:val="auto"/>
                <w:highlight w:val="none"/>
              </w:rPr>
            </w:pPr>
            <w:r>
              <w:rPr>
                <w:rFonts w:hint="eastAsia" w:hAnsi="宋体" w:cs="宋体"/>
                <w:b/>
                <w:bCs/>
                <w:color w:val="auto"/>
                <w:highlight w:val="none"/>
              </w:rPr>
              <w:t>备注：供应商可根据自身情况提供上述任意一种证明材料，新成立企业可根据实际情况提供（2）或（3）。</w:t>
            </w:r>
          </w:p>
        </w:tc>
      </w:tr>
      <w:tr w14:paraId="515F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0D979177">
            <w:pPr>
              <w:autoSpaceDE w:val="0"/>
              <w:autoSpaceDN w:val="0"/>
              <w:adjustRightInd w:val="0"/>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AB42886">
            <w:pPr>
              <w:spacing w:line="360" w:lineRule="auto"/>
              <w:rPr>
                <w:rFonts w:hint="eastAsia" w:ascii="宋体" w:hAnsi="宋体" w:cs="宋体"/>
                <w:b/>
                <w:bCs/>
                <w:color w:val="auto"/>
                <w:szCs w:val="21"/>
                <w:highlight w:val="none"/>
              </w:rPr>
            </w:pPr>
            <w:r>
              <w:rPr>
                <w:rFonts w:hint="eastAsia" w:ascii="宋体" w:hAnsi="宋体" w:cs="宋体"/>
                <w:b/>
                <w:bCs/>
                <w:color w:val="auto"/>
                <w:highlight w:val="none"/>
              </w:rPr>
              <w:t>4.1.3</w:t>
            </w:r>
          </w:p>
        </w:tc>
        <w:tc>
          <w:tcPr>
            <w:tcW w:w="2238" w:type="dxa"/>
            <w:tcBorders>
              <w:top w:val="single" w:color="auto" w:sz="6" w:space="0"/>
              <w:left w:val="single" w:color="auto" w:sz="6" w:space="0"/>
              <w:bottom w:val="single" w:color="auto" w:sz="6" w:space="0"/>
              <w:right w:val="single" w:color="auto" w:sz="6" w:space="0"/>
            </w:tcBorders>
            <w:vAlign w:val="center"/>
          </w:tcPr>
          <w:p w14:paraId="3C834930">
            <w:pPr>
              <w:pStyle w:val="45"/>
              <w:spacing w:line="360" w:lineRule="auto"/>
              <w:rPr>
                <w:rFonts w:hint="eastAsia" w:hAnsi="宋体" w:cs="宋体"/>
                <w:b/>
                <w:bCs/>
                <w:color w:val="auto"/>
                <w:highlight w:val="none"/>
              </w:rPr>
            </w:pPr>
            <w:r>
              <w:rPr>
                <w:rFonts w:hint="eastAsia" w:hAnsi="宋体" w:cs="宋体"/>
                <w:b/>
                <w:bCs/>
                <w:color w:val="auto"/>
                <w:highlight w:val="none"/>
              </w:rPr>
              <w:t>履行合同所必需的设备和专业技术能力</w:t>
            </w:r>
          </w:p>
        </w:tc>
        <w:tc>
          <w:tcPr>
            <w:tcW w:w="6013" w:type="dxa"/>
            <w:tcBorders>
              <w:top w:val="single" w:color="auto" w:sz="6" w:space="0"/>
              <w:left w:val="single" w:color="auto" w:sz="6" w:space="0"/>
              <w:bottom w:val="single" w:color="auto" w:sz="6" w:space="0"/>
              <w:right w:val="single" w:color="auto" w:sz="12" w:space="0"/>
            </w:tcBorders>
            <w:vAlign w:val="center"/>
          </w:tcPr>
          <w:p w14:paraId="139B8C3C">
            <w:pPr>
              <w:autoSpaceDE w:val="0"/>
              <w:autoSpaceDN w:val="0"/>
              <w:snapToGrid w:val="0"/>
              <w:spacing w:line="360" w:lineRule="auto"/>
              <w:textAlignment w:val="bottom"/>
              <w:rPr>
                <w:rFonts w:hint="eastAsia" w:ascii="宋体" w:hAnsi="宋体" w:cs="宋体"/>
                <w:b/>
                <w:color w:val="auto"/>
                <w:szCs w:val="21"/>
                <w:highlight w:val="none"/>
              </w:rPr>
            </w:pPr>
            <w:r>
              <w:rPr>
                <w:rFonts w:hint="eastAsia" w:ascii="宋体" w:hAnsi="宋体" w:cs="宋体"/>
                <w:color w:val="auto"/>
                <w:szCs w:val="21"/>
                <w:highlight w:val="none"/>
              </w:rPr>
              <w:t>供应商须提供具备履行合同所必需的设备和专业技术能力的证明材料。</w:t>
            </w:r>
            <w:r>
              <w:rPr>
                <w:rFonts w:ascii="宋体" w:hAnsi="宋体"/>
                <w:b/>
                <w:bCs/>
                <w:color w:val="auto"/>
                <w:szCs w:val="21"/>
                <w:highlight w:val="none"/>
              </w:rPr>
              <w:t>（提供承诺书）</w:t>
            </w:r>
          </w:p>
        </w:tc>
      </w:tr>
      <w:tr w14:paraId="0DC0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599BE986">
            <w:pPr>
              <w:autoSpaceDE w:val="0"/>
              <w:autoSpaceDN w:val="0"/>
              <w:adjustRightInd w:val="0"/>
              <w:jc w:val="center"/>
              <w:rPr>
                <w:rFonts w:hint="eastAsia" w:ascii="宋体" w:hAnsi="宋体"/>
                <w:color w:val="auto"/>
                <w:kern w:val="0"/>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D5A9A09">
            <w:pPr>
              <w:pStyle w:val="45"/>
              <w:overflowPunct w:val="0"/>
              <w:spacing w:line="360" w:lineRule="auto"/>
              <w:jc w:val="center"/>
              <w:rPr>
                <w:rFonts w:hint="eastAsia" w:hAnsi="宋体"/>
                <w:b/>
                <w:bCs/>
                <w:color w:val="auto"/>
                <w:kern w:val="0"/>
                <w:highlight w:val="none"/>
              </w:rPr>
            </w:pPr>
            <w:r>
              <w:rPr>
                <w:rFonts w:hint="eastAsia" w:hAnsi="宋体" w:cs="宋体"/>
                <w:b/>
                <w:bCs/>
                <w:color w:val="auto"/>
                <w:highlight w:val="none"/>
              </w:rPr>
              <w:t>4.1.4</w:t>
            </w:r>
          </w:p>
        </w:tc>
        <w:tc>
          <w:tcPr>
            <w:tcW w:w="2238" w:type="dxa"/>
            <w:tcBorders>
              <w:top w:val="single" w:color="auto" w:sz="6" w:space="0"/>
              <w:left w:val="single" w:color="auto" w:sz="6" w:space="0"/>
              <w:bottom w:val="single" w:color="auto" w:sz="6" w:space="0"/>
              <w:right w:val="single" w:color="auto" w:sz="6" w:space="0"/>
            </w:tcBorders>
            <w:vAlign w:val="center"/>
          </w:tcPr>
          <w:p w14:paraId="27D43BBD">
            <w:pPr>
              <w:pStyle w:val="45"/>
              <w:spacing w:line="360" w:lineRule="auto"/>
              <w:rPr>
                <w:rFonts w:hint="eastAsia" w:hAnsi="宋体"/>
                <w:b/>
                <w:bCs/>
                <w:color w:val="auto"/>
                <w:kern w:val="0"/>
                <w:highlight w:val="none"/>
              </w:rPr>
            </w:pPr>
            <w:r>
              <w:rPr>
                <w:rFonts w:hint="eastAsia" w:hAnsi="宋体" w:cs="宋体"/>
                <w:b/>
                <w:bCs/>
                <w:color w:val="auto"/>
                <w:highlight w:val="none"/>
              </w:rPr>
              <w:t>纳税证明材料的时间范围</w:t>
            </w:r>
          </w:p>
        </w:tc>
        <w:tc>
          <w:tcPr>
            <w:tcW w:w="6013" w:type="dxa"/>
            <w:tcBorders>
              <w:top w:val="single" w:color="auto" w:sz="6" w:space="0"/>
              <w:left w:val="single" w:color="auto" w:sz="6" w:space="0"/>
              <w:bottom w:val="single" w:color="auto" w:sz="6" w:space="0"/>
              <w:right w:val="single" w:color="auto" w:sz="12" w:space="0"/>
            </w:tcBorders>
            <w:vAlign w:val="center"/>
          </w:tcPr>
          <w:p w14:paraId="14048DCA">
            <w:pPr>
              <w:pStyle w:val="45"/>
              <w:overflowPunct w:val="0"/>
              <w:snapToGrid w:val="0"/>
              <w:spacing w:line="360" w:lineRule="auto"/>
              <w:jc w:val="both"/>
              <w:rPr>
                <w:rFonts w:hint="eastAsia" w:hAnsi="宋体"/>
                <w:color w:val="auto"/>
                <w:kern w:val="0"/>
                <w:highlight w:val="none"/>
              </w:rPr>
            </w:pPr>
            <w:r>
              <w:rPr>
                <w:rFonts w:hint="eastAsia" w:hAnsi="宋体" w:cs="宋体"/>
                <w:color w:val="auto"/>
                <w:highlight w:val="none"/>
              </w:rPr>
              <w:t>缴税</w:t>
            </w:r>
            <w:r>
              <w:rPr>
                <w:rFonts w:hint="eastAsia" w:hAnsi="宋体" w:cs="宋体"/>
                <w:color w:val="auto"/>
                <w:highlight w:val="none"/>
                <w:lang w:eastAsia="zh-CN"/>
              </w:rPr>
              <w:t>所属时间在2025年04月至投标截止日期前</w:t>
            </w:r>
            <w:r>
              <w:rPr>
                <w:rFonts w:hint="eastAsia" w:hAnsi="宋体" w:cs="宋体"/>
                <w:b/>
                <w:bCs/>
                <w:color w:val="auto"/>
                <w:highlight w:val="none"/>
              </w:rPr>
              <w:t>任意1个月</w:t>
            </w:r>
            <w:r>
              <w:rPr>
                <w:rFonts w:hint="eastAsia" w:hAnsi="宋体" w:cs="宋体"/>
                <w:color w:val="auto"/>
                <w:highlight w:val="none"/>
              </w:rPr>
              <w:t>的税务局税收通用缴款书复印件/扫描件或银行电子缴税（费）凭证复印件/扫描件或税务局出具纳税情况的相关证明复印件/扫描件。</w:t>
            </w:r>
            <w:r>
              <w:rPr>
                <w:rFonts w:hint="eastAsia" w:hAnsi="宋体"/>
                <w:b/>
                <w:bCs/>
                <w:color w:val="auto"/>
                <w:kern w:val="0"/>
                <w:highlight w:val="none"/>
              </w:rPr>
              <w:t>（</w:t>
            </w:r>
            <w:r>
              <w:rPr>
                <w:rFonts w:hint="eastAsia" w:hAnsi="宋体" w:cs="宋体"/>
                <w:b/>
                <w:color w:val="auto"/>
                <w:highlight w:val="none"/>
              </w:rPr>
              <w:t>新成立的</w:t>
            </w:r>
            <w:r>
              <w:rPr>
                <w:rFonts w:hint="eastAsia" w:hAnsi="宋体"/>
                <w:b/>
                <w:color w:val="auto"/>
                <w:highlight w:val="none"/>
              </w:rPr>
              <w:t>供应商</w:t>
            </w:r>
            <w:r>
              <w:rPr>
                <w:rFonts w:hint="eastAsia" w:hAnsi="宋体" w:cs="宋体"/>
                <w:b/>
                <w:color w:val="auto"/>
                <w:highlight w:val="none"/>
              </w:rPr>
              <w:t>根据实际情况提供</w:t>
            </w:r>
            <w:r>
              <w:rPr>
                <w:rFonts w:hint="eastAsia" w:hAnsi="宋体"/>
                <w:b/>
                <w:bCs/>
                <w:color w:val="auto"/>
                <w:kern w:val="0"/>
                <w:highlight w:val="none"/>
              </w:rPr>
              <w:t>；依法免税的供应商，应提供相应文件证明其依法免税）。</w:t>
            </w:r>
          </w:p>
        </w:tc>
      </w:tr>
      <w:tr w14:paraId="2C48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246A7262">
            <w:pPr>
              <w:autoSpaceDE w:val="0"/>
              <w:autoSpaceDN w:val="0"/>
              <w:adjustRightInd w:val="0"/>
              <w:jc w:val="center"/>
              <w:rPr>
                <w:rFonts w:hint="eastAsia" w:ascii="宋体" w:hAnsi="宋体"/>
                <w:color w:val="auto"/>
                <w:kern w:val="0"/>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2B2EFFF">
            <w:pPr>
              <w:pStyle w:val="45"/>
              <w:overflowPunct w:val="0"/>
              <w:spacing w:line="360" w:lineRule="auto"/>
              <w:jc w:val="center"/>
              <w:rPr>
                <w:rFonts w:hint="eastAsia" w:hAnsi="宋体" w:cs="宋体"/>
                <w:b/>
                <w:bCs/>
                <w:color w:val="auto"/>
                <w:highlight w:val="none"/>
              </w:rPr>
            </w:pPr>
            <w:r>
              <w:rPr>
                <w:rFonts w:hint="eastAsia" w:hAnsi="宋体" w:cs="宋体"/>
                <w:b/>
                <w:bCs/>
                <w:color w:val="auto"/>
                <w:highlight w:val="none"/>
              </w:rPr>
              <w:t>4.1.5</w:t>
            </w:r>
          </w:p>
        </w:tc>
        <w:tc>
          <w:tcPr>
            <w:tcW w:w="2238" w:type="dxa"/>
            <w:tcBorders>
              <w:top w:val="single" w:color="auto" w:sz="6" w:space="0"/>
              <w:left w:val="single" w:color="auto" w:sz="6" w:space="0"/>
              <w:bottom w:val="single" w:color="auto" w:sz="6" w:space="0"/>
              <w:right w:val="single" w:color="auto" w:sz="6" w:space="0"/>
            </w:tcBorders>
            <w:vAlign w:val="center"/>
          </w:tcPr>
          <w:p w14:paraId="45ADCDAC">
            <w:pPr>
              <w:pStyle w:val="45"/>
              <w:spacing w:line="360" w:lineRule="auto"/>
              <w:rPr>
                <w:rFonts w:hint="eastAsia" w:hAnsi="宋体"/>
                <w:b/>
                <w:bCs/>
                <w:color w:val="auto"/>
                <w:kern w:val="0"/>
                <w:highlight w:val="none"/>
              </w:rPr>
            </w:pPr>
            <w:r>
              <w:rPr>
                <w:rFonts w:hint="eastAsia" w:hAnsi="宋体" w:cs="宋体"/>
                <w:b/>
                <w:bCs/>
                <w:color w:val="auto"/>
                <w:highlight w:val="none"/>
              </w:rPr>
              <w:t>缴纳社会保险证明材料的时间范围</w:t>
            </w:r>
          </w:p>
        </w:tc>
        <w:tc>
          <w:tcPr>
            <w:tcW w:w="6013" w:type="dxa"/>
            <w:tcBorders>
              <w:top w:val="single" w:color="auto" w:sz="6" w:space="0"/>
              <w:left w:val="single" w:color="auto" w:sz="6" w:space="0"/>
              <w:bottom w:val="single" w:color="auto" w:sz="6" w:space="0"/>
              <w:right w:val="single" w:color="auto" w:sz="12" w:space="0"/>
            </w:tcBorders>
            <w:vAlign w:val="center"/>
          </w:tcPr>
          <w:p w14:paraId="37B816A0">
            <w:pPr>
              <w:pStyle w:val="45"/>
              <w:overflowPunct w:val="0"/>
              <w:snapToGrid w:val="0"/>
              <w:spacing w:line="360" w:lineRule="auto"/>
              <w:jc w:val="both"/>
              <w:rPr>
                <w:rFonts w:hint="eastAsia" w:hAnsi="宋体"/>
                <w:color w:val="auto"/>
                <w:kern w:val="0"/>
                <w:highlight w:val="none"/>
              </w:rPr>
            </w:pPr>
            <w:r>
              <w:rPr>
                <w:rFonts w:hint="eastAsia" w:hAnsi="宋体" w:cs="宋体"/>
                <w:color w:val="auto"/>
                <w:highlight w:val="none"/>
              </w:rPr>
              <w:t>缴费</w:t>
            </w:r>
            <w:r>
              <w:rPr>
                <w:rFonts w:hint="eastAsia" w:hAnsi="宋体" w:cs="宋体"/>
                <w:color w:val="auto"/>
                <w:highlight w:val="none"/>
                <w:lang w:eastAsia="zh-CN"/>
              </w:rPr>
              <w:t>所属时间在2025年04月至投标截止日期前</w:t>
            </w:r>
            <w:r>
              <w:rPr>
                <w:rFonts w:hint="eastAsia" w:hAnsi="宋体" w:cs="宋体"/>
                <w:b/>
                <w:bCs/>
                <w:color w:val="auto"/>
                <w:highlight w:val="none"/>
              </w:rPr>
              <w:t>任意1个月</w:t>
            </w:r>
            <w:r>
              <w:rPr>
                <w:rFonts w:hint="eastAsia" w:hAnsi="宋体" w:cs="宋体"/>
                <w:color w:val="auto"/>
                <w:highlight w:val="none"/>
              </w:rPr>
              <w:t>的社会保险费缴款书复印件/扫描件或银行电子缴税（费）凭证复印件/扫描件或社保管理部门出具的有效的缴款证明复印件/扫描件。</w:t>
            </w:r>
            <w:r>
              <w:rPr>
                <w:rFonts w:hint="eastAsia" w:hAnsi="宋体"/>
                <w:b/>
                <w:bCs/>
                <w:color w:val="auto"/>
                <w:highlight w:val="none"/>
              </w:rPr>
              <w:t>（</w:t>
            </w:r>
            <w:r>
              <w:rPr>
                <w:rFonts w:hint="eastAsia" w:hAnsi="宋体" w:cs="宋体"/>
                <w:b/>
                <w:color w:val="auto"/>
                <w:highlight w:val="none"/>
              </w:rPr>
              <w:t>新成立的</w:t>
            </w:r>
            <w:r>
              <w:rPr>
                <w:rFonts w:hint="eastAsia" w:hAnsi="宋体"/>
                <w:b/>
                <w:color w:val="auto"/>
                <w:highlight w:val="none"/>
              </w:rPr>
              <w:t>供应商</w:t>
            </w:r>
            <w:r>
              <w:rPr>
                <w:rFonts w:hint="eastAsia" w:hAnsi="宋体" w:cs="宋体"/>
                <w:b/>
                <w:color w:val="auto"/>
                <w:highlight w:val="none"/>
              </w:rPr>
              <w:t>根据实际情况提供；</w:t>
            </w:r>
            <w:r>
              <w:rPr>
                <w:rFonts w:hint="eastAsia" w:hAnsi="宋体"/>
                <w:b/>
                <w:bCs/>
                <w:color w:val="auto"/>
                <w:kern w:val="0"/>
                <w:highlight w:val="none"/>
              </w:rPr>
              <w:t>依法不需要缴纳社会保障资金的供应商，应提供相应文件证明其不需要缴纳社会保障资金。</w:t>
            </w:r>
            <w:r>
              <w:rPr>
                <w:rFonts w:hint="eastAsia" w:hAnsi="宋体"/>
                <w:b/>
                <w:bCs/>
                <w:color w:val="auto"/>
                <w:highlight w:val="none"/>
              </w:rPr>
              <w:t>）</w:t>
            </w:r>
          </w:p>
        </w:tc>
      </w:tr>
      <w:tr w14:paraId="3207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0218D1FB">
            <w:pPr>
              <w:autoSpaceDE w:val="0"/>
              <w:autoSpaceDN w:val="0"/>
              <w:adjustRightInd w:val="0"/>
              <w:jc w:val="center"/>
              <w:rPr>
                <w:rFonts w:hint="eastAsia" w:ascii="宋体" w:hAnsi="宋体"/>
                <w:color w:val="auto"/>
                <w:kern w:val="0"/>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D3C4AED">
            <w:pPr>
              <w:spacing w:line="360" w:lineRule="auto"/>
              <w:rPr>
                <w:rFonts w:hint="eastAsia" w:ascii="宋体" w:hAnsi="宋体"/>
                <w:b/>
                <w:bCs/>
                <w:color w:val="auto"/>
                <w:kern w:val="0"/>
                <w:szCs w:val="21"/>
                <w:highlight w:val="none"/>
              </w:rPr>
            </w:pPr>
            <w:r>
              <w:rPr>
                <w:rFonts w:hint="eastAsia" w:ascii="宋体" w:hAnsi="宋体" w:cs="宋体"/>
                <w:b/>
                <w:bCs/>
                <w:color w:val="auto"/>
                <w:highlight w:val="none"/>
              </w:rPr>
              <w:t>4.1.6</w:t>
            </w:r>
          </w:p>
        </w:tc>
        <w:tc>
          <w:tcPr>
            <w:tcW w:w="2238" w:type="dxa"/>
            <w:tcBorders>
              <w:top w:val="single" w:color="auto" w:sz="6" w:space="0"/>
              <w:left w:val="single" w:color="auto" w:sz="6" w:space="0"/>
              <w:bottom w:val="single" w:color="auto" w:sz="6" w:space="0"/>
              <w:right w:val="single" w:color="auto" w:sz="6" w:space="0"/>
            </w:tcBorders>
            <w:vAlign w:val="center"/>
          </w:tcPr>
          <w:p w14:paraId="5D13172D">
            <w:pPr>
              <w:pStyle w:val="45"/>
              <w:overflowPunct w:val="0"/>
              <w:spacing w:line="360" w:lineRule="auto"/>
              <w:rPr>
                <w:rFonts w:hint="eastAsia" w:hAnsi="宋体"/>
                <w:b/>
                <w:bCs/>
                <w:color w:val="auto"/>
                <w:kern w:val="0"/>
                <w:highlight w:val="none"/>
              </w:rPr>
            </w:pPr>
            <w:r>
              <w:rPr>
                <w:rFonts w:hint="eastAsia" w:hAnsi="宋体" w:cs="宋体"/>
                <w:b/>
                <w:bCs/>
                <w:color w:val="auto"/>
                <w:highlight w:val="none"/>
              </w:rPr>
              <w:t>供应商参加政府采购活动前三年内，在经营活动中没有重大违法记录</w:t>
            </w:r>
          </w:p>
        </w:tc>
        <w:tc>
          <w:tcPr>
            <w:tcW w:w="6013" w:type="dxa"/>
            <w:tcBorders>
              <w:top w:val="single" w:color="auto" w:sz="6" w:space="0"/>
              <w:left w:val="single" w:color="auto" w:sz="6" w:space="0"/>
              <w:bottom w:val="single" w:color="auto" w:sz="6" w:space="0"/>
              <w:right w:val="single" w:color="auto" w:sz="12" w:space="0"/>
            </w:tcBorders>
            <w:vAlign w:val="center"/>
          </w:tcPr>
          <w:p w14:paraId="406D0935">
            <w:pPr>
              <w:pStyle w:val="45"/>
              <w:overflowPunct w:val="0"/>
              <w:spacing w:line="360" w:lineRule="auto"/>
              <w:rPr>
                <w:rFonts w:hint="eastAsia" w:hAnsi="宋体"/>
                <w:color w:val="auto"/>
                <w:kern w:val="0"/>
                <w:highlight w:val="none"/>
              </w:rPr>
            </w:pPr>
            <w:r>
              <w:rPr>
                <w:rFonts w:hint="eastAsia" w:hAnsi="宋体" w:cs="宋体"/>
                <w:color w:val="auto"/>
                <w:highlight w:val="none"/>
              </w:rPr>
              <w:t>供应商参加政府采购活动前3年内在经营活动中没有重大违法记录的书面声明（重大违法记录，是指供应商因违法经营受到刑事处罚或者责令停产停业、吊销许可证或者执照、较大数额罚款等行政处罚）。</w:t>
            </w:r>
          </w:p>
        </w:tc>
      </w:tr>
      <w:tr w14:paraId="2349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52CDA83A">
            <w:pPr>
              <w:snapToGrid w:val="0"/>
              <w:jc w:val="center"/>
              <w:rPr>
                <w:rFonts w:hint="eastAsia" w:ascii="宋体" w:hAnsi="宋体"/>
                <w:color w:val="auto"/>
                <w:kern w:val="0"/>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6BBA56B">
            <w:pPr>
              <w:snapToGrid w:val="0"/>
              <w:jc w:val="center"/>
              <w:rPr>
                <w:rFonts w:hint="eastAsia" w:ascii="宋体" w:hAnsi="宋体" w:cs="宋体"/>
                <w:b/>
                <w:bCs/>
                <w:color w:val="auto"/>
                <w:kern w:val="0"/>
                <w:highlight w:val="none"/>
              </w:rPr>
            </w:pPr>
            <w:r>
              <w:rPr>
                <w:rFonts w:hint="eastAsia" w:ascii="宋体" w:hAnsi="宋体" w:cs="宋体"/>
                <w:b/>
                <w:bCs/>
                <w:color w:val="auto"/>
                <w:kern w:val="0"/>
                <w:highlight w:val="none"/>
              </w:rPr>
              <w:t>4.2</w:t>
            </w:r>
          </w:p>
        </w:tc>
        <w:tc>
          <w:tcPr>
            <w:tcW w:w="2238" w:type="dxa"/>
            <w:tcBorders>
              <w:top w:val="single" w:color="auto" w:sz="6" w:space="0"/>
              <w:left w:val="single" w:color="auto" w:sz="6" w:space="0"/>
              <w:bottom w:val="single" w:color="auto" w:sz="6" w:space="0"/>
              <w:right w:val="single" w:color="auto" w:sz="6" w:space="0"/>
            </w:tcBorders>
            <w:vAlign w:val="center"/>
          </w:tcPr>
          <w:p w14:paraId="57C5C65F">
            <w:pPr>
              <w:pStyle w:val="45"/>
              <w:overflowPunct w:val="0"/>
              <w:spacing w:line="360" w:lineRule="auto"/>
              <w:rPr>
                <w:rFonts w:hint="eastAsia" w:hAnsi="宋体"/>
                <w:b/>
                <w:bCs/>
                <w:color w:val="auto"/>
                <w:kern w:val="0"/>
                <w:highlight w:val="none"/>
              </w:rPr>
            </w:pPr>
            <w:r>
              <w:rPr>
                <w:rFonts w:hint="eastAsia" w:hAnsi="宋体" w:cs="宋体"/>
                <w:b/>
                <w:bCs/>
                <w:color w:val="auto"/>
                <w:highlight w:val="none"/>
              </w:rPr>
              <w:t>落实政府采购政策需满足的资格要求</w:t>
            </w:r>
          </w:p>
        </w:tc>
        <w:tc>
          <w:tcPr>
            <w:tcW w:w="6013" w:type="dxa"/>
            <w:tcBorders>
              <w:top w:val="single" w:color="auto" w:sz="6" w:space="0"/>
              <w:left w:val="single" w:color="auto" w:sz="6" w:space="0"/>
              <w:bottom w:val="single" w:color="auto" w:sz="6" w:space="0"/>
              <w:right w:val="single" w:color="auto" w:sz="12" w:space="0"/>
            </w:tcBorders>
            <w:vAlign w:val="center"/>
          </w:tcPr>
          <w:p w14:paraId="595815CF">
            <w:pPr>
              <w:pStyle w:val="45"/>
              <w:overflowPunct w:val="0"/>
              <w:spacing w:line="360" w:lineRule="auto"/>
              <w:rPr>
                <w:rFonts w:hint="eastAsia" w:hAnsi="宋体"/>
                <w:color w:val="auto"/>
                <w:highlight w:val="none"/>
              </w:rPr>
            </w:pPr>
            <w:r>
              <w:rPr>
                <w:rFonts w:hint="eastAsia" w:hAnsi="宋体" w:cs="宋体"/>
                <w:color w:val="auto"/>
                <w:highlight w:val="none"/>
              </w:rPr>
              <w:t>详见第一章 二、申请人的资格要求 2、落实政府采购政策需满足的资格要求。</w:t>
            </w:r>
          </w:p>
        </w:tc>
      </w:tr>
      <w:tr w14:paraId="6999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5662CA10">
            <w:pPr>
              <w:snapToGrid w:val="0"/>
              <w:jc w:val="center"/>
              <w:rPr>
                <w:rFonts w:hint="eastAsia" w:ascii="宋体" w:hAnsi="宋体"/>
                <w:color w:val="auto"/>
                <w:kern w:val="0"/>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6EEA09B">
            <w:pPr>
              <w:snapToGrid w:val="0"/>
              <w:jc w:val="center"/>
              <w:rPr>
                <w:rFonts w:hint="eastAsia" w:ascii="宋体" w:hAnsi="宋体" w:cs="宋体"/>
                <w:b/>
                <w:bCs/>
                <w:color w:val="auto"/>
                <w:kern w:val="0"/>
                <w:highlight w:val="none"/>
              </w:rPr>
            </w:pPr>
            <w:r>
              <w:rPr>
                <w:rFonts w:hint="eastAsia" w:ascii="宋体" w:hAnsi="宋体" w:cs="宋体"/>
                <w:b/>
                <w:bCs/>
                <w:color w:val="auto"/>
                <w:kern w:val="0"/>
                <w:highlight w:val="none"/>
              </w:rPr>
              <w:t>4.3</w:t>
            </w:r>
          </w:p>
        </w:tc>
        <w:tc>
          <w:tcPr>
            <w:tcW w:w="2238" w:type="dxa"/>
            <w:tcBorders>
              <w:top w:val="single" w:color="auto" w:sz="6" w:space="0"/>
              <w:left w:val="single" w:color="auto" w:sz="6" w:space="0"/>
              <w:bottom w:val="single" w:color="auto" w:sz="6" w:space="0"/>
              <w:right w:val="single" w:color="auto" w:sz="6" w:space="0"/>
            </w:tcBorders>
            <w:vAlign w:val="center"/>
          </w:tcPr>
          <w:p w14:paraId="2B941727">
            <w:pPr>
              <w:pStyle w:val="45"/>
              <w:overflowPunct w:val="0"/>
              <w:spacing w:line="360" w:lineRule="auto"/>
              <w:rPr>
                <w:rFonts w:hint="eastAsia" w:hAnsi="宋体"/>
                <w:b/>
                <w:bCs/>
                <w:color w:val="auto"/>
                <w:highlight w:val="none"/>
              </w:rPr>
            </w:pPr>
            <w:r>
              <w:rPr>
                <w:rFonts w:hint="eastAsia" w:hAnsi="宋体" w:cs="宋体"/>
                <w:b/>
                <w:bCs/>
                <w:color w:val="auto"/>
                <w:highlight w:val="none"/>
              </w:rPr>
              <w:t>本项目的特定要求</w:t>
            </w:r>
          </w:p>
        </w:tc>
        <w:tc>
          <w:tcPr>
            <w:tcW w:w="6013" w:type="dxa"/>
            <w:tcBorders>
              <w:top w:val="single" w:color="auto" w:sz="6" w:space="0"/>
              <w:left w:val="single" w:color="auto" w:sz="6" w:space="0"/>
              <w:bottom w:val="single" w:color="auto" w:sz="6" w:space="0"/>
              <w:right w:val="single" w:color="auto" w:sz="12" w:space="0"/>
            </w:tcBorders>
            <w:vAlign w:val="center"/>
          </w:tcPr>
          <w:p w14:paraId="6B48F986">
            <w:pPr>
              <w:pStyle w:val="45"/>
              <w:overflowPunct w:val="0"/>
              <w:spacing w:line="360" w:lineRule="auto"/>
              <w:rPr>
                <w:rFonts w:hint="eastAsia" w:hAnsi="宋体"/>
                <w:color w:val="auto"/>
                <w:highlight w:val="none"/>
              </w:rPr>
            </w:pPr>
            <w:r>
              <w:rPr>
                <w:rFonts w:hint="eastAsia" w:hAnsi="宋体" w:cs="宋体"/>
                <w:color w:val="auto"/>
                <w:highlight w:val="none"/>
              </w:rPr>
              <w:t>详见第一章 二、申请人的资格要求 3、本项目的特定资格要求。</w:t>
            </w:r>
          </w:p>
        </w:tc>
      </w:tr>
      <w:tr w14:paraId="66C2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Merge w:val="continue"/>
            <w:tcBorders>
              <w:top w:val="single" w:color="auto" w:sz="6" w:space="0"/>
              <w:left w:val="single" w:color="auto" w:sz="12" w:space="0"/>
              <w:bottom w:val="single" w:color="auto" w:sz="6" w:space="0"/>
              <w:right w:val="single" w:color="auto" w:sz="6" w:space="0"/>
            </w:tcBorders>
            <w:vAlign w:val="center"/>
          </w:tcPr>
          <w:p w14:paraId="3FC4B206">
            <w:pPr>
              <w:snapToGrid w:val="0"/>
              <w:jc w:val="center"/>
              <w:rPr>
                <w:rFonts w:hint="eastAsia" w:ascii="宋体" w:hAnsi="宋体"/>
                <w:color w:val="auto"/>
                <w:kern w:val="0"/>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7EE57A8">
            <w:pPr>
              <w:snapToGrid w:val="0"/>
              <w:jc w:val="center"/>
              <w:rPr>
                <w:rFonts w:hint="eastAsia" w:ascii="宋体" w:hAnsi="宋体"/>
                <w:b/>
                <w:bCs/>
                <w:color w:val="auto"/>
                <w:kern w:val="0"/>
                <w:highlight w:val="none"/>
              </w:rPr>
            </w:pPr>
            <w:r>
              <w:rPr>
                <w:rFonts w:hint="eastAsia" w:ascii="宋体" w:hAnsi="宋体"/>
                <w:b/>
                <w:bCs/>
                <w:color w:val="auto"/>
                <w:kern w:val="0"/>
                <w:highlight w:val="none"/>
              </w:rPr>
              <w:t>4.7</w:t>
            </w:r>
          </w:p>
        </w:tc>
        <w:tc>
          <w:tcPr>
            <w:tcW w:w="2238" w:type="dxa"/>
            <w:tcBorders>
              <w:top w:val="single" w:color="auto" w:sz="6" w:space="0"/>
              <w:left w:val="single" w:color="auto" w:sz="6" w:space="0"/>
              <w:bottom w:val="single" w:color="auto" w:sz="6" w:space="0"/>
              <w:right w:val="single" w:color="auto" w:sz="6" w:space="0"/>
            </w:tcBorders>
            <w:vAlign w:val="center"/>
          </w:tcPr>
          <w:p w14:paraId="0DA5D32D">
            <w:pPr>
              <w:pStyle w:val="45"/>
              <w:overflowPunct w:val="0"/>
              <w:spacing w:line="360" w:lineRule="auto"/>
              <w:rPr>
                <w:rFonts w:hint="eastAsia" w:hAnsi="宋体"/>
                <w:b/>
                <w:bCs/>
                <w:color w:val="auto"/>
                <w:highlight w:val="none"/>
              </w:rPr>
            </w:pPr>
            <w:r>
              <w:rPr>
                <w:rFonts w:hint="eastAsia" w:hAnsi="宋体" w:cs="宋体"/>
                <w:b/>
                <w:bCs/>
                <w:color w:val="auto"/>
                <w:highlight w:val="none"/>
              </w:rPr>
              <w:t>是否接受联合体参加磋商</w:t>
            </w:r>
          </w:p>
        </w:tc>
        <w:tc>
          <w:tcPr>
            <w:tcW w:w="6013" w:type="dxa"/>
            <w:tcBorders>
              <w:top w:val="single" w:color="auto" w:sz="6" w:space="0"/>
              <w:left w:val="single" w:color="auto" w:sz="6" w:space="0"/>
              <w:bottom w:val="single" w:color="auto" w:sz="6" w:space="0"/>
              <w:right w:val="single" w:color="auto" w:sz="12" w:space="0"/>
            </w:tcBorders>
            <w:vAlign w:val="center"/>
          </w:tcPr>
          <w:p w14:paraId="2DA324AA">
            <w:pPr>
              <w:pStyle w:val="45"/>
              <w:overflowPunct w:val="0"/>
              <w:spacing w:line="360" w:lineRule="auto"/>
              <w:rPr>
                <w:rFonts w:hint="eastAsia" w:hAnsi="宋体"/>
                <w:color w:val="auto"/>
                <w:highlight w:val="none"/>
              </w:rPr>
            </w:pPr>
            <w:r>
              <w:rPr>
                <w:rFonts w:hint="eastAsia" w:hAnsi="宋体" w:cs="宋体"/>
                <w:color w:val="auto"/>
                <w:highlight w:val="none"/>
              </w:rPr>
              <w:t xml:space="preserve">□接受   </w:t>
            </w:r>
            <w:r>
              <w:rPr>
                <w:rFonts w:ascii="Segoe UI Symbol" w:hAnsi="Segoe UI Symbol" w:cs="Segoe UI Symbol"/>
                <w:color w:val="auto"/>
                <w:highlight w:val="none"/>
              </w:rPr>
              <w:t>☑</w:t>
            </w:r>
            <w:r>
              <w:rPr>
                <w:rFonts w:hint="eastAsia" w:hAnsi="宋体" w:cs="宋体"/>
                <w:color w:val="auto"/>
                <w:highlight w:val="none"/>
              </w:rPr>
              <w:t>不接受</w:t>
            </w:r>
          </w:p>
        </w:tc>
      </w:tr>
      <w:tr w14:paraId="051C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48192C44">
            <w:pPr>
              <w:snapToGrid w:val="0"/>
              <w:jc w:val="center"/>
              <w:rPr>
                <w:rFonts w:hint="eastAsia" w:ascii="宋体" w:hAnsi="宋体"/>
                <w:color w:val="auto"/>
                <w:kern w:val="0"/>
                <w:highlight w:val="none"/>
              </w:rPr>
            </w:pPr>
            <w:r>
              <w:rPr>
                <w:rFonts w:hint="eastAsia" w:ascii="宋体" w:hAnsi="宋体"/>
                <w:color w:val="auto"/>
                <w:kern w:val="0"/>
                <w:highlight w:val="none"/>
              </w:rPr>
              <w:t>9</w:t>
            </w:r>
          </w:p>
        </w:tc>
        <w:tc>
          <w:tcPr>
            <w:tcW w:w="2238" w:type="dxa"/>
            <w:tcBorders>
              <w:top w:val="single" w:color="auto" w:sz="6" w:space="0"/>
              <w:left w:val="single" w:color="auto" w:sz="6" w:space="0"/>
              <w:bottom w:val="single" w:color="auto" w:sz="6" w:space="0"/>
              <w:right w:val="single" w:color="auto" w:sz="6" w:space="0"/>
            </w:tcBorders>
            <w:vAlign w:val="center"/>
          </w:tcPr>
          <w:p w14:paraId="08C40FC3">
            <w:pPr>
              <w:autoSpaceDE w:val="0"/>
              <w:autoSpaceDN w:val="0"/>
              <w:adjustRightInd w:val="0"/>
              <w:snapToGrid w:val="0"/>
              <w:textAlignment w:val="bottom"/>
              <w:rPr>
                <w:rFonts w:hint="eastAsia" w:ascii="宋体" w:hAnsi="宋体"/>
                <w:color w:val="auto"/>
                <w:kern w:val="0"/>
                <w:szCs w:val="21"/>
                <w:highlight w:val="none"/>
              </w:rPr>
            </w:pPr>
            <w:r>
              <w:rPr>
                <w:rFonts w:hint="eastAsia" w:ascii="宋体" w:hAnsi="宋体"/>
                <w:color w:val="auto"/>
                <w:kern w:val="0"/>
                <w:szCs w:val="21"/>
                <w:highlight w:val="none"/>
              </w:rPr>
              <w:t>磋商文件澄清</w:t>
            </w:r>
            <w:r>
              <w:rPr>
                <w:rFonts w:hint="eastAsia" w:ascii="宋体" w:hAnsi="宋体"/>
                <w:color w:val="auto"/>
                <w:szCs w:val="21"/>
                <w:highlight w:val="none"/>
              </w:rPr>
              <w:t>截止时间</w:t>
            </w:r>
          </w:p>
        </w:tc>
        <w:tc>
          <w:tcPr>
            <w:tcW w:w="6013" w:type="dxa"/>
            <w:tcBorders>
              <w:top w:val="single" w:color="auto" w:sz="6" w:space="0"/>
              <w:left w:val="single" w:color="auto" w:sz="6" w:space="0"/>
              <w:bottom w:val="single" w:color="auto" w:sz="6" w:space="0"/>
              <w:right w:val="single" w:color="auto" w:sz="12" w:space="0"/>
            </w:tcBorders>
            <w:vAlign w:val="center"/>
          </w:tcPr>
          <w:p w14:paraId="649D6442">
            <w:pPr>
              <w:autoSpaceDE w:val="0"/>
              <w:autoSpaceDN w:val="0"/>
              <w:adjustRightInd w:val="0"/>
              <w:snapToGrid w:val="0"/>
              <w:textAlignment w:val="bottom"/>
              <w:rPr>
                <w:rFonts w:hint="eastAsia" w:ascii="宋体" w:hAnsi="宋体"/>
                <w:color w:val="auto"/>
                <w:kern w:val="0"/>
                <w:szCs w:val="21"/>
                <w:highlight w:val="none"/>
              </w:rPr>
            </w:pPr>
            <w:r>
              <w:rPr>
                <w:rFonts w:hint="eastAsia" w:ascii="宋体" w:hAnsi="宋体"/>
                <w:color w:val="auto"/>
                <w:szCs w:val="21"/>
                <w:highlight w:val="none"/>
              </w:rPr>
              <w:t>提交响应文件截止时间</w:t>
            </w:r>
            <w:r>
              <w:rPr>
                <w:rFonts w:hint="eastAsia" w:ascii="宋体" w:hAnsi="宋体"/>
                <w:color w:val="auto"/>
                <w:szCs w:val="21"/>
                <w:highlight w:val="none"/>
                <w:u w:val="single"/>
              </w:rPr>
              <w:t>5</w:t>
            </w:r>
            <w:r>
              <w:rPr>
                <w:rFonts w:hint="eastAsia" w:ascii="宋体" w:hAnsi="宋体"/>
                <w:color w:val="auto"/>
                <w:szCs w:val="21"/>
                <w:highlight w:val="none"/>
              </w:rPr>
              <w:t>日前。</w:t>
            </w:r>
          </w:p>
        </w:tc>
      </w:tr>
      <w:tr w14:paraId="1977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25597D42">
            <w:pPr>
              <w:snapToGrid w:val="0"/>
              <w:spacing w:line="360" w:lineRule="auto"/>
              <w:jc w:val="center"/>
              <w:rPr>
                <w:rFonts w:hint="eastAsia" w:ascii="宋体" w:hAnsi="宋体"/>
                <w:color w:val="auto"/>
                <w:kern w:val="0"/>
                <w:highlight w:val="none"/>
              </w:rPr>
            </w:pPr>
            <w:r>
              <w:rPr>
                <w:rFonts w:hint="eastAsia" w:ascii="宋体" w:hAnsi="宋体"/>
                <w:color w:val="auto"/>
                <w:kern w:val="0"/>
                <w:highlight w:val="none"/>
              </w:rPr>
              <w:t>9.6</w:t>
            </w:r>
          </w:p>
        </w:tc>
        <w:tc>
          <w:tcPr>
            <w:tcW w:w="2238" w:type="dxa"/>
            <w:tcBorders>
              <w:top w:val="single" w:color="auto" w:sz="6" w:space="0"/>
              <w:left w:val="single" w:color="auto" w:sz="6" w:space="0"/>
              <w:bottom w:val="single" w:color="auto" w:sz="6" w:space="0"/>
              <w:right w:val="single" w:color="auto" w:sz="6" w:space="0"/>
            </w:tcBorders>
            <w:vAlign w:val="center"/>
          </w:tcPr>
          <w:p w14:paraId="75270D90">
            <w:pPr>
              <w:autoSpaceDE w:val="0"/>
              <w:autoSpaceDN w:val="0"/>
              <w:adjustRightInd w:val="0"/>
              <w:snapToGrid w:val="0"/>
              <w:spacing w:line="360" w:lineRule="auto"/>
              <w:textAlignment w:val="bottom"/>
              <w:rPr>
                <w:rFonts w:hint="eastAsia" w:ascii="宋体" w:hAnsi="宋体"/>
                <w:color w:val="auto"/>
                <w:kern w:val="0"/>
                <w:szCs w:val="21"/>
                <w:highlight w:val="none"/>
              </w:rPr>
            </w:pPr>
            <w:r>
              <w:rPr>
                <w:rFonts w:hint="eastAsia" w:ascii="宋体" w:hAnsi="宋体"/>
                <w:color w:val="auto"/>
                <w:szCs w:val="21"/>
                <w:highlight w:val="none"/>
              </w:rPr>
              <w:t>本项目磋商小组根据与供应商磋商情况可能变动的内容</w:t>
            </w:r>
          </w:p>
        </w:tc>
        <w:tc>
          <w:tcPr>
            <w:tcW w:w="6013" w:type="dxa"/>
            <w:tcBorders>
              <w:top w:val="single" w:color="auto" w:sz="6" w:space="0"/>
              <w:left w:val="single" w:color="auto" w:sz="6" w:space="0"/>
              <w:bottom w:val="single" w:color="auto" w:sz="6" w:space="0"/>
              <w:right w:val="single" w:color="auto" w:sz="12" w:space="0"/>
            </w:tcBorders>
            <w:vAlign w:val="center"/>
          </w:tcPr>
          <w:p w14:paraId="76403D2D">
            <w:pPr>
              <w:autoSpaceDE w:val="0"/>
              <w:autoSpaceDN w:val="0"/>
              <w:adjustRightInd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在磋商过程中，磋商小组可以根据磋商文件和磋商情况实质性变动第五章中的技术、服务要求以及合同草案条款，但不得变动磋商文件中的其他内容，实质性变动的内容，须经采购人代表确认。</w:t>
            </w:r>
          </w:p>
        </w:tc>
      </w:tr>
      <w:tr w14:paraId="6C05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2914914C">
            <w:pPr>
              <w:pStyle w:val="45"/>
              <w:overflowPunct w:val="0"/>
              <w:spacing w:line="360" w:lineRule="auto"/>
              <w:jc w:val="center"/>
              <w:rPr>
                <w:rFonts w:hint="eastAsia" w:hAnsi="宋体"/>
                <w:b/>
                <w:bCs/>
                <w:color w:val="auto"/>
                <w:kern w:val="0"/>
                <w:highlight w:val="none"/>
              </w:rPr>
            </w:pPr>
            <w:r>
              <w:rPr>
                <w:rFonts w:hint="eastAsia" w:hAnsi="宋体" w:cs="宋体"/>
                <w:b/>
                <w:bCs/>
                <w:color w:val="auto"/>
                <w:highlight w:val="none"/>
              </w:rPr>
              <w:t>11.2</w:t>
            </w:r>
          </w:p>
        </w:tc>
        <w:tc>
          <w:tcPr>
            <w:tcW w:w="2238" w:type="dxa"/>
            <w:tcBorders>
              <w:top w:val="single" w:color="auto" w:sz="6" w:space="0"/>
              <w:left w:val="single" w:color="auto" w:sz="6" w:space="0"/>
              <w:bottom w:val="single" w:color="auto" w:sz="6" w:space="0"/>
              <w:right w:val="single" w:color="auto" w:sz="6" w:space="0"/>
            </w:tcBorders>
            <w:vAlign w:val="center"/>
          </w:tcPr>
          <w:p w14:paraId="1516DCBD">
            <w:pPr>
              <w:overflowPunct w:val="0"/>
              <w:autoSpaceDE w:val="0"/>
              <w:autoSpaceDN w:val="0"/>
              <w:snapToGrid w:val="0"/>
              <w:spacing w:line="360" w:lineRule="auto"/>
              <w:textAlignment w:val="bottom"/>
              <w:rPr>
                <w:rFonts w:hint="eastAsia" w:ascii="宋体" w:hAnsi="宋体"/>
                <w:b/>
                <w:bCs/>
                <w:color w:val="auto"/>
                <w:kern w:val="0"/>
                <w:szCs w:val="21"/>
                <w:highlight w:val="none"/>
              </w:rPr>
            </w:pPr>
            <w:r>
              <w:rPr>
                <w:rFonts w:hint="eastAsia" w:ascii="宋体" w:hAnsi="宋体" w:cs="宋体"/>
                <w:b/>
                <w:bCs/>
                <w:color w:val="auto"/>
                <w:kern w:val="0"/>
                <w:szCs w:val="21"/>
                <w:highlight w:val="none"/>
              </w:rPr>
              <w:t>构成响应文件的其他资料</w:t>
            </w:r>
          </w:p>
        </w:tc>
        <w:tc>
          <w:tcPr>
            <w:tcW w:w="6013" w:type="dxa"/>
            <w:tcBorders>
              <w:top w:val="single" w:color="auto" w:sz="6" w:space="0"/>
              <w:left w:val="single" w:color="auto" w:sz="6" w:space="0"/>
              <w:bottom w:val="single" w:color="auto" w:sz="6" w:space="0"/>
              <w:right w:val="single" w:color="auto" w:sz="12" w:space="0"/>
            </w:tcBorders>
            <w:vAlign w:val="center"/>
          </w:tcPr>
          <w:p w14:paraId="291F071E">
            <w:pPr>
              <w:pStyle w:val="45"/>
              <w:overflowPunct w:val="0"/>
              <w:spacing w:line="360" w:lineRule="auto"/>
              <w:rPr>
                <w:rFonts w:hint="eastAsia" w:hAnsi="宋体" w:cs="宋体"/>
                <w:color w:val="auto"/>
                <w:highlight w:val="none"/>
              </w:rPr>
            </w:pPr>
            <w:r>
              <w:rPr>
                <w:rFonts w:hint="eastAsia" w:hAnsi="宋体" w:cs="宋体"/>
                <w:color w:val="auto"/>
                <w:highlight w:val="none"/>
              </w:rPr>
              <w:t>1、“第五章 项目需求”中要求提供的其他资料。</w:t>
            </w:r>
          </w:p>
          <w:p w14:paraId="2660D62D">
            <w:pPr>
              <w:pStyle w:val="45"/>
              <w:overflowPunct w:val="0"/>
              <w:spacing w:line="360" w:lineRule="auto"/>
              <w:rPr>
                <w:rFonts w:hint="eastAsia" w:hAnsi="宋体"/>
                <w:color w:val="auto"/>
                <w:kern w:val="0"/>
                <w:highlight w:val="none"/>
              </w:rPr>
            </w:pPr>
            <w:r>
              <w:rPr>
                <w:rFonts w:hint="eastAsia" w:hAnsi="宋体" w:cs="宋体"/>
                <w:color w:val="auto"/>
                <w:highlight w:val="none"/>
              </w:rPr>
              <w:t>2、竞争性磋商文件中所涉及到的相关资料及证明文件或供应商认为必须提供的其他相关资料。</w:t>
            </w:r>
          </w:p>
        </w:tc>
      </w:tr>
      <w:tr w14:paraId="2376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2344070F">
            <w:pPr>
              <w:snapToGrid w:val="0"/>
              <w:jc w:val="center"/>
              <w:rPr>
                <w:rFonts w:hint="eastAsia" w:ascii="宋体" w:hAnsi="宋体" w:cs="宋体"/>
                <w:b/>
                <w:bCs/>
                <w:color w:val="auto"/>
                <w:highlight w:val="none"/>
              </w:rPr>
            </w:pPr>
            <w:r>
              <w:rPr>
                <w:rFonts w:hint="eastAsia" w:ascii="宋体" w:hAnsi="宋体" w:cs="宋体"/>
                <w:b/>
                <w:bCs/>
                <w:color w:val="auto"/>
                <w:highlight w:val="none"/>
              </w:rPr>
              <w:t>★12.2</w:t>
            </w:r>
          </w:p>
        </w:tc>
        <w:tc>
          <w:tcPr>
            <w:tcW w:w="2238" w:type="dxa"/>
            <w:tcBorders>
              <w:top w:val="single" w:color="auto" w:sz="6" w:space="0"/>
              <w:left w:val="single" w:color="auto" w:sz="6" w:space="0"/>
              <w:bottom w:val="single" w:color="auto" w:sz="6" w:space="0"/>
              <w:right w:val="single" w:color="auto" w:sz="6" w:space="0"/>
            </w:tcBorders>
            <w:vAlign w:val="center"/>
          </w:tcPr>
          <w:p w14:paraId="03CFA198">
            <w:pPr>
              <w:autoSpaceDE w:val="0"/>
              <w:autoSpaceDN w:val="0"/>
              <w:adjustRightInd w:val="0"/>
              <w:snapToGrid w:val="0"/>
              <w:textAlignment w:val="bottom"/>
              <w:rPr>
                <w:rFonts w:hint="eastAsia" w:ascii="宋体" w:hAnsi="宋体" w:cs="宋体"/>
                <w:b/>
                <w:bCs/>
                <w:color w:val="auto"/>
                <w:kern w:val="0"/>
                <w:szCs w:val="21"/>
                <w:highlight w:val="none"/>
              </w:rPr>
            </w:pPr>
            <w:r>
              <w:rPr>
                <w:rFonts w:hint="eastAsia" w:ascii="宋体" w:hAnsi="宋体"/>
                <w:b/>
                <w:bCs/>
                <w:color w:val="auto"/>
                <w:szCs w:val="21"/>
                <w:highlight w:val="none"/>
              </w:rPr>
              <w:t>磋商报价</w:t>
            </w:r>
          </w:p>
        </w:tc>
        <w:tc>
          <w:tcPr>
            <w:tcW w:w="6013" w:type="dxa"/>
            <w:tcBorders>
              <w:top w:val="single" w:color="auto" w:sz="6" w:space="0"/>
              <w:left w:val="single" w:color="auto" w:sz="6" w:space="0"/>
              <w:bottom w:val="single" w:color="auto" w:sz="6" w:space="0"/>
              <w:right w:val="single" w:color="auto" w:sz="12" w:space="0"/>
            </w:tcBorders>
            <w:vAlign w:val="center"/>
          </w:tcPr>
          <w:p w14:paraId="2A32A994">
            <w:pPr>
              <w:spacing w:line="360" w:lineRule="auto"/>
              <w:rPr>
                <w:rFonts w:hint="eastAsia" w:ascii="宋体" w:hAnsi="宋体"/>
                <w:b/>
                <w:color w:val="auto"/>
                <w:highlight w:val="none"/>
              </w:rPr>
            </w:pPr>
            <w:r>
              <w:rPr>
                <w:rFonts w:hint="eastAsia" w:ascii="宋体" w:hAnsi="宋体"/>
                <w:b/>
                <w:color w:val="auto"/>
                <w:highlight w:val="none"/>
              </w:rPr>
              <w:t>1、供应商应按照采购人提供的工程量清单以及磋商文件的要求进行报价，初次磋商报价及最终磋商报价均不得超过本项目规定的最高限价。否则将按实质性不响应磋商文件要求否决其磋商申请。</w:t>
            </w:r>
          </w:p>
          <w:p w14:paraId="038CBBCB">
            <w:pPr>
              <w:spacing w:line="360" w:lineRule="auto"/>
              <w:rPr>
                <w:rFonts w:hint="eastAsia" w:ascii="宋体" w:hAnsi="宋体"/>
                <w:color w:val="auto"/>
                <w:kern w:val="0"/>
                <w:szCs w:val="21"/>
                <w:highlight w:val="none"/>
              </w:rPr>
            </w:pPr>
            <w:r>
              <w:rPr>
                <w:rFonts w:hint="eastAsia" w:ascii="宋体" w:hAnsi="宋体"/>
                <w:b/>
                <w:bCs/>
                <w:color w:val="auto"/>
                <w:kern w:val="0"/>
                <w:szCs w:val="21"/>
                <w:highlight w:val="none"/>
              </w:rPr>
              <w:t>2、</w:t>
            </w:r>
            <w:r>
              <w:rPr>
                <w:rFonts w:ascii="宋体" w:hAnsi="宋体"/>
                <w:color w:val="auto"/>
                <w:kern w:val="0"/>
                <w:szCs w:val="21"/>
                <w:highlight w:val="none"/>
              </w:rPr>
              <w:t>本项目采用工程量清单报价方式进行报价，供应商按“工程量清单”的要求填写相应报价。若在响应文件递交截止时间前修改磋商申请函中的磋商总报价，应同时修改“工程量清单”中的相应报价。</w:t>
            </w:r>
          </w:p>
          <w:p w14:paraId="6D986288">
            <w:pPr>
              <w:spacing w:line="360" w:lineRule="auto"/>
              <w:rPr>
                <w:rFonts w:hint="eastAsia" w:ascii="宋体" w:hAnsi="宋体"/>
                <w:b/>
                <w:color w:val="auto"/>
                <w:highlight w:val="none"/>
              </w:rPr>
            </w:pPr>
            <w:r>
              <w:rPr>
                <w:rFonts w:hint="eastAsia" w:ascii="宋体" w:hAnsi="宋体"/>
                <w:b/>
                <w:bCs/>
                <w:color w:val="auto"/>
                <w:kern w:val="0"/>
                <w:szCs w:val="21"/>
                <w:highlight w:val="none"/>
              </w:rPr>
              <w:t>3、</w:t>
            </w:r>
            <w:r>
              <w:rPr>
                <w:rFonts w:ascii="宋体" w:hAnsi="宋体"/>
                <w:color w:val="auto"/>
                <w:kern w:val="0"/>
                <w:szCs w:val="21"/>
                <w:highlight w:val="none"/>
              </w:rPr>
              <w:t>供应商应按照中华人民共和国住房和城乡建设部发布的《建设工程工程量清单计价标准》（</w:t>
            </w:r>
            <w:r>
              <w:rPr>
                <w:rFonts w:hint="eastAsia" w:ascii="宋体" w:hAnsi="宋体"/>
                <w:color w:val="auto"/>
                <w:kern w:val="0"/>
                <w:szCs w:val="21"/>
                <w:highlight w:val="none"/>
              </w:rPr>
              <w:t>GB/T50500-2024</w:t>
            </w:r>
            <w:r>
              <w:rPr>
                <w:rFonts w:ascii="宋体" w:hAnsi="宋体"/>
                <w:color w:val="auto"/>
                <w:kern w:val="0"/>
                <w:szCs w:val="21"/>
                <w:highlight w:val="none"/>
              </w:rPr>
              <w:t>）等现行的法律、法规文件，结合供应商实际和市场价格，综合考虑各种风险后采用综合单价形式进行工程量清单报价，磋商报价不得低于其企业成本价。每一项目只允许有一个报价，任何有选择的报价将不被接受。</w:t>
            </w:r>
          </w:p>
          <w:p w14:paraId="4F770136">
            <w:pPr>
              <w:spacing w:line="360" w:lineRule="auto"/>
              <w:rPr>
                <w:rFonts w:hint="eastAsia" w:ascii="宋体" w:hAnsi="宋体"/>
                <w:b/>
                <w:color w:val="auto"/>
                <w:highlight w:val="none"/>
              </w:rPr>
            </w:pPr>
            <w:r>
              <w:rPr>
                <w:rFonts w:hint="eastAsia" w:ascii="宋体" w:hAnsi="宋体"/>
                <w:b/>
                <w:color w:val="auto"/>
                <w:highlight w:val="none"/>
              </w:rPr>
              <w:t>4、</w:t>
            </w:r>
            <w:r>
              <w:rPr>
                <w:rFonts w:ascii="宋体" w:hAnsi="宋体"/>
                <w:color w:val="auto"/>
                <w:highlight w:val="none"/>
              </w:rPr>
              <w:t>磋商报价应包括完成磋商文件及合同规定的全部工作所需的一切费用及拟获得的利润、税金等所有费用，应符合国内行情并能保证供应商完成履行合同（采购范围内）所需的一切工作</w:t>
            </w:r>
            <w:r>
              <w:rPr>
                <w:rFonts w:hint="eastAsia" w:ascii="宋体" w:hAnsi="宋体"/>
                <w:color w:val="auto"/>
                <w:highlight w:val="none"/>
              </w:rPr>
              <w:t>。</w:t>
            </w:r>
          </w:p>
        </w:tc>
      </w:tr>
      <w:tr w14:paraId="5092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72E8C220">
            <w:pPr>
              <w:snapToGrid w:val="0"/>
              <w:jc w:val="center"/>
              <w:rPr>
                <w:rFonts w:hint="eastAsia" w:ascii="宋体" w:hAnsi="宋体" w:cs="宋体"/>
                <w:b/>
                <w:bCs/>
                <w:color w:val="auto"/>
                <w:highlight w:val="none"/>
              </w:rPr>
            </w:pPr>
            <w:r>
              <w:rPr>
                <w:rFonts w:hint="eastAsia" w:ascii="宋体" w:hAnsi="宋体" w:cs="宋体"/>
                <w:b/>
                <w:bCs/>
                <w:color w:val="auto"/>
                <w:highlight w:val="none"/>
              </w:rPr>
              <w:t>★12.3</w:t>
            </w:r>
          </w:p>
        </w:tc>
        <w:tc>
          <w:tcPr>
            <w:tcW w:w="2238" w:type="dxa"/>
            <w:tcBorders>
              <w:top w:val="single" w:color="auto" w:sz="6" w:space="0"/>
              <w:left w:val="single" w:color="auto" w:sz="6" w:space="0"/>
              <w:bottom w:val="single" w:color="auto" w:sz="6" w:space="0"/>
              <w:right w:val="single" w:color="auto" w:sz="6" w:space="0"/>
            </w:tcBorders>
            <w:vAlign w:val="center"/>
          </w:tcPr>
          <w:p w14:paraId="666C37E4">
            <w:pPr>
              <w:autoSpaceDE w:val="0"/>
              <w:autoSpaceDN w:val="0"/>
              <w:adjustRightInd w:val="0"/>
              <w:snapToGrid w:val="0"/>
              <w:textAlignment w:val="bottom"/>
              <w:rPr>
                <w:rFonts w:hint="eastAsia" w:ascii="宋体" w:hAnsi="宋体"/>
                <w:b/>
                <w:bCs/>
                <w:color w:val="auto"/>
                <w:szCs w:val="21"/>
                <w:highlight w:val="none"/>
              </w:rPr>
            </w:pPr>
            <w:r>
              <w:rPr>
                <w:rFonts w:hint="eastAsia" w:ascii="宋体" w:hAnsi="宋体"/>
                <w:b/>
                <w:bCs/>
                <w:color w:val="auto"/>
                <w:szCs w:val="21"/>
                <w:highlight w:val="none"/>
              </w:rPr>
              <w:t>结算方式</w:t>
            </w:r>
          </w:p>
        </w:tc>
        <w:tc>
          <w:tcPr>
            <w:tcW w:w="6013" w:type="dxa"/>
            <w:tcBorders>
              <w:top w:val="single" w:color="auto" w:sz="6" w:space="0"/>
              <w:left w:val="single" w:color="auto" w:sz="6" w:space="0"/>
              <w:bottom w:val="single" w:color="auto" w:sz="6" w:space="0"/>
              <w:right w:val="single" w:color="auto" w:sz="12" w:space="0"/>
            </w:tcBorders>
            <w:vAlign w:val="center"/>
          </w:tcPr>
          <w:p w14:paraId="3DCEAFE8">
            <w:pPr>
              <w:autoSpaceDE w:val="0"/>
              <w:autoSpaceDN w:val="0"/>
              <w:snapToGrid w:val="0"/>
              <w:spacing w:line="360" w:lineRule="auto"/>
              <w:textAlignment w:val="bottom"/>
              <w:rPr>
                <w:rFonts w:hint="eastAsia" w:ascii="宋体" w:hAnsi="宋体"/>
                <w:b/>
                <w:bCs/>
                <w:color w:val="auto"/>
                <w:szCs w:val="21"/>
                <w:highlight w:val="none"/>
              </w:rPr>
            </w:pPr>
            <w:r>
              <w:rPr>
                <w:rFonts w:hint="eastAsia" w:ascii="宋体" w:hAnsi="宋体"/>
                <w:b/>
                <w:bCs/>
                <w:color w:val="auto"/>
                <w:szCs w:val="21"/>
                <w:highlight w:val="none"/>
              </w:rPr>
              <w:t>1、本项目采用竞争性磋商，成交供应商在合同完成后报送已完成项目结算审计资料，由第三方造价单位以成交供应商第一轮报价所报的响应文件中的“已标价工程量清单”进行结算审计，最终结算：由第三方造价单位审定的结算价*优惠率。</w:t>
            </w:r>
          </w:p>
          <w:p w14:paraId="4AED7DB5">
            <w:pPr>
              <w:spacing w:line="360" w:lineRule="auto"/>
              <w:rPr>
                <w:rFonts w:hint="eastAsia" w:ascii="宋体" w:hAnsi="宋体"/>
                <w:b/>
                <w:bCs/>
                <w:color w:val="auto"/>
                <w:highlight w:val="none"/>
              </w:rPr>
            </w:pPr>
            <w:r>
              <w:rPr>
                <w:rFonts w:hint="eastAsia" w:ascii="宋体" w:hAnsi="宋体"/>
                <w:b/>
                <w:bCs/>
                <w:color w:val="auto"/>
                <w:highlight w:val="none"/>
              </w:rPr>
              <w:t>2、本工程合同价格方式：采用固定综合单价合同。</w:t>
            </w:r>
          </w:p>
          <w:p w14:paraId="60A90E34">
            <w:pPr>
              <w:spacing w:line="360" w:lineRule="auto"/>
              <w:rPr>
                <w:rFonts w:hint="eastAsia" w:ascii="宋体" w:hAnsi="宋体"/>
                <w:b/>
                <w:color w:val="auto"/>
                <w:highlight w:val="none"/>
              </w:rPr>
            </w:pPr>
            <w:r>
              <w:rPr>
                <w:rFonts w:hint="eastAsia" w:ascii="宋体" w:hAnsi="宋体"/>
                <w:b/>
                <w:bCs/>
                <w:color w:val="auto"/>
                <w:highlight w:val="none"/>
              </w:rPr>
              <w:t>3、结算价=按响应文件（第一次报价）</w:t>
            </w:r>
            <w:bookmarkStart w:id="77" w:name="_Hlk184754526"/>
            <w:r>
              <w:rPr>
                <w:rFonts w:hint="eastAsia" w:ascii="宋体" w:hAnsi="宋体"/>
                <w:b/>
                <w:bCs/>
                <w:color w:val="auto"/>
                <w:highlight w:val="none"/>
              </w:rPr>
              <w:t>计算审定的结算价</w:t>
            </w:r>
            <w:bookmarkEnd w:id="77"/>
            <w:r>
              <w:rPr>
                <w:rFonts w:hint="eastAsia" w:ascii="宋体" w:hAnsi="宋体"/>
                <w:b/>
                <w:bCs/>
                <w:color w:val="auto"/>
                <w:highlight w:val="none"/>
              </w:rPr>
              <w:t>×优惠率(优惠率=（第二次报价-暂估价）/（第一次报价-暂估价）)</w:t>
            </w:r>
          </w:p>
        </w:tc>
      </w:tr>
      <w:tr w14:paraId="441D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0BD7F9C0">
            <w:pPr>
              <w:snapToGrid w:val="0"/>
              <w:jc w:val="center"/>
              <w:rPr>
                <w:rFonts w:hint="eastAsia" w:ascii="宋体" w:hAnsi="宋体" w:cs="宋体"/>
                <w:b/>
                <w:bCs/>
                <w:color w:val="auto"/>
                <w:highlight w:val="none"/>
              </w:rPr>
            </w:pPr>
            <w:r>
              <w:rPr>
                <w:rFonts w:hint="eastAsia" w:ascii="宋体" w:hAnsi="宋体" w:cs="宋体"/>
                <w:b/>
                <w:bCs/>
                <w:color w:val="auto"/>
                <w:highlight w:val="none"/>
              </w:rPr>
              <w:t>★</w:t>
            </w:r>
            <w:r>
              <w:rPr>
                <w:rFonts w:hint="eastAsia" w:ascii="宋体" w:hAnsi="宋体" w:cs="宋体"/>
                <w:b/>
                <w:bCs/>
                <w:color w:val="auto"/>
                <w:kern w:val="0"/>
                <w:highlight w:val="none"/>
              </w:rPr>
              <w:t>12.10</w:t>
            </w:r>
          </w:p>
        </w:tc>
        <w:tc>
          <w:tcPr>
            <w:tcW w:w="2238" w:type="dxa"/>
            <w:tcBorders>
              <w:top w:val="single" w:color="auto" w:sz="6" w:space="0"/>
              <w:left w:val="single" w:color="auto" w:sz="6" w:space="0"/>
              <w:bottom w:val="single" w:color="auto" w:sz="6" w:space="0"/>
              <w:right w:val="single" w:color="auto" w:sz="6" w:space="0"/>
            </w:tcBorders>
            <w:vAlign w:val="center"/>
          </w:tcPr>
          <w:p w14:paraId="7794EBD3">
            <w:pPr>
              <w:autoSpaceDE w:val="0"/>
              <w:autoSpaceDN w:val="0"/>
              <w:adjustRightInd w:val="0"/>
              <w:snapToGrid w:val="0"/>
              <w:textAlignment w:val="bottom"/>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采购预算</w:t>
            </w:r>
          </w:p>
        </w:tc>
        <w:tc>
          <w:tcPr>
            <w:tcW w:w="6013" w:type="dxa"/>
            <w:tcBorders>
              <w:top w:val="single" w:color="auto" w:sz="6" w:space="0"/>
              <w:left w:val="single" w:color="auto" w:sz="6" w:space="0"/>
              <w:bottom w:val="single" w:color="auto" w:sz="6" w:space="0"/>
              <w:right w:val="single" w:color="auto" w:sz="12" w:space="0"/>
            </w:tcBorders>
            <w:vAlign w:val="center"/>
          </w:tcPr>
          <w:p w14:paraId="2727FCE2">
            <w:pPr>
              <w:autoSpaceDE w:val="0"/>
              <w:autoSpaceDN w:val="0"/>
              <w:adjustRightInd w:val="0"/>
              <w:snapToGrid w:val="0"/>
              <w:spacing w:line="276" w:lineRule="auto"/>
              <w:textAlignment w:val="bottom"/>
              <w:rPr>
                <w:rFonts w:hint="eastAsia" w:ascii="宋体" w:hAnsi="宋体"/>
                <w:color w:val="auto"/>
                <w:kern w:val="0"/>
                <w:highlight w:val="none"/>
              </w:rPr>
            </w:pPr>
            <w:r>
              <w:rPr>
                <w:rFonts w:hint="eastAsia" w:ascii="宋体" w:hAnsi="宋体"/>
                <w:color w:val="auto"/>
                <w:kern w:val="0"/>
                <w:highlight w:val="none"/>
              </w:rPr>
              <w:t>详见“第一章 竞争性磋商公告”。</w:t>
            </w:r>
          </w:p>
        </w:tc>
      </w:tr>
      <w:tr w14:paraId="01B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2E7CEBFD">
            <w:pPr>
              <w:snapToGrid w:val="0"/>
              <w:jc w:val="center"/>
              <w:rPr>
                <w:rFonts w:hint="eastAsia" w:ascii="宋体" w:hAns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3.1</w:t>
            </w:r>
          </w:p>
        </w:tc>
        <w:tc>
          <w:tcPr>
            <w:tcW w:w="2238" w:type="dxa"/>
            <w:tcBorders>
              <w:top w:val="single" w:color="auto" w:sz="6" w:space="0"/>
              <w:left w:val="single" w:color="auto" w:sz="6" w:space="0"/>
              <w:bottom w:val="single" w:color="auto" w:sz="6" w:space="0"/>
              <w:right w:val="single" w:color="auto" w:sz="6" w:space="0"/>
            </w:tcBorders>
            <w:vAlign w:val="center"/>
          </w:tcPr>
          <w:p w14:paraId="09760A07">
            <w:pPr>
              <w:snapToGrid w:val="0"/>
              <w:rPr>
                <w:rFonts w:hint="eastAsia" w:ascii="宋体" w:hAnsi="宋体"/>
                <w:b/>
                <w:bCs/>
                <w:color w:val="auto"/>
                <w:kern w:val="0"/>
                <w:highlight w:val="none"/>
              </w:rPr>
            </w:pPr>
            <w:r>
              <w:rPr>
                <w:rFonts w:hint="eastAsia" w:ascii="宋体" w:hAnsi="宋体"/>
                <w:b/>
                <w:bCs/>
                <w:color w:val="auto"/>
                <w:kern w:val="0"/>
                <w:highlight w:val="none"/>
              </w:rPr>
              <w:t>磋商有效期</w:t>
            </w:r>
          </w:p>
        </w:tc>
        <w:tc>
          <w:tcPr>
            <w:tcW w:w="6013" w:type="dxa"/>
            <w:tcBorders>
              <w:top w:val="single" w:color="auto" w:sz="6" w:space="0"/>
              <w:left w:val="single" w:color="auto" w:sz="6" w:space="0"/>
              <w:bottom w:val="single" w:color="auto" w:sz="6" w:space="0"/>
              <w:right w:val="single" w:color="auto" w:sz="12" w:space="0"/>
            </w:tcBorders>
            <w:vAlign w:val="center"/>
          </w:tcPr>
          <w:p w14:paraId="106B5C1A">
            <w:pPr>
              <w:snapToGrid w:val="0"/>
              <w:rPr>
                <w:rFonts w:hint="eastAsia" w:ascii="宋体" w:hAnsi="宋体"/>
                <w:color w:val="auto"/>
                <w:kern w:val="0"/>
                <w:highlight w:val="none"/>
              </w:rPr>
            </w:pPr>
            <w:r>
              <w:rPr>
                <w:rFonts w:hint="eastAsia" w:ascii="宋体" w:hAnsi="宋体"/>
                <w:color w:val="auto"/>
                <w:kern w:val="0"/>
                <w:highlight w:val="none"/>
              </w:rPr>
              <w:t>递交响应文件的截止日期后</w:t>
            </w:r>
            <w:r>
              <w:rPr>
                <w:rFonts w:hint="eastAsia" w:ascii="宋体" w:hAnsi="宋体"/>
                <w:color w:val="auto"/>
                <w:kern w:val="0"/>
                <w:highlight w:val="none"/>
                <w:u w:val="single"/>
              </w:rPr>
              <w:t>90</w:t>
            </w:r>
            <w:r>
              <w:rPr>
                <w:rFonts w:hint="eastAsia" w:ascii="宋体" w:hAnsi="宋体"/>
                <w:color w:val="auto"/>
                <w:kern w:val="0"/>
                <w:highlight w:val="none"/>
              </w:rPr>
              <w:t>天。</w:t>
            </w:r>
          </w:p>
        </w:tc>
      </w:tr>
      <w:tr w14:paraId="0264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34828670">
            <w:pPr>
              <w:snapToGrid w:val="0"/>
              <w:jc w:val="center"/>
              <w:rPr>
                <w:rFonts w:hint="eastAsia" w:ascii="宋体" w:hAnsi="宋体"/>
                <w:b/>
                <w:bCs/>
                <w:color w:val="auto"/>
                <w:kern w:val="0"/>
                <w:highlight w:val="none"/>
              </w:rPr>
            </w:pPr>
            <w:r>
              <w:rPr>
                <w:rFonts w:hint="eastAsia" w:ascii="宋体" w:hAnsi="宋体"/>
                <w:b/>
                <w:bCs/>
                <w:color w:val="auto"/>
                <w:kern w:val="0"/>
                <w:highlight w:val="none"/>
              </w:rPr>
              <w:t>14</w:t>
            </w:r>
          </w:p>
        </w:tc>
        <w:tc>
          <w:tcPr>
            <w:tcW w:w="2238" w:type="dxa"/>
            <w:tcBorders>
              <w:top w:val="single" w:color="auto" w:sz="6" w:space="0"/>
              <w:left w:val="single" w:color="auto" w:sz="6" w:space="0"/>
              <w:bottom w:val="single" w:color="auto" w:sz="6" w:space="0"/>
              <w:right w:val="single" w:color="auto" w:sz="6" w:space="0"/>
            </w:tcBorders>
            <w:vAlign w:val="center"/>
          </w:tcPr>
          <w:p w14:paraId="0E6C4DAF">
            <w:pPr>
              <w:snapToGrid w:val="0"/>
              <w:spacing w:line="360" w:lineRule="auto"/>
              <w:rPr>
                <w:rFonts w:hint="eastAsia" w:ascii="宋体" w:hAnsi="宋体"/>
                <w:b/>
                <w:bCs/>
                <w:color w:val="auto"/>
                <w:kern w:val="0"/>
                <w:highlight w:val="none"/>
              </w:rPr>
            </w:pPr>
            <w:r>
              <w:rPr>
                <w:rFonts w:hint="eastAsia" w:ascii="宋体" w:hAnsi="宋体"/>
                <w:b/>
                <w:bCs/>
                <w:color w:val="auto"/>
                <w:kern w:val="0"/>
                <w:highlight w:val="none"/>
              </w:rPr>
              <w:t>响应文件编制</w:t>
            </w:r>
          </w:p>
        </w:tc>
        <w:tc>
          <w:tcPr>
            <w:tcW w:w="6013" w:type="dxa"/>
            <w:tcBorders>
              <w:top w:val="single" w:color="auto" w:sz="6" w:space="0"/>
              <w:left w:val="single" w:color="auto" w:sz="6" w:space="0"/>
              <w:bottom w:val="single" w:color="auto" w:sz="6" w:space="0"/>
              <w:right w:val="single" w:color="auto" w:sz="12" w:space="0"/>
            </w:tcBorders>
            <w:vAlign w:val="center"/>
          </w:tcPr>
          <w:p w14:paraId="6BECF8A1">
            <w:pPr>
              <w:adjustRightInd w:val="0"/>
              <w:snapToGrid w:val="0"/>
              <w:spacing w:line="360" w:lineRule="auto"/>
              <w:rPr>
                <w:rFonts w:hint="eastAsia" w:ascii="宋体" w:hAnsi="宋体"/>
                <w:color w:val="auto"/>
                <w:szCs w:val="21"/>
                <w:highlight w:val="none"/>
              </w:rPr>
            </w:pPr>
            <w:r>
              <w:rPr>
                <w:rFonts w:hint="eastAsia" w:ascii="宋体" w:hAnsi="宋体"/>
                <w:b/>
                <w:bCs/>
                <w:color w:val="auto"/>
                <w:szCs w:val="21"/>
                <w:highlight w:val="none"/>
              </w:rPr>
              <w:t>1、</w:t>
            </w:r>
            <w:r>
              <w:rPr>
                <w:rFonts w:hint="eastAsia" w:ascii="宋体" w:hAnsi="宋体"/>
                <w:color w:val="auto"/>
                <w:kern w:val="0"/>
                <w:highlight w:val="none"/>
              </w:rPr>
              <w:t>响应文件全部采用电子文档，供应商应安装客户端软件—“政采云电子交易客户端”，并按照磋商文件和政采云电子交易平台的要求编制，编制后应进行电子签名及加密。</w:t>
            </w:r>
          </w:p>
          <w:p w14:paraId="7D0B3251">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如供应商提交的电子标书磋商文件要求或开标时无法读取导入或解密，其响应文件将不予受理。</w:t>
            </w:r>
          </w:p>
          <w:p w14:paraId="31965B1E">
            <w:pPr>
              <w:adjustRightInd w:val="0"/>
              <w:snapToGrid w:val="0"/>
              <w:spacing w:line="360" w:lineRule="auto"/>
              <w:rPr>
                <w:rFonts w:hint="eastAsia" w:ascii="宋体" w:hAnsi="宋体"/>
                <w:color w:val="auto"/>
                <w:szCs w:val="21"/>
                <w:highlight w:val="none"/>
              </w:rPr>
            </w:pPr>
            <w:r>
              <w:rPr>
                <w:rFonts w:hint="eastAsia" w:ascii="宋体" w:hAnsi="宋体"/>
                <w:b/>
                <w:bCs/>
                <w:color w:val="auto"/>
                <w:szCs w:val="21"/>
                <w:highlight w:val="none"/>
              </w:rPr>
              <w:t>3、</w:t>
            </w:r>
            <w:r>
              <w:rPr>
                <w:rFonts w:hint="eastAsia" w:ascii="宋体" w:hAnsi="宋体"/>
                <w:color w:val="auto"/>
                <w:szCs w:val="21"/>
                <w:highlight w:val="none"/>
              </w:rPr>
              <w:t>响应文件应尽量避免涂改、行间插字或删除。如果出现上述情况，改动之处应加盖单位章或由供应商的法定代表人（签名或盖章）确认。</w:t>
            </w:r>
          </w:p>
          <w:p w14:paraId="703253F4">
            <w:pPr>
              <w:adjustRightInd w:val="0"/>
              <w:snapToGrid w:val="0"/>
              <w:spacing w:line="360" w:lineRule="auto"/>
              <w:rPr>
                <w:rFonts w:hint="eastAsia" w:ascii="宋体" w:hAnsi="宋体"/>
                <w:color w:val="auto"/>
                <w:szCs w:val="21"/>
                <w:highlight w:val="none"/>
              </w:rPr>
            </w:pPr>
            <w:r>
              <w:rPr>
                <w:rFonts w:hint="eastAsia" w:ascii="宋体" w:hAnsi="宋体"/>
                <w:b/>
                <w:bCs/>
                <w:color w:val="auto"/>
                <w:szCs w:val="21"/>
                <w:highlight w:val="none"/>
              </w:rPr>
              <w:t>4、</w:t>
            </w:r>
            <w:r>
              <w:rPr>
                <w:rFonts w:hint="eastAsia" w:ascii="宋体" w:hAnsi="宋体"/>
                <w:color w:val="auto"/>
                <w:szCs w:val="21"/>
                <w:highlight w:val="none"/>
              </w:rPr>
              <w:t>关键内容字迹潦草、表达不清、未按要求填写而导致非唯一理解，视为未实质性响应竞争性磋商文件的响应文件。</w:t>
            </w:r>
          </w:p>
          <w:p w14:paraId="55CBB179">
            <w:pPr>
              <w:snapToGrid w:val="0"/>
              <w:spacing w:line="360" w:lineRule="auto"/>
              <w:rPr>
                <w:rFonts w:hint="eastAsia" w:ascii="宋体" w:hAnsi="宋体"/>
                <w:color w:val="auto"/>
                <w:kern w:val="0"/>
                <w:highlight w:val="none"/>
              </w:rPr>
            </w:pPr>
            <w:r>
              <w:rPr>
                <w:rFonts w:hint="eastAsia" w:ascii="宋体" w:hAnsi="宋体"/>
                <w:b/>
                <w:bCs/>
                <w:color w:val="auto"/>
                <w:szCs w:val="21"/>
                <w:highlight w:val="none"/>
              </w:rPr>
              <w:t>5、</w:t>
            </w:r>
            <w:r>
              <w:rPr>
                <w:rFonts w:hint="eastAsia" w:ascii="宋体" w:hAnsi="宋体"/>
                <w:color w:val="auto"/>
                <w:szCs w:val="21"/>
                <w:highlight w:val="none"/>
              </w:rPr>
              <w:t>响应文件中提供的资料（扫描件），内容必须清晰可辨，若内容模糊，无法辨识，均视为未提供。</w:t>
            </w:r>
          </w:p>
        </w:tc>
      </w:tr>
      <w:tr w14:paraId="5212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5E4EF480">
            <w:pPr>
              <w:snapToGrid w:val="0"/>
              <w:jc w:val="center"/>
              <w:rPr>
                <w:rFonts w:hint="eastAsia" w:ascii="宋体" w:hAnsi="宋体"/>
                <w:b/>
                <w:bCs/>
                <w:color w:val="auto"/>
                <w:kern w:val="0"/>
                <w:highlight w:val="none"/>
              </w:rPr>
            </w:pPr>
            <w:r>
              <w:rPr>
                <w:rFonts w:hint="eastAsia" w:ascii="宋体" w:hAnsi="宋体" w:cs="宋体"/>
                <w:b/>
                <w:bCs/>
                <w:color w:val="auto"/>
                <w:highlight w:val="none"/>
              </w:rPr>
              <w:t>★</w:t>
            </w:r>
            <w:r>
              <w:rPr>
                <w:rFonts w:ascii="宋体" w:hAnsi="宋体"/>
                <w:b/>
                <w:bCs/>
                <w:color w:val="auto"/>
                <w:kern w:val="0"/>
                <w:highlight w:val="none"/>
              </w:rPr>
              <w:t>1</w:t>
            </w:r>
            <w:r>
              <w:rPr>
                <w:rFonts w:hint="eastAsia" w:ascii="宋体" w:hAnsi="宋体"/>
                <w:b/>
                <w:bCs/>
                <w:color w:val="auto"/>
                <w:kern w:val="0"/>
                <w:highlight w:val="none"/>
              </w:rPr>
              <w:t>5</w:t>
            </w:r>
            <w:r>
              <w:rPr>
                <w:rFonts w:ascii="宋体" w:hAnsi="宋体"/>
                <w:b/>
                <w:bCs/>
                <w:color w:val="auto"/>
                <w:kern w:val="0"/>
                <w:highlight w:val="none"/>
              </w:rPr>
              <w:t>.2</w:t>
            </w:r>
          </w:p>
        </w:tc>
        <w:tc>
          <w:tcPr>
            <w:tcW w:w="2238" w:type="dxa"/>
            <w:tcBorders>
              <w:top w:val="single" w:color="auto" w:sz="6" w:space="0"/>
              <w:left w:val="single" w:color="auto" w:sz="6" w:space="0"/>
              <w:bottom w:val="single" w:color="auto" w:sz="6" w:space="0"/>
              <w:right w:val="single" w:color="auto" w:sz="6" w:space="0"/>
            </w:tcBorders>
            <w:vAlign w:val="center"/>
          </w:tcPr>
          <w:p w14:paraId="1606C55F">
            <w:pPr>
              <w:pStyle w:val="45"/>
              <w:overflowPunct w:val="0"/>
              <w:spacing w:line="360" w:lineRule="auto"/>
              <w:rPr>
                <w:rFonts w:hint="eastAsia" w:hAnsi="宋体"/>
                <w:color w:val="auto"/>
                <w:kern w:val="0"/>
                <w:highlight w:val="none"/>
              </w:rPr>
            </w:pPr>
            <w:r>
              <w:rPr>
                <w:rFonts w:hint="eastAsia" w:hAnsi="宋体"/>
                <w:b/>
                <w:bCs/>
                <w:color w:val="auto"/>
                <w:highlight w:val="none"/>
              </w:rPr>
              <w:t>磋商</w:t>
            </w:r>
            <w:r>
              <w:rPr>
                <w:rFonts w:hAnsi="宋体"/>
                <w:b/>
                <w:bCs/>
                <w:color w:val="auto"/>
                <w:highlight w:val="none"/>
              </w:rPr>
              <w:t>保证金</w:t>
            </w:r>
          </w:p>
        </w:tc>
        <w:tc>
          <w:tcPr>
            <w:tcW w:w="6013" w:type="dxa"/>
            <w:tcBorders>
              <w:top w:val="single" w:color="auto" w:sz="6" w:space="0"/>
              <w:left w:val="single" w:color="auto" w:sz="6" w:space="0"/>
              <w:bottom w:val="single" w:color="auto" w:sz="6" w:space="0"/>
              <w:right w:val="single" w:color="auto" w:sz="12" w:space="0"/>
            </w:tcBorders>
            <w:vAlign w:val="center"/>
          </w:tcPr>
          <w:p w14:paraId="1CCE8317">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一、磋商保证金形式：</w:t>
            </w:r>
            <w:r>
              <w:rPr>
                <w:rFonts w:hint="eastAsia" w:ascii="宋体" w:hAnsi="宋体" w:cs="宋体"/>
                <w:color w:val="auto"/>
                <w:szCs w:val="21"/>
                <w:highlight w:val="none"/>
              </w:rPr>
              <w:t>支票、汇票、本票、保函、保证保险、其他非现金形式：银行转账、网银、电汇等形式，供应商可根据实际情况，选择保证金的提供或缴纳方式。</w:t>
            </w:r>
          </w:p>
          <w:p w14:paraId="3987B7F6">
            <w:pPr>
              <w:pStyle w:val="33"/>
              <w:wordWrap w:val="0"/>
              <w:adjustRightInd w:val="0"/>
              <w:snapToGrid w:val="0"/>
              <w:spacing w:after="0" w:line="360" w:lineRule="auto"/>
              <w:rPr>
                <w:rFonts w:hint="eastAsia" w:ascii="宋体" w:hAnsi="宋体"/>
                <w:b/>
                <w:bCs/>
                <w:color w:val="auto"/>
                <w:sz w:val="21"/>
                <w:szCs w:val="21"/>
                <w:highlight w:val="none"/>
                <w:u w:val="single"/>
              </w:rPr>
            </w:pPr>
            <w:r>
              <w:rPr>
                <w:rFonts w:hint="eastAsia" w:ascii="宋体" w:hAnsi="宋体"/>
                <w:b/>
                <w:bCs/>
                <w:color w:val="auto"/>
                <w:sz w:val="21"/>
                <w:szCs w:val="21"/>
                <w:highlight w:val="none"/>
              </w:rPr>
              <w:t>二、磋商保证金金额：</w:t>
            </w:r>
            <w:r>
              <w:rPr>
                <w:rFonts w:hint="eastAsia" w:ascii="宋体" w:hAnsi="宋体"/>
                <w:b/>
                <w:bCs/>
                <w:color w:val="auto"/>
                <w:sz w:val="21"/>
                <w:szCs w:val="21"/>
                <w:highlight w:val="none"/>
                <w:u w:val="single"/>
              </w:rPr>
              <w:t>人民币</w:t>
            </w:r>
            <w:r>
              <w:rPr>
                <w:rFonts w:hint="eastAsia" w:ascii="宋体" w:hAnsi="宋体"/>
                <w:b/>
                <w:bCs/>
                <w:color w:val="auto"/>
                <w:sz w:val="21"/>
                <w:szCs w:val="21"/>
                <w:highlight w:val="none"/>
                <w:u w:val="single"/>
                <w:lang w:eastAsia="zh-CN"/>
              </w:rPr>
              <w:t>1</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lang w:eastAsia="zh-CN"/>
              </w:rPr>
              <w:t>000.00</w:t>
            </w:r>
            <w:r>
              <w:rPr>
                <w:rFonts w:hint="eastAsia" w:ascii="宋体" w:hAnsi="宋体"/>
                <w:b/>
                <w:bCs/>
                <w:color w:val="auto"/>
                <w:sz w:val="21"/>
                <w:szCs w:val="21"/>
                <w:highlight w:val="none"/>
                <w:u w:val="single"/>
              </w:rPr>
              <w:t>元；</w:t>
            </w:r>
          </w:p>
          <w:p w14:paraId="26A93175">
            <w:pPr>
              <w:wordWrap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w:t>
            </w:r>
            <w:r>
              <w:rPr>
                <w:rFonts w:hint="eastAsia" w:ascii="宋体" w:hAnsi="宋体"/>
                <w:b/>
                <w:bCs/>
                <w:color w:val="auto"/>
                <w:szCs w:val="21"/>
                <w:highlight w:val="none"/>
              </w:rPr>
              <w:t>磋商保证金</w:t>
            </w:r>
            <w:r>
              <w:rPr>
                <w:rFonts w:hint="eastAsia" w:ascii="宋体" w:hAnsi="宋体" w:cs="宋体"/>
                <w:b/>
                <w:bCs/>
                <w:color w:val="auto"/>
                <w:kern w:val="0"/>
                <w:szCs w:val="21"/>
                <w:highlight w:val="none"/>
              </w:rPr>
              <w:t>办理程序：</w:t>
            </w:r>
          </w:p>
          <w:p w14:paraId="43DB2E38">
            <w:pPr>
              <w:wordWrap w:val="0"/>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1、银行转账：</w:t>
            </w:r>
            <w:r>
              <w:rPr>
                <w:rFonts w:hint="eastAsia" w:ascii="宋体" w:hAnsi="宋体" w:cs="宋体"/>
                <w:color w:val="auto"/>
                <w:szCs w:val="21"/>
                <w:highlight w:val="none"/>
              </w:rPr>
              <w:t>磋商保证金应以供应商自身的名义提交，并且必须从其基本账户一次性汇入或转入采购人指定的帐户，不得以分支机构其他名义提交（按照规定，供应商可以为自然人的项目除外）。</w:t>
            </w:r>
          </w:p>
          <w:p w14:paraId="4A88F695">
            <w:pPr>
              <w:wordWrap w:val="0"/>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磋商保证金缴纳至如下账户：</w:t>
            </w:r>
          </w:p>
          <w:p w14:paraId="03687C9D">
            <w:pPr>
              <w:wordWrap w:val="0"/>
              <w:adjustRightInd w:val="0"/>
              <w:snapToGrid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开户名称：云南鑫德招标咨询有限公司大理分公司</w:t>
            </w:r>
          </w:p>
          <w:p w14:paraId="5A813547">
            <w:pPr>
              <w:wordWrap w:val="0"/>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开户银行：</w:t>
            </w:r>
            <w:r>
              <w:rPr>
                <w:rFonts w:hint="eastAsia" w:ascii="宋体" w:hAnsi="宋体" w:cs="宋体"/>
                <w:b/>
                <w:bCs/>
                <w:color w:val="auto"/>
                <w:szCs w:val="21"/>
                <w:highlight w:val="none"/>
                <w:lang w:eastAsia="zh-CN"/>
              </w:rPr>
              <w:t>中国建设银行大理南诏支行</w:t>
            </w:r>
            <w:r>
              <w:rPr>
                <w:rFonts w:hint="eastAsia" w:ascii="宋体" w:hAnsi="宋体" w:cs="宋体"/>
                <w:b/>
                <w:bCs/>
                <w:color w:val="auto"/>
                <w:szCs w:val="21"/>
                <w:highlight w:val="none"/>
              </w:rPr>
              <w:t>；</w:t>
            </w:r>
          </w:p>
          <w:p w14:paraId="6DDD7DE0">
            <w:pPr>
              <w:wordWrap w:val="0"/>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cs="宋体"/>
                <w:b/>
                <w:bCs/>
                <w:color w:val="auto"/>
                <w:kern w:val="0"/>
                <w:szCs w:val="21"/>
                <w:highlight w:val="none"/>
              </w:rPr>
              <w:t>缴纳账</w:t>
            </w:r>
            <w:r>
              <w:rPr>
                <w:rFonts w:ascii="宋体" w:hAnsi="宋体" w:cs="宋体"/>
                <w:b/>
                <w:bCs/>
                <w:color w:val="auto"/>
                <w:kern w:val="0"/>
                <w:szCs w:val="21"/>
                <w:highlight w:val="none"/>
              </w:rPr>
              <w:t>户</w:t>
            </w:r>
            <w:r>
              <w:rPr>
                <w:rFonts w:hint="eastAsia" w:ascii="宋体" w:hAnsi="宋体" w:cs="宋体"/>
                <w:b/>
                <w:bCs/>
                <w:color w:val="auto"/>
                <w:kern w:val="0"/>
                <w:szCs w:val="21"/>
                <w:highlight w:val="none"/>
              </w:rPr>
              <w:t>：53001716038051000601；</w:t>
            </w:r>
          </w:p>
          <w:p w14:paraId="6532E585">
            <w:pPr>
              <w:wordWrap w:val="0"/>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2、保证保险：</w:t>
            </w:r>
          </w:p>
          <w:p w14:paraId="6C9C15ED">
            <w:pPr>
              <w:wordWrap w:val="0"/>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color w:val="auto"/>
                <w:szCs w:val="21"/>
                <w:highlight w:val="none"/>
              </w:rPr>
              <w:t>当供应商未能按照招投标文件要求履行投标义务而导致采购人受到损失时，由保险公司按照保险合同对采购人的损失承担代偿责任。</w:t>
            </w:r>
          </w:p>
          <w:p w14:paraId="3B02138B">
            <w:pPr>
              <w:wordWrap w:val="0"/>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供应商在支付磋商保证金保险费时，必须使用基本账号资金支付购买，未从基本账户转出支付保费造成经济纠纷的应由企业自行承担。</w:t>
            </w:r>
          </w:p>
          <w:p w14:paraId="59B48B71">
            <w:pPr>
              <w:wordWrap w:val="0"/>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w:t>
            </w:r>
            <w:r>
              <w:rPr>
                <w:rFonts w:hint="eastAsia" w:ascii="宋体" w:hAnsi="宋体" w:cs="宋体"/>
                <w:color w:val="auto"/>
                <w:szCs w:val="21"/>
                <w:highlight w:val="none"/>
              </w:rPr>
              <w:t>在投标保证保险中，供应商为投保人，采购人为被保险人。</w:t>
            </w:r>
          </w:p>
          <w:p w14:paraId="7E5666FB">
            <w:pPr>
              <w:wordWrap w:val="0"/>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3、银行保函：</w:t>
            </w:r>
          </w:p>
          <w:p w14:paraId="53B9B1D4">
            <w:pPr>
              <w:wordWrap w:val="0"/>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color w:val="auto"/>
                <w:szCs w:val="21"/>
                <w:highlight w:val="none"/>
              </w:rPr>
              <w:t>当供应商未能按照招投标文件要求履行投标义务而导致采购人受到损失时，由担保银行按照要求对采购人的损失承担代偿责任。</w:t>
            </w:r>
          </w:p>
          <w:p w14:paraId="15E7FB98">
            <w:pPr>
              <w:wordWrap w:val="0"/>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在投标担保中，供应商为被担保人，采购人为受益人。</w:t>
            </w:r>
          </w:p>
          <w:p w14:paraId="286EAD87">
            <w:pPr>
              <w:wordWrap w:val="0"/>
              <w:adjustRightInd w:val="0"/>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4、政府采购电子保函（保险）：</w:t>
            </w:r>
          </w:p>
          <w:p w14:paraId="3903EB69">
            <w:pPr>
              <w:wordWrap w:val="0"/>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为解决投标人在政府采购活动中的资金占用问题，降低制度性交易成本，大理州决定在政府采购领域推广应用电子保函（保险）。政府采购项目的投标人可自主决定是否开立政府采购电子保函（保险）代替传统保证金缴纳。</w:t>
            </w:r>
          </w:p>
          <w:p w14:paraId="666AED0A">
            <w:pPr>
              <w:wordWrap w:val="0"/>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投标人若有开具电子保函（保险）意愿，请登录依托“政府采购全流程电子交易平台”建设的“金融服务平台”线上申请开具电子保函（保险）。</w:t>
            </w:r>
          </w:p>
          <w:p w14:paraId="2C78C0DD">
            <w:pPr>
              <w:pStyle w:val="33"/>
              <w:wordWrap w:val="0"/>
              <w:adjustRightInd w:val="0"/>
              <w:snapToGrid w:val="0"/>
              <w:spacing w:after="0" w:line="360" w:lineRule="auto"/>
              <w:ind w:firstLine="422" w:firstLineChars="200"/>
              <w:rPr>
                <w:rFonts w:hint="eastAsia" w:ascii="宋体" w:hAnsi="宋体"/>
                <w:color w:val="auto"/>
                <w:highlight w:val="none"/>
              </w:rPr>
            </w:pPr>
            <w:r>
              <w:rPr>
                <w:rFonts w:hint="eastAsia" w:ascii="宋体" w:hAnsi="宋体" w:cs="宋体"/>
                <w:b/>
                <w:color w:val="auto"/>
                <w:kern w:val="2"/>
                <w:sz w:val="21"/>
                <w:szCs w:val="21"/>
                <w:highlight w:val="none"/>
              </w:rPr>
              <w:t>（3）</w:t>
            </w:r>
            <w:r>
              <w:rPr>
                <w:rFonts w:hint="eastAsia" w:ascii="宋体" w:hAnsi="宋体" w:cs="宋体"/>
                <w:color w:val="auto"/>
                <w:kern w:val="2"/>
                <w:sz w:val="21"/>
                <w:szCs w:val="21"/>
                <w:highlight w:val="none"/>
              </w:rPr>
              <w:t>《大理州政府采购电子保函（保险）工作实施方案》可通过“云南省政府采购网（大理分网）-政策法规栏目”查看，网址：http://zs.yngp.com/policynew.do?method=show&amp;policy_id=68c6d372.19343e80283.26aa。</w:t>
            </w:r>
          </w:p>
          <w:p w14:paraId="7FABA712">
            <w:pPr>
              <w:wordWrap w:val="0"/>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四、磋商保证金有效期同磋商有效期，需符合本章13.1条规定。</w:t>
            </w:r>
          </w:p>
          <w:p w14:paraId="773547DC">
            <w:pPr>
              <w:pStyle w:val="45"/>
              <w:wordWrap w:val="0"/>
              <w:overflowPunct w:val="0"/>
              <w:snapToGrid w:val="0"/>
              <w:spacing w:line="360" w:lineRule="auto"/>
              <w:jc w:val="both"/>
              <w:rPr>
                <w:rFonts w:hint="eastAsia" w:hAnsi="宋体"/>
                <w:color w:val="auto"/>
                <w:highlight w:val="none"/>
              </w:rPr>
            </w:pPr>
            <w:r>
              <w:rPr>
                <w:rFonts w:hint="eastAsia" w:hAnsi="宋体" w:cs="宋体"/>
                <w:b/>
                <w:bCs/>
                <w:color w:val="auto"/>
                <w:highlight w:val="none"/>
              </w:rPr>
              <w:t>五、提交磋商保证金的截止时间为：</w:t>
            </w:r>
            <w:r>
              <w:rPr>
                <w:rFonts w:hint="eastAsia" w:hAnsi="宋体" w:cs="宋体"/>
                <w:b/>
                <w:bCs/>
                <w:color w:val="auto"/>
                <w:highlight w:val="none"/>
                <w:u w:val="single"/>
              </w:rPr>
              <w:t>同响应文件递交截止时间</w:t>
            </w:r>
            <w:r>
              <w:rPr>
                <w:rFonts w:hint="eastAsia" w:hAnsi="宋体" w:cs="宋体"/>
                <w:b/>
                <w:bCs/>
                <w:color w:val="auto"/>
                <w:highlight w:val="none"/>
              </w:rPr>
              <w:t>。</w:t>
            </w:r>
          </w:p>
        </w:tc>
      </w:tr>
      <w:tr w14:paraId="0BD8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336484ED">
            <w:pPr>
              <w:snapToGrid w:val="0"/>
              <w:spacing w:line="360" w:lineRule="auto"/>
              <w:jc w:val="center"/>
              <w:rPr>
                <w:rFonts w:hint="eastAsia" w:ascii="宋体" w:hAnsi="宋体"/>
                <w:color w:val="auto"/>
                <w:kern w:val="0"/>
                <w:highlight w:val="none"/>
              </w:rPr>
            </w:pPr>
            <w:r>
              <w:rPr>
                <w:rFonts w:hint="eastAsia" w:ascii="宋体" w:hAnsi="宋体"/>
                <w:b/>
                <w:bCs/>
                <w:color w:val="auto"/>
                <w:szCs w:val="21"/>
                <w:highlight w:val="none"/>
              </w:rPr>
              <w:t>15.5</w:t>
            </w:r>
          </w:p>
        </w:tc>
        <w:tc>
          <w:tcPr>
            <w:tcW w:w="2238" w:type="dxa"/>
            <w:tcBorders>
              <w:top w:val="single" w:color="auto" w:sz="6" w:space="0"/>
              <w:left w:val="single" w:color="auto" w:sz="6" w:space="0"/>
              <w:bottom w:val="single" w:color="auto" w:sz="6" w:space="0"/>
              <w:right w:val="single" w:color="auto" w:sz="6" w:space="0"/>
            </w:tcBorders>
            <w:vAlign w:val="center"/>
          </w:tcPr>
          <w:p w14:paraId="324C4EDE">
            <w:pPr>
              <w:pStyle w:val="45"/>
              <w:overflowPunct w:val="0"/>
              <w:spacing w:line="360" w:lineRule="auto"/>
              <w:rPr>
                <w:rFonts w:hint="eastAsia" w:hAnsi="宋体" w:cs="宋体"/>
                <w:color w:val="auto"/>
                <w:highlight w:val="none"/>
              </w:rPr>
            </w:pPr>
            <w:r>
              <w:rPr>
                <w:rFonts w:hint="eastAsia" w:hAnsi="宋体"/>
                <w:b/>
                <w:bCs/>
                <w:color w:val="auto"/>
                <w:highlight w:val="none"/>
              </w:rPr>
              <w:t>磋商</w:t>
            </w:r>
            <w:r>
              <w:rPr>
                <w:rFonts w:hAnsi="宋体"/>
                <w:b/>
                <w:bCs/>
                <w:color w:val="auto"/>
                <w:highlight w:val="none"/>
              </w:rPr>
              <w:t>保证金的退回方式</w:t>
            </w:r>
          </w:p>
        </w:tc>
        <w:tc>
          <w:tcPr>
            <w:tcW w:w="6013" w:type="dxa"/>
            <w:tcBorders>
              <w:top w:val="single" w:color="auto" w:sz="6" w:space="0"/>
              <w:left w:val="single" w:color="auto" w:sz="6" w:space="0"/>
              <w:bottom w:val="single" w:color="auto" w:sz="6" w:space="0"/>
              <w:right w:val="single" w:color="auto" w:sz="12" w:space="0"/>
            </w:tcBorders>
            <w:vAlign w:val="center"/>
          </w:tcPr>
          <w:p w14:paraId="347A5B2A">
            <w:pPr>
              <w:spacing w:line="360" w:lineRule="auto"/>
              <w:rPr>
                <w:rFonts w:hint="eastAsia" w:ascii="宋体" w:hAnsi="宋体" w:cs="宋体"/>
                <w:color w:val="auto"/>
                <w:highlight w:val="none"/>
              </w:rPr>
            </w:pPr>
            <w:r>
              <w:rPr>
                <w:rFonts w:hint="eastAsia" w:ascii="宋体" w:hAnsi="宋体" w:cs="宋体"/>
                <w:b/>
                <w:bCs/>
                <w:color w:val="auto"/>
                <w:highlight w:val="none"/>
              </w:rPr>
              <w:t>（</w:t>
            </w:r>
            <w:r>
              <w:rPr>
                <w:rFonts w:ascii="宋体" w:hAnsi="宋体" w:cs="宋体"/>
                <w:b/>
                <w:bCs/>
                <w:color w:val="auto"/>
                <w:highlight w:val="none"/>
              </w:rPr>
              <w:t>1）</w:t>
            </w:r>
            <w:r>
              <w:rPr>
                <w:rFonts w:ascii="宋体" w:hAnsi="宋体" w:cs="宋体"/>
                <w:color w:val="auto"/>
                <w:highlight w:val="none"/>
              </w:rPr>
              <w:t>以银行转账、网银、电汇缴纳的保证金，以网银对公转账的方式退还到</w:t>
            </w:r>
            <w:r>
              <w:rPr>
                <w:rFonts w:hint="eastAsia" w:ascii="宋体" w:hAnsi="宋体" w:cs="宋体"/>
                <w:color w:val="auto"/>
                <w:highlight w:val="none"/>
              </w:rPr>
              <w:t>供应商</w:t>
            </w:r>
            <w:r>
              <w:rPr>
                <w:rFonts w:ascii="宋体" w:hAnsi="宋体" w:cs="宋体"/>
                <w:color w:val="auto"/>
                <w:highlight w:val="none"/>
              </w:rPr>
              <w:t>打款账户；</w:t>
            </w:r>
          </w:p>
          <w:p w14:paraId="55081CCB">
            <w:pPr>
              <w:spacing w:line="360" w:lineRule="auto"/>
              <w:rPr>
                <w:rFonts w:hint="eastAsia" w:ascii="宋体" w:hAnsi="宋体" w:cs="宋体"/>
                <w:color w:val="auto"/>
                <w:highlight w:val="none"/>
              </w:rPr>
            </w:pPr>
            <w:r>
              <w:rPr>
                <w:rFonts w:hint="eastAsia" w:ascii="宋体" w:hAnsi="宋体" w:cs="宋体"/>
                <w:b/>
                <w:bCs/>
                <w:color w:val="auto"/>
                <w:highlight w:val="none"/>
              </w:rPr>
              <w:t>（</w:t>
            </w:r>
            <w:r>
              <w:rPr>
                <w:rFonts w:ascii="宋体" w:hAnsi="宋体" w:cs="宋体"/>
                <w:b/>
                <w:bCs/>
                <w:color w:val="auto"/>
                <w:highlight w:val="none"/>
              </w:rPr>
              <w:t>2）</w:t>
            </w:r>
            <w:r>
              <w:rPr>
                <w:rFonts w:ascii="宋体" w:hAnsi="宋体" w:cs="宋体"/>
                <w:color w:val="auto"/>
                <w:highlight w:val="none"/>
              </w:rPr>
              <w:t>以支票、汇票及本票等票据方式缴纳的保证金，经财务查账确认后以对公转账的方式退还到</w:t>
            </w:r>
            <w:r>
              <w:rPr>
                <w:rFonts w:hint="eastAsia" w:ascii="宋体" w:hAnsi="宋体" w:cs="宋体"/>
                <w:color w:val="auto"/>
                <w:highlight w:val="none"/>
              </w:rPr>
              <w:t>供应商</w:t>
            </w:r>
            <w:r>
              <w:rPr>
                <w:rFonts w:ascii="宋体" w:hAnsi="宋体" w:cs="宋体"/>
                <w:color w:val="auto"/>
                <w:highlight w:val="none"/>
              </w:rPr>
              <w:t>开户账户；</w:t>
            </w:r>
          </w:p>
          <w:p w14:paraId="33457CFA">
            <w:pPr>
              <w:pStyle w:val="45"/>
              <w:overflowPunct w:val="0"/>
              <w:spacing w:line="360" w:lineRule="auto"/>
              <w:rPr>
                <w:rFonts w:hint="eastAsia" w:hAnsi="宋体"/>
                <w:color w:val="auto"/>
                <w:highlight w:val="none"/>
              </w:rPr>
            </w:pPr>
            <w:r>
              <w:rPr>
                <w:rFonts w:hint="eastAsia" w:hAnsi="宋体" w:cs="宋体"/>
                <w:b/>
                <w:bCs/>
                <w:color w:val="auto"/>
                <w:highlight w:val="none"/>
              </w:rPr>
              <w:t>（</w:t>
            </w:r>
            <w:r>
              <w:rPr>
                <w:rFonts w:hAnsi="宋体" w:cs="宋体"/>
                <w:b/>
                <w:bCs/>
                <w:color w:val="auto"/>
                <w:highlight w:val="none"/>
              </w:rPr>
              <w:t>3）</w:t>
            </w:r>
            <w:r>
              <w:rPr>
                <w:rFonts w:hAnsi="宋体" w:cs="宋体"/>
                <w:color w:val="auto"/>
                <w:highlight w:val="none"/>
              </w:rPr>
              <w:t>以银行保函或者保证保险方式缴纳的保证金由</w:t>
            </w:r>
            <w:r>
              <w:rPr>
                <w:rFonts w:hint="eastAsia" w:hAnsi="宋体" w:cs="宋体"/>
                <w:color w:val="auto"/>
                <w:highlight w:val="none"/>
              </w:rPr>
              <w:t>供应商</w:t>
            </w:r>
            <w:r>
              <w:rPr>
                <w:rFonts w:hAnsi="宋体" w:cs="宋体"/>
                <w:color w:val="auto"/>
                <w:highlight w:val="none"/>
              </w:rPr>
              <w:t>自行联系出函机构。</w:t>
            </w:r>
          </w:p>
        </w:tc>
      </w:tr>
      <w:tr w14:paraId="1ABC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02EF5908">
            <w:pPr>
              <w:adjustRightInd w:val="0"/>
              <w:snapToGrid w:val="0"/>
              <w:spacing w:line="276" w:lineRule="auto"/>
              <w:jc w:val="center"/>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7</w:t>
            </w:r>
            <w:r>
              <w:rPr>
                <w:rFonts w:ascii="宋体" w:hAnsi="宋体"/>
                <w:b/>
                <w:bCs/>
                <w:color w:val="auto"/>
                <w:szCs w:val="21"/>
                <w:highlight w:val="none"/>
              </w:rPr>
              <w:t>.1</w:t>
            </w:r>
          </w:p>
        </w:tc>
        <w:tc>
          <w:tcPr>
            <w:tcW w:w="2238" w:type="dxa"/>
            <w:tcBorders>
              <w:top w:val="single" w:color="auto" w:sz="6" w:space="0"/>
              <w:left w:val="single" w:color="auto" w:sz="6" w:space="0"/>
              <w:bottom w:val="single" w:color="auto" w:sz="6" w:space="0"/>
              <w:right w:val="single" w:color="auto" w:sz="6" w:space="0"/>
            </w:tcBorders>
            <w:vAlign w:val="center"/>
          </w:tcPr>
          <w:p w14:paraId="3337425A">
            <w:pPr>
              <w:snapToGrid w:val="0"/>
              <w:spacing w:line="276" w:lineRule="auto"/>
              <w:rPr>
                <w:rFonts w:hint="eastAsia" w:ascii="宋体" w:hAnsi="宋体"/>
                <w:b/>
                <w:bCs/>
                <w:color w:val="auto"/>
                <w:kern w:val="0"/>
                <w:highlight w:val="none"/>
              </w:rPr>
            </w:pPr>
            <w:r>
              <w:rPr>
                <w:rFonts w:hint="eastAsia" w:ascii="宋体" w:hAnsi="宋体"/>
                <w:b/>
                <w:bCs/>
                <w:color w:val="auto"/>
                <w:kern w:val="0"/>
                <w:highlight w:val="none"/>
              </w:rPr>
              <w:t>递交响应文件的截止时间</w:t>
            </w:r>
          </w:p>
        </w:tc>
        <w:tc>
          <w:tcPr>
            <w:tcW w:w="6013" w:type="dxa"/>
            <w:tcBorders>
              <w:top w:val="single" w:color="auto" w:sz="6" w:space="0"/>
              <w:left w:val="single" w:color="auto" w:sz="6" w:space="0"/>
              <w:bottom w:val="single" w:color="auto" w:sz="6" w:space="0"/>
              <w:right w:val="single" w:color="auto" w:sz="12" w:space="0"/>
            </w:tcBorders>
            <w:vAlign w:val="center"/>
          </w:tcPr>
          <w:p w14:paraId="69F9443F">
            <w:pPr>
              <w:snapToGrid w:val="0"/>
              <w:spacing w:line="276" w:lineRule="auto"/>
              <w:rPr>
                <w:rFonts w:hint="eastAsia" w:ascii="宋体" w:hAnsi="宋体"/>
                <w:b/>
                <w:bCs/>
                <w:color w:val="auto"/>
                <w:kern w:val="0"/>
                <w:highlight w:val="none"/>
              </w:rPr>
            </w:pPr>
            <w:r>
              <w:rPr>
                <w:rFonts w:hint="eastAsia" w:ascii="宋体" w:hAnsi="宋体"/>
                <w:b/>
                <w:bCs/>
                <w:color w:val="auto"/>
                <w:kern w:val="0"/>
                <w:highlight w:val="none"/>
              </w:rPr>
              <w:t>详见“第一章 竞争性磋商公告”。</w:t>
            </w:r>
          </w:p>
        </w:tc>
      </w:tr>
      <w:tr w14:paraId="27CD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3C978FAB">
            <w:pPr>
              <w:adjustRightInd w:val="0"/>
              <w:snapToGrid w:val="0"/>
              <w:spacing w:line="276" w:lineRule="auto"/>
              <w:jc w:val="center"/>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7</w:t>
            </w:r>
            <w:r>
              <w:rPr>
                <w:rFonts w:ascii="宋体" w:hAnsi="宋体"/>
                <w:b/>
                <w:bCs/>
                <w:color w:val="auto"/>
                <w:szCs w:val="21"/>
                <w:highlight w:val="none"/>
              </w:rPr>
              <w:t>.2</w:t>
            </w:r>
          </w:p>
        </w:tc>
        <w:tc>
          <w:tcPr>
            <w:tcW w:w="2238" w:type="dxa"/>
            <w:tcBorders>
              <w:top w:val="single" w:color="auto" w:sz="6" w:space="0"/>
              <w:left w:val="single" w:color="auto" w:sz="6" w:space="0"/>
              <w:bottom w:val="single" w:color="auto" w:sz="6" w:space="0"/>
              <w:right w:val="single" w:color="auto" w:sz="6" w:space="0"/>
            </w:tcBorders>
            <w:vAlign w:val="center"/>
          </w:tcPr>
          <w:p w14:paraId="1D6F7175">
            <w:pPr>
              <w:snapToGrid w:val="0"/>
              <w:spacing w:line="276" w:lineRule="auto"/>
              <w:rPr>
                <w:rFonts w:hint="eastAsia" w:ascii="宋体" w:hAnsi="宋体"/>
                <w:b/>
                <w:bCs/>
                <w:color w:val="auto"/>
                <w:kern w:val="0"/>
                <w:highlight w:val="none"/>
              </w:rPr>
            </w:pPr>
            <w:r>
              <w:rPr>
                <w:rFonts w:hint="eastAsia" w:ascii="宋体" w:hAnsi="宋体"/>
                <w:b/>
                <w:bCs/>
                <w:color w:val="auto"/>
                <w:kern w:val="0"/>
                <w:highlight w:val="none"/>
              </w:rPr>
              <w:t>递交响应文件地点</w:t>
            </w:r>
          </w:p>
        </w:tc>
        <w:tc>
          <w:tcPr>
            <w:tcW w:w="6013" w:type="dxa"/>
            <w:tcBorders>
              <w:top w:val="single" w:color="auto" w:sz="6" w:space="0"/>
              <w:left w:val="single" w:color="auto" w:sz="6" w:space="0"/>
              <w:bottom w:val="single" w:color="auto" w:sz="6" w:space="0"/>
              <w:right w:val="single" w:color="auto" w:sz="12" w:space="0"/>
            </w:tcBorders>
            <w:vAlign w:val="center"/>
          </w:tcPr>
          <w:p w14:paraId="57606347">
            <w:pPr>
              <w:snapToGrid w:val="0"/>
              <w:spacing w:line="276" w:lineRule="auto"/>
              <w:rPr>
                <w:rFonts w:hint="eastAsia" w:ascii="宋体" w:hAnsi="宋体"/>
                <w:color w:val="auto"/>
                <w:kern w:val="0"/>
                <w:highlight w:val="none"/>
              </w:rPr>
            </w:pPr>
            <w:r>
              <w:rPr>
                <w:rFonts w:hint="eastAsia" w:ascii="宋体" w:hAnsi="宋体"/>
                <w:color w:val="auto"/>
                <w:kern w:val="0"/>
                <w:highlight w:val="none"/>
              </w:rPr>
              <w:t>详见“第一章 竞争性磋商公告”。</w:t>
            </w:r>
          </w:p>
        </w:tc>
      </w:tr>
      <w:tr w14:paraId="10E7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131F5893">
            <w:pPr>
              <w:adjustRightInd w:val="0"/>
              <w:snapToGrid w:val="0"/>
              <w:spacing w:line="276" w:lineRule="auto"/>
              <w:jc w:val="center"/>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7</w:t>
            </w:r>
            <w:r>
              <w:rPr>
                <w:rFonts w:ascii="宋体" w:hAnsi="宋体"/>
                <w:b/>
                <w:bCs/>
                <w:color w:val="auto"/>
                <w:szCs w:val="21"/>
                <w:highlight w:val="none"/>
              </w:rPr>
              <w:t>.3</w:t>
            </w:r>
          </w:p>
        </w:tc>
        <w:tc>
          <w:tcPr>
            <w:tcW w:w="2238" w:type="dxa"/>
            <w:tcBorders>
              <w:top w:val="single" w:color="auto" w:sz="6" w:space="0"/>
              <w:left w:val="single" w:color="auto" w:sz="6" w:space="0"/>
              <w:bottom w:val="single" w:color="auto" w:sz="6" w:space="0"/>
              <w:right w:val="single" w:color="auto" w:sz="6" w:space="0"/>
            </w:tcBorders>
            <w:vAlign w:val="center"/>
          </w:tcPr>
          <w:p w14:paraId="3495B7AD">
            <w:pPr>
              <w:snapToGrid w:val="0"/>
              <w:spacing w:line="276" w:lineRule="auto"/>
              <w:rPr>
                <w:rFonts w:hint="eastAsia" w:ascii="宋体" w:hAnsi="宋体"/>
                <w:b/>
                <w:bCs/>
                <w:color w:val="auto"/>
                <w:kern w:val="0"/>
                <w:highlight w:val="none"/>
              </w:rPr>
            </w:pPr>
            <w:r>
              <w:rPr>
                <w:rFonts w:hint="eastAsia" w:ascii="宋体" w:hAnsi="宋体"/>
                <w:b/>
                <w:bCs/>
                <w:color w:val="auto"/>
                <w:kern w:val="0"/>
                <w:highlight w:val="none"/>
              </w:rPr>
              <w:t>是否退还响应文件</w:t>
            </w:r>
          </w:p>
        </w:tc>
        <w:tc>
          <w:tcPr>
            <w:tcW w:w="6013" w:type="dxa"/>
            <w:tcBorders>
              <w:top w:val="single" w:color="auto" w:sz="6" w:space="0"/>
              <w:left w:val="single" w:color="auto" w:sz="6" w:space="0"/>
              <w:bottom w:val="single" w:color="auto" w:sz="6" w:space="0"/>
              <w:right w:val="single" w:color="auto" w:sz="12" w:space="0"/>
            </w:tcBorders>
            <w:vAlign w:val="center"/>
          </w:tcPr>
          <w:p w14:paraId="6EB42B21">
            <w:pPr>
              <w:snapToGrid w:val="0"/>
              <w:spacing w:line="276" w:lineRule="auto"/>
              <w:rPr>
                <w:rFonts w:hint="eastAsia" w:ascii="宋体" w:hAnsi="宋体"/>
                <w:color w:val="auto"/>
                <w:kern w:val="0"/>
                <w:highlight w:val="none"/>
              </w:rPr>
            </w:pPr>
            <w:r>
              <w:rPr>
                <w:rFonts w:hint="eastAsia" w:ascii="宋体" w:hAnsi="宋体"/>
                <w:color w:val="auto"/>
                <w:kern w:val="0"/>
                <w:highlight w:val="none"/>
              </w:rPr>
              <w:t>否</w:t>
            </w:r>
          </w:p>
        </w:tc>
      </w:tr>
      <w:tr w14:paraId="2077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1F608F0D">
            <w:pPr>
              <w:snapToGrid w:val="0"/>
              <w:spacing w:line="360" w:lineRule="auto"/>
              <w:jc w:val="center"/>
              <w:rPr>
                <w:rFonts w:hint="eastAsia" w:ascii="宋体" w:hAns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8.</w:t>
            </w:r>
            <w:r>
              <w:rPr>
                <w:rFonts w:ascii="宋体" w:hAnsi="宋体"/>
                <w:b/>
                <w:bCs/>
                <w:color w:val="auto"/>
                <w:kern w:val="0"/>
                <w:highlight w:val="none"/>
              </w:rPr>
              <w:t>1</w:t>
            </w:r>
          </w:p>
        </w:tc>
        <w:tc>
          <w:tcPr>
            <w:tcW w:w="2238" w:type="dxa"/>
            <w:tcBorders>
              <w:top w:val="single" w:color="auto" w:sz="6" w:space="0"/>
              <w:left w:val="single" w:color="auto" w:sz="6" w:space="0"/>
              <w:bottom w:val="single" w:color="auto" w:sz="6" w:space="0"/>
              <w:right w:val="single" w:color="auto" w:sz="6" w:space="0"/>
            </w:tcBorders>
            <w:vAlign w:val="center"/>
          </w:tcPr>
          <w:p w14:paraId="565C96E0">
            <w:pPr>
              <w:snapToGrid w:val="0"/>
              <w:spacing w:line="360" w:lineRule="auto"/>
              <w:rPr>
                <w:rFonts w:hint="eastAsia" w:ascii="宋体" w:hAnsi="宋体"/>
                <w:b/>
                <w:bCs/>
                <w:color w:val="auto"/>
                <w:kern w:val="0"/>
                <w:highlight w:val="none"/>
              </w:rPr>
            </w:pPr>
            <w:r>
              <w:rPr>
                <w:rFonts w:hint="eastAsia" w:ascii="宋体" w:hAnsi="宋体"/>
                <w:b/>
                <w:bCs/>
                <w:color w:val="auto"/>
                <w:kern w:val="0"/>
                <w:highlight w:val="none"/>
              </w:rPr>
              <w:t>磋商时间和地点</w:t>
            </w:r>
          </w:p>
        </w:tc>
        <w:tc>
          <w:tcPr>
            <w:tcW w:w="6013" w:type="dxa"/>
            <w:tcBorders>
              <w:top w:val="single" w:color="auto" w:sz="6" w:space="0"/>
              <w:left w:val="single" w:color="auto" w:sz="6" w:space="0"/>
              <w:bottom w:val="single" w:color="auto" w:sz="6" w:space="0"/>
              <w:right w:val="single" w:color="auto" w:sz="12" w:space="0"/>
            </w:tcBorders>
            <w:vAlign w:val="center"/>
          </w:tcPr>
          <w:p w14:paraId="3914EF36">
            <w:pPr>
              <w:snapToGrid w:val="0"/>
              <w:spacing w:line="360" w:lineRule="auto"/>
              <w:rPr>
                <w:rFonts w:hint="eastAsia" w:ascii="宋体" w:hAnsi="宋体"/>
                <w:color w:val="auto"/>
                <w:highlight w:val="none"/>
              </w:rPr>
            </w:pPr>
            <w:r>
              <w:rPr>
                <w:rFonts w:hint="eastAsia" w:ascii="宋体" w:hAnsi="宋体"/>
                <w:color w:val="auto"/>
                <w:highlight w:val="none"/>
              </w:rPr>
              <w:t>磋商时间：同递交响应文件的截止时间。</w:t>
            </w:r>
          </w:p>
          <w:p w14:paraId="7329AA4E">
            <w:pPr>
              <w:snapToGrid w:val="0"/>
              <w:spacing w:line="360" w:lineRule="auto"/>
              <w:rPr>
                <w:rFonts w:hint="eastAsia" w:ascii="宋体" w:hAnsi="宋体"/>
                <w:color w:val="auto"/>
                <w:kern w:val="0"/>
                <w:highlight w:val="none"/>
              </w:rPr>
            </w:pPr>
            <w:r>
              <w:rPr>
                <w:rFonts w:hint="eastAsia" w:ascii="宋体" w:hAnsi="宋体"/>
                <w:color w:val="auto"/>
                <w:highlight w:val="none"/>
              </w:rPr>
              <w:t>磋商地点：同递交响应文件地点。</w:t>
            </w:r>
          </w:p>
        </w:tc>
      </w:tr>
      <w:tr w14:paraId="33B5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1DF6D1F9">
            <w:pPr>
              <w:snapToGrid w:val="0"/>
              <w:spacing w:line="276" w:lineRule="auto"/>
              <w:jc w:val="center"/>
              <w:rPr>
                <w:rFonts w:hint="eastAsia" w:ascii="宋体" w:hAns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8</w:t>
            </w:r>
            <w:r>
              <w:rPr>
                <w:rFonts w:ascii="宋体" w:hAnsi="宋体"/>
                <w:b/>
                <w:bCs/>
                <w:color w:val="auto"/>
                <w:kern w:val="0"/>
                <w:highlight w:val="none"/>
              </w:rPr>
              <w:t>.4</w:t>
            </w:r>
          </w:p>
        </w:tc>
        <w:tc>
          <w:tcPr>
            <w:tcW w:w="2238" w:type="dxa"/>
            <w:tcBorders>
              <w:top w:val="single" w:color="auto" w:sz="6" w:space="0"/>
              <w:left w:val="single" w:color="auto" w:sz="6" w:space="0"/>
              <w:bottom w:val="single" w:color="auto" w:sz="6" w:space="0"/>
              <w:right w:val="single" w:color="auto" w:sz="6" w:space="0"/>
            </w:tcBorders>
            <w:vAlign w:val="center"/>
          </w:tcPr>
          <w:p w14:paraId="20E202FE">
            <w:pPr>
              <w:snapToGrid w:val="0"/>
              <w:spacing w:line="276" w:lineRule="auto"/>
              <w:rPr>
                <w:rFonts w:hint="eastAsia" w:ascii="宋体" w:hAnsi="宋体"/>
                <w:b/>
                <w:bCs/>
                <w:color w:val="auto"/>
                <w:kern w:val="0"/>
                <w:highlight w:val="none"/>
              </w:rPr>
            </w:pPr>
            <w:r>
              <w:rPr>
                <w:rFonts w:hint="eastAsia" w:ascii="宋体" w:hAnsi="宋体"/>
                <w:b/>
                <w:bCs/>
                <w:color w:val="auto"/>
                <w:kern w:val="0"/>
                <w:highlight w:val="none"/>
              </w:rPr>
              <w:t>磋商程序和方法</w:t>
            </w:r>
          </w:p>
        </w:tc>
        <w:tc>
          <w:tcPr>
            <w:tcW w:w="6013" w:type="dxa"/>
            <w:tcBorders>
              <w:top w:val="single" w:color="auto" w:sz="6" w:space="0"/>
              <w:left w:val="single" w:color="auto" w:sz="6" w:space="0"/>
              <w:bottom w:val="single" w:color="auto" w:sz="6" w:space="0"/>
              <w:right w:val="single" w:color="auto" w:sz="12" w:space="0"/>
            </w:tcBorders>
            <w:vAlign w:val="center"/>
          </w:tcPr>
          <w:p w14:paraId="19999355">
            <w:pPr>
              <w:snapToGrid w:val="0"/>
              <w:spacing w:line="276" w:lineRule="auto"/>
              <w:rPr>
                <w:rFonts w:hint="eastAsia" w:ascii="宋体" w:hAnsi="宋体"/>
                <w:color w:val="auto"/>
                <w:kern w:val="0"/>
                <w:highlight w:val="none"/>
              </w:rPr>
            </w:pPr>
            <w:r>
              <w:rPr>
                <w:rFonts w:hint="eastAsia" w:ascii="宋体" w:hAnsi="宋体"/>
                <w:color w:val="auto"/>
                <w:kern w:val="0"/>
                <w:highlight w:val="none"/>
              </w:rPr>
              <w:t>综合评分法</w:t>
            </w:r>
          </w:p>
        </w:tc>
      </w:tr>
      <w:tr w14:paraId="7459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62A62922">
            <w:pPr>
              <w:snapToGrid w:val="0"/>
              <w:spacing w:line="276" w:lineRule="auto"/>
              <w:jc w:val="center"/>
              <w:rPr>
                <w:rFonts w:hint="eastAsia" w:ascii="宋体" w:hAnsi="宋体"/>
                <w:b/>
                <w:bCs/>
                <w:color w:val="auto"/>
                <w:kern w:val="0"/>
                <w:highlight w:val="none"/>
              </w:rPr>
            </w:pPr>
            <w:r>
              <w:rPr>
                <w:rFonts w:hint="eastAsia" w:ascii="宋体" w:hAnsi="宋体"/>
                <w:b/>
                <w:bCs/>
                <w:color w:val="auto"/>
                <w:kern w:val="0"/>
                <w:highlight w:val="none"/>
              </w:rPr>
              <w:t>24</w:t>
            </w:r>
          </w:p>
        </w:tc>
        <w:tc>
          <w:tcPr>
            <w:tcW w:w="2238" w:type="dxa"/>
            <w:tcBorders>
              <w:top w:val="single" w:color="auto" w:sz="6" w:space="0"/>
              <w:left w:val="single" w:color="auto" w:sz="6" w:space="0"/>
              <w:bottom w:val="single" w:color="auto" w:sz="6" w:space="0"/>
              <w:right w:val="single" w:color="auto" w:sz="6" w:space="0"/>
            </w:tcBorders>
            <w:vAlign w:val="center"/>
          </w:tcPr>
          <w:p w14:paraId="1B84EAC0">
            <w:pPr>
              <w:pStyle w:val="45"/>
              <w:overflowPunct w:val="0"/>
              <w:spacing w:line="276" w:lineRule="auto"/>
              <w:rPr>
                <w:rFonts w:hint="eastAsia" w:hAnsi="宋体"/>
                <w:b/>
                <w:bCs/>
                <w:color w:val="auto"/>
                <w:kern w:val="0"/>
                <w:highlight w:val="none"/>
              </w:rPr>
            </w:pPr>
            <w:r>
              <w:rPr>
                <w:rFonts w:hint="eastAsia" w:hAnsi="宋体" w:cs="宋体"/>
                <w:b/>
                <w:bCs/>
                <w:color w:val="auto"/>
                <w:highlight w:val="none"/>
              </w:rPr>
              <w:t>履约担保</w:t>
            </w:r>
          </w:p>
        </w:tc>
        <w:tc>
          <w:tcPr>
            <w:tcW w:w="6013" w:type="dxa"/>
            <w:tcBorders>
              <w:top w:val="single" w:color="auto" w:sz="6" w:space="0"/>
              <w:left w:val="single" w:color="auto" w:sz="6" w:space="0"/>
              <w:bottom w:val="single" w:color="auto" w:sz="6" w:space="0"/>
              <w:right w:val="single" w:color="auto" w:sz="12" w:space="0"/>
            </w:tcBorders>
            <w:vAlign w:val="center"/>
          </w:tcPr>
          <w:p w14:paraId="552E82B8">
            <w:pPr>
              <w:pStyle w:val="45"/>
              <w:overflowPunct w:val="0"/>
              <w:spacing w:line="276" w:lineRule="auto"/>
              <w:jc w:val="both"/>
              <w:rPr>
                <w:rFonts w:hint="eastAsia" w:hAnsi="宋体"/>
                <w:color w:val="auto"/>
                <w:kern w:val="0"/>
                <w:highlight w:val="none"/>
              </w:rPr>
            </w:pPr>
            <w:r>
              <w:rPr>
                <w:rFonts w:hint="eastAsia" w:hAnsi="宋体" w:cs="宋体"/>
                <w:color w:val="auto"/>
                <w:szCs w:val="21"/>
                <w:highlight w:val="none"/>
                <w:u w:val="single"/>
                <w:lang w:eastAsia="zh-CN"/>
              </w:rPr>
              <w:t>合同签订之前中标单位向采购单位提供履约担保</w:t>
            </w:r>
            <w:r>
              <w:rPr>
                <w:rFonts w:hint="eastAsia" w:ascii="宋体" w:hAnsi="宋体" w:cs="宋体"/>
                <w:color w:val="auto"/>
                <w:szCs w:val="21"/>
                <w:highlight w:val="none"/>
                <w:u w:val="single"/>
              </w:rPr>
              <w:t>，担保方式为：</w:t>
            </w:r>
            <w:r>
              <w:rPr>
                <w:rFonts w:hint="eastAsia" w:hAnsi="宋体" w:cs="宋体"/>
                <w:color w:val="auto"/>
                <w:szCs w:val="21"/>
                <w:highlight w:val="none"/>
                <w:u w:val="single"/>
                <w:lang w:eastAsia="zh-CN"/>
              </w:rPr>
              <w:t>支票、汇票、本票或者金融机构、担保机构出具的保函（转账或汇款）提交</w:t>
            </w:r>
            <w:r>
              <w:rPr>
                <w:rFonts w:hint="eastAsia" w:ascii="宋体" w:hAnsi="宋体" w:cs="宋体"/>
                <w:color w:val="auto"/>
                <w:szCs w:val="21"/>
                <w:highlight w:val="none"/>
                <w:u w:val="single"/>
              </w:rPr>
              <w:t>；</w:t>
            </w:r>
            <w:r>
              <w:rPr>
                <w:rFonts w:hint="eastAsia" w:hAnsi="宋体" w:cs="宋体"/>
                <w:color w:val="auto"/>
                <w:szCs w:val="21"/>
                <w:highlight w:val="none"/>
                <w:u w:val="single"/>
                <w:lang w:eastAsia="zh-CN"/>
              </w:rPr>
              <w:t>中标价的5%</w:t>
            </w:r>
            <w:r>
              <w:rPr>
                <w:rFonts w:hint="eastAsia" w:ascii="宋体" w:hAnsi="宋体" w:cs="宋体"/>
                <w:color w:val="auto"/>
                <w:szCs w:val="21"/>
                <w:highlight w:val="none"/>
                <w:u w:val="single"/>
              </w:rPr>
              <w:t>，在缴纳履约担保后签订合同，竣工验收合格后无息退还</w:t>
            </w:r>
            <w:r>
              <w:rPr>
                <w:rFonts w:hint="eastAsia" w:hAnsi="宋体" w:cs="宋体"/>
                <w:b/>
                <w:bCs/>
                <w:color w:val="auto"/>
                <w:highlight w:val="none"/>
              </w:rPr>
              <w:t>。</w:t>
            </w:r>
          </w:p>
        </w:tc>
      </w:tr>
      <w:tr w14:paraId="6219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2E147C7B">
            <w:pPr>
              <w:snapToGrid w:val="0"/>
              <w:jc w:val="center"/>
              <w:rPr>
                <w:rFonts w:hint="eastAsia" w:ascii="宋体" w:hAnsi="宋体"/>
                <w:b/>
                <w:bCs/>
                <w:color w:val="auto"/>
                <w:kern w:val="0"/>
                <w:highlight w:val="none"/>
              </w:rPr>
            </w:pPr>
            <w:r>
              <w:rPr>
                <w:rFonts w:ascii="宋体" w:hAnsi="宋体"/>
                <w:b/>
                <w:bCs/>
                <w:color w:val="auto"/>
                <w:highlight w:val="none"/>
              </w:rPr>
              <w:t>2</w:t>
            </w:r>
            <w:r>
              <w:rPr>
                <w:rFonts w:hint="eastAsia" w:ascii="宋体" w:hAnsi="宋体"/>
                <w:b/>
                <w:bCs/>
                <w:color w:val="auto"/>
                <w:highlight w:val="none"/>
              </w:rPr>
              <w:t>5</w:t>
            </w:r>
          </w:p>
        </w:tc>
        <w:tc>
          <w:tcPr>
            <w:tcW w:w="2238" w:type="dxa"/>
            <w:tcBorders>
              <w:top w:val="single" w:color="auto" w:sz="6" w:space="0"/>
              <w:left w:val="single" w:color="auto" w:sz="6" w:space="0"/>
              <w:bottom w:val="single" w:color="auto" w:sz="6" w:space="0"/>
              <w:right w:val="single" w:color="auto" w:sz="6" w:space="0"/>
            </w:tcBorders>
            <w:vAlign w:val="center"/>
          </w:tcPr>
          <w:p w14:paraId="62F84815">
            <w:pPr>
              <w:pStyle w:val="45"/>
              <w:overflowPunct w:val="0"/>
              <w:spacing w:line="360" w:lineRule="auto"/>
              <w:rPr>
                <w:rFonts w:hint="eastAsia" w:hAnsi="宋体" w:cs="宋体"/>
                <w:b/>
                <w:bCs/>
                <w:color w:val="auto"/>
                <w:highlight w:val="none"/>
              </w:rPr>
            </w:pPr>
            <w:r>
              <w:rPr>
                <w:rFonts w:hAnsi="宋体"/>
                <w:b/>
                <w:bCs/>
                <w:color w:val="auto"/>
                <w:highlight w:val="none"/>
              </w:rPr>
              <w:t>采购代理服务费</w:t>
            </w:r>
          </w:p>
        </w:tc>
        <w:tc>
          <w:tcPr>
            <w:tcW w:w="6013" w:type="dxa"/>
            <w:tcBorders>
              <w:top w:val="single" w:color="auto" w:sz="6" w:space="0"/>
              <w:left w:val="single" w:color="auto" w:sz="6" w:space="0"/>
              <w:bottom w:val="single" w:color="auto" w:sz="6" w:space="0"/>
              <w:right w:val="single" w:color="auto" w:sz="12" w:space="0"/>
            </w:tcBorders>
            <w:vAlign w:val="center"/>
          </w:tcPr>
          <w:p w14:paraId="69F23FD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1.本项目采购代理服务费由成交人支付，成交人收到成交通知书的同时，应向采购代理机构缴付采购代理服务费。</w:t>
            </w:r>
          </w:p>
          <w:p w14:paraId="0D872E3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2.采购代理服务费收费标准详见供应商须知总则25.1条款内容。</w:t>
            </w:r>
          </w:p>
          <w:p w14:paraId="1605909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3.采购代理服务费接受以下形式：现金、转账支票、银行电汇、网银。</w:t>
            </w:r>
          </w:p>
          <w:p w14:paraId="6E8792D7">
            <w:pPr>
              <w:adjustRightInd w:val="0"/>
              <w:snapToGrid w:val="0"/>
              <w:spacing w:line="360" w:lineRule="auto"/>
              <w:rPr>
                <w:rFonts w:hint="eastAsia" w:ascii="宋体" w:hAnsi="宋体" w:cs="Courier New"/>
                <w:color w:val="auto"/>
                <w:kern w:val="0"/>
                <w:highlight w:val="none"/>
              </w:rPr>
            </w:pPr>
            <w:r>
              <w:rPr>
                <w:rFonts w:hint="eastAsia" w:ascii="宋体" w:hAnsi="宋体" w:cs="宋体"/>
                <w:b/>
                <w:color w:val="auto"/>
                <w:szCs w:val="21"/>
                <w:highlight w:val="none"/>
              </w:rPr>
              <w:t>4.采购方无义务对落选投标方和落标原因做出解释。</w:t>
            </w:r>
          </w:p>
        </w:tc>
      </w:tr>
      <w:tr w14:paraId="03E1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7CE98FB0">
            <w:pPr>
              <w:snapToGrid w:val="0"/>
              <w:jc w:val="center"/>
              <w:rPr>
                <w:rFonts w:hint="eastAsia" w:ascii="宋体" w:hAns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7</w:t>
            </w:r>
          </w:p>
        </w:tc>
        <w:tc>
          <w:tcPr>
            <w:tcW w:w="8251" w:type="dxa"/>
            <w:gridSpan w:val="2"/>
            <w:tcBorders>
              <w:top w:val="single" w:color="auto" w:sz="6" w:space="0"/>
              <w:left w:val="single" w:color="auto" w:sz="6" w:space="0"/>
              <w:bottom w:val="single" w:color="auto" w:sz="6" w:space="0"/>
              <w:right w:val="single" w:color="auto" w:sz="12" w:space="0"/>
            </w:tcBorders>
            <w:vAlign w:val="center"/>
          </w:tcPr>
          <w:p w14:paraId="273A552A">
            <w:pPr>
              <w:snapToGrid w:val="0"/>
              <w:rPr>
                <w:rFonts w:hint="eastAsia" w:ascii="宋体" w:hAnsi="宋体"/>
                <w:b/>
                <w:bCs/>
                <w:color w:val="auto"/>
                <w:kern w:val="0"/>
                <w:highlight w:val="none"/>
              </w:rPr>
            </w:pPr>
            <w:r>
              <w:rPr>
                <w:rFonts w:hint="eastAsia" w:ascii="宋体" w:hAnsi="宋体"/>
                <w:b/>
                <w:bCs/>
                <w:color w:val="auto"/>
                <w:kern w:val="0"/>
                <w:highlight w:val="none"/>
              </w:rPr>
              <w:t>需要补充的其他内容</w:t>
            </w:r>
          </w:p>
        </w:tc>
      </w:tr>
      <w:tr w14:paraId="2E75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0F5052EF">
            <w:pPr>
              <w:snapToGrid w:val="0"/>
              <w:spacing w:line="360" w:lineRule="auto"/>
              <w:jc w:val="center"/>
              <w:rPr>
                <w:rFonts w:hint="eastAsia" w:ascii="宋体" w:hAnsi="宋体"/>
                <w:b/>
                <w:bCs/>
                <w:color w:val="auto"/>
                <w:kern w:val="0"/>
                <w:highlight w:val="none"/>
              </w:rPr>
            </w:pPr>
            <w:r>
              <w:rPr>
                <w:rFonts w:hint="eastAsia" w:ascii="宋体" w:hAnsi="宋体"/>
                <w:b/>
                <w:bCs/>
                <w:color w:val="auto"/>
                <w:kern w:val="0"/>
                <w:highlight w:val="none"/>
              </w:rPr>
              <w:t>（1）</w:t>
            </w:r>
          </w:p>
        </w:tc>
        <w:tc>
          <w:tcPr>
            <w:tcW w:w="8251" w:type="dxa"/>
            <w:gridSpan w:val="2"/>
            <w:tcBorders>
              <w:top w:val="single" w:color="auto" w:sz="6" w:space="0"/>
              <w:left w:val="single" w:color="auto" w:sz="6" w:space="0"/>
              <w:bottom w:val="single" w:color="auto" w:sz="6" w:space="0"/>
              <w:right w:val="single" w:color="auto" w:sz="12" w:space="0"/>
            </w:tcBorders>
            <w:vAlign w:val="center"/>
          </w:tcPr>
          <w:p w14:paraId="178A4490">
            <w:pPr>
              <w:snapToGrid w:val="0"/>
              <w:spacing w:line="360" w:lineRule="auto"/>
              <w:rPr>
                <w:rFonts w:hint="eastAsia" w:ascii="宋体" w:hAnsi="宋体"/>
                <w:b/>
                <w:color w:val="auto"/>
                <w:highlight w:val="none"/>
              </w:rPr>
            </w:pPr>
            <w:r>
              <w:rPr>
                <w:rFonts w:hint="eastAsia" w:ascii="宋体" w:hAnsi="宋体"/>
                <w:b/>
                <w:color w:val="auto"/>
                <w:highlight w:val="none"/>
              </w:rPr>
              <w:t>采购代理机构将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响应文件未按时解密的，视为响应文件无效。</w:t>
            </w:r>
          </w:p>
        </w:tc>
      </w:tr>
      <w:tr w14:paraId="3B4F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59EC1A8B">
            <w:pPr>
              <w:snapToGrid w:val="0"/>
              <w:spacing w:line="360" w:lineRule="auto"/>
              <w:jc w:val="center"/>
              <w:rPr>
                <w:rFonts w:hint="eastAsia" w:ascii="宋体" w:hAnsi="宋体"/>
                <w:b/>
                <w:bCs/>
                <w:color w:val="auto"/>
                <w:kern w:val="0"/>
                <w:highlight w:val="none"/>
              </w:rPr>
            </w:pPr>
            <w:r>
              <w:rPr>
                <w:rFonts w:hint="eastAsia" w:ascii="宋体" w:hAnsi="宋体"/>
                <w:b/>
                <w:bCs/>
                <w:color w:val="auto"/>
                <w:kern w:val="0"/>
                <w:highlight w:val="none"/>
              </w:rPr>
              <w:t>（2）</w:t>
            </w:r>
          </w:p>
        </w:tc>
        <w:tc>
          <w:tcPr>
            <w:tcW w:w="8251" w:type="dxa"/>
            <w:gridSpan w:val="2"/>
            <w:tcBorders>
              <w:top w:val="single" w:color="auto" w:sz="6" w:space="0"/>
              <w:left w:val="single" w:color="auto" w:sz="6" w:space="0"/>
              <w:bottom w:val="single" w:color="auto" w:sz="6" w:space="0"/>
              <w:right w:val="single" w:color="auto" w:sz="12" w:space="0"/>
            </w:tcBorders>
            <w:vAlign w:val="center"/>
          </w:tcPr>
          <w:p w14:paraId="51C330BE">
            <w:pPr>
              <w:autoSpaceDE w:val="0"/>
              <w:autoSpaceDN w:val="0"/>
              <w:adjustRightInd w:val="0"/>
              <w:spacing w:line="360" w:lineRule="auto"/>
              <w:jc w:val="left"/>
              <w:rPr>
                <w:rFonts w:hint="eastAsia" w:ascii="宋体" w:hAnsi="宋体" w:cs="Courier New"/>
                <w:b/>
                <w:bCs/>
                <w:color w:val="auto"/>
                <w:kern w:val="0"/>
                <w:szCs w:val="21"/>
                <w:highlight w:val="none"/>
              </w:rPr>
            </w:pPr>
            <w:r>
              <w:rPr>
                <w:rFonts w:hint="eastAsia" w:ascii="宋体" w:hAnsi="宋体" w:cs="Courier New"/>
                <w:b/>
                <w:bCs/>
                <w:color w:val="auto"/>
                <w:kern w:val="0"/>
                <w:szCs w:val="21"/>
                <w:highlight w:val="none"/>
              </w:rPr>
              <w:t>磋商的顺序：按“政采云”系统的编号顺序。</w:t>
            </w:r>
          </w:p>
          <w:p w14:paraId="4831D897">
            <w:pPr>
              <w:autoSpaceDE w:val="0"/>
              <w:autoSpaceDN w:val="0"/>
              <w:adjustRightInd w:val="0"/>
              <w:spacing w:line="360" w:lineRule="auto"/>
              <w:jc w:val="left"/>
              <w:rPr>
                <w:rFonts w:hint="eastAsia" w:ascii="宋体" w:hAnsi="宋体" w:cs="Courier New"/>
                <w:b/>
                <w:bCs/>
                <w:color w:val="auto"/>
                <w:kern w:val="0"/>
                <w:szCs w:val="21"/>
                <w:highlight w:val="none"/>
              </w:rPr>
            </w:pPr>
            <w:r>
              <w:rPr>
                <w:rFonts w:hint="eastAsia" w:ascii="宋体" w:hAnsi="宋体" w:cs="Courier New"/>
                <w:b/>
                <w:bCs/>
                <w:color w:val="auto"/>
                <w:kern w:val="0"/>
                <w:szCs w:val="21"/>
                <w:highlight w:val="none"/>
              </w:rPr>
              <w:t>符合磋商资格的供应商必须在接到磋商通知后规定时间内参加磋商，未在规定时间内参加磋商的视同放弃参加磋商权利，其响应文件按无效响应处理。</w:t>
            </w:r>
          </w:p>
        </w:tc>
      </w:tr>
      <w:tr w14:paraId="6D55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616AA9AF">
            <w:pPr>
              <w:snapToGrid w:val="0"/>
              <w:spacing w:line="360" w:lineRule="auto"/>
              <w:jc w:val="center"/>
              <w:rPr>
                <w:rFonts w:hint="eastAsia" w:ascii="宋体" w:hAnsi="宋体"/>
                <w:b/>
                <w:bCs/>
                <w:color w:val="auto"/>
                <w:kern w:val="0"/>
                <w:highlight w:val="none"/>
              </w:rPr>
            </w:pPr>
            <w:r>
              <w:rPr>
                <w:rFonts w:hint="eastAsia" w:ascii="宋体" w:hAnsi="宋体"/>
                <w:b/>
                <w:bCs/>
                <w:color w:val="auto"/>
                <w:kern w:val="0"/>
                <w:highlight w:val="none"/>
              </w:rPr>
              <w:t>（3）</w:t>
            </w:r>
          </w:p>
        </w:tc>
        <w:tc>
          <w:tcPr>
            <w:tcW w:w="8251" w:type="dxa"/>
            <w:gridSpan w:val="2"/>
            <w:tcBorders>
              <w:top w:val="single" w:color="auto" w:sz="6" w:space="0"/>
              <w:left w:val="single" w:color="auto" w:sz="6" w:space="0"/>
              <w:bottom w:val="single" w:color="auto" w:sz="6" w:space="0"/>
              <w:right w:val="single" w:color="auto" w:sz="12" w:space="0"/>
            </w:tcBorders>
            <w:vAlign w:val="center"/>
          </w:tcPr>
          <w:p w14:paraId="53FC8CB8">
            <w:pPr>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中小企业合同融资：为支持和促进中小企业发展，进一步发挥政府采购政策功能，大理州财政局与中国人民银行大理州中心支行共同出台了《大理州支持中小微企业政府采购合同质押融资试行方案》（大财采〔2023〕5号）。中标（成交）中小企业若有融资意向，请登录“云南省政府采购网（大理分网）-政策法规栏目”下查看融资政策文件及操作手册，登录“中征应收账款融资服务平台”按照操作手册流程登记融资意向或查看各相关银行服务方案。</w:t>
            </w:r>
          </w:p>
          <w:p w14:paraId="1AAF4923">
            <w:pPr>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2.“云南省政府采购网（大理分网）-政策法规栏目”网址：http://zs.yngp.com/login.do?method=beginlogin&amp;districts=532900。</w:t>
            </w:r>
          </w:p>
          <w:p w14:paraId="51957278">
            <w:pPr>
              <w:autoSpaceDE w:val="0"/>
              <w:autoSpaceDN w:val="0"/>
              <w:snapToGrid w:val="0"/>
              <w:spacing w:line="360" w:lineRule="auto"/>
              <w:rPr>
                <w:rFonts w:hint="eastAsia" w:ascii="宋体" w:hAnsi="宋体" w:cs="Courier New"/>
                <w:b/>
                <w:bCs/>
                <w:color w:val="auto"/>
                <w:kern w:val="0"/>
                <w:szCs w:val="21"/>
                <w:highlight w:val="none"/>
              </w:rPr>
            </w:pPr>
            <w:r>
              <w:rPr>
                <w:rFonts w:hint="eastAsia" w:ascii="宋体" w:hAnsi="宋体" w:cs="宋体"/>
                <w:b/>
                <w:bCs/>
                <w:color w:val="auto"/>
                <w:szCs w:val="21"/>
                <w:highlight w:val="none"/>
              </w:rPr>
              <w:t>3.“中征应收账款融资服务平台”网址：https://www.crcrfsp.com。</w:t>
            </w:r>
          </w:p>
        </w:tc>
      </w:tr>
      <w:tr w14:paraId="79A4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518" w:type="dxa"/>
            <w:gridSpan w:val="2"/>
            <w:tcBorders>
              <w:top w:val="single" w:color="auto" w:sz="6" w:space="0"/>
              <w:left w:val="single" w:color="auto" w:sz="12" w:space="0"/>
              <w:bottom w:val="single" w:color="auto" w:sz="6" w:space="0"/>
              <w:right w:val="single" w:color="auto" w:sz="6" w:space="0"/>
            </w:tcBorders>
            <w:vAlign w:val="center"/>
          </w:tcPr>
          <w:p w14:paraId="75474E74">
            <w:pPr>
              <w:snapToGrid w:val="0"/>
              <w:spacing w:line="360" w:lineRule="auto"/>
              <w:jc w:val="center"/>
              <w:rPr>
                <w:rFonts w:hint="eastAsia" w:ascii="宋体" w:hAnsi="宋体" w:eastAsia="宋体"/>
                <w:b/>
                <w:bCs/>
                <w:color w:val="auto"/>
                <w:kern w:val="0"/>
                <w:highlight w:val="none"/>
                <w:lang w:eastAsia="zh-CN"/>
              </w:rPr>
            </w:pPr>
            <w:bookmarkStart w:id="78" w:name="_Toc86124040"/>
            <w:r>
              <w:rPr>
                <w:rFonts w:hint="eastAsia" w:ascii="宋体" w:hAnsi="宋体"/>
                <w:b/>
                <w:bCs/>
                <w:color w:val="auto"/>
                <w:kern w:val="0"/>
                <w:highlight w:val="none"/>
                <w:lang w:eastAsia="zh-CN"/>
              </w:rPr>
              <w:t>（</w:t>
            </w:r>
            <w:r>
              <w:rPr>
                <w:rFonts w:hint="eastAsia" w:ascii="宋体" w:hAnsi="宋体"/>
                <w:b/>
                <w:bCs/>
                <w:color w:val="auto"/>
                <w:kern w:val="0"/>
                <w:highlight w:val="none"/>
                <w:lang w:val="en-US" w:eastAsia="zh-CN"/>
              </w:rPr>
              <w:t>4</w:t>
            </w:r>
            <w:r>
              <w:rPr>
                <w:rFonts w:hint="eastAsia" w:ascii="宋体" w:hAnsi="宋体"/>
                <w:b/>
                <w:bCs/>
                <w:color w:val="auto"/>
                <w:kern w:val="0"/>
                <w:highlight w:val="none"/>
                <w:lang w:eastAsia="zh-CN"/>
              </w:rPr>
              <w:t>）</w:t>
            </w:r>
          </w:p>
        </w:tc>
        <w:tc>
          <w:tcPr>
            <w:tcW w:w="8251" w:type="dxa"/>
            <w:gridSpan w:val="2"/>
            <w:tcBorders>
              <w:top w:val="single" w:color="auto" w:sz="6" w:space="0"/>
              <w:left w:val="single" w:color="auto" w:sz="6" w:space="0"/>
              <w:bottom w:val="single" w:color="auto" w:sz="6" w:space="0"/>
              <w:right w:val="single" w:color="auto" w:sz="12" w:space="0"/>
            </w:tcBorders>
            <w:vAlign w:val="center"/>
          </w:tcPr>
          <w:p w14:paraId="60680659">
            <w:pPr>
              <w:pStyle w:val="45"/>
              <w:spacing w:line="440" w:lineRule="exact"/>
              <w:rPr>
                <w:rFonts w:hint="eastAsia" w:ascii="宋体" w:hAnsi="宋体" w:eastAsia="宋体" w:cs="宋体"/>
                <w:b/>
                <w:bCs/>
                <w:kern w:val="0"/>
                <w:highlight w:val="none"/>
              </w:rPr>
            </w:pPr>
            <w:r>
              <w:rPr>
                <w:rFonts w:hint="eastAsia" w:ascii="宋体" w:hAnsi="宋体" w:eastAsia="宋体" w:cs="宋体"/>
                <w:b/>
                <w:bCs/>
                <w:kern w:val="0"/>
                <w:highlight w:val="none"/>
              </w:rPr>
              <w:t>中小微型企业有关政策</w:t>
            </w:r>
          </w:p>
          <w:p w14:paraId="14389144">
            <w:pPr>
              <w:pStyle w:val="45"/>
              <w:spacing w:line="440" w:lineRule="exact"/>
              <w:rPr>
                <w:rFonts w:hint="eastAsia" w:ascii="宋体" w:hAnsi="宋体" w:eastAsia="宋体" w:cs="宋体"/>
                <w:b/>
                <w:bCs/>
                <w:kern w:val="0"/>
                <w:highlight w:val="none"/>
              </w:rPr>
            </w:pPr>
            <w:r>
              <w:rPr>
                <w:rFonts w:hint="eastAsia" w:ascii="宋体" w:hAnsi="宋体" w:eastAsia="宋体" w:cs="宋体"/>
                <w:b/>
                <w:bCs/>
                <w:kern w:val="0"/>
                <w:highlight w:val="none"/>
              </w:rPr>
              <w:t>本项目对小微企业的评审：</w:t>
            </w:r>
            <w:r>
              <w:rPr>
                <w:rFonts w:hint="eastAsia" w:ascii="宋体" w:hAnsi="宋体" w:eastAsia="宋体" w:cs="宋体"/>
                <w:b/>
                <w:bCs/>
                <w:kern w:val="0"/>
                <w:highlight w:val="none"/>
              </w:rPr>
              <w:fldChar w:fldCharType="begin"/>
            </w:r>
            <w:r>
              <w:rPr>
                <w:rFonts w:hint="eastAsia" w:ascii="宋体" w:hAnsi="宋体" w:eastAsia="宋体" w:cs="宋体"/>
                <w:b/>
                <w:bCs/>
                <w:kern w:val="0"/>
                <w:highlight w:val="none"/>
              </w:rPr>
              <w:instrText xml:space="preserve"> eq \o\ac(□,√)</w:instrText>
            </w:r>
            <w:r>
              <w:rPr>
                <w:rFonts w:hint="eastAsia" w:ascii="宋体" w:hAnsi="宋体" w:eastAsia="宋体" w:cs="宋体"/>
                <w:b/>
                <w:bCs/>
                <w:kern w:val="0"/>
                <w:highlight w:val="none"/>
              </w:rPr>
              <w:fldChar w:fldCharType="end"/>
            </w:r>
            <w:r>
              <w:rPr>
                <w:rFonts w:hint="eastAsia" w:ascii="宋体" w:hAnsi="宋体" w:eastAsia="宋体" w:cs="宋体"/>
                <w:b/>
                <w:bCs/>
                <w:kern w:val="0"/>
                <w:highlight w:val="none"/>
              </w:rPr>
              <w:t>适用  □不适用。</w:t>
            </w:r>
          </w:p>
          <w:p w14:paraId="20EA91DC">
            <w:pPr>
              <w:pStyle w:val="45"/>
              <w:spacing w:line="440" w:lineRule="exact"/>
              <w:rPr>
                <w:rFonts w:hint="eastAsia" w:ascii="宋体" w:hAnsi="宋体" w:eastAsia="宋体" w:cs="宋体"/>
                <w:b/>
                <w:bCs/>
                <w:kern w:val="0"/>
                <w:highlight w:val="none"/>
              </w:rPr>
            </w:pPr>
            <w:r>
              <w:rPr>
                <w:rFonts w:hint="eastAsia" w:ascii="宋体" w:hAnsi="宋体" w:eastAsia="宋体" w:cs="宋体"/>
                <w:b/>
                <w:bCs/>
                <w:kern w:val="0"/>
                <w:highlight w:val="none"/>
              </w:rPr>
              <w:t>中小微型企业有关政策</w:t>
            </w:r>
          </w:p>
          <w:p w14:paraId="1B890DED">
            <w:pPr>
              <w:pStyle w:val="45"/>
              <w:spacing w:line="440" w:lineRule="exact"/>
              <w:rPr>
                <w:rFonts w:hint="eastAsia" w:ascii="宋体" w:hAnsi="宋体" w:eastAsia="宋体" w:cs="宋体"/>
                <w:b/>
                <w:bCs/>
                <w:kern w:val="0"/>
                <w:highlight w:val="none"/>
              </w:rPr>
            </w:pPr>
            <w:r>
              <w:rPr>
                <w:rFonts w:hint="eastAsia" w:ascii="宋体" w:hAnsi="宋体" w:eastAsia="宋体" w:cs="宋体"/>
                <w:b/>
                <w:bCs/>
                <w:kern w:val="0"/>
                <w:highlight w:val="none"/>
              </w:rPr>
              <w:t>1.根据工信部等部委发布的《关于印发中小企业划型标准规定的通知》（工信部联企业〔2011〕300号）规定执行；</w:t>
            </w:r>
          </w:p>
          <w:p w14:paraId="202BE040">
            <w:pPr>
              <w:pStyle w:val="45"/>
              <w:spacing w:line="440" w:lineRule="exact"/>
              <w:rPr>
                <w:rFonts w:hint="eastAsia" w:ascii="宋体" w:hAnsi="宋体" w:eastAsia="宋体" w:cs="宋体"/>
                <w:b/>
                <w:bCs/>
                <w:kern w:val="0"/>
                <w:highlight w:val="none"/>
              </w:rPr>
            </w:pPr>
            <w:r>
              <w:rPr>
                <w:rFonts w:hint="eastAsia" w:ascii="宋体" w:hAnsi="宋体" w:eastAsia="宋体" w:cs="宋体"/>
                <w:b/>
                <w:bCs/>
                <w:kern w:val="0"/>
                <w:highlight w:val="none"/>
              </w:rPr>
              <w:t>2.按照《财政部司法部关于政府采购支持监狱企业发展有关问题的通知》（财库〔2014〕68号）文件规定，在政府采购活动中，监狱企业视同小型、微型企业，享受评审中价格扣除的政府采购政策；</w:t>
            </w:r>
          </w:p>
          <w:p w14:paraId="57F700D9">
            <w:pPr>
              <w:pStyle w:val="45"/>
              <w:spacing w:line="440" w:lineRule="exact"/>
              <w:rPr>
                <w:rFonts w:hint="eastAsia" w:ascii="宋体" w:hAnsi="宋体" w:eastAsia="宋体" w:cs="宋体"/>
                <w:b/>
                <w:bCs/>
                <w:kern w:val="0"/>
                <w:highlight w:val="none"/>
              </w:rPr>
            </w:pPr>
            <w:r>
              <w:rPr>
                <w:rFonts w:hint="eastAsia" w:ascii="宋体" w:hAnsi="宋体" w:eastAsia="宋体" w:cs="宋体"/>
                <w:b/>
                <w:bCs/>
                <w:kern w:val="0"/>
                <w:highlight w:val="none"/>
              </w:rPr>
              <w:t>3.按照《财政部民政部中国残疾人联合会关于促进残疾人就业政府采购政策的通知》，残疾人福利性单位视同小型、微型企业，享受评审中价格扣除的政府采购政策，残疾人福利性单位属于小型、微型企业的，不重复享受政策；</w:t>
            </w:r>
          </w:p>
          <w:p w14:paraId="25ED3B6C">
            <w:pPr>
              <w:pStyle w:val="45"/>
              <w:spacing w:line="440" w:lineRule="exact"/>
              <w:rPr>
                <w:rFonts w:hint="eastAsia" w:ascii="宋体" w:hAnsi="宋体" w:eastAsia="宋体" w:cs="宋体"/>
                <w:b/>
                <w:bCs/>
                <w:kern w:val="0"/>
                <w:highlight w:val="none"/>
                <w:lang w:eastAsia="zh-CN"/>
              </w:rPr>
            </w:pPr>
            <w:r>
              <w:rPr>
                <w:rFonts w:hint="eastAsia" w:ascii="宋体" w:hAnsi="宋体" w:eastAsia="宋体" w:cs="宋体"/>
                <w:b/>
                <w:bCs/>
                <w:kern w:val="0"/>
                <w:highlight w:val="none"/>
              </w:rPr>
              <w:t>4</w:t>
            </w:r>
            <w:r>
              <w:rPr>
                <w:rFonts w:hint="eastAsia" w:ascii="宋体" w:hAnsi="宋体" w:eastAsia="宋体" w:cs="宋体"/>
                <w:b/>
                <w:bCs/>
                <w:color w:val="auto"/>
                <w:kern w:val="0"/>
                <w:highlight w:val="none"/>
              </w:rPr>
              <w:t>.价格扣除幅度：小型、微型企业产品（提供本企业承担的工程）</w:t>
            </w:r>
            <w:r>
              <w:rPr>
                <w:rFonts w:hint="eastAsia" w:ascii="宋体" w:hAnsi="宋体" w:eastAsia="宋体" w:cs="宋体"/>
                <w:b/>
                <w:bCs/>
                <w:color w:val="auto"/>
                <w:kern w:val="0"/>
                <w:highlight w:val="none"/>
                <w:lang w:eastAsia="zh-CN"/>
              </w:rPr>
              <w:t>价格给予3%的扣除</w:t>
            </w:r>
            <w:r>
              <w:rPr>
                <w:rFonts w:hint="eastAsia" w:ascii="宋体" w:hAnsi="宋体" w:eastAsia="宋体" w:cs="宋体"/>
                <w:b/>
                <w:bCs/>
                <w:color w:val="auto"/>
                <w:kern w:val="0"/>
                <w:highlight w:val="none"/>
              </w:rPr>
              <w:t>。</w:t>
            </w:r>
          </w:p>
          <w:p w14:paraId="3D008A17">
            <w:pPr>
              <w:autoSpaceDE w:val="0"/>
              <w:autoSpaceDN w:val="0"/>
              <w:snapToGrid w:val="0"/>
              <w:spacing w:line="360" w:lineRule="auto"/>
              <w:rPr>
                <w:rFonts w:hint="eastAsia" w:ascii="宋体" w:hAnsi="宋体" w:cs="宋体"/>
                <w:b/>
                <w:bCs/>
                <w:color w:val="auto"/>
                <w:szCs w:val="21"/>
                <w:highlight w:val="none"/>
              </w:rPr>
            </w:pPr>
            <w:r>
              <w:rPr>
                <w:rFonts w:hint="eastAsia" w:ascii="宋体" w:hAnsi="宋体" w:eastAsia="宋体" w:cs="宋体"/>
                <w:b/>
                <w:bCs/>
                <w:kern w:val="0"/>
                <w:highlight w:val="none"/>
              </w:rPr>
              <w:t>5.如果</w:t>
            </w:r>
            <w:r>
              <w:rPr>
                <w:rFonts w:hint="eastAsia" w:hAnsi="宋体" w:cs="宋体"/>
                <w:b/>
                <w:bCs/>
                <w:kern w:val="0"/>
                <w:highlight w:val="none"/>
                <w:lang w:eastAsia="zh-CN"/>
              </w:rPr>
              <w:t>联合协议中约定，小型、微型企业和监狱企业的协议合同金额占到联合体协议合同总金额30%以上的，可给予联合体1%的价格扣除</w:t>
            </w:r>
            <w:r>
              <w:rPr>
                <w:rFonts w:hint="eastAsia" w:ascii="宋体" w:hAnsi="宋体" w:eastAsia="宋体" w:cs="宋体"/>
                <w:b/>
                <w:bCs/>
                <w:kern w:val="0"/>
                <w:highlight w:val="none"/>
              </w:rPr>
              <w:t>。联合体各方均为小型、微型企业和监狱企业的，联合体视同为小型、微型企业和监狱企业。</w:t>
            </w:r>
          </w:p>
        </w:tc>
      </w:tr>
      <w:tr w14:paraId="3015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518" w:type="dxa"/>
            <w:gridSpan w:val="2"/>
            <w:tcBorders>
              <w:top w:val="single" w:color="auto" w:sz="6" w:space="0"/>
              <w:left w:val="single" w:color="auto" w:sz="12" w:space="0"/>
              <w:bottom w:val="single" w:color="auto" w:sz="12" w:space="0"/>
              <w:right w:val="single" w:color="auto" w:sz="6" w:space="0"/>
            </w:tcBorders>
            <w:vAlign w:val="center"/>
          </w:tcPr>
          <w:p w14:paraId="5AA2E279">
            <w:pPr>
              <w:snapToGrid w:val="0"/>
              <w:spacing w:line="360" w:lineRule="auto"/>
              <w:jc w:val="center"/>
              <w:rPr>
                <w:rFonts w:hint="eastAsia" w:ascii="宋体" w:hAnsi="宋体" w:eastAsia="宋体"/>
                <w:b/>
                <w:bCs/>
                <w:color w:val="auto"/>
                <w:kern w:val="0"/>
                <w:highlight w:val="none"/>
                <w:lang w:eastAsia="zh-CN"/>
              </w:rPr>
            </w:pPr>
            <w:r>
              <w:rPr>
                <w:rFonts w:hint="eastAsia" w:ascii="宋体" w:hAnsi="宋体"/>
                <w:b/>
                <w:bCs/>
                <w:color w:val="auto"/>
                <w:kern w:val="0"/>
                <w:highlight w:val="none"/>
                <w:lang w:eastAsia="zh-CN"/>
              </w:rPr>
              <w:t>（</w:t>
            </w:r>
            <w:r>
              <w:rPr>
                <w:rFonts w:hint="eastAsia" w:ascii="宋体" w:hAnsi="宋体"/>
                <w:b/>
                <w:bCs/>
                <w:color w:val="auto"/>
                <w:kern w:val="0"/>
                <w:highlight w:val="none"/>
                <w:lang w:val="en-US" w:eastAsia="zh-CN"/>
              </w:rPr>
              <w:t>5</w:t>
            </w:r>
            <w:r>
              <w:rPr>
                <w:rFonts w:hint="eastAsia" w:ascii="宋体" w:hAnsi="宋体"/>
                <w:b/>
                <w:bCs/>
                <w:color w:val="auto"/>
                <w:kern w:val="0"/>
                <w:highlight w:val="none"/>
                <w:lang w:eastAsia="zh-CN"/>
              </w:rPr>
              <w:t>）</w:t>
            </w:r>
          </w:p>
        </w:tc>
        <w:tc>
          <w:tcPr>
            <w:tcW w:w="8251" w:type="dxa"/>
            <w:gridSpan w:val="2"/>
            <w:tcBorders>
              <w:top w:val="single" w:color="auto" w:sz="6" w:space="0"/>
              <w:left w:val="single" w:color="auto" w:sz="6" w:space="0"/>
              <w:bottom w:val="single" w:color="auto" w:sz="12" w:space="0"/>
              <w:right w:val="single" w:color="auto" w:sz="12" w:space="0"/>
            </w:tcBorders>
            <w:vAlign w:val="center"/>
          </w:tcPr>
          <w:p w14:paraId="4556E769">
            <w:pPr>
              <w:autoSpaceDE w:val="0"/>
              <w:autoSpaceDN w:val="0"/>
              <w:snapToGrid w:val="0"/>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合同签订之前中标单位须向采购单位提交中标金额3%的“农民工工资保证金”</w:t>
            </w:r>
            <w:r>
              <w:rPr>
                <w:rFonts w:hint="eastAsia" w:hAnsi="宋体" w:cs="宋体"/>
                <w:color w:val="auto"/>
                <w:szCs w:val="21"/>
                <w:highlight w:val="none"/>
                <w:u w:val="none"/>
                <w:lang w:val="en-US" w:eastAsia="zh-CN"/>
              </w:rPr>
              <w:t>。</w:t>
            </w:r>
          </w:p>
        </w:tc>
      </w:tr>
    </w:tbl>
    <w:p w14:paraId="7C69403B">
      <w:pPr>
        <w:pStyle w:val="4"/>
        <w:spacing w:before="0" w:after="0"/>
        <w:rPr>
          <w:rFonts w:hint="eastAsia" w:ascii="宋体" w:hAnsi="宋体"/>
          <w:color w:val="auto"/>
          <w:sz w:val="21"/>
          <w:szCs w:val="21"/>
          <w:highlight w:val="none"/>
        </w:rPr>
      </w:pPr>
      <w:r>
        <w:rPr>
          <w:rFonts w:ascii="宋体" w:hAnsi="宋体"/>
          <w:color w:val="auto"/>
          <w:sz w:val="21"/>
          <w:szCs w:val="21"/>
          <w:highlight w:val="none"/>
        </w:rPr>
        <w:br w:type="page"/>
      </w:r>
      <w:bookmarkStart w:id="79" w:name="_Toc83328583"/>
      <w:bookmarkStart w:id="80" w:name="_Toc11035"/>
      <w:bookmarkStart w:id="81" w:name="_Toc174031426"/>
      <w:bookmarkStart w:id="82" w:name="_Toc11680"/>
      <w:bookmarkStart w:id="83" w:name="_Toc174031512"/>
      <w:bookmarkStart w:id="84" w:name="_Toc82683092"/>
      <w:bookmarkStart w:id="85" w:name="_Toc179645091"/>
      <w:bookmarkStart w:id="86" w:name="_Toc46765010"/>
      <w:r>
        <w:rPr>
          <w:rFonts w:hint="eastAsia" w:ascii="宋体" w:hAnsi="宋体"/>
          <w:color w:val="auto"/>
          <w:sz w:val="24"/>
          <w:szCs w:val="24"/>
          <w:highlight w:val="none"/>
        </w:rPr>
        <w:t>一、总</w:t>
      </w:r>
      <w:r>
        <w:rPr>
          <w:rFonts w:ascii="宋体" w:hAnsi="宋体"/>
          <w:color w:val="auto"/>
          <w:sz w:val="24"/>
          <w:szCs w:val="24"/>
          <w:highlight w:val="none"/>
        </w:rPr>
        <w:t xml:space="preserve">  </w:t>
      </w:r>
      <w:r>
        <w:rPr>
          <w:rFonts w:hint="eastAsia" w:ascii="宋体" w:hAnsi="宋体"/>
          <w:color w:val="auto"/>
          <w:sz w:val="24"/>
          <w:szCs w:val="24"/>
          <w:highlight w:val="none"/>
        </w:rPr>
        <w:t>则</w:t>
      </w:r>
      <w:bookmarkEnd w:id="78"/>
      <w:bookmarkEnd w:id="79"/>
      <w:bookmarkEnd w:id="80"/>
      <w:bookmarkEnd w:id="81"/>
      <w:bookmarkEnd w:id="82"/>
      <w:bookmarkEnd w:id="83"/>
      <w:bookmarkEnd w:id="84"/>
      <w:bookmarkEnd w:id="85"/>
      <w:bookmarkEnd w:id="86"/>
    </w:p>
    <w:p w14:paraId="6CD21AEE">
      <w:pPr>
        <w:pStyle w:val="5"/>
        <w:snapToGrid w:val="0"/>
        <w:spacing w:before="0" w:after="0"/>
        <w:ind w:firstLine="0" w:firstLineChars="0"/>
        <w:jc w:val="both"/>
        <w:rPr>
          <w:rFonts w:hint="eastAsia" w:hAnsi="宋体"/>
          <w:color w:val="auto"/>
          <w:sz w:val="21"/>
          <w:szCs w:val="21"/>
          <w:highlight w:val="none"/>
        </w:rPr>
      </w:pPr>
      <w:bookmarkStart w:id="87" w:name="_Toc516501394"/>
      <w:bookmarkStart w:id="88" w:name="_Toc432106475"/>
      <w:bookmarkStart w:id="89" w:name="_Toc383175052"/>
      <w:bookmarkStart w:id="90" w:name="_Toc383175276"/>
      <w:bookmarkStart w:id="91" w:name="_Toc31366"/>
      <w:bookmarkStart w:id="92" w:name="_Toc82683093"/>
      <w:bookmarkStart w:id="93" w:name="_Toc174031427"/>
      <w:bookmarkStart w:id="94" w:name="_Toc179645092"/>
      <w:bookmarkStart w:id="95" w:name="_Toc174031513"/>
      <w:bookmarkStart w:id="96" w:name="_Toc383175474"/>
      <w:bookmarkStart w:id="97" w:name="_Toc46765011"/>
      <w:bookmarkStart w:id="98" w:name="_Toc432194826"/>
      <w:bookmarkStart w:id="99" w:name="_Toc83328584"/>
      <w:bookmarkStart w:id="100" w:name="_Toc8921"/>
      <w:bookmarkStart w:id="101" w:name="_Toc329810186"/>
      <w:r>
        <w:rPr>
          <w:rFonts w:hint="eastAsia" w:hAnsi="宋体"/>
          <w:color w:val="auto"/>
          <w:sz w:val="21"/>
          <w:szCs w:val="21"/>
          <w:highlight w:val="none"/>
        </w:rPr>
        <w:t>1.项目概况</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3601445">
      <w:pPr>
        <w:adjustRightInd w:val="0"/>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 xml:space="preserve">1.1 </w:t>
      </w:r>
      <w:r>
        <w:rPr>
          <w:rFonts w:hint="eastAsia" w:ascii="宋体" w:hAnsi="宋体"/>
          <w:color w:val="auto"/>
          <w:szCs w:val="21"/>
          <w:highlight w:val="none"/>
        </w:rPr>
        <w:t>根据《中华人民共和国政府采购法》等有关法律、法规和规章的规定，本项目已获主管部门批准，现对本项目进行竞争性磋商采购。</w:t>
      </w:r>
    </w:p>
    <w:p w14:paraId="27F685FE">
      <w:pPr>
        <w:adjustRightInd w:val="0"/>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 xml:space="preserve">1.2 </w:t>
      </w:r>
      <w:r>
        <w:rPr>
          <w:rFonts w:hint="eastAsia" w:ascii="宋体" w:hAnsi="宋体"/>
          <w:color w:val="auto"/>
          <w:szCs w:val="21"/>
          <w:highlight w:val="none"/>
        </w:rPr>
        <w:t>本项目采购人、采购代理机构、项目名称及招标编号：见</w:t>
      </w:r>
      <w:r>
        <w:rPr>
          <w:rFonts w:ascii="宋体" w:hAnsi="宋体"/>
          <w:color w:val="auto"/>
          <w:szCs w:val="21"/>
          <w:highlight w:val="none"/>
        </w:rPr>
        <w:t>“</w:t>
      </w:r>
      <w:r>
        <w:rPr>
          <w:rFonts w:hint="eastAsia" w:ascii="宋体" w:hAnsi="宋体"/>
          <w:b/>
          <w:bCs/>
          <w:color w:val="auto"/>
          <w:szCs w:val="21"/>
          <w:highlight w:val="none"/>
        </w:rPr>
        <w:t>供应商须知前附表</w:t>
      </w:r>
      <w:r>
        <w:rPr>
          <w:rFonts w:ascii="宋体" w:hAnsi="宋体"/>
          <w:color w:val="auto"/>
          <w:szCs w:val="21"/>
          <w:highlight w:val="none"/>
        </w:rPr>
        <w:t>”</w:t>
      </w:r>
      <w:r>
        <w:rPr>
          <w:rFonts w:hint="eastAsia" w:ascii="宋体" w:hAnsi="宋体"/>
          <w:color w:val="auto"/>
          <w:szCs w:val="21"/>
          <w:highlight w:val="none"/>
        </w:rPr>
        <w:t>。</w:t>
      </w:r>
    </w:p>
    <w:p w14:paraId="377F1C78">
      <w:pPr>
        <w:pStyle w:val="5"/>
        <w:snapToGrid w:val="0"/>
        <w:spacing w:before="0" w:after="0"/>
        <w:ind w:firstLine="0" w:firstLineChars="0"/>
        <w:jc w:val="both"/>
        <w:rPr>
          <w:rFonts w:hint="eastAsia" w:hAnsi="宋体"/>
          <w:color w:val="auto"/>
          <w:sz w:val="21"/>
          <w:szCs w:val="21"/>
          <w:highlight w:val="none"/>
        </w:rPr>
      </w:pPr>
      <w:bookmarkStart w:id="102" w:name="_Toc329810187"/>
      <w:bookmarkStart w:id="103" w:name="_Toc83328585"/>
      <w:bookmarkStart w:id="104" w:name="_Toc432194827"/>
      <w:bookmarkStart w:id="105" w:name="_Toc179645093"/>
      <w:bookmarkStart w:id="106" w:name="_Toc82683094"/>
      <w:bookmarkStart w:id="107" w:name="_Toc432106476"/>
      <w:bookmarkStart w:id="108" w:name="_Toc383175475"/>
      <w:bookmarkStart w:id="109" w:name="_Toc516501395"/>
      <w:bookmarkStart w:id="110" w:name="_Toc46765012"/>
      <w:bookmarkStart w:id="111" w:name="_Toc30931"/>
      <w:bookmarkStart w:id="112" w:name="_Toc265142411"/>
      <w:bookmarkStart w:id="113" w:name="_Toc174031428"/>
      <w:bookmarkStart w:id="114" w:name="_Toc383175053"/>
      <w:bookmarkStart w:id="115" w:name="_Toc174031514"/>
      <w:bookmarkStart w:id="116" w:name="_Toc383175277"/>
      <w:bookmarkStart w:id="117" w:name="_Toc28589"/>
      <w:r>
        <w:rPr>
          <w:rFonts w:hint="eastAsia" w:hAnsi="宋体"/>
          <w:color w:val="auto"/>
          <w:sz w:val="21"/>
          <w:szCs w:val="21"/>
          <w:highlight w:val="none"/>
        </w:rPr>
        <w:t>2.资金来源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273EE1A">
      <w:pPr>
        <w:adjustRightInd w:val="0"/>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lang w:eastAsia="zh-CN"/>
        </w:rPr>
        <w:t>学校自筹</w:t>
      </w:r>
      <w:r>
        <w:rPr>
          <w:rFonts w:hint="eastAsia" w:ascii="宋体" w:hAnsi="宋体"/>
          <w:color w:val="auto"/>
          <w:szCs w:val="21"/>
          <w:highlight w:val="none"/>
        </w:rPr>
        <w:t>，</w:t>
      </w:r>
      <w:r>
        <w:rPr>
          <w:rFonts w:hint="eastAsia" w:ascii="宋体" w:hAnsi="宋体" w:cs="宋体"/>
          <w:color w:val="auto"/>
          <w:szCs w:val="21"/>
          <w:highlight w:val="none"/>
        </w:rPr>
        <w:t>用于采购</w:t>
      </w:r>
      <w:r>
        <w:rPr>
          <w:rFonts w:hint="eastAsia" w:ascii="宋体" w:hAnsi="宋体" w:cs="宋体"/>
          <w:bCs/>
          <w:color w:val="auto"/>
          <w:szCs w:val="21"/>
          <w:highlight w:val="none"/>
        </w:rPr>
        <w:t>第五章《项目需求》</w:t>
      </w:r>
      <w:r>
        <w:rPr>
          <w:rFonts w:hint="eastAsia" w:ascii="宋体" w:hAnsi="宋体" w:cs="宋体"/>
          <w:color w:val="auto"/>
          <w:szCs w:val="21"/>
          <w:highlight w:val="none"/>
        </w:rPr>
        <w:t>所列内容。</w:t>
      </w:r>
    </w:p>
    <w:p w14:paraId="5482325C">
      <w:pPr>
        <w:pStyle w:val="5"/>
        <w:snapToGrid w:val="0"/>
        <w:spacing w:before="0" w:after="0"/>
        <w:ind w:firstLine="0" w:firstLineChars="0"/>
        <w:jc w:val="both"/>
        <w:rPr>
          <w:rFonts w:hint="eastAsia" w:hAnsi="宋体"/>
          <w:color w:val="auto"/>
          <w:sz w:val="21"/>
          <w:szCs w:val="21"/>
          <w:highlight w:val="none"/>
        </w:rPr>
      </w:pPr>
      <w:bookmarkStart w:id="118" w:name="_Toc10784"/>
      <w:bookmarkStart w:id="119" w:name="_Toc516501396"/>
      <w:bookmarkStart w:id="120" w:name="_Toc179645094"/>
      <w:bookmarkStart w:id="121" w:name="_Toc432194828"/>
      <w:bookmarkStart w:id="122" w:name="_Toc174031515"/>
      <w:bookmarkStart w:id="123" w:name="_Toc12740"/>
      <w:bookmarkStart w:id="124" w:name="_Toc82683095"/>
      <w:bookmarkStart w:id="125" w:name="_Toc83328586"/>
      <w:bookmarkStart w:id="126" w:name="_Toc432106477"/>
      <w:bookmarkStart w:id="127" w:name="_Toc46765013"/>
      <w:bookmarkStart w:id="128" w:name="_Toc174031429"/>
      <w:r>
        <w:rPr>
          <w:rFonts w:hint="eastAsia" w:hAnsi="宋体"/>
          <w:color w:val="auto"/>
          <w:sz w:val="21"/>
          <w:szCs w:val="21"/>
          <w:highlight w:val="none"/>
        </w:rPr>
        <w:t>3.采购内容</w:t>
      </w:r>
      <w:bookmarkEnd w:id="118"/>
      <w:bookmarkEnd w:id="119"/>
      <w:bookmarkEnd w:id="120"/>
      <w:bookmarkEnd w:id="121"/>
      <w:bookmarkEnd w:id="122"/>
      <w:bookmarkEnd w:id="123"/>
      <w:bookmarkEnd w:id="124"/>
      <w:bookmarkEnd w:id="125"/>
      <w:bookmarkEnd w:id="126"/>
      <w:bookmarkEnd w:id="127"/>
      <w:bookmarkEnd w:id="128"/>
    </w:p>
    <w:p w14:paraId="21D2E83D">
      <w:pPr>
        <w:adjustRightInd w:val="0"/>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 xml:space="preserve">3.1 </w:t>
      </w:r>
      <w:r>
        <w:rPr>
          <w:rFonts w:hint="eastAsia" w:ascii="宋体" w:hAnsi="宋体"/>
          <w:color w:val="auto"/>
          <w:szCs w:val="21"/>
          <w:highlight w:val="none"/>
        </w:rPr>
        <w:t>本项目采购内容：见</w:t>
      </w:r>
      <w:r>
        <w:rPr>
          <w:rFonts w:ascii="宋体" w:hAnsi="宋体"/>
          <w:color w:val="auto"/>
          <w:szCs w:val="21"/>
          <w:highlight w:val="none"/>
        </w:rPr>
        <w:t>“</w:t>
      </w:r>
      <w:r>
        <w:rPr>
          <w:rFonts w:hint="eastAsia" w:ascii="宋体" w:hAnsi="宋体"/>
          <w:b/>
          <w:bCs/>
          <w:color w:val="auto"/>
          <w:szCs w:val="21"/>
          <w:highlight w:val="none"/>
        </w:rPr>
        <w:t>供应商须知前附表</w:t>
      </w:r>
      <w:r>
        <w:rPr>
          <w:rFonts w:ascii="宋体" w:hAnsi="宋体"/>
          <w:color w:val="auto"/>
          <w:szCs w:val="21"/>
          <w:highlight w:val="none"/>
        </w:rPr>
        <w:t>”</w:t>
      </w:r>
      <w:r>
        <w:rPr>
          <w:rFonts w:hint="eastAsia" w:ascii="宋体" w:hAnsi="宋体"/>
          <w:color w:val="auto"/>
          <w:szCs w:val="21"/>
          <w:highlight w:val="none"/>
        </w:rPr>
        <w:t>。</w:t>
      </w:r>
    </w:p>
    <w:p w14:paraId="33242675">
      <w:pPr>
        <w:adjustRightInd w:val="0"/>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 xml:space="preserve">3.2 </w:t>
      </w:r>
      <w:r>
        <w:rPr>
          <w:rFonts w:hint="eastAsia" w:ascii="宋体" w:hAnsi="宋体"/>
          <w:color w:val="auto"/>
          <w:szCs w:val="21"/>
          <w:highlight w:val="none"/>
        </w:rPr>
        <w:t>本项目</w:t>
      </w:r>
      <w:r>
        <w:rPr>
          <w:rFonts w:hint="eastAsia" w:ascii="宋体" w:hAnsi="宋体" w:cs="宋体"/>
          <w:color w:val="auto"/>
          <w:szCs w:val="21"/>
          <w:highlight w:val="none"/>
        </w:rPr>
        <w:t>工期、项目实施地点、质量标准及工程保修期</w:t>
      </w:r>
      <w:r>
        <w:rPr>
          <w:rFonts w:hint="eastAsia" w:ascii="宋体" w:hAnsi="宋体"/>
          <w:color w:val="auto"/>
          <w:szCs w:val="21"/>
          <w:highlight w:val="none"/>
        </w:rPr>
        <w:t>：见</w:t>
      </w:r>
      <w:r>
        <w:rPr>
          <w:rFonts w:ascii="宋体" w:hAnsi="宋体"/>
          <w:color w:val="auto"/>
          <w:szCs w:val="21"/>
          <w:highlight w:val="none"/>
        </w:rPr>
        <w:t>“</w:t>
      </w:r>
      <w:r>
        <w:rPr>
          <w:rFonts w:hint="eastAsia" w:ascii="宋体" w:hAnsi="宋体"/>
          <w:b/>
          <w:bCs/>
          <w:color w:val="auto"/>
          <w:szCs w:val="21"/>
          <w:highlight w:val="none"/>
        </w:rPr>
        <w:t>供应商须知前附表</w:t>
      </w:r>
      <w:r>
        <w:rPr>
          <w:rFonts w:ascii="宋体" w:hAnsi="宋体"/>
          <w:color w:val="auto"/>
          <w:szCs w:val="21"/>
          <w:highlight w:val="none"/>
        </w:rPr>
        <w:t>”</w:t>
      </w:r>
      <w:r>
        <w:rPr>
          <w:rFonts w:hint="eastAsia" w:ascii="宋体" w:hAnsi="宋体"/>
          <w:color w:val="auto"/>
          <w:szCs w:val="21"/>
          <w:highlight w:val="none"/>
        </w:rPr>
        <w:t>。</w:t>
      </w:r>
    </w:p>
    <w:p w14:paraId="0CE4161F">
      <w:pPr>
        <w:pStyle w:val="5"/>
        <w:snapToGrid w:val="0"/>
        <w:spacing w:before="0" w:after="0"/>
        <w:ind w:firstLine="0" w:firstLineChars="0"/>
        <w:jc w:val="both"/>
        <w:rPr>
          <w:rFonts w:hint="eastAsia" w:hAnsi="宋体"/>
          <w:color w:val="auto"/>
          <w:sz w:val="21"/>
          <w:szCs w:val="21"/>
          <w:highlight w:val="none"/>
        </w:rPr>
      </w:pPr>
      <w:bookmarkStart w:id="129" w:name="_Toc432194829"/>
      <w:bookmarkStart w:id="130" w:name="_Toc174031430"/>
      <w:bookmarkStart w:id="131" w:name="_Toc329810189"/>
      <w:bookmarkStart w:id="132" w:name="_Toc174031516"/>
      <w:bookmarkStart w:id="133" w:name="_Toc383175055"/>
      <w:bookmarkStart w:id="134" w:name="_Toc383175279"/>
      <w:bookmarkStart w:id="135" w:name="_Toc179645095"/>
      <w:bookmarkStart w:id="136" w:name="_Toc383175477"/>
      <w:bookmarkStart w:id="137" w:name="_Toc83328587"/>
      <w:bookmarkStart w:id="138" w:name="_Toc82683096"/>
      <w:bookmarkStart w:id="139" w:name="_Toc432106478"/>
      <w:bookmarkStart w:id="140" w:name="_Toc46765014"/>
      <w:bookmarkStart w:id="141" w:name="_Toc516501397"/>
      <w:bookmarkStart w:id="142" w:name="_Toc29448"/>
      <w:bookmarkStart w:id="143" w:name="_Toc16380"/>
      <w:r>
        <w:rPr>
          <w:rFonts w:hint="eastAsia" w:hAnsi="宋体"/>
          <w:color w:val="auto"/>
          <w:sz w:val="21"/>
          <w:szCs w:val="21"/>
          <w:highlight w:val="none"/>
        </w:rPr>
        <w:t>4.合格的供应商（以下简称供应商）</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5315EE8">
      <w:pPr>
        <w:tabs>
          <w:tab w:val="left" w:pos="1070"/>
        </w:tabs>
        <w:spacing w:line="360" w:lineRule="auto"/>
        <w:ind w:firstLine="426" w:firstLineChars="202"/>
        <w:jc w:val="left"/>
        <w:rPr>
          <w:rFonts w:hint="eastAsia" w:ascii="宋体" w:hAnsi="宋体"/>
          <w:b/>
          <w:bCs/>
          <w:color w:val="auto"/>
          <w:szCs w:val="21"/>
          <w:highlight w:val="none"/>
        </w:rPr>
      </w:pPr>
      <w:bookmarkStart w:id="144" w:name="_Toc432106479"/>
      <w:bookmarkStart w:id="145" w:name="_Toc383175478"/>
      <w:bookmarkStart w:id="146" w:name="_Toc432194830"/>
      <w:bookmarkStart w:id="147" w:name="_Toc516501398"/>
      <w:bookmarkStart w:id="148" w:name="_Toc5139"/>
      <w:bookmarkStart w:id="149" w:name="_Toc83328588"/>
      <w:bookmarkStart w:id="150" w:name="_Toc46765015"/>
      <w:bookmarkStart w:id="151" w:name="_Toc383175280"/>
      <w:bookmarkStart w:id="152" w:name="_Toc30417"/>
      <w:bookmarkStart w:id="153" w:name="_Toc383175056"/>
      <w:bookmarkStart w:id="154" w:name="_Toc329810190"/>
      <w:bookmarkStart w:id="155" w:name="_Toc82683097"/>
      <w:r>
        <w:rPr>
          <w:rFonts w:hint="eastAsia" w:ascii="宋体" w:hAnsi="宋体"/>
          <w:b/>
          <w:bCs/>
          <w:color w:val="auto"/>
          <w:szCs w:val="21"/>
          <w:highlight w:val="none"/>
        </w:rPr>
        <w:t>4.1供应商应具备《中华人民共和国政府采购法》第二十二条规定的条件，并提供下列材料：</w:t>
      </w:r>
    </w:p>
    <w:p w14:paraId="29495E90">
      <w:pPr>
        <w:tabs>
          <w:tab w:val="left" w:pos="1070"/>
        </w:tabs>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4.1.1供应商必须是具有独立承担民事责任能力的法人、其他组织或者自然人；提供多证合一营业执照（扫描件）或同等法定证明。</w:t>
      </w:r>
    </w:p>
    <w:p w14:paraId="7EBD81F1">
      <w:pPr>
        <w:tabs>
          <w:tab w:val="left" w:pos="1070"/>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4.1.2供应商具有良好的商业信誉和健全的财务会计制度，内容详见“</w:t>
      </w:r>
      <w:r>
        <w:rPr>
          <w:rFonts w:hint="eastAsia" w:ascii="宋体" w:hAnsi="宋体"/>
          <w:b/>
          <w:bCs/>
          <w:color w:val="auto"/>
          <w:szCs w:val="21"/>
          <w:highlight w:val="none"/>
        </w:rPr>
        <w:t>供应商须知前附表</w:t>
      </w:r>
      <w:r>
        <w:rPr>
          <w:rFonts w:hint="eastAsia" w:ascii="宋体" w:hAnsi="宋体"/>
          <w:color w:val="auto"/>
          <w:szCs w:val="21"/>
          <w:highlight w:val="none"/>
        </w:rPr>
        <w:t>”。</w:t>
      </w:r>
    </w:p>
    <w:p w14:paraId="472EED44">
      <w:pPr>
        <w:tabs>
          <w:tab w:val="left" w:pos="1070"/>
        </w:tabs>
        <w:adjustRightInd w:val="0"/>
        <w:snapToGrid w:val="0"/>
        <w:spacing w:line="360" w:lineRule="auto"/>
        <w:ind w:firstLine="420" w:firstLineChars="200"/>
        <w:jc w:val="left"/>
        <w:rPr>
          <w:rFonts w:hint="eastAsia" w:ascii="宋体" w:hAnsi="宋体"/>
          <w:b/>
          <w:bCs/>
          <w:color w:val="auto"/>
          <w:szCs w:val="21"/>
          <w:highlight w:val="none"/>
        </w:rPr>
      </w:pPr>
      <w:r>
        <w:rPr>
          <w:rFonts w:hint="eastAsia" w:ascii="宋体" w:hAnsi="宋体"/>
          <w:color w:val="auto"/>
          <w:szCs w:val="21"/>
          <w:highlight w:val="none"/>
        </w:rPr>
        <w:t>4.1.3供应商须提供具备履行合同所必需的设备和专业技术能力的证明材料；</w:t>
      </w:r>
      <w:r>
        <w:rPr>
          <w:rFonts w:ascii="宋体" w:hAnsi="宋体"/>
          <w:b/>
          <w:bCs/>
          <w:color w:val="auto"/>
          <w:szCs w:val="21"/>
          <w:highlight w:val="none"/>
        </w:rPr>
        <w:t>（提供承诺书）</w:t>
      </w:r>
    </w:p>
    <w:p w14:paraId="6E512723">
      <w:pPr>
        <w:overflowPunct w:val="0"/>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w:t>
      </w:r>
      <w:r>
        <w:rPr>
          <w:rFonts w:ascii="宋体" w:hAnsi="宋体"/>
          <w:bCs/>
          <w:color w:val="auto"/>
          <w:szCs w:val="21"/>
          <w:highlight w:val="none"/>
        </w:rPr>
        <w:t>1</w:t>
      </w:r>
      <w:r>
        <w:rPr>
          <w:rFonts w:hint="eastAsia" w:ascii="宋体" w:hAnsi="宋体"/>
          <w:bCs/>
          <w:color w:val="auto"/>
          <w:szCs w:val="21"/>
          <w:highlight w:val="none"/>
        </w:rPr>
        <w:t>.4</w:t>
      </w:r>
      <w:r>
        <w:rPr>
          <w:rFonts w:hint="eastAsia" w:ascii="宋体" w:hAnsi="宋体"/>
          <w:color w:val="auto"/>
          <w:szCs w:val="21"/>
          <w:highlight w:val="none"/>
        </w:rPr>
        <w:t>供应商</w:t>
      </w:r>
      <w:r>
        <w:rPr>
          <w:rFonts w:ascii="宋体" w:hAnsi="宋体"/>
          <w:color w:val="auto"/>
          <w:szCs w:val="21"/>
          <w:highlight w:val="none"/>
        </w:rPr>
        <w:t>提供近期内（具体月份详见</w:t>
      </w:r>
      <w:r>
        <w:rPr>
          <w:rFonts w:ascii="宋体" w:hAnsi="宋体"/>
          <w:bCs/>
          <w:color w:val="auto"/>
          <w:szCs w:val="21"/>
          <w:highlight w:val="none"/>
        </w:rPr>
        <w:t>“</w:t>
      </w:r>
      <w:r>
        <w:rPr>
          <w:rFonts w:ascii="宋体" w:hAnsi="宋体"/>
          <w:b/>
          <w:bCs/>
          <w:color w:val="auto"/>
          <w:szCs w:val="21"/>
          <w:highlight w:val="none"/>
        </w:rPr>
        <w:t>供应商须知前附表</w:t>
      </w:r>
      <w:r>
        <w:rPr>
          <w:rFonts w:ascii="宋体" w:hAnsi="宋体"/>
          <w:bCs/>
          <w:color w:val="auto"/>
          <w:szCs w:val="21"/>
          <w:highlight w:val="none"/>
        </w:rPr>
        <w:t>”</w:t>
      </w:r>
      <w:r>
        <w:rPr>
          <w:rFonts w:ascii="宋体" w:hAnsi="宋体"/>
          <w:color w:val="auto"/>
          <w:szCs w:val="21"/>
          <w:highlight w:val="none"/>
        </w:rPr>
        <w:t>）</w:t>
      </w:r>
      <w:r>
        <w:rPr>
          <w:rFonts w:hint="eastAsia" w:ascii="宋体" w:hAnsi="宋体"/>
          <w:color w:val="auto"/>
          <w:szCs w:val="21"/>
          <w:highlight w:val="none"/>
        </w:rPr>
        <w:t>依法缴纳</w:t>
      </w:r>
      <w:r>
        <w:rPr>
          <w:rFonts w:ascii="宋体" w:hAnsi="宋体"/>
          <w:color w:val="auto"/>
          <w:szCs w:val="21"/>
          <w:highlight w:val="none"/>
        </w:rPr>
        <w:t>税收</w:t>
      </w:r>
      <w:r>
        <w:rPr>
          <w:rFonts w:hint="eastAsia" w:ascii="宋体" w:hAnsi="宋体"/>
          <w:color w:val="auto"/>
          <w:szCs w:val="21"/>
          <w:highlight w:val="none"/>
        </w:rPr>
        <w:t>如</w:t>
      </w:r>
      <w:r>
        <w:rPr>
          <w:rFonts w:ascii="宋体" w:hAnsi="宋体"/>
          <w:color w:val="auto"/>
          <w:szCs w:val="21"/>
          <w:highlight w:val="none"/>
        </w:rPr>
        <w:t>税务局</w:t>
      </w:r>
      <w:r>
        <w:rPr>
          <w:rFonts w:hint="eastAsia" w:ascii="宋体" w:hAnsi="宋体"/>
          <w:color w:val="auto"/>
          <w:szCs w:val="21"/>
          <w:highlight w:val="none"/>
        </w:rPr>
        <w:t>税收</w:t>
      </w:r>
      <w:r>
        <w:rPr>
          <w:rFonts w:ascii="宋体" w:hAnsi="宋体"/>
          <w:color w:val="auto"/>
          <w:szCs w:val="21"/>
          <w:highlight w:val="none"/>
        </w:rPr>
        <w:t>通用缴款书复印件或银行电子缴税（费）凭证复印件或税务局出具纳税情况的相关证明复印件</w:t>
      </w:r>
      <w:r>
        <w:rPr>
          <w:rFonts w:hint="eastAsia" w:ascii="宋体" w:hAnsi="宋体"/>
          <w:color w:val="auto"/>
          <w:szCs w:val="21"/>
          <w:highlight w:val="none"/>
        </w:rPr>
        <w:t>；</w:t>
      </w:r>
      <w:r>
        <w:rPr>
          <w:rFonts w:hint="eastAsia" w:ascii="宋体" w:hAnsi="宋体"/>
          <w:b/>
          <w:bCs/>
          <w:color w:val="auto"/>
          <w:kern w:val="0"/>
          <w:szCs w:val="21"/>
          <w:highlight w:val="none"/>
        </w:rPr>
        <w:t>（</w:t>
      </w:r>
      <w:r>
        <w:rPr>
          <w:rFonts w:hint="eastAsia" w:ascii="宋体" w:hAnsi="宋体" w:cs="宋体"/>
          <w:b/>
          <w:color w:val="auto"/>
          <w:szCs w:val="21"/>
          <w:highlight w:val="none"/>
        </w:rPr>
        <w:t>新成立的</w:t>
      </w:r>
      <w:r>
        <w:rPr>
          <w:rFonts w:hint="eastAsia" w:ascii="宋体" w:hAnsi="宋体"/>
          <w:b/>
          <w:color w:val="auto"/>
          <w:szCs w:val="21"/>
          <w:highlight w:val="none"/>
        </w:rPr>
        <w:t>供应商</w:t>
      </w:r>
      <w:r>
        <w:rPr>
          <w:rFonts w:hint="eastAsia" w:ascii="宋体" w:hAnsi="宋体" w:cs="宋体"/>
          <w:b/>
          <w:color w:val="auto"/>
          <w:szCs w:val="21"/>
          <w:highlight w:val="none"/>
        </w:rPr>
        <w:t>根据实际情况提供</w:t>
      </w:r>
      <w:r>
        <w:rPr>
          <w:rFonts w:hint="eastAsia" w:ascii="宋体" w:hAnsi="宋体"/>
          <w:b/>
          <w:bCs/>
          <w:color w:val="auto"/>
          <w:kern w:val="0"/>
          <w:szCs w:val="21"/>
          <w:highlight w:val="none"/>
        </w:rPr>
        <w:t>；依法免税的供应商，应提供相应文件证明其依法免税）。</w:t>
      </w:r>
    </w:p>
    <w:p w14:paraId="3A5756F6">
      <w:pPr>
        <w:overflowPunct w:val="0"/>
        <w:adjustRightInd w:val="0"/>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5</w:t>
      </w:r>
      <w:r>
        <w:rPr>
          <w:rFonts w:hint="eastAsia" w:ascii="宋体" w:hAnsi="宋体"/>
          <w:color w:val="auto"/>
          <w:szCs w:val="21"/>
          <w:highlight w:val="none"/>
        </w:rPr>
        <w:t>供应商</w:t>
      </w:r>
      <w:r>
        <w:rPr>
          <w:rFonts w:ascii="宋体" w:hAnsi="宋体"/>
          <w:color w:val="auto"/>
          <w:szCs w:val="21"/>
          <w:highlight w:val="none"/>
        </w:rPr>
        <w:t>提供近期内（具体月份详见</w:t>
      </w:r>
      <w:r>
        <w:rPr>
          <w:rFonts w:ascii="宋体" w:hAnsi="宋体"/>
          <w:bCs/>
          <w:color w:val="auto"/>
          <w:szCs w:val="21"/>
          <w:highlight w:val="none"/>
        </w:rPr>
        <w:t>“</w:t>
      </w:r>
      <w:r>
        <w:rPr>
          <w:rFonts w:ascii="宋体" w:hAnsi="宋体"/>
          <w:b/>
          <w:bCs/>
          <w:color w:val="auto"/>
          <w:szCs w:val="21"/>
          <w:highlight w:val="none"/>
        </w:rPr>
        <w:t>供应商须知前附表</w:t>
      </w:r>
      <w:r>
        <w:rPr>
          <w:rFonts w:ascii="宋体" w:hAnsi="宋体"/>
          <w:bCs/>
          <w:color w:val="auto"/>
          <w:szCs w:val="21"/>
          <w:highlight w:val="none"/>
        </w:rPr>
        <w:t>”</w:t>
      </w:r>
      <w:r>
        <w:rPr>
          <w:rFonts w:ascii="宋体" w:hAnsi="宋体"/>
          <w:color w:val="auto"/>
          <w:szCs w:val="21"/>
          <w:highlight w:val="none"/>
        </w:rPr>
        <w:t>）的社会保险费缴款书复印件或银行电子缴税（费）凭证复印件或社保管理部门出具的有效的缴款证明复印件</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s="宋体"/>
          <w:b/>
          <w:color w:val="auto"/>
          <w:szCs w:val="21"/>
          <w:highlight w:val="none"/>
        </w:rPr>
        <w:t>新成立的</w:t>
      </w:r>
      <w:r>
        <w:rPr>
          <w:rFonts w:hint="eastAsia" w:ascii="宋体" w:hAnsi="宋体"/>
          <w:b/>
          <w:color w:val="auto"/>
          <w:szCs w:val="21"/>
          <w:highlight w:val="none"/>
        </w:rPr>
        <w:t>供应商</w:t>
      </w:r>
      <w:r>
        <w:rPr>
          <w:rFonts w:hint="eastAsia" w:ascii="宋体" w:hAnsi="宋体" w:cs="宋体"/>
          <w:b/>
          <w:color w:val="auto"/>
          <w:szCs w:val="21"/>
          <w:highlight w:val="none"/>
        </w:rPr>
        <w:t>根据实际情况提供；</w:t>
      </w:r>
      <w:r>
        <w:rPr>
          <w:rFonts w:hint="eastAsia" w:ascii="宋体" w:hAnsi="宋体"/>
          <w:b/>
          <w:bCs/>
          <w:color w:val="auto"/>
          <w:kern w:val="0"/>
          <w:szCs w:val="21"/>
          <w:highlight w:val="none"/>
        </w:rPr>
        <w:t>依法不需要缴纳社会保障资金的供应商，应提供相应文件证明其不需要缴纳社会保障资金。</w:t>
      </w:r>
      <w:r>
        <w:rPr>
          <w:rFonts w:hint="eastAsia" w:ascii="宋体" w:hAnsi="宋体"/>
          <w:b/>
          <w:bCs/>
          <w:color w:val="auto"/>
          <w:szCs w:val="21"/>
          <w:highlight w:val="none"/>
        </w:rPr>
        <w:t>）</w:t>
      </w:r>
    </w:p>
    <w:p w14:paraId="43AFEEEA">
      <w:pPr>
        <w:tabs>
          <w:tab w:val="left" w:pos="1070"/>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4.1.6供应商</w:t>
      </w:r>
      <w:r>
        <w:rPr>
          <w:rFonts w:hint="eastAsia" w:ascii="宋体" w:hAnsi="宋体"/>
          <w:color w:val="auto"/>
          <w:highlight w:val="none"/>
        </w:rPr>
        <w:t>参加政府采购活动前3年内，在经营活动中没有重大违法记录，</w:t>
      </w:r>
      <w:r>
        <w:rPr>
          <w:rFonts w:hint="eastAsia" w:ascii="宋体" w:hAnsi="宋体"/>
          <w:color w:val="auto"/>
          <w:szCs w:val="21"/>
          <w:highlight w:val="none"/>
        </w:rPr>
        <w:t>必须提供参加政府采购活动前3年内在经营活动中没有重大违法记录的书面声明（重大违法记录，是指供应商因违法经营受到刑事处罚或者责令停产停业、吊销许可证或者执照、较大数额罚款等行政处罚）。</w:t>
      </w:r>
    </w:p>
    <w:p w14:paraId="4F6D4ECA">
      <w:pPr>
        <w:tabs>
          <w:tab w:val="left" w:pos="1070"/>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4.2</w:t>
      </w:r>
      <w:bookmarkStart w:id="156" w:name="_Hlt200176664"/>
      <w:bookmarkEnd w:id="156"/>
      <w:r>
        <w:rPr>
          <w:rFonts w:hint="eastAsia" w:ascii="宋体" w:hAnsi="宋体"/>
          <w:color w:val="auto"/>
          <w:szCs w:val="21"/>
          <w:highlight w:val="none"/>
        </w:rPr>
        <w:t>落实政府采购政策需满足的资格要求：</w:t>
      </w:r>
      <w:r>
        <w:rPr>
          <w:rFonts w:ascii="宋体" w:hAnsi="宋体"/>
          <w:color w:val="auto"/>
          <w:szCs w:val="21"/>
          <w:highlight w:val="none"/>
        </w:rPr>
        <w:t>见“</w:t>
      </w:r>
      <w:r>
        <w:rPr>
          <w:rFonts w:ascii="宋体" w:hAnsi="宋体"/>
          <w:b/>
          <w:bCs/>
          <w:color w:val="auto"/>
          <w:szCs w:val="21"/>
          <w:highlight w:val="none"/>
        </w:rPr>
        <w:t>供应商须知前附表</w:t>
      </w:r>
      <w:r>
        <w:rPr>
          <w:rFonts w:ascii="宋体" w:hAnsi="宋体"/>
          <w:color w:val="auto"/>
          <w:szCs w:val="21"/>
          <w:highlight w:val="none"/>
        </w:rPr>
        <w:t>”</w:t>
      </w:r>
      <w:r>
        <w:rPr>
          <w:rFonts w:hint="eastAsia" w:ascii="宋体" w:hAnsi="宋体"/>
          <w:color w:val="auto"/>
          <w:szCs w:val="21"/>
          <w:highlight w:val="none"/>
        </w:rPr>
        <w:t>。</w:t>
      </w:r>
    </w:p>
    <w:p w14:paraId="2F7475AC">
      <w:pPr>
        <w:tabs>
          <w:tab w:val="left" w:pos="1070"/>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4</w:t>
      </w:r>
      <w:r>
        <w:rPr>
          <w:rFonts w:ascii="宋体" w:hAnsi="宋体"/>
          <w:color w:val="auto"/>
          <w:highlight w:val="none"/>
        </w:rPr>
        <w:t>.3</w:t>
      </w:r>
      <w:r>
        <w:rPr>
          <w:rFonts w:hint="eastAsia" w:ascii="宋体" w:hAnsi="宋体" w:cs="宋体"/>
          <w:bCs/>
          <w:color w:val="auto"/>
          <w:szCs w:val="21"/>
          <w:highlight w:val="none"/>
        </w:rPr>
        <w:t>供应商应符合采购人根据采购项目的特殊要求规定的特定条件。特定条件见</w:t>
      </w:r>
      <w:r>
        <w:rPr>
          <w:rFonts w:hint="eastAsia" w:ascii="宋体" w:hAnsi="宋体" w:cs="宋体"/>
          <w:b/>
          <w:color w:val="auto"/>
          <w:szCs w:val="21"/>
          <w:highlight w:val="none"/>
        </w:rPr>
        <w:t>“</w:t>
      </w:r>
      <w:r>
        <w:rPr>
          <w:rFonts w:ascii="宋体" w:hAnsi="宋体"/>
          <w:b/>
          <w:bCs/>
          <w:color w:val="auto"/>
          <w:szCs w:val="21"/>
          <w:highlight w:val="none"/>
        </w:rPr>
        <w:t>供应商须知前附表</w:t>
      </w:r>
      <w:r>
        <w:rPr>
          <w:rFonts w:hint="eastAsia" w:ascii="宋体" w:hAnsi="宋体" w:cs="宋体"/>
          <w:b/>
          <w:color w:val="auto"/>
          <w:szCs w:val="21"/>
          <w:highlight w:val="none"/>
        </w:rPr>
        <w:t>”。</w:t>
      </w:r>
    </w:p>
    <w:p w14:paraId="21D31C9B">
      <w:pPr>
        <w:tabs>
          <w:tab w:val="left" w:pos="1070"/>
        </w:tabs>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4.4单位负责人为同一人或者存在直接控股、管理关系的不同供应商，不得参加同一磋商项目包的政府采购活动。</w:t>
      </w:r>
    </w:p>
    <w:p w14:paraId="3AFD26F9">
      <w:pPr>
        <w:tabs>
          <w:tab w:val="left" w:pos="1070"/>
        </w:tabs>
        <w:spacing w:line="360" w:lineRule="auto"/>
        <w:ind w:firstLine="426" w:firstLineChars="202"/>
        <w:jc w:val="left"/>
        <w:rPr>
          <w:rFonts w:hint="eastAsia" w:ascii="宋体" w:hAnsi="宋体"/>
          <w:b/>
          <w:bCs/>
          <w:color w:val="auto"/>
          <w:szCs w:val="21"/>
          <w:highlight w:val="none"/>
        </w:rPr>
      </w:pPr>
      <w:r>
        <w:rPr>
          <w:rFonts w:hint="eastAsia" w:ascii="宋体" w:hAnsi="宋体"/>
          <w:b/>
          <w:bCs/>
          <w:color w:val="auto"/>
          <w:szCs w:val="21"/>
          <w:highlight w:val="none"/>
        </w:rPr>
        <w:t>4.5</w:t>
      </w:r>
      <w:r>
        <w:rPr>
          <w:rFonts w:hint="eastAsia" w:ascii="宋体" w:hAnsi="宋体"/>
          <w:b/>
          <w:bCs/>
          <w:color w:val="auto"/>
          <w:highlight w:val="none"/>
        </w:rPr>
        <w:t>为采购项目提供整体设计、规范编制或者项目管理、监理、检测等服务的供应商，不得再参加该采购项目的其他采购活动</w:t>
      </w:r>
      <w:r>
        <w:rPr>
          <w:rFonts w:hint="eastAsia" w:ascii="宋体" w:hAnsi="宋体"/>
          <w:b/>
          <w:bCs/>
          <w:color w:val="auto"/>
          <w:szCs w:val="21"/>
          <w:highlight w:val="none"/>
        </w:rPr>
        <w:t>。</w:t>
      </w:r>
    </w:p>
    <w:p w14:paraId="1CCCEEEF">
      <w:pPr>
        <w:tabs>
          <w:tab w:val="left" w:pos="1070"/>
        </w:tabs>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4.6本项目信用记录查询及使用作如下规定：</w:t>
      </w:r>
    </w:p>
    <w:p w14:paraId="7CF6FD72">
      <w:pPr>
        <w:tabs>
          <w:tab w:val="left" w:pos="1070"/>
        </w:tabs>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4.6.1信用信息查询的查询渠道：“信用中国”网站（www.creditchina.gov.cn）及中国政府采购网（www.ccgp.gov.cn）。</w:t>
      </w:r>
    </w:p>
    <w:p w14:paraId="2A65E837">
      <w:pPr>
        <w:tabs>
          <w:tab w:val="left" w:pos="1070"/>
        </w:tabs>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4.6.2信用信息查询的截止时点：</w:t>
      </w:r>
      <w:r>
        <w:rPr>
          <w:rFonts w:hint="eastAsia" w:ascii="宋体" w:hAnsi="宋体" w:cs="宋体"/>
          <w:color w:val="auto"/>
          <w:szCs w:val="21"/>
          <w:highlight w:val="none"/>
        </w:rPr>
        <w:t>响应文件递交截止时间后磋商现场工作人员查询结果为准</w:t>
      </w:r>
      <w:r>
        <w:rPr>
          <w:rFonts w:hint="eastAsia" w:ascii="宋体" w:hAnsi="宋体"/>
          <w:color w:val="auto"/>
          <w:szCs w:val="21"/>
          <w:highlight w:val="none"/>
        </w:rPr>
        <w:t>。</w:t>
      </w:r>
    </w:p>
    <w:p w14:paraId="228A4BBE">
      <w:pPr>
        <w:tabs>
          <w:tab w:val="left" w:pos="1070"/>
        </w:tabs>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4.6.3信用信息查询记录和证据留存的具体方式：采购代理机构将于</w:t>
      </w:r>
      <w:r>
        <w:rPr>
          <w:rFonts w:hint="eastAsia" w:ascii="宋体" w:hAnsi="宋体" w:cs="宋体"/>
          <w:color w:val="auto"/>
          <w:szCs w:val="21"/>
          <w:highlight w:val="none"/>
        </w:rPr>
        <w:t>响应文件递交截止时间后</w:t>
      </w:r>
      <w:r>
        <w:rPr>
          <w:rFonts w:hint="eastAsia" w:ascii="宋体" w:hAnsi="宋体"/>
          <w:color w:val="auto"/>
          <w:szCs w:val="21"/>
          <w:highlight w:val="none"/>
        </w:rPr>
        <w:t>在“信用中国”网站（www.creditchina.gov.cn）</w:t>
      </w:r>
      <w:r>
        <w:rPr>
          <w:rFonts w:hint="eastAsia" w:ascii="宋体" w:hAnsi="宋体" w:cs="宋体"/>
          <w:color w:val="auto"/>
          <w:szCs w:val="21"/>
          <w:highlight w:val="none"/>
        </w:rPr>
        <w:t>失信被执行人、</w:t>
      </w:r>
      <w:r>
        <w:rPr>
          <w:rFonts w:hint="eastAsia" w:ascii="宋体" w:hAnsi="宋体" w:cs="宋体"/>
          <w:bCs/>
          <w:color w:val="auto"/>
          <w:kern w:val="0"/>
          <w:szCs w:val="21"/>
          <w:highlight w:val="none"/>
        </w:rPr>
        <w:t>重大税收违法失信主体</w:t>
      </w:r>
      <w:r>
        <w:rPr>
          <w:rFonts w:hint="eastAsia" w:ascii="宋体" w:hAnsi="宋体" w:cs="宋体"/>
          <w:color w:val="auto"/>
          <w:szCs w:val="21"/>
          <w:highlight w:val="none"/>
        </w:rPr>
        <w:t>、政府采购严重违法失信行为记录名单</w:t>
      </w:r>
      <w:r>
        <w:rPr>
          <w:rFonts w:hint="eastAsia" w:ascii="宋体" w:hAnsi="宋体"/>
          <w:color w:val="auto"/>
          <w:szCs w:val="21"/>
          <w:highlight w:val="none"/>
        </w:rPr>
        <w:t>及中国政府采购网（www.ccgp.gov.cn）“政府采购严重违法失信行为信息记录”对供应商进行信用信息查询。上述网站信用信息查询结果的网页截图或网页打印稿作为证据留存。</w:t>
      </w:r>
    </w:p>
    <w:p w14:paraId="2E886F9F">
      <w:pPr>
        <w:tabs>
          <w:tab w:val="left" w:pos="1070"/>
        </w:tabs>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4.6.4信用信息的使用规则：供应商若被列入</w:t>
      </w:r>
      <w:r>
        <w:rPr>
          <w:rFonts w:hint="eastAsia" w:ascii="宋体" w:hAnsi="宋体" w:cs="宋体"/>
          <w:color w:val="auto"/>
          <w:szCs w:val="21"/>
          <w:highlight w:val="none"/>
        </w:rPr>
        <w:t>“信用中国”网站（www.creditchina.gov.cn）失信被执行人、</w:t>
      </w:r>
      <w:r>
        <w:rPr>
          <w:rFonts w:hint="eastAsia" w:ascii="宋体" w:hAnsi="宋体" w:cs="宋体"/>
          <w:bCs/>
          <w:color w:val="auto"/>
          <w:kern w:val="0"/>
          <w:szCs w:val="21"/>
          <w:highlight w:val="none"/>
        </w:rPr>
        <w:t>重大税收违法失信主体</w:t>
      </w:r>
      <w:r>
        <w:rPr>
          <w:rFonts w:hint="eastAsia" w:ascii="宋体" w:hAnsi="宋体" w:cs="宋体"/>
          <w:color w:val="auto"/>
          <w:szCs w:val="21"/>
          <w:highlight w:val="none"/>
        </w:rPr>
        <w:t>、政府采购严重违法失信行为记录名单及中国政府采购网（www.ccgp.gov.cn）“政府采购严重违法失信行为信息记录”</w:t>
      </w:r>
      <w:r>
        <w:rPr>
          <w:rFonts w:hint="eastAsia" w:ascii="宋体" w:hAnsi="宋体"/>
          <w:color w:val="auto"/>
          <w:szCs w:val="21"/>
          <w:highlight w:val="none"/>
        </w:rPr>
        <w:t>之一且处罚期限尚未届满的，资格审查不合格，不得参与政府采购活动。</w:t>
      </w:r>
      <w:r>
        <w:rPr>
          <w:rFonts w:hint="eastAsia" w:ascii="宋体" w:hAnsi="宋体" w:cs="宋体"/>
          <w:color w:val="auto"/>
          <w:szCs w:val="21"/>
          <w:highlight w:val="none"/>
        </w:rPr>
        <w:t>（以响应文件递交截止时间后磋商现场工作人员查询结果为准）。</w:t>
      </w:r>
    </w:p>
    <w:p w14:paraId="432EF80F">
      <w:pPr>
        <w:tabs>
          <w:tab w:val="left" w:pos="1070"/>
        </w:tabs>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4.7“</w:t>
      </w:r>
      <w:r>
        <w:rPr>
          <w:rFonts w:hint="eastAsia" w:ascii="宋体" w:hAnsi="宋体"/>
          <w:b/>
          <w:color w:val="auto"/>
          <w:szCs w:val="21"/>
          <w:highlight w:val="none"/>
        </w:rPr>
        <w:t>供应商须知前附表</w:t>
      </w:r>
      <w:r>
        <w:rPr>
          <w:rFonts w:hint="eastAsia" w:ascii="宋体" w:hAnsi="宋体"/>
          <w:color w:val="auto"/>
          <w:szCs w:val="21"/>
          <w:highlight w:val="none"/>
        </w:rPr>
        <w:t>”规定接受联合体投标的，除应符合本章第4.1-4.6项和“</w:t>
      </w:r>
      <w:r>
        <w:rPr>
          <w:rFonts w:hint="eastAsia" w:ascii="宋体" w:hAnsi="宋体"/>
          <w:b/>
          <w:color w:val="auto"/>
          <w:szCs w:val="21"/>
          <w:highlight w:val="none"/>
        </w:rPr>
        <w:t>供应商须知前附表</w:t>
      </w:r>
      <w:r>
        <w:rPr>
          <w:rFonts w:hint="eastAsia" w:ascii="宋体" w:hAnsi="宋体"/>
          <w:color w:val="auto"/>
          <w:szCs w:val="21"/>
          <w:highlight w:val="none"/>
        </w:rPr>
        <w:t>”的要求外，还应遵守以下规定：</w:t>
      </w:r>
    </w:p>
    <w:p w14:paraId="7BEF345B">
      <w:pPr>
        <w:tabs>
          <w:tab w:val="left" w:pos="1070"/>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（1）联合体中有同类资质的</w:t>
      </w:r>
      <w:r>
        <w:rPr>
          <w:rFonts w:hint="eastAsia" w:ascii="宋体" w:hAnsi="宋体"/>
          <w:bCs/>
          <w:color w:val="auto"/>
          <w:szCs w:val="21"/>
          <w:highlight w:val="none"/>
        </w:rPr>
        <w:t>供应商</w:t>
      </w:r>
      <w:r>
        <w:rPr>
          <w:rFonts w:hint="eastAsia" w:ascii="宋体" w:hAnsi="宋体"/>
          <w:color w:val="auto"/>
          <w:szCs w:val="21"/>
          <w:highlight w:val="none"/>
        </w:rPr>
        <w:t>按照联合体分工承担相同工作的，应当按照资质等级较低的供应商确定资质等级；</w:t>
      </w:r>
    </w:p>
    <w:p w14:paraId="22B89041">
      <w:pPr>
        <w:tabs>
          <w:tab w:val="left" w:pos="1070"/>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（2）联合体各方之间应当签订共同投标协议，明确约定联合体各方承担的工作和相应的责任；</w:t>
      </w:r>
    </w:p>
    <w:p w14:paraId="1D82D792">
      <w:pPr>
        <w:tabs>
          <w:tab w:val="left" w:pos="1070"/>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（3）以联合体形式参加政府采购活动的，联合体各方不得再单独参加或者与其他供应商另外组成联合体参加同一项目包下的政府采购活动。</w:t>
      </w:r>
    </w:p>
    <w:p w14:paraId="3F94BA3B">
      <w:pPr>
        <w:tabs>
          <w:tab w:val="left" w:pos="1070"/>
        </w:tabs>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4.8 符合上述条件的供应商应承担磋商及履约中应承担的全部责任与义务。</w:t>
      </w:r>
    </w:p>
    <w:p w14:paraId="47B93A22">
      <w:pPr>
        <w:pStyle w:val="5"/>
        <w:snapToGrid w:val="0"/>
        <w:spacing w:before="0" w:after="0"/>
        <w:ind w:firstLine="0" w:firstLineChars="0"/>
        <w:jc w:val="both"/>
        <w:rPr>
          <w:rFonts w:hint="eastAsia" w:hAnsi="宋体"/>
          <w:color w:val="auto"/>
          <w:sz w:val="21"/>
          <w:szCs w:val="21"/>
          <w:highlight w:val="none"/>
        </w:rPr>
      </w:pPr>
      <w:bookmarkStart w:id="157" w:name="_Toc174031517"/>
      <w:bookmarkStart w:id="158" w:name="_Toc179645096"/>
      <w:bookmarkStart w:id="159" w:name="_Toc174031431"/>
      <w:r>
        <w:rPr>
          <w:rFonts w:hint="eastAsia" w:hAnsi="宋体"/>
          <w:color w:val="auto"/>
          <w:sz w:val="21"/>
          <w:szCs w:val="21"/>
          <w:highlight w:val="none"/>
        </w:rPr>
        <w:t>5.磋商费用</w:t>
      </w:r>
      <w:bookmarkEnd w:id="144"/>
      <w:bookmarkEnd w:id="145"/>
      <w:bookmarkEnd w:id="146"/>
      <w:bookmarkEnd w:id="147"/>
      <w:bookmarkEnd w:id="148"/>
      <w:bookmarkEnd w:id="149"/>
      <w:bookmarkEnd w:id="150"/>
      <w:bookmarkEnd w:id="151"/>
      <w:bookmarkEnd w:id="152"/>
      <w:bookmarkEnd w:id="153"/>
      <w:bookmarkEnd w:id="154"/>
      <w:bookmarkEnd w:id="155"/>
      <w:bookmarkEnd w:id="157"/>
      <w:bookmarkEnd w:id="158"/>
      <w:bookmarkEnd w:id="159"/>
    </w:p>
    <w:p w14:paraId="27F7F5E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无论是否成交，供应商自行承担所有与参加磋商有关的全部费用。</w:t>
      </w:r>
    </w:p>
    <w:p w14:paraId="6EA0962C">
      <w:pPr>
        <w:overflowPunct w:val="0"/>
        <w:spacing w:line="360" w:lineRule="auto"/>
        <w:rPr>
          <w:rFonts w:hint="eastAsia" w:ascii="宋体" w:hAnsi="宋体" w:cs="宋体"/>
          <w:b/>
          <w:color w:val="auto"/>
          <w:szCs w:val="21"/>
          <w:highlight w:val="none"/>
        </w:rPr>
      </w:pPr>
      <w:bookmarkStart w:id="160" w:name="_Toc321836356"/>
      <w:r>
        <w:rPr>
          <w:rFonts w:hint="eastAsia" w:ascii="宋体" w:hAnsi="宋体" w:cs="宋体"/>
          <w:b/>
          <w:color w:val="auto"/>
          <w:szCs w:val="21"/>
          <w:highlight w:val="none"/>
        </w:rPr>
        <w:t>6.质疑</w:t>
      </w:r>
      <w:bookmarkEnd w:id="160"/>
    </w:p>
    <w:p w14:paraId="21AE033B">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供应商认为竞争性磋商文件、磋商过程和成交结果使自己的权益受到损害的，可以在知道或者应知其权益受到损害之日起7个工作日内，以书面形式向采购人、采购代理机构提出质疑，质疑内容不得含有虚假、恶意成分。供应商须在法定质疑期内一次性提出针对同一采购程序环节的质疑。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14:paraId="2BBEC1FB">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供应商知其权益受到损害之日，是指：</w:t>
      </w:r>
    </w:p>
    <w:p w14:paraId="502481F7">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（一）对可以质疑的采购文件提出质疑的，为收到采购文件之日或者采购文件公告期限届满之日；</w:t>
      </w:r>
    </w:p>
    <w:p w14:paraId="239ABB05">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（二）对采购过程提出质疑的，为各采购程序环节结束之日；</w:t>
      </w:r>
    </w:p>
    <w:p w14:paraId="020583F0">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（三）对成交结果提出质疑的，为成交结果公告期限届满之日。（成交公告发布之日起七个工作日内）</w:t>
      </w:r>
    </w:p>
    <w:p w14:paraId="28A34EDA">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6.2</w:t>
      </w:r>
      <w:r>
        <w:rPr>
          <w:rFonts w:hint="eastAsia" w:ascii="宋体" w:hAnsi="宋体" w:cs="宋体"/>
          <w:color w:val="auto"/>
          <w:szCs w:val="21"/>
          <w:highlight w:val="none"/>
        </w:rPr>
        <w:t>供应商提供的质疑书（如材料中有外文资料应同时附上中文译本）应当包括以下主要内容：</w:t>
      </w:r>
    </w:p>
    <w:p w14:paraId="1C14D1AC">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65BC811C">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0BB1EFE8">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444D5DDD">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6716C52B">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6F96F350">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0D012519">
      <w:pPr>
        <w:overflowPunct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质疑书实行实名制，供应商为自然人的，应当由本人签字；供应商为法人或者其他组织的，应当由法定代表人、主要负责人，或者其授权代表签字或者盖章，并加盖公章。</w:t>
      </w:r>
    </w:p>
    <w:p w14:paraId="7FF8EC3F">
      <w:pPr>
        <w:spacing w:line="360" w:lineRule="auto"/>
        <w:ind w:firstLine="420" w:firstLineChars="200"/>
        <w:rPr>
          <w:rFonts w:hint="eastAsia" w:ascii="宋体" w:hAnsi="宋体"/>
          <w:color w:val="auto"/>
          <w:highlight w:val="none"/>
        </w:rPr>
      </w:pPr>
      <w:r>
        <w:rPr>
          <w:rFonts w:ascii="宋体" w:hAnsi="宋体"/>
          <w:color w:val="auto"/>
          <w:highlight w:val="none"/>
        </w:rPr>
        <w:t>受理质疑部门：</w:t>
      </w:r>
    </w:p>
    <w:p w14:paraId="0B8C279F">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lang w:eastAsia="zh-CN"/>
        </w:rPr>
        <w:t>云南鑫德招标咨询有限公司</w:t>
      </w:r>
    </w:p>
    <w:p w14:paraId="1AD8C69F">
      <w:pPr>
        <w:spacing w:line="360" w:lineRule="auto"/>
        <w:ind w:firstLine="420" w:firstLineChars="200"/>
        <w:rPr>
          <w:rFonts w:hint="eastAsia" w:ascii="宋体" w:hAnsi="宋体"/>
          <w:color w:val="auto"/>
          <w:highlight w:val="none"/>
        </w:rPr>
      </w:pPr>
      <w:r>
        <w:rPr>
          <w:rFonts w:hint="eastAsia" w:ascii="宋体" w:hAnsi="宋体"/>
          <w:color w:val="auto"/>
          <w:highlight w:val="none"/>
        </w:rPr>
        <w:t>通讯地址：大理市太和街道万花路东段苍洱天籁小区B-98幢（</w:t>
      </w:r>
      <w:r>
        <w:rPr>
          <w:rFonts w:hint="eastAsia" w:ascii="宋体" w:hAnsi="宋体"/>
          <w:color w:val="auto"/>
          <w:highlight w:val="none"/>
          <w:lang w:eastAsia="zh-CN"/>
        </w:rPr>
        <w:t>云南鑫德招标咨询有限公司</w:t>
      </w:r>
      <w:r>
        <w:rPr>
          <w:rFonts w:hint="eastAsia" w:ascii="宋体" w:hAnsi="宋体"/>
          <w:color w:val="auto"/>
          <w:highlight w:val="none"/>
        </w:rPr>
        <w:t>）</w:t>
      </w:r>
    </w:p>
    <w:p w14:paraId="09487CA9">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联系电话：0872-2180689、</w:t>
      </w:r>
      <w:r>
        <w:rPr>
          <w:rFonts w:hint="eastAsia" w:ascii="宋体" w:hAnsi="宋体"/>
          <w:color w:val="auto"/>
          <w:highlight w:val="none"/>
          <w:lang w:eastAsia="zh-CN"/>
        </w:rPr>
        <w:t>18387286786</w:t>
      </w:r>
    </w:p>
    <w:p w14:paraId="3CE30A07">
      <w:pPr>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邮编：</w:t>
      </w:r>
      <w:r>
        <w:rPr>
          <w:rFonts w:ascii="宋体" w:hAnsi="宋体"/>
          <w:color w:val="auto"/>
          <w:highlight w:val="none"/>
        </w:rPr>
        <w:t>671000</w:t>
      </w:r>
    </w:p>
    <w:p w14:paraId="6D0495F1">
      <w:pPr>
        <w:overflowPunct w:val="0"/>
        <w:spacing w:line="360" w:lineRule="auto"/>
        <w:rPr>
          <w:rFonts w:hint="eastAsia" w:ascii="宋体" w:hAnsi="宋体" w:cs="宋体"/>
          <w:b/>
          <w:color w:val="auto"/>
          <w:szCs w:val="21"/>
          <w:highlight w:val="none"/>
        </w:rPr>
      </w:pPr>
      <w:bookmarkStart w:id="161" w:name="_Toc321836357"/>
      <w:r>
        <w:rPr>
          <w:rFonts w:hint="eastAsia" w:ascii="宋体" w:hAnsi="宋体" w:cs="宋体"/>
          <w:b/>
          <w:color w:val="auto"/>
          <w:szCs w:val="21"/>
          <w:highlight w:val="none"/>
        </w:rPr>
        <w:t>7.投诉</w:t>
      </w:r>
      <w:bookmarkEnd w:id="161"/>
    </w:p>
    <w:p w14:paraId="63F931DD">
      <w:pPr>
        <w:overflowPunct w:val="0"/>
        <w:spacing w:line="360" w:lineRule="auto"/>
        <w:ind w:firstLine="420" w:firstLineChars="200"/>
        <w:rPr>
          <w:rFonts w:hint="eastAsia" w:ascii="宋体" w:hAnsi="宋体" w:cs="宋体"/>
          <w:color w:val="auto"/>
          <w:szCs w:val="21"/>
          <w:highlight w:val="none"/>
        </w:rPr>
      </w:pPr>
      <w:bookmarkStart w:id="162" w:name="_Toc416715974"/>
      <w:r>
        <w:rPr>
          <w:rFonts w:hint="eastAsia" w:ascii="宋体" w:hAnsi="宋体" w:cs="宋体"/>
          <w:color w:val="auto"/>
          <w:szCs w:val="21"/>
          <w:highlight w:val="none"/>
        </w:rPr>
        <w:t>当事人提出的投诉事项必须首先经过质疑程序。质疑供应商对采购人、采购代理机构的答复不满意，或者采购人、采购代理机构未在规定时间内作出答复的，可以在答复期满后15个工作日内向本级财政部门提起投诉。</w:t>
      </w:r>
    </w:p>
    <w:bookmarkEnd w:id="162"/>
    <w:p w14:paraId="69FADA1A">
      <w:pPr>
        <w:snapToGrid w:val="0"/>
        <w:spacing w:line="360" w:lineRule="auto"/>
        <w:ind w:firstLine="420" w:firstLineChars="200"/>
        <w:rPr>
          <w:rFonts w:hint="eastAsia" w:ascii="宋体" w:hAnsi="宋体"/>
          <w:color w:val="auto"/>
          <w:szCs w:val="21"/>
          <w:highlight w:val="none"/>
        </w:rPr>
      </w:pPr>
    </w:p>
    <w:p w14:paraId="578E0A16">
      <w:pPr>
        <w:pStyle w:val="4"/>
        <w:spacing w:before="0" w:after="0"/>
        <w:rPr>
          <w:rFonts w:hint="eastAsia" w:ascii="宋体" w:hAnsi="宋体"/>
          <w:color w:val="auto"/>
          <w:sz w:val="24"/>
          <w:szCs w:val="24"/>
          <w:highlight w:val="none"/>
        </w:rPr>
      </w:pPr>
      <w:bookmarkStart w:id="163" w:name="_Toc5765"/>
      <w:bookmarkStart w:id="164" w:name="_Toc18434"/>
      <w:bookmarkStart w:id="165" w:name="_Toc82683098"/>
      <w:bookmarkStart w:id="166" w:name="_Toc46765016"/>
      <w:bookmarkStart w:id="167" w:name="_Toc86124047"/>
      <w:bookmarkStart w:id="168" w:name="_Toc179645097"/>
      <w:bookmarkStart w:id="169" w:name="_Toc174031518"/>
      <w:bookmarkStart w:id="170" w:name="_Toc174031432"/>
      <w:bookmarkStart w:id="171" w:name="_Toc83328589"/>
      <w:r>
        <w:rPr>
          <w:rFonts w:hint="eastAsia" w:ascii="宋体" w:hAnsi="宋体"/>
          <w:color w:val="auto"/>
          <w:sz w:val="24"/>
          <w:szCs w:val="24"/>
          <w:highlight w:val="none"/>
        </w:rPr>
        <w:t>二、磋商文件</w:t>
      </w:r>
      <w:bookmarkEnd w:id="163"/>
      <w:bookmarkEnd w:id="164"/>
      <w:bookmarkEnd w:id="165"/>
      <w:bookmarkEnd w:id="166"/>
      <w:bookmarkEnd w:id="167"/>
      <w:bookmarkEnd w:id="168"/>
      <w:bookmarkEnd w:id="169"/>
      <w:bookmarkEnd w:id="170"/>
      <w:bookmarkEnd w:id="171"/>
    </w:p>
    <w:p w14:paraId="7F25C462">
      <w:pPr>
        <w:pStyle w:val="5"/>
        <w:snapToGrid w:val="0"/>
        <w:spacing w:before="0" w:after="0"/>
        <w:ind w:firstLine="0" w:firstLineChars="0"/>
        <w:jc w:val="both"/>
        <w:rPr>
          <w:rFonts w:hint="eastAsia" w:hAnsi="宋体"/>
          <w:color w:val="auto"/>
          <w:sz w:val="21"/>
          <w:szCs w:val="21"/>
          <w:highlight w:val="none"/>
        </w:rPr>
      </w:pPr>
      <w:bookmarkStart w:id="172" w:name="_Toc174031433"/>
      <w:bookmarkStart w:id="173" w:name="_Toc383175480"/>
      <w:bookmarkStart w:id="174" w:name="_Toc329810192"/>
      <w:bookmarkStart w:id="175" w:name="_Toc82683099"/>
      <w:bookmarkStart w:id="176" w:name="_Toc383175058"/>
      <w:bookmarkStart w:id="177" w:name="_Toc83328590"/>
      <w:bookmarkStart w:id="178" w:name="_Toc516501400"/>
      <w:bookmarkStart w:id="179" w:name="_Toc432106481"/>
      <w:bookmarkStart w:id="180" w:name="_Toc179645098"/>
      <w:bookmarkStart w:id="181" w:name="_Toc5499"/>
      <w:bookmarkStart w:id="182" w:name="_Toc174031519"/>
      <w:bookmarkStart w:id="183" w:name="_Toc46765017"/>
      <w:bookmarkStart w:id="184" w:name="_Toc5778"/>
      <w:bookmarkStart w:id="185" w:name="_Toc383175282"/>
      <w:bookmarkStart w:id="186" w:name="_Toc432194832"/>
      <w:r>
        <w:rPr>
          <w:rFonts w:hint="eastAsia" w:hAnsi="宋体"/>
          <w:color w:val="auto"/>
          <w:sz w:val="21"/>
          <w:szCs w:val="21"/>
          <w:highlight w:val="none"/>
        </w:rPr>
        <w:t>8.磋商文件的组成</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6EBCDFF">
      <w:pPr>
        <w:snapToGrid w:val="0"/>
        <w:spacing w:line="360" w:lineRule="auto"/>
        <w:ind w:left="502"/>
        <w:jc w:val="left"/>
        <w:rPr>
          <w:rFonts w:hint="eastAsia" w:ascii="宋体" w:hAnsi="宋体"/>
          <w:color w:val="auto"/>
          <w:szCs w:val="21"/>
          <w:highlight w:val="none"/>
        </w:rPr>
      </w:pPr>
      <w:r>
        <w:rPr>
          <w:rFonts w:hint="eastAsia" w:ascii="宋体" w:hAnsi="宋体"/>
          <w:color w:val="auto"/>
          <w:szCs w:val="21"/>
          <w:highlight w:val="none"/>
        </w:rPr>
        <w:t>要求提供的货物、采购过程及合同条款在磋商文件中均有说明，磋商文件共六章，各章的内容如下：</w:t>
      </w:r>
    </w:p>
    <w:p w14:paraId="7F4AAD23">
      <w:pPr>
        <w:snapToGrid w:val="0"/>
        <w:spacing w:line="360" w:lineRule="auto"/>
        <w:ind w:left="502"/>
        <w:jc w:val="left"/>
        <w:rPr>
          <w:rFonts w:hint="eastAsia" w:ascii="宋体" w:hAnsi="宋体"/>
          <w:color w:val="auto"/>
          <w:szCs w:val="21"/>
          <w:highlight w:val="none"/>
        </w:rPr>
      </w:pPr>
      <w:r>
        <w:rPr>
          <w:rFonts w:hint="eastAsia" w:ascii="宋体" w:hAnsi="宋体"/>
          <w:color w:val="auto"/>
          <w:szCs w:val="21"/>
          <w:highlight w:val="none"/>
        </w:rPr>
        <w:t>第一章</w:t>
      </w:r>
      <w:r>
        <w:rPr>
          <w:rFonts w:ascii="宋体" w:hAnsi="宋体"/>
          <w:color w:val="auto"/>
          <w:szCs w:val="21"/>
          <w:highlight w:val="none"/>
        </w:rPr>
        <w:t xml:space="preserve">  </w:t>
      </w:r>
      <w:r>
        <w:rPr>
          <w:rFonts w:hint="eastAsia" w:ascii="宋体" w:hAnsi="宋体"/>
          <w:color w:val="auto"/>
          <w:szCs w:val="21"/>
          <w:highlight w:val="none"/>
        </w:rPr>
        <w:t>竞争性磋商公告</w:t>
      </w:r>
    </w:p>
    <w:p w14:paraId="6EE1216E">
      <w:pPr>
        <w:snapToGrid w:val="0"/>
        <w:spacing w:line="360" w:lineRule="auto"/>
        <w:ind w:left="502"/>
        <w:jc w:val="left"/>
        <w:rPr>
          <w:rFonts w:hint="eastAsia" w:ascii="宋体" w:hAnsi="宋体"/>
          <w:color w:val="auto"/>
          <w:szCs w:val="21"/>
          <w:highlight w:val="none"/>
        </w:rPr>
      </w:pPr>
      <w:r>
        <w:rPr>
          <w:rFonts w:hint="eastAsia" w:ascii="宋体" w:hAnsi="宋体"/>
          <w:color w:val="auto"/>
          <w:szCs w:val="21"/>
          <w:highlight w:val="none"/>
        </w:rPr>
        <w:t>第二章</w:t>
      </w:r>
      <w:r>
        <w:rPr>
          <w:rFonts w:ascii="宋体" w:hAnsi="宋体"/>
          <w:color w:val="auto"/>
          <w:szCs w:val="21"/>
          <w:highlight w:val="none"/>
        </w:rPr>
        <w:t xml:space="preserve">  </w:t>
      </w:r>
      <w:r>
        <w:rPr>
          <w:rFonts w:hint="eastAsia" w:ascii="宋体" w:hAnsi="宋体"/>
          <w:color w:val="auto"/>
          <w:szCs w:val="21"/>
          <w:highlight w:val="none"/>
        </w:rPr>
        <w:t>供应商须知</w:t>
      </w:r>
    </w:p>
    <w:p w14:paraId="4DCC73C5">
      <w:pPr>
        <w:snapToGrid w:val="0"/>
        <w:spacing w:line="360" w:lineRule="auto"/>
        <w:ind w:left="502"/>
        <w:jc w:val="left"/>
        <w:rPr>
          <w:rFonts w:hint="eastAsia" w:ascii="宋体" w:hAnsi="宋体"/>
          <w:color w:val="auto"/>
          <w:szCs w:val="21"/>
          <w:highlight w:val="none"/>
        </w:rPr>
      </w:pPr>
      <w:r>
        <w:rPr>
          <w:rFonts w:hint="eastAsia" w:ascii="宋体" w:hAnsi="宋体"/>
          <w:color w:val="auto"/>
          <w:szCs w:val="21"/>
          <w:highlight w:val="none"/>
        </w:rPr>
        <w:t>第三章</w:t>
      </w:r>
      <w:r>
        <w:rPr>
          <w:rFonts w:ascii="宋体" w:hAnsi="宋体"/>
          <w:color w:val="auto"/>
          <w:szCs w:val="21"/>
          <w:highlight w:val="none"/>
        </w:rPr>
        <w:t xml:space="preserve">  </w:t>
      </w:r>
      <w:r>
        <w:rPr>
          <w:rFonts w:hint="eastAsia" w:ascii="宋体" w:hAnsi="宋体"/>
          <w:color w:val="auto"/>
          <w:szCs w:val="21"/>
          <w:highlight w:val="none"/>
        </w:rPr>
        <w:t>合同书样式及主要条款</w:t>
      </w:r>
    </w:p>
    <w:p w14:paraId="37821B51">
      <w:pPr>
        <w:snapToGrid w:val="0"/>
        <w:spacing w:line="360" w:lineRule="auto"/>
        <w:ind w:left="502"/>
        <w:jc w:val="left"/>
        <w:rPr>
          <w:rFonts w:hint="eastAsia" w:ascii="宋体" w:hAnsi="宋体"/>
          <w:color w:val="auto"/>
          <w:szCs w:val="21"/>
          <w:highlight w:val="none"/>
        </w:rPr>
      </w:pPr>
      <w:r>
        <w:rPr>
          <w:rFonts w:hint="eastAsia" w:ascii="宋体" w:hAnsi="宋体"/>
          <w:color w:val="auto"/>
          <w:szCs w:val="21"/>
          <w:highlight w:val="none"/>
        </w:rPr>
        <w:t>第四章</w:t>
      </w:r>
      <w:r>
        <w:rPr>
          <w:rFonts w:ascii="宋体" w:hAnsi="宋体"/>
          <w:color w:val="auto"/>
          <w:szCs w:val="21"/>
          <w:highlight w:val="none"/>
        </w:rPr>
        <w:t xml:space="preserve">  </w:t>
      </w:r>
      <w:r>
        <w:rPr>
          <w:rFonts w:hint="eastAsia" w:ascii="宋体" w:hAnsi="宋体"/>
          <w:color w:val="auto"/>
          <w:szCs w:val="21"/>
          <w:highlight w:val="none"/>
        </w:rPr>
        <w:t>响应文件格式</w:t>
      </w:r>
    </w:p>
    <w:p w14:paraId="155EC899">
      <w:pPr>
        <w:snapToGrid w:val="0"/>
        <w:spacing w:line="360" w:lineRule="auto"/>
        <w:ind w:left="502"/>
        <w:jc w:val="left"/>
        <w:rPr>
          <w:rFonts w:hint="eastAsia" w:ascii="宋体" w:hAnsi="宋体"/>
          <w:color w:val="auto"/>
          <w:szCs w:val="21"/>
          <w:highlight w:val="none"/>
        </w:rPr>
      </w:pPr>
      <w:r>
        <w:rPr>
          <w:rFonts w:hint="eastAsia" w:ascii="宋体" w:hAnsi="宋体"/>
          <w:color w:val="auto"/>
          <w:szCs w:val="21"/>
          <w:highlight w:val="none"/>
        </w:rPr>
        <w:t>第五章</w:t>
      </w:r>
      <w:r>
        <w:rPr>
          <w:rFonts w:ascii="宋体" w:hAnsi="宋体"/>
          <w:color w:val="auto"/>
          <w:szCs w:val="21"/>
          <w:highlight w:val="none"/>
        </w:rPr>
        <w:t xml:space="preserve">  </w:t>
      </w:r>
      <w:r>
        <w:rPr>
          <w:rFonts w:hint="eastAsia" w:ascii="宋体" w:hAnsi="宋体"/>
          <w:color w:val="auto"/>
          <w:szCs w:val="21"/>
          <w:highlight w:val="none"/>
        </w:rPr>
        <w:t>项目需求</w:t>
      </w:r>
    </w:p>
    <w:p w14:paraId="704244B6">
      <w:pPr>
        <w:snapToGrid w:val="0"/>
        <w:spacing w:line="360" w:lineRule="auto"/>
        <w:ind w:left="502"/>
        <w:jc w:val="left"/>
        <w:rPr>
          <w:rFonts w:hint="eastAsia" w:ascii="宋体" w:hAnsi="宋体"/>
          <w:color w:val="auto"/>
          <w:szCs w:val="21"/>
          <w:highlight w:val="none"/>
        </w:rPr>
      </w:pPr>
      <w:r>
        <w:rPr>
          <w:rFonts w:hint="eastAsia" w:ascii="宋体" w:hAnsi="宋体"/>
          <w:color w:val="auto"/>
          <w:szCs w:val="21"/>
          <w:highlight w:val="none"/>
        </w:rPr>
        <w:t>第六章</w:t>
      </w:r>
      <w:r>
        <w:rPr>
          <w:rFonts w:ascii="宋体" w:hAnsi="宋体"/>
          <w:color w:val="auto"/>
          <w:szCs w:val="21"/>
          <w:highlight w:val="none"/>
        </w:rPr>
        <w:t xml:space="preserve">  </w:t>
      </w:r>
      <w:r>
        <w:rPr>
          <w:rFonts w:hint="eastAsia" w:ascii="宋体" w:hAnsi="宋体"/>
          <w:color w:val="auto"/>
          <w:szCs w:val="21"/>
          <w:highlight w:val="none"/>
        </w:rPr>
        <w:t>磋商程序及方法</w:t>
      </w:r>
    </w:p>
    <w:p w14:paraId="3952DD9F">
      <w:pPr>
        <w:pStyle w:val="5"/>
        <w:snapToGrid w:val="0"/>
        <w:spacing w:before="0" w:after="0"/>
        <w:ind w:firstLine="0" w:firstLineChars="0"/>
        <w:jc w:val="both"/>
        <w:rPr>
          <w:rFonts w:hint="eastAsia" w:hAnsi="宋体"/>
          <w:color w:val="auto"/>
          <w:sz w:val="21"/>
          <w:szCs w:val="21"/>
          <w:highlight w:val="none"/>
        </w:rPr>
      </w:pPr>
      <w:bookmarkStart w:id="187" w:name="_Toc86124049"/>
      <w:bookmarkStart w:id="188" w:name="_Toc432106482"/>
      <w:bookmarkStart w:id="189" w:name="_Toc5162"/>
      <w:bookmarkStart w:id="190" w:name="_Toc383175481"/>
      <w:bookmarkStart w:id="191" w:name="_Toc174031434"/>
      <w:bookmarkStart w:id="192" w:name="_Toc516501401"/>
      <w:bookmarkStart w:id="193" w:name="_Toc179645099"/>
      <w:bookmarkStart w:id="194" w:name="_Toc83328591"/>
      <w:bookmarkStart w:id="195" w:name="_Toc383175283"/>
      <w:bookmarkStart w:id="196" w:name="_Toc15082"/>
      <w:bookmarkStart w:id="197" w:name="_Toc329810193"/>
      <w:bookmarkStart w:id="198" w:name="_Toc174031520"/>
      <w:bookmarkStart w:id="199" w:name="_Toc383175059"/>
      <w:bookmarkStart w:id="200" w:name="_Toc82683100"/>
      <w:bookmarkStart w:id="201" w:name="_Toc46765018"/>
      <w:bookmarkStart w:id="202" w:name="_Toc432194833"/>
      <w:r>
        <w:rPr>
          <w:rFonts w:hint="eastAsia" w:hAnsi="宋体"/>
          <w:color w:val="auto"/>
          <w:sz w:val="21"/>
          <w:szCs w:val="21"/>
          <w:highlight w:val="none"/>
        </w:rPr>
        <w:t>9.磋商文件的澄清</w:t>
      </w:r>
      <w:bookmarkEnd w:id="187"/>
      <w:r>
        <w:rPr>
          <w:rFonts w:hint="eastAsia" w:hAnsi="宋体"/>
          <w:color w:val="auto"/>
          <w:sz w:val="21"/>
          <w:szCs w:val="21"/>
          <w:highlight w:val="none"/>
        </w:rPr>
        <w:t>、修改</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B0CFEF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 xml:space="preserve">.1 </w:t>
      </w:r>
      <w:r>
        <w:rPr>
          <w:rFonts w:hint="eastAsia" w:ascii="宋体" w:hAnsi="宋体"/>
          <w:color w:val="auto"/>
          <w:szCs w:val="21"/>
          <w:highlight w:val="none"/>
        </w:rPr>
        <w:t>供应商应认真审核磋商文件，如有疑问的，供应商可以在</w:t>
      </w:r>
      <w:r>
        <w:rPr>
          <w:rFonts w:ascii="宋体" w:hAnsi="宋体"/>
          <w:color w:val="auto"/>
          <w:szCs w:val="21"/>
          <w:highlight w:val="none"/>
        </w:rPr>
        <w:t xml:space="preserve"> </w:t>
      </w:r>
      <w:r>
        <w:rPr>
          <w:rFonts w:hint="eastAsia" w:ascii="宋体" w:hAnsi="宋体"/>
          <w:color w:val="auto"/>
          <w:szCs w:val="21"/>
          <w:highlight w:val="none"/>
        </w:rPr>
        <w:t>“供应商须知前附表”规定截止时间前以在线不署名形式要求采购代理机构澄清，截止时间后送达的澄清要求概不接受。</w:t>
      </w:r>
      <w:r>
        <w:rPr>
          <w:rFonts w:ascii="宋体" w:hAnsi="宋体"/>
          <w:color w:val="auto"/>
          <w:highlight w:val="none"/>
        </w:rPr>
        <w:t>所有获取了采购文件的潜在供应商凭企业数字证书（CA）登录“政采云”平台，通过在线方式进行不署名提问。</w:t>
      </w:r>
    </w:p>
    <w:p w14:paraId="7C9F352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9.2 采购代理机构对已发出的磋商文件进行必要澄清或者修改的，于磋商文件要求递交响应文件截止时间 5 日前，在财政部门指定的政府采购信息发布媒体上发布澄清公告，不足 5 日的，将顺延提交首次响应文件截止之日。该澄清或者修改的内容为磋商文件的组成部分。</w:t>
      </w:r>
    </w:p>
    <w:p w14:paraId="02C6318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9.3 采购代理机构和采购单位可以视采购具体情况，延长响应文件递交截止时间和开标时间，但至少在磋商文件要求递交响应文件的截止时间 5 日前，将变更时间通知所有获取磋商文件的供应商，并在财政部门指定的政府采购信息发布媒体上发布变更公告。</w:t>
      </w:r>
    </w:p>
    <w:p w14:paraId="0867736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9.4 供应商应在递交响应文件截止时间前及时登录“政采云”平台中查看有关该服务磋商文件的答疑、补遗内容。否则，后果自负。</w:t>
      </w:r>
    </w:p>
    <w:p w14:paraId="03C2B1A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9.5 磋商文件澄清、磋商文件修改文件内容均以网上电子文件为准，当磋商文件、磋商文件澄清、磋商文件修改文件内容后前相互矛盾时，以最后发出的为准。</w:t>
      </w:r>
    </w:p>
    <w:p w14:paraId="5F251FF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9.6 在磋商过程中，磋商小组可以根据磋商文件和磋商情况实质性变动采购需求中的技术、服务要求以及合同草案条款，但不得变动磋商文件中的其他内容。实质性变动的内容，须经采购人代表确认。本项目磋商小组根据与供应商磋商情况可能实质性变动的内容见供应商须知前附表。 </w:t>
      </w:r>
      <w:r>
        <w:rPr>
          <w:rFonts w:ascii="宋体" w:hAnsi="宋体"/>
          <w:color w:val="auto"/>
          <w:szCs w:val="21"/>
          <w:highlight w:val="none"/>
        </w:rPr>
        <w:cr/>
      </w:r>
    </w:p>
    <w:p w14:paraId="2E48BB1A">
      <w:pPr>
        <w:pStyle w:val="4"/>
        <w:spacing w:before="0" w:after="0"/>
        <w:rPr>
          <w:rFonts w:hint="eastAsia" w:ascii="宋体" w:hAnsi="宋体"/>
          <w:color w:val="auto"/>
          <w:sz w:val="24"/>
          <w:szCs w:val="24"/>
          <w:highlight w:val="none"/>
        </w:rPr>
      </w:pPr>
      <w:bookmarkStart w:id="203" w:name="_Toc174031521"/>
      <w:bookmarkStart w:id="204" w:name="_Toc23162"/>
      <w:bookmarkStart w:id="205" w:name="_Toc86124051"/>
      <w:bookmarkStart w:id="206" w:name="_Toc10137"/>
      <w:bookmarkStart w:id="207" w:name="_Toc174031435"/>
      <w:bookmarkStart w:id="208" w:name="_Toc46765019"/>
      <w:bookmarkStart w:id="209" w:name="_Toc179645100"/>
      <w:bookmarkStart w:id="210" w:name="_Toc82683101"/>
      <w:bookmarkStart w:id="211" w:name="_Toc83328592"/>
      <w:r>
        <w:rPr>
          <w:rFonts w:hint="eastAsia" w:ascii="宋体" w:hAnsi="宋体"/>
          <w:color w:val="auto"/>
          <w:sz w:val="24"/>
          <w:szCs w:val="24"/>
          <w:highlight w:val="none"/>
        </w:rPr>
        <w:t>三、响应文件</w:t>
      </w:r>
      <w:bookmarkEnd w:id="203"/>
      <w:bookmarkEnd w:id="204"/>
      <w:bookmarkEnd w:id="205"/>
      <w:bookmarkEnd w:id="206"/>
      <w:bookmarkEnd w:id="207"/>
      <w:bookmarkEnd w:id="208"/>
      <w:bookmarkEnd w:id="209"/>
      <w:bookmarkEnd w:id="210"/>
      <w:bookmarkEnd w:id="211"/>
    </w:p>
    <w:p w14:paraId="373E9C01">
      <w:pPr>
        <w:pStyle w:val="5"/>
        <w:snapToGrid w:val="0"/>
        <w:spacing w:before="0" w:after="0"/>
        <w:ind w:firstLine="0" w:firstLineChars="0"/>
        <w:jc w:val="both"/>
        <w:rPr>
          <w:rFonts w:hint="eastAsia" w:hAnsi="宋体"/>
          <w:color w:val="auto"/>
          <w:sz w:val="21"/>
          <w:szCs w:val="21"/>
          <w:highlight w:val="none"/>
        </w:rPr>
      </w:pPr>
      <w:bookmarkStart w:id="212" w:name="_Toc383175285"/>
      <w:bookmarkStart w:id="213" w:name="_Toc516501403"/>
      <w:bookmarkStart w:id="214" w:name="_Toc329810195"/>
      <w:bookmarkStart w:id="215" w:name="_Toc30469"/>
      <w:bookmarkStart w:id="216" w:name="_Toc86124052"/>
      <w:bookmarkStart w:id="217" w:name="_Toc46765020"/>
      <w:bookmarkStart w:id="218" w:name="_Toc24557"/>
      <w:bookmarkStart w:id="219" w:name="_Toc174031436"/>
      <w:bookmarkStart w:id="220" w:name="_Toc174031522"/>
      <w:bookmarkStart w:id="221" w:name="_Toc83328593"/>
      <w:bookmarkStart w:id="222" w:name="_Toc383175483"/>
      <w:bookmarkStart w:id="223" w:name="_Toc432106484"/>
      <w:bookmarkStart w:id="224" w:name="_Toc179645101"/>
      <w:bookmarkStart w:id="225" w:name="_Toc82683102"/>
      <w:bookmarkStart w:id="226" w:name="_Toc432194835"/>
      <w:bookmarkStart w:id="227" w:name="_Toc383175061"/>
      <w:r>
        <w:rPr>
          <w:rFonts w:hint="eastAsia" w:hAnsi="宋体"/>
          <w:color w:val="auto"/>
          <w:sz w:val="21"/>
          <w:szCs w:val="21"/>
          <w:highlight w:val="none"/>
        </w:rPr>
        <w:t>10.响应文件编写注意事项</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7F397B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.1 </w:t>
      </w:r>
      <w:r>
        <w:rPr>
          <w:rFonts w:ascii="宋体" w:hAnsi="宋体"/>
          <w:color w:val="auto"/>
          <w:highlight w:val="none"/>
        </w:rPr>
        <w:t>供应商应仔细阅读竞争性磋商文件，在完全了解采购的内容、服务相关要求（见第五章“项目需 求”）和商务条件后，编写响应文件。</w:t>
      </w:r>
      <w:r>
        <w:rPr>
          <w:rFonts w:hint="eastAsia" w:ascii="宋体" w:hAnsi="宋体" w:cs="宋体"/>
          <w:b/>
          <w:bCs/>
          <w:color w:val="auto"/>
          <w:szCs w:val="21"/>
          <w:highlight w:val="none"/>
        </w:rPr>
        <w:t>竞争性磋商文件中标注★号的条款为实质性要求和条件，响应文件必须响应竞争性磋商文件的实质性要求和条件，不满足任何一条将导致投标无效。</w:t>
      </w:r>
    </w:p>
    <w:p w14:paraId="57115BD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.2 </w:t>
      </w:r>
      <w:r>
        <w:rPr>
          <w:rFonts w:ascii="宋体" w:hAnsi="宋体"/>
          <w:color w:val="auto"/>
          <w:highlight w:val="none"/>
        </w:rPr>
        <w:t>对竞争性磋商文件提出的实质性要求和条件作出响应是指供应商必须对竞争性磋商文件中规定的成交实质性要求和条件作出满足或者优于原要求和条件的承诺，并提供相应的证明材料。</w:t>
      </w:r>
    </w:p>
    <w:p w14:paraId="4FFE39A0">
      <w:pPr>
        <w:pStyle w:val="5"/>
        <w:snapToGrid w:val="0"/>
        <w:spacing w:before="0" w:after="0"/>
        <w:ind w:firstLine="0" w:firstLineChars="0"/>
        <w:jc w:val="both"/>
        <w:rPr>
          <w:rFonts w:hint="eastAsia" w:hAnsi="宋体"/>
          <w:color w:val="auto"/>
          <w:sz w:val="21"/>
          <w:szCs w:val="21"/>
          <w:highlight w:val="none"/>
        </w:rPr>
      </w:pPr>
      <w:bookmarkStart w:id="228" w:name="_Toc13833"/>
      <w:bookmarkStart w:id="229" w:name="_Toc46765021"/>
      <w:bookmarkStart w:id="230" w:name="_Toc516501404"/>
      <w:bookmarkStart w:id="231" w:name="_Toc174031523"/>
      <w:bookmarkStart w:id="232" w:name="_Toc83328594"/>
      <w:bookmarkStart w:id="233" w:name="_Toc383175062"/>
      <w:bookmarkStart w:id="234" w:name="_Toc179645102"/>
      <w:bookmarkStart w:id="235" w:name="_Toc432194836"/>
      <w:bookmarkStart w:id="236" w:name="_Toc383175484"/>
      <w:bookmarkStart w:id="237" w:name="_Toc86124054"/>
      <w:bookmarkStart w:id="238" w:name="_Toc82683103"/>
      <w:bookmarkStart w:id="239" w:name="_Toc17758"/>
      <w:bookmarkStart w:id="240" w:name="_Toc383175286"/>
      <w:bookmarkStart w:id="241" w:name="_Toc174031437"/>
      <w:bookmarkStart w:id="242" w:name="_Toc432106485"/>
      <w:bookmarkStart w:id="243" w:name="_Toc329810196"/>
      <w:r>
        <w:rPr>
          <w:rFonts w:hint="eastAsia" w:hAnsi="宋体"/>
          <w:color w:val="auto"/>
          <w:sz w:val="21"/>
          <w:szCs w:val="21"/>
          <w:highlight w:val="none"/>
        </w:rPr>
        <w:t>11.响应文件构成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6F59121">
      <w:pPr>
        <w:overflowPunct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.1</w:t>
      </w:r>
      <w:r>
        <w:rPr>
          <w:rFonts w:hint="eastAsia" w:ascii="宋体" w:hAnsi="宋体"/>
          <w:color w:val="auto"/>
          <w:szCs w:val="21"/>
          <w:highlight w:val="none"/>
        </w:rPr>
        <w:t>供应商编写的响应文件应按第四章“响应文件格式”要求填写。有关文件的提交如未特别注明需提供原件的，可提供复印件。</w:t>
      </w:r>
    </w:p>
    <w:p w14:paraId="75CD8F4E">
      <w:pPr>
        <w:overflowPunct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11.2 </w:t>
      </w:r>
      <w:r>
        <w:rPr>
          <w:rFonts w:hint="eastAsia" w:ascii="宋体" w:hAnsi="宋体" w:cs="宋体"/>
          <w:color w:val="auto"/>
          <w:kern w:val="0"/>
          <w:szCs w:val="18"/>
          <w:highlight w:val="none"/>
        </w:rPr>
        <w:t>构成响应文件的其他资料</w:t>
      </w:r>
      <w:r>
        <w:rPr>
          <w:rFonts w:hint="eastAsia" w:ascii="宋体" w:hAnsi="宋体" w:cs="宋体"/>
          <w:color w:val="auto"/>
          <w:szCs w:val="18"/>
          <w:highlight w:val="none"/>
        </w:rPr>
        <w:t>：</w:t>
      </w:r>
      <w:r>
        <w:rPr>
          <w:rFonts w:hint="eastAsia" w:ascii="宋体" w:hAnsi="宋体"/>
          <w:color w:val="auto"/>
          <w:szCs w:val="18"/>
          <w:highlight w:val="none"/>
        </w:rPr>
        <w:t>见</w:t>
      </w:r>
      <w:r>
        <w:rPr>
          <w:rFonts w:ascii="宋体" w:hAnsi="宋体"/>
          <w:color w:val="auto"/>
          <w:szCs w:val="18"/>
          <w:highlight w:val="none"/>
        </w:rPr>
        <w:t>“</w:t>
      </w:r>
      <w:r>
        <w:rPr>
          <w:rFonts w:hint="eastAsia" w:ascii="宋体" w:hAnsi="宋体"/>
          <w:b/>
          <w:color w:val="auto"/>
          <w:szCs w:val="18"/>
          <w:highlight w:val="none"/>
        </w:rPr>
        <w:t>供应商须知前附表</w:t>
      </w:r>
      <w:r>
        <w:rPr>
          <w:rFonts w:ascii="宋体" w:hAnsi="宋体"/>
          <w:color w:val="auto"/>
          <w:szCs w:val="18"/>
          <w:highlight w:val="none"/>
        </w:rPr>
        <w:t>”</w:t>
      </w:r>
      <w:r>
        <w:rPr>
          <w:rFonts w:hint="eastAsia" w:ascii="宋体" w:hAnsi="宋体"/>
          <w:color w:val="auto"/>
          <w:szCs w:val="18"/>
          <w:highlight w:val="none"/>
        </w:rPr>
        <w:t>。</w:t>
      </w:r>
    </w:p>
    <w:p w14:paraId="69FF87E3">
      <w:pPr>
        <w:pStyle w:val="5"/>
        <w:snapToGrid w:val="0"/>
        <w:spacing w:before="0" w:after="0"/>
        <w:ind w:firstLine="0" w:firstLineChars="0"/>
        <w:jc w:val="both"/>
        <w:rPr>
          <w:rFonts w:hint="eastAsia" w:hAnsi="宋体"/>
          <w:color w:val="auto"/>
          <w:sz w:val="21"/>
          <w:szCs w:val="21"/>
          <w:highlight w:val="none"/>
        </w:rPr>
      </w:pPr>
      <w:bookmarkStart w:id="244" w:name="_Toc86124056"/>
      <w:bookmarkStart w:id="245" w:name="_Toc3364"/>
      <w:bookmarkStart w:id="246" w:name="_Toc179645103"/>
      <w:bookmarkStart w:id="247" w:name="_Toc383175485"/>
      <w:bookmarkStart w:id="248" w:name="_Toc46765022"/>
      <w:bookmarkStart w:id="249" w:name="_Toc20948"/>
      <w:bookmarkStart w:id="250" w:name="_Toc383175287"/>
      <w:bookmarkStart w:id="251" w:name="_Toc174031438"/>
      <w:bookmarkStart w:id="252" w:name="_Toc82683104"/>
      <w:bookmarkStart w:id="253" w:name="_Toc432194837"/>
      <w:bookmarkStart w:id="254" w:name="_Toc383175063"/>
      <w:bookmarkStart w:id="255" w:name="_Toc516501405"/>
      <w:bookmarkStart w:id="256" w:name="_Toc174031524"/>
      <w:bookmarkStart w:id="257" w:name="_Toc329810197"/>
      <w:bookmarkStart w:id="258" w:name="_Toc432106486"/>
      <w:bookmarkStart w:id="259" w:name="_Toc83328595"/>
      <w:r>
        <w:rPr>
          <w:rFonts w:hint="eastAsia" w:hAnsi="宋体"/>
          <w:color w:val="auto"/>
          <w:sz w:val="21"/>
          <w:szCs w:val="21"/>
          <w:highlight w:val="none"/>
        </w:rPr>
        <w:t>12.报价</w:t>
      </w:r>
      <w:bookmarkEnd w:id="244"/>
      <w:r>
        <w:rPr>
          <w:rFonts w:hint="eastAsia" w:hAnsi="宋体"/>
          <w:color w:val="auto"/>
          <w:sz w:val="21"/>
          <w:szCs w:val="21"/>
          <w:highlight w:val="none"/>
        </w:rPr>
        <w:t>和报价货币</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B0D06AE">
      <w:pPr>
        <w:spacing w:line="360" w:lineRule="auto"/>
        <w:ind w:firstLine="422" w:firstLineChars="200"/>
        <w:rPr>
          <w:rFonts w:hint="eastAsia" w:ascii="宋体" w:hAnsi="宋体"/>
          <w:color w:val="auto"/>
          <w:szCs w:val="21"/>
          <w:highlight w:val="none"/>
        </w:rPr>
      </w:pPr>
      <w:r>
        <w:rPr>
          <w:rFonts w:ascii="宋体" w:hAnsi="宋体"/>
          <w:b/>
          <w:bCs/>
          <w:color w:val="auto"/>
          <w:szCs w:val="21"/>
          <w:highlight w:val="none"/>
        </w:rPr>
        <w:t>12.1</w:t>
      </w:r>
      <w:r>
        <w:rPr>
          <w:rFonts w:ascii="宋体" w:hAnsi="宋体"/>
          <w:b/>
          <w:color w:val="auto"/>
          <w:szCs w:val="21"/>
          <w:highlight w:val="none"/>
        </w:rPr>
        <w:t>供应商</w:t>
      </w:r>
      <w:r>
        <w:rPr>
          <w:rFonts w:hint="eastAsia" w:ascii="宋体" w:hAnsi="宋体"/>
          <w:b/>
          <w:color w:val="auto"/>
          <w:szCs w:val="21"/>
          <w:highlight w:val="none"/>
        </w:rPr>
        <w:t>须</w:t>
      </w:r>
      <w:r>
        <w:rPr>
          <w:rFonts w:ascii="宋体" w:hAnsi="宋体"/>
          <w:b/>
          <w:color w:val="auto"/>
          <w:szCs w:val="21"/>
          <w:highlight w:val="none"/>
        </w:rPr>
        <w:t>就“</w:t>
      </w:r>
      <w:r>
        <w:rPr>
          <w:rFonts w:hint="eastAsia" w:ascii="宋体" w:hAnsi="宋体"/>
          <w:b/>
          <w:color w:val="auto"/>
          <w:szCs w:val="21"/>
          <w:highlight w:val="none"/>
        </w:rPr>
        <w:t>第五章项目需求</w:t>
      </w:r>
      <w:r>
        <w:rPr>
          <w:rFonts w:ascii="宋体" w:hAnsi="宋体"/>
          <w:b/>
          <w:color w:val="auto"/>
          <w:szCs w:val="21"/>
          <w:highlight w:val="none"/>
        </w:rPr>
        <w:t>”中</w:t>
      </w:r>
      <w:r>
        <w:rPr>
          <w:rFonts w:hint="eastAsia" w:ascii="宋体" w:hAnsi="宋体"/>
          <w:b/>
          <w:color w:val="auto"/>
          <w:szCs w:val="21"/>
          <w:highlight w:val="none"/>
        </w:rPr>
        <w:t>所参与磋商的项目</w:t>
      </w:r>
      <w:r>
        <w:rPr>
          <w:rFonts w:ascii="宋体" w:hAnsi="宋体"/>
          <w:b/>
          <w:color w:val="auto"/>
          <w:szCs w:val="21"/>
          <w:highlight w:val="none"/>
        </w:rPr>
        <w:t>内容作完整唯一报价</w:t>
      </w:r>
      <w:r>
        <w:rPr>
          <w:rFonts w:hint="eastAsia" w:ascii="宋体" w:hAnsi="宋体"/>
          <w:b/>
          <w:color w:val="auto"/>
          <w:szCs w:val="21"/>
          <w:highlight w:val="none"/>
        </w:rPr>
        <w:t>。</w:t>
      </w:r>
    </w:p>
    <w:p w14:paraId="0DC5F451">
      <w:pP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12</w:t>
      </w:r>
      <w:r>
        <w:rPr>
          <w:rFonts w:ascii="宋体" w:hAnsi="宋体"/>
          <w:b/>
          <w:bCs/>
          <w:color w:val="auto"/>
          <w:szCs w:val="21"/>
          <w:highlight w:val="none"/>
        </w:rPr>
        <w:t>.</w:t>
      </w:r>
      <w:r>
        <w:rPr>
          <w:rFonts w:hint="eastAsia" w:ascii="宋体" w:hAnsi="宋体"/>
          <w:b/>
          <w:bCs/>
          <w:color w:val="auto"/>
          <w:szCs w:val="21"/>
          <w:highlight w:val="none"/>
        </w:rPr>
        <w:t>2</w:t>
      </w:r>
      <w:r>
        <w:rPr>
          <w:rFonts w:hint="eastAsia" w:ascii="宋体" w:hAnsi="宋体"/>
          <w:color w:val="auto"/>
          <w:szCs w:val="21"/>
          <w:highlight w:val="none"/>
        </w:rPr>
        <w:t>供应商</w:t>
      </w:r>
      <w:r>
        <w:rPr>
          <w:rFonts w:ascii="宋体" w:hAnsi="宋体"/>
          <w:color w:val="auto"/>
          <w:szCs w:val="21"/>
          <w:highlight w:val="none"/>
        </w:rPr>
        <w:t>应依据磋商文件的要求及有关资料，</w:t>
      </w:r>
      <w:r>
        <w:rPr>
          <w:rFonts w:hint="eastAsia" w:ascii="宋体" w:hAnsi="宋体"/>
          <w:color w:val="auto"/>
          <w:szCs w:val="21"/>
          <w:highlight w:val="none"/>
        </w:rPr>
        <w:t>执行</w:t>
      </w:r>
      <w:r>
        <w:rPr>
          <w:rFonts w:ascii="宋体" w:hAnsi="宋体"/>
          <w:color w:val="auto"/>
          <w:szCs w:val="21"/>
          <w:highlight w:val="none"/>
        </w:rPr>
        <w:t>国家或行业现行技术经济标准、定额及规范，自行测算出满足</w:t>
      </w:r>
      <w:r>
        <w:rPr>
          <w:rFonts w:hint="eastAsia" w:ascii="宋体" w:hAnsi="宋体"/>
          <w:color w:val="auto"/>
          <w:szCs w:val="21"/>
          <w:highlight w:val="none"/>
        </w:rPr>
        <w:t>采购</w:t>
      </w:r>
      <w:r>
        <w:rPr>
          <w:rFonts w:ascii="宋体" w:hAnsi="宋体"/>
          <w:color w:val="auto"/>
          <w:szCs w:val="21"/>
          <w:highlight w:val="none"/>
        </w:rPr>
        <w:t>要求的</w:t>
      </w:r>
      <w:r>
        <w:rPr>
          <w:rFonts w:hint="eastAsia" w:ascii="宋体" w:hAnsi="宋体"/>
          <w:color w:val="auto"/>
          <w:szCs w:val="21"/>
          <w:highlight w:val="none"/>
        </w:rPr>
        <w:t>服务</w:t>
      </w:r>
      <w:r>
        <w:rPr>
          <w:rFonts w:ascii="宋体" w:hAnsi="宋体"/>
          <w:color w:val="auto"/>
          <w:szCs w:val="21"/>
          <w:highlight w:val="none"/>
        </w:rPr>
        <w:t>的竞争性报价。</w:t>
      </w:r>
      <w:r>
        <w:rPr>
          <w:rFonts w:ascii="宋体" w:hAnsi="宋体"/>
          <w:b/>
          <w:bCs/>
          <w:color w:val="auto"/>
          <w:highlight w:val="none"/>
        </w:rPr>
        <w:t>磋商报价</w:t>
      </w:r>
      <w:r>
        <w:rPr>
          <w:rFonts w:hint="eastAsia" w:ascii="宋体" w:hAnsi="宋体"/>
          <w:color w:val="auto"/>
          <w:highlight w:val="none"/>
        </w:rPr>
        <w:t>应包括完成磋商文件及合同规定的全部工作所需的一切费用及拟获得的利润、税金等所有费用，应符合国内行情并能保证供应商完成履行合同（采购范围内）所需的一切工作。</w:t>
      </w:r>
    </w:p>
    <w:p w14:paraId="36DF471E">
      <w:pPr>
        <w:adjustRightInd w:val="0"/>
        <w:snapToGrid w:val="0"/>
        <w:spacing w:line="360" w:lineRule="auto"/>
        <w:ind w:firstLine="426" w:firstLineChars="202"/>
        <w:rPr>
          <w:rFonts w:hint="eastAsia" w:ascii="宋体" w:hAnsi="宋体"/>
          <w:b/>
          <w:bCs/>
          <w:color w:val="auto"/>
          <w:szCs w:val="21"/>
          <w:highlight w:val="none"/>
        </w:rPr>
      </w:pPr>
      <w:r>
        <w:rPr>
          <w:rFonts w:hint="eastAsia" w:ascii="宋体" w:hAnsi="宋体"/>
          <w:b/>
          <w:bCs/>
          <w:color w:val="auto"/>
          <w:szCs w:val="21"/>
          <w:highlight w:val="none"/>
        </w:rPr>
        <w:t>12.3结算方式：</w:t>
      </w:r>
    </w:p>
    <w:p w14:paraId="3A8DAD7F">
      <w:pPr>
        <w:adjustRightInd w:val="0"/>
        <w:snapToGrid w:val="0"/>
        <w:spacing w:line="360" w:lineRule="auto"/>
        <w:ind w:firstLine="426" w:firstLineChars="202"/>
        <w:rPr>
          <w:rFonts w:hint="eastAsia" w:ascii="宋体" w:hAnsi="宋体"/>
          <w:b/>
          <w:bCs/>
          <w:color w:val="auto"/>
          <w:szCs w:val="21"/>
          <w:highlight w:val="none"/>
        </w:rPr>
      </w:pPr>
      <w:r>
        <w:rPr>
          <w:rFonts w:hint="eastAsia" w:ascii="宋体" w:hAnsi="宋体"/>
          <w:b/>
          <w:bCs/>
          <w:color w:val="auto"/>
          <w:szCs w:val="21"/>
          <w:highlight w:val="none"/>
        </w:rPr>
        <w:t>（1）本项目采用竞争性磋商，成交供应商在合同完成后报送已完成项目结算审计资料，由第三方造价单位以成交供应商第一轮报价所报的响应文件中的“已标价工程量清单”进行结算审计，最终结算：由第三方造价单位审定的结算价*优惠率。</w:t>
      </w:r>
    </w:p>
    <w:p w14:paraId="6845AB8A">
      <w:pPr>
        <w:adjustRightInd w:val="0"/>
        <w:snapToGrid w:val="0"/>
        <w:spacing w:line="360" w:lineRule="auto"/>
        <w:ind w:firstLine="426" w:firstLineChars="202"/>
        <w:rPr>
          <w:rFonts w:hint="eastAsia" w:ascii="宋体" w:hAnsi="宋体"/>
          <w:b/>
          <w:bCs/>
          <w:color w:val="auto"/>
          <w:szCs w:val="21"/>
          <w:highlight w:val="none"/>
        </w:rPr>
      </w:pPr>
      <w:r>
        <w:rPr>
          <w:rFonts w:hint="eastAsia" w:ascii="宋体" w:hAnsi="宋体"/>
          <w:b/>
          <w:bCs/>
          <w:color w:val="auto"/>
          <w:szCs w:val="21"/>
          <w:highlight w:val="none"/>
        </w:rPr>
        <w:t>（2）本工程合同价格方式：采用固定综合单价合同。</w:t>
      </w:r>
    </w:p>
    <w:p w14:paraId="12790B30">
      <w:pPr>
        <w:adjustRightInd w:val="0"/>
        <w:snapToGrid w:val="0"/>
        <w:spacing w:line="360" w:lineRule="auto"/>
        <w:ind w:firstLine="426" w:firstLineChars="202"/>
        <w:rPr>
          <w:rFonts w:hint="eastAsia" w:ascii="宋体" w:hAnsi="宋体"/>
          <w:b/>
          <w:bCs/>
          <w:color w:val="auto"/>
          <w:szCs w:val="21"/>
          <w:highlight w:val="none"/>
        </w:rPr>
      </w:pPr>
      <w:r>
        <w:rPr>
          <w:rFonts w:hint="eastAsia" w:ascii="宋体" w:hAnsi="宋体"/>
          <w:b/>
          <w:bCs/>
          <w:color w:val="auto"/>
          <w:szCs w:val="21"/>
          <w:highlight w:val="none"/>
        </w:rPr>
        <w:t>（3）结算价=按响应文件（第一次报价）计算审定的结算价×优惠率(优惠率=（第二次报价-暂估价）/（第一次报价-暂估价）)</w:t>
      </w:r>
    </w:p>
    <w:p w14:paraId="7E3A7641">
      <w:pPr>
        <w:adjustRightInd w:val="0"/>
        <w:snapToGrid w:val="0"/>
        <w:spacing w:line="360" w:lineRule="auto"/>
        <w:ind w:firstLine="426" w:firstLineChars="202"/>
        <w:rPr>
          <w:rFonts w:hint="eastAsia" w:ascii="宋体" w:hAnsi="宋体"/>
          <w:b/>
          <w:bCs/>
          <w:color w:val="auto"/>
          <w:szCs w:val="21"/>
          <w:highlight w:val="none"/>
        </w:rPr>
      </w:pPr>
      <w:r>
        <w:rPr>
          <w:rFonts w:hint="eastAsia" w:ascii="宋体" w:hAnsi="宋体"/>
          <w:b/>
          <w:bCs/>
          <w:color w:val="auto"/>
          <w:szCs w:val="21"/>
          <w:highlight w:val="none"/>
        </w:rPr>
        <w:t>12.4</w:t>
      </w:r>
      <w:r>
        <w:rPr>
          <w:rFonts w:hint="eastAsia" w:ascii="宋体" w:hAnsi="宋体" w:cs="宋体"/>
          <w:color w:val="auto"/>
          <w:highlight w:val="none"/>
        </w:rPr>
        <w:t>供应商根据自身实力，结合市场情况自主报价。</w:t>
      </w:r>
    </w:p>
    <w:p w14:paraId="23D7899C">
      <w:pPr>
        <w:adjustRightInd w:val="0"/>
        <w:snapToGrid w:val="0"/>
        <w:spacing w:line="360" w:lineRule="auto"/>
        <w:ind w:firstLine="426" w:firstLineChars="202"/>
        <w:rPr>
          <w:rFonts w:hint="eastAsia" w:ascii="宋体" w:hAnsi="宋体"/>
          <w:color w:val="auto"/>
          <w:szCs w:val="21"/>
          <w:highlight w:val="none"/>
        </w:rPr>
      </w:pPr>
      <w:r>
        <w:rPr>
          <w:rFonts w:hint="eastAsia" w:ascii="宋体" w:hAnsi="宋体"/>
          <w:b/>
          <w:bCs/>
          <w:color w:val="auto"/>
          <w:szCs w:val="21"/>
          <w:highlight w:val="none"/>
        </w:rPr>
        <w:t>12.5</w:t>
      </w:r>
      <w:r>
        <w:rPr>
          <w:rFonts w:hint="eastAsia" w:ascii="宋体" w:hAnsi="宋体"/>
          <w:color w:val="auto"/>
          <w:szCs w:val="21"/>
          <w:highlight w:val="none"/>
        </w:rPr>
        <w:t>根据财政部、税务总局最新增值税的规定，请供应商按文件的要求执行并自行评估和承担税率变动的影响。</w:t>
      </w:r>
    </w:p>
    <w:p w14:paraId="1EC6F207">
      <w:pPr>
        <w:adjustRightInd w:val="0"/>
        <w:snapToGrid w:val="0"/>
        <w:spacing w:line="360" w:lineRule="auto"/>
        <w:ind w:firstLine="426" w:firstLineChars="202"/>
        <w:rPr>
          <w:rFonts w:hint="eastAsia" w:ascii="宋体" w:hAnsi="宋体"/>
          <w:color w:val="auto"/>
          <w:szCs w:val="21"/>
          <w:highlight w:val="none"/>
        </w:rPr>
      </w:pPr>
      <w:r>
        <w:rPr>
          <w:rFonts w:hint="eastAsia" w:ascii="宋体" w:hAnsi="宋体"/>
          <w:b/>
          <w:bCs/>
          <w:color w:val="auto"/>
          <w:szCs w:val="21"/>
          <w:highlight w:val="none"/>
        </w:rPr>
        <w:t>12.6通过实质性要求审查的供应商才能进入磋商程序并进行第二轮报价，第二轮报价为最终报价。</w:t>
      </w:r>
    </w:p>
    <w:p w14:paraId="513FAD8A">
      <w:pPr>
        <w:adjustRightInd w:val="0"/>
        <w:snapToGrid w:val="0"/>
        <w:spacing w:line="360" w:lineRule="auto"/>
        <w:ind w:firstLine="426" w:firstLineChars="202"/>
        <w:rPr>
          <w:rFonts w:hint="eastAsia" w:ascii="宋体" w:hAnsi="宋体"/>
          <w:b/>
          <w:bCs/>
          <w:color w:val="auto"/>
          <w:szCs w:val="21"/>
          <w:highlight w:val="none"/>
        </w:rPr>
      </w:pPr>
      <w:r>
        <w:rPr>
          <w:rFonts w:hint="eastAsia" w:ascii="宋体" w:hAnsi="宋体"/>
          <w:b/>
          <w:bCs/>
          <w:color w:val="auto"/>
          <w:szCs w:val="21"/>
          <w:highlight w:val="none"/>
        </w:rPr>
        <w:t>12.7</w:t>
      </w:r>
      <w:r>
        <w:rPr>
          <w:rFonts w:ascii="宋体" w:hAnsi="宋体"/>
          <w:b/>
          <w:bCs/>
          <w:color w:val="auto"/>
          <w:highlight w:val="none"/>
        </w:rPr>
        <w:t>最终报价文件应由法定代表人或委托代理人进行电子签章，在规定的时间统一递交。若已递交的最终报价文件中出现含义不明确、同类问题表述不一致或者签署不完整、有明显文字和计算错误的，可以进行澄清和补充，但不得改变最终报价文件中报价等实质性内容（算术性错误修正的除外）。</w:t>
      </w:r>
    </w:p>
    <w:p w14:paraId="12F16D6A">
      <w:pPr>
        <w:adjustRightInd w:val="0"/>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12.8供应商不得哄抬报价，也不应低于成本价（或进价）报价。磋商小组认为供应商的最低报价或者某些分项报价明显不合理或者低于成本，有可能影响商品质量和不能诚信履约的，将要求其在规定的期限内提供书面文件予以解释说明，并提交相关证明材料。否则，磋商小组可以取消该供应商的成交候选资格。</w:t>
      </w:r>
    </w:p>
    <w:p w14:paraId="52FF2CA9">
      <w:pPr>
        <w:adjustRightInd w:val="0"/>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12.9报价货币为人民币。</w:t>
      </w:r>
    </w:p>
    <w:p w14:paraId="22612F3B">
      <w:pPr>
        <w:adjustRightInd w:val="0"/>
        <w:snapToGrid w:val="0"/>
        <w:spacing w:line="360" w:lineRule="auto"/>
        <w:ind w:firstLine="424" w:firstLineChars="202"/>
        <w:rPr>
          <w:rFonts w:hint="eastAsia" w:ascii="宋体" w:hAnsi="宋体"/>
          <w:color w:val="auto"/>
          <w:szCs w:val="21"/>
          <w:highlight w:val="none"/>
        </w:rPr>
      </w:pPr>
      <w:r>
        <w:rPr>
          <w:rFonts w:hint="eastAsia" w:ascii="宋体" w:hAnsi="宋体" w:cs="宋体"/>
          <w:color w:val="auto"/>
          <w:szCs w:val="21"/>
          <w:highlight w:val="none"/>
        </w:rPr>
        <w:t>12.10本项目采购预算详见“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”，报价超过采购预算的供应商的响应文件将按无效文件处理。</w:t>
      </w:r>
    </w:p>
    <w:p w14:paraId="055DAA20">
      <w:pPr>
        <w:pStyle w:val="5"/>
        <w:tabs>
          <w:tab w:val="left" w:pos="900"/>
        </w:tabs>
        <w:snapToGrid w:val="0"/>
        <w:spacing w:before="0" w:after="0"/>
        <w:ind w:firstLine="0" w:firstLineChars="0"/>
        <w:jc w:val="left"/>
        <w:rPr>
          <w:rFonts w:hint="eastAsia" w:hAnsi="宋体"/>
          <w:color w:val="auto"/>
          <w:sz w:val="21"/>
          <w:szCs w:val="21"/>
          <w:highlight w:val="none"/>
        </w:rPr>
      </w:pPr>
      <w:bookmarkStart w:id="260" w:name="_Toc329810198"/>
      <w:bookmarkStart w:id="261" w:name="_Toc383175064"/>
      <w:bookmarkStart w:id="262" w:name="_Toc82683105"/>
      <w:bookmarkStart w:id="263" w:name="_Toc310"/>
      <w:bookmarkStart w:id="264" w:name="_Toc383175288"/>
      <w:bookmarkStart w:id="265" w:name="_Toc83328596"/>
      <w:bookmarkStart w:id="266" w:name="_Toc1379"/>
      <w:bookmarkStart w:id="267" w:name="_Toc179645104"/>
      <w:bookmarkStart w:id="268" w:name="_Toc432194838"/>
      <w:bookmarkStart w:id="269" w:name="_Toc174031525"/>
      <w:bookmarkStart w:id="270" w:name="_Toc86124058"/>
      <w:bookmarkStart w:id="271" w:name="_Toc174031439"/>
      <w:bookmarkStart w:id="272" w:name="_Toc383175486"/>
      <w:bookmarkStart w:id="273" w:name="_Toc46765023"/>
      <w:bookmarkStart w:id="274" w:name="_Toc432106487"/>
      <w:bookmarkStart w:id="275" w:name="_Toc516501406"/>
      <w:r>
        <w:rPr>
          <w:rFonts w:hint="eastAsia" w:hAnsi="宋体"/>
          <w:color w:val="auto"/>
          <w:sz w:val="21"/>
          <w:szCs w:val="21"/>
          <w:highlight w:val="none"/>
        </w:rPr>
        <w:t>13.磋商有效期</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554503C">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 xml:space="preserve">.1 </w:t>
      </w:r>
      <w:r>
        <w:rPr>
          <w:rFonts w:hint="eastAsia" w:ascii="宋体" w:hAnsi="宋体"/>
          <w:color w:val="auto"/>
          <w:szCs w:val="21"/>
          <w:highlight w:val="none"/>
        </w:rPr>
        <w:t>在“</w:t>
      </w:r>
      <w:r>
        <w:rPr>
          <w:rFonts w:hint="eastAsia" w:ascii="宋体" w:hAnsi="宋体"/>
          <w:b/>
          <w:color w:val="auto"/>
          <w:szCs w:val="21"/>
          <w:highlight w:val="none"/>
        </w:rPr>
        <w:t>供应商须知前附表</w:t>
      </w:r>
      <w:r>
        <w:rPr>
          <w:rFonts w:hint="eastAsia" w:ascii="宋体" w:hAnsi="宋体"/>
          <w:color w:val="auto"/>
          <w:szCs w:val="21"/>
          <w:highlight w:val="none"/>
        </w:rPr>
        <w:t>”规定的有效期内，供应商不得要求撤销或修改其响应文件。</w:t>
      </w:r>
    </w:p>
    <w:p w14:paraId="3E96F9FE">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 xml:space="preserve">.2 </w:t>
      </w:r>
      <w:r>
        <w:rPr>
          <w:rFonts w:hint="eastAsia" w:ascii="宋体" w:hAnsi="宋体"/>
          <w:color w:val="auto"/>
          <w:szCs w:val="21"/>
          <w:highlight w:val="none"/>
        </w:rPr>
        <w:t>因特殊情况需要延长有效期的，采购代理机构以书面形式通知所有供应商延长有效期。供应商同意延长的，应相应延长其保证金的有效期，但不得要求或被允许修改或撤销其响应文件；供应商拒绝延长的，其响应文件失效，但供应商有权收回其保证金。</w:t>
      </w:r>
    </w:p>
    <w:p w14:paraId="41016A34">
      <w:pPr>
        <w:pStyle w:val="5"/>
        <w:tabs>
          <w:tab w:val="left" w:pos="360"/>
        </w:tabs>
        <w:snapToGrid w:val="0"/>
        <w:spacing w:before="0" w:after="0"/>
        <w:ind w:firstLine="0" w:firstLineChars="0"/>
        <w:jc w:val="left"/>
        <w:rPr>
          <w:rFonts w:hint="eastAsia" w:hAnsi="宋体"/>
          <w:color w:val="auto"/>
          <w:sz w:val="21"/>
          <w:szCs w:val="21"/>
          <w:highlight w:val="none"/>
        </w:rPr>
      </w:pPr>
      <w:bookmarkStart w:id="276" w:name="_Toc86124059"/>
      <w:bookmarkStart w:id="277" w:name="_Toc329810199"/>
      <w:bookmarkStart w:id="278" w:name="_Toc516501407"/>
      <w:bookmarkStart w:id="279" w:name="_Toc26563"/>
      <w:bookmarkStart w:id="280" w:name="_Toc383175487"/>
      <w:bookmarkStart w:id="281" w:name="_Toc83328597"/>
      <w:bookmarkStart w:id="282" w:name="_Toc383175065"/>
      <w:bookmarkStart w:id="283" w:name="_Toc174031526"/>
      <w:bookmarkStart w:id="284" w:name="_Toc432194839"/>
      <w:bookmarkStart w:id="285" w:name="_Toc432106488"/>
      <w:bookmarkStart w:id="286" w:name="_Toc383175289"/>
      <w:bookmarkStart w:id="287" w:name="_Toc82683106"/>
      <w:bookmarkStart w:id="288" w:name="_Toc46765024"/>
      <w:bookmarkStart w:id="289" w:name="_Toc179645105"/>
      <w:bookmarkStart w:id="290" w:name="_Toc24984"/>
      <w:bookmarkStart w:id="291" w:name="_Toc174031440"/>
      <w:r>
        <w:rPr>
          <w:rFonts w:hint="eastAsia" w:hAnsi="宋体"/>
          <w:color w:val="auto"/>
          <w:sz w:val="21"/>
          <w:szCs w:val="21"/>
          <w:highlight w:val="none"/>
        </w:rPr>
        <w:t>14.响应文件的</w:t>
      </w:r>
      <w:bookmarkEnd w:id="276"/>
      <w:bookmarkEnd w:id="277"/>
      <w:r>
        <w:rPr>
          <w:rFonts w:hint="eastAsia" w:hAnsi="宋体"/>
          <w:color w:val="auto"/>
          <w:sz w:val="21"/>
          <w:szCs w:val="21"/>
          <w:highlight w:val="none"/>
        </w:rPr>
        <w:t>编制</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E541A10">
      <w:pPr>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14.1 响应文件全部采用电子文档，供应商应安装客户端软件—“政采云电子交易客户端”，并按照磋商文件和政采云电子交易平台的要求编制，编制后应进行电子签名及加密。</w:t>
      </w:r>
    </w:p>
    <w:p w14:paraId="2B78DB77">
      <w:pPr>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14.2 如供应商提交的电子标书磋商文件要求或开标时无法读取导入或解密，其响应文件将不予受理。</w:t>
      </w:r>
    </w:p>
    <w:p w14:paraId="56881D40">
      <w:pPr>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14.3 响应文件应尽量避免涂改、行间插字或删除。如果出现上述情况，改动之处应加盖单位章或由供应商的法定代表人（签名或盖章）确认。</w:t>
      </w:r>
    </w:p>
    <w:p w14:paraId="3ED702DB">
      <w:pPr>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14.4 关键内容字迹潦草、表达不清、未按要求填写而导致非唯一理解，视为未实质性响应磋商文件的响应文件。</w:t>
      </w:r>
    </w:p>
    <w:p w14:paraId="599566E5">
      <w:pPr>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14.5 响应文件中提供的资料（扫描件），内容必须清晰可辨，若内容模糊，无法辨识，均视为未提供。</w:t>
      </w:r>
    </w:p>
    <w:p w14:paraId="53994924">
      <w:pPr>
        <w:pStyle w:val="5"/>
        <w:tabs>
          <w:tab w:val="left" w:pos="360"/>
        </w:tabs>
        <w:snapToGrid w:val="0"/>
        <w:spacing w:before="0" w:after="0"/>
        <w:ind w:firstLine="0" w:firstLineChars="0"/>
        <w:jc w:val="left"/>
        <w:rPr>
          <w:rFonts w:hint="eastAsia" w:hAnsi="宋体"/>
          <w:color w:val="auto"/>
          <w:sz w:val="21"/>
          <w:szCs w:val="21"/>
          <w:highlight w:val="none"/>
        </w:rPr>
      </w:pPr>
      <w:bookmarkStart w:id="292" w:name="_Toc516501408"/>
      <w:bookmarkStart w:id="293" w:name="_Toc179645106"/>
      <w:bookmarkStart w:id="294" w:name="_Toc174031441"/>
      <w:bookmarkStart w:id="295" w:name="_Toc174031527"/>
      <w:bookmarkStart w:id="296" w:name="_Toc46765025"/>
      <w:bookmarkStart w:id="297" w:name="_Toc1344"/>
      <w:bookmarkStart w:id="298" w:name="_Toc82683107"/>
      <w:bookmarkStart w:id="299" w:name="_Toc15620"/>
      <w:bookmarkStart w:id="300" w:name="_Toc83328598"/>
      <w:bookmarkStart w:id="301" w:name="_Toc432106489"/>
      <w:bookmarkStart w:id="302" w:name="_Toc432194840"/>
      <w:r>
        <w:rPr>
          <w:rFonts w:hint="eastAsia" w:hAnsi="宋体"/>
          <w:color w:val="auto"/>
          <w:sz w:val="21"/>
          <w:szCs w:val="21"/>
          <w:highlight w:val="none"/>
        </w:rPr>
        <w:t>15.磋商保证金</w:t>
      </w:r>
      <w:bookmarkEnd w:id="292"/>
      <w:bookmarkEnd w:id="293"/>
      <w:bookmarkEnd w:id="294"/>
      <w:bookmarkEnd w:id="295"/>
      <w:bookmarkEnd w:id="296"/>
      <w:bookmarkEnd w:id="297"/>
      <w:bookmarkEnd w:id="298"/>
      <w:bookmarkEnd w:id="299"/>
      <w:bookmarkEnd w:id="300"/>
      <w:bookmarkEnd w:id="301"/>
      <w:bookmarkEnd w:id="302"/>
    </w:p>
    <w:p w14:paraId="3A97BDC6">
      <w:pPr>
        <w:overflowPunct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15.1磋商</w:t>
      </w:r>
      <w:r>
        <w:rPr>
          <w:rFonts w:ascii="宋体" w:hAnsi="宋体"/>
          <w:color w:val="auto"/>
          <w:szCs w:val="21"/>
          <w:highlight w:val="none"/>
        </w:rPr>
        <w:t>保证金为人民币。供应商应在递交响应文件截止时间以前按“</w:t>
      </w:r>
      <w:r>
        <w:rPr>
          <w:rFonts w:ascii="宋体" w:hAnsi="宋体"/>
          <w:b/>
          <w:color w:val="auto"/>
          <w:szCs w:val="21"/>
          <w:highlight w:val="none"/>
        </w:rPr>
        <w:t>供应商须知前附表</w:t>
      </w:r>
      <w:r>
        <w:rPr>
          <w:rFonts w:ascii="宋体" w:hAnsi="宋体"/>
          <w:color w:val="auto"/>
          <w:szCs w:val="21"/>
          <w:highlight w:val="none"/>
        </w:rPr>
        <w:t>”规定的方式及金额交至采购代理机构，并在磋商有效期内保持有效。</w:t>
      </w:r>
    </w:p>
    <w:p w14:paraId="6A582AA5">
      <w:pPr>
        <w:overflowPunct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15.2磋商保证金形式：磋商保证金应按“</w:t>
      </w:r>
      <w:r>
        <w:rPr>
          <w:rFonts w:hint="eastAsia" w:ascii="宋体" w:hAnsi="宋体"/>
          <w:b/>
          <w:color w:val="auto"/>
          <w:szCs w:val="21"/>
          <w:highlight w:val="none"/>
        </w:rPr>
        <w:t>供应商须知前附表</w:t>
      </w:r>
      <w:r>
        <w:rPr>
          <w:rFonts w:hint="eastAsia" w:ascii="宋体" w:hAnsi="宋体"/>
          <w:color w:val="auto"/>
          <w:szCs w:val="21"/>
          <w:highlight w:val="none"/>
        </w:rPr>
        <w:t>”规定的形式提交。</w:t>
      </w:r>
    </w:p>
    <w:p w14:paraId="5368F45A">
      <w:pPr>
        <w:overflowPunct w:val="0"/>
        <w:adjustRightInd w:val="0"/>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办理保证金手续时，请务必在银行进账单或电汇单的用途栏或空白栏上注明采购项目名称及</w:t>
      </w:r>
      <w:r>
        <w:rPr>
          <w:rFonts w:hint="eastAsia" w:ascii="宋体" w:hAnsi="宋体"/>
          <w:color w:val="auto"/>
          <w:szCs w:val="21"/>
          <w:highlight w:val="none"/>
        </w:rPr>
        <w:t>招标</w:t>
      </w:r>
      <w:r>
        <w:rPr>
          <w:rFonts w:ascii="宋体" w:hAnsi="宋体"/>
          <w:color w:val="auto"/>
          <w:szCs w:val="21"/>
          <w:highlight w:val="none"/>
        </w:rPr>
        <w:t>编号。</w:t>
      </w:r>
    </w:p>
    <w:p w14:paraId="7C72F68F">
      <w:pPr>
        <w:overflowPunct w:val="0"/>
        <w:adjustRightInd w:val="0"/>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未成交的供应商在成交</w:t>
      </w:r>
      <w:r>
        <w:rPr>
          <w:rFonts w:hint="eastAsia" w:ascii="宋体" w:hAnsi="宋体"/>
          <w:color w:val="auto"/>
          <w:szCs w:val="21"/>
          <w:highlight w:val="none"/>
        </w:rPr>
        <w:t>公告</w:t>
      </w:r>
      <w:r>
        <w:rPr>
          <w:rFonts w:ascii="宋体" w:hAnsi="宋体"/>
          <w:color w:val="auto"/>
          <w:szCs w:val="21"/>
          <w:highlight w:val="none"/>
        </w:rPr>
        <w:t>发出后</w:t>
      </w:r>
      <w:r>
        <w:rPr>
          <w:rFonts w:hint="eastAsia" w:ascii="宋体" w:hAnsi="宋体"/>
          <w:color w:val="auto"/>
          <w:szCs w:val="21"/>
          <w:highlight w:val="none"/>
        </w:rPr>
        <w:t>五个工作日内由</w:t>
      </w:r>
      <w:r>
        <w:rPr>
          <w:rFonts w:ascii="宋体" w:hAnsi="宋体"/>
          <w:color w:val="auto"/>
          <w:szCs w:val="21"/>
          <w:highlight w:val="none"/>
        </w:rPr>
        <w:t>采购代理机构办理退保证金</w:t>
      </w:r>
      <w:r>
        <w:rPr>
          <w:rFonts w:hint="eastAsia" w:ascii="宋体" w:hAnsi="宋体"/>
          <w:color w:val="auto"/>
          <w:szCs w:val="21"/>
          <w:highlight w:val="none"/>
        </w:rPr>
        <w:t>退回流程</w:t>
      </w:r>
      <w:r>
        <w:rPr>
          <w:rFonts w:ascii="宋体" w:hAnsi="宋体"/>
          <w:color w:val="auto"/>
          <w:szCs w:val="21"/>
          <w:highlight w:val="none"/>
        </w:rPr>
        <w:t>；</w:t>
      </w:r>
      <w:r>
        <w:rPr>
          <w:rFonts w:hint="eastAsia" w:ascii="宋体" w:hAnsi="宋体"/>
          <w:color w:val="auto"/>
          <w:szCs w:val="21"/>
          <w:highlight w:val="none"/>
        </w:rPr>
        <w:t>磋商保证金的退回仅以网上银行转账的方式进行。</w:t>
      </w:r>
    </w:p>
    <w:p w14:paraId="6169D24B">
      <w:pPr>
        <w:overflowPunct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15.5 磋商保证金的退回方式：</w:t>
      </w:r>
    </w:p>
    <w:p w14:paraId="33B57B50">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（1）以银行转账、网银、电汇缴纳的保证金，以网银对公转账的方式退还到供应商打款账户；</w:t>
      </w:r>
    </w:p>
    <w:p w14:paraId="54486D66">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（2）以支票、汇票及本票等票据方式缴纳的保证金，经财务查账确认后以对公转账的方式退还到供应商开户账户；</w:t>
      </w:r>
    </w:p>
    <w:p w14:paraId="7999CAE0">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（3）以银行保函或者保证保险方式缴纳的保证金由供应商自行联系出函机构。</w:t>
      </w:r>
    </w:p>
    <w:p w14:paraId="1C08F800">
      <w:pPr>
        <w:overflowPunct w:val="0"/>
        <w:adjustRightInd w:val="0"/>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 xml:space="preserve"> 下列情况发生时，</w:t>
      </w:r>
      <w:r>
        <w:rPr>
          <w:rFonts w:hint="eastAsia" w:ascii="宋体" w:hAnsi="宋体"/>
          <w:color w:val="auto"/>
          <w:szCs w:val="21"/>
          <w:highlight w:val="none"/>
        </w:rPr>
        <w:t>磋商</w:t>
      </w:r>
      <w:r>
        <w:rPr>
          <w:rFonts w:ascii="宋体" w:hAnsi="宋体"/>
          <w:color w:val="auto"/>
          <w:szCs w:val="21"/>
          <w:highlight w:val="none"/>
        </w:rPr>
        <w:t>保证金将</w:t>
      </w:r>
      <w:r>
        <w:rPr>
          <w:rFonts w:hint="eastAsia" w:ascii="宋体" w:hAnsi="宋体"/>
          <w:color w:val="auto"/>
          <w:szCs w:val="21"/>
          <w:highlight w:val="none"/>
        </w:rPr>
        <w:t>不予退还</w:t>
      </w:r>
      <w:r>
        <w:rPr>
          <w:rFonts w:ascii="宋体" w:hAnsi="宋体"/>
          <w:color w:val="auto"/>
          <w:szCs w:val="21"/>
          <w:highlight w:val="none"/>
        </w:rPr>
        <w:t>：</w:t>
      </w:r>
    </w:p>
    <w:p w14:paraId="1F1EDEF6">
      <w:pPr>
        <w:overflowPunct w:val="0"/>
        <w:adjustRightInd w:val="0"/>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（1）供应商在磋商开始后要求撤回</w:t>
      </w:r>
      <w:r>
        <w:rPr>
          <w:rFonts w:hint="eastAsia" w:ascii="宋体" w:hAnsi="宋体"/>
          <w:color w:val="auto"/>
          <w:szCs w:val="21"/>
          <w:highlight w:val="none"/>
        </w:rPr>
        <w:t>响应文件</w:t>
      </w:r>
      <w:r>
        <w:rPr>
          <w:rFonts w:ascii="宋体" w:hAnsi="宋体"/>
          <w:color w:val="auto"/>
          <w:szCs w:val="21"/>
          <w:highlight w:val="none"/>
        </w:rPr>
        <w:t>的；</w:t>
      </w:r>
    </w:p>
    <w:p w14:paraId="7E5C375D">
      <w:pPr>
        <w:overflowPunct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（2）成交后供应商无正当理由不与采购人或者采购代理机构签订合同的；</w:t>
      </w:r>
    </w:p>
    <w:p w14:paraId="32C4ED3D">
      <w:pPr>
        <w:overflowPunct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（3）成交供应商将成交项目转让给他人，或者在响应文件中未说明，且未经采购人同意，将成交项目分包给他人的；</w:t>
      </w:r>
    </w:p>
    <w:p w14:paraId="47CDF9C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（4）成交供应商拒绝履行合同义务的。</w:t>
      </w:r>
    </w:p>
    <w:p w14:paraId="43F41F1C">
      <w:pPr>
        <w:snapToGrid w:val="0"/>
        <w:spacing w:line="360" w:lineRule="auto"/>
        <w:ind w:firstLine="420" w:firstLineChars="200"/>
        <w:jc w:val="left"/>
        <w:rPr>
          <w:rFonts w:hint="eastAsia" w:ascii="宋体" w:hAnsi="宋体"/>
          <w:color w:val="auto"/>
          <w:szCs w:val="21"/>
          <w:highlight w:val="none"/>
        </w:rPr>
      </w:pPr>
    </w:p>
    <w:p w14:paraId="075A4A85">
      <w:pPr>
        <w:pStyle w:val="4"/>
        <w:spacing w:before="0" w:after="0"/>
        <w:rPr>
          <w:rFonts w:hint="eastAsia" w:ascii="宋体" w:hAnsi="宋体"/>
          <w:color w:val="auto"/>
          <w:sz w:val="24"/>
          <w:szCs w:val="24"/>
          <w:highlight w:val="none"/>
        </w:rPr>
      </w:pPr>
      <w:bookmarkStart w:id="303" w:name="_Toc82683108"/>
      <w:bookmarkStart w:id="304" w:name="_Toc28407"/>
      <w:bookmarkStart w:id="305" w:name="_Toc179645107"/>
      <w:bookmarkStart w:id="306" w:name="_Toc83328599"/>
      <w:bookmarkStart w:id="307" w:name="_Toc46765026"/>
      <w:bookmarkStart w:id="308" w:name="_Toc174031528"/>
      <w:bookmarkStart w:id="309" w:name="_Toc174031442"/>
      <w:bookmarkStart w:id="310" w:name="_Toc5652"/>
      <w:bookmarkStart w:id="311" w:name="_Toc86124061"/>
      <w:r>
        <w:rPr>
          <w:rFonts w:hint="eastAsia" w:ascii="宋体" w:hAnsi="宋体"/>
          <w:color w:val="auto"/>
          <w:sz w:val="24"/>
          <w:szCs w:val="24"/>
          <w:highlight w:val="none"/>
        </w:rPr>
        <w:t>四、响应文件的提交</w:t>
      </w:r>
      <w:bookmarkEnd w:id="303"/>
      <w:bookmarkEnd w:id="304"/>
      <w:bookmarkEnd w:id="305"/>
      <w:bookmarkEnd w:id="306"/>
      <w:bookmarkEnd w:id="307"/>
      <w:bookmarkEnd w:id="308"/>
      <w:bookmarkEnd w:id="309"/>
      <w:bookmarkEnd w:id="310"/>
      <w:bookmarkEnd w:id="311"/>
    </w:p>
    <w:p w14:paraId="2DE97F86">
      <w:pPr>
        <w:pStyle w:val="5"/>
        <w:tabs>
          <w:tab w:val="left" w:pos="360"/>
        </w:tabs>
        <w:snapToGrid w:val="0"/>
        <w:spacing w:before="0" w:after="0"/>
        <w:ind w:firstLine="0" w:firstLineChars="0"/>
        <w:jc w:val="left"/>
        <w:rPr>
          <w:rFonts w:hint="eastAsia" w:hAnsi="宋体"/>
          <w:color w:val="auto"/>
          <w:sz w:val="21"/>
          <w:szCs w:val="21"/>
          <w:highlight w:val="none"/>
        </w:rPr>
      </w:pPr>
      <w:bookmarkStart w:id="312" w:name="_Toc174031443"/>
      <w:bookmarkStart w:id="313" w:name="_Toc86124062"/>
      <w:bookmarkStart w:id="314" w:name="_Toc174031529"/>
      <w:bookmarkStart w:id="315" w:name="_Toc432194842"/>
      <w:bookmarkStart w:id="316" w:name="_Toc383175068"/>
      <w:bookmarkStart w:id="317" w:name="_Toc83328600"/>
      <w:bookmarkStart w:id="318" w:name="_Toc82683109"/>
      <w:bookmarkStart w:id="319" w:name="_Toc7665"/>
      <w:bookmarkStart w:id="320" w:name="_Toc383175292"/>
      <w:bookmarkStart w:id="321" w:name="_Toc329810202"/>
      <w:bookmarkStart w:id="322" w:name="_Toc516501410"/>
      <w:bookmarkStart w:id="323" w:name="_Toc46765027"/>
      <w:bookmarkStart w:id="324" w:name="_Toc383175490"/>
      <w:bookmarkStart w:id="325" w:name="_Toc7849"/>
      <w:bookmarkStart w:id="326" w:name="_Toc432106491"/>
      <w:bookmarkStart w:id="327" w:name="_Toc179645108"/>
      <w:r>
        <w:rPr>
          <w:rFonts w:hint="eastAsia" w:hAnsi="宋体"/>
          <w:color w:val="auto"/>
          <w:sz w:val="21"/>
          <w:szCs w:val="21"/>
          <w:highlight w:val="none"/>
        </w:rPr>
        <w:t>16.响应文件的密封与标记</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1CDFBC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16.1 供应商进行电子交易应安装客户端软件—</w:t>
      </w:r>
      <w:r>
        <w:rPr>
          <w:rFonts w:hint="eastAsia" w:ascii="宋体" w:hAnsi="宋体"/>
          <w:b/>
          <w:bCs/>
          <w:color w:val="auto"/>
          <w:szCs w:val="21"/>
          <w:highlight w:val="none"/>
        </w:rPr>
        <w:t>“政采云电子交易客户端”</w:t>
      </w:r>
      <w:r>
        <w:rPr>
          <w:rFonts w:hint="eastAsia" w:ascii="宋体" w:hAnsi="宋体"/>
          <w:color w:val="auto"/>
          <w:szCs w:val="21"/>
          <w:highlight w:val="none"/>
        </w:rPr>
        <w:t>，并按照磋商文件和电子交易平台的要求编制并加密响应文件。供应商未按规定加密的响应文件，电子交易平台将拒收并提示。</w:t>
      </w:r>
    </w:p>
    <w:p w14:paraId="0641527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16.2 使用</w:t>
      </w:r>
      <w:r>
        <w:rPr>
          <w:rFonts w:hint="eastAsia" w:ascii="宋体" w:hAnsi="宋体"/>
          <w:b/>
          <w:bCs/>
          <w:color w:val="auto"/>
          <w:szCs w:val="21"/>
          <w:highlight w:val="none"/>
        </w:rPr>
        <w:t>“政采云电子交易客户端”</w:t>
      </w:r>
      <w:r>
        <w:rPr>
          <w:rFonts w:hint="eastAsia" w:ascii="宋体" w:hAnsi="宋体"/>
          <w:color w:val="auto"/>
          <w:szCs w:val="21"/>
          <w:highlight w:val="none"/>
        </w:rPr>
        <w:t>需要提前申领 CA 数字证书，CA申领链接：https://middle.zcygov.cn/ca/apply/list?_app_=zcy.sys。</w:t>
      </w:r>
    </w:p>
    <w:p w14:paraId="13068B0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16.3 为确保网上操作合法、有效和安全，供应商应当在响应文件提交截止时间前完成在</w:t>
      </w:r>
      <w:r>
        <w:rPr>
          <w:rFonts w:hint="eastAsia" w:ascii="宋体" w:hAnsi="宋体"/>
          <w:b/>
          <w:bCs/>
          <w:color w:val="auto"/>
          <w:szCs w:val="21"/>
          <w:highlight w:val="none"/>
        </w:rPr>
        <w:t>“政府采购云平台”</w:t>
      </w:r>
      <w:r>
        <w:rPr>
          <w:rFonts w:hint="eastAsia" w:ascii="宋体" w:hAnsi="宋体"/>
          <w:color w:val="auto"/>
          <w:szCs w:val="21"/>
          <w:highlight w:val="none"/>
        </w:rPr>
        <w:t>的身份认证，确保在电子交易过程中能够对相关数据电文进行加密和使用电子签名。</w:t>
      </w:r>
    </w:p>
    <w:p w14:paraId="7D0FA064">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17.递交响应文件的截止时间和地点</w:t>
      </w:r>
    </w:p>
    <w:p w14:paraId="5B89264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17.1 响应文件的递交/上传不得迟于</w:t>
      </w:r>
      <w:r>
        <w:rPr>
          <w:rFonts w:hint="eastAsia" w:ascii="宋体" w:hAnsi="宋体"/>
          <w:b/>
          <w:bCs/>
          <w:color w:val="auto"/>
          <w:szCs w:val="21"/>
          <w:highlight w:val="none"/>
        </w:rPr>
        <w:t>“供应商须知前附表”</w:t>
      </w:r>
      <w:r>
        <w:rPr>
          <w:rFonts w:hint="eastAsia" w:ascii="宋体" w:hAnsi="宋体"/>
          <w:color w:val="auto"/>
          <w:szCs w:val="21"/>
          <w:highlight w:val="none"/>
        </w:rPr>
        <w:t>规定的递交响应文件截止时间。逾期送达/上传的响应文件，采购人不予接收。</w:t>
      </w:r>
    </w:p>
    <w:p w14:paraId="378E0E5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17.2 供应商必须在规定时间内将响应文件递交/上传到</w:t>
      </w:r>
      <w:r>
        <w:rPr>
          <w:rFonts w:hint="eastAsia" w:ascii="宋体" w:hAnsi="宋体"/>
          <w:b/>
          <w:bCs/>
          <w:color w:val="auto"/>
          <w:szCs w:val="21"/>
          <w:highlight w:val="none"/>
        </w:rPr>
        <w:t>“供应商须知前附表”</w:t>
      </w:r>
      <w:r>
        <w:rPr>
          <w:rFonts w:hint="eastAsia" w:ascii="宋体" w:hAnsi="宋体"/>
          <w:color w:val="auto"/>
          <w:szCs w:val="21"/>
          <w:highlight w:val="none"/>
        </w:rPr>
        <w:t>规定的地点。</w:t>
      </w:r>
    </w:p>
    <w:p w14:paraId="5FC9014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17.3 除</w:t>
      </w:r>
      <w:r>
        <w:rPr>
          <w:rFonts w:hint="eastAsia" w:ascii="宋体" w:hAnsi="宋体"/>
          <w:b/>
          <w:bCs/>
          <w:color w:val="auto"/>
          <w:szCs w:val="21"/>
          <w:highlight w:val="none"/>
        </w:rPr>
        <w:t>“供应商须知前附表”</w:t>
      </w:r>
      <w:r>
        <w:rPr>
          <w:rFonts w:hint="eastAsia" w:ascii="宋体" w:hAnsi="宋体"/>
          <w:color w:val="auto"/>
          <w:szCs w:val="21"/>
          <w:highlight w:val="none"/>
        </w:rPr>
        <w:t>另有规定外，供应商所递交的响应文件不予退还。</w:t>
      </w:r>
    </w:p>
    <w:p w14:paraId="3D442E82">
      <w:pPr>
        <w:snapToGrid w:val="0"/>
        <w:spacing w:line="360" w:lineRule="auto"/>
        <w:ind w:firstLine="420" w:firstLineChars="200"/>
        <w:jc w:val="left"/>
        <w:rPr>
          <w:rFonts w:hint="eastAsia" w:ascii="宋体" w:hAnsi="宋体"/>
          <w:color w:val="auto"/>
          <w:szCs w:val="21"/>
          <w:highlight w:val="none"/>
        </w:rPr>
      </w:pPr>
    </w:p>
    <w:p w14:paraId="7BB8FFE6">
      <w:pPr>
        <w:pStyle w:val="4"/>
        <w:spacing w:before="0" w:after="0"/>
        <w:rPr>
          <w:rFonts w:hint="eastAsia" w:ascii="宋体" w:hAnsi="宋体"/>
          <w:color w:val="auto"/>
          <w:sz w:val="24"/>
          <w:szCs w:val="24"/>
          <w:highlight w:val="none"/>
        </w:rPr>
      </w:pPr>
      <w:bookmarkStart w:id="328" w:name="_Toc82683111"/>
      <w:bookmarkStart w:id="329" w:name="_Toc86124064"/>
      <w:bookmarkStart w:id="330" w:name="_Toc28385"/>
      <w:bookmarkStart w:id="331" w:name="_Toc46765029"/>
      <w:bookmarkStart w:id="332" w:name="_Toc174031530"/>
      <w:bookmarkStart w:id="333" w:name="_Toc83328602"/>
      <w:bookmarkStart w:id="334" w:name="_Toc21102"/>
      <w:bookmarkStart w:id="335" w:name="_Toc174031444"/>
      <w:bookmarkStart w:id="336" w:name="_Toc179645109"/>
      <w:r>
        <w:rPr>
          <w:rFonts w:hint="eastAsia" w:ascii="宋体" w:hAnsi="宋体"/>
          <w:color w:val="auto"/>
          <w:sz w:val="24"/>
          <w:szCs w:val="24"/>
          <w:highlight w:val="none"/>
        </w:rPr>
        <w:t>五、磋商</w:t>
      </w:r>
      <w:bookmarkEnd w:id="328"/>
      <w:bookmarkEnd w:id="329"/>
      <w:bookmarkEnd w:id="330"/>
      <w:bookmarkEnd w:id="331"/>
      <w:bookmarkEnd w:id="332"/>
      <w:bookmarkEnd w:id="333"/>
      <w:bookmarkEnd w:id="334"/>
      <w:bookmarkEnd w:id="335"/>
      <w:bookmarkEnd w:id="336"/>
    </w:p>
    <w:p w14:paraId="033E101F">
      <w:pPr>
        <w:pStyle w:val="5"/>
        <w:tabs>
          <w:tab w:val="left" w:pos="360"/>
        </w:tabs>
        <w:snapToGrid w:val="0"/>
        <w:spacing w:before="0" w:after="0"/>
        <w:ind w:firstLine="0" w:firstLineChars="0"/>
        <w:jc w:val="left"/>
        <w:rPr>
          <w:rFonts w:hint="eastAsia" w:hAnsi="宋体"/>
          <w:color w:val="auto"/>
          <w:sz w:val="21"/>
          <w:szCs w:val="21"/>
          <w:highlight w:val="none"/>
        </w:rPr>
      </w:pPr>
      <w:bookmarkStart w:id="337" w:name="_Toc83328603"/>
      <w:bookmarkStart w:id="338" w:name="_Toc432194845"/>
      <w:bookmarkStart w:id="339" w:name="_Toc20416"/>
      <w:bookmarkStart w:id="340" w:name="_Toc516501413"/>
      <w:bookmarkStart w:id="341" w:name="_Toc174031445"/>
      <w:bookmarkStart w:id="342" w:name="_Toc46765030"/>
      <w:bookmarkStart w:id="343" w:name="_Toc179645110"/>
      <w:bookmarkStart w:id="344" w:name="_Toc82683112"/>
      <w:bookmarkStart w:id="345" w:name="_Toc4222"/>
      <w:bookmarkStart w:id="346" w:name="_Toc432106494"/>
      <w:bookmarkStart w:id="347" w:name="_Toc174031531"/>
      <w:r>
        <w:rPr>
          <w:rFonts w:hint="eastAsia" w:hAnsi="宋体"/>
          <w:color w:val="auto"/>
          <w:sz w:val="21"/>
          <w:szCs w:val="21"/>
          <w:highlight w:val="none"/>
        </w:rPr>
        <w:t>18.磋商</w:t>
      </w:r>
      <w:bookmarkEnd w:id="337"/>
      <w:bookmarkEnd w:id="338"/>
      <w:bookmarkEnd w:id="339"/>
      <w:bookmarkEnd w:id="340"/>
      <w:bookmarkEnd w:id="341"/>
      <w:bookmarkEnd w:id="342"/>
      <w:bookmarkEnd w:id="343"/>
      <w:bookmarkEnd w:id="344"/>
      <w:bookmarkEnd w:id="345"/>
      <w:bookmarkEnd w:id="346"/>
      <w:bookmarkEnd w:id="347"/>
    </w:p>
    <w:p w14:paraId="7EFD2896">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采购代理机构将在</w:t>
      </w:r>
      <w:r>
        <w:rPr>
          <w:rFonts w:ascii="宋体" w:hAnsi="宋体"/>
          <w:color w:val="auto"/>
          <w:szCs w:val="21"/>
          <w:highlight w:val="none"/>
        </w:rPr>
        <w:t>“</w:t>
      </w:r>
      <w:r>
        <w:rPr>
          <w:rFonts w:hint="eastAsia" w:ascii="宋体" w:hAnsi="宋体"/>
          <w:b/>
          <w:color w:val="auto"/>
          <w:szCs w:val="21"/>
          <w:highlight w:val="none"/>
        </w:rPr>
        <w:t>供应商须知前附表</w:t>
      </w:r>
      <w:r>
        <w:rPr>
          <w:rFonts w:ascii="宋体" w:hAnsi="宋体"/>
          <w:color w:val="auto"/>
          <w:szCs w:val="21"/>
          <w:highlight w:val="none"/>
        </w:rPr>
        <w:t>”</w:t>
      </w:r>
      <w:r>
        <w:rPr>
          <w:rFonts w:hint="eastAsia" w:ascii="宋体" w:hAnsi="宋体"/>
          <w:color w:val="auto"/>
          <w:szCs w:val="21"/>
          <w:highlight w:val="none"/>
        </w:rPr>
        <w:t>规定的时间和地点进行磋商，供应商的法定代表人或其委托代理人应按时参加。</w:t>
      </w:r>
    </w:p>
    <w:p w14:paraId="510AEC98">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 xml:space="preserve">.2 </w:t>
      </w:r>
      <w:r>
        <w:rPr>
          <w:rFonts w:hint="eastAsia" w:ascii="宋体" w:hAnsi="宋体"/>
          <w:color w:val="auto"/>
          <w:szCs w:val="21"/>
          <w:highlight w:val="none"/>
        </w:rPr>
        <w:t>磋商由磋商小组负责。磋商小组由采购人的代表和有关技术、经济等方面的专家组成，成员人数应当为3人或以上单数。其中，技术、经济等方面的专家不得少于成员总数的三分之二。磋商小组应当推选组长，但采购人代表不得担任组长。</w:t>
      </w:r>
    </w:p>
    <w:p w14:paraId="2B23559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采购人委派代表参加磋商会议的，要向采购代理机构出具授权函。</w:t>
      </w:r>
    </w:p>
    <w:p w14:paraId="0596670F">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 xml:space="preserve">.3 </w:t>
      </w:r>
      <w:r>
        <w:rPr>
          <w:rFonts w:hint="eastAsia" w:ascii="宋体" w:hAnsi="宋体"/>
          <w:color w:val="auto"/>
          <w:szCs w:val="21"/>
          <w:highlight w:val="none"/>
        </w:rPr>
        <w:t>磋商原则</w:t>
      </w:r>
    </w:p>
    <w:p w14:paraId="75FC5395">
      <w:pPr>
        <w:tabs>
          <w:tab w:val="left" w:pos="7980"/>
        </w:tabs>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磋商小组对各供应商的响应文件进行详细评审。磋商小组按照得分的高低推荐成交候选人，推荐成交候选人3人，并标明排列顺序。</w:t>
      </w:r>
    </w:p>
    <w:p w14:paraId="6C1F709D">
      <w:pPr>
        <w:tabs>
          <w:tab w:val="left" w:pos="7980"/>
        </w:tabs>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 xml:space="preserve">.4 </w:t>
      </w:r>
      <w:r>
        <w:rPr>
          <w:rFonts w:hint="eastAsia" w:ascii="宋体" w:hAnsi="宋体"/>
          <w:color w:val="auto"/>
          <w:szCs w:val="21"/>
          <w:highlight w:val="none"/>
        </w:rPr>
        <w:t>磋商程序和方法</w:t>
      </w:r>
    </w:p>
    <w:p w14:paraId="0D30300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磋商小组按照第六章</w:t>
      </w:r>
      <w:r>
        <w:rPr>
          <w:rFonts w:ascii="宋体" w:hAnsi="宋体"/>
          <w:color w:val="auto"/>
          <w:szCs w:val="21"/>
          <w:highlight w:val="none"/>
        </w:rPr>
        <w:t>“</w:t>
      </w:r>
      <w:r>
        <w:rPr>
          <w:rFonts w:hint="eastAsia" w:ascii="宋体" w:hAnsi="宋体"/>
          <w:color w:val="auto"/>
          <w:szCs w:val="21"/>
          <w:highlight w:val="none"/>
        </w:rPr>
        <w:t>磋商程序和方法</w:t>
      </w:r>
      <w:r>
        <w:rPr>
          <w:rFonts w:ascii="宋体" w:hAnsi="宋体"/>
          <w:color w:val="auto"/>
          <w:szCs w:val="21"/>
          <w:highlight w:val="none"/>
        </w:rPr>
        <w:t>”</w:t>
      </w:r>
      <w:r>
        <w:rPr>
          <w:rFonts w:hint="eastAsia" w:ascii="宋体" w:hAnsi="宋体"/>
          <w:color w:val="auto"/>
          <w:szCs w:val="21"/>
          <w:highlight w:val="none"/>
        </w:rPr>
        <w:t>规定的方法、因素、标准和程序进行磋商。</w:t>
      </w:r>
    </w:p>
    <w:p w14:paraId="0CAFFD53">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5磋商文件</w:t>
      </w:r>
      <w:r>
        <w:rPr>
          <w:rFonts w:hint="eastAsia" w:ascii="宋体" w:hAnsi="宋体"/>
          <w:b/>
          <w:color w:val="auto"/>
          <w:szCs w:val="21"/>
          <w:highlight w:val="none"/>
          <w:u w:val="single"/>
        </w:rPr>
        <w:t>第六章</w:t>
      </w:r>
      <w:r>
        <w:rPr>
          <w:rFonts w:ascii="宋体" w:hAnsi="宋体"/>
          <w:b/>
          <w:color w:val="auto"/>
          <w:szCs w:val="21"/>
          <w:highlight w:val="none"/>
          <w:u w:val="single"/>
        </w:rPr>
        <w:t>“</w:t>
      </w:r>
      <w:r>
        <w:rPr>
          <w:rFonts w:hint="eastAsia" w:ascii="宋体" w:hAnsi="宋体"/>
          <w:b/>
          <w:color w:val="auto"/>
          <w:szCs w:val="21"/>
          <w:highlight w:val="none"/>
          <w:u w:val="single"/>
        </w:rPr>
        <w:t>磋商程序和方法</w:t>
      </w:r>
      <w:r>
        <w:rPr>
          <w:rFonts w:ascii="宋体" w:hAnsi="宋体"/>
          <w:b/>
          <w:color w:val="auto"/>
          <w:szCs w:val="21"/>
          <w:highlight w:val="none"/>
          <w:u w:val="single"/>
        </w:rPr>
        <w:t>”</w:t>
      </w:r>
      <w:r>
        <w:rPr>
          <w:rFonts w:hint="eastAsia" w:ascii="宋体" w:hAnsi="宋体"/>
          <w:b/>
          <w:color w:val="auto"/>
          <w:szCs w:val="21"/>
          <w:highlight w:val="none"/>
          <w:u w:val="single"/>
        </w:rPr>
        <w:t>前附表第</w:t>
      </w:r>
      <w:r>
        <w:rPr>
          <w:rFonts w:ascii="宋体" w:hAnsi="宋体"/>
          <w:b/>
          <w:color w:val="auto"/>
          <w:szCs w:val="21"/>
          <w:highlight w:val="none"/>
          <w:u w:val="single"/>
        </w:rPr>
        <w:t>2.1.1</w:t>
      </w:r>
      <w:r>
        <w:rPr>
          <w:rFonts w:hint="eastAsia" w:ascii="宋体" w:hAnsi="宋体"/>
          <w:b/>
          <w:color w:val="auto"/>
          <w:szCs w:val="21"/>
          <w:highlight w:val="none"/>
          <w:u w:val="single"/>
        </w:rPr>
        <w:t>、</w:t>
      </w:r>
      <w:r>
        <w:rPr>
          <w:rFonts w:ascii="宋体" w:hAnsi="宋体"/>
          <w:b/>
          <w:color w:val="auto"/>
          <w:szCs w:val="21"/>
          <w:highlight w:val="none"/>
          <w:u w:val="single"/>
        </w:rPr>
        <w:t>2.1.2</w:t>
      </w:r>
      <w:r>
        <w:rPr>
          <w:rFonts w:hint="eastAsia" w:ascii="宋体" w:hAnsi="宋体"/>
          <w:b/>
          <w:color w:val="auto"/>
          <w:szCs w:val="21"/>
          <w:highlight w:val="none"/>
          <w:u w:val="single"/>
        </w:rPr>
        <w:t>款实质性评审标准为磋商文件的实质性内容，未实质性响应磋商文件的供应商的响应文件将按无效处理，该供应商不得再继续参加磋商</w:t>
      </w:r>
      <w:r>
        <w:rPr>
          <w:rFonts w:hint="eastAsia" w:ascii="宋体" w:hAnsi="宋体"/>
          <w:color w:val="auto"/>
          <w:szCs w:val="21"/>
          <w:highlight w:val="none"/>
        </w:rPr>
        <w:t>。</w:t>
      </w:r>
    </w:p>
    <w:p w14:paraId="56961F22">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354E3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0067F48">
      <w:pPr>
        <w:snapToGrid w:val="0"/>
        <w:spacing w:line="360" w:lineRule="auto"/>
        <w:ind w:firstLine="422" w:firstLineChars="200"/>
        <w:jc w:val="left"/>
        <w:rPr>
          <w:rFonts w:hint="eastAsia" w:ascii="宋体" w:hAnsi="宋体"/>
          <w:b/>
          <w:bCs/>
          <w:color w:val="auto"/>
          <w:szCs w:val="21"/>
          <w:highlight w:val="none"/>
        </w:rPr>
      </w:pPr>
      <w:r>
        <w:rPr>
          <w:rFonts w:ascii="宋体" w:hAnsi="宋体"/>
          <w:b/>
          <w:bCs/>
          <w:color w:val="auto"/>
          <w:highlight w:val="none"/>
        </w:rPr>
        <w:t>1</w:t>
      </w:r>
      <w:r>
        <w:rPr>
          <w:rFonts w:hint="eastAsia" w:ascii="宋体" w:hAnsi="宋体"/>
          <w:b/>
          <w:bCs/>
          <w:color w:val="auto"/>
          <w:highlight w:val="none"/>
        </w:rPr>
        <w:t>8</w:t>
      </w:r>
      <w:r>
        <w:rPr>
          <w:rFonts w:ascii="宋体" w:hAnsi="宋体"/>
          <w:b/>
          <w:bCs/>
          <w:color w:val="auto"/>
          <w:highlight w:val="none"/>
        </w:rPr>
        <w:t>.7</w:t>
      </w:r>
      <w:r>
        <w:rPr>
          <w:rFonts w:hint="eastAsia" w:ascii="宋体" w:hAnsi="宋体"/>
          <w:b/>
          <w:bCs/>
          <w:color w:val="auto"/>
          <w:highlight w:val="none"/>
        </w:rPr>
        <w:t xml:space="preserve"> 响应文件解密</w:t>
      </w:r>
    </w:p>
    <w:p w14:paraId="644DA4D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采购代理机构将在</w:t>
      </w:r>
      <w:r>
        <w:rPr>
          <w:rFonts w:hint="eastAsia" w:ascii="宋体" w:hAnsi="宋体"/>
          <w:b/>
          <w:bCs/>
          <w:color w:val="auto"/>
          <w:szCs w:val="21"/>
          <w:highlight w:val="none"/>
        </w:rPr>
        <w:t>“供应商须知前附表”</w:t>
      </w:r>
      <w:r>
        <w:rPr>
          <w:rFonts w:hint="eastAsia" w:ascii="宋体" w:hAnsi="宋体"/>
          <w:color w:val="auto"/>
          <w:szCs w:val="21"/>
          <w:highlight w:val="none"/>
        </w:rPr>
        <w:t xml:space="preserve">规定的磋商时间通过电子交易平台组织响应文件开启，采购机构依托电子交易平台发起开始解密指令，供应商的法定代表人或其委托代理人须携带加密时所用的 CA锁按平台提示和采购文件的规定登录到“政采云”平台电子开标大厅签到，并在发起解密指令之时起 30分钟内完成对电子响应文件在线解密。发起解密指令之时起 5 分钟内供应商还未进行解密的，代理机构可通知供应商，供应商没预留联系方式或预留联系方式无效，导致代理机构无法联系到供应商进行解密的，视为撤回响应文件。（解密异常情况处理：详见本章 </w:t>
      </w: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.8</w:t>
      </w:r>
      <w:r>
        <w:rPr>
          <w:rFonts w:hint="eastAsia" w:ascii="宋体" w:hAnsi="宋体"/>
          <w:color w:val="auto"/>
          <w:szCs w:val="21"/>
          <w:highlight w:val="none"/>
        </w:rPr>
        <w:t xml:space="preserve"> 电子交易活动的中止。）如供应商成功解密响应文件，但未在“政采云”电子开标大厅参加磋商的，视同认可磋商过程和结果，由此产生的后果由供应商自行负责。</w:t>
      </w:r>
    </w:p>
    <w:p w14:paraId="11B93149">
      <w:pPr>
        <w:pStyle w:val="21"/>
        <w:adjustRightInd w:val="0"/>
        <w:snapToGrid w:val="0"/>
        <w:spacing w:beforeLines="0" w:line="360" w:lineRule="auto"/>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8</w:t>
      </w:r>
      <w:r>
        <w:rPr>
          <w:rFonts w:hAnsi="宋体"/>
          <w:color w:val="auto"/>
          <w:highlight w:val="none"/>
        </w:rPr>
        <w:t>.8</w:t>
      </w:r>
      <w:r>
        <w:rPr>
          <w:rFonts w:hint="eastAsia" w:hAnsi="宋体"/>
          <w:color w:val="auto"/>
          <w:highlight w:val="none"/>
        </w:rPr>
        <w:t xml:space="preserve"> 电子交易活动的中止。采购过程中出现以下情形，导致电子交易平台无法正常运行，或者无法保证电子交易的公平、公正和安全时，采购机构可中止电子交易活动：</w:t>
      </w:r>
    </w:p>
    <w:p w14:paraId="08A46FF3">
      <w:pPr>
        <w:pStyle w:val="21"/>
        <w:adjustRightInd w:val="0"/>
        <w:snapToGrid w:val="0"/>
        <w:spacing w:beforeLines="0" w:line="360" w:lineRule="auto"/>
        <w:ind w:firstLine="420"/>
        <w:jc w:val="left"/>
        <w:rPr>
          <w:rFonts w:hint="eastAsia" w:hAnsi="宋体"/>
          <w:color w:val="auto"/>
          <w:highlight w:val="none"/>
        </w:rPr>
      </w:pPr>
      <w:r>
        <w:rPr>
          <w:rFonts w:hint="eastAsia" w:hAnsi="宋体"/>
          <w:color w:val="auto"/>
          <w:highlight w:val="none"/>
        </w:rPr>
        <w:t>（1）电子交易平台发生故障而无法登录访问的；</w:t>
      </w:r>
    </w:p>
    <w:p w14:paraId="27677A1F">
      <w:pPr>
        <w:pStyle w:val="21"/>
        <w:adjustRightInd w:val="0"/>
        <w:snapToGrid w:val="0"/>
        <w:spacing w:beforeLines="0" w:line="360" w:lineRule="auto"/>
        <w:ind w:firstLine="420"/>
        <w:jc w:val="left"/>
        <w:rPr>
          <w:rFonts w:hint="eastAsia" w:hAnsi="宋体"/>
          <w:color w:val="auto"/>
          <w:highlight w:val="none"/>
        </w:rPr>
      </w:pPr>
      <w:r>
        <w:rPr>
          <w:rFonts w:hint="eastAsia" w:hAnsi="宋体"/>
          <w:color w:val="auto"/>
          <w:highlight w:val="none"/>
        </w:rPr>
        <w:t>（2）电子交易平台应用或数据库出现错误，不能进行正常操作的；</w:t>
      </w:r>
    </w:p>
    <w:p w14:paraId="47C4BD9F">
      <w:pPr>
        <w:pStyle w:val="21"/>
        <w:adjustRightInd w:val="0"/>
        <w:snapToGrid w:val="0"/>
        <w:spacing w:beforeLines="0" w:line="360" w:lineRule="auto"/>
        <w:ind w:firstLine="420"/>
        <w:jc w:val="left"/>
        <w:rPr>
          <w:rFonts w:hint="eastAsia" w:hAnsi="宋体"/>
          <w:color w:val="auto"/>
          <w:highlight w:val="none"/>
        </w:rPr>
      </w:pPr>
      <w:r>
        <w:rPr>
          <w:rFonts w:hint="eastAsia" w:hAnsi="宋体"/>
          <w:color w:val="auto"/>
          <w:highlight w:val="none"/>
        </w:rPr>
        <w:t>（3）电子交易平台发现严重安全漏洞，有潜在泄密危险的；</w:t>
      </w:r>
    </w:p>
    <w:p w14:paraId="61AB45BD">
      <w:pPr>
        <w:pStyle w:val="21"/>
        <w:adjustRightInd w:val="0"/>
        <w:snapToGrid w:val="0"/>
        <w:spacing w:beforeLines="0" w:line="360" w:lineRule="auto"/>
        <w:ind w:firstLine="420"/>
        <w:jc w:val="left"/>
        <w:rPr>
          <w:rFonts w:hint="eastAsia" w:hAnsi="宋体"/>
          <w:color w:val="auto"/>
          <w:highlight w:val="none"/>
        </w:rPr>
      </w:pPr>
      <w:r>
        <w:rPr>
          <w:rFonts w:hint="eastAsia" w:hAnsi="宋体"/>
          <w:color w:val="auto"/>
          <w:highlight w:val="none"/>
        </w:rPr>
        <w:t>（4）病毒发作导致不能进行正常操作的；</w:t>
      </w:r>
    </w:p>
    <w:p w14:paraId="029F60B8">
      <w:pPr>
        <w:pStyle w:val="21"/>
        <w:adjustRightInd w:val="0"/>
        <w:snapToGrid w:val="0"/>
        <w:spacing w:beforeLines="0" w:line="360" w:lineRule="auto"/>
        <w:ind w:firstLine="420"/>
        <w:jc w:val="left"/>
        <w:rPr>
          <w:rFonts w:hint="eastAsia" w:hAnsi="宋体"/>
          <w:color w:val="auto"/>
          <w:highlight w:val="none"/>
        </w:rPr>
      </w:pPr>
      <w:r>
        <w:rPr>
          <w:rFonts w:hint="eastAsia" w:hAnsi="宋体"/>
          <w:color w:val="auto"/>
          <w:highlight w:val="none"/>
        </w:rPr>
        <w:t>（5）其他无法保证电子交易的公平、公正和安全的情况。</w:t>
      </w:r>
    </w:p>
    <w:p w14:paraId="374E2C64">
      <w:pPr>
        <w:pStyle w:val="21"/>
        <w:adjustRightInd w:val="0"/>
        <w:snapToGrid w:val="0"/>
        <w:spacing w:beforeLines="0" w:line="360" w:lineRule="auto"/>
        <w:ind w:firstLine="420"/>
        <w:rPr>
          <w:rFonts w:hint="eastAsia" w:hAnsi="宋体"/>
          <w:color w:val="auto"/>
          <w:highlight w:val="none"/>
        </w:rPr>
      </w:pPr>
      <w:r>
        <w:rPr>
          <w:rFonts w:hAnsi="宋体"/>
          <w:color w:val="auto"/>
          <w:highlight w:val="none"/>
        </w:rPr>
        <w:t>1</w:t>
      </w:r>
      <w:r>
        <w:rPr>
          <w:rFonts w:hint="eastAsia" w:hAnsi="宋体"/>
          <w:color w:val="auto"/>
          <w:highlight w:val="none"/>
        </w:rPr>
        <w:t>8</w:t>
      </w:r>
      <w:r>
        <w:rPr>
          <w:rFonts w:hAnsi="宋体"/>
          <w:color w:val="auto"/>
          <w:highlight w:val="none"/>
        </w:rPr>
        <w:t>.9</w:t>
      </w:r>
      <w:r>
        <w:rPr>
          <w:rFonts w:hint="eastAsia" w:hAnsi="宋体"/>
          <w:color w:val="auto"/>
          <w:highlight w:val="none"/>
        </w:rPr>
        <w:t xml:space="preserve">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D09BEFD">
      <w:pPr>
        <w:pStyle w:val="5"/>
        <w:tabs>
          <w:tab w:val="left" w:pos="360"/>
        </w:tabs>
        <w:snapToGrid w:val="0"/>
        <w:spacing w:before="0" w:after="0"/>
        <w:ind w:firstLine="0" w:firstLineChars="0"/>
        <w:jc w:val="left"/>
        <w:rPr>
          <w:rFonts w:hint="eastAsia" w:hAnsi="宋体"/>
          <w:color w:val="auto"/>
          <w:sz w:val="21"/>
          <w:szCs w:val="21"/>
          <w:highlight w:val="none"/>
        </w:rPr>
      </w:pPr>
      <w:bookmarkStart w:id="348" w:name="_Toc383175296"/>
      <w:bookmarkStart w:id="349" w:name="_Toc432106495"/>
      <w:bookmarkStart w:id="350" w:name="_Toc174031532"/>
      <w:bookmarkStart w:id="351" w:name="_Toc383175494"/>
      <w:bookmarkStart w:id="352" w:name="_Toc432194846"/>
      <w:bookmarkStart w:id="353" w:name="_Toc4542"/>
      <w:bookmarkStart w:id="354" w:name="_Toc82683113"/>
      <w:bookmarkStart w:id="355" w:name="_Toc46765031"/>
      <w:bookmarkStart w:id="356" w:name="_Toc83328604"/>
      <w:bookmarkStart w:id="357" w:name="_Toc383175072"/>
      <w:bookmarkStart w:id="358" w:name="_Toc174031446"/>
      <w:bookmarkStart w:id="359" w:name="_Toc86124067"/>
      <w:bookmarkStart w:id="360" w:name="_Toc516501414"/>
      <w:bookmarkStart w:id="361" w:name="_Toc9289"/>
      <w:bookmarkStart w:id="362" w:name="_Toc329810207"/>
      <w:bookmarkStart w:id="363" w:name="_Toc179645111"/>
      <w:r>
        <w:rPr>
          <w:rFonts w:hint="eastAsia" w:hAnsi="宋体"/>
          <w:color w:val="auto"/>
          <w:sz w:val="21"/>
          <w:szCs w:val="21"/>
          <w:highlight w:val="none"/>
        </w:rPr>
        <w:t>19.磋商过程的保密</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09F0C56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14:paraId="74D1E3EB">
      <w:pPr>
        <w:pStyle w:val="5"/>
        <w:tabs>
          <w:tab w:val="left" w:pos="360"/>
        </w:tabs>
        <w:snapToGrid w:val="0"/>
        <w:spacing w:before="0" w:after="0"/>
        <w:ind w:firstLine="0" w:firstLineChars="0"/>
        <w:jc w:val="left"/>
        <w:rPr>
          <w:rFonts w:hint="eastAsia" w:hAnsi="宋体"/>
          <w:color w:val="auto"/>
          <w:sz w:val="21"/>
          <w:szCs w:val="21"/>
          <w:highlight w:val="none"/>
        </w:rPr>
      </w:pPr>
      <w:bookmarkStart w:id="364" w:name="_Toc82683114"/>
      <w:bookmarkStart w:id="365" w:name="_Toc12469"/>
      <w:bookmarkStart w:id="366" w:name="_Toc329810208"/>
      <w:bookmarkStart w:id="367" w:name="_Toc432194847"/>
      <w:bookmarkStart w:id="368" w:name="_Toc383175073"/>
      <w:bookmarkStart w:id="369" w:name="_Toc383175495"/>
      <w:bookmarkStart w:id="370" w:name="_Toc516501415"/>
      <w:bookmarkStart w:id="371" w:name="_Toc46765032"/>
      <w:bookmarkStart w:id="372" w:name="_Toc174031447"/>
      <w:bookmarkStart w:id="373" w:name="_Toc83328605"/>
      <w:bookmarkStart w:id="374" w:name="_Toc86124068"/>
      <w:bookmarkStart w:id="375" w:name="_Toc16122"/>
      <w:bookmarkStart w:id="376" w:name="_Toc174031533"/>
      <w:bookmarkStart w:id="377" w:name="_Toc383175297"/>
      <w:bookmarkStart w:id="378" w:name="_Toc432106496"/>
      <w:bookmarkStart w:id="379" w:name="_Toc378499713"/>
      <w:bookmarkStart w:id="380" w:name="_Toc179645112"/>
      <w:r>
        <w:rPr>
          <w:rFonts w:hint="eastAsia" w:hAnsi="宋体"/>
          <w:color w:val="auto"/>
          <w:sz w:val="21"/>
          <w:szCs w:val="21"/>
          <w:highlight w:val="none"/>
        </w:rPr>
        <w:t>20.出现下列情形之一的，将终止竞争性磋商采购活动，并发布项目终止公告并说明原因，重新开展采购活动：</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3321B6F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）因情况变化，不再符合规定的竞争性磋商采购方式适用情形的；</w:t>
      </w:r>
    </w:p>
    <w:p w14:paraId="2F7500A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）出现影响采购公正的违法、违规行为的；</w:t>
      </w:r>
    </w:p>
    <w:p w14:paraId="36A758E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）在采购过程中符合竞争要求的供应商或者</w:t>
      </w:r>
      <w:r>
        <w:rPr>
          <w:rFonts w:hint="eastAsia" w:ascii="宋体" w:hAnsi="宋体"/>
          <w:bCs/>
          <w:color w:val="auto"/>
          <w:szCs w:val="21"/>
          <w:highlight w:val="none"/>
        </w:rPr>
        <w:t>报价未超过采购预算的供应商不足</w:t>
      </w:r>
      <w:r>
        <w:rPr>
          <w:rFonts w:ascii="宋体" w:hAnsi="宋体"/>
          <w:bCs/>
          <w:color w:val="auto"/>
          <w:szCs w:val="21"/>
          <w:highlight w:val="none"/>
        </w:rPr>
        <w:t>3</w:t>
      </w:r>
      <w:r>
        <w:rPr>
          <w:rFonts w:hint="eastAsia" w:ascii="宋体" w:hAnsi="宋体"/>
          <w:bCs/>
          <w:color w:val="auto"/>
          <w:szCs w:val="21"/>
          <w:highlight w:val="none"/>
        </w:rPr>
        <w:t>家</w:t>
      </w:r>
      <w:r>
        <w:rPr>
          <w:rFonts w:hint="eastAsia" w:ascii="宋体" w:hAnsi="宋体"/>
          <w:color w:val="auto"/>
          <w:szCs w:val="21"/>
          <w:highlight w:val="none"/>
        </w:rPr>
        <w:t>的。</w:t>
      </w:r>
    </w:p>
    <w:p w14:paraId="4D0AFD12">
      <w:pPr>
        <w:snapToGrid w:val="0"/>
        <w:spacing w:line="360" w:lineRule="auto"/>
        <w:ind w:firstLine="422" w:firstLineChars="200"/>
        <w:jc w:val="left"/>
        <w:rPr>
          <w:rFonts w:hint="eastAsia" w:ascii="宋体" w:hAnsi="宋体"/>
          <w:color w:val="auto"/>
          <w:szCs w:val="21"/>
          <w:highlight w:val="none"/>
        </w:rPr>
      </w:pPr>
      <w:r>
        <w:rPr>
          <w:rFonts w:hint="eastAsia" w:ascii="宋体" w:hAnsi="宋体"/>
          <w:b/>
          <w:color w:val="auto"/>
          <w:szCs w:val="21"/>
          <w:highlight w:val="none"/>
        </w:rPr>
        <w:t>注：采用竞争性磋商采购方式采购的政府购买服务项目（含政府和社会资本合作项目），在采购过程中符合要求的供应商（社会资本）只有2家的，竞争性磋商采购活动可以继续进行。</w:t>
      </w:r>
    </w:p>
    <w:p w14:paraId="399B833E">
      <w:pPr>
        <w:snapToGrid w:val="0"/>
        <w:rPr>
          <w:rFonts w:hint="eastAsia" w:ascii="宋体" w:hAnsi="宋体"/>
          <w:color w:val="auto"/>
          <w:szCs w:val="21"/>
          <w:highlight w:val="none"/>
        </w:rPr>
      </w:pPr>
      <w:bookmarkStart w:id="381" w:name="_Toc46765033"/>
      <w:bookmarkStart w:id="382" w:name="_Toc86124069"/>
    </w:p>
    <w:p w14:paraId="1E06A3FD">
      <w:pPr>
        <w:pStyle w:val="4"/>
        <w:spacing w:before="0" w:after="0"/>
        <w:rPr>
          <w:rFonts w:hint="eastAsia" w:ascii="宋体" w:hAnsi="宋体"/>
          <w:color w:val="auto"/>
          <w:sz w:val="24"/>
          <w:szCs w:val="24"/>
          <w:highlight w:val="none"/>
        </w:rPr>
      </w:pPr>
      <w:bookmarkStart w:id="383" w:name="_Toc174031448"/>
      <w:bookmarkStart w:id="384" w:name="_Toc82683115"/>
      <w:bookmarkStart w:id="385" w:name="_Toc179645113"/>
      <w:bookmarkStart w:id="386" w:name="_Toc83328606"/>
      <w:bookmarkStart w:id="387" w:name="_Toc24311"/>
      <w:bookmarkStart w:id="388" w:name="_Toc174031534"/>
      <w:bookmarkStart w:id="389" w:name="_Toc32555"/>
      <w:r>
        <w:rPr>
          <w:rFonts w:hint="eastAsia" w:ascii="宋体" w:hAnsi="宋体"/>
          <w:color w:val="auto"/>
          <w:sz w:val="24"/>
          <w:szCs w:val="24"/>
          <w:highlight w:val="none"/>
        </w:rPr>
        <w:t>六、成交结果</w:t>
      </w:r>
      <w:bookmarkEnd w:id="381"/>
      <w:bookmarkEnd w:id="382"/>
      <w:bookmarkEnd w:id="383"/>
      <w:bookmarkEnd w:id="384"/>
      <w:bookmarkEnd w:id="385"/>
      <w:bookmarkEnd w:id="386"/>
      <w:bookmarkEnd w:id="387"/>
      <w:bookmarkEnd w:id="388"/>
      <w:bookmarkEnd w:id="389"/>
    </w:p>
    <w:p w14:paraId="7FCDD8CE">
      <w:pPr>
        <w:pStyle w:val="5"/>
        <w:tabs>
          <w:tab w:val="left" w:pos="360"/>
        </w:tabs>
        <w:snapToGrid w:val="0"/>
        <w:spacing w:before="0" w:after="0"/>
        <w:ind w:firstLine="0" w:firstLineChars="0"/>
        <w:jc w:val="left"/>
        <w:rPr>
          <w:rFonts w:hint="eastAsia" w:hAnsi="宋体"/>
          <w:color w:val="auto"/>
          <w:sz w:val="21"/>
          <w:szCs w:val="21"/>
          <w:highlight w:val="none"/>
        </w:rPr>
      </w:pPr>
      <w:bookmarkStart w:id="390" w:name="_Toc516501417"/>
      <w:bookmarkStart w:id="391" w:name="_Toc82683116"/>
      <w:bookmarkStart w:id="392" w:name="_Toc174031449"/>
      <w:bookmarkStart w:id="393" w:name="_Toc6352"/>
      <w:bookmarkStart w:id="394" w:name="_Toc279"/>
      <w:bookmarkStart w:id="395" w:name="_Toc86124070"/>
      <w:bookmarkStart w:id="396" w:name="_Toc432106498"/>
      <w:bookmarkStart w:id="397" w:name="_Toc83328607"/>
      <w:bookmarkStart w:id="398" w:name="_Toc179645114"/>
      <w:bookmarkStart w:id="399" w:name="_Toc432194849"/>
      <w:bookmarkStart w:id="400" w:name="_Toc383175299"/>
      <w:bookmarkStart w:id="401" w:name="_Toc383175497"/>
      <w:bookmarkStart w:id="402" w:name="_Toc383175075"/>
      <w:bookmarkStart w:id="403" w:name="_Toc174031535"/>
      <w:bookmarkStart w:id="404" w:name="_Toc329810210"/>
      <w:bookmarkStart w:id="405" w:name="_Toc46765034"/>
      <w:r>
        <w:rPr>
          <w:rFonts w:hint="eastAsia" w:hAnsi="宋体"/>
          <w:color w:val="auto"/>
          <w:sz w:val="21"/>
          <w:szCs w:val="21"/>
          <w:highlight w:val="none"/>
        </w:rPr>
        <w:t>21.成交人的确定</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17034402">
      <w:pPr>
        <w:adjustRightInd w:val="0"/>
        <w:snapToGrid w:val="0"/>
        <w:spacing w:line="360" w:lineRule="auto"/>
        <w:ind w:firstLine="420" w:firstLineChars="200"/>
        <w:rPr>
          <w:rFonts w:hint="eastAsia" w:ascii="宋体" w:hAnsi="宋体"/>
          <w:color w:val="auto"/>
          <w:szCs w:val="21"/>
          <w:highlight w:val="none"/>
        </w:rPr>
      </w:pPr>
      <w:bookmarkStart w:id="406" w:name="_Toc329810211"/>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采购代理机构在评审结束后</w:t>
      </w:r>
      <w:r>
        <w:rPr>
          <w:rFonts w:ascii="宋体" w:hAnsi="宋体"/>
          <w:color w:val="auto"/>
          <w:szCs w:val="21"/>
          <w:highlight w:val="none"/>
        </w:rPr>
        <w:t>2</w:t>
      </w:r>
      <w:r>
        <w:rPr>
          <w:rFonts w:hint="eastAsia" w:ascii="宋体" w:hAnsi="宋体"/>
          <w:color w:val="auto"/>
          <w:szCs w:val="21"/>
          <w:highlight w:val="none"/>
        </w:rPr>
        <w:t>个工作日内将评审报告送采购人确认。</w:t>
      </w:r>
    </w:p>
    <w:p w14:paraId="7354CD3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.2</w:t>
      </w:r>
      <w:r>
        <w:rPr>
          <w:rFonts w:hint="eastAsia" w:ascii="宋体" w:hAnsi="宋体"/>
          <w:color w:val="auto"/>
          <w:szCs w:val="21"/>
          <w:highlight w:val="none"/>
        </w:rPr>
        <w:t>采购人应当在收到评审报告后</w:t>
      </w:r>
      <w:r>
        <w:rPr>
          <w:rFonts w:ascii="宋体" w:hAnsi="宋体"/>
          <w:color w:val="auto"/>
          <w:szCs w:val="21"/>
          <w:highlight w:val="none"/>
        </w:rPr>
        <w:t>5</w:t>
      </w:r>
      <w:r>
        <w:rPr>
          <w:rFonts w:hint="eastAsia" w:ascii="宋体" w:hAnsi="宋体"/>
          <w:color w:val="auto"/>
          <w:szCs w:val="21"/>
          <w:highlight w:val="none"/>
        </w:rPr>
        <w:t>个工作日内，从评审报告提出的成交候选人中，按照综合得分由高到低的的原则确定成交供应商。</w:t>
      </w:r>
    </w:p>
    <w:p w14:paraId="1752155F">
      <w:pPr>
        <w:pStyle w:val="5"/>
        <w:tabs>
          <w:tab w:val="left" w:pos="360"/>
        </w:tabs>
        <w:snapToGrid w:val="0"/>
        <w:spacing w:before="0" w:after="0"/>
        <w:ind w:firstLine="0" w:firstLineChars="0"/>
        <w:jc w:val="left"/>
        <w:rPr>
          <w:rFonts w:hint="eastAsia" w:hAnsi="宋体"/>
          <w:color w:val="auto"/>
          <w:sz w:val="21"/>
          <w:szCs w:val="21"/>
          <w:highlight w:val="none"/>
        </w:rPr>
      </w:pPr>
      <w:bookmarkStart w:id="407" w:name="_Toc174031536"/>
      <w:bookmarkStart w:id="408" w:name="_Toc383175498"/>
      <w:bookmarkStart w:id="409" w:name="_Toc8154"/>
      <w:bookmarkStart w:id="410" w:name="_Toc82683117"/>
      <w:bookmarkStart w:id="411" w:name="_Toc432106499"/>
      <w:bookmarkStart w:id="412" w:name="_Toc432194850"/>
      <w:bookmarkStart w:id="413" w:name="_Toc516501418"/>
      <w:bookmarkStart w:id="414" w:name="_Toc383175076"/>
      <w:bookmarkStart w:id="415" w:name="_Toc83328608"/>
      <w:bookmarkStart w:id="416" w:name="_Toc179645115"/>
      <w:bookmarkStart w:id="417" w:name="_Toc174031450"/>
      <w:bookmarkStart w:id="418" w:name="_Toc383175300"/>
      <w:bookmarkStart w:id="419" w:name="_Toc21137"/>
      <w:bookmarkStart w:id="420" w:name="_Toc46765035"/>
      <w:r>
        <w:rPr>
          <w:rFonts w:hint="eastAsia" w:hAnsi="宋体"/>
          <w:color w:val="auto"/>
          <w:sz w:val="21"/>
          <w:szCs w:val="21"/>
          <w:highlight w:val="none"/>
        </w:rPr>
        <w:t>22.成交通知书</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30A952F">
      <w:pPr>
        <w:adjustRightInd w:val="0"/>
        <w:snapToGrid w:val="0"/>
        <w:spacing w:line="360" w:lineRule="auto"/>
        <w:ind w:firstLine="420" w:firstLineChars="200"/>
        <w:rPr>
          <w:rFonts w:hint="eastAsia" w:ascii="宋体" w:hAnsi="宋体"/>
          <w:color w:val="auto"/>
          <w:szCs w:val="21"/>
          <w:highlight w:val="none"/>
        </w:rPr>
      </w:pPr>
      <w:bookmarkStart w:id="421" w:name="_Toc86124072"/>
      <w:bookmarkStart w:id="422" w:name="_Toc329810212"/>
      <w:r>
        <w:rPr>
          <w:rFonts w:hint="eastAsia" w:ascii="宋体" w:hAnsi="宋体"/>
          <w:color w:val="auto"/>
          <w:szCs w:val="21"/>
          <w:highlight w:val="none"/>
        </w:rPr>
        <w:t>22</w:t>
      </w:r>
      <w:r>
        <w:rPr>
          <w:rFonts w:ascii="宋体" w:hAnsi="宋体"/>
          <w:color w:val="auto"/>
          <w:szCs w:val="21"/>
          <w:highlight w:val="none"/>
        </w:rPr>
        <w:t>.1</w:t>
      </w:r>
      <w:r>
        <w:rPr>
          <w:rFonts w:hint="eastAsia" w:ascii="宋体" w:hAnsi="宋体"/>
          <w:color w:val="auto"/>
          <w:szCs w:val="21"/>
          <w:highlight w:val="none"/>
        </w:rPr>
        <w:t>采购代理机构将在成交供应商确定后</w:t>
      </w:r>
      <w:r>
        <w:rPr>
          <w:rFonts w:ascii="宋体" w:hAnsi="宋体"/>
          <w:color w:val="auto"/>
          <w:szCs w:val="21"/>
          <w:highlight w:val="none"/>
        </w:rPr>
        <w:t>2</w:t>
      </w:r>
      <w:r>
        <w:rPr>
          <w:rFonts w:hint="eastAsia" w:ascii="宋体" w:hAnsi="宋体"/>
          <w:color w:val="auto"/>
          <w:szCs w:val="21"/>
          <w:highlight w:val="none"/>
        </w:rPr>
        <w:t>个工作日内，在云南省政府采购网上公告</w:t>
      </w:r>
      <w:r>
        <w:rPr>
          <w:rFonts w:ascii="宋体" w:hAnsi="宋体"/>
          <w:color w:val="auto"/>
          <w:szCs w:val="21"/>
          <w:highlight w:val="none"/>
        </w:rPr>
        <w:t>,</w:t>
      </w:r>
      <w:r>
        <w:rPr>
          <w:rFonts w:hint="eastAsia" w:ascii="宋体" w:hAnsi="宋体"/>
          <w:color w:val="auto"/>
          <w:szCs w:val="21"/>
          <w:highlight w:val="none"/>
        </w:rPr>
        <w:t>同时向成交供应商发出成交通知书。</w:t>
      </w:r>
    </w:p>
    <w:p w14:paraId="080A045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 xml:space="preserve">.2 </w:t>
      </w:r>
      <w:r>
        <w:rPr>
          <w:rFonts w:hint="eastAsia" w:ascii="宋体" w:hAnsi="宋体"/>
          <w:color w:val="auto"/>
          <w:szCs w:val="21"/>
          <w:highlight w:val="none"/>
        </w:rPr>
        <w:t>成交通知书是合同的一个组成部分。</w:t>
      </w:r>
    </w:p>
    <w:p w14:paraId="0355566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.3</w:t>
      </w:r>
      <w:r>
        <w:rPr>
          <w:rFonts w:hint="eastAsia" w:ascii="宋体" w:hAnsi="宋体"/>
          <w:color w:val="auto"/>
          <w:szCs w:val="21"/>
          <w:highlight w:val="none"/>
        </w:rPr>
        <w:t>除不可抗力等因素外，成交通知书发出后，采购人改变成交结果，或者成交供应商拒绝签订政府采购合同的，应当承担相应的法律责任。</w:t>
      </w:r>
    </w:p>
    <w:p w14:paraId="7BE043E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.4</w:t>
      </w:r>
      <w:r>
        <w:rPr>
          <w:rFonts w:hint="eastAsia" w:ascii="宋体" w:hAnsi="宋体"/>
          <w:color w:val="auto"/>
          <w:szCs w:val="21"/>
          <w:highlight w:val="none"/>
        </w:rPr>
        <w:t>采购代理机构无义务向未成交供应商解释未成交原因和退回响应文件。</w:t>
      </w:r>
    </w:p>
    <w:p w14:paraId="659994EA">
      <w:pPr>
        <w:pStyle w:val="5"/>
        <w:tabs>
          <w:tab w:val="left" w:pos="360"/>
        </w:tabs>
        <w:snapToGrid w:val="0"/>
        <w:spacing w:before="0" w:after="0"/>
        <w:ind w:firstLine="0" w:firstLineChars="0"/>
        <w:jc w:val="left"/>
        <w:rPr>
          <w:rFonts w:hint="eastAsia" w:hAnsi="宋体"/>
          <w:color w:val="auto"/>
          <w:sz w:val="21"/>
          <w:szCs w:val="21"/>
          <w:highlight w:val="none"/>
        </w:rPr>
      </w:pPr>
      <w:bookmarkStart w:id="423" w:name="_Toc383175499"/>
      <w:bookmarkStart w:id="424" w:name="_Toc15409"/>
      <w:bookmarkStart w:id="425" w:name="_Toc46765036"/>
      <w:bookmarkStart w:id="426" w:name="_Toc174031451"/>
      <w:bookmarkStart w:id="427" w:name="_Toc179645116"/>
      <w:bookmarkStart w:id="428" w:name="_Toc82683118"/>
      <w:bookmarkStart w:id="429" w:name="_Toc9641"/>
      <w:bookmarkStart w:id="430" w:name="_Toc383175301"/>
      <w:bookmarkStart w:id="431" w:name="_Toc516501419"/>
      <w:bookmarkStart w:id="432" w:name="_Toc432106500"/>
      <w:bookmarkStart w:id="433" w:name="_Toc432194851"/>
      <w:bookmarkStart w:id="434" w:name="_Toc383175077"/>
      <w:bookmarkStart w:id="435" w:name="_Toc83328609"/>
      <w:bookmarkStart w:id="436" w:name="_Toc174031537"/>
      <w:r>
        <w:rPr>
          <w:rFonts w:hint="eastAsia" w:hAnsi="宋体"/>
          <w:color w:val="auto"/>
          <w:sz w:val="21"/>
          <w:szCs w:val="21"/>
          <w:highlight w:val="none"/>
        </w:rPr>
        <w:t>23.签订合同</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4FF2B4FE">
      <w:pPr>
        <w:adjustRightInd w:val="0"/>
        <w:snapToGrid w:val="0"/>
        <w:spacing w:line="360" w:lineRule="auto"/>
        <w:ind w:firstLine="420" w:firstLineChars="200"/>
        <w:rPr>
          <w:rFonts w:hint="eastAsia" w:ascii="宋体" w:hAnsi="宋体"/>
          <w:color w:val="auto"/>
          <w:szCs w:val="21"/>
          <w:highlight w:val="none"/>
        </w:rPr>
      </w:pPr>
      <w:bookmarkStart w:id="437" w:name="_Toc329810213"/>
      <w:bookmarkStart w:id="438" w:name="_Toc86124073"/>
      <w:r>
        <w:rPr>
          <w:rFonts w:hint="eastAsia" w:ascii="宋体" w:hAnsi="宋体"/>
          <w:color w:val="auto"/>
          <w:szCs w:val="21"/>
          <w:highlight w:val="none"/>
        </w:rPr>
        <w:t>23</w:t>
      </w:r>
      <w:r>
        <w:rPr>
          <w:rFonts w:ascii="宋体" w:hAnsi="宋体"/>
          <w:color w:val="auto"/>
          <w:szCs w:val="21"/>
          <w:highlight w:val="none"/>
        </w:rPr>
        <w:t>.1</w:t>
      </w:r>
      <w:r>
        <w:rPr>
          <w:rFonts w:hint="eastAsia" w:ascii="宋体" w:hAnsi="宋体"/>
          <w:color w:val="auto"/>
          <w:szCs w:val="21"/>
          <w:highlight w:val="none"/>
        </w:rPr>
        <w:t>采购人与成交供应商应当在成交通知书发出之日起</w:t>
      </w:r>
      <w:r>
        <w:rPr>
          <w:rFonts w:ascii="宋体" w:hAnsi="宋体"/>
          <w:color w:val="auto"/>
          <w:szCs w:val="21"/>
          <w:highlight w:val="none"/>
        </w:rPr>
        <w:t>30</w:t>
      </w:r>
      <w:r>
        <w:rPr>
          <w:rFonts w:hint="eastAsia" w:ascii="宋体" w:hAnsi="宋体"/>
          <w:color w:val="auto"/>
          <w:szCs w:val="21"/>
          <w:highlight w:val="none"/>
        </w:rPr>
        <w:t>日内，按照磋商文件确定的合同文本以及采购内容、采购金额、技术服务和质量要求等事项签订政府采购合同。</w:t>
      </w:r>
    </w:p>
    <w:p w14:paraId="2D1641E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xml:space="preserve">.2 </w:t>
      </w:r>
      <w:r>
        <w:rPr>
          <w:rFonts w:hint="eastAsia" w:ascii="宋体" w:hAnsi="宋体"/>
          <w:color w:val="auto"/>
          <w:szCs w:val="21"/>
          <w:highlight w:val="none"/>
        </w:rPr>
        <w:t>签订合同前成交人应向采购人提交履约保证金，保证金的提交方式、金额等详见“</w:t>
      </w:r>
      <w:r>
        <w:rPr>
          <w:rFonts w:hint="eastAsia" w:ascii="宋体" w:hAnsi="宋体"/>
          <w:b/>
          <w:color w:val="auto"/>
          <w:szCs w:val="21"/>
          <w:highlight w:val="none"/>
        </w:rPr>
        <w:t>供应商须知前附表</w:t>
      </w:r>
      <w:r>
        <w:rPr>
          <w:rFonts w:hint="eastAsia" w:ascii="宋体" w:hAnsi="宋体"/>
          <w:color w:val="auto"/>
          <w:szCs w:val="21"/>
          <w:highlight w:val="none"/>
        </w:rPr>
        <w:t>”。</w:t>
      </w:r>
    </w:p>
    <w:p w14:paraId="49EAF54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.3</w:t>
      </w:r>
      <w:r>
        <w:rPr>
          <w:rFonts w:hint="eastAsia" w:ascii="宋体" w:hAnsi="宋体"/>
          <w:color w:val="auto"/>
          <w:szCs w:val="21"/>
          <w:highlight w:val="none"/>
        </w:rPr>
        <w:t>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bookmarkEnd w:id="437"/>
      <w:bookmarkEnd w:id="438"/>
      <w:bookmarkStart w:id="439" w:name="_Toc348011950"/>
    </w:p>
    <w:p w14:paraId="55D0DE77">
      <w:pPr>
        <w:overflowPunct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24、履约</w:t>
      </w:r>
      <w:bookmarkEnd w:id="439"/>
      <w:r>
        <w:rPr>
          <w:rFonts w:hint="eastAsia" w:ascii="宋体" w:hAnsi="宋体" w:cs="宋体"/>
          <w:b/>
          <w:color w:val="auto"/>
          <w:szCs w:val="21"/>
          <w:highlight w:val="none"/>
        </w:rPr>
        <w:t>担保</w:t>
      </w:r>
    </w:p>
    <w:p w14:paraId="48F3591E">
      <w:pPr>
        <w:overflowPunct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24.1签订合同前，成交供应商应按“</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”上确定的履约担保的金额及形式，向采购人提交履约担保，联合体成交的，其履约担保由牵头人递交。否则，视为放弃成交项目，磋商保证金将不予退还。</w:t>
      </w:r>
    </w:p>
    <w:p w14:paraId="3AAE9E3A">
      <w:pPr>
        <w:overflowPunct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签订合同后，如成交供应商不按双方签订合同约定履约，则没收其全部履约保证金，履约保证金不足以赔偿损失的，按实际损失赔偿。</w:t>
      </w:r>
    </w:p>
    <w:p w14:paraId="57F8F81A">
      <w:pPr>
        <w:pStyle w:val="4"/>
        <w:spacing w:before="0" w:after="0"/>
        <w:rPr>
          <w:rFonts w:hint="eastAsia" w:ascii="宋体" w:hAnsi="宋体"/>
          <w:color w:val="auto"/>
          <w:sz w:val="24"/>
          <w:szCs w:val="24"/>
          <w:highlight w:val="none"/>
        </w:rPr>
      </w:pPr>
      <w:bookmarkStart w:id="440" w:name="_Toc83328610"/>
      <w:bookmarkStart w:id="441" w:name="_Toc82683119"/>
      <w:bookmarkStart w:id="442" w:name="_Toc174031452"/>
      <w:bookmarkStart w:id="443" w:name="_Toc174031538"/>
      <w:bookmarkStart w:id="444" w:name="_Toc22886"/>
      <w:bookmarkStart w:id="445" w:name="_Toc10245"/>
      <w:bookmarkStart w:id="446" w:name="_Toc46765037"/>
      <w:bookmarkStart w:id="447" w:name="_Toc179645117"/>
      <w:bookmarkStart w:id="448" w:name="_Toc86124074"/>
      <w:r>
        <w:rPr>
          <w:rFonts w:hint="eastAsia" w:ascii="宋体" w:hAnsi="宋体"/>
          <w:color w:val="auto"/>
          <w:sz w:val="24"/>
          <w:szCs w:val="24"/>
          <w:highlight w:val="none"/>
        </w:rPr>
        <w:t>七、其他事项</w:t>
      </w:r>
      <w:bookmarkEnd w:id="440"/>
      <w:bookmarkEnd w:id="441"/>
      <w:bookmarkEnd w:id="442"/>
      <w:bookmarkEnd w:id="443"/>
      <w:bookmarkEnd w:id="444"/>
      <w:bookmarkEnd w:id="445"/>
      <w:bookmarkEnd w:id="446"/>
      <w:bookmarkEnd w:id="447"/>
      <w:bookmarkEnd w:id="448"/>
    </w:p>
    <w:p w14:paraId="0552DFE8">
      <w:pPr>
        <w:pStyle w:val="5"/>
        <w:tabs>
          <w:tab w:val="left" w:pos="360"/>
        </w:tabs>
        <w:snapToGrid w:val="0"/>
        <w:spacing w:before="0" w:after="0"/>
        <w:ind w:firstLine="0" w:firstLineChars="0"/>
        <w:jc w:val="left"/>
        <w:rPr>
          <w:rFonts w:hint="eastAsia" w:hAnsi="宋体"/>
          <w:color w:val="auto"/>
          <w:sz w:val="21"/>
          <w:szCs w:val="21"/>
          <w:highlight w:val="none"/>
        </w:rPr>
      </w:pPr>
      <w:bookmarkStart w:id="449" w:name="_Toc179645118"/>
      <w:bookmarkStart w:id="450" w:name="_Toc383175305"/>
      <w:bookmarkStart w:id="451" w:name="_Toc82683121"/>
      <w:bookmarkStart w:id="452" w:name="_Toc329810216"/>
      <w:bookmarkStart w:id="453" w:name="_Toc46765039"/>
      <w:bookmarkStart w:id="454" w:name="_Toc174031454"/>
      <w:bookmarkStart w:id="455" w:name="_Toc83328612"/>
      <w:bookmarkStart w:id="456" w:name="_Toc4727"/>
      <w:bookmarkStart w:id="457" w:name="_Toc174031540"/>
      <w:bookmarkStart w:id="458" w:name="_Toc383175503"/>
      <w:bookmarkStart w:id="459" w:name="_Toc432106503"/>
      <w:bookmarkStart w:id="460" w:name="_Toc86124075"/>
      <w:bookmarkStart w:id="461" w:name="_Toc27594"/>
      <w:bookmarkStart w:id="462" w:name="_Toc516501422"/>
      <w:bookmarkStart w:id="463" w:name="_Toc383175081"/>
      <w:bookmarkStart w:id="464" w:name="_Toc432194854"/>
      <w:r>
        <w:rPr>
          <w:rFonts w:hint="eastAsia" w:hAnsi="宋体"/>
          <w:color w:val="auto"/>
          <w:sz w:val="21"/>
          <w:szCs w:val="21"/>
          <w:highlight w:val="none"/>
        </w:rPr>
        <w:t>25.采购代理服务费</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7646E51">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25.1采购代理机构按以下工程招标收费标准</w:t>
      </w:r>
      <w:r>
        <w:rPr>
          <w:rFonts w:hint="eastAsia" w:ascii="宋体" w:hAnsi="宋体" w:cs="宋体"/>
          <w:b/>
          <w:bCs/>
          <w:color w:val="auto"/>
          <w:szCs w:val="21"/>
          <w:highlight w:val="none"/>
          <w:lang w:val="en-US" w:eastAsia="zh-CN"/>
        </w:rPr>
        <w:t>优惠20%收取</w:t>
      </w:r>
      <w:r>
        <w:rPr>
          <w:rFonts w:hint="eastAsia" w:ascii="宋体" w:hAnsi="宋体" w:cs="宋体"/>
          <w:b/>
          <w:bCs/>
          <w:color w:val="auto"/>
          <w:szCs w:val="21"/>
          <w:highlight w:val="none"/>
        </w:rPr>
        <w:t>，以成交金额为计算依据向成交人收取采购代理服务费：</w:t>
      </w:r>
    </w:p>
    <w:tbl>
      <w:tblPr>
        <w:tblStyle w:val="8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01"/>
        <w:gridCol w:w="2128"/>
        <w:gridCol w:w="2267"/>
        <w:gridCol w:w="2766"/>
      </w:tblGrid>
      <w:tr w14:paraId="4A37F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406" w:type="pct"/>
            <w:vMerge w:val="restart"/>
            <w:shd w:val="clear" w:color="auto" w:fill="auto"/>
            <w:vAlign w:val="center"/>
          </w:tcPr>
          <w:p w14:paraId="1A453D79">
            <w:pPr>
              <w:spacing w:line="276"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计价金额</w:t>
            </w:r>
          </w:p>
        </w:tc>
        <w:tc>
          <w:tcPr>
            <w:tcW w:w="3594" w:type="pct"/>
            <w:gridSpan w:val="3"/>
            <w:shd w:val="clear" w:color="auto" w:fill="auto"/>
            <w:vAlign w:val="center"/>
          </w:tcPr>
          <w:p w14:paraId="6D53FDAE">
            <w:pPr>
              <w:spacing w:line="276"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服务类型</w:t>
            </w:r>
          </w:p>
        </w:tc>
      </w:tr>
      <w:tr w14:paraId="6C9C8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406" w:type="pct"/>
            <w:vMerge w:val="continue"/>
            <w:shd w:val="clear" w:color="auto" w:fill="auto"/>
            <w:vAlign w:val="center"/>
          </w:tcPr>
          <w:p w14:paraId="60B0221E">
            <w:pPr>
              <w:spacing w:line="276" w:lineRule="auto"/>
              <w:jc w:val="center"/>
              <w:rPr>
                <w:rFonts w:hint="eastAsia" w:ascii="宋体" w:hAnsi="宋体" w:cs="宋体"/>
                <w:b/>
                <w:bCs/>
                <w:color w:val="auto"/>
                <w:kern w:val="0"/>
                <w:szCs w:val="21"/>
                <w:highlight w:val="none"/>
              </w:rPr>
            </w:pPr>
          </w:p>
        </w:tc>
        <w:tc>
          <w:tcPr>
            <w:tcW w:w="1068" w:type="pct"/>
            <w:shd w:val="clear" w:color="auto" w:fill="auto"/>
            <w:vAlign w:val="center"/>
          </w:tcPr>
          <w:p w14:paraId="6019C9BD">
            <w:pPr>
              <w:spacing w:line="276"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货物招标</w:t>
            </w:r>
          </w:p>
        </w:tc>
        <w:tc>
          <w:tcPr>
            <w:tcW w:w="1138" w:type="pct"/>
            <w:shd w:val="clear" w:color="auto" w:fill="auto"/>
            <w:vAlign w:val="center"/>
          </w:tcPr>
          <w:p w14:paraId="585D46A1">
            <w:pPr>
              <w:spacing w:line="276"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服务招标</w:t>
            </w:r>
          </w:p>
        </w:tc>
        <w:tc>
          <w:tcPr>
            <w:tcW w:w="1388" w:type="pct"/>
            <w:shd w:val="clear" w:color="auto" w:fill="auto"/>
            <w:vAlign w:val="center"/>
          </w:tcPr>
          <w:p w14:paraId="0D6B68B5">
            <w:pPr>
              <w:spacing w:line="276"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工程招标</w:t>
            </w:r>
          </w:p>
        </w:tc>
      </w:tr>
      <w:tr w14:paraId="01A83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406" w:type="pct"/>
            <w:vMerge w:val="continue"/>
            <w:shd w:val="clear" w:color="auto" w:fill="auto"/>
            <w:vAlign w:val="center"/>
          </w:tcPr>
          <w:p w14:paraId="4D3B8C48">
            <w:pPr>
              <w:spacing w:line="276" w:lineRule="auto"/>
              <w:jc w:val="center"/>
              <w:rPr>
                <w:rFonts w:hint="eastAsia" w:ascii="宋体" w:hAnsi="宋体" w:cs="宋体"/>
                <w:b/>
                <w:bCs/>
                <w:color w:val="auto"/>
                <w:kern w:val="0"/>
                <w:szCs w:val="21"/>
                <w:highlight w:val="none"/>
              </w:rPr>
            </w:pPr>
          </w:p>
        </w:tc>
        <w:tc>
          <w:tcPr>
            <w:tcW w:w="3594" w:type="pct"/>
            <w:gridSpan w:val="3"/>
            <w:shd w:val="clear" w:color="auto" w:fill="auto"/>
            <w:vAlign w:val="center"/>
          </w:tcPr>
          <w:p w14:paraId="00817669">
            <w:pPr>
              <w:spacing w:line="276"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费率</w:t>
            </w:r>
          </w:p>
        </w:tc>
      </w:tr>
      <w:tr w14:paraId="3D3AD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2E0D5D1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50万元及以下</w:t>
            </w:r>
          </w:p>
        </w:tc>
        <w:tc>
          <w:tcPr>
            <w:tcW w:w="3594" w:type="pct"/>
            <w:gridSpan w:val="3"/>
            <w:shd w:val="clear" w:color="auto" w:fill="auto"/>
            <w:vAlign w:val="center"/>
          </w:tcPr>
          <w:p w14:paraId="51B8E52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0.70万元</w:t>
            </w:r>
          </w:p>
        </w:tc>
      </w:tr>
      <w:tr w14:paraId="7782A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163549F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50-100万元(含)</w:t>
            </w:r>
          </w:p>
        </w:tc>
        <w:tc>
          <w:tcPr>
            <w:tcW w:w="3594" w:type="pct"/>
            <w:gridSpan w:val="3"/>
            <w:shd w:val="clear" w:color="auto" w:fill="auto"/>
            <w:vAlign w:val="center"/>
          </w:tcPr>
          <w:p w14:paraId="15624F2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r>
      <w:tr w14:paraId="35CD6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6A78356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100-500万元(含)</w:t>
            </w:r>
          </w:p>
        </w:tc>
        <w:tc>
          <w:tcPr>
            <w:tcW w:w="1068" w:type="pct"/>
            <w:shd w:val="clear" w:color="auto" w:fill="auto"/>
            <w:vAlign w:val="center"/>
          </w:tcPr>
          <w:p w14:paraId="20A68F2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1.30%</w:t>
            </w:r>
          </w:p>
        </w:tc>
        <w:tc>
          <w:tcPr>
            <w:tcW w:w="1138" w:type="pct"/>
            <w:shd w:val="clear" w:color="auto" w:fill="auto"/>
            <w:vAlign w:val="center"/>
          </w:tcPr>
          <w:p w14:paraId="30CED55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1.30%</w:t>
            </w:r>
          </w:p>
        </w:tc>
        <w:tc>
          <w:tcPr>
            <w:tcW w:w="1388" w:type="pct"/>
            <w:shd w:val="clear" w:color="auto" w:fill="auto"/>
            <w:vAlign w:val="center"/>
          </w:tcPr>
          <w:p w14:paraId="09DB1BF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1.00%</w:t>
            </w:r>
          </w:p>
        </w:tc>
      </w:tr>
      <w:tr w14:paraId="114E0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230C176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500-1000万元(含)</w:t>
            </w:r>
          </w:p>
        </w:tc>
        <w:tc>
          <w:tcPr>
            <w:tcW w:w="1068" w:type="pct"/>
            <w:shd w:val="clear" w:color="auto" w:fill="auto"/>
            <w:vAlign w:val="center"/>
          </w:tcPr>
          <w:p w14:paraId="21EB745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1.00%</w:t>
            </w:r>
          </w:p>
        </w:tc>
        <w:tc>
          <w:tcPr>
            <w:tcW w:w="1138" w:type="pct"/>
            <w:shd w:val="clear" w:color="auto" w:fill="auto"/>
            <w:vAlign w:val="center"/>
          </w:tcPr>
          <w:p w14:paraId="60DAC28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0.50%</w:t>
            </w:r>
          </w:p>
        </w:tc>
        <w:tc>
          <w:tcPr>
            <w:tcW w:w="1388" w:type="pct"/>
            <w:shd w:val="clear" w:color="auto" w:fill="auto"/>
            <w:vAlign w:val="center"/>
          </w:tcPr>
          <w:p w14:paraId="4364E91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0.70%</w:t>
            </w:r>
          </w:p>
        </w:tc>
      </w:tr>
      <w:tr w14:paraId="0C24F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78FB3647">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1000-5000万元(含)</w:t>
            </w:r>
          </w:p>
        </w:tc>
        <w:tc>
          <w:tcPr>
            <w:tcW w:w="1068" w:type="pct"/>
            <w:shd w:val="clear" w:color="auto" w:fill="auto"/>
            <w:vAlign w:val="center"/>
          </w:tcPr>
          <w:p w14:paraId="585E454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0.70%</w:t>
            </w:r>
          </w:p>
        </w:tc>
        <w:tc>
          <w:tcPr>
            <w:tcW w:w="1138" w:type="pct"/>
            <w:shd w:val="clear" w:color="auto" w:fill="auto"/>
            <w:vAlign w:val="center"/>
          </w:tcPr>
          <w:p w14:paraId="33951FB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0.40%</w:t>
            </w:r>
          </w:p>
        </w:tc>
        <w:tc>
          <w:tcPr>
            <w:tcW w:w="1388" w:type="pct"/>
            <w:shd w:val="clear" w:color="auto" w:fill="auto"/>
            <w:vAlign w:val="center"/>
          </w:tcPr>
          <w:p w14:paraId="7AEDB425">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0.40%</w:t>
            </w:r>
          </w:p>
        </w:tc>
      </w:tr>
      <w:tr w14:paraId="5F7B3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00271D6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5000万元-1亿元(含)</w:t>
            </w:r>
          </w:p>
        </w:tc>
        <w:tc>
          <w:tcPr>
            <w:tcW w:w="1068" w:type="pct"/>
            <w:shd w:val="clear" w:color="auto" w:fill="auto"/>
            <w:vAlign w:val="center"/>
          </w:tcPr>
          <w:p w14:paraId="779F893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0.25%</w:t>
            </w:r>
          </w:p>
        </w:tc>
        <w:tc>
          <w:tcPr>
            <w:tcW w:w="1138" w:type="pct"/>
            <w:shd w:val="clear" w:color="auto" w:fill="auto"/>
            <w:vAlign w:val="center"/>
          </w:tcPr>
          <w:p w14:paraId="3E5F5DBE">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0.10%</w:t>
            </w:r>
          </w:p>
        </w:tc>
        <w:tc>
          <w:tcPr>
            <w:tcW w:w="1388" w:type="pct"/>
            <w:shd w:val="clear" w:color="auto" w:fill="auto"/>
            <w:vAlign w:val="center"/>
          </w:tcPr>
          <w:p w14:paraId="6B9C1FC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0.25%</w:t>
            </w:r>
          </w:p>
        </w:tc>
      </w:tr>
      <w:tr w14:paraId="21558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152918DC">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1亿元-5亿元(含)</w:t>
            </w:r>
          </w:p>
        </w:tc>
        <w:tc>
          <w:tcPr>
            <w:tcW w:w="3594" w:type="pct"/>
            <w:gridSpan w:val="3"/>
            <w:shd w:val="clear" w:color="auto" w:fill="auto"/>
            <w:vAlign w:val="center"/>
          </w:tcPr>
          <w:p w14:paraId="64AB793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r>
      <w:tr w14:paraId="7DD34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69EC442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5亿元一10亿元(含)</w:t>
            </w:r>
          </w:p>
        </w:tc>
        <w:tc>
          <w:tcPr>
            <w:tcW w:w="3594" w:type="pct"/>
            <w:gridSpan w:val="3"/>
            <w:shd w:val="clear" w:color="auto" w:fill="auto"/>
            <w:vAlign w:val="center"/>
          </w:tcPr>
          <w:p w14:paraId="27FF079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B803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06" w:type="pct"/>
            <w:shd w:val="clear" w:color="auto" w:fill="auto"/>
            <w:vAlign w:val="center"/>
          </w:tcPr>
          <w:p w14:paraId="2E97F03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10亿元以上</w:t>
            </w:r>
          </w:p>
        </w:tc>
        <w:tc>
          <w:tcPr>
            <w:tcW w:w="3594" w:type="pct"/>
            <w:gridSpan w:val="3"/>
            <w:shd w:val="clear" w:color="auto" w:fill="auto"/>
            <w:vAlign w:val="center"/>
          </w:tcPr>
          <w:p w14:paraId="15E70A3B">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0.008%</w:t>
            </w:r>
          </w:p>
        </w:tc>
      </w:tr>
    </w:tbl>
    <w:p w14:paraId="4626980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备注：采购代理服务收费按差额定率累进法计算。</w:t>
      </w:r>
    </w:p>
    <w:p w14:paraId="51A3E85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25.2成交人应在接受“成交通知书”前向采购代理机构一次付清代理服务费。</w:t>
      </w:r>
    </w:p>
    <w:p w14:paraId="18142ABE">
      <w:pPr>
        <w:pStyle w:val="5"/>
        <w:tabs>
          <w:tab w:val="left" w:pos="360"/>
        </w:tabs>
        <w:snapToGrid w:val="0"/>
        <w:spacing w:before="0" w:after="0"/>
        <w:ind w:firstLine="0" w:firstLineChars="0"/>
        <w:jc w:val="left"/>
        <w:rPr>
          <w:rFonts w:hint="eastAsia" w:hAnsi="宋体"/>
          <w:color w:val="auto"/>
          <w:sz w:val="21"/>
          <w:szCs w:val="21"/>
          <w:highlight w:val="none"/>
        </w:rPr>
      </w:pPr>
      <w:bookmarkStart w:id="465" w:name="_Toc432106504"/>
      <w:bookmarkStart w:id="466" w:name="_Toc383175082"/>
      <w:bookmarkStart w:id="467" w:name="_Toc383175504"/>
      <w:bookmarkStart w:id="468" w:name="_Toc27720"/>
      <w:bookmarkStart w:id="469" w:name="_Toc83328613"/>
      <w:bookmarkStart w:id="470" w:name="_Toc516501423"/>
      <w:bookmarkStart w:id="471" w:name="_Toc46765040"/>
      <w:bookmarkStart w:id="472" w:name="_Toc174031541"/>
      <w:bookmarkStart w:id="473" w:name="_Toc174031455"/>
      <w:bookmarkStart w:id="474" w:name="_Toc432194855"/>
      <w:bookmarkStart w:id="475" w:name="_Toc179645119"/>
      <w:bookmarkStart w:id="476" w:name="_Toc12981"/>
      <w:bookmarkStart w:id="477" w:name="_Toc82683122"/>
      <w:bookmarkStart w:id="478" w:name="_Toc383175306"/>
      <w:bookmarkStart w:id="479" w:name="_Toc329810217"/>
      <w:r>
        <w:rPr>
          <w:rFonts w:hint="eastAsia" w:hAnsi="宋体"/>
          <w:color w:val="auto"/>
          <w:sz w:val="21"/>
          <w:szCs w:val="21"/>
          <w:highlight w:val="none"/>
        </w:rPr>
        <w:t>26.磋商文件编制依据</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58B88128">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本磋商文件是根据</w:t>
      </w:r>
      <w:r>
        <w:rPr>
          <w:rFonts w:hint="eastAsia" w:ascii="宋体" w:hAnsi="宋体"/>
          <w:color w:val="auto"/>
          <w:szCs w:val="21"/>
          <w:highlight w:val="none"/>
        </w:rPr>
        <w:t>《政府采购竞争性磋商采购方式管理暂行办法》、《中华人民共和国政府采购实施条例》及相关法律法规编制。</w:t>
      </w:r>
    </w:p>
    <w:p w14:paraId="393FB5F8">
      <w:pPr>
        <w:pStyle w:val="5"/>
        <w:tabs>
          <w:tab w:val="left" w:pos="360"/>
        </w:tabs>
        <w:snapToGrid w:val="0"/>
        <w:spacing w:before="0" w:after="0"/>
        <w:ind w:firstLine="0" w:firstLineChars="0"/>
        <w:jc w:val="left"/>
        <w:rPr>
          <w:rFonts w:hint="eastAsia" w:hAnsi="宋体"/>
          <w:color w:val="auto"/>
          <w:sz w:val="21"/>
          <w:szCs w:val="21"/>
          <w:highlight w:val="none"/>
        </w:rPr>
      </w:pPr>
      <w:bookmarkStart w:id="480" w:name="_Toc83328614"/>
      <w:bookmarkStart w:id="481" w:name="_Toc383175083"/>
      <w:bookmarkStart w:id="482" w:name="_Toc383175307"/>
      <w:bookmarkStart w:id="483" w:name="_Toc432106505"/>
      <w:bookmarkStart w:id="484" w:name="_Toc516501424"/>
      <w:bookmarkStart w:id="485" w:name="_Toc32635"/>
      <w:bookmarkStart w:id="486" w:name="_Toc329810218"/>
      <w:bookmarkStart w:id="487" w:name="_Toc46765041"/>
      <w:bookmarkStart w:id="488" w:name="_Toc383175505"/>
      <w:bookmarkStart w:id="489" w:name="_Toc82683123"/>
      <w:bookmarkStart w:id="490" w:name="_Toc174031542"/>
      <w:bookmarkStart w:id="491" w:name="_Toc174031456"/>
      <w:bookmarkStart w:id="492" w:name="_Toc432194856"/>
      <w:bookmarkStart w:id="493" w:name="_Toc179645120"/>
      <w:bookmarkStart w:id="494" w:name="_Toc1005"/>
      <w:bookmarkStart w:id="495" w:name="_Toc86124077"/>
      <w:r>
        <w:rPr>
          <w:rFonts w:hint="eastAsia" w:hAnsi="宋体"/>
          <w:color w:val="auto"/>
          <w:sz w:val="21"/>
          <w:szCs w:val="21"/>
          <w:highlight w:val="none"/>
        </w:rPr>
        <w:t>27.需要补充的其他内容</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5C34CE2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需要补充的其他内容：见</w:t>
      </w:r>
      <w:r>
        <w:rPr>
          <w:rFonts w:ascii="宋体" w:hAnsi="宋体"/>
          <w:color w:val="auto"/>
          <w:szCs w:val="21"/>
          <w:highlight w:val="none"/>
        </w:rPr>
        <w:t>“</w:t>
      </w:r>
      <w:r>
        <w:rPr>
          <w:rFonts w:hint="eastAsia" w:ascii="宋体" w:hAnsi="宋体"/>
          <w:b/>
          <w:color w:val="auto"/>
          <w:szCs w:val="21"/>
          <w:highlight w:val="none"/>
        </w:rPr>
        <w:t>供应商须知前附表</w:t>
      </w:r>
      <w:r>
        <w:rPr>
          <w:rFonts w:ascii="宋体" w:hAnsi="宋体"/>
          <w:color w:val="auto"/>
          <w:szCs w:val="21"/>
          <w:highlight w:val="none"/>
        </w:rPr>
        <w:t>”</w:t>
      </w:r>
      <w:r>
        <w:rPr>
          <w:rFonts w:hint="eastAsia" w:ascii="宋体" w:hAnsi="宋体"/>
          <w:color w:val="auto"/>
          <w:szCs w:val="21"/>
          <w:highlight w:val="none"/>
        </w:rPr>
        <w:t>。</w:t>
      </w:r>
    </w:p>
    <w:p w14:paraId="70D56696">
      <w:pPr>
        <w:pStyle w:val="3"/>
        <w:spacing w:line="360" w:lineRule="auto"/>
        <w:jc w:val="center"/>
        <w:rPr>
          <w:rFonts w:hint="eastAsia" w:ascii="宋体" w:hAnsi="宋体" w:eastAsia="宋体"/>
          <w:color w:val="auto"/>
          <w:sz w:val="32"/>
          <w:highlight w:val="none"/>
        </w:rPr>
      </w:pPr>
      <w:bookmarkStart w:id="496" w:name="_Toc86124078"/>
      <w:r>
        <w:rPr>
          <w:rFonts w:ascii="宋体" w:hAnsi="宋体" w:eastAsia="宋体"/>
          <w:color w:val="auto"/>
          <w:sz w:val="32"/>
          <w:szCs w:val="32"/>
          <w:highlight w:val="none"/>
        </w:rPr>
        <w:br w:type="page"/>
      </w:r>
      <w:bookmarkStart w:id="497" w:name="_Toc174031457"/>
      <w:bookmarkStart w:id="498" w:name="_Toc25331"/>
      <w:bookmarkStart w:id="499" w:name="_Toc179645121"/>
      <w:bookmarkStart w:id="500" w:name="_Toc2953"/>
      <w:r>
        <w:rPr>
          <w:rFonts w:hint="eastAsia" w:ascii="宋体" w:hAnsi="宋体" w:eastAsia="宋体"/>
          <w:color w:val="auto"/>
          <w:sz w:val="36"/>
          <w:szCs w:val="21"/>
          <w:highlight w:val="none"/>
        </w:rPr>
        <w:t>第三章</w:t>
      </w:r>
      <w:r>
        <w:rPr>
          <w:rFonts w:ascii="宋体" w:hAnsi="宋体" w:eastAsia="宋体"/>
          <w:color w:val="auto"/>
          <w:sz w:val="36"/>
          <w:szCs w:val="21"/>
          <w:highlight w:val="none"/>
        </w:rPr>
        <w:t xml:space="preserve">  </w:t>
      </w:r>
      <w:r>
        <w:rPr>
          <w:rFonts w:hint="eastAsia" w:ascii="宋体" w:hAnsi="宋体" w:eastAsia="宋体"/>
          <w:color w:val="auto"/>
          <w:sz w:val="36"/>
          <w:szCs w:val="21"/>
          <w:highlight w:val="none"/>
        </w:rPr>
        <w:t>合同书样式及主要条款</w:t>
      </w:r>
      <w:bookmarkEnd w:id="496"/>
      <w:bookmarkEnd w:id="497"/>
      <w:bookmarkEnd w:id="498"/>
      <w:bookmarkEnd w:id="499"/>
      <w:bookmarkEnd w:id="500"/>
    </w:p>
    <w:p w14:paraId="45CD8014">
      <w:pPr>
        <w:spacing w:after="240"/>
        <w:jc w:val="center"/>
        <w:rPr>
          <w:rFonts w:hint="eastAsia" w:ascii="宋体" w:hAnsi="宋体" w:cs="Tahoma"/>
          <w:color w:val="auto"/>
          <w:sz w:val="18"/>
          <w:szCs w:val="18"/>
          <w:highlight w:val="none"/>
        </w:rPr>
      </w:pPr>
      <w:r>
        <w:rPr>
          <w:rFonts w:hint="eastAsia" w:ascii="宋体" w:hAnsi="宋体" w:cs="宋体"/>
          <w:b/>
          <w:bCs/>
          <w:color w:val="auto"/>
          <w:szCs w:val="21"/>
          <w:highlight w:val="none"/>
        </w:rPr>
        <w:t>（注：本合同样式仅供参考，具体合同内容以甲乙双方签定的合同为准）</w:t>
      </w:r>
    </w:p>
    <w:p w14:paraId="77B75535">
      <w:pPr>
        <w:pStyle w:val="33"/>
        <w:rPr>
          <w:rFonts w:hint="eastAsia" w:ascii="宋体" w:hAnsi="宋体"/>
          <w:color w:val="auto"/>
          <w:highlight w:val="none"/>
        </w:rPr>
      </w:pPr>
    </w:p>
    <w:p w14:paraId="4F4CB934">
      <w:pPr>
        <w:rPr>
          <w:rFonts w:hint="eastAsia" w:ascii="宋体" w:hAnsi="宋体"/>
          <w:color w:val="auto"/>
          <w:highlight w:val="none"/>
        </w:rPr>
      </w:pPr>
    </w:p>
    <w:p w14:paraId="4D69EFE8">
      <w:pPr>
        <w:spacing w:after="120"/>
        <w:rPr>
          <w:rFonts w:hint="eastAsia" w:ascii="宋体" w:hAnsi="宋体"/>
          <w:color w:val="auto"/>
          <w:kern w:val="0"/>
          <w:sz w:val="24"/>
          <w:highlight w:val="none"/>
        </w:rPr>
      </w:pPr>
    </w:p>
    <w:p w14:paraId="74258652">
      <w:pPr>
        <w:rPr>
          <w:rFonts w:hint="eastAsia" w:ascii="宋体" w:hAnsi="宋体"/>
          <w:color w:val="auto"/>
          <w:highlight w:val="none"/>
        </w:rPr>
      </w:pPr>
    </w:p>
    <w:p w14:paraId="5E9EFF55">
      <w:pPr>
        <w:spacing w:after="120"/>
        <w:rPr>
          <w:rFonts w:hint="eastAsia" w:ascii="宋体" w:hAnsi="宋体"/>
          <w:color w:val="auto"/>
          <w:kern w:val="0"/>
          <w:sz w:val="24"/>
          <w:highlight w:val="none"/>
        </w:rPr>
      </w:pPr>
    </w:p>
    <w:p w14:paraId="14B65059">
      <w:pPr>
        <w:spacing w:line="360" w:lineRule="auto"/>
        <w:jc w:val="center"/>
        <w:rPr>
          <w:rFonts w:hint="eastAsia" w:ascii="宋体" w:hAnsi="宋体" w:cs="Tahoma"/>
          <w:b/>
          <w:bCs/>
          <w:color w:val="auto"/>
          <w:sz w:val="32"/>
          <w:szCs w:val="32"/>
          <w:highlight w:val="none"/>
        </w:rPr>
      </w:pPr>
      <w:r>
        <w:rPr>
          <w:rFonts w:hint="eastAsia" w:ascii="宋体" w:hAnsi="宋体" w:cs="Tahoma"/>
          <w:b/>
          <w:bCs/>
          <w:color w:val="auto"/>
          <w:sz w:val="72"/>
          <w:szCs w:val="72"/>
          <w:highlight w:val="none"/>
        </w:rPr>
        <w:t>政 府 采 购 合 同</w:t>
      </w:r>
    </w:p>
    <w:p w14:paraId="31353276">
      <w:pPr>
        <w:spacing w:after="240"/>
        <w:jc w:val="center"/>
        <w:rPr>
          <w:rFonts w:hint="eastAsia" w:ascii="宋体" w:hAnsi="宋体" w:cs="Tahoma"/>
          <w:color w:val="auto"/>
          <w:sz w:val="20"/>
          <w:szCs w:val="20"/>
          <w:highlight w:val="none"/>
        </w:rPr>
      </w:pPr>
      <w:r>
        <w:rPr>
          <w:rFonts w:hint="eastAsia" w:ascii="宋体" w:hAnsi="宋体" w:cs="Tahoma"/>
          <w:color w:val="auto"/>
          <w:sz w:val="36"/>
          <w:szCs w:val="36"/>
          <w:highlight w:val="none"/>
        </w:rPr>
        <w:t>(电子交易项目适用）</w:t>
      </w:r>
    </w:p>
    <w:p w14:paraId="60DDA152">
      <w:pPr>
        <w:spacing w:after="240"/>
        <w:jc w:val="center"/>
        <w:rPr>
          <w:rFonts w:hint="eastAsia" w:ascii="宋体" w:hAnsi="宋体" w:cs="Tahoma"/>
          <w:color w:val="auto"/>
          <w:sz w:val="18"/>
          <w:szCs w:val="18"/>
          <w:highlight w:val="none"/>
        </w:rPr>
      </w:pPr>
    </w:p>
    <w:p w14:paraId="3182B96E">
      <w:pPr>
        <w:spacing w:after="120"/>
        <w:rPr>
          <w:rFonts w:hint="eastAsia" w:ascii="宋体" w:hAnsi="宋体"/>
          <w:color w:val="auto"/>
          <w:kern w:val="0"/>
          <w:sz w:val="24"/>
          <w:highlight w:val="none"/>
        </w:rPr>
      </w:pPr>
    </w:p>
    <w:p w14:paraId="7F10875A">
      <w:pPr>
        <w:rPr>
          <w:rFonts w:hint="eastAsia" w:ascii="宋体" w:hAnsi="宋体"/>
          <w:color w:val="auto"/>
          <w:highlight w:val="none"/>
        </w:rPr>
      </w:pPr>
    </w:p>
    <w:p w14:paraId="38257218">
      <w:pPr>
        <w:spacing w:after="120"/>
        <w:rPr>
          <w:rFonts w:hint="eastAsia" w:ascii="宋体" w:hAnsi="宋体"/>
          <w:color w:val="auto"/>
          <w:kern w:val="0"/>
          <w:sz w:val="24"/>
          <w:highlight w:val="none"/>
        </w:rPr>
      </w:pPr>
    </w:p>
    <w:p w14:paraId="0F96D9DD">
      <w:pPr>
        <w:rPr>
          <w:rFonts w:hint="eastAsia" w:ascii="宋体" w:hAnsi="宋体"/>
          <w:color w:val="auto"/>
          <w:highlight w:val="none"/>
        </w:rPr>
      </w:pPr>
    </w:p>
    <w:p w14:paraId="2930B047">
      <w:pPr>
        <w:spacing w:after="120" w:line="360" w:lineRule="auto"/>
        <w:ind w:firstLine="2127" w:firstLineChars="662"/>
        <w:rPr>
          <w:rFonts w:hint="eastAsia" w:ascii="宋体" w:hAnsi="宋体"/>
          <w:b/>
          <w:bCs/>
          <w:color w:val="auto"/>
          <w:kern w:val="0"/>
          <w:sz w:val="32"/>
          <w:szCs w:val="32"/>
          <w:highlight w:val="none"/>
          <w:u w:val="single"/>
        </w:rPr>
      </w:pPr>
      <w:r>
        <w:rPr>
          <w:rFonts w:hint="eastAsia" w:ascii="宋体" w:hAnsi="宋体"/>
          <w:b/>
          <w:bCs/>
          <w:color w:val="auto"/>
          <w:kern w:val="0"/>
          <w:sz w:val="32"/>
          <w:szCs w:val="32"/>
          <w:highlight w:val="none"/>
        </w:rPr>
        <w:t>项目名称：</w:t>
      </w:r>
      <w:r>
        <w:rPr>
          <w:rFonts w:hint="eastAsia" w:ascii="宋体" w:hAnsi="宋体"/>
          <w:b/>
          <w:bCs/>
          <w:color w:val="auto"/>
          <w:kern w:val="0"/>
          <w:sz w:val="32"/>
          <w:szCs w:val="32"/>
          <w:highlight w:val="none"/>
          <w:u w:val="single"/>
        </w:rPr>
        <w:t xml:space="preserve">                     </w:t>
      </w:r>
    </w:p>
    <w:p w14:paraId="4BE76816">
      <w:pPr>
        <w:spacing w:line="360" w:lineRule="auto"/>
        <w:ind w:firstLine="2127" w:firstLineChars="662"/>
        <w:rPr>
          <w:rFonts w:hint="eastAsia" w:ascii="宋体" w:hAnsi="宋体"/>
          <w:b/>
          <w:bCs/>
          <w:color w:val="auto"/>
          <w:sz w:val="32"/>
          <w:szCs w:val="32"/>
          <w:highlight w:val="none"/>
        </w:rPr>
      </w:pPr>
      <w:r>
        <w:rPr>
          <w:rFonts w:hint="eastAsia" w:ascii="宋体" w:hAnsi="宋体"/>
          <w:b/>
          <w:bCs/>
          <w:color w:val="auto"/>
          <w:sz w:val="32"/>
          <w:szCs w:val="32"/>
          <w:highlight w:val="none"/>
        </w:rPr>
        <w:t>合同编号：</w:t>
      </w:r>
      <w:r>
        <w:rPr>
          <w:rFonts w:hint="eastAsia" w:ascii="宋体" w:hAnsi="宋体"/>
          <w:b/>
          <w:bCs/>
          <w:color w:val="auto"/>
          <w:sz w:val="32"/>
          <w:szCs w:val="32"/>
          <w:highlight w:val="none"/>
          <w:u w:val="single"/>
        </w:rPr>
        <w:t xml:space="preserve">                     </w:t>
      </w:r>
    </w:p>
    <w:p w14:paraId="0790FB19">
      <w:pPr>
        <w:spacing w:after="120"/>
        <w:ind w:firstLine="2127" w:firstLineChars="662"/>
        <w:rPr>
          <w:rFonts w:hint="eastAsia" w:ascii="宋体" w:hAnsi="宋体"/>
          <w:b/>
          <w:bCs/>
          <w:color w:val="auto"/>
          <w:kern w:val="0"/>
          <w:sz w:val="32"/>
          <w:szCs w:val="32"/>
          <w:highlight w:val="none"/>
        </w:rPr>
      </w:pPr>
    </w:p>
    <w:p w14:paraId="5FFD9F29">
      <w:pPr>
        <w:ind w:firstLine="2127" w:firstLineChars="662"/>
        <w:rPr>
          <w:rFonts w:hint="eastAsia" w:ascii="宋体" w:hAnsi="宋体"/>
          <w:b/>
          <w:bCs/>
          <w:color w:val="auto"/>
          <w:sz w:val="32"/>
          <w:szCs w:val="32"/>
          <w:highlight w:val="none"/>
        </w:rPr>
      </w:pPr>
    </w:p>
    <w:p w14:paraId="1FCFC0C3">
      <w:pPr>
        <w:spacing w:after="120"/>
        <w:rPr>
          <w:rFonts w:hint="eastAsia" w:ascii="宋体" w:hAnsi="宋体"/>
          <w:color w:val="auto"/>
          <w:kern w:val="0"/>
          <w:sz w:val="24"/>
          <w:highlight w:val="none"/>
        </w:rPr>
      </w:pPr>
    </w:p>
    <w:p w14:paraId="0022BCA7">
      <w:pPr>
        <w:spacing w:after="120" w:line="360" w:lineRule="auto"/>
        <w:ind w:firstLine="2127" w:firstLineChars="662"/>
        <w:rPr>
          <w:rFonts w:hint="eastAsia" w:ascii="宋体" w:hAnsi="宋体"/>
          <w:b/>
          <w:bCs/>
          <w:color w:val="auto"/>
          <w:kern w:val="0"/>
          <w:sz w:val="32"/>
          <w:szCs w:val="32"/>
          <w:highlight w:val="none"/>
        </w:rPr>
      </w:pPr>
      <w:r>
        <w:rPr>
          <w:rFonts w:hint="eastAsia" w:ascii="宋体" w:hAnsi="宋体"/>
          <w:b/>
          <w:bCs/>
          <w:color w:val="auto"/>
          <w:kern w:val="0"/>
          <w:sz w:val="32"/>
          <w:szCs w:val="32"/>
          <w:highlight w:val="none"/>
        </w:rPr>
        <w:t>甲    方：</w:t>
      </w:r>
      <w:r>
        <w:rPr>
          <w:rFonts w:hint="eastAsia" w:ascii="宋体" w:hAnsi="宋体"/>
          <w:b/>
          <w:bCs/>
          <w:color w:val="auto"/>
          <w:kern w:val="0"/>
          <w:sz w:val="32"/>
          <w:szCs w:val="32"/>
          <w:highlight w:val="none"/>
          <w:u w:val="single"/>
        </w:rPr>
        <w:t xml:space="preserve">                     </w:t>
      </w:r>
    </w:p>
    <w:p w14:paraId="4FAC14E7">
      <w:pPr>
        <w:spacing w:line="360" w:lineRule="auto"/>
        <w:ind w:firstLine="2127" w:firstLineChars="662"/>
        <w:rPr>
          <w:rFonts w:hint="eastAsia" w:ascii="宋体" w:hAnsi="宋体"/>
          <w:b/>
          <w:bCs/>
          <w:color w:val="auto"/>
          <w:sz w:val="32"/>
          <w:szCs w:val="32"/>
          <w:highlight w:val="none"/>
        </w:rPr>
      </w:pPr>
      <w:r>
        <w:rPr>
          <w:rFonts w:hint="eastAsia" w:ascii="宋体" w:hAnsi="宋体"/>
          <w:b/>
          <w:bCs/>
          <w:color w:val="auto"/>
          <w:sz w:val="32"/>
          <w:szCs w:val="32"/>
          <w:highlight w:val="none"/>
        </w:rPr>
        <w:t>乙    方：</w:t>
      </w:r>
      <w:r>
        <w:rPr>
          <w:rFonts w:hint="eastAsia" w:ascii="宋体" w:hAnsi="宋体"/>
          <w:b/>
          <w:bCs/>
          <w:color w:val="auto"/>
          <w:sz w:val="32"/>
          <w:szCs w:val="32"/>
          <w:highlight w:val="none"/>
          <w:u w:val="single"/>
        </w:rPr>
        <w:t xml:space="preserve">                     </w:t>
      </w:r>
    </w:p>
    <w:p w14:paraId="17AAD1A4">
      <w:pPr>
        <w:spacing w:after="120"/>
        <w:jc w:val="center"/>
        <w:rPr>
          <w:rFonts w:hint="eastAsia" w:ascii="宋体" w:hAnsi="宋体" w:cs="宋体"/>
          <w:b/>
          <w:bCs/>
          <w:color w:val="auto"/>
          <w:kern w:val="0"/>
          <w:sz w:val="24"/>
          <w:szCs w:val="21"/>
          <w:highlight w:val="none"/>
        </w:rPr>
      </w:pPr>
    </w:p>
    <w:p w14:paraId="0F393BC6">
      <w:pPr>
        <w:spacing w:after="120"/>
        <w:jc w:val="center"/>
        <w:rPr>
          <w:rFonts w:hint="eastAsia" w:ascii="宋体" w:hAnsi="宋体"/>
          <w:color w:val="auto"/>
          <w:kern w:val="0"/>
          <w:sz w:val="24"/>
          <w:highlight w:val="none"/>
        </w:rPr>
      </w:pPr>
    </w:p>
    <w:p w14:paraId="354FFE76">
      <w:pPr>
        <w:rPr>
          <w:rFonts w:hint="eastAsia" w:ascii="宋体" w:hAnsi="宋体"/>
          <w:b/>
          <w:bCs/>
          <w:color w:val="auto"/>
          <w:sz w:val="16"/>
          <w:szCs w:val="15"/>
          <w:highlight w:val="none"/>
        </w:rPr>
      </w:pPr>
      <w:r>
        <w:rPr>
          <w:rFonts w:hint="eastAsia" w:ascii="宋体" w:hAnsi="宋体" w:cs="Tahoma"/>
          <w:color w:val="auto"/>
          <w:sz w:val="24"/>
          <w:highlight w:val="none"/>
        </w:rPr>
        <w:br w:type="page"/>
      </w:r>
    </w:p>
    <w:p w14:paraId="1C8983A3">
      <w:pPr>
        <w:spacing w:line="360" w:lineRule="auto"/>
        <w:jc w:val="center"/>
        <w:outlineLvl w:val="1"/>
        <w:rPr>
          <w:rFonts w:hint="eastAsia" w:ascii="宋体" w:hAnsi="宋体" w:cs="宋体"/>
          <w:b/>
          <w:bCs/>
          <w:color w:val="auto"/>
          <w:sz w:val="24"/>
          <w:highlight w:val="none"/>
        </w:rPr>
      </w:pPr>
      <w:bookmarkStart w:id="501" w:name="_Toc145366249"/>
      <w:bookmarkStart w:id="502" w:name="_Toc11651"/>
      <w:bookmarkStart w:id="503" w:name="_Toc14464"/>
      <w:bookmarkStart w:id="504" w:name="_Toc147601920"/>
      <w:bookmarkStart w:id="505" w:name="_Toc11202"/>
      <w:bookmarkStart w:id="506" w:name="_Toc145366392"/>
      <w:bookmarkStart w:id="507" w:name="_Toc5801"/>
      <w:r>
        <w:rPr>
          <w:rFonts w:hint="eastAsia" w:ascii="宋体" w:hAnsi="宋体" w:cs="宋体"/>
          <w:b/>
          <w:bCs/>
          <w:color w:val="auto"/>
          <w:sz w:val="24"/>
          <w:highlight w:val="none"/>
        </w:rPr>
        <w:t>第一部分 合同协议书</w:t>
      </w:r>
      <w:bookmarkEnd w:id="501"/>
      <w:bookmarkEnd w:id="502"/>
      <w:bookmarkEnd w:id="503"/>
      <w:bookmarkEnd w:id="504"/>
      <w:bookmarkEnd w:id="505"/>
      <w:bookmarkEnd w:id="506"/>
      <w:bookmarkEnd w:id="507"/>
    </w:p>
    <w:p w14:paraId="628BC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发包人（全称）：               </w:t>
      </w:r>
    </w:p>
    <w:p w14:paraId="28854B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承包人（全称）：               </w:t>
      </w:r>
    </w:p>
    <w:p w14:paraId="1CA57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b/>
          <w:bCs/>
          <w:color w:val="auto"/>
          <w:szCs w:val="21"/>
          <w:highlight w:val="none"/>
          <w:u w:val="single"/>
          <w:lang w:eastAsia="zh-CN"/>
        </w:rPr>
        <w:t>大理护理职业学院眼健康产业学院（一期）建设项目（一标段）</w:t>
      </w:r>
      <w:r>
        <w:rPr>
          <w:rFonts w:hint="eastAsia" w:ascii="宋体" w:hAnsi="宋体" w:cs="宋体"/>
          <w:color w:val="auto"/>
          <w:szCs w:val="21"/>
          <w:highlight w:val="none"/>
        </w:rPr>
        <w:t>施工及有关事项协商一致，共同达成如下协议：</w:t>
      </w:r>
    </w:p>
    <w:p w14:paraId="11D1484F">
      <w:pPr>
        <w:spacing w:line="360" w:lineRule="auto"/>
        <w:ind w:firstLine="422" w:firstLineChars="200"/>
        <w:rPr>
          <w:rFonts w:hint="eastAsia" w:ascii="宋体" w:hAnsi="宋体" w:cs="宋体"/>
          <w:b/>
          <w:bCs/>
          <w:color w:val="auto"/>
          <w:szCs w:val="21"/>
          <w:highlight w:val="none"/>
        </w:rPr>
      </w:pPr>
      <w:bookmarkStart w:id="508" w:name="_Toc351203481"/>
      <w:r>
        <w:rPr>
          <w:rFonts w:hint="eastAsia" w:ascii="宋体" w:hAnsi="宋体" w:cs="宋体"/>
          <w:b/>
          <w:bCs/>
          <w:color w:val="auto"/>
          <w:szCs w:val="21"/>
          <w:highlight w:val="none"/>
        </w:rPr>
        <w:t>一、工程概况</w:t>
      </w:r>
      <w:bookmarkEnd w:id="508"/>
    </w:p>
    <w:p w14:paraId="24CFC37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1.工程名称：</w:t>
      </w:r>
      <w:r>
        <w:rPr>
          <w:rFonts w:hint="eastAsia" w:ascii="宋体" w:hAnsi="宋体" w:cs="宋体"/>
          <w:b/>
          <w:bCs/>
          <w:color w:val="auto"/>
          <w:szCs w:val="21"/>
          <w:highlight w:val="none"/>
          <w:u w:val="single"/>
          <w:lang w:eastAsia="zh-CN"/>
        </w:rPr>
        <w:t>大理护理职业学院眼健康产业学院（一期）建设项目（一标段）</w:t>
      </w:r>
    </w:p>
    <w:p w14:paraId="518B3C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2.工程地点：</w:t>
      </w:r>
      <w:r>
        <w:rPr>
          <w:rFonts w:hint="eastAsia" w:ascii="宋体" w:hAnsi="宋体" w:cs="宋体"/>
          <w:b/>
          <w:bCs/>
          <w:color w:val="auto"/>
          <w:szCs w:val="21"/>
          <w:highlight w:val="none"/>
          <w:u w:val="single"/>
        </w:rPr>
        <w:t xml:space="preserve"> 大理护理职业学院。</w:t>
      </w:r>
    </w:p>
    <w:p w14:paraId="658F37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3.工程立项批准文号：</w:t>
      </w:r>
      <w:r>
        <w:rPr>
          <w:rFonts w:hint="eastAsia" w:ascii="宋体" w:hAnsi="宋体" w:cs="宋体"/>
          <w:b/>
          <w:bCs/>
          <w:color w:val="auto"/>
          <w:szCs w:val="21"/>
          <w:highlight w:val="none"/>
          <w:u w:val="single"/>
        </w:rPr>
        <w:t>/。</w:t>
      </w:r>
    </w:p>
    <w:p w14:paraId="42623D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4.资金来源：</w:t>
      </w:r>
      <w:r>
        <w:rPr>
          <w:rFonts w:hint="eastAsia" w:ascii="宋体" w:hAnsi="宋体" w:eastAsia="宋体" w:cs="宋体"/>
          <w:b/>
          <w:bCs/>
          <w:color w:val="auto"/>
          <w:szCs w:val="21"/>
          <w:highlight w:val="none"/>
          <w:u w:val="single"/>
          <w:lang w:eastAsia="zh-CN"/>
        </w:rPr>
        <w:t>上级财政专项资金及学校自筹</w:t>
      </w:r>
      <w:r>
        <w:rPr>
          <w:rFonts w:hint="eastAsia" w:ascii="宋体" w:hAnsi="宋体" w:cs="宋体"/>
          <w:b/>
          <w:bCs/>
          <w:color w:val="auto"/>
          <w:szCs w:val="21"/>
          <w:highlight w:val="none"/>
          <w:u w:val="single"/>
        </w:rPr>
        <w:t>。</w:t>
      </w:r>
    </w:p>
    <w:p w14:paraId="4DD736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5.工程内容：</w:t>
      </w:r>
      <w:r>
        <w:rPr>
          <w:rFonts w:hint="eastAsia" w:ascii="宋体" w:hAnsi="宋体" w:cs="宋体"/>
          <w:b/>
          <w:bCs/>
          <w:color w:val="auto"/>
          <w:szCs w:val="21"/>
          <w:highlight w:val="none"/>
          <w:u w:val="single"/>
          <w:lang w:eastAsia="zh-CN"/>
        </w:rPr>
        <w:t>拟对大理护理职业学院医学技术系眼视光实训基地进行装修改造，具体内容详见“工程量清单”</w:t>
      </w:r>
      <w:r>
        <w:rPr>
          <w:rFonts w:hint="eastAsia" w:ascii="宋体" w:hAnsi="宋体" w:cs="宋体"/>
          <w:b/>
          <w:bCs/>
          <w:color w:val="auto"/>
          <w:szCs w:val="21"/>
          <w:highlight w:val="none"/>
          <w:u w:val="single"/>
        </w:rPr>
        <w:t>。</w:t>
      </w:r>
    </w:p>
    <w:p w14:paraId="545954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6.工程承包范围：</w:t>
      </w:r>
      <w:r>
        <w:rPr>
          <w:rFonts w:hint="eastAsia" w:ascii="宋体" w:hAnsi="宋体" w:cs="宋体"/>
          <w:b/>
          <w:bCs/>
          <w:color w:val="auto"/>
          <w:szCs w:val="21"/>
          <w:highlight w:val="none"/>
          <w:u w:val="single"/>
        </w:rPr>
        <w:t>本合同及工程量清单所示全部内容。</w:t>
      </w:r>
    </w:p>
    <w:p w14:paraId="01FA62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本项目具体施工范围以施工图（如有）及工程量清单为准。</w:t>
      </w:r>
    </w:p>
    <w:p w14:paraId="7D9AB755">
      <w:pPr>
        <w:spacing w:line="360" w:lineRule="auto"/>
        <w:ind w:firstLine="422" w:firstLineChars="200"/>
        <w:rPr>
          <w:rFonts w:hint="eastAsia" w:ascii="宋体" w:hAnsi="宋体" w:cs="宋体"/>
          <w:b/>
          <w:bCs/>
          <w:color w:val="auto"/>
          <w:szCs w:val="21"/>
          <w:highlight w:val="none"/>
        </w:rPr>
      </w:pPr>
      <w:bookmarkStart w:id="509" w:name="_Toc351203482"/>
      <w:r>
        <w:rPr>
          <w:rFonts w:hint="eastAsia" w:ascii="宋体" w:hAnsi="宋体" w:cs="宋体"/>
          <w:b/>
          <w:bCs/>
          <w:color w:val="auto"/>
          <w:szCs w:val="21"/>
          <w:highlight w:val="none"/>
        </w:rPr>
        <w:t>二、合同工期</w:t>
      </w:r>
      <w:bookmarkEnd w:id="509"/>
    </w:p>
    <w:p w14:paraId="337826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年月日。</w:t>
      </w:r>
    </w:p>
    <w:p w14:paraId="2357A5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年月日。</w:t>
      </w:r>
    </w:p>
    <w:p w14:paraId="7476BE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b/>
          <w:bCs/>
          <w:color w:val="auto"/>
          <w:szCs w:val="21"/>
          <w:highlight w:val="none"/>
          <w:u w:val="single"/>
        </w:rPr>
        <w:t>工期为    天</w:t>
      </w:r>
      <w:r>
        <w:rPr>
          <w:rFonts w:hint="eastAsia" w:ascii="宋体" w:hAnsi="宋体" w:cs="宋体"/>
          <w:color w:val="auto"/>
          <w:szCs w:val="21"/>
          <w:highlight w:val="none"/>
        </w:rPr>
        <w:t>（自合同签订之日起），实际开工时间以开工令批准时间为准。</w:t>
      </w:r>
    </w:p>
    <w:p w14:paraId="0A85A179">
      <w:pPr>
        <w:spacing w:line="360" w:lineRule="auto"/>
        <w:ind w:firstLine="422" w:firstLineChars="200"/>
        <w:rPr>
          <w:rFonts w:hint="eastAsia" w:ascii="宋体" w:hAnsi="宋体" w:cs="宋体"/>
          <w:b/>
          <w:bCs/>
          <w:color w:val="auto"/>
          <w:szCs w:val="21"/>
          <w:highlight w:val="none"/>
        </w:rPr>
      </w:pPr>
      <w:bookmarkStart w:id="510" w:name="_Toc351203483"/>
      <w:r>
        <w:rPr>
          <w:rFonts w:hint="eastAsia" w:ascii="宋体" w:hAnsi="宋体" w:cs="宋体"/>
          <w:b/>
          <w:bCs/>
          <w:color w:val="auto"/>
          <w:szCs w:val="21"/>
          <w:highlight w:val="none"/>
        </w:rPr>
        <w:t>三、质量标准</w:t>
      </w:r>
      <w:bookmarkEnd w:id="510"/>
    </w:p>
    <w:p w14:paraId="439049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工程质量、安全、技术规格、物理特性符合国家标准和行业标准，满足采购需求及合同要求，一次性验收合格。</w:t>
      </w:r>
    </w:p>
    <w:p w14:paraId="115E4D85">
      <w:pPr>
        <w:spacing w:line="360" w:lineRule="auto"/>
        <w:ind w:firstLine="422" w:firstLineChars="200"/>
        <w:rPr>
          <w:rFonts w:hint="eastAsia" w:ascii="宋体" w:hAnsi="宋体" w:cs="宋体"/>
          <w:b/>
          <w:bCs/>
          <w:color w:val="auto"/>
          <w:szCs w:val="21"/>
          <w:highlight w:val="none"/>
        </w:rPr>
      </w:pPr>
      <w:bookmarkStart w:id="511" w:name="_Toc351203484"/>
      <w:r>
        <w:rPr>
          <w:rFonts w:hint="eastAsia" w:ascii="宋体" w:hAnsi="宋体" w:cs="宋体"/>
          <w:b/>
          <w:bCs/>
          <w:color w:val="auto"/>
          <w:szCs w:val="21"/>
          <w:highlight w:val="none"/>
        </w:rPr>
        <w:t>四、签约合同价与合同价格形式</w:t>
      </w:r>
      <w:bookmarkEnd w:id="511"/>
    </w:p>
    <w:p w14:paraId="69D096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1.签约合同价为：</w:t>
      </w:r>
    </w:p>
    <w:p w14:paraId="021CF7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整(¥           元)</w:t>
      </w:r>
      <w:r>
        <w:rPr>
          <w:rFonts w:hint="eastAsia" w:ascii="宋体" w:hAnsi="宋体" w:cs="宋体"/>
          <w:color w:val="auto"/>
          <w:szCs w:val="21"/>
          <w:highlight w:val="none"/>
        </w:rPr>
        <w:t>，其中：</w:t>
      </w:r>
      <w:r>
        <w:rPr>
          <w:rFonts w:hint="eastAsia" w:ascii="宋体" w:hAnsi="宋体" w:cs="宋体"/>
          <w:color w:val="auto"/>
          <w:szCs w:val="21"/>
          <w:highlight w:val="none"/>
          <w:u w:val="single"/>
        </w:rPr>
        <w:t xml:space="preserve">            ；</w:t>
      </w:r>
    </w:p>
    <w:p w14:paraId="2C4D50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（1）安全文明施工费：</w:t>
      </w:r>
    </w:p>
    <w:p w14:paraId="2D046C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整(¥           元)</w:t>
      </w:r>
      <w:r>
        <w:rPr>
          <w:rFonts w:hint="eastAsia" w:ascii="宋体" w:hAnsi="宋体" w:cs="宋体"/>
          <w:color w:val="auto"/>
          <w:szCs w:val="21"/>
          <w:highlight w:val="none"/>
        </w:rPr>
        <w:t>；</w:t>
      </w:r>
    </w:p>
    <w:p w14:paraId="1DD649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（2）材料和工程设备暂估价金额：</w:t>
      </w:r>
    </w:p>
    <w:p w14:paraId="40D09B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整(¥           元)；</w:t>
      </w:r>
    </w:p>
    <w:p w14:paraId="1DD888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（3）专业工程暂估价金额：</w:t>
      </w:r>
    </w:p>
    <w:p w14:paraId="1709D2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整(¥           元)；</w:t>
      </w:r>
    </w:p>
    <w:p w14:paraId="6ECD04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w:t>
      </w:r>
    </w:p>
    <w:p w14:paraId="4A422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整(¥           元)；</w:t>
      </w:r>
    </w:p>
    <w:p w14:paraId="671C5A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b/>
          <w:bCs/>
          <w:color w:val="auto"/>
          <w:szCs w:val="21"/>
          <w:highlight w:val="none"/>
        </w:rPr>
        <w:t>固定综合单价合同</w:t>
      </w:r>
      <w:r>
        <w:rPr>
          <w:rFonts w:hint="eastAsia" w:ascii="宋体" w:hAnsi="宋体" w:cs="宋体"/>
          <w:color w:val="auto"/>
          <w:szCs w:val="21"/>
          <w:highlight w:val="none"/>
        </w:rPr>
        <w:t>（人民币：元）【1.该价格包括承包人为完成磋商范围内所有工作和质量保修所需的全部款项(包括人工、机械、税费及材料费)。其他按合同条款中双方约定的结算方式执行；2.合同结算价以按发包人指定的第三方造价单位审定的结果为准；3.承包人未经发包人确定擅自扩大的工程量，发包人不支付任何费用，若造成损毁的，发包人有权要求恢复原状和赔偿损失(包括直接损失、间接损失及为实现权利所支付的所有费用)；4.若施工过程中发生变更和经济签证，按照专用条款约定的相关内容执行（合同价款不得超过合同总价）】。</w:t>
      </w:r>
    </w:p>
    <w:p w14:paraId="45BDA149">
      <w:pPr>
        <w:spacing w:line="360" w:lineRule="auto"/>
        <w:ind w:firstLine="422" w:firstLineChars="200"/>
        <w:rPr>
          <w:rFonts w:hint="eastAsia" w:ascii="宋体" w:hAnsi="宋体" w:cs="宋体"/>
          <w:b/>
          <w:bCs/>
          <w:color w:val="auto"/>
          <w:szCs w:val="21"/>
          <w:highlight w:val="none"/>
        </w:rPr>
      </w:pPr>
      <w:bookmarkStart w:id="512" w:name="_Toc351203485"/>
      <w:r>
        <w:rPr>
          <w:rFonts w:hint="eastAsia" w:ascii="宋体" w:hAnsi="宋体" w:cs="宋体"/>
          <w:b/>
          <w:bCs/>
          <w:color w:val="auto"/>
          <w:szCs w:val="21"/>
          <w:highlight w:val="none"/>
        </w:rPr>
        <w:t>五、</w:t>
      </w:r>
      <w:bookmarkEnd w:id="512"/>
      <w:r>
        <w:rPr>
          <w:rFonts w:hint="eastAsia" w:ascii="宋体" w:hAnsi="宋体" w:cs="宋体"/>
          <w:b/>
          <w:bCs/>
          <w:color w:val="auto"/>
          <w:szCs w:val="21"/>
          <w:highlight w:val="none"/>
        </w:rPr>
        <w:t>项目经理</w:t>
      </w:r>
    </w:p>
    <w:p w14:paraId="16E134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b/>
          <w:bCs/>
          <w:color w:val="auto"/>
          <w:szCs w:val="21"/>
          <w:highlight w:val="none"/>
          <w:u w:val="single"/>
        </w:rPr>
        <w:t>               。</w:t>
      </w:r>
    </w:p>
    <w:p w14:paraId="58B845E8">
      <w:pPr>
        <w:spacing w:line="360" w:lineRule="auto"/>
        <w:ind w:firstLine="422" w:firstLineChars="200"/>
        <w:rPr>
          <w:rFonts w:hint="eastAsia" w:ascii="宋体" w:hAnsi="宋体" w:cs="宋体"/>
          <w:b/>
          <w:bCs/>
          <w:color w:val="auto"/>
          <w:szCs w:val="21"/>
          <w:highlight w:val="none"/>
        </w:rPr>
      </w:pPr>
      <w:bookmarkStart w:id="513" w:name="_Toc351203486"/>
      <w:r>
        <w:rPr>
          <w:rFonts w:hint="eastAsia" w:ascii="宋体" w:hAnsi="宋体" w:cs="宋体"/>
          <w:b/>
          <w:bCs/>
          <w:color w:val="auto"/>
          <w:szCs w:val="21"/>
          <w:highlight w:val="none"/>
        </w:rPr>
        <w:t>六、合同文件构成</w:t>
      </w:r>
      <w:bookmarkEnd w:id="513"/>
    </w:p>
    <w:p w14:paraId="305EBF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本协议书与下列文件一起构成合同文件：</w:t>
      </w:r>
    </w:p>
    <w:p w14:paraId="3DD26E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4CE6A0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（2）磋商文件、响应文件及其附录；</w:t>
      </w:r>
    </w:p>
    <w:p w14:paraId="46964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0EA91A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086040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（5）采购需求；</w:t>
      </w:r>
    </w:p>
    <w:p w14:paraId="6FA573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（6）图纸（如有）；</w:t>
      </w:r>
    </w:p>
    <w:p w14:paraId="393A4F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D0E5C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7AEE93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2DA140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E41D72B">
      <w:pPr>
        <w:spacing w:line="360" w:lineRule="auto"/>
        <w:ind w:firstLine="422" w:firstLineChars="200"/>
        <w:rPr>
          <w:rFonts w:hint="eastAsia" w:ascii="宋体" w:hAnsi="宋体" w:cs="宋体"/>
          <w:b/>
          <w:bCs/>
          <w:color w:val="auto"/>
          <w:szCs w:val="21"/>
          <w:highlight w:val="none"/>
        </w:rPr>
      </w:pPr>
      <w:bookmarkStart w:id="514" w:name="_Toc351203487"/>
      <w:r>
        <w:rPr>
          <w:rFonts w:hint="eastAsia" w:ascii="宋体" w:hAnsi="宋体" w:cs="宋体"/>
          <w:b/>
          <w:bCs/>
          <w:color w:val="auto"/>
          <w:szCs w:val="21"/>
          <w:highlight w:val="none"/>
        </w:rPr>
        <w:t>七、承诺</w:t>
      </w:r>
      <w:bookmarkEnd w:id="514"/>
    </w:p>
    <w:p w14:paraId="5EE85C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1.发包人承诺按照法律规定履行项目审批手续、筹集工程建设资金并按照合同约定的期限和方式支付合同价款。</w:t>
      </w:r>
    </w:p>
    <w:p w14:paraId="1336F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3FF3ED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3.发包人和承包人通过招投标形式签订合同的，双方理解并承诺不再就同一工程另行签订与合同实质性内容相背离的协议。</w:t>
      </w:r>
    </w:p>
    <w:p w14:paraId="0BF861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若承包人为联合体，发包人可根据联合体协议中各联合体成员分工，分别同联合体各成员签订合同，进行独立结算支付，也可由联合体成员委托牵头人统一与发包人进行结算支付。</w:t>
      </w:r>
    </w:p>
    <w:p w14:paraId="52BB39B2">
      <w:pPr>
        <w:spacing w:line="360" w:lineRule="auto"/>
        <w:ind w:firstLine="422" w:firstLineChars="200"/>
        <w:rPr>
          <w:rFonts w:hint="eastAsia" w:ascii="宋体" w:hAnsi="宋体" w:cs="宋体"/>
          <w:b/>
          <w:bCs/>
          <w:color w:val="auto"/>
          <w:szCs w:val="21"/>
          <w:highlight w:val="none"/>
        </w:rPr>
      </w:pPr>
      <w:bookmarkStart w:id="515" w:name="_Toc351203488"/>
      <w:r>
        <w:rPr>
          <w:rFonts w:hint="eastAsia" w:ascii="宋体" w:hAnsi="宋体" w:cs="宋体"/>
          <w:b/>
          <w:bCs/>
          <w:color w:val="auto"/>
          <w:szCs w:val="21"/>
          <w:highlight w:val="none"/>
        </w:rPr>
        <w:t>八、词语含义</w:t>
      </w:r>
      <w:bookmarkEnd w:id="515"/>
    </w:p>
    <w:p w14:paraId="73A13B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本协议书中词语含义与第二部分通用合同条款中赋予的含义相同。</w:t>
      </w:r>
    </w:p>
    <w:p w14:paraId="0B74958A">
      <w:pPr>
        <w:spacing w:line="360" w:lineRule="auto"/>
        <w:ind w:firstLine="422" w:firstLineChars="200"/>
        <w:rPr>
          <w:rFonts w:hint="eastAsia" w:ascii="宋体" w:hAnsi="宋体" w:cs="宋体"/>
          <w:b/>
          <w:bCs/>
          <w:color w:val="auto"/>
          <w:szCs w:val="21"/>
          <w:highlight w:val="none"/>
        </w:rPr>
      </w:pPr>
      <w:bookmarkStart w:id="516" w:name="_Toc351203489"/>
      <w:r>
        <w:rPr>
          <w:rFonts w:hint="eastAsia" w:ascii="宋体" w:hAnsi="宋体" w:cs="宋体"/>
          <w:b/>
          <w:bCs/>
          <w:color w:val="auto"/>
          <w:szCs w:val="21"/>
          <w:highlight w:val="none"/>
        </w:rPr>
        <w:t>九、签订时间</w:t>
      </w:r>
      <w:bookmarkEnd w:id="516"/>
    </w:p>
    <w:p w14:paraId="129982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b/>
          <w:bCs/>
          <w:color w:val="auto"/>
          <w:szCs w:val="21"/>
          <w:highlight w:val="none"/>
          <w:u w:val="single"/>
        </w:rPr>
        <w:t xml:space="preserve"> 202</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年    月    日</w:t>
      </w:r>
      <w:r>
        <w:rPr>
          <w:rFonts w:hint="eastAsia" w:ascii="宋体" w:hAnsi="宋体" w:cs="宋体"/>
          <w:color w:val="auto"/>
          <w:szCs w:val="21"/>
          <w:highlight w:val="none"/>
        </w:rPr>
        <w:t>签订。</w:t>
      </w:r>
    </w:p>
    <w:p w14:paraId="2628ECDD">
      <w:pPr>
        <w:spacing w:line="360" w:lineRule="auto"/>
        <w:ind w:firstLine="422" w:firstLineChars="200"/>
        <w:rPr>
          <w:rFonts w:hint="eastAsia" w:ascii="宋体" w:hAnsi="宋体" w:cs="宋体"/>
          <w:b/>
          <w:bCs/>
          <w:color w:val="auto"/>
          <w:szCs w:val="21"/>
          <w:highlight w:val="none"/>
        </w:rPr>
      </w:pPr>
      <w:bookmarkStart w:id="517" w:name="_Toc351203490"/>
      <w:r>
        <w:rPr>
          <w:rFonts w:hint="eastAsia" w:ascii="宋体" w:hAnsi="宋体" w:cs="宋体"/>
          <w:b/>
          <w:bCs/>
          <w:color w:val="auto"/>
          <w:szCs w:val="21"/>
          <w:highlight w:val="none"/>
        </w:rPr>
        <w:t>十、签订地点</w:t>
      </w:r>
      <w:bookmarkEnd w:id="517"/>
    </w:p>
    <w:p w14:paraId="0B139D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本合同在 </w:t>
      </w:r>
      <w:r>
        <w:rPr>
          <w:rFonts w:hint="eastAsia" w:ascii="宋体" w:hAnsi="宋体" w:cs="宋体"/>
          <w:b/>
          <w:bCs/>
          <w:color w:val="auto"/>
          <w:szCs w:val="21"/>
          <w:highlight w:val="none"/>
          <w:u w:val="single"/>
        </w:rPr>
        <w:t xml:space="preserve">大理州     </w:t>
      </w:r>
      <w:r>
        <w:rPr>
          <w:rFonts w:hint="eastAsia" w:ascii="宋体" w:hAnsi="宋体" w:cs="宋体"/>
          <w:color w:val="auto"/>
          <w:szCs w:val="21"/>
          <w:highlight w:val="none"/>
        </w:rPr>
        <w:t xml:space="preserve"> 签订。</w:t>
      </w:r>
    </w:p>
    <w:p w14:paraId="0A9967D7">
      <w:pPr>
        <w:spacing w:line="360" w:lineRule="auto"/>
        <w:ind w:firstLine="422" w:firstLineChars="200"/>
        <w:rPr>
          <w:rFonts w:hint="eastAsia" w:ascii="宋体" w:hAnsi="宋体" w:cs="宋体"/>
          <w:b/>
          <w:bCs/>
          <w:color w:val="auto"/>
          <w:szCs w:val="21"/>
          <w:highlight w:val="none"/>
        </w:rPr>
      </w:pPr>
      <w:bookmarkStart w:id="518" w:name="_Toc351203491"/>
      <w:r>
        <w:rPr>
          <w:rFonts w:hint="eastAsia" w:ascii="宋体" w:hAnsi="宋体" w:cs="宋体"/>
          <w:b/>
          <w:bCs/>
          <w:color w:val="auto"/>
          <w:szCs w:val="21"/>
          <w:highlight w:val="none"/>
        </w:rPr>
        <w:t>十一、补充协议</w:t>
      </w:r>
      <w:bookmarkEnd w:id="518"/>
    </w:p>
    <w:p w14:paraId="3A3156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合同未尽事宜，合同当事人另行签订补充协议，补充协议是合同的组成部分。</w:t>
      </w:r>
    </w:p>
    <w:p w14:paraId="11D363CE">
      <w:pPr>
        <w:spacing w:line="360" w:lineRule="auto"/>
        <w:ind w:firstLine="422" w:firstLineChars="200"/>
        <w:rPr>
          <w:rFonts w:hint="eastAsia" w:ascii="宋体" w:hAnsi="宋体" w:cs="宋体"/>
          <w:b/>
          <w:bCs/>
          <w:color w:val="auto"/>
          <w:szCs w:val="21"/>
          <w:highlight w:val="none"/>
        </w:rPr>
      </w:pPr>
      <w:bookmarkStart w:id="519" w:name="_Toc351203492"/>
      <w:r>
        <w:rPr>
          <w:rFonts w:hint="eastAsia" w:ascii="宋体" w:hAnsi="宋体" w:cs="宋体"/>
          <w:b/>
          <w:bCs/>
          <w:color w:val="auto"/>
          <w:szCs w:val="21"/>
          <w:highlight w:val="none"/>
        </w:rPr>
        <w:t>十二、合同生效</w:t>
      </w:r>
      <w:bookmarkEnd w:id="519"/>
    </w:p>
    <w:p w14:paraId="75A888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本合同自 </w:t>
      </w:r>
      <w:r>
        <w:rPr>
          <w:rFonts w:hint="eastAsia" w:ascii="宋体" w:hAnsi="宋体" w:cs="宋体"/>
          <w:b/>
          <w:bCs/>
          <w:color w:val="auto"/>
          <w:szCs w:val="21"/>
          <w:highlight w:val="none"/>
          <w:u w:val="single"/>
        </w:rPr>
        <w:fldChar w:fldCharType="begin"/>
      </w:r>
      <w:r>
        <w:rPr>
          <w:rFonts w:ascii="宋体" w:hAnsi="宋体" w:cs="宋体"/>
          <w:b/>
          <w:bCs/>
          <w:color w:val="auto"/>
          <w:szCs w:val="21"/>
          <w:highlight w:val="none"/>
          <w:u w:val="single"/>
        </w:rPr>
        <w:instrText xml:space="preserve"> AUTOTEXT  input685 \* MERGEFORMAT </w:instrText>
      </w:r>
      <w:r>
        <w:rPr>
          <w:rFonts w:hint="eastAsia" w:ascii="宋体" w:hAnsi="宋体" w:cs="宋体"/>
          <w:b/>
          <w:bCs/>
          <w:color w:val="auto"/>
          <w:szCs w:val="21"/>
          <w:highlight w:val="none"/>
          <w:u w:val="single"/>
        </w:rPr>
        <w:fldChar w:fldCharType="separate"/>
      </w:r>
      <w:r>
        <w:rPr>
          <w:rFonts w:hint="eastAsia" w:ascii="宋体" w:hAnsi="宋体" w:cs="宋体"/>
          <w:b/>
          <w:bCs/>
          <w:color w:val="auto"/>
          <w:szCs w:val="21"/>
          <w:highlight w:val="none"/>
          <w:u w:val="single"/>
        </w:rPr>
        <w:t>发包人、承包人双方法定代表人或授权代表签字，并加盖单位公章后</w:t>
      </w:r>
      <w:r>
        <w:rPr>
          <w:rFonts w:hint="eastAsia" w:ascii="宋体" w:hAnsi="宋体" w:cs="宋体"/>
          <w:b/>
          <w:bCs/>
          <w:color w:val="auto"/>
          <w:szCs w:val="21"/>
          <w:highlight w:val="none"/>
          <w:u w:val="single"/>
        </w:rPr>
        <w:fldChar w:fldCharType="end"/>
      </w:r>
      <w:r>
        <w:rPr>
          <w:rFonts w:hint="eastAsia" w:ascii="宋体" w:hAnsi="宋体" w:cs="宋体"/>
          <w:color w:val="auto"/>
          <w:szCs w:val="21"/>
          <w:highlight w:val="none"/>
        </w:rPr>
        <w:t xml:space="preserve"> 生效。</w:t>
      </w:r>
    </w:p>
    <w:p w14:paraId="5D975482">
      <w:pPr>
        <w:spacing w:line="360" w:lineRule="auto"/>
        <w:ind w:firstLine="422" w:firstLineChars="200"/>
        <w:rPr>
          <w:rFonts w:hint="eastAsia" w:ascii="宋体" w:hAnsi="宋体" w:cs="宋体"/>
          <w:b/>
          <w:bCs/>
          <w:color w:val="auto"/>
          <w:szCs w:val="21"/>
          <w:highlight w:val="none"/>
        </w:rPr>
      </w:pPr>
      <w:bookmarkStart w:id="520" w:name="_Toc351203493"/>
      <w:r>
        <w:rPr>
          <w:rFonts w:hint="eastAsia" w:ascii="宋体" w:hAnsi="宋体" w:cs="宋体"/>
          <w:b/>
          <w:bCs/>
          <w:color w:val="auto"/>
          <w:szCs w:val="21"/>
          <w:highlight w:val="none"/>
        </w:rPr>
        <w:t>十三、合同份数</w:t>
      </w:r>
      <w:bookmarkEnd w:id="520"/>
    </w:p>
    <w:p w14:paraId="1191F1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份，均具有同等法律效力，发包人执</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份，承包人执</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份。</w:t>
      </w:r>
    </w:p>
    <w:tbl>
      <w:tblPr>
        <w:tblStyle w:val="87"/>
        <w:tblpPr w:leftFromText="180" w:rightFromText="180" w:vertAnchor="text" w:horzAnchor="page" w:tblpX="1270" w:tblpY="285"/>
        <w:tblOverlap w:val="never"/>
        <w:tblW w:w="9214" w:type="dxa"/>
        <w:tblInd w:w="0" w:type="dxa"/>
        <w:tblLayout w:type="fixed"/>
        <w:tblCellMar>
          <w:top w:w="0" w:type="dxa"/>
          <w:left w:w="108" w:type="dxa"/>
          <w:bottom w:w="0" w:type="dxa"/>
          <w:right w:w="108" w:type="dxa"/>
        </w:tblCellMar>
      </w:tblPr>
      <w:tblGrid>
        <w:gridCol w:w="1701"/>
        <w:gridCol w:w="3149"/>
        <w:gridCol w:w="1813"/>
        <w:gridCol w:w="2551"/>
      </w:tblGrid>
      <w:tr w14:paraId="38C5136F">
        <w:tblPrEx>
          <w:tblCellMar>
            <w:top w:w="0" w:type="dxa"/>
            <w:left w:w="108" w:type="dxa"/>
            <w:bottom w:w="0" w:type="dxa"/>
            <w:right w:w="108" w:type="dxa"/>
          </w:tblCellMar>
        </w:tblPrEx>
        <w:trPr>
          <w:trHeight w:val="20" w:hRule="atLeast"/>
        </w:trPr>
        <w:tc>
          <w:tcPr>
            <w:tcW w:w="1701" w:type="dxa"/>
            <w:vAlign w:val="center"/>
          </w:tcPr>
          <w:p w14:paraId="26E488F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  包  人：</w:t>
            </w:r>
          </w:p>
        </w:tc>
        <w:tc>
          <w:tcPr>
            <w:tcW w:w="3149" w:type="dxa"/>
            <w:vAlign w:val="center"/>
          </w:tcPr>
          <w:p w14:paraId="28668CCC">
            <w:pPr>
              <w:spacing w:line="360" w:lineRule="auto"/>
              <w:ind w:firstLine="1890" w:firstLineChars="900"/>
              <w:rPr>
                <w:rFonts w:hint="eastAsia" w:ascii="宋体" w:hAnsi="宋体" w:cs="宋体"/>
                <w:color w:val="auto"/>
                <w:szCs w:val="21"/>
                <w:highlight w:val="none"/>
              </w:rPr>
            </w:pPr>
            <w:r>
              <w:rPr>
                <w:rFonts w:hint="eastAsia" w:ascii="宋体" w:hAnsi="宋体" w:cs="宋体"/>
                <w:color w:val="auto"/>
                <w:szCs w:val="21"/>
                <w:highlight w:val="none"/>
              </w:rPr>
              <w:t>(公章)</w:t>
            </w:r>
          </w:p>
        </w:tc>
        <w:tc>
          <w:tcPr>
            <w:tcW w:w="1813" w:type="dxa"/>
            <w:vAlign w:val="center"/>
          </w:tcPr>
          <w:p w14:paraId="013442A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承 包 人：</w:t>
            </w:r>
          </w:p>
        </w:tc>
        <w:tc>
          <w:tcPr>
            <w:tcW w:w="2551" w:type="dxa"/>
            <w:vAlign w:val="center"/>
          </w:tcPr>
          <w:p w14:paraId="4CECF02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(公章)</w:t>
            </w:r>
          </w:p>
        </w:tc>
      </w:tr>
      <w:tr w14:paraId="0CFC3D26">
        <w:tblPrEx>
          <w:tblCellMar>
            <w:top w:w="0" w:type="dxa"/>
            <w:left w:w="108" w:type="dxa"/>
            <w:bottom w:w="0" w:type="dxa"/>
            <w:right w:w="108" w:type="dxa"/>
          </w:tblCellMar>
        </w:tblPrEx>
        <w:trPr>
          <w:trHeight w:val="20" w:hRule="atLeast"/>
        </w:trPr>
        <w:tc>
          <w:tcPr>
            <w:tcW w:w="1701" w:type="dxa"/>
            <w:vAlign w:val="center"/>
          </w:tcPr>
          <w:p w14:paraId="7B8748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3149" w:type="dxa"/>
            <w:vAlign w:val="center"/>
          </w:tcPr>
          <w:p w14:paraId="0FF1E2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（签字）</w:t>
            </w:r>
          </w:p>
        </w:tc>
        <w:tc>
          <w:tcPr>
            <w:tcW w:w="1813" w:type="dxa"/>
            <w:vAlign w:val="center"/>
          </w:tcPr>
          <w:p w14:paraId="4D7BBF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2551" w:type="dxa"/>
            <w:vAlign w:val="center"/>
          </w:tcPr>
          <w:p w14:paraId="1F8002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（签字）</w:t>
            </w:r>
          </w:p>
        </w:tc>
      </w:tr>
      <w:tr w14:paraId="27F43763">
        <w:tblPrEx>
          <w:tblCellMar>
            <w:top w:w="0" w:type="dxa"/>
            <w:left w:w="108" w:type="dxa"/>
            <w:bottom w:w="0" w:type="dxa"/>
            <w:right w:w="108" w:type="dxa"/>
          </w:tblCellMar>
        </w:tblPrEx>
        <w:trPr>
          <w:trHeight w:val="20" w:hRule="atLeast"/>
        </w:trPr>
        <w:tc>
          <w:tcPr>
            <w:tcW w:w="1701" w:type="dxa"/>
            <w:vAlign w:val="center"/>
          </w:tcPr>
          <w:p w14:paraId="43C29D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3149" w:type="dxa"/>
            <w:vAlign w:val="center"/>
          </w:tcPr>
          <w:p w14:paraId="1C20B7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813" w:type="dxa"/>
            <w:vAlign w:val="center"/>
          </w:tcPr>
          <w:p w14:paraId="2E2F63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551" w:type="dxa"/>
            <w:vAlign w:val="center"/>
          </w:tcPr>
          <w:p w14:paraId="6AFDDC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203D6115">
        <w:tblPrEx>
          <w:tblCellMar>
            <w:top w:w="0" w:type="dxa"/>
            <w:left w:w="108" w:type="dxa"/>
            <w:bottom w:w="0" w:type="dxa"/>
            <w:right w:w="108" w:type="dxa"/>
          </w:tblCellMar>
        </w:tblPrEx>
        <w:trPr>
          <w:trHeight w:val="20" w:hRule="atLeast"/>
        </w:trPr>
        <w:tc>
          <w:tcPr>
            <w:tcW w:w="1701" w:type="dxa"/>
            <w:vAlign w:val="center"/>
          </w:tcPr>
          <w:p w14:paraId="5EFD9B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p>
        </w:tc>
        <w:tc>
          <w:tcPr>
            <w:tcW w:w="3149" w:type="dxa"/>
            <w:vAlign w:val="center"/>
          </w:tcPr>
          <w:p w14:paraId="424F8C60">
            <w:pPr>
              <w:spacing w:line="360" w:lineRule="auto"/>
              <w:rPr>
                <w:rFonts w:hint="eastAsia" w:ascii="宋体" w:hAnsi="宋体" w:cs="宋体"/>
                <w:color w:val="auto"/>
                <w:szCs w:val="21"/>
                <w:highlight w:val="none"/>
              </w:rPr>
            </w:pPr>
          </w:p>
        </w:tc>
        <w:tc>
          <w:tcPr>
            <w:tcW w:w="1813" w:type="dxa"/>
            <w:vAlign w:val="center"/>
          </w:tcPr>
          <w:p w14:paraId="00C904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p>
        </w:tc>
        <w:tc>
          <w:tcPr>
            <w:tcW w:w="2551" w:type="dxa"/>
            <w:vAlign w:val="center"/>
          </w:tcPr>
          <w:p w14:paraId="3ABDD9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4BB4D76B">
        <w:tblPrEx>
          <w:tblCellMar>
            <w:top w:w="0" w:type="dxa"/>
            <w:left w:w="108" w:type="dxa"/>
            <w:bottom w:w="0" w:type="dxa"/>
            <w:right w:w="108" w:type="dxa"/>
          </w:tblCellMar>
        </w:tblPrEx>
        <w:trPr>
          <w:trHeight w:val="20" w:hRule="atLeast"/>
        </w:trPr>
        <w:tc>
          <w:tcPr>
            <w:tcW w:w="1701" w:type="dxa"/>
            <w:vAlign w:val="center"/>
          </w:tcPr>
          <w:p w14:paraId="6DC223E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3149" w:type="dxa"/>
            <w:vAlign w:val="center"/>
          </w:tcPr>
          <w:p w14:paraId="4BE7C3AF">
            <w:pPr>
              <w:spacing w:line="360" w:lineRule="auto"/>
              <w:rPr>
                <w:rFonts w:hint="eastAsia" w:ascii="宋体" w:hAnsi="宋体" w:cs="宋体"/>
                <w:color w:val="auto"/>
                <w:szCs w:val="21"/>
                <w:highlight w:val="none"/>
              </w:rPr>
            </w:pPr>
          </w:p>
        </w:tc>
        <w:tc>
          <w:tcPr>
            <w:tcW w:w="1813" w:type="dxa"/>
            <w:vAlign w:val="center"/>
          </w:tcPr>
          <w:p w14:paraId="154AF31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551" w:type="dxa"/>
            <w:vAlign w:val="center"/>
          </w:tcPr>
          <w:p w14:paraId="775D27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7027508C">
        <w:tblPrEx>
          <w:tblCellMar>
            <w:top w:w="0" w:type="dxa"/>
            <w:left w:w="108" w:type="dxa"/>
            <w:bottom w:w="0" w:type="dxa"/>
            <w:right w:w="108" w:type="dxa"/>
          </w:tblCellMar>
        </w:tblPrEx>
        <w:trPr>
          <w:trHeight w:val="20" w:hRule="atLeast"/>
        </w:trPr>
        <w:tc>
          <w:tcPr>
            <w:tcW w:w="1701" w:type="dxa"/>
            <w:vAlign w:val="center"/>
          </w:tcPr>
          <w:p w14:paraId="73B8F74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3149" w:type="dxa"/>
            <w:vAlign w:val="center"/>
          </w:tcPr>
          <w:p w14:paraId="19F2CBEA">
            <w:pPr>
              <w:spacing w:line="360" w:lineRule="auto"/>
              <w:rPr>
                <w:rFonts w:hint="eastAsia" w:ascii="宋体" w:hAnsi="宋体" w:cs="宋体"/>
                <w:color w:val="auto"/>
                <w:szCs w:val="21"/>
                <w:highlight w:val="none"/>
              </w:rPr>
            </w:pPr>
          </w:p>
        </w:tc>
        <w:tc>
          <w:tcPr>
            <w:tcW w:w="1813" w:type="dxa"/>
            <w:vAlign w:val="center"/>
          </w:tcPr>
          <w:p w14:paraId="12858C2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551" w:type="dxa"/>
            <w:vAlign w:val="center"/>
          </w:tcPr>
          <w:p w14:paraId="285F6E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2F9195A9">
        <w:tblPrEx>
          <w:tblCellMar>
            <w:top w:w="0" w:type="dxa"/>
            <w:left w:w="108" w:type="dxa"/>
            <w:bottom w:w="0" w:type="dxa"/>
            <w:right w:w="108" w:type="dxa"/>
          </w:tblCellMar>
        </w:tblPrEx>
        <w:trPr>
          <w:trHeight w:val="20" w:hRule="atLeast"/>
        </w:trPr>
        <w:tc>
          <w:tcPr>
            <w:tcW w:w="1701" w:type="dxa"/>
            <w:vAlign w:val="center"/>
          </w:tcPr>
          <w:p w14:paraId="2F4A048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3149" w:type="dxa"/>
            <w:vAlign w:val="center"/>
          </w:tcPr>
          <w:p w14:paraId="459D21BC">
            <w:pPr>
              <w:spacing w:line="360" w:lineRule="auto"/>
              <w:rPr>
                <w:rFonts w:hint="eastAsia" w:ascii="宋体" w:hAnsi="宋体" w:cs="宋体"/>
                <w:color w:val="auto"/>
                <w:szCs w:val="21"/>
                <w:highlight w:val="none"/>
              </w:rPr>
            </w:pPr>
          </w:p>
        </w:tc>
        <w:tc>
          <w:tcPr>
            <w:tcW w:w="1813" w:type="dxa"/>
            <w:vAlign w:val="center"/>
          </w:tcPr>
          <w:p w14:paraId="38240FF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551" w:type="dxa"/>
            <w:vAlign w:val="center"/>
          </w:tcPr>
          <w:p w14:paraId="5A84B1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3E6191E9">
        <w:tblPrEx>
          <w:tblCellMar>
            <w:top w:w="0" w:type="dxa"/>
            <w:left w:w="108" w:type="dxa"/>
            <w:bottom w:w="0" w:type="dxa"/>
            <w:right w:w="108" w:type="dxa"/>
          </w:tblCellMar>
        </w:tblPrEx>
        <w:trPr>
          <w:trHeight w:val="20" w:hRule="atLeast"/>
        </w:trPr>
        <w:tc>
          <w:tcPr>
            <w:tcW w:w="1701" w:type="dxa"/>
            <w:vAlign w:val="center"/>
          </w:tcPr>
          <w:p w14:paraId="7F2735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电子信箱：</w:t>
            </w:r>
          </w:p>
        </w:tc>
        <w:tc>
          <w:tcPr>
            <w:tcW w:w="3149" w:type="dxa"/>
            <w:vAlign w:val="center"/>
          </w:tcPr>
          <w:p w14:paraId="1E4DCF5F">
            <w:pPr>
              <w:spacing w:line="360" w:lineRule="auto"/>
              <w:rPr>
                <w:rFonts w:hint="eastAsia" w:ascii="宋体" w:hAnsi="宋体" w:cs="宋体"/>
                <w:color w:val="auto"/>
                <w:szCs w:val="21"/>
                <w:highlight w:val="none"/>
              </w:rPr>
            </w:pPr>
          </w:p>
        </w:tc>
        <w:tc>
          <w:tcPr>
            <w:tcW w:w="1813" w:type="dxa"/>
            <w:vAlign w:val="center"/>
          </w:tcPr>
          <w:p w14:paraId="2A1941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电子信箱：</w:t>
            </w:r>
          </w:p>
        </w:tc>
        <w:tc>
          <w:tcPr>
            <w:tcW w:w="2551" w:type="dxa"/>
            <w:vAlign w:val="center"/>
          </w:tcPr>
          <w:p w14:paraId="25F4E0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3447B7C9">
        <w:tblPrEx>
          <w:tblCellMar>
            <w:top w:w="0" w:type="dxa"/>
            <w:left w:w="108" w:type="dxa"/>
            <w:bottom w:w="0" w:type="dxa"/>
            <w:right w:w="108" w:type="dxa"/>
          </w:tblCellMar>
        </w:tblPrEx>
        <w:trPr>
          <w:trHeight w:val="20" w:hRule="atLeast"/>
        </w:trPr>
        <w:tc>
          <w:tcPr>
            <w:tcW w:w="1701" w:type="dxa"/>
            <w:vAlign w:val="center"/>
          </w:tcPr>
          <w:p w14:paraId="402765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3149" w:type="dxa"/>
            <w:vAlign w:val="center"/>
          </w:tcPr>
          <w:p w14:paraId="4264E8CD">
            <w:pPr>
              <w:spacing w:line="360" w:lineRule="auto"/>
              <w:rPr>
                <w:rFonts w:hint="eastAsia" w:ascii="宋体" w:hAnsi="宋体" w:cs="宋体"/>
                <w:color w:val="auto"/>
                <w:szCs w:val="21"/>
                <w:highlight w:val="none"/>
              </w:rPr>
            </w:pPr>
          </w:p>
        </w:tc>
        <w:tc>
          <w:tcPr>
            <w:tcW w:w="1813" w:type="dxa"/>
            <w:vAlign w:val="center"/>
          </w:tcPr>
          <w:p w14:paraId="3443C7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551" w:type="dxa"/>
            <w:vAlign w:val="center"/>
          </w:tcPr>
          <w:p w14:paraId="273841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31232CBB">
        <w:tblPrEx>
          <w:tblCellMar>
            <w:top w:w="0" w:type="dxa"/>
            <w:left w:w="108" w:type="dxa"/>
            <w:bottom w:w="0" w:type="dxa"/>
            <w:right w:w="108" w:type="dxa"/>
          </w:tblCellMar>
        </w:tblPrEx>
        <w:trPr>
          <w:trHeight w:val="20" w:hRule="atLeast"/>
        </w:trPr>
        <w:tc>
          <w:tcPr>
            <w:tcW w:w="1701" w:type="dxa"/>
            <w:vAlign w:val="center"/>
          </w:tcPr>
          <w:p w14:paraId="3E627B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p>
        </w:tc>
        <w:tc>
          <w:tcPr>
            <w:tcW w:w="3149" w:type="dxa"/>
            <w:vAlign w:val="center"/>
          </w:tcPr>
          <w:p w14:paraId="6317842D">
            <w:pPr>
              <w:spacing w:line="360" w:lineRule="auto"/>
              <w:rPr>
                <w:rFonts w:hint="eastAsia" w:ascii="宋体" w:hAnsi="宋体" w:cs="宋体"/>
                <w:color w:val="auto"/>
                <w:szCs w:val="21"/>
                <w:highlight w:val="none"/>
              </w:rPr>
            </w:pPr>
          </w:p>
        </w:tc>
        <w:tc>
          <w:tcPr>
            <w:tcW w:w="1813" w:type="dxa"/>
            <w:vAlign w:val="center"/>
          </w:tcPr>
          <w:p w14:paraId="1836A6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p>
        </w:tc>
        <w:tc>
          <w:tcPr>
            <w:tcW w:w="2551" w:type="dxa"/>
            <w:vAlign w:val="center"/>
          </w:tcPr>
          <w:p w14:paraId="038F72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bl>
    <w:p w14:paraId="2D77DEB2">
      <w:pPr>
        <w:spacing w:line="360" w:lineRule="auto"/>
        <w:ind w:firstLine="420" w:firstLineChars="200"/>
        <w:rPr>
          <w:rFonts w:hint="eastAsia" w:ascii="宋体" w:hAnsi="宋体" w:cs="宋体"/>
          <w:color w:val="auto"/>
          <w:szCs w:val="21"/>
          <w:highlight w:val="none"/>
        </w:rPr>
      </w:pPr>
    </w:p>
    <w:p w14:paraId="6AA7278E">
      <w:pPr>
        <w:spacing w:line="360" w:lineRule="auto"/>
        <w:jc w:val="center"/>
        <w:outlineLvl w:val="1"/>
        <w:rPr>
          <w:rFonts w:hint="eastAsia" w:ascii="宋体" w:hAnsi="宋体" w:cs="宋体"/>
          <w:b/>
          <w:bCs/>
          <w:color w:val="auto"/>
          <w:sz w:val="24"/>
          <w:highlight w:val="none"/>
        </w:rPr>
      </w:pPr>
      <w:bookmarkStart w:id="521" w:name="_Toc5657"/>
      <w:bookmarkStart w:id="522" w:name="_Toc22237"/>
      <w:bookmarkStart w:id="523" w:name="_Toc21077"/>
      <w:bookmarkStart w:id="524" w:name="_Toc11400"/>
      <w:bookmarkStart w:id="525" w:name="_Toc351203494"/>
      <w:r>
        <w:rPr>
          <w:rFonts w:hint="eastAsia" w:ascii="宋体" w:hAnsi="宋体" w:cs="宋体"/>
          <w:color w:val="auto"/>
          <w:sz w:val="24"/>
          <w:highlight w:val="none"/>
        </w:rPr>
        <w:br w:type="page"/>
      </w:r>
      <w:bookmarkStart w:id="526" w:name="_Toc147601921"/>
      <w:bookmarkStart w:id="527" w:name="_Toc145366250"/>
      <w:bookmarkStart w:id="528" w:name="_Toc145366393"/>
      <w:r>
        <w:rPr>
          <w:rFonts w:hint="eastAsia" w:ascii="宋体" w:hAnsi="宋体" w:cs="宋体"/>
          <w:b/>
          <w:bCs/>
          <w:color w:val="auto"/>
          <w:sz w:val="24"/>
          <w:highlight w:val="none"/>
        </w:rPr>
        <w:t>第二部分 通用合同条款</w:t>
      </w:r>
      <w:bookmarkEnd w:id="521"/>
      <w:bookmarkEnd w:id="522"/>
      <w:bookmarkEnd w:id="523"/>
      <w:bookmarkEnd w:id="524"/>
      <w:bookmarkEnd w:id="525"/>
      <w:bookmarkEnd w:id="526"/>
      <w:bookmarkEnd w:id="527"/>
      <w:bookmarkEnd w:id="528"/>
      <w:bookmarkStart w:id="529" w:name="_Toc337558727"/>
    </w:p>
    <w:bookmarkEnd w:id="529"/>
    <w:p w14:paraId="29A56B13">
      <w:pPr>
        <w:spacing w:line="360" w:lineRule="auto"/>
        <w:ind w:firstLine="422" w:firstLineChars="200"/>
        <w:jc w:val="center"/>
        <w:rPr>
          <w:rFonts w:hint="eastAsia" w:ascii="宋体" w:hAnsi="宋体" w:cs="宋体"/>
          <w:b/>
          <w:bCs/>
          <w:color w:val="auto"/>
          <w:szCs w:val="21"/>
          <w:highlight w:val="none"/>
        </w:rPr>
      </w:pPr>
      <w:bookmarkStart w:id="530" w:name="_Toc296346647"/>
      <w:bookmarkStart w:id="531" w:name="_Toc337558840"/>
      <w:bookmarkStart w:id="532" w:name="_Toc296503146"/>
    </w:p>
    <w:p w14:paraId="4A096E60">
      <w:pPr>
        <w:spacing w:line="360" w:lineRule="auto"/>
        <w:ind w:firstLine="422" w:firstLineChars="200"/>
        <w:jc w:val="center"/>
        <w:rPr>
          <w:rFonts w:hint="eastAsia" w:ascii="宋体" w:hAnsi="宋体" w:cs="宋体"/>
          <w:b/>
          <w:bCs/>
          <w:color w:val="auto"/>
          <w:szCs w:val="21"/>
          <w:highlight w:val="none"/>
        </w:rPr>
      </w:pPr>
      <w:r>
        <w:rPr>
          <w:rFonts w:hint="eastAsia" w:ascii="宋体" w:hAnsi="宋体" w:cs="宋体"/>
          <w:b/>
          <w:bCs/>
          <w:color w:val="auto"/>
          <w:szCs w:val="21"/>
          <w:highlight w:val="none"/>
        </w:rPr>
        <w:t>按照《建设工程施工合同（示范文本）》（GF-2017-0201）执行</w:t>
      </w:r>
    </w:p>
    <w:p w14:paraId="66DC34BC">
      <w:pPr>
        <w:spacing w:line="360" w:lineRule="auto"/>
        <w:ind w:firstLine="422" w:firstLineChars="200"/>
        <w:rPr>
          <w:rFonts w:hint="eastAsia" w:ascii="宋体" w:hAnsi="宋体" w:cs="宋体"/>
          <w:b/>
          <w:bCs/>
          <w:color w:val="auto"/>
          <w:szCs w:val="21"/>
          <w:highlight w:val="none"/>
        </w:rPr>
      </w:pPr>
    </w:p>
    <w:bookmarkEnd w:id="530"/>
    <w:bookmarkEnd w:id="531"/>
    <w:bookmarkEnd w:id="532"/>
    <w:p w14:paraId="28E004AA">
      <w:pPr>
        <w:spacing w:line="360" w:lineRule="auto"/>
        <w:jc w:val="center"/>
        <w:outlineLvl w:val="1"/>
        <w:rPr>
          <w:rFonts w:hint="eastAsia" w:ascii="宋体" w:hAnsi="宋体" w:cs="宋体"/>
          <w:b/>
          <w:bCs/>
          <w:color w:val="auto"/>
          <w:sz w:val="24"/>
          <w:highlight w:val="none"/>
        </w:rPr>
      </w:pPr>
      <w:bookmarkStart w:id="533" w:name="_Toc351203632"/>
      <w:bookmarkStart w:id="534" w:name="_Toc983"/>
      <w:bookmarkStart w:id="535" w:name="_Toc30907"/>
      <w:bookmarkStart w:id="536" w:name="_Toc5683"/>
      <w:bookmarkStart w:id="537" w:name="_Toc21245"/>
      <w:r>
        <w:rPr>
          <w:rFonts w:hint="eastAsia" w:ascii="宋体" w:hAnsi="宋体" w:cs="宋体"/>
          <w:color w:val="auto"/>
          <w:sz w:val="24"/>
          <w:highlight w:val="none"/>
        </w:rPr>
        <w:br w:type="page"/>
      </w:r>
      <w:bookmarkStart w:id="538" w:name="_Toc145366394"/>
      <w:bookmarkStart w:id="539" w:name="_Toc145366251"/>
      <w:bookmarkStart w:id="540" w:name="_Toc147601922"/>
      <w:r>
        <w:rPr>
          <w:rFonts w:hint="eastAsia" w:ascii="宋体" w:hAnsi="宋体" w:cs="宋体"/>
          <w:b/>
          <w:bCs/>
          <w:color w:val="auto"/>
          <w:sz w:val="24"/>
          <w:highlight w:val="none"/>
        </w:rPr>
        <w:t>第三部分 专用合同条款</w:t>
      </w:r>
      <w:bookmarkEnd w:id="533"/>
      <w:bookmarkEnd w:id="534"/>
      <w:bookmarkEnd w:id="535"/>
      <w:bookmarkEnd w:id="536"/>
      <w:bookmarkEnd w:id="537"/>
      <w:bookmarkEnd w:id="538"/>
      <w:bookmarkEnd w:id="539"/>
      <w:bookmarkEnd w:id="540"/>
    </w:p>
    <w:p w14:paraId="351FA49B">
      <w:pPr>
        <w:spacing w:line="360" w:lineRule="auto"/>
        <w:ind w:firstLine="420" w:firstLineChars="200"/>
        <w:rPr>
          <w:rFonts w:hint="eastAsia" w:ascii="宋体" w:hAnsi="宋体" w:cs="宋体"/>
          <w:color w:val="auto"/>
          <w:szCs w:val="21"/>
          <w:highlight w:val="none"/>
        </w:rPr>
      </w:pPr>
      <w:bookmarkStart w:id="541" w:name="_Toc351203633"/>
      <w:r>
        <w:rPr>
          <w:rFonts w:hint="eastAsia" w:ascii="宋体" w:hAnsi="宋体" w:cs="宋体"/>
          <w:color w:val="auto"/>
          <w:szCs w:val="21"/>
          <w:highlight w:val="none"/>
        </w:rPr>
        <w:t>1</w:t>
      </w:r>
      <w:bookmarkStart w:id="542" w:name="_Toc292559361"/>
      <w:bookmarkStart w:id="543" w:name="_Toc296891196"/>
      <w:bookmarkStart w:id="544" w:name="_Toc297120456"/>
      <w:bookmarkStart w:id="545" w:name="_Toc292559866"/>
      <w:bookmarkStart w:id="546" w:name="_Toc296346657"/>
      <w:bookmarkStart w:id="547" w:name="_Toc296944495"/>
      <w:bookmarkStart w:id="548" w:name="_Toc296890984"/>
      <w:bookmarkStart w:id="549" w:name="_Toc296503156"/>
      <w:bookmarkStart w:id="550" w:name="_Toc296347155"/>
      <w:bookmarkStart w:id="551" w:name="_Toc297048342"/>
      <w:r>
        <w:rPr>
          <w:rFonts w:hint="eastAsia" w:ascii="宋体" w:hAnsi="宋体" w:cs="宋体"/>
          <w:color w:val="auto"/>
          <w:szCs w:val="21"/>
          <w:highlight w:val="none"/>
        </w:rPr>
        <w:t>. 一般约定</w:t>
      </w:r>
      <w:bookmarkEnd w:id="541"/>
    </w:p>
    <w:bookmarkEnd w:id="542"/>
    <w:bookmarkEnd w:id="543"/>
    <w:bookmarkEnd w:id="544"/>
    <w:bookmarkEnd w:id="545"/>
    <w:bookmarkEnd w:id="546"/>
    <w:bookmarkEnd w:id="547"/>
    <w:bookmarkEnd w:id="548"/>
    <w:bookmarkEnd w:id="549"/>
    <w:bookmarkEnd w:id="550"/>
    <w:bookmarkEnd w:id="551"/>
    <w:p w14:paraId="19FAA6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词语定义</w:t>
      </w:r>
    </w:p>
    <w:p w14:paraId="3FD80E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1.1.1合同</w:t>
      </w:r>
    </w:p>
    <w:p w14:paraId="5EA05AE5">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1.1.1.10其他合同文件包括：</w:t>
      </w:r>
      <w:r>
        <w:rPr>
          <w:rFonts w:hint="eastAsia" w:ascii="宋体" w:hAnsi="宋体" w:cs="宋体"/>
          <w:b/>
          <w:bCs/>
          <w:color w:val="auto"/>
          <w:szCs w:val="21"/>
          <w:highlight w:val="none"/>
          <w:u w:val="single"/>
        </w:rPr>
        <w:t>1.技术标准和要求：是指根据法律法规、规章、规范性文件和行业规范的有关规定，用以明确现场条件、周围环境、承包范围、适用规范、技术标准等内容的文件，是合同文件的组成部分。2.施工组织设计，经双方签署认可的补充协议、补充条款，合同履行过程中经参建各方参会形成的会议纪要及实施过程中的往来文件资料。</w:t>
      </w:r>
    </w:p>
    <w:p w14:paraId="48CBF0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合同当事人及其他相关方</w:t>
      </w:r>
    </w:p>
    <w:p w14:paraId="52CE0C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1.1.2.4监理人：</w:t>
      </w:r>
    </w:p>
    <w:p w14:paraId="45BC4E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b/>
          <w:bCs/>
          <w:color w:val="auto"/>
          <w:szCs w:val="21"/>
          <w:highlight w:val="none"/>
          <w:u w:val="single"/>
        </w:rPr>
        <w:t>详见监理合同。</w:t>
      </w:r>
    </w:p>
    <w:p w14:paraId="640B50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b/>
          <w:bCs/>
          <w:color w:val="auto"/>
          <w:szCs w:val="21"/>
          <w:highlight w:val="none"/>
          <w:u w:val="single"/>
        </w:rPr>
        <w:t xml:space="preserve">           。</w:t>
      </w:r>
    </w:p>
    <w:p w14:paraId="212A30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b/>
          <w:bCs/>
          <w:color w:val="auto"/>
          <w:szCs w:val="21"/>
          <w:highlight w:val="none"/>
          <w:u w:val="single"/>
        </w:rPr>
        <w:t xml:space="preserve">          。</w:t>
      </w:r>
    </w:p>
    <w:p w14:paraId="6A82A0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b/>
          <w:bCs/>
          <w:color w:val="auto"/>
          <w:szCs w:val="21"/>
          <w:highlight w:val="none"/>
          <w:u w:val="single"/>
        </w:rPr>
        <w:t xml:space="preserve">          。</w:t>
      </w:r>
    </w:p>
    <w:p w14:paraId="304F05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b/>
          <w:bCs/>
          <w:color w:val="auto"/>
          <w:szCs w:val="21"/>
          <w:highlight w:val="none"/>
          <w:u w:val="single"/>
        </w:rPr>
        <w:t xml:space="preserve">          。</w:t>
      </w:r>
    </w:p>
    <w:p w14:paraId="629B60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 设计人：</w:t>
      </w:r>
    </w:p>
    <w:p w14:paraId="7DCA38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b/>
          <w:bCs/>
          <w:color w:val="auto"/>
          <w:szCs w:val="21"/>
          <w:highlight w:val="none"/>
          <w:u w:val="single"/>
        </w:rPr>
        <w:t xml:space="preserve">       /   。</w:t>
      </w:r>
    </w:p>
    <w:p w14:paraId="51E647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b/>
          <w:bCs/>
          <w:color w:val="auto"/>
          <w:szCs w:val="21"/>
          <w:highlight w:val="none"/>
          <w:u w:val="single"/>
        </w:rPr>
        <w:t xml:space="preserve">       /   。</w:t>
      </w:r>
    </w:p>
    <w:p w14:paraId="0A5BE5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b/>
          <w:bCs/>
          <w:color w:val="auto"/>
          <w:szCs w:val="21"/>
          <w:highlight w:val="none"/>
          <w:u w:val="single"/>
        </w:rPr>
        <w:t xml:space="preserve">       /   。</w:t>
      </w:r>
    </w:p>
    <w:p w14:paraId="028A9F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b/>
          <w:bCs/>
          <w:color w:val="auto"/>
          <w:szCs w:val="21"/>
          <w:highlight w:val="none"/>
          <w:u w:val="single"/>
        </w:rPr>
        <w:t xml:space="preserve">       /   。</w:t>
      </w:r>
    </w:p>
    <w:p w14:paraId="1B25BC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b/>
          <w:bCs/>
          <w:color w:val="auto"/>
          <w:szCs w:val="21"/>
          <w:highlight w:val="none"/>
          <w:u w:val="single"/>
        </w:rPr>
        <w:t xml:space="preserve">       /   。</w:t>
      </w:r>
    </w:p>
    <w:p w14:paraId="11C45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34203E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1.1.3.7 作为施工现场组成部分的其他场所包括：符合通用条款规定的发包方提供的施工场地。</w:t>
      </w:r>
    </w:p>
    <w:p w14:paraId="540EA9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1.1.3.9 永久占地包括：依据设计图纸确定（如有）。</w:t>
      </w:r>
    </w:p>
    <w:p w14:paraId="51811B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1.1.3.10 临时占地包括：现场临时办公及施工场地。</w:t>
      </w:r>
    </w:p>
    <w:p w14:paraId="61033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1.3法律 </w:t>
      </w:r>
    </w:p>
    <w:p w14:paraId="526D374D">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适用于合同的其他规范性文件：</w:t>
      </w:r>
      <w:r>
        <w:rPr>
          <w:rFonts w:hint="eastAsia" w:ascii="宋体" w:hAnsi="宋体" w:cs="宋体"/>
          <w:b/>
          <w:bCs/>
          <w:color w:val="auto"/>
          <w:szCs w:val="21"/>
          <w:highlight w:val="none"/>
          <w:u w:val="single"/>
        </w:rPr>
        <w:t>按通用条款执行。</w:t>
      </w:r>
    </w:p>
    <w:p w14:paraId="42EF62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标准和规范</w:t>
      </w:r>
    </w:p>
    <w:p w14:paraId="74995D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1.4.1适用于工程的标准规范包括：</w:t>
      </w:r>
      <w:r>
        <w:rPr>
          <w:rFonts w:hint="eastAsia" w:ascii="宋体" w:hAnsi="宋体" w:cs="宋体"/>
          <w:b/>
          <w:bCs/>
          <w:color w:val="auto"/>
          <w:szCs w:val="21"/>
          <w:highlight w:val="none"/>
          <w:u w:val="single"/>
        </w:rPr>
        <w:t>按通用条款执行。</w:t>
      </w:r>
    </w:p>
    <w:p w14:paraId="3A9C95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发包人提供国外标准、规范的名称：</w:t>
      </w:r>
      <w:r>
        <w:rPr>
          <w:rFonts w:hint="eastAsia" w:ascii="宋体" w:hAnsi="宋体" w:cs="宋体"/>
          <w:b/>
          <w:bCs/>
          <w:color w:val="auto"/>
          <w:szCs w:val="21"/>
          <w:highlight w:val="none"/>
          <w:u w:val="single"/>
        </w:rPr>
        <w:t xml:space="preserve">       /   </w:t>
      </w:r>
      <w:r>
        <w:rPr>
          <w:rFonts w:hint="eastAsia" w:ascii="宋体" w:hAnsi="宋体" w:cs="宋体"/>
          <w:color w:val="auto"/>
          <w:szCs w:val="21"/>
          <w:highlight w:val="none"/>
        </w:rPr>
        <w:t>；</w:t>
      </w:r>
    </w:p>
    <w:p w14:paraId="2412FF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发包人提供国外标准、规范的份数：</w:t>
      </w:r>
      <w:r>
        <w:rPr>
          <w:rFonts w:hint="eastAsia" w:ascii="宋体" w:hAnsi="宋体" w:cs="宋体"/>
          <w:b/>
          <w:bCs/>
          <w:color w:val="auto"/>
          <w:szCs w:val="21"/>
          <w:highlight w:val="none"/>
          <w:u w:val="single"/>
        </w:rPr>
        <w:t xml:space="preserve">       /   </w:t>
      </w:r>
      <w:r>
        <w:rPr>
          <w:rFonts w:hint="eastAsia" w:ascii="宋体" w:hAnsi="宋体" w:cs="宋体"/>
          <w:color w:val="auto"/>
          <w:szCs w:val="21"/>
          <w:highlight w:val="none"/>
        </w:rPr>
        <w:t>；</w:t>
      </w:r>
    </w:p>
    <w:p w14:paraId="07CFF9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发包人提供国外标准、规范的名称：</w:t>
      </w:r>
      <w:r>
        <w:rPr>
          <w:rFonts w:hint="eastAsia" w:ascii="宋体" w:hAnsi="宋体" w:cs="宋体"/>
          <w:b/>
          <w:bCs/>
          <w:color w:val="auto"/>
          <w:szCs w:val="21"/>
          <w:highlight w:val="none"/>
          <w:u w:val="single"/>
        </w:rPr>
        <w:t xml:space="preserve">       /   </w:t>
      </w:r>
      <w:r>
        <w:rPr>
          <w:rFonts w:hint="eastAsia" w:ascii="宋体" w:hAnsi="宋体" w:cs="宋体"/>
          <w:color w:val="auto"/>
          <w:szCs w:val="21"/>
          <w:highlight w:val="none"/>
        </w:rPr>
        <w:t>；</w:t>
      </w:r>
    </w:p>
    <w:p w14:paraId="509DEB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b/>
          <w:bCs/>
          <w:color w:val="auto"/>
          <w:szCs w:val="21"/>
          <w:highlight w:val="none"/>
          <w:u w:val="single"/>
        </w:rPr>
        <w:t xml:space="preserve">       /   </w:t>
      </w:r>
      <w:r>
        <w:rPr>
          <w:rFonts w:hint="eastAsia" w:ascii="宋体" w:hAnsi="宋体" w:cs="宋体"/>
          <w:color w:val="auto"/>
          <w:szCs w:val="21"/>
          <w:highlight w:val="none"/>
        </w:rPr>
        <w:t>。</w:t>
      </w:r>
    </w:p>
    <w:p w14:paraId="555321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 合同文件的优先顺序</w:t>
      </w:r>
    </w:p>
    <w:p w14:paraId="71470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合同文件组成及优先顺序为：</w:t>
      </w:r>
    </w:p>
    <w:p w14:paraId="4DFC72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（1）本合同书面补充协议以及合同履行中，双方有关工程的洽谈、变更等书面协议或文件；</w:t>
      </w:r>
    </w:p>
    <w:p w14:paraId="68CE9E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（2）合同协议书；</w:t>
      </w:r>
    </w:p>
    <w:p w14:paraId="59A009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（3）中标（成交）通知书；</w:t>
      </w:r>
    </w:p>
    <w:p w14:paraId="6B89CD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（4）磋商响应文件及其附录；</w:t>
      </w:r>
    </w:p>
    <w:p w14:paraId="20A0D4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（5）专用合同条款及其附件；</w:t>
      </w:r>
    </w:p>
    <w:p w14:paraId="5508DB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（6）竞争性磋商文件；</w:t>
      </w:r>
    </w:p>
    <w:p w14:paraId="4FC6A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（7）通用合同条款；</w:t>
      </w:r>
    </w:p>
    <w:p w14:paraId="12B509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（8）技术标准和要求；</w:t>
      </w:r>
    </w:p>
    <w:p w14:paraId="464ABE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（9）图纸；</w:t>
      </w:r>
    </w:p>
    <w:p w14:paraId="3C89D2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（10）已标价工程量清单或预算书；</w:t>
      </w:r>
    </w:p>
    <w:p w14:paraId="0E61F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（11）其他合同文件。</w:t>
      </w:r>
    </w:p>
    <w:p w14:paraId="5EEEC5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如本合同在执行过程中，对合同的执行内容有特别约定和补充的，将按其相应效力执行，图纸与技术标准和要求之间有矛盾或者不一致的，以其中要求较严格的标准为准。</w:t>
      </w:r>
    </w:p>
    <w:p w14:paraId="092BB1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 图纸和承包人文件</w:t>
      </w:r>
    </w:p>
    <w:p w14:paraId="6C3C89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图纸的提供</w:t>
      </w:r>
    </w:p>
    <w:p w14:paraId="696BEB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6C2E8F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51464F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116C25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承包人文件</w:t>
      </w:r>
    </w:p>
    <w:p w14:paraId="7CD8FE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需要由承包人提供的文件，包括：施工组织设计、施工方案、施工进度计划安排，竣工结算资料、竣工图等；</w:t>
      </w:r>
    </w:p>
    <w:p w14:paraId="2BB06D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开工前7天，承包人向发包人提供施工组织设计、施工方案、施工进度计划安排，经发包人和监理工程师（若有）批准后实施。工程申请竣工验收前应提交竣工结算资料，竣工验收之日后5个工作日内提供竣工图；</w:t>
      </w:r>
    </w:p>
    <w:p w14:paraId="2A74EC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承包人提供的文件的数量为：提供4套资料（不含承包人）；</w:t>
      </w:r>
    </w:p>
    <w:p w14:paraId="629033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承包人提供的文件的形式为：书面形式、书面文件扫描件及相关电子版；</w:t>
      </w:r>
    </w:p>
    <w:p w14:paraId="511540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发包人审批承包人文件的期限：不超过14天。</w:t>
      </w:r>
    </w:p>
    <w:p w14:paraId="37629C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5D08D0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b/>
          <w:bCs/>
          <w:color w:val="auto"/>
          <w:szCs w:val="21"/>
          <w:highlight w:val="none"/>
          <w:u w:val="single"/>
        </w:rPr>
        <w:t>按通用条款执行。</w:t>
      </w:r>
    </w:p>
    <w:p w14:paraId="362AE0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1.6.5补充条款：</w:t>
      </w:r>
      <w:r>
        <w:rPr>
          <w:rFonts w:hint="eastAsia" w:ascii="宋体" w:hAnsi="宋体" w:cs="宋体"/>
          <w:b/>
          <w:bCs/>
          <w:color w:val="auto"/>
          <w:szCs w:val="21"/>
          <w:highlight w:val="none"/>
          <w:u w:val="single"/>
        </w:rPr>
        <w:t>任何施工图纸必须经发包人或监理人专门确认，未经发包人或监理人确认的图纸无效。承包人只能从发包人或监理人处获得图纸。除上述规定的渠道外，承包人从任何其他渠道获得图纸并实施的行为，应由承包人自行承担责任；对于这类工程，发包人不予认可。</w:t>
      </w:r>
    </w:p>
    <w:p w14:paraId="25F17F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 联络</w:t>
      </w:r>
    </w:p>
    <w:p w14:paraId="3CB56F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1.7.1发包人和承包人应当在7 天内将与合同有关的通知、批准、证明、证书、指示、指令、要求、请求、同意、意见、确定和决定等书面函件送达对方当事人。</w:t>
      </w:r>
    </w:p>
    <w:p w14:paraId="177025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 发包人接收文件的地点：</w:t>
      </w:r>
      <w:r>
        <w:rPr>
          <w:b/>
          <w:bCs/>
          <w:kern w:val="0"/>
          <w:szCs w:val="21"/>
          <w:highlight w:val="none"/>
          <w:u w:val="single"/>
        </w:rPr>
        <w:t>施工现场</w:t>
      </w:r>
      <w:r>
        <w:rPr>
          <w:rFonts w:hint="eastAsia" w:ascii="宋体" w:hAnsi="宋体" w:cs="宋体"/>
          <w:b/>
          <w:bCs/>
          <w:color w:val="auto"/>
          <w:szCs w:val="21"/>
          <w:highlight w:val="none"/>
        </w:rPr>
        <w:t>；</w:t>
      </w:r>
    </w:p>
    <w:p w14:paraId="445B52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发包人指定的接收人为：</w:t>
      </w:r>
      <w:r>
        <w:rPr>
          <w:rFonts w:hint="eastAsia" w:ascii="宋体" w:hAnsi="宋体" w:cs="宋体"/>
          <w:b/>
          <w:bCs/>
          <w:color w:val="auto"/>
          <w:szCs w:val="21"/>
          <w:highlight w:val="none"/>
          <w:u w:val="single"/>
        </w:rPr>
        <w:t xml:space="preserve"> </w:t>
      </w:r>
      <w:r>
        <w:rPr>
          <w:b/>
          <w:bCs/>
          <w:kern w:val="0"/>
          <w:szCs w:val="21"/>
          <w:highlight w:val="none"/>
          <w:u w:val="single"/>
        </w:rPr>
        <w:t>业主派驻现场代表</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7E76F3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承包人接收文件的地点：</w:t>
      </w:r>
      <w:r>
        <w:rPr>
          <w:rFonts w:hint="eastAsia" w:ascii="宋体" w:hAnsi="宋体" w:cs="宋体"/>
          <w:b/>
          <w:bCs/>
          <w:color w:val="auto"/>
          <w:szCs w:val="21"/>
          <w:highlight w:val="none"/>
          <w:u w:val="single"/>
        </w:rPr>
        <w:t>承包人现场办公地点；</w:t>
      </w:r>
    </w:p>
    <w:p w14:paraId="34645F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承包人指定的接收人为：</w:t>
      </w:r>
      <w:r>
        <w:rPr>
          <w:rFonts w:hint="eastAsia" w:ascii="宋体" w:hAnsi="宋体" w:cs="宋体"/>
          <w:b/>
          <w:bCs/>
          <w:color w:val="auto"/>
          <w:szCs w:val="21"/>
          <w:highlight w:val="none"/>
          <w:u w:val="single"/>
        </w:rPr>
        <w:t xml:space="preserve"> </w:t>
      </w:r>
      <w:r>
        <w:rPr>
          <w:b/>
          <w:bCs/>
          <w:kern w:val="0"/>
          <w:szCs w:val="21"/>
          <w:highlight w:val="none"/>
          <w:u w:val="single"/>
        </w:rPr>
        <w:t>项目经理</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09C0F9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监理人接收文件的地点：</w:t>
      </w:r>
      <w:r>
        <w:rPr>
          <w:rFonts w:hint="eastAsia" w:ascii="宋体" w:hAnsi="宋体" w:cs="宋体"/>
          <w:b/>
          <w:bCs/>
          <w:color w:val="auto"/>
          <w:szCs w:val="21"/>
          <w:highlight w:val="none"/>
          <w:u w:val="single"/>
        </w:rPr>
        <w:t xml:space="preserve">  </w:t>
      </w:r>
      <w:r>
        <w:rPr>
          <w:b/>
          <w:bCs/>
          <w:kern w:val="0"/>
          <w:szCs w:val="21"/>
          <w:highlight w:val="none"/>
          <w:u w:val="single"/>
        </w:rPr>
        <w:t>施工现场</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4B257E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监理人指定的接收人为：</w:t>
      </w:r>
      <w:r>
        <w:rPr>
          <w:rFonts w:hint="eastAsia" w:ascii="宋体" w:hAnsi="宋体" w:cs="宋体"/>
          <w:b/>
          <w:bCs/>
          <w:color w:val="auto"/>
          <w:szCs w:val="21"/>
          <w:highlight w:val="none"/>
          <w:u w:val="single"/>
        </w:rPr>
        <w:t xml:space="preserve"> </w:t>
      </w:r>
      <w:r>
        <w:rPr>
          <w:b/>
          <w:bCs/>
          <w:kern w:val="0"/>
          <w:szCs w:val="21"/>
          <w:highlight w:val="none"/>
          <w:u w:val="single"/>
        </w:rPr>
        <w:t>总监或总监代表</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78845D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 交通运输</w:t>
      </w:r>
    </w:p>
    <w:p w14:paraId="0912A1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552" w:name="_Toc312677986"/>
      <w:bookmarkStart w:id="553" w:name="_Toc300934943"/>
      <w:bookmarkStart w:id="554" w:name="_Toc304295521"/>
      <w:bookmarkStart w:id="555" w:name="_Toc318581155"/>
      <w:bookmarkStart w:id="556" w:name="_Toc303539100"/>
      <w:r>
        <w:rPr>
          <w:rFonts w:hint="eastAsia" w:ascii="宋体" w:hAnsi="宋体" w:cs="宋体"/>
          <w:color w:val="auto"/>
          <w:szCs w:val="21"/>
          <w:highlight w:val="none"/>
        </w:rPr>
        <w:t>.10.1 出入现场的权利</w:t>
      </w:r>
    </w:p>
    <w:p w14:paraId="2ADD1631">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b/>
          <w:bCs/>
          <w:color w:val="auto"/>
          <w:szCs w:val="21"/>
          <w:highlight w:val="none"/>
          <w:u w:val="single"/>
        </w:rPr>
        <w:t>承包人出入发包人特定区域，应当遵守发包人安全管理规章制度及现场运行监管人员的指挥，根据发包人要求提供进出人员身份资料办理相应登记备案手续。</w:t>
      </w:r>
    </w:p>
    <w:p w14:paraId="7EA920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 场外交通</w:t>
      </w:r>
    </w:p>
    <w:p w14:paraId="395F31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补充条款：</w:t>
      </w:r>
      <w:r>
        <w:rPr>
          <w:rFonts w:hint="eastAsia" w:ascii="宋体" w:hAnsi="宋体" w:cs="宋体"/>
          <w:b/>
          <w:bCs/>
          <w:color w:val="auto"/>
          <w:szCs w:val="21"/>
          <w:highlight w:val="none"/>
          <w:u w:val="single"/>
        </w:rPr>
        <w:t>承包人应采取有效的措施，避开城镇居民密集区，避免其车辆对运输沿线道路的损坏、污染，和对沿线居民的噪声干扰；一旦导致对沿线道路的损坏、污染、或噪声干扰，承包人应自费进行维修、补偿或赔偿，这类费用风险应认为承包人已经在报价时给予充分的考虑。</w:t>
      </w:r>
    </w:p>
    <w:p w14:paraId="14038C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承包人应自行承担费用及采取一切必要合理的措施以避免对项目现场、发包人和/或其他第三方的正常营业和/或财产、人身安全造成影响、干涉、妨碍或侵害。</w:t>
      </w:r>
    </w:p>
    <w:bookmarkEnd w:id="552"/>
    <w:bookmarkEnd w:id="553"/>
    <w:bookmarkEnd w:id="554"/>
    <w:bookmarkEnd w:id="555"/>
    <w:bookmarkEnd w:id="556"/>
    <w:p w14:paraId="672871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557" w:name="_Toc303539101"/>
      <w:bookmarkStart w:id="558" w:name="_Toc300934944"/>
      <w:bookmarkStart w:id="559" w:name="_Toc318581156"/>
      <w:bookmarkStart w:id="560" w:name="_Toc312677987"/>
      <w:bookmarkStart w:id="561" w:name="_Toc304295522"/>
      <w:r>
        <w:rPr>
          <w:rFonts w:hint="eastAsia" w:ascii="宋体" w:hAnsi="宋体" w:cs="宋体"/>
          <w:color w:val="auto"/>
          <w:szCs w:val="21"/>
          <w:highlight w:val="none"/>
        </w:rPr>
        <w:t>.10.3 场内交通</w:t>
      </w:r>
    </w:p>
    <w:p w14:paraId="159FDD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关于场外交通和场内交通的边界的约定：</w:t>
      </w:r>
      <w:r>
        <w:rPr>
          <w:rFonts w:hint="eastAsia" w:ascii="宋体" w:hAnsi="宋体" w:cs="宋体"/>
          <w:b/>
          <w:bCs/>
          <w:color w:val="auto"/>
          <w:szCs w:val="21"/>
          <w:highlight w:val="none"/>
          <w:u w:val="single"/>
        </w:rPr>
        <w:t>以现场实际施工条件为准。</w:t>
      </w:r>
    </w:p>
    <w:p w14:paraId="310C53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p>
    <w:p w14:paraId="40EAE8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（1）由发包人提供的场内公共道路的维护、养护、管理及相关费用由承包人承担。公共道路以外的场内临时道路和交通设施的修建、维护、养护、管理及相关费用由承包人承担。</w:t>
      </w:r>
    </w:p>
    <w:p w14:paraId="0EDAE2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（2）承包人在其自身项目（标段）内修建的临时道路必须无条件允许其他工程（或其他标段）承包人共同使用，承包人负责维修、养护和管理，相关费用已经考虑并包括在合同价款中。</w:t>
      </w:r>
    </w:p>
    <w:p w14:paraId="7E4004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（3）如果承包人与其他工程（或其他标段）承包人共同使用公共范围内临时道路和交通设施时，应服从发包人或监理人的协调管理。</w:t>
      </w:r>
      <w:bookmarkEnd w:id="557"/>
      <w:bookmarkEnd w:id="558"/>
      <w:bookmarkEnd w:id="559"/>
      <w:bookmarkEnd w:id="560"/>
      <w:bookmarkEnd w:id="561"/>
      <w:r>
        <w:rPr>
          <w:rFonts w:hint="eastAsia" w:ascii="宋体" w:hAnsi="宋体" w:cs="宋体"/>
          <w:color w:val="auto"/>
          <w:szCs w:val="21"/>
          <w:highlight w:val="none"/>
        </w:rPr>
        <w:t xml:space="preserve"> </w:t>
      </w:r>
      <w:bookmarkStart w:id="562" w:name="_Toc318581157"/>
    </w:p>
    <w:p w14:paraId="78FB4B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1.10.4超大件和超重件的运输</w:t>
      </w:r>
    </w:p>
    <w:p w14:paraId="5B79E8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 承包人 承担。</w:t>
      </w:r>
    </w:p>
    <w:bookmarkEnd w:id="562"/>
    <w:p w14:paraId="6EE65A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知识产权</w:t>
      </w:r>
    </w:p>
    <w:p w14:paraId="1637E9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1.11.1关于发包人提供给承包人的图纸、发包人为实施工程自行编制或委托编制的技术规范以及反映发包人关于合同要求或其他类似性质的文件的著作权的归属：发包人 。</w:t>
      </w:r>
    </w:p>
    <w:p w14:paraId="79F3CCB7">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关于发包人提供的上述文件的使用限制的要求：</w:t>
      </w:r>
      <w:r>
        <w:rPr>
          <w:rFonts w:hint="eastAsia" w:ascii="宋体" w:hAnsi="宋体" w:cs="宋体"/>
          <w:b/>
          <w:bCs/>
          <w:color w:val="auto"/>
          <w:szCs w:val="21"/>
          <w:highlight w:val="none"/>
          <w:u w:val="single"/>
        </w:rPr>
        <w:t>图纸、技术规范和其他技术资料，未经发包人同意，承包人不得提供给与本工程施工无关的第三方。</w:t>
      </w:r>
    </w:p>
    <w:p w14:paraId="19018F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b/>
          <w:bCs/>
          <w:color w:val="auto"/>
          <w:szCs w:val="21"/>
          <w:highlight w:val="none"/>
          <w:u w:val="single"/>
        </w:rPr>
        <w:t xml:space="preserve"> 发包人 。</w:t>
      </w:r>
    </w:p>
    <w:p w14:paraId="6BEB07A0">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b/>
          <w:bCs/>
          <w:color w:val="auto"/>
          <w:szCs w:val="21"/>
          <w:highlight w:val="none"/>
          <w:u w:val="single"/>
        </w:rPr>
        <w:t>双方可以为实现合同目的而复制、使用此类文件，但不能用于与合同无关的其他事项。未经发包人书面同意，承保人不得为了合同以外的目的而复制、使用上述文件或将之提供给任何第三方。</w:t>
      </w:r>
    </w:p>
    <w:p w14:paraId="329075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b/>
          <w:bCs/>
          <w:color w:val="auto"/>
          <w:szCs w:val="21"/>
          <w:highlight w:val="none"/>
          <w:u w:val="single"/>
        </w:rPr>
        <w:t>若承包人使用了第三方的专利、专有技术、技术秘密等知识产权，涉及的责任和费用由承包人承担。</w:t>
      </w:r>
    </w:p>
    <w:p w14:paraId="6AE7F5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5FBE3D4B">
      <w:pPr>
        <w:spacing w:line="360" w:lineRule="auto"/>
        <w:ind w:firstLine="420" w:firstLineChars="200"/>
        <w:rPr>
          <w:rFonts w:hint="eastAsia" w:ascii="宋体" w:hAnsi="宋体" w:cs="宋体"/>
          <w:color w:val="auto"/>
          <w:szCs w:val="21"/>
          <w:highlight w:val="none"/>
        </w:rPr>
      </w:pPr>
      <w:bookmarkStart w:id="563" w:name="_Toc351203634"/>
      <w:r>
        <w:rPr>
          <w:rFonts w:hint="eastAsia" w:ascii="宋体" w:hAnsi="宋体" w:cs="宋体"/>
          <w:color w:val="auto"/>
          <w:szCs w:val="21"/>
          <w:highlight w:val="none"/>
        </w:rPr>
        <w:t>出现工程量清单错误时，是否调整合同价格：</w:t>
      </w:r>
      <w:r>
        <w:rPr>
          <w:rFonts w:hint="eastAsia" w:ascii="宋体" w:hAnsi="宋体" w:cs="宋体"/>
          <w:b/>
          <w:bCs/>
          <w:color w:val="auto"/>
          <w:szCs w:val="21"/>
          <w:highlight w:val="none"/>
          <w:u w:val="single"/>
        </w:rPr>
        <w:t>是</w:t>
      </w:r>
      <w:r>
        <w:rPr>
          <w:rFonts w:hint="eastAsia" w:ascii="宋体" w:hAnsi="宋体" w:cs="宋体"/>
          <w:color w:val="auto"/>
          <w:szCs w:val="21"/>
          <w:highlight w:val="none"/>
        </w:rPr>
        <w:t>。</w:t>
      </w:r>
    </w:p>
    <w:p w14:paraId="20424E2D">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允许调整合同价格的工程量偏差范围：</w:t>
      </w:r>
      <w:r>
        <w:rPr>
          <w:rFonts w:hint="eastAsia" w:ascii="宋体" w:hAnsi="宋体" w:cs="宋体"/>
          <w:b/>
          <w:bCs/>
          <w:color w:val="auto"/>
          <w:szCs w:val="21"/>
          <w:highlight w:val="none"/>
          <w:u w:val="single"/>
        </w:rPr>
        <w:t>招投标文件中工程量清单漏、缺项的、设计变更、双方签字认可的增加工程量、项目以及工程签证及双方签字认可的材料单价。</w:t>
      </w:r>
    </w:p>
    <w:p w14:paraId="2ABDC5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bookmarkStart w:id="564" w:name="_Toc292559867"/>
      <w:bookmarkStart w:id="565" w:name="_Toc296890985"/>
      <w:bookmarkStart w:id="566" w:name="_Toc296346658"/>
      <w:bookmarkStart w:id="567" w:name="_Toc296891197"/>
      <w:bookmarkStart w:id="568" w:name="_Toc297120457"/>
      <w:bookmarkStart w:id="569" w:name="_Toc292559362"/>
      <w:bookmarkStart w:id="570" w:name="_Toc296944496"/>
      <w:bookmarkStart w:id="571" w:name="_Toc296503157"/>
      <w:bookmarkStart w:id="572" w:name="_Toc296347156"/>
      <w:bookmarkStart w:id="573" w:name="_Toc297048343"/>
      <w:r>
        <w:rPr>
          <w:rFonts w:hint="eastAsia" w:ascii="宋体" w:hAnsi="宋体" w:cs="宋体"/>
          <w:color w:val="auto"/>
          <w:szCs w:val="21"/>
          <w:highlight w:val="none"/>
        </w:rPr>
        <w:t>. 发包人</w:t>
      </w:r>
      <w:bookmarkEnd w:id="563"/>
    </w:p>
    <w:bookmarkEnd w:id="564"/>
    <w:bookmarkEnd w:id="565"/>
    <w:bookmarkEnd w:id="566"/>
    <w:bookmarkEnd w:id="567"/>
    <w:bookmarkEnd w:id="568"/>
    <w:bookmarkEnd w:id="569"/>
    <w:bookmarkEnd w:id="570"/>
    <w:bookmarkEnd w:id="571"/>
    <w:bookmarkEnd w:id="572"/>
    <w:bookmarkEnd w:id="573"/>
    <w:p w14:paraId="4D48DF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发包人代表</w:t>
      </w:r>
    </w:p>
    <w:p w14:paraId="7FB692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A11A4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1CE93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D0B27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FEFA0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6F2B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801B02A">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s="宋体"/>
          <w:b/>
          <w:bCs/>
          <w:color w:val="auto"/>
          <w:szCs w:val="21"/>
          <w:highlight w:val="none"/>
          <w:u w:val="single"/>
        </w:rPr>
        <w:t>行使合同中发包人代表的权利，履行发包人代表的职责。包括工程管理，组织协调施工，设计、监理及项目参与各方的工作；负责现场及变更工程量签证；审核开工令、停工令、复工令；负责工程质量、安全、进度监督检查，审核支付工程进度款的工程量，隐蔽工程认证，成本控制等。但无权豁免合同中承包人的义务。</w:t>
      </w:r>
    </w:p>
    <w:p w14:paraId="53D015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施工现场、施工条件和基础资料的提供</w:t>
      </w:r>
    </w:p>
    <w:p w14:paraId="70E8B0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提供施工现场</w:t>
      </w:r>
    </w:p>
    <w:p w14:paraId="29BC89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b/>
          <w:bCs/>
          <w:color w:val="auto"/>
          <w:szCs w:val="21"/>
          <w:highlight w:val="none"/>
          <w:u w:val="single"/>
        </w:rPr>
        <w:t>开工前7天</w:t>
      </w:r>
      <w:r>
        <w:rPr>
          <w:rFonts w:hint="eastAsia" w:ascii="宋体" w:hAnsi="宋体" w:cs="宋体"/>
          <w:color w:val="auto"/>
          <w:szCs w:val="21"/>
          <w:highlight w:val="none"/>
        </w:rPr>
        <w:t>。</w:t>
      </w:r>
    </w:p>
    <w:p w14:paraId="40E7EF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1CDF8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关于发包人应负责提供施工所需要的条件，包括：</w:t>
      </w:r>
      <w:r>
        <w:rPr>
          <w:rFonts w:hint="eastAsia" w:ascii="宋体" w:hAnsi="宋体" w:cs="宋体"/>
          <w:b/>
          <w:bCs/>
          <w:color w:val="auto"/>
          <w:szCs w:val="21"/>
          <w:highlight w:val="none"/>
          <w:u w:val="single"/>
        </w:rPr>
        <w:t>具备施工条件。</w:t>
      </w:r>
    </w:p>
    <w:p w14:paraId="478D65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 资金来源证明及支付担保</w:t>
      </w:r>
    </w:p>
    <w:p w14:paraId="168BB9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96191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F2729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C74CFBF">
      <w:pPr>
        <w:spacing w:line="360" w:lineRule="auto"/>
        <w:ind w:firstLine="420" w:firstLineChars="200"/>
        <w:rPr>
          <w:rFonts w:hint="eastAsia" w:ascii="宋体" w:hAnsi="宋体" w:cs="宋体"/>
          <w:color w:val="auto"/>
          <w:szCs w:val="21"/>
          <w:highlight w:val="none"/>
        </w:rPr>
      </w:pPr>
      <w:bookmarkStart w:id="574" w:name="_Toc351203635"/>
      <w:r>
        <w:rPr>
          <w:rFonts w:hint="eastAsia" w:ascii="宋体" w:hAnsi="宋体" w:cs="宋体"/>
          <w:color w:val="auto"/>
          <w:szCs w:val="21"/>
          <w:highlight w:val="none"/>
        </w:rPr>
        <w:t>3</w:t>
      </w:r>
      <w:bookmarkStart w:id="575" w:name="_Toc292559363"/>
      <w:bookmarkStart w:id="576" w:name="_Toc296503158"/>
      <w:bookmarkStart w:id="577" w:name="_Toc296347157"/>
      <w:bookmarkStart w:id="578" w:name="_Toc296891198"/>
      <w:bookmarkStart w:id="579" w:name="_Toc292559868"/>
      <w:bookmarkStart w:id="580" w:name="_Toc296346659"/>
      <w:bookmarkStart w:id="581" w:name="_Toc296944497"/>
      <w:bookmarkStart w:id="582" w:name="_Toc296890986"/>
      <w:bookmarkStart w:id="583" w:name="_Toc297048344"/>
      <w:bookmarkStart w:id="584" w:name="_Toc297120458"/>
      <w:r>
        <w:rPr>
          <w:rFonts w:hint="eastAsia" w:ascii="宋体" w:hAnsi="宋体" w:cs="宋体"/>
          <w:color w:val="auto"/>
          <w:szCs w:val="21"/>
          <w:highlight w:val="none"/>
        </w:rPr>
        <w:t>. 承包人</w:t>
      </w:r>
      <w:bookmarkEnd w:id="574"/>
    </w:p>
    <w:bookmarkEnd w:id="575"/>
    <w:bookmarkEnd w:id="576"/>
    <w:bookmarkEnd w:id="577"/>
    <w:bookmarkEnd w:id="578"/>
    <w:bookmarkEnd w:id="579"/>
    <w:bookmarkEnd w:id="580"/>
    <w:bookmarkEnd w:id="581"/>
    <w:bookmarkEnd w:id="582"/>
    <w:bookmarkEnd w:id="583"/>
    <w:bookmarkEnd w:id="584"/>
    <w:p w14:paraId="485286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承包人的一般义务</w:t>
      </w:r>
    </w:p>
    <w:p w14:paraId="20F1C0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（9）承包人提交的竣工资料的内容：</w:t>
      </w:r>
      <w:r>
        <w:rPr>
          <w:rFonts w:hint="eastAsia" w:ascii="宋体" w:hAnsi="宋体" w:cs="宋体"/>
          <w:b/>
          <w:bCs/>
          <w:color w:val="auto"/>
          <w:szCs w:val="21"/>
          <w:highlight w:val="none"/>
          <w:u w:val="single"/>
        </w:rPr>
        <w:t>竣工验收前向发包人提交完整的工程竣工备案资料及竣工验收报告；竣工验收合格之日提供符合城建档案部门和行政质检监督部门要求的竣工图及相关竣工资料。</w:t>
      </w:r>
    </w:p>
    <w:p w14:paraId="757077F4">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承包人需要提交的竣工资料套数：</w:t>
      </w:r>
      <w:r>
        <w:rPr>
          <w:rFonts w:hint="eastAsia" w:ascii="宋体" w:hAnsi="宋体" w:cs="宋体"/>
          <w:b/>
          <w:bCs/>
          <w:color w:val="auto"/>
          <w:szCs w:val="21"/>
          <w:highlight w:val="none"/>
          <w:u w:val="single"/>
        </w:rPr>
        <w:t xml:space="preserve">   套（含竣工图、结算资料、内页资料等）。</w:t>
      </w:r>
    </w:p>
    <w:p w14:paraId="76B6C1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b/>
          <w:bCs/>
          <w:color w:val="auto"/>
          <w:szCs w:val="21"/>
          <w:highlight w:val="none"/>
          <w:u w:val="single"/>
        </w:rPr>
        <w:t>由承包人承担 。</w:t>
      </w:r>
    </w:p>
    <w:p w14:paraId="5C32E0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b/>
          <w:bCs/>
          <w:color w:val="auto"/>
          <w:szCs w:val="21"/>
          <w:highlight w:val="none"/>
          <w:u w:val="single"/>
        </w:rPr>
        <w:t xml:space="preserve">工程竣工验收合格后28天内 </w:t>
      </w:r>
      <w:r>
        <w:rPr>
          <w:rFonts w:hint="eastAsia" w:ascii="宋体" w:hAnsi="宋体" w:cs="宋体"/>
          <w:color w:val="auto"/>
          <w:szCs w:val="21"/>
          <w:highlight w:val="none"/>
        </w:rPr>
        <w:t>。</w:t>
      </w:r>
    </w:p>
    <w:p w14:paraId="26DF3A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承包人提交的竣工资料形式要求：</w:t>
      </w:r>
    </w:p>
    <w:p w14:paraId="5CCC8B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1）按国家、行业、地方有关规定及发包人要求执行 。</w:t>
      </w:r>
    </w:p>
    <w:p w14:paraId="2E0979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纸质资料部分：不得少于六套，两套原件四套复印件（若发包人需要补充，则承包人应无偿按发包人要求提供）。归档图纸一式六份，均为原件（若发包人需要补充，则承包人应无偿按发包人要求提供），原件的定义是指：签名或签证采用书写，加盖红章的原件。</w:t>
      </w:r>
    </w:p>
    <w:p w14:paraId="3C7853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文件部分：按全套归档文件扫描刻录四套，电子文件应与纸质文件同时归档，并符合《电子档案归档与管理规范》（GB/T18894）和《公务电子邮件归档与管理规则》（DA/T32）的要求；照片文件的整理应符合《照片档案管理规范》（GB/T11821）的要求；录音、录像、软磁盘等磁性载体文件的整理应符合《磁性载体档案管理与保护规范》（DA/T15）的要求；计算机辅助设计文件的整理应符合《CAD电子档案光盘存储、归档与档案管理要求》（GB/T17678.1）的要求。</w:t>
      </w:r>
    </w:p>
    <w:p w14:paraId="6F33F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4）移交纸质档案时还须提供一套总目录、案卷目录、卷内目录、竣工图表的电子文档。</w:t>
      </w:r>
    </w:p>
    <w:p w14:paraId="36F8A06A">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（10）承包人应履行的其他义务：</w:t>
      </w:r>
      <w:r>
        <w:rPr>
          <w:rFonts w:hint="eastAsia" w:ascii="宋体" w:hAnsi="宋体" w:cs="宋体"/>
          <w:b/>
          <w:bCs/>
          <w:color w:val="auto"/>
          <w:szCs w:val="21"/>
          <w:highlight w:val="none"/>
          <w:u w:val="single"/>
        </w:rPr>
        <w:t>因承包人未按时足额向农民工（或材料、服务提供商）支付工资导致发包人代为付出款项的，则所付出的款项视为发包人已向承包人支付了等额工程款。如发包人代为支付事项还导致质保金数额受到影响，则承包人应在款项代付之日起14日内补足。承包人逾期未补足的，每延误一天承包人应支付违约金5000元；根据本合同的其他约定支付违约金，承包人还须按给发包人造成的实际损失给予赔偿。</w:t>
      </w:r>
    </w:p>
    <w:p w14:paraId="7B2EC8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1）需由设计资质等级和业务范围允许的承包人完成的设计文件提交时间：不能影响阶段性工期和总工期的目标。</w:t>
      </w:r>
    </w:p>
    <w:p w14:paraId="4CDCB5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2）应提供计划、报表的名称及完成时间：进度报表每月20日以前提供。</w:t>
      </w:r>
    </w:p>
    <w:p w14:paraId="4A30B8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3）承担施工安全保卫工作及非夜间施工照明的责任和要求：按国家、政府法规、发包人和项目实施适用单位要求办理，费用由承包人自理。</w:t>
      </w:r>
    </w:p>
    <w:p w14:paraId="4A1C5C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4）需承包人办理的有关施工场地交通、环卫和施工噪音管理等手续：按有关规定办理，费用承包人自理。</w:t>
      </w:r>
    </w:p>
    <w:p w14:paraId="3D101A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5）已完成工程成品保护的特殊要求及费用承担：按规定办理，直至竣工验收，费用承包人自理。</w:t>
      </w:r>
    </w:p>
    <w:p w14:paraId="2DC9FC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6）施工场地周围地下管线和邻近建筑物、构筑物（含文物、保护建筑）、古树名木的保护要求及费用承担：承包人由于施工原因造成其它建筑物、设施、建筑等的损坏时，必须负责修复或赔偿全部损失。</w:t>
      </w:r>
    </w:p>
    <w:p w14:paraId="38DA63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施工场地清洁卫生的要求：按文明施工及发包人有关规定，做好施工场地及周边清洁卫生，文明施工。承包人在施工中必须做好防止扬尘的施工措施，不得影响工程周边人员的正常生产、生活，承包人未按要求采取相关措施的，发包人有权下达停工整改通知，所造成的损失由承包人负责。</w:t>
      </w:r>
    </w:p>
    <w:p w14:paraId="2D289D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8）主动协调本工程周围居民及有关单位关系，采取必要措施协调解决扰民和民扰问题，应避免发生矛盾与冲突。否则，由此造成的一切后果由承包人承担。</w:t>
      </w:r>
    </w:p>
    <w:p w14:paraId="0A2F8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9）双方约定承包人应做的其他工作：</w:t>
      </w:r>
    </w:p>
    <w:p w14:paraId="5D4B72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1.承包人须与发包人签订安全施工协议书及社会治安责任协议书，严格遵守相关规定，服从社会治安综合治理、环境保护等管理制度；</w:t>
      </w:r>
    </w:p>
    <w:p w14:paraId="326F8C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2.未完善的施工便道由承包人负责，若因施工原因造成的排水管道的堵塞和发包人完成的施工便道的损坏，承包人负责修复，费用由承包人承担；</w:t>
      </w:r>
    </w:p>
    <w:p w14:paraId="7C67B9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3.承包人必须完善施工环保措施，处理好烟尘及其他污染；</w:t>
      </w:r>
    </w:p>
    <w:p w14:paraId="324AF4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4.施工机械在满足施工设计要求外，必须配备应急处置设备，确保施工进度及施工安全。</w:t>
      </w:r>
    </w:p>
    <w:p w14:paraId="00812D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w:t>
      </w:r>
    </w:p>
    <w:p w14:paraId="76C9C9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6.在任何时候应采取一切合理的预防措施，以防止其职员发生任何违法的、防碍治安的行为，并维护治安和保护工程附近的单位、个人或财产免遭上述行为的破坏。否则，由此造成的后果和费用均由承包人承担。</w:t>
      </w:r>
    </w:p>
    <w:p w14:paraId="36341B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10）疫情防控：若工程开工时仍处于疫情期间，须按照当地政府的疫情防控要求完善相关工作。</w:t>
      </w:r>
    </w:p>
    <w:p w14:paraId="080625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11）严格执行《保障农民工工资支付条例》（2020年5月1日起施行）的相关规定，包括但不仅限于以下内容：</w:t>
      </w:r>
    </w:p>
    <w:p w14:paraId="6EDBF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1、承包人须实行农民工劳动用工实名制管理，与招用的农民工书面约定或者通过依法制定的规章制度规定工资支付标准、支付时间、支付方式等内容。</w:t>
      </w:r>
    </w:p>
    <w:p w14:paraId="06D86C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2、农民工工资以货币形式，通过银行转账或者现金支付给农民工本人，不以实物或者有价证券等其他形式替代。</w:t>
      </w:r>
    </w:p>
    <w:p w14:paraId="37CC8C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3、按照与农民工书面约定或者依法制定的规章制度规定的工资支付周期和具体支付日期足额支付工资。</w:t>
      </w:r>
    </w:p>
    <w:p w14:paraId="3D30F1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4、实行月、周、日、小时工资制的，按照月、周、日、小时为周期支付工资；实行计件工资制的，工资支付周期由双方依法约定。</w:t>
      </w:r>
    </w:p>
    <w:p w14:paraId="19B613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农民工书面约定或者依法制定的规章制度规定的具体支付日期，在农民工提供劳动的当期或者次期。具体支付日期遇法定节假日或者休息日的，在法定节假日或者休息日前支付。因不可抗力未能在支付日期支付工资的，在不可抗力消除后及时支付。</w:t>
      </w:r>
    </w:p>
    <w:p w14:paraId="790F94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按照工资支付周期编制书面工资支付台账，并至少保存3年。书面工资支付台账包括用人单位名称，支付周期，支付日期，支付对象姓名、身份证号码、联系方式，工作时间，应发工资项目及数额，代扣、代缴、扣除项目和数额，实发工资数额，银行代发工资凭证或者农民工签字等内容。向农民工支付工资时，提供农民工本人的工资清单。</w:t>
      </w:r>
    </w:p>
    <w:p w14:paraId="65AE40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7、拖欠农民工工资的，依法予以清偿。</w:t>
      </w:r>
    </w:p>
    <w:p w14:paraId="68FBF9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8、承包人使用个人、不具备合法经营资格的单位或者未依法取得劳务派遣许可证的单位派遣的农民工，拖欠农民工工资的，由承包人清偿，并可以依法进行追偿。</w:t>
      </w:r>
    </w:p>
    <w:p w14:paraId="259D27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将工作任务发包给个人或者不具备合法经营资格的单位，导致拖欠所招用农民工工资的，依照有关法律规定执行。允许个人、不具备合法经营资格或者未取得相应资质的单位以承包人的名义对外经营，导致拖欠所招用农民工工资的，由承包人清偿，并可以依法进行追偿。</w:t>
      </w:r>
    </w:p>
    <w:p w14:paraId="19066B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10、承包人合并或者分立时，应当在实施合并或者分立前依法清偿拖欠的农民工工资；经与农民工书面协商一致的，可以由合并或者分立后承继其权利和义务的用人单位清偿。</w:t>
      </w:r>
    </w:p>
    <w:p w14:paraId="26669F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11、承包人被依法吊销营业执照或者登记证书、被责令关闭、被撤销或者依法解散的，在申请注销登记前依法清偿拖欠的农民工工资。</w:t>
      </w:r>
    </w:p>
    <w:p w14:paraId="49FC84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12、承包人按照有关规定开设农民工工资专用账户，专项用于支付该工程建设项目农民工工资。开设、使用农民工工资专用账户有关资料由承包人妥善保存备查。</w:t>
      </w:r>
    </w:p>
    <w:p w14:paraId="7780B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13、承包人或者分包单位将依法与所招用的农民工订立劳动合同并进行用工实名登记。未与我公司或者分包单位订立劳动合同并进行用工实名登记的人员，不得进入项目现场施工。</w:t>
      </w:r>
    </w:p>
    <w:p w14:paraId="1FB611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承包人须在工程项目部配备劳资专管员，对分包单位劳动用工实施监督管理，掌握施工现场用工、考勤、工资支付等情况，审核分包单位编制的农民工工资支付表。承包人将建立用工管理台账，并保存至工程完工且工资全部结清后至少3年。</w:t>
      </w:r>
    </w:p>
    <w:p w14:paraId="26D865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承包人须对分包单位劳动用工和工资发放等情况进行监督。分包单位拖欠农民工工资的，由承包人先行清偿，再依法进行追偿。工程建设项目转包，拖欠农民工工资的，由施工总承包单位先行清偿，再依法进行追偿。</w:t>
      </w:r>
    </w:p>
    <w:p w14:paraId="56C2D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16、用于支付农民工工资的银行账户所绑定的农民工本人社会保障卡或者银行卡，承包人或者其他人员不得以任何理由扣押或者变相扣押。</w:t>
      </w:r>
    </w:p>
    <w:p w14:paraId="0CEAE0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承包人须按照有关规定存储工资保证金，专项用于支付为所承包工程提供劳动的农民工被拖欠的工资。若当地政府规定农民工工资保证金和准备金应由建设方缴纳时，待审计结束后，扣留相应金额，待承包人履行完相关义务和责任，政府退回该笔费用后，再支付给承包人。</w:t>
      </w:r>
    </w:p>
    <w:p w14:paraId="29BD04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18、承包人须在施工现场醒目位置设立维权信息告示牌，明示下列事项：</w:t>
      </w:r>
    </w:p>
    <w:p w14:paraId="534FAD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（1）建设单位、施工总承包单位及所在项目部、分包单位、相关行业工程建设主管部门、劳资专管员等基本信息；</w:t>
      </w:r>
    </w:p>
    <w:p w14:paraId="32CF1C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（2）当地最低工资标准、工资支付日期等基本信息；</w:t>
      </w:r>
    </w:p>
    <w:p w14:paraId="4E97AD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（3）相关行业工程建设主管部门和劳动保障监察投诉举报电话、劳动争议调解仲裁申请渠道、法律援助申请渠道、公共法律服务热线等信息。</w:t>
      </w:r>
    </w:p>
    <w:p w14:paraId="2BE85C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19、发包人与承包人因工程数量、质量、造价等产生争议的，承包人不得因争议而不按照规定代发工资。</w:t>
      </w:r>
    </w:p>
    <w:p w14:paraId="0C3AE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承包人将建设工程发包或者分包给个人或者不具备合法经营资格的单位，导致拖欠农民工工资的，由承包人清偿。承包人允许其他单位和个人以承包人的名义对外承揽建设工程，导致拖欠农民工工资的，由承包人清偿。</w:t>
      </w:r>
    </w:p>
    <w:p w14:paraId="4A2DF7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21、严格执行国家或地方法律法规关于农民工工资的其他现行规定。</w:t>
      </w:r>
    </w:p>
    <w:p w14:paraId="606D98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22、承包人除了编制工程质量报表外，还应定期（通常是每周）编制进度报告，报送监理人审查。若监理人对进度报表中的质量、进度反馈存在异议而拒绝签字，承包人不得进行下一道工序的施工。</w:t>
      </w:r>
    </w:p>
    <w:p w14:paraId="6776E0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12）施工工地和道路扬尘管控要求：</w:t>
      </w:r>
    </w:p>
    <w:p w14:paraId="568DE9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根据《住房和城乡建设部办公厅关于进一步加强施工工地和道路扬尘管控工作的通知》（建办质〔2019〕23号）的要求做好施工工地和道路扬尘管控工作，包括但不仅限于以下内容：</w:t>
      </w:r>
    </w:p>
    <w:p w14:paraId="1D41F8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单位应制定具体的施工扬尘污染防治实施方案，在施工工地公示扬尘污染防治措施、负责人、扬尘监督管理主管部门等信息。施工单位应当采取有效防尘降尘措施，减少施工作业过程扬尘污染，并做好扬尘污染防治工作。</w:t>
      </w:r>
    </w:p>
    <w:p w14:paraId="06D906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（2）对施工现场实行封闭管理。城市范围内主要路段的施工工地应设置高度不小于2.5m的封闭围挡，一般路段的施工工地应设置高度不小于1.8m的封闭围挡。施工工地的封闭围挡应坚固、稳定、整洁、美观。</w:t>
      </w:r>
    </w:p>
    <w:p w14:paraId="4EEA51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14:paraId="0E3887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14:paraId="29A5ED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14:paraId="5D9A5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（6）清运建筑垃圾。土方和建筑垃圾的运输应采用封闭式运输车辆或采取覆盖措施。建筑物内施工垃圾的清运，应采用器具或管道运输，严禁随意抛掷。施工现场严禁焚烧各类废弃物。</w:t>
      </w:r>
    </w:p>
    <w:p w14:paraId="0480E0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加强监测监控。鼓励施工工地安装在线监测和视频监控设备，并与当地有关主管部门联网。当环境空气质量指数达到中度及以上污染时，施工现场应增加洒水频次，加强覆盖措施，减少易造成大气污染的施工作业。</w:t>
      </w:r>
    </w:p>
    <w:p w14:paraId="5F30D03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 项目经理（项目负责人）</w:t>
      </w:r>
    </w:p>
    <w:p w14:paraId="6EB169CE">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3.2.1 项目经理：</w:t>
      </w:r>
    </w:p>
    <w:p w14:paraId="273506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83941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79C8F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注册执业证书编号：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1C3B4F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A607F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530433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6325D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D5442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647D8D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FBC80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s="宋体"/>
          <w:b/>
          <w:bCs/>
          <w:color w:val="auto"/>
          <w:szCs w:val="21"/>
          <w:highlight w:val="none"/>
          <w:u w:val="single"/>
        </w:rPr>
        <w:t>代表承包人全面履行本合同。</w:t>
      </w:r>
    </w:p>
    <w:p w14:paraId="3DA0F9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项目经理每月在施工现场的时间要求：派驻本合同工程的项目负责人（项目经理）须常驻现场，不得兼任其他工程职务。项目负责人（项目经理）确需离开施工现场时，应事先通知监理人，并取得发包人的书面同意。项目经理在通知中应当载明临时代行其职责的人员的注册执业资格、管理经验等资料，该人员应具备履行相应职责的能力。</w:t>
      </w:r>
    </w:p>
    <w:p w14:paraId="6393C4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经理未经批准，擅自离开施工现场的违约责任：（1）项目经理擅自离开施工现场的，按每次人民币1000.00元向发包人支付违约金。（2）项目经理擅自离开施工现场每月累计达到5次（含5次）的，发包人有权要求承包人更换项目经理，承包人应于接到发包人更换通知3日内更换合格人员到岗，否则发包人有权对其要求支付5000元/天的违约金，累计计算，由此导致工期延误和增加的费用，有承包人承担；逾期7天还未更换合格人员到场的，发包人有权解除合同，合同解除的，承包人承担因合同解除而给发包人所造成的损失（包括直接损失、间接损失及为实现权利所支付的所有费用）。</w:t>
      </w:r>
    </w:p>
    <w:p w14:paraId="36ED5B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承包人未提交劳动合同，以及没有为项目经理缴纳社会保险证明的违约责任：项目经理无权履行职责，发包人有权要求更换项目经理，由此增加的费用和（或）延误的工期由承包人承担。</w:t>
      </w:r>
    </w:p>
    <w:p w14:paraId="4ADEBC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项目经理的违约责任：承包人需要更换项目经理的，须提供经承包人法定代表人签署的申请，选派不低于原项目经理资格条件的人员作为继任项目经理，经发包人书面同意后方可更换；承包人未经发包人同意自行更换项目经理的，承包人将承担支付合同价10%的违约金，同时，发包人有权终止合同，由此产生的后果和责任均由承包人承担。</w:t>
      </w:r>
    </w:p>
    <w:p w14:paraId="5DEE25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不得拒绝发包人要求更换项目经理的要求，如拒不执行，发包人有权终止合同。</w:t>
      </w:r>
    </w:p>
    <w:p w14:paraId="1428B7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3.2.5项目经理必须按时参加由监理工程师和发包人召集召开的关于项目相关会议，项目经理未参加的，按每次人民币1000.00元向发包人支付违约金；每月累计达到5次（含5次）的，发包人有权要求承包人更换项目经理。</w:t>
      </w:r>
    </w:p>
    <w:p w14:paraId="79099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7EF937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b/>
          <w:bCs/>
          <w:color w:val="auto"/>
          <w:szCs w:val="21"/>
          <w:highlight w:val="none"/>
          <w:u w:val="single"/>
        </w:rPr>
        <w:t>开工前7天内。</w:t>
      </w:r>
    </w:p>
    <w:p w14:paraId="39E50B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p>
    <w:p w14:paraId="22EC53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云南省住房和城乡建设厅关于发布《云南省建筑与市政基础设施工程施工现场专业（管理）人员配备标准》的通知（云建标[2014]678号）要求，结合工程类别，承包人应承诺下列所列的主要施工管理人员及时到岗到位：</w:t>
      </w:r>
    </w:p>
    <w:p w14:paraId="5F46DF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技术负责人：      职务：        联系方式：      。</w:t>
      </w:r>
    </w:p>
    <w:p w14:paraId="3CF7B9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施工员： </w:t>
      </w:r>
      <w:bookmarkStart w:id="585" w:name="_Hlk113447249"/>
      <w:r>
        <w:rPr>
          <w:rFonts w:hint="eastAsia" w:ascii="宋体" w:hAnsi="宋体" w:cs="宋体"/>
          <w:color w:val="auto"/>
          <w:szCs w:val="21"/>
          <w:highlight w:val="none"/>
        </w:rPr>
        <w:t xml:space="preserve">  </w:t>
      </w:r>
      <w:bookmarkEnd w:id="585"/>
      <w:r>
        <w:rPr>
          <w:rFonts w:hint="eastAsia" w:ascii="宋体" w:hAnsi="宋体" w:cs="宋体"/>
          <w:color w:val="auto"/>
          <w:szCs w:val="21"/>
          <w:highlight w:val="none"/>
        </w:rPr>
        <w:t xml:space="preserve">       职务：</w:t>
      </w:r>
      <w:bookmarkStart w:id="586" w:name="_Hlk113447258"/>
      <w:r>
        <w:rPr>
          <w:rFonts w:hint="eastAsia" w:ascii="宋体" w:hAnsi="宋体" w:cs="宋体"/>
          <w:color w:val="auto"/>
          <w:szCs w:val="21"/>
          <w:highlight w:val="none"/>
        </w:rPr>
        <w:t xml:space="preserve">  </w:t>
      </w:r>
      <w:bookmarkEnd w:id="586"/>
      <w:r>
        <w:rPr>
          <w:rFonts w:hint="eastAsia" w:ascii="宋体" w:hAnsi="宋体" w:cs="宋体"/>
          <w:color w:val="auto"/>
          <w:szCs w:val="21"/>
          <w:highlight w:val="none"/>
        </w:rPr>
        <w:t xml:space="preserve">      联系方式：      。</w:t>
      </w:r>
    </w:p>
    <w:p w14:paraId="0690E1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安全员： </w:t>
      </w:r>
      <w:bookmarkStart w:id="587" w:name="_Hlk113447275"/>
      <w:r>
        <w:rPr>
          <w:rFonts w:hint="eastAsia" w:ascii="宋体" w:hAnsi="宋体" w:cs="宋体"/>
          <w:color w:val="auto"/>
          <w:szCs w:val="21"/>
          <w:highlight w:val="none"/>
        </w:rPr>
        <w:t xml:space="preserve">    </w:t>
      </w:r>
      <w:bookmarkEnd w:id="587"/>
      <w:r>
        <w:rPr>
          <w:rFonts w:hint="eastAsia" w:ascii="宋体" w:hAnsi="宋体" w:cs="宋体"/>
          <w:color w:val="auto"/>
          <w:szCs w:val="21"/>
          <w:highlight w:val="none"/>
        </w:rPr>
        <w:t xml:space="preserve">     职务：        联系方式：      。</w:t>
      </w:r>
    </w:p>
    <w:p w14:paraId="7F2930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质量员：          职务：        联系方式：      。</w:t>
      </w:r>
    </w:p>
    <w:p w14:paraId="6A2E79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标准员：          职务：        联系方式：      。</w:t>
      </w:r>
    </w:p>
    <w:p w14:paraId="14045F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材料员：  </w:t>
      </w:r>
      <w:bookmarkStart w:id="588" w:name="_Hlk113447320"/>
      <w:r>
        <w:rPr>
          <w:rFonts w:hint="eastAsia" w:ascii="宋体" w:hAnsi="宋体" w:cs="宋体"/>
          <w:color w:val="auto"/>
          <w:szCs w:val="21"/>
          <w:highlight w:val="none"/>
        </w:rPr>
        <w:t xml:space="preserve">    </w:t>
      </w:r>
      <w:bookmarkEnd w:id="588"/>
      <w:r>
        <w:rPr>
          <w:rFonts w:hint="eastAsia" w:ascii="宋体" w:hAnsi="宋体" w:cs="宋体"/>
          <w:color w:val="auto"/>
          <w:szCs w:val="21"/>
          <w:highlight w:val="none"/>
        </w:rPr>
        <w:t xml:space="preserve">    职务：        联系方式：      。</w:t>
      </w:r>
    </w:p>
    <w:p w14:paraId="06D864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机械员：          职务：        联系方式：      。</w:t>
      </w:r>
    </w:p>
    <w:p w14:paraId="27E5CD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劳务员：          职务：        联系方式：      。</w:t>
      </w:r>
    </w:p>
    <w:p w14:paraId="368A6E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资料员：          职务：        联系方式：      。</w:t>
      </w:r>
    </w:p>
    <w:p w14:paraId="77CE29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其他人员：        职务：        联系方式：      。</w:t>
      </w:r>
    </w:p>
    <w:p w14:paraId="3B249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（2）以上主要施工管理人员为施工现场最低人员配置（主要施工管理人员为技术负责人、施工员、安全员、质量员等），其中标准员、材料员、机械员、劳务员和资料员可兼职。</w:t>
      </w:r>
    </w:p>
    <w:p w14:paraId="0601C3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人无正当理由拒绝撤换技术负责人的，发包人有权终止合同。承包人无正当理由拒绝撤换以上其他主要施工管理人员的，经监理人和发包人确认后，按每人每次每天人民币1000元向发包人支付违约金，直至承包人更换合格人选，承包人不得对此提出任何异议。同时，在更换期间承包人有义务保证工作的连续性由此增加的费用和（或）延误的工期由承包人承担。</w:t>
      </w:r>
    </w:p>
    <w:p w14:paraId="0CC6DD01">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b/>
          <w:bCs/>
          <w:color w:val="auto"/>
          <w:szCs w:val="21"/>
          <w:highlight w:val="none"/>
          <w:u w:val="single"/>
        </w:rPr>
        <w:t>承包人3.3.3条中主要施工管理人员离开施工现场每月累计不超过3天（不含3天）的，应报监理人同意；离开施工现场每月累计超过3天（含3天）的，应通知监理人，并征得发包人书面同意，同时，对超出部分，对技术负责人离开施工现场按每天人民币1000元向发包人支付违约金、其他主要人员按每人每天人民币1000元向发包人支付违约金。主要施工管理人员离开施工现场前应指定一名有经验的人员临时代行其职责，该人员应具备履行相应职责的资格和能力，且应征得监理人或发包人的同意。</w:t>
      </w:r>
    </w:p>
    <w:p w14:paraId="44192AC8">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3.3.5承包人擅自更换主要施工管理人员的违约责任：</w:t>
      </w:r>
      <w:r>
        <w:rPr>
          <w:rFonts w:hint="eastAsia" w:ascii="宋体" w:hAnsi="宋体" w:cs="宋体"/>
          <w:b/>
          <w:bCs/>
          <w:color w:val="auto"/>
          <w:szCs w:val="21"/>
          <w:highlight w:val="none"/>
          <w:u w:val="single"/>
        </w:rPr>
        <w:t>未经监理工程师或发包人批准擅自更换主要施工管理人员的，承包人将承担支付合同价10%的违约金，同时，发包人有权终止合同，由此产生的后果和责任均由承包人承担。</w:t>
      </w:r>
    </w:p>
    <w:p w14:paraId="148B1612">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承包人主要施工管理人员擅自离开施工现场的违约责任：</w:t>
      </w:r>
      <w:r>
        <w:rPr>
          <w:rFonts w:hint="eastAsia" w:ascii="宋体" w:hAnsi="宋体" w:cs="宋体"/>
          <w:b/>
          <w:bCs/>
          <w:color w:val="auto"/>
          <w:szCs w:val="21"/>
          <w:highlight w:val="none"/>
          <w:u w:val="single"/>
        </w:rPr>
        <w:t>技术负责按每次人民币1000元向发包人支付违约金，每月超过3次（含3次），发包人有权要求承包人更换技术负责人；其他主要施工管理人员按每人每次人民币1000元向发包人支付违约金，每月超过3次（含3次），发包人有权要求承包人更换主要施工管理人员。</w:t>
      </w:r>
    </w:p>
    <w:p w14:paraId="36DA7B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3.3.6技术负责人必须按时参加由监理工程师和发包人召集召开的关于项目相关会议，技术负责人未参加的，按每次人民币1000元向发包人支付违约金；每月累计达到5次（含5次）的，发包人有权要求承包人更换技术负责人。</w:t>
      </w:r>
    </w:p>
    <w:p w14:paraId="76B11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589" w:name="_Toc303539102"/>
      <w:bookmarkStart w:id="590" w:name="_Toc297123492"/>
      <w:bookmarkStart w:id="591" w:name="_Toc296347158"/>
      <w:bookmarkStart w:id="592" w:name="_Toc296503159"/>
      <w:bookmarkStart w:id="593" w:name="_Toc304295523"/>
      <w:bookmarkStart w:id="594" w:name="_Toc296891199"/>
      <w:bookmarkStart w:id="595" w:name="_Toc297216151"/>
      <w:bookmarkStart w:id="596" w:name="_Toc296346660"/>
      <w:bookmarkStart w:id="597" w:name="_Toc312677988"/>
      <w:bookmarkStart w:id="598" w:name="_Toc297048345"/>
      <w:bookmarkStart w:id="599" w:name="_Toc296944498"/>
      <w:bookmarkStart w:id="600" w:name="_Toc292559364"/>
      <w:bookmarkStart w:id="601" w:name="_Toc296890987"/>
      <w:bookmarkStart w:id="602" w:name="_Toc300934945"/>
      <w:bookmarkStart w:id="603" w:name="_Toc297120459"/>
      <w:bookmarkStart w:id="604" w:name="_Toc292559869"/>
      <w:r>
        <w:rPr>
          <w:rFonts w:hint="eastAsia" w:ascii="宋体" w:hAnsi="宋体" w:cs="宋体"/>
          <w:color w:val="auto"/>
          <w:szCs w:val="21"/>
          <w:highlight w:val="none"/>
        </w:rPr>
        <w:t>.5 分包</w:t>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02D76E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605" w:name="_Toc296944499"/>
      <w:bookmarkStart w:id="606" w:name="_Toc292559365"/>
      <w:bookmarkStart w:id="607" w:name="_Toc296503160"/>
      <w:bookmarkStart w:id="608" w:name="_Toc292559870"/>
      <w:bookmarkStart w:id="609" w:name="_Toc297120460"/>
      <w:bookmarkStart w:id="610" w:name="_Toc297123493"/>
      <w:bookmarkStart w:id="611" w:name="_Toc297216152"/>
      <w:bookmarkStart w:id="612" w:name="_Toc297048346"/>
      <w:bookmarkStart w:id="613" w:name="_Toc303539103"/>
      <w:bookmarkStart w:id="614" w:name="_Toc296890988"/>
      <w:bookmarkStart w:id="615" w:name="_Toc296346661"/>
      <w:bookmarkStart w:id="616" w:name="_Toc296891200"/>
      <w:bookmarkStart w:id="617" w:name="_Toc296347159"/>
      <w:bookmarkStart w:id="618" w:name="_Toc304295524"/>
      <w:bookmarkStart w:id="619" w:name="_Toc300934946"/>
      <w:bookmarkStart w:id="620" w:name="_Toc312677989"/>
      <w:bookmarkStart w:id="621" w:name="_Toc318581158"/>
      <w:r>
        <w:rPr>
          <w:rFonts w:hint="eastAsia" w:ascii="宋体" w:hAnsi="宋体" w:cs="宋体"/>
          <w:color w:val="auto"/>
          <w:szCs w:val="21"/>
          <w:highlight w:val="none"/>
        </w:rPr>
        <w:t>.5.1 分包的一般约定</w:t>
      </w:r>
    </w:p>
    <w:p w14:paraId="1DB0C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b/>
          <w:bCs/>
          <w:color w:val="auto"/>
          <w:szCs w:val="21"/>
          <w:highlight w:val="none"/>
          <w:u w:val="single"/>
        </w:rPr>
        <w:t>不允许分包 。</w:t>
      </w:r>
    </w:p>
    <w:p w14:paraId="22E38F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2" w:name="_Toc303539104"/>
      <w:bookmarkStart w:id="623" w:name="_Toc304295525"/>
      <w:bookmarkStart w:id="624" w:name="_Toc297120461"/>
      <w:bookmarkStart w:id="625" w:name="_Toc297216153"/>
      <w:bookmarkStart w:id="626" w:name="_Toc297048347"/>
      <w:bookmarkStart w:id="627" w:name="_Toc296503161"/>
      <w:bookmarkStart w:id="628" w:name="_Toc296890989"/>
      <w:bookmarkStart w:id="629" w:name="_Toc296891201"/>
      <w:bookmarkStart w:id="630" w:name="_Toc297123494"/>
      <w:bookmarkStart w:id="631" w:name="_Toc296944500"/>
      <w:bookmarkStart w:id="632" w:name="_Toc296347160"/>
      <w:bookmarkStart w:id="633" w:name="_Toc300934947"/>
      <w:bookmarkStart w:id="634" w:name="_Toc296346662"/>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0F047C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635" w:name="_Toc318581159"/>
      <w:bookmarkStart w:id="636" w:name="_Toc312677990"/>
      <w:r>
        <w:rPr>
          <w:rFonts w:hint="eastAsia" w:ascii="宋体" w:hAnsi="宋体" w:cs="宋体"/>
          <w:color w:val="auto"/>
          <w:szCs w:val="21"/>
          <w:highlight w:val="none"/>
        </w:rPr>
        <w:t>.5.2分包的确定</w:t>
      </w:r>
    </w:p>
    <w:p w14:paraId="3A3404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8A57D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FD9F5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分包合同价款</w:t>
      </w:r>
    </w:p>
    <w:p w14:paraId="67B893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635"/>
    <w:bookmarkEnd w:id="636"/>
    <w:p w14:paraId="2F01F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工程照管与成品、半成品保护</w:t>
      </w:r>
    </w:p>
    <w:p w14:paraId="7A1AC89F">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承包人负责照管工程及工程相关的材料、工程设备的起始时间：</w:t>
      </w:r>
      <w:r>
        <w:rPr>
          <w:rFonts w:hint="eastAsia" w:ascii="宋体" w:hAnsi="宋体" w:cs="宋体"/>
          <w:b/>
          <w:bCs/>
          <w:color w:val="auto"/>
          <w:szCs w:val="21"/>
          <w:highlight w:val="none"/>
          <w:u w:val="single"/>
        </w:rPr>
        <w:t>在竣工验收移交全部工程前，由承包人负责对已完工程成品采取保护措施，并承担相关费用。</w:t>
      </w:r>
    </w:p>
    <w:p w14:paraId="708F7B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 履约担保</w:t>
      </w:r>
    </w:p>
    <w:p w14:paraId="4B8245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b/>
          <w:bCs/>
          <w:color w:val="auto"/>
          <w:szCs w:val="21"/>
          <w:highlight w:val="none"/>
          <w:u w:val="single"/>
          <w:lang w:val="en-US" w:eastAsia="zh-CN"/>
        </w:rPr>
        <w:t>是</w:t>
      </w:r>
      <w:r>
        <w:rPr>
          <w:rFonts w:hint="eastAsia" w:ascii="宋体" w:hAnsi="宋体" w:cs="宋体"/>
          <w:b/>
          <w:bCs/>
          <w:color w:val="auto"/>
          <w:szCs w:val="21"/>
          <w:highlight w:val="none"/>
          <w:u w:val="single"/>
        </w:rPr>
        <w:t>。</w:t>
      </w:r>
    </w:p>
    <w:p w14:paraId="689387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承包人提供履约担保的形式、金额及期限的：</w:t>
      </w:r>
      <w:r>
        <w:rPr>
          <w:rFonts w:hint="eastAsia" w:hAnsi="宋体" w:cs="宋体"/>
          <w:color w:val="auto"/>
          <w:szCs w:val="21"/>
          <w:highlight w:val="none"/>
          <w:u w:val="single"/>
          <w:lang w:eastAsia="zh-CN"/>
        </w:rPr>
        <w:t>合同签订之前中标单位向采购单位提供履约担保</w:t>
      </w:r>
      <w:r>
        <w:rPr>
          <w:rFonts w:hint="eastAsia" w:ascii="宋体" w:hAnsi="宋体" w:cs="宋体"/>
          <w:color w:val="auto"/>
          <w:szCs w:val="21"/>
          <w:highlight w:val="none"/>
          <w:u w:val="single"/>
        </w:rPr>
        <w:t>，担保方式为：</w:t>
      </w:r>
      <w:r>
        <w:rPr>
          <w:rFonts w:hint="eastAsia" w:hAnsi="宋体" w:cs="宋体"/>
          <w:color w:val="auto"/>
          <w:szCs w:val="21"/>
          <w:highlight w:val="none"/>
          <w:u w:val="single"/>
          <w:lang w:eastAsia="zh-CN"/>
        </w:rPr>
        <w:t>支票、汇票、本票或者金融机构、担保机构出具的保函（转账或汇款）提交</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中标价的5%</w:t>
      </w:r>
      <w:r>
        <w:rPr>
          <w:rFonts w:hint="eastAsia" w:ascii="宋体" w:hAnsi="宋体" w:cs="宋体"/>
          <w:color w:val="auto"/>
          <w:szCs w:val="21"/>
          <w:highlight w:val="none"/>
          <w:u w:val="single"/>
        </w:rPr>
        <w:t>，在缴纳履约担保后签订合同，竣工验收合格后无息退还</w:t>
      </w:r>
      <w:r>
        <w:rPr>
          <w:rFonts w:hint="eastAsia" w:ascii="宋体" w:hAnsi="宋体" w:cs="宋体"/>
          <w:b/>
          <w:bCs/>
          <w:color w:val="auto"/>
          <w:szCs w:val="21"/>
          <w:highlight w:val="none"/>
          <w:u w:val="single"/>
        </w:rPr>
        <w:t>。</w:t>
      </w:r>
    </w:p>
    <w:p w14:paraId="7EB62D0D">
      <w:pPr>
        <w:spacing w:line="360" w:lineRule="auto"/>
        <w:ind w:firstLine="420" w:firstLineChars="200"/>
        <w:rPr>
          <w:rFonts w:hint="eastAsia" w:ascii="宋体" w:hAnsi="宋体" w:cs="宋体"/>
          <w:color w:val="auto"/>
          <w:szCs w:val="21"/>
          <w:highlight w:val="none"/>
        </w:rPr>
      </w:pPr>
      <w:bookmarkStart w:id="637" w:name="_Toc351203636"/>
      <w:r>
        <w:rPr>
          <w:rFonts w:hint="eastAsia" w:ascii="宋体" w:hAnsi="宋体" w:cs="宋体"/>
          <w:color w:val="auto"/>
          <w:szCs w:val="21"/>
          <w:highlight w:val="none"/>
        </w:rPr>
        <w:t>4</w:t>
      </w:r>
      <w:bookmarkStart w:id="638" w:name="_Toc292559871"/>
      <w:bookmarkStart w:id="639" w:name="_Toc296346663"/>
      <w:bookmarkStart w:id="640" w:name="_Toc297048348"/>
      <w:bookmarkStart w:id="641" w:name="_Toc296503162"/>
      <w:bookmarkStart w:id="642" w:name="_Toc297120462"/>
      <w:bookmarkStart w:id="643" w:name="_Toc267251413"/>
      <w:bookmarkStart w:id="644" w:name="_Toc296347161"/>
      <w:bookmarkStart w:id="645" w:name="_Toc296891202"/>
      <w:bookmarkStart w:id="646" w:name="_Toc296890990"/>
      <w:bookmarkStart w:id="647" w:name="_Toc292559366"/>
      <w:bookmarkStart w:id="648" w:name="_Toc296944501"/>
      <w:r>
        <w:rPr>
          <w:rFonts w:hint="eastAsia" w:ascii="宋体" w:hAnsi="宋体" w:cs="宋体"/>
          <w:color w:val="auto"/>
          <w:szCs w:val="21"/>
          <w:highlight w:val="none"/>
        </w:rPr>
        <w:t>.</w:t>
      </w:r>
      <w:r>
        <w:rPr>
          <w:rFonts w:ascii="宋体" w:hAnsi="宋体" w:cs="宋体"/>
          <w:color w:val="auto"/>
          <w:szCs w:val="21"/>
          <w:highlight w:val="none"/>
        </w:rPr>
        <w:t xml:space="preserve"> </w:t>
      </w:r>
      <w:r>
        <w:rPr>
          <w:rFonts w:hint="eastAsia" w:ascii="宋体" w:hAnsi="宋体" w:cs="宋体"/>
          <w:color w:val="auto"/>
          <w:szCs w:val="21"/>
          <w:highlight w:val="none"/>
        </w:rPr>
        <w:t>监</w:t>
      </w:r>
      <w:bookmarkEnd w:id="638"/>
      <w:bookmarkEnd w:id="639"/>
      <w:bookmarkEnd w:id="640"/>
      <w:bookmarkEnd w:id="641"/>
      <w:bookmarkEnd w:id="642"/>
      <w:bookmarkEnd w:id="643"/>
      <w:bookmarkEnd w:id="644"/>
      <w:bookmarkEnd w:id="645"/>
      <w:bookmarkEnd w:id="646"/>
      <w:bookmarkEnd w:id="647"/>
      <w:bookmarkEnd w:id="648"/>
      <w:r>
        <w:rPr>
          <w:rFonts w:hint="eastAsia" w:ascii="宋体" w:hAnsi="宋体" w:cs="宋体"/>
          <w:color w:val="auto"/>
          <w:szCs w:val="21"/>
          <w:highlight w:val="none"/>
        </w:rPr>
        <w:t>理人</w:t>
      </w:r>
      <w:bookmarkEnd w:id="637"/>
    </w:p>
    <w:p w14:paraId="2DEB4C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4.1监理人的一般规定</w:t>
      </w:r>
    </w:p>
    <w:p w14:paraId="36D53488">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关于监理人的监理内容：</w:t>
      </w:r>
      <w:r>
        <w:rPr>
          <w:rFonts w:hint="eastAsia" w:ascii="宋体" w:hAnsi="宋体" w:cs="宋体"/>
          <w:b/>
          <w:bCs/>
          <w:color w:val="auto"/>
          <w:szCs w:val="21"/>
          <w:highlight w:val="none"/>
          <w:u w:val="single"/>
        </w:rPr>
        <w:t xml:space="preserve">工程质量、进度、施工安全等施工阶段全过程监理，详见监理合同及实施细则。 </w:t>
      </w:r>
    </w:p>
    <w:p w14:paraId="2C4D205F">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关于监理人的监理权限：</w:t>
      </w:r>
      <w:r>
        <w:rPr>
          <w:rFonts w:hint="eastAsia" w:ascii="宋体" w:hAnsi="宋体" w:cs="宋体"/>
          <w:b/>
          <w:bCs/>
          <w:color w:val="auto"/>
          <w:szCs w:val="21"/>
          <w:highlight w:val="none"/>
          <w:u w:val="single"/>
        </w:rPr>
        <w:t>决定影响工期的施工暂停；工程变更、设计变更的估价；索赔价款的确定和支付；涉及改变原设计意图的变更；对承包人合同规定的义务提出变更；暂估价的确定；超出施工合同约定的工程价格的调整和变更。</w:t>
      </w:r>
    </w:p>
    <w:p w14:paraId="25DFA3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监理工程师需要取得发包人批准才能行使的职权包括：</w:t>
      </w:r>
      <w:r>
        <w:rPr>
          <w:rFonts w:hint="eastAsia" w:ascii="宋体" w:hAnsi="宋体" w:cs="宋体"/>
          <w:b/>
          <w:bCs/>
          <w:color w:val="auto"/>
          <w:szCs w:val="21"/>
          <w:highlight w:val="none"/>
          <w:u w:val="single"/>
        </w:rPr>
        <w:t>影响工程质量的签证；影响工程造价的签证及技术方案；工程设计变更签证；签发开工令、停工令、复工令；标外工程的监理；工程量确认。</w:t>
      </w:r>
    </w:p>
    <w:p w14:paraId="0F94CCB4">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b/>
          <w:bCs/>
          <w:color w:val="auto"/>
          <w:szCs w:val="21"/>
          <w:highlight w:val="none"/>
          <w:u w:val="single"/>
        </w:rPr>
        <w:t>由承包人承担满足施工现场的办公场所，费用承包人负责。</w:t>
      </w:r>
    </w:p>
    <w:p w14:paraId="5A7DC2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监理人员</w:t>
      </w:r>
    </w:p>
    <w:p w14:paraId="25A9C8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总监理工程师：</w:t>
      </w:r>
    </w:p>
    <w:p w14:paraId="7D8411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EB087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总监理工程师        </w:t>
      </w:r>
      <w:r>
        <w:rPr>
          <w:rFonts w:hint="eastAsia" w:ascii="宋体" w:hAnsi="宋体" w:cs="宋体"/>
          <w:color w:val="auto"/>
          <w:szCs w:val="21"/>
          <w:highlight w:val="none"/>
        </w:rPr>
        <w:t>；</w:t>
      </w:r>
    </w:p>
    <w:p w14:paraId="655350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48410A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229F9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F581F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2C798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E276A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商定或确定</w:t>
      </w:r>
    </w:p>
    <w:p w14:paraId="191C0FB3">
      <w:pPr>
        <w:spacing w:line="360" w:lineRule="auto"/>
        <w:ind w:firstLine="420" w:firstLineChars="200"/>
        <w:rPr>
          <w:rFonts w:hint="eastAsia" w:ascii="宋体" w:hAnsi="宋体" w:cs="宋体"/>
          <w:b/>
          <w:bCs/>
          <w:color w:val="auto"/>
          <w:szCs w:val="21"/>
          <w:highlight w:val="none"/>
          <w:u w:val="single"/>
        </w:rPr>
      </w:pPr>
      <w:bookmarkStart w:id="649" w:name="_Toc267251418"/>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b/>
          <w:bCs/>
          <w:color w:val="auto"/>
          <w:szCs w:val="21"/>
          <w:highlight w:val="none"/>
          <w:u w:val="single"/>
        </w:rPr>
        <w:t xml:space="preserve"> 按合同通用条款执行 ；</w:t>
      </w:r>
    </w:p>
    <w:p w14:paraId="6493087D">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补充条款：</w:t>
      </w:r>
      <w:r>
        <w:rPr>
          <w:rFonts w:hint="eastAsia" w:ascii="宋体" w:hAnsi="宋体" w:cs="宋体"/>
          <w:b/>
          <w:bCs/>
          <w:color w:val="auto"/>
          <w:szCs w:val="21"/>
          <w:highlight w:val="none"/>
          <w:u w:val="single"/>
        </w:rPr>
        <w:t>如果这项商定或确定导致费用增加和（或）工期延长，或者涉及确定变更工程的价格，则总监理工程师在发出通知前，应征得发包人的同意 。</w:t>
      </w:r>
    </w:p>
    <w:p w14:paraId="77B981AB">
      <w:pPr>
        <w:spacing w:line="360" w:lineRule="auto"/>
        <w:ind w:firstLine="420" w:firstLineChars="200"/>
        <w:rPr>
          <w:rFonts w:hint="eastAsia" w:ascii="宋体" w:hAnsi="宋体" w:cs="宋体"/>
          <w:color w:val="auto"/>
          <w:szCs w:val="21"/>
          <w:highlight w:val="none"/>
        </w:rPr>
      </w:pPr>
      <w:bookmarkStart w:id="650" w:name="_Toc351203637"/>
      <w:r>
        <w:rPr>
          <w:rFonts w:hint="eastAsia" w:ascii="宋体" w:hAnsi="宋体" w:cs="宋体"/>
          <w:color w:val="auto"/>
          <w:szCs w:val="21"/>
          <w:highlight w:val="none"/>
        </w:rPr>
        <w:t>5</w:t>
      </w:r>
      <w:bookmarkEnd w:id="649"/>
      <w:bookmarkStart w:id="651" w:name="_Toc296890991"/>
      <w:bookmarkStart w:id="652" w:name="_Toc296891203"/>
      <w:bookmarkStart w:id="653" w:name="_Toc296944502"/>
      <w:bookmarkStart w:id="654" w:name="_Toc296347162"/>
      <w:bookmarkStart w:id="655" w:name="_Toc292559872"/>
      <w:bookmarkStart w:id="656" w:name="_Toc292559367"/>
      <w:bookmarkStart w:id="657" w:name="_Toc297120463"/>
      <w:bookmarkStart w:id="658" w:name="_Toc296346664"/>
      <w:bookmarkStart w:id="659" w:name="_Toc296503163"/>
      <w:bookmarkStart w:id="660" w:name="_Toc297048349"/>
      <w:r>
        <w:rPr>
          <w:rFonts w:hint="eastAsia" w:ascii="宋体" w:hAnsi="宋体" w:cs="宋体"/>
          <w:color w:val="auto"/>
          <w:szCs w:val="21"/>
          <w:highlight w:val="none"/>
        </w:rPr>
        <w:t>. 工程质量</w:t>
      </w:r>
      <w:bookmarkEnd w:id="650"/>
    </w:p>
    <w:p w14:paraId="22B06A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质量要求</w:t>
      </w:r>
    </w:p>
    <w:p w14:paraId="64EA8B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bookmarkStart w:id="661" w:name="_Toc297216155"/>
      <w:bookmarkStart w:id="662" w:name="_Toc304295527"/>
      <w:bookmarkStart w:id="663" w:name="_Toc303539106"/>
      <w:bookmarkStart w:id="664" w:name="_Toc318581164"/>
      <w:bookmarkStart w:id="665" w:name="_Toc312677997"/>
      <w:bookmarkStart w:id="666" w:name="_Toc300934949"/>
      <w:bookmarkStart w:id="667" w:name="_Toc297123496"/>
      <w:r>
        <w:rPr>
          <w:rFonts w:hint="eastAsia" w:ascii="宋体" w:hAnsi="宋体" w:cs="宋体"/>
          <w:color w:val="auto"/>
          <w:szCs w:val="21"/>
          <w:highlight w:val="none"/>
        </w:rPr>
        <w:t>.1.1 特殊质量标准和要求：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50009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D805C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隐蔽工程检查</w:t>
      </w:r>
    </w:p>
    <w:p w14:paraId="006DA4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5.3.2承包人提前通知监理人隐蔽工程检查的期限的约定：</w:t>
      </w:r>
      <w:r>
        <w:rPr>
          <w:rFonts w:hint="eastAsia" w:ascii="宋体" w:hAnsi="宋体" w:cs="宋体"/>
          <w:b/>
          <w:bCs/>
          <w:color w:val="auto"/>
          <w:szCs w:val="21"/>
          <w:highlight w:val="none"/>
          <w:u w:val="single"/>
        </w:rPr>
        <w:t>共同检查前48小时书面通知监理人。</w:t>
      </w:r>
    </w:p>
    <w:p w14:paraId="095D63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 24 小时提交书面延期要求。</w:t>
      </w:r>
    </w:p>
    <w:p w14:paraId="5ED151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bCs/>
          <w:color w:val="auto"/>
          <w:szCs w:val="21"/>
          <w:highlight w:val="none"/>
          <w:u w:val="single"/>
        </w:rPr>
        <w:t>48小时。</w:t>
      </w:r>
    </w:p>
    <w:p w14:paraId="1F1E4B68">
      <w:pPr>
        <w:spacing w:line="360" w:lineRule="auto"/>
        <w:ind w:firstLine="420" w:firstLineChars="200"/>
        <w:rPr>
          <w:rFonts w:hint="eastAsia" w:ascii="宋体" w:hAnsi="宋体" w:cs="宋体"/>
          <w:color w:val="auto"/>
          <w:szCs w:val="21"/>
          <w:highlight w:val="none"/>
        </w:rPr>
      </w:pPr>
      <w:bookmarkStart w:id="668" w:name="_Toc351203638"/>
      <w:r>
        <w:rPr>
          <w:rFonts w:hint="eastAsia" w:ascii="宋体" w:hAnsi="宋体" w:cs="宋体"/>
          <w:color w:val="auto"/>
          <w:szCs w:val="21"/>
          <w:highlight w:val="none"/>
        </w:rPr>
        <w:t>6. 安全文明施工与环境保护</w:t>
      </w:r>
      <w:bookmarkEnd w:id="668"/>
    </w:p>
    <w:p w14:paraId="683F86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6.1安全文明施工</w:t>
      </w:r>
    </w:p>
    <w:p w14:paraId="6807C1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项目安全生产的达标目标及相应事项的约定： 要求达到《建筑施工安全检查标准》（JGJ59-2011）标准。承包人在施工开始前应向发包人提出安全防护措施，经发包人认可后实施，防护措施费用由承包人承担。承包人在发包人原有生产设施附近施工，在实施爆破、易燃、有毒、腐蚀性物品施工时，应遵守工程建设安全生产有关管理规定，严格按现行安全标准组织施工，接受行业主管部门依法实施的监督检查，采取必要的安全防护措施，消除安全隐患。施工期间，施工单位必须采取有效措施以确保运输车辆及各类施工机械设备作业安全。如发生安全事故导致发包人损失的，承包人应赔偿发包人因此遭受的全部损失。</w:t>
      </w:r>
    </w:p>
    <w:p w14:paraId="0C9343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为了保护本合同工程免遭损坏，或为现场附近和过往群众的安全与方便，在确有必要的时候和地方，或当监理人或有关主管部门要求时，承包人应自费提供照明、警卫、护栅、警告标志等安全防护措施。</w:t>
      </w:r>
    </w:p>
    <w:p w14:paraId="089F5F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赔偿、诉讼费用及其他一切责任应由承包人负责。</w:t>
      </w:r>
    </w:p>
    <w:p w14:paraId="650CB4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文明施工须达到《建筑施工现场环境与卫生标准》标准。严格按安全管理条例及安全操作规程进行施工，如因承包人原因发生安全事故，所造成的一切损失由承包人负责。并执行“通用条款”相应条款及中华人民共和国国务院第302号文《国务院关于特大安全事故责任追究的规定》以及本项目的相关管理规定和办法。</w:t>
      </w:r>
    </w:p>
    <w:p w14:paraId="3383FDD2">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b/>
          <w:bCs/>
          <w:color w:val="auto"/>
          <w:szCs w:val="21"/>
          <w:highlight w:val="none"/>
          <w:u w:val="single"/>
        </w:rPr>
        <w:t xml:space="preserve"> 按国家建筑工程安全施工有关要求、发包人安全管理规定的要求施工 。</w:t>
      </w:r>
    </w:p>
    <w:p w14:paraId="69AD3236">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关于编制施工场地治安管理计划的约定：</w:t>
      </w:r>
      <w:r>
        <w:rPr>
          <w:rFonts w:hint="eastAsia" w:ascii="宋体" w:hAnsi="宋体" w:cs="宋体"/>
          <w:b/>
          <w:bCs/>
          <w:color w:val="auto"/>
          <w:szCs w:val="21"/>
          <w:highlight w:val="none"/>
          <w:u w:val="single"/>
        </w:rPr>
        <w:t>承包人将施工安全措施计划于本合同生效后7日内报送监理人审批 。</w:t>
      </w:r>
    </w:p>
    <w:p w14:paraId="346C22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6.1.5 文明施工</w:t>
      </w:r>
    </w:p>
    <w:p w14:paraId="33631DCC">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合同当事人对文明施工的要求：</w:t>
      </w:r>
      <w:r>
        <w:rPr>
          <w:rFonts w:hint="eastAsia" w:ascii="宋体" w:hAnsi="宋体" w:cs="宋体"/>
          <w:b/>
          <w:bCs/>
          <w:color w:val="auto"/>
          <w:szCs w:val="21"/>
          <w:highlight w:val="none"/>
          <w:u w:val="single"/>
        </w:rPr>
        <w:t>要求达到《建筑施工现场环境与卫生标准》（JGJ146-2004）标准。严格按安全管理条例及安全操作规程进行施工，如因承包人原因发生安全事故，所造成的一切损失由承包人负责。并执行“通用条款”相应条款及中华人民共和国国务院第302号文《国务院关于特大安全事故责任追究的规定》以及本项目的相关管理规定和办法。</w:t>
      </w:r>
    </w:p>
    <w:p w14:paraId="7C7AE3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b/>
          <w:bCs/>
          <w:color w:val="auto"/>
          <w:szCs w:val="21"/>
          <w:highlight w:val="none"/>
          <w:u w:val="single"/>
        </w:rPr>
        <w:t>与工程进度款同期支付。</w:t>
      </w:r>
    </w:p>
    <w:bookmarkEnd w:id="661"/>
    <w:bookmarkEnd w:id="662"/>
    <w:bookmarkEnd w:id="663"/>
    <w:bookmarkEnd w:id="664"/>
    <w:bookmarkEnd w:id="665"/>
    <w:bookmarkEnd w:id="666"/>
    <w:bookmarkEnd w:id="667"/>
    <w:p w14:paraId="1167BEBB">
      <w:pPr>
        <w:spacing w:line="360" w:lineRule="auto"/>
        <w:ind w:firstLine="420" w:firstLineChars="200"/>
        <w:rPr>
          <w:rFonts w:hint="eastAsia" w:ascii="宋体" w:hAnsi="宋体" w:cs="宋体"/>
          <w:color w:val="auto"/>
          <w:szCs w:val="21"/>
          <w:highlight w:val="none"/>
        </w:rPr>
      </w:pPr>
      <w:bookmarkStart w:id="669" w:name="_Toc351203639"/>
      <w:r>
        <w:rPr>
          <w:rFonts w:hint="eastAsia" w:ascii="宋体" w:hAnsi="宋体" w:cs="宋体"/>
          <w:color w:val="auto"/>
          <w:szCs w:val="21"/>
          <w:highlight w:val="none"/>
        </w:rPr>
        <w:t>7. 工期和进度</w:t>
      </w:r>
      <w:bookmarkEnd w:id="669"/>
    </w:p>
    <w:p w14:paraId="540CD4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 施工组织设计</w:t>
      </w:r>
    </w:p>
    <w:p w14:paraId="0B484C17">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7.1.1 合同当事人约定的施工组织设计应包括的其他内容：</w:t>
      </w:r>
      <w:r>
        <w:rPr>
          <w:rFonts w:hint="eastAsia" w:ascii="宋体" w:hAnsi="宋体" w:cs="宋体"/>
          <w:b/>
          <w:bCs/>
          <w:color w:val="auto"/>
          <w:szCs w:val="21"/>
          <w:highlight w:val="none"/>
          <w:u w:val="single"/>
        </w:rPr>
        <w:t xml:space="preserve"> 因承包人的原因导致实际进度与合同计划进度不符，承包人无权就改进措施提出追加合同价款或工期索赔，施工进度比批复的施工组织设计节点进度计划延误达 30 日以上时，发包人有权单方终止合同 。</w:t>
      </w:r>
    </w:p>
    <w:p w14:paraId="6F9BD4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7.1.2 施工组织设计的提交和修改</w:t>
      </w:r>
    </w:p>
    <w:p w14:paraId="482AFA3D">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承包人提交详细施工组织设计的期限的约定：</w:t>
      </w:r>
      <w:r>
        <w:rPr>
          <w:rFonts w:hint="eastAsia" w:ascii="宋体" w:hAnsi="宋体" w:cs="宋体"/>
          <w:b/>
          <w:bCs/>
          <w:color w:val="auto"/>
          <w:szCs w:val="21"/>
          <w:highlight w:val="none"/>
          <w:u w:val="single"/>
        </w:rPr>
        <w:t>开工前7天，承包人向发包人提供施工组织设计书，并提供施工进度计划及资金使用计划，经发包人和监理方批准后实施，并在当月20日前提供次月施工进度计划 。</w:t>
      </w:r>
    </w:p>
    <w:p w14:paraId="33CEBF37">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b/>
          <w:bCs/>
          <w:color w:val="auto"/>
          <w:szCs w:val="21"/>
          <w:highlight w:val="none"/>
          <w:u w:val="single"/>
        </w:rPr>
        <w:t xml:space="preserve"> 收到上述资料后7天内确认或提出修改意见，逾期不确认或未提出修改意见的，视为认可。</w:t>
      </w:r>
    </w:p>
    <w:p w14:paraId="1D8A7EA5">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补充条款：</w:t>
      </w:r>
      <w:r>
        <w:rPr>
          <w:rFonts w:hint="eastAsia" w:ascii="宋体" w:hAnsi="宋体" w:cs="宋体"/>
          <w:b/>
          <w:bCs/>
          <w:color w:val="auto"/>
          <w:szCs w:val="21"/>
          <w:highlight w:val="none"/>
          <w:u w:val="single"/>
        </w:rPr>
        <w:t>发包人有权根据承包人提供监理人审批同意的工期计划，检查工程进度情况，并结合工程总体进度要求承包人适时调整工期计划，满足发包人总体工期要求，产生的费用承包人负责承担。</w:t>
      </w:r>
    </w:p>
    <w:p w14:paraId="652935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670" w:name="_Toc300934966"/>
      <w:bookmarkStart w:id="671" w:name="_Toc312677479"/>
      <w:bookmarkStart w:id="672" w:name="_Toc303539123"/>
      <w:bookmarkStart w:id="673" w:name="_Toc304295541"/>
      <w:bookmarkStart w:id="674" w:name="_Toc297216173"/>
      <w:bookmarkStart w:id="675" w:name="_Toc297123514"/>
      <w:bookmarkStart w:id="676" w:name="_Toc312678005"/>
      <w:r>
        <w:rPr>
          <w:rFonts w:hint="eastAsia" w:ascii="宋体" w:hAnsi="宋体" w:cs="宋体"/>
          <w:color w:val="auto"/>
          <w:szCs w:val="21"/>
          <w:highlight w:val="none"/>
        </w:rPr>
        <w:t>.2 施工进度计划</w:t>
      </w:r>
    </w:p>
    <w:p w14:paraId="78F11E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7.2.2 施工进度计划的修订</w:t>
      </w:r>
    </w:p>
    <w:p w14:paraId="551FAC0B">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b/>
          <w:bCs/>
          <w:color w:val="auto"/>
          <w:szCs w:val="21"/>
          <w:highlight w:val="none"/>
          <w:u w:val="single"/>
        </w:rPr>
        <w:t xml:space="preserve"> 收到后7天内确认或提出修改意见，逾期不确认或未提出修改意见的，视为认可 。</w:t>
      </w:r>
    </w:p>
    <w:p w14:paraId="3B17FA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 开工</w:t>
      </w:r>
    </w:p>
    <w:p w14:paraId="21E015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7.3.1 开工准备</w:t>
      </w:r>
    </w:p>
    <w:p w14:paraId="2CA658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关于承包人提交工程开工报审表的期限：</w:t>
      </w:r>
      <w:r>
        <w:rPr>
          <w:rFonts w:hint="eastAsia" w:ascii="宋体" w:hAnsi="宋体" w:cs="宋体"/>
          <w:b/>
          <w:bCs/>
          <w:color w:val="auto"/>
          <w:szCs w:val="21"/>
          <w:highlight w:val="none"/>
          <w:u w:val="single"/>
        </w:rPr>
        <w:t>开工前7天。</w:t>
      </w:r>
    </w:p>
    <w:p w14:paraId="049ED1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b/>
          <w:bCs/>
          <w:color w:val="auto"/>
          <w:szCs w:val="21"/>
          <w:highlight w:val="none"/>
          <w:u w:val="single"/>
        </w:rPr>
        <w:t xml:space="preserve"> 满足开工时间要求。</w:t>
      </w:r>
    </w:p>
    <w:p w14:paraId="5BE7D1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b/>
          <w:bCs/>
          <w:color w:val="auto"/>
          <w:szCs w:val="21"/>
          <w:highlight w:val="none"/>
          <w:u w:val="single"/>
        </w:rPr>
        <w:t xml:space="preserve"> 满足开工时间要求。</w:t>
      </w:r>
    </w:p>
    <w:p w14:paraId="675EFC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补充条款：</w:t>
      </w:r>
      <w:r>
        <w:rPr>
          <w:rFonts w:hint="eastAsia" w:ascii="宋体" w:hAnsi="宋体" w:cs="宋体"/>
          <w:b/>
          <w:bCs/>
          <w:color w:val="auto"/>
          <w:szCs w:val="21"/>
          <w:highlight w:val="none"/>
          <w:u w:val="single"/>
        </w:rPr>
        <w:t>在合同签订后发出工程开工令前，发包人对照项目磋商文件、响应文件及合同文件，对开工前置条件进行检查。</w:t>
      </w:r>
    </w:p>
    <w:p w14:paraId="42047C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开工前置条件主要包括：</w:t>
      </w:r>
    </w:p>
    <w:p w14:paraId="4126A9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（1）项目组管理人员到位情况；</w:t>
      </w:r>
    </w:p>
    <w:p w14:paraId="034D2A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（2）投入的机械、设备到位情况；</w:t>
      </w:r>
    </w:p>
    <w:p w14:paraId="427230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（3）安全文明施工实施及准备情况；</w:t>
      </w:r>
    </w:p>
    <w:p w14:paraId="31C55F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（4）经监理人和发包人批准审核的施工组织设计和施工进度计划；</w:t>
      </w:r>
    </w:p>
    <w:p w14:paraId="7BEC32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（5）施工临时设施、用房准备情况；</w:t>
      </w:r>
    </w:p>
    <w:p w14:paraId="2F60AD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（6）设计交底、图纸会审记录；</w:t>
      </w:r>
    </w:p>
    <w:p w14:paraId="2AE076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（7）若工程开工时仍处于疫情期间，须按照当地政府的疫情防控要求完善相关工作。</w:t>
      </w:r>
    </w:p>
    <w:bookmarkEnd w:id="670"/>
    <w:bookmarkEnd w:id="671"/>
    <w:bookmarkEnd w:id="672"/>
    <w:bookmarkEnd w:id="673"/>
    <w:bookmarkEnd w:id="674"/>
    <w:bookmarkEnd w:id="675"/>
    <w:bookmarkEnd w:id="676"/>
    <w:p w14:paraId="002687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 测量放线</w:t>
      </w:r>
    </w:p>
    <w:p w14:paraId="6121FC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b/>
          <w:bCs/>
          <w:color w:val="auto"/>
          <w:szCs w:val="21"/>
          <w:highlight w:val="none"/>
          <w:u w:val="single"/>
        </w:rPr>
        <w:t xml:space="preserve"> / 。</w:t>
      </w:r>
    </w:p>
    <w:p w14:paraId="6FD23F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677" w:name="_Toc304295546"/>
      <w:bookmarkStart w:id="678" w:name="_Toc303539125"/>
      <w:bookmarkStart w:id="679" w:name="_Toc300934968"/>
      <w:bookmarkStart w:id="680" w:name="_Toc297216175"/>
      <w:bookmarkStart w:id="681" w:name="_Toc312678010"/>
      <w:bookmarkStart w:id="682" w:name="_Toc297123516"/>
      <w:bookmarkStart w:id="683" w:name="_Toc312677484"/>
      <w:r>
        <w:rPr>
          <w:rFonts w:hint="eastAsia" w:ascii="宋体" w:hAnsi="宋体" w:cs="宋体"/>
          <w:color w:val="auto"/>
          <w:szCs w:val="21"/>
          <w:highlight w:val="none"/>
        </w:rPr>
        <w:t>.5 工期延误</w:t>
      </w:r>
    </w:p>
    <w:bookmarkEnd w:id="677"/>
    <w:bookmarkEnd w:id="678"/>
    <w:bookmarkEnd w:id="679"/>
    <w:bookmarkEnd w:id="680"/>
    <w:bookmarkEnd w:id="681"/>
    <w:bookmarkEnd w:id="682"/>
    <w:bookmarkEnd w:id="683"/>
    <w:p w14:paraId="6FD44A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7.5.1 因发包人原因导致工期延误</w:t>
      </w:r>
    </w:p>
    <w:p w14:paraId="3E35AB53">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b/>
          <w:bCs/>
          <w:color w:val="auto"/>
          <w:szCs w:val="21"/>
          <w:highlight w:val="none"/>
          <w:u w:val="single"/>
        </w:rPr>
        <w:t>/。</w:t>
      </w:r>
    </w:p>
    <w:p w14:paraId="2BFA6B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684" w:name="_Toc318581169"/>
      <w:bookmarkStart w:id="685" w:name="_Toc312677486"/>
      <w:bookmarkStart w:id="686" w:name="_Toc312678012"/>
      <w:bookmarkStart w:id="687" w:name="_Toc297123518"/>
      <w:bookmarkStart w:id="688" w:name="_Toc300934970"/>
      <w:bookmarkStart w:id="689" w:name="_Toc297216177"/>
      <w:bookmarkStart w:id="690" w:name="_Toc304295548"/>
      <w:bookmarkStart w:id="691" w:name="_Toc303539127"/>
      <w:r>
        <w:rPr>
          <w:rFonts w:hint="eastAsia" w:ascii="宋体" w:hAnsi="宋体" w:cs="宋体"/>
          <w:color w:val="auto"/>
          <w:szCs w:val="21"/>
          <w:highlight w:val="none"/>
        </w:rPr>
        <w:t>.5.2 因承包人原因导致工期延误</w:t>
      </w:r>
    </w:p>
    <w:bookmarkEnd w:id="684"/>
    <w:bookmarkEnd w:id="685"/>
    <w:bookmarkEnd w:id="686"/>
    <w:p w14:paraId="40F6A5CF">
      <w:pPr>
        <w:spacing w:line="360" w:lineRule="auto"/>
        <w:ind w:firstLine="420" w:firstLineChars="200"/>
        <w:rPr>
          <w:rFonts w:hint="eastAsia" w:ascii="宋体" w:hAnsi="宋体" w:cs="宋体"/>
          <w:b/>
          <w:bCs/>
          <w:color w:val="auto"/>
          <w:szCs w:val="21"/>
          <w:highlight w:val="none"/>
          <w:u w:val="single"/>
        </w:rPr>
      </w:pPr>
      <w:bookmarkStart w:id="692" w:name="_Toc312678013"/>
      <w:bookmarkStart w:id="693" w:name="_Toc312677487"/>
      <w:bookmarkStart w:id="694" w:name="_Toc318581170"/>
      <w:r>
        <w:rPr>
          <w:rFonts w:hint="eastAsia" w:ascii="宋体" w:hAnsi="宋体" w:cs="宋体"/>
          <w:color w:val="auto"/>
          <w:szCs w:val="21"/>
          <w:highlight w:val="none"/>
        </w:rPr>
        <w:t>（1）因承包人原因造成工期延误，逾期竣工违约金的计算方法为：</w:t>
      </w:r>
      <w:r>
        <w:rPr>
          <w:rFonts w:hint="eastAsia" w:ascii="宋体" w:hAnsi="宋体" w:cs="宋体"/>
          <w:b/>
          <w:bCs/>
          <w:color w:val="auto"/>
          <w:szCs w:val="21"/>
          <w:highlight w:val="none"/>
          <w:u w:val="single"/>
        </w:rPr>
        <w:t>2000元/天，累计计算，逾期超过7天的，发包人有权解除合同，给发包人造成损失（包括直接损失、间接损失及为实现权利所支付的所有费用）的，承包人还应赔偿发包人的损失，并支付签约合同总价10%的违约金。</w:t>
      </w:r>
    </w:p>
    <w:p w14:paraId="5143BE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双方约定工期顺延的因素还包括：</w:t>
      </w:r>
    </w:p>
    <w:p w14:paraId="2EFBBF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（1）在承包人施工时间段内非承包人原因停水停电连续超过8个小时，经双方签字确认后，工期相应顺延，但费用不增加。</w:t>
      </w:r>
    </w:p>
    <w:p w14:paraId="0ADD23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政府行为连续停工一天以上的，工期可顺延，但费用不增加。承包人在该款约定的情况发生后7天内，就延误的工期以书面形式向发包人和监理人提出报告。发包人和监理人在收到报告后7日历天内予以答复。</w:t>
      </w:r>
    </w:p>
    <w:p w14:paraId="60B60D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因工程的变更、工程量的增减等其他情形导致工期可能顺延的，承包人应当上述情形发生之日起7日内，提出书面报告，要求应当顺延工期以及具体顺延的天数，经发包人和监理人共同确认可作为工期顺延的依据。承包人未在约定的时间内向提出工期顺延报告的，即视为上述情形的发生不涉及工期顺延。</w:t>
      </w:r>
      <w:bookmarkEnd w:id="687"/>
      <w:bookmarkEnd w:id="688"/>
      <w:bookmarkEnd w:id="689"/>
      <w:bookmarkEnd w:id="690"/>
      <w:bookmarkEnd w:id="691"/>
      <w:bookmarkEnd w:id="692"/>
      <w:bookmarkEnd w:id="693"/>
    </w:p>
    <w:p w14:paraId="4323AD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（4）因不可抗力延误工期，承包人须在发现后七天内办理签证，逾期不予认可。</w:t>
      </w:r>
    </w:p>
    <w:bookmarkEnd w:id="694"/>
    <w:p w14:paraId="4AD6C9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（5）因承包人原因造成工期延误，逾</w:t>
      </w:r>
      <w:bookmarkStart w:id="695" w:name="_Toc312678014"/>
      <w:bookmarkStart w:id="696" w:name="_Toc318581171"/>
      <w:r>
        <w:rPr>
          <w:rFonts w:hint="eastAsia" w:ascii="宋体" w:hAnsi="宋体" w:cs="宋体"/>
          <w:color w:val="auto"/>
          <w:szCs w:val="21"/>
          <w:highlight w:val="none"/>
        </w:rPr>
        <w:t>期竣工违约金的上限：收取工程价款结算总额10%的违约金。</w:t>
      </w:r>
    </w:p>
    <w:bookmarkEnd w:id="695"/>
    <w:bookmarkEnd w:id="696"/>
    <w:p w14:paraId="2D07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697" w:name="_Toc300934971"/>
      <w:bookmarkStart w:id="698" w:name="_Toc304295549"/>
      <w:bookmarkStart w:id="699" w:name="_Toc312678015"/>
      <w:bookmarkStart w:id="700" w:name="_Toc297123519"/>
      <w:bookmarkStart w:id="701" w:name="_Toc303539128"/>
      <w:bookmarkStart w:id="702" w:name="_Toc297216178"/>
      <w:r>
        <w:rPr>
          <w:rFonts w:hint="eastAsia" w:ascii="宋体" w:hAnsi="宋体" w:cs="宋体"/>
          <w:color w:val="auto"/>
          <w:szCs w:val="21"/>
          <w:highlight w:val="none"/>
        </w:rPr>
        <w:t>.6 不</w:t>
      </w:r>
      <w:bookmarkEnd w:id="697"/>
      <w:bookmarkEnd w:id="698"/>
      <w:bookmarkEnd w:id="699"/>
      <w:bookmarkEnd w:id="700"/>
      <w:bookmarkEnd w:id="701"/>
      <w:bookmarkEnd w:id="702"/>
      <w:r>
        <w:rPr>
          <w:rFonts w:hint="eastAsia" w:ascii="宋体" w:hAnsi="宋体" w:cs="宋体"/>
          <w:color w:val="auto"/>
          <w:szCs w:val="21"/>
          <w:highlight w:val="none"/>
        </w:rPr>
        <w:t>利物质条件</w:t>
      </w:r>
    </w:p>
    <w:p w14:paraId="209DF7EA">
      <w:pPr>
        <w:spacing w:line="360" w:lineRule="auto"/>
        <w:ind w:firstLine="420" w:firstLineChars="200"/>
        <w:rPr>
          <w:rFonts w:hint="eastAsia" w:ascii="宋体" w:hAnsi="宋体" w:cs="宋体"/>
          <w:color w:val="auto"/>
          <w:szCs w:val="21"/>
          <w:highlight w:val="none"/>
        </w:rPr>
      </w:pPr>
      <w:bookmarkStart w:id="703" w:name="_Toc303539129"/>
      <w:bookmarkStart w:id="704" w:name="_Toc297123520"/>
      <w:bookmarkStart w:id="705" w:name="_Toc304295550"/>
      <w:bookmarkStart w:id="706" w:name="_Toc297216179"/>
      <w:bookmarkStart w:id="707" w:name="_Toc300934972"/>
      <w:bookmarkStart w:id="708" w:name="_Toc312678016"/>
      <w:bookmarkStart w:id="709" w:name="_Toc318581172"/>
      <w:r>
        <w:rPr>
          <w:rFonts w:hint="eastAsia" w:ascii="宋体" w:hAnsi="宋体" w:cs="宋体"/>
          <w:color w:val="auto"/>
          <w:szCs w:val="21"/>
          <w:highlight w:val="none"/>
        </w:rPr>
        <w:t>不利物质条件的其他情形和有关约定：</w:t>
      </w:r>
      <w:r>
        <w:rPr>
          <w:rFonts w:hint="eastAsia" w:ascii="宋体" w:hAnsi="宋体" w:cs="宋体"/>
          <w:b/>
          <w:bCs/>
          <w:color w:val="auto"/>
          <w:szCs w:val="21"/>
          <w:highlight w:val="none"/>
          <w:u w:val="single"/>
        </w:rPr>
        <w:t xml:space="preserve"> 按合同通用条款执行 。</w:t>
      </w:r>
    </w:p>
    <w:bookmarkEnd w:id="703"/>
    <w:bookmarkEnd w:id="704"/>
    <w:bookmarkEnd w:id="705"/>
    <w:bookmarkEnd w:id="706"/>
    <w:bookmarkEnd w:id="707"/>
    <w:bookmarkEnd w:id="708"/>
    <w:bookmarkEnd w:id="709"/>
    <w:p w14:paraId="673C95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710" w:name="_Toc304295551"/>
      <w:bookmarkStart w:id="711" w:name="_Toc297123521"/>
      <w:bookmarkStart w:id="712" w:name="_Toc300934973"/>
      <w:bookmarkStart w:id="713" w:name="_Toc303539130"/>
      <w:bookmarkStart w:id="714" w:name="_Toc297216180"/>
      <w:bookmarkStart w:id="715" w:name="_Toc312678017"/>
      <w:r>
        <w:rPr>
          <w:rFonts w:hint="eastAsia" w:ascii="宋体" w:hAnsi="宋体" w:cs="宋体"/>
          <w:color w:val="auto"/>
          <w:szCs w:val="21"/>
          <w:highlight w:val="none"/>
        </w:rPr>
        <w:t>.7异常恶劣的气候条件</w:t>
      </w:r>
    </w:p>
    <w:bookmarkEnd w:id="710"/>
    <w:bookmarkEnd w:id="711"/>
    <w:bookmarkEnd w:id="712"/>
    <w:bookmarkEnd w:id="713"/>
    <w:bookmarkEnd w:id="714"/>
    <w:bookmarkEnd w:id="715"/>
    <w:p w14:paraId="1A3524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03BB25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（1）连续强降雨、雪，3天以上，如：持续降雨超过24小时且雨量超过100mm以上；近十年来未见的异常雨、雪等；</w:t>
      </w:r>
    </w:p>
    <w:p w14:paraId="3D9B73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（2）40℃ 以上或低于-10℃以下并持续3天以上天气等；</w:t>
      </w:r>
    </w:p>
    <w:p w14:paraId="0FB73F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（3）8级以上大风等。</w:t>
      </w:r>
    </w:p>
    <w:p w14:paraId="041CD5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（4）指经监理人提出并由发包人确认，在该气候条件影响下，施工质量、安全、进度均不能得到保证的情况。</w:t>
      </w:r>
    </w:p>
    <w:p w14:paraId="613DE8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7.9 提前竣工的奖励</w:t>
      </w:r>
    </w:p>
    <w:p w14:paraId="1EFFCA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b/>
          <w:bCs/>
          <w:color w:val="auto"/>
          <w:szCs w:val="21"/>
          <w:highlight w:val="none"/>
          <w:u w:val="single"/>
        </w:rPr>
        <w:t xml:space="preserve">无 </w:t>
      </w:r>
      <w:r>
        <w:rPr>
          <w:rFonts w:hint="eastAsia" w:ascii="宋体" w:hAnsi="宋体" w:cs="宋体"/>
          <w:b/>
          <w:bCs/>
          <w:color w:val="auto"/>
          <w:szCs w:val="21"/>
          <w:highlight w:val="none"/>
        </w:rPr>
        <w:t>。</w:t>
      </w:r>
    </w:p>
    <w:p w14:paraId="55FFE2C7">
      <w:pPr>
        <w:spacing w:line="360" w:lineRule="auto"/>
        <w:ind w:firstLine="420" w:firstLineChars="200"/>
        <w:rPr>
          <w:rFonts w:hint="eastAsia" w:ascii="宋体" w:hAnsi="宋体" w:cs="宋体"/>
          <w:color w:val="auto"/>
          <w:szCs w:val="21"/>
          <w:highlight w:val="none"/>
        </w:rPr>
      </w:pPr>
      <w:bookmarkStart w:id="716" w:name="_Toc351203640"/>
      <w:r>
        <w:rPr>
          <w:rFonts w:hint="eastAsia" w:ascii="宋体" w:hAnsi="宋体" w:cs="宋体"/>
          <w:color w:val="auto"/>
          <w:szCs w:val="21"/>
          <w:highlight w:val="none"/>
        </w:rPr>
        <w:t>8. 材料与设备</w:t>
      </w:r>
      <w:bookmarkEnd w:id="716"/>
    </w:p>
    <w:bookmarkEnd w:id="651"/>
    <w:bookmarkEnd w:id="652"/>
    <w:bookmarkEnd w:id="653"/>
    <w:bookmarkEnd w:id="654"/>
    <w:bookmarkEnd w:id="655"/>
    <w:bookmarkEnd w:id="656"/>
    <w:bookmarkEnd w:id="657"/>
    <w:bookmarkEnd w:id="658"/>
    <w:bookmarkEnd w:id="659"/>
    <w:bookmarkEnd w:id="660"/>
    <w:p w14:paraId="54ABD6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8.3.2补充条款：本工程使用的各种设备、材料，承包人在采购实施前需征得发包人同意（包括质量标准、品种、规格型号等），若发包人对中标（成交）人申报的材料（设备）的材质、品牌不满意，有权要求中标（成交）人更换直到满足使用功能要求及效果为止。</w:t>
      </w:r>
    </w:p>
    <w:p w14:paraId="5F411C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8.3.3承包人采购的材料和工程设备，应保证产品质量合格，承包人应在材料和工程设备到货前24小时通知监理人检验。承包人进行永久设备、材料的制造和生产的，应符合相关质量标准，并向监理人提交材料的样本以及有关资料。承包人在使用该材料或工程设备之前，监理人应同意并在资料验收单上对同意使用材料或工程设备的行为签字。未经监理人签字，任何建筑材料、建筑构配件和设备不得在工程上使用或者安装，施工单位不得进行下一道工序的施工，建设单位不拨付工程款，不进行竣工验收。若监理人如实以材料或工程设备存在质量问题为由拒绝签字而耽误工期，工期不予顺延，造成后果由承包人承担。</w:t>
      </w:r>
    </w:p>
    <w:p w14:paraId="5FEE52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bookmarkStart w:id="717" w:name="_Toc296346668"/>
      <w:bookmarkStart w:id="718" w:name="_Toc296944506"/>
      <w:bookmarkStart w:id="719" w:name="_Toc297120467"/>
      <w:bookmarkStart w:id="720" w:name="_Toc304295556"/>
      <w:bookmarkStart w:id="721" w:name="_Toc296503167"/>
      <w:bookmarkStart w:id="722" w:name="_Toc296890995"/>
      <w:bookmarkStart w:id="723" w:name="_Toc300934979"/>
      <w:bookmarkStart w:id="724" w:name="_Toc297216186"/>
      <w:bookmarkStart w:id="725" w:name="_Toc296891207"/>
      <w:bookmarkStart w:id="726" w:name="_Toc292559372"/>
      <w:bookmarkStart w:id="727" w:name="_Toc296347166"/>
      <w:bookmarkStart w:id="728" w:name="_Toc303539136"/>
      <w:bookmarkStart w:id="729" w:name="_Toc312677493"/>
      <w:bookmarkStart w:id="730" w:name="_Toc280868654"/>
      <w:bookmarkStart w:id="731" w:name="_Toc312678019"/>
      <w:bookmarkStart w:id="732" w:name="_Toc297123527"/>
      <w:bookmarkStart w:id="733" w:name="_Toc297048353"/>
      <w:bookmarkStart w:id="734" w:name="_Toc292559877"/>
      <w:bookmarkStart w:id="735" w:name="_Toc280868655"/>
      <w:bookmarkStart w:id="736" w:name="_Toc280868656"/>
      <w:bookmarkStart w:id="737" w:name="_Toc267251424"/>
      <w:r>
        <w:rPr>
          <w:rFonts w:hint="eastAsia" w:ascii="宋体" w:hAnsi="宋体" w:cs="宋体"/>
          <w:color w:val="auto"/>
          <w:szCs w:val="21"/>
          <w:highlight w:val="none"/>
        </w:rPr>
        <w:t>.4材料与工程设备的保管与使用</w:t>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14:paraId="54D765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bookmarkStart w:id="738" w:name="_Toc292559878"/>
      <w:bookmarkStart w:id="739" w:name="_Toc292559373"/>
      <w:bookmarkStart w:id="740" w:name="_Toc312677494"/>
      <w:bookmarkStart w:id="741" w:name="_Toc296944507"/>
      <w:bookmarkStart w:id="742" w:name="_Toc296347167"/>
      <w:bookmarkStart w:id="743" w:name="_Toc303539137"/>
      <w:bookmarkStart w:id="744" w:name="_Toc296891208"/>
      <w:bookmarkStart w:id="745" w:name="_Toc312678020"/>
      <w:bookmarkStart w:id="746" w:name="_Toc297216187"/>
      <w:bookmarkStart w:id="747" w:name="_Toc300934980"/>
      <w:bookmarkStart w:id="748" w:name="_Toc297120468"/>
      <w:bookmarkStart w:id="749" w:name="_Toc296346669"/>
      <w:bookmarkStart w:id="750" w:name="_Toc296503168"/>
      <w:bookmarkStart w:id="751" w:name="_Toc318581173"/>
      <w:bookmarkStart w:id="752" w:name="_Toc304295557"/>
      <w:bookmarkStart w:id="753" w:name="_Toc297048354"/>
      <w:bookmarkStart w:id="754" w:name="_Toc296890996"/>
      <w:bookmarkStart w:id="755" w:name="_Toc297123528"/>
      <w:r>
        <w:rPr>
          <w:rFonts w:hint="eastAsia" w:ascii="宋体" w:hAnsi="宋体" w:cs="宋体"/>
          <w:color w:val="auto"/>
          <w:szCs w:val="21"/>
          <w:highlight w:val="none"/>
        </w:rPr>
        <w:t>.4.1发包人供应的材料设备的保管费用的承担：</w:t>
      </w:r>
      <w:r>
        <w:rPr>
          <w:rFonts w:hint="eastAsia" w:ascii="宋体" w:hAnsi="宋体" w:cs="宋体"/>
          <w:b/>
          <w:bCs/>
          <w:color w:val="auto"/>
          <w:szCs w:val="21"/>
          <w:highlight w:val="none"/>
          <w:u w:val="single"/>
        </w:rPr>
        <w:t>由承包人承担 。</w:t>
      </w:r>
      <w:bookmarkEnd w:id="738"/>
      <w:bookmarkEnd w:id="739"/>
    </w:p>
    <w:p w14:paraId="665BF0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 样品</w:t>
      </w:r>
    </w:p>
    <w:p w14:paraId="701505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8.6.1样品的报送与封存</w:t>
      </w:r>
    </w:p>
    <w:p w14:paraId="7182E2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需要承包人报送样品的材料或工程设备，样品的种类、名称、规格、数量要求：</w:t>
      </w:r>
      <w:r>
        <w:rPr>
          <w:rFonts w:hint="eastAsia" w:ascii="宋体" w:hAnsi="宋体" w:cs="宋体"/>
          <w:b/>
          <w:bCs/>
          <w:color w:val="auto"/>
          <w:szCs w:val="21"/>
          <w:highlight w:val="none"/>
          <w:u w:val="single"/>
        </w:rPr>
        <w:t>按合同通用条款执行 。</w:t>
      </w:r>
    </w:p>
    <w:p w14:paraId="4536CC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8.8 施工设备和临时设施</w:t>
      </w:r>
    </w:p>
    <w:p w14:paraId="626202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650918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关于修建临时设施费用承担的约定：</w:t>
      </w:r>
      <w:r>
        <w:rPr>
          <w:rFonts w:hint="eastAsia" w:ascii="宋体" w:hAnsi="宋体" w:cs="宋体"/>
          <w:b/>
          <w:bCs/>
          <w:color w:val="auto"/>
          <w:szCs w:val="21"/>
          <w:highlight w:val="none"/>
          <w:u w:val="single"/>
        </w:rPr>
        <w:t xml:space="preserve">由承包人承担 </w:t>
      </w:r>
      <w:r>
        <w:rPr>
          <w:rFonts w:hint="eastAsia" w:ascii="宋体" w:hAnsi="宋体" w:cs="宋体"/>
          <w:color w:val="auto"/>
          <w:szCs w:val="21"/>
          <w:highlight w:val="none"/>
        </w:rPr>
        <w:t>。</w:t>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14:paraId="28F1ED63">
      <w:pPr>
        <w:spacing w:line="360" w:lineRule="auto"/>
        <w:ind w:firstLine="420" w:firstLineChars="200"/>
        <w:rPr>
          <w:rFonts w:hint="eastAsia" w:ascii="宋体" w:hAnsi="宋体" w:cs="宋体"/>
          <w:color w:val="auto"/>
          <w:szCs w:val="21"/>
          <w:highlight w:val="none"/>
        </w:rPr>
      </w:pPr>
      <w:bookmarkStart w:id="756" w:name="_Toc351203641"/>
      <w:r>
        <w:rPr>
          <w:rFonts w:hint="eastAsia" w:ascii="宋体" w:hAnsi="宋体" w:cs="宋体"/>
          <w:color w:val="auto"/>
          <w:szCs w:val="21"/>
          <w:highlight w:val="none"/>
        </w:rPr>
        <w:t>9</w:t>
      </w:r>
      <w:bookmarkEnd w:id="735"/>
      <w:bookmarkEnd w:id="736"/>
      <w:bookmarkEnd w:id="737"/>
      <w:bookmarkStart w:id="757" w:name="_Toc297216192"/>
      <w:bookmarkStart w:id="758" w:name="_Toc304295559"/>
      <w:bookmarkStart w:id="759" w:name="_Toc303539139"/>
      <w:bookmarkStart w:id="760" w:name="_Toc312677495"/>
      <w:bookmarkStart w:id="761" w:name="_Toc297123533"/>
      <w:bookmarkStart w:id="762" w:name="_Toc312678021"/>
      <w:bookmarkStart w:id="763" w:name="_Toc300934982"/>
      <w:bookmarkStart w:id="764" w:name="_Toc267251428"/>
      <w:bookmarkStart w:id="765" w:name="_Toc296347172"/>
      <w:bookmarkStart w:id="766" w:name="_Toc296891213"/>
      <w:bookmarkStart w:id="767" w:name="_Toc296891001"/>
      <w:bookmarkStart w:id="768" w:name="_Toc297048359"/>
      <w:bookmarkStart w:id="769" w:name="_Toc296944512"/>
      <w:bookmarkStart w:id="770" w:name="_Toc292559883"/>
      <w:bookmarkStart w:id="771" w:name="_Toc296503173"/>
      <w:bookmarkStart w:id="772" w:name="_Toc296346674"/>
      <w:bookmarkStart w:id="773" w:name="_Toc292559378"/>
      <w:bookmarkStart w:id="774" w:name="_Toc297120473"/>
      <w:bookmarkStart w:id="775" w:name="_Toc267251427"/>
      <w:r>
        <w:rPr>
          <w:rFonts w:hint="eastAsia" w:ascii="宋体" w:hAnsi="宋体" w:cs="宋体"/>
          <w:color w:val="auto"/>
          <w:szCs w:val="21"/>
          <w:highlight w:val="none"/>
        </w:rPr>
        <w:t>. 试验与检验</w:t>
      </w:r>
      <w:bookmarkEnd w:id="756"/>
    </w:p>
    <w:bookmarkEnd w:id="757"/>
    <w:bookmarkEnd w:id="758"/>
    <w:bookmarkEnd w:id="759"/>
    <w:bookmarkEnd w:id="760"/>
    <w:bookmarkEnd w:id="761"/>
    <w:bookmarkEnd w:id="762"/>
    <w:bookmarkEnd w:id="763"/>
    <w:p w14:paraId="642CC3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bookmarkStart w:id="776" w:name="_Toc297123534"/>
      <w:bookmarkStart w:id="777" w:name="_Toc304295560"/>
      <w:bookmarkStart w:id="778" w:name="_Toc300934983"/>
      <w:bookmarkStart w:id="779" w:name="_Toc312677496"/>
      <w:bookmarkStart w:id="780" w:name="_Toc303539140"/>
      <w:bookmarkStart w:id="781" w:name="_Toc312678022"/>
      <w:bookmarkStart w:id="782" w:name="_Toc297216193"/>
      <w:r>
        <w:rPr>
          <w:rFonts w:hint="eastAsia" w:ascii="宋体" w:hAnsi="宋体" w:cs="宋体"/>
          <w:color w:val="auto"/>
          <w:szCs w:val="21"/>
          <w:highlight w:val="none"/>
        </w:rPr>
        <w:t>.1试验设备与试验人员</w:t>
      </w:r>
    </w:p>
    <w:bookmarkEnd w:id="776"/>
    <w:bookmarkEnd w:id="777"/>
    <w:bookmarkEnd w:id="778"/>
    <w:bookmarkEnd w:id="779"/>
    <w:bookmarkEnd w:id="780"/>
    <w:bookmarkEnd w:id="781"/>
    <w:bookmarkEnd w:id="782"/>
    <w:p w14:paraId="245FC1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bookmarkStart w:id="783" w:name="_Toc312677497"/>
      <w:bookmarkStart w:id="784" w:name="_Toc297123535"/>
      <w:bookmarkStart w:id="785" w:name="_Toc312678023"/>
      <w:bookmarkStart w:id="786" w:name="_Toc300934984"/>
      <w:bookmarkStart w:id="787" w:name="_Toc303539141"/>
      <w:bookmarkStart w:id="788" w:name="_Toc304295561"/>
      <w:bookmarkStart w:id="789" w:name="_Toc297216194"/>
      <w:bookmarkStart w:id="790" w:name="_Toc318581174"/>
      <w:r>
        <w:rPr>
          <w:rFonts w:hint="eastAsia" w:ascii="宋体" w:hAnsi="宋体" w:cs="宋体"/>
          <w:color w:val="auto"/>
          <w:szCs w:val="21"/>
          <w:highlight w:val="none"/>
        </w:rPr>
        <w:t>.1.2 试验设备</w:t>
      </w:r>
    </w:p>
    <w:p w14:paraId="088295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施工现场需要配置的试验场所：</w:t>
      </w:r>
      <w:bookmarkEnd w:id="783"/>
      <w:bookmarkEnd w:id="784"/>
      <w:bookmarkEnd w:id="785"/>
      <w:bookmarkEnd w:id="786"/>
      <w:bookmarkEnd w:id="787"/>
      <w:bookmarkEnd w:id="788"/>
      <w:bookmarkEnd w:id="789"/>
      <w:bookmarkStart w:id="791" w:name="_Toc297123536"/>
      <w:bookmarkStart w:id="792" w:name="_Toc304295562"/>
      <w:bookmarkStart w:id="793" w:name="_Toc300934985"/>
      <w:bookmarkStart w:id="794" w:name="_Toc312678024"/>
      <w:bookmarkStart w:id="795" w:name="_Toc297216195"/>
      <w:bookmarkStart w:id="796" w:name="_Toc312677498"/>
      <w:bookmarkStart w:id="797" w:name="_Toc303539142"/>
      <w:r>
        <w:rPr>
          <w:rFonts w:hint="eastAsia" w:ascii="宋体" w:hAnsi="宋体" w:cs="宋体"/>
          <w:b/>
          <w:bCs/>
          <w:color w:val="auto"/>
          <w:szCs w:val="21"/>
          <w:highlight w:val="none"/>
          <w:u w:val="single"/>
        </w:rPr>
        <w:t xml:space="preserve">满足工程施工需要 </w:t>
      </w:r>
      <w:r>
        <w:rPr>
          <w:rFonts w:hint="eastAsia" w:ascii="宋体" w:hAnsi="宋体" w:cs="宋体"/>
          <w:color w:val="auto"/>
          <w:szCs w:val="21"/>
          <w:highlight w:val="none"/>
        </w:rPr>
        <w:t xml:space="preserve">。 </w:t>
      </w:r>
    </w:p>
    <w:p w14:paraId="14BF1A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施工现场需要配备的试验设备：</w:t>
      </w:r>
      <w:r>
        <w:rPr>
          <w:rFonts w:hint="eastAsia" w:ascii="宋体" w:hAnsi="宋体" w:cs="宋体"/>
          <w:b/>
          <w:bCs/>
          <w:color w:val="auto"/>
          <w:szCs w:val="21"/>
          <w:highlight w:val="none"/>
          <w:u w:val="single"/>
        </w:rPr>
        <w:t>满足工程施工需要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56C3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b/>
          <w:bCs/>
          <w:color w:val="auto"/>
          <w:szCs w:val="21"/>
          <w:highlight w:val="none"/>
          <w:u w:val="single"/>
        </w:rPr>
        <w:t>满足工程施工需要</w:t>
      </w:r>
      <w:r>
        <w:rPr>
          <w:rFonts w:hint="eastAsia" w:ascii="宋体" w:hAnsi="宋体" w:cs="宋体"/>
          <w:color w:val="auto"/>
          <w:szCs w:val="21"/>
          <w:highlight w:val="none"/>
        </w:rPr>
        <w:t xml:space="preserve"> 。</w:t>
      </w:r>
    </w:p>
    <w:p w14:paraId="5589A0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9.4 现场工艺试验 </w:t>
      </w:r>
    </w:p>
    <w:p w14:paraId="1BF1BA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b/>
          <w:bCs/>
          <w:color w:val="auto"/>
          <w:szCs w:val="21"/>
          <w:highlight w:val="none"/>
          <w:u w:val="single"/>
        </w:rPr>
        <w:t xml:space="preserve">满足工程施工需要，费用承包人自理 </w:t>
      </w:r>
      <w:r>
        <w:rPr>
          <w:rFonts w:hint="eastAsia" w:ascii="宋体" w:hAnsi="宋体" w:cs="宋体"/>
          <w:color w:val="auto"/>
          <w:szCs w:val="21"/>
          <w:highlight w:val="none"/>
        </w:rPr>
        <w:t>。</w:t>
      </w:r>
    </w:p>
    <w:bookmarkEnd w:id="790"/>
    <w:bookmarkEnd w:id="791"/>
    <w:bookmarkEnd w:id="792"/>
    <w:bookmarkEnd w:id="793"/>
    <w:bookmarkEnd w:id="794"/>
    <w:bookmarkEnd w:id="795"/>
    <w:bookmarkEnd w:id="796"/>
    <w:bookmarkEnd w:id="797"/>
    <w:p w14:paraId="237A0D76">
      <w:pPr>
        <w:spacing w:line="360" w:lineRule="auto"/>
        <w:ind w:firstLine="420" w:firstLineChars="200"/>
        <w:rPr>
          <w:rFonts w:hint="eastAsia" w:ascii="宋体" w:hAnsi="宋体" w:cs="宋体"/>
          <w:color w:val="auto"/>
          <w:szCs w:val="21"/>
          <w:highlight w:val="none"/>
        </w:rPr>
      </w:pPr>
      <w:bookmarkStart w:id="798" w:name="_Toc351203642"/>
      <w:r>
        <w:rPr>
          <w:rFonts w:hint="eastAsia" w:ascii="宋体" w:hAnsi="宋体" w:cs="宋体"/>
          <w:color w:val="auto"/>
          <w:szCs w:val="21"/>
          <w:highlight w:val="none"/>
        </w:rPr>
        <w:t>1</w:t>
      </w:r>
      <w:bookmarkEnd w:id="764"/>
      <w:bookmarkEnd w:id="765"/>
      <w:bookmarkEnd w:id="766"/>
      <w:bookmarkEnd w:id="767"/>
      <w:bookmarkEnd w:id="768"/>
      <w:bookmarkEnd w:id="769"/>
      <w:bookmarkEnd w:id="770"/>
      <w:bookmarkEnd w:id="771"/>
      <w:bookmarkEnd w:id="772"/>
      <w:bookmarkEnd w:id="773"/>
      <w:bookmarkEnd w:id="774"/>
      <w:bookmarkEnd w:id="775"/>
      <w:bookmarkStart w:id="799" w:name="_Toc303539146"/>
      <w:bookmarkStart w:id="800" w:name="_Toc297216199"/>
      <w:bookmarkStart w:id="801" w:name="_Toc296891021"/>
      <w:bookmarkStart w:id="802" w:name="_Toc292559903"/>
      <w:bookmarkStart w:id="803" w:name="_Toc297120493"/>
      <w:bookmarkStart w:id="804" w:name="_Toc300934989"/>
      <w:bookmarkStart w:id="805" w:name="_Toc304295566"/>
      <w:bookmarkStart w:id="806" w:name="_Toc292559398"/>
      <w:bookmarkStart w:id="807" w:name="_Toc296944532"/>
      <w:bookmarkStart w:id="808" w:name="_Toc296346694"/>
      <w:bookmarkStart w:id="809" w:name="_Toc297048379"/>
      <w:bookmarkStart w:id="810" w:name="_Toc296503193"/>
      <w:bookmarkStart w:id="811" w:name="_Toc296347192"/>
      <w:bookmarkStart w:id="812" w:name="_Toc297123540"/>
      <w:bookmarkStart w:id="813" w:name="_Toc296891233"/>
      <w:bookmarkStart w:id="814" w:name="_Toc312678025"/>
      <w:bookmarkStart w:id="815" w:name="_Toc312677499"/>
      <w:bookmarkStart w:id="816" w:name="_Toc267251433"/>
      <w:bookmarkStart w:id="817" w:name="_Toc267251441"/>
      <w:bookmarkStart w:id="818" w:name="_Toc267251437"/>
      <w:bookmarkStart w:id="819" w:name="_Toc267251440"/>
      <w:bookmarkStart w:id="820" w:name="_Toc267251439"/>
      <w:bookmarkStart w:id="821" w:name="_Toc267251435"/>
      <w:bookmarkStart w:id="822" w:name="_Toc267251442"/>
      <w:r>
        <w:rPr>
          <w:rFonts w:hint="eastAsia" w:ascii="宋体" w:hAnsi="宋体" w:cs="宋体"/>
          <w:color w:val="auto"/>
          <w:szCs w:val="21"/>
          <w:highlight w:val="none"/>
        </w:rPr>
        <w:t>0. 变更</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bookmarkEnd w:id="814"/>
    <w:bookmarkEnd w:id="815"/>
    <w:p w14:paraId="1C6331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823" w:name="_Toc292559904"/>
      <w:bookmarkStart w:id="824" w:name="_Toc297216200"/>
      <w:bookmarkStart w:id="825" w:name="_Toc304295567"/>
      <w:bookmarkStart w:id="826" w:name="_Toc296346695"/>
      <w:bookmarkStart w:id="827" w:name="_Toc296891022"/>
      <w:bookmarkStart w:id="828" w:name="_Toc297048380"/>
      <w:bookmarkStart w:id="829" w:name="_Toc296891234"/>
      <w:bookmarkStart w:id="830" w:name="_Toc292559399"/>
      <w:bookmarkStart w:id="831" w:name="_Toc303539147"/>
      <w:bookmarkStart w:id="832" w:name="_Toc300934990"/>
      <w:bookmarkStart w:id="833" w:name="_Toc297120494"/>
      <w:bookmarkStart w:id="834" w:name="_Toc297123541"/>
      <w:bookmarkStart w:id="835" w:name="_Toc296503194"/>
      <w:bookmarkStart w:id="836" w:name="_Toc296944533"/>
      <w:bookmarkStart w:id="837" w:name="_Toc312678026"/>
      <w:bookmarkStart w:id="838" w:name="_Toc312677500"/>
      <w:bookmarkStart w:id="839" w:name="_Toc296347193"/>
      <w:r>
        <w:rPr>
          <w:rFonts w:hint="eastAsia" w:ascii="宋体" w:hAnsi="宋体" w:cs="宋体"/>
          <w:color w:val="auto"/>
          <w:szCs w:val="21"/>
          <w:highlight w:val="none"/>
        </w:rPr>
        <w:t>0.1变更的范围</w:t>
      </w:r>
    </w:p>
    <w:p w14:paraId="247B29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关于变更的范围的约定：</w:t>
      </w:r>
    </w:p>
    <w:p w14:paraId="240114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（1）增加或减少合同中任何工作，或追加额外的工作；</w:t>
      </w:r>
    </w:p>
    <w:p w14:paraId="586F81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（2）取消合同中任何工作，但转由他人实施的工作除外；</w:t>
      </w:r>
    </w:p>
    <w:p w14:paraId="48BA6C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（3）改变合同中任何工作的质量标准或其他特性；</w:t>
      </w:r>
    </w:p>
    <w:p w14:paraId="32D74D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（4）改变工程的基线、标高、位置和尺寸；</w:t>
      </w:r>
    </w:p>
    <w:p w14:paraId="08C162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（5）改变工程的时间安排或实施顺序。 。</w:t>
      </w:r>
    </w:p>
    <w:p w14:paraId="7DE038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10.2变更权</w:t>
      </w:r>
    </w:p>
    <w:p w14:paraId="1DE682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补充条款：发包人提出的变更承包人应无条件执行。确因突发事件以及保证施工安全需要立即处理的设计变更，承包人在进行变更处理的同时应有监理人在场确认，并按规定书面向发包人报告，并及时按发包人变更程序办理设计变更手续。凡未按发包人规定的程序报批，自行变更者，发包人一概不予承认，并追究有关责任者的责任。</w:t>
      </w:r>
    </w:p>
    <w:p w14:paraId="2F1A8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28AD37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10.4.1 变更估价原则</w:t>
      </w:r>
    </w:p>
    <w:p w14:paraId="183C84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关于变更估价的约定：</w:t>
      </w:r>
      <w:r>
        <w:rPr>
          <w:rFonts w:hint="eastAsia" w:ascii="宋体" w:hAnsi="宋体" w:cs="宋体"/>
          <w:b/>
          <w:bCs/>
          <w:color w:val="auto"/>
          <w:szCs w:val="21"/>
          <w:highlight w:val="none"/>
          <w:u w:val="single"/>
        </w:rPr>
        <w:t>涉及工程价款的变更，按通用条款执行</w:t>
      </w:r>
      <w:r>
        <w:rPr>
          <w:rFonts w:hint="eastAsia" w:ascii="宋体" w:hAnsi="宋体" w:cs="宋体"/>
          <w:color w:val="auto"/>
          <w:szCs w:val="21"/>
          <w:highlight w:val="none"/>
        </w:rPr>
        <w:t>。</w:t>
      </w:r>
    </w:p>
    <w:p w14:paraId="64A632B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对新增清单综合单价，执行以下原则：</w:t>
      </w:r>
    </w:p>
    <w:p w14:paraId="56F393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（1）已标价工程量清单中有适用于变更工作的清单项的，采用该清单的综合单价。</w:t>
      </w:r>
    </w:p>
    <w:p w14:paraId="596BC8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（2）已标价工程量清单或预算书中无相同项目，但有类似项目的，参照类似项目的单价认定；</w:t>
      </w:r>
    </w:p>
    <w:p w14:paraId="16FFE1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已标价工程量清单中没有适用或类似于变更工作清单项的，由承包人向发包人提出变更报价，经发包人及委托的造价咨询单位审核确认后执行。计价方式按《建设工程工程量清单计价标准》（GB/T50500-2024）等相关的建设工程工程量计价规范等及其相关配套的计价文件计算后按成交价与控制价的下浮比例结算。</w:t>
      </w:r>
    </w:p>
    <w:p w14:paraId="717DE7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Start w:id="840" w:name="_Toc292559402"/>
      <w:bookmarkStart w:id="841" w:name="_Toc297048383"/>
      <w:bookmarkStart w:id="842" w:name="_Toc296347196"/>
      <w:bookmarkStart w:id="843" w:name="_Toc296891025"/>
      <w:bookmarkStart w:id="844" w:name="_Toc296503197"/>
      <w:bookmarkStart w:id="845" w:name="_Toc300934993"/>
      <w:bookmarkStart w:id="846" w:name="_Toc296944536"/>
      <w:bookmarkStart w:id="847" w:name="_Toc297123544"/>
      <w:bookmarkStart w:id="848" w:name="_Toc292559907"/>
      <w:bookmarkStart w:id="849" w:name="_Toc297120497"/>
      <w:bookmarkStart w:id="850" w:name="_Toc303539150"/>
      <w:bookmarkStart w:id="851" w:name="_Toc297216203"/>
      <w:bookmarkStart w:id="852" w:name="_Toc296891237"/>
      <w:bookmarkStart w:id="853" w:name="_Toc296346698"/>
      <w:bookmarkStart w:id="854" w:name="_Toc304295570"/>
      <w:bookmarkStart w:id="855" w:name="_Toc312678029"/>
      <w:bookmarkStart w:id="856" w:name="_Toc312677503"/>
      <w:r>
        <w:rPr>
          <w:rFonts w:hint="eastAsia" w:ascii="宋体" w:hAnsi="宋体" w:cs="宋体"/>
          <w:color w:val="auto"/>
          <w:szCs w:val="21"/>
          <w:highlight w:val="none"/>
        </w:rPr>
        <w:t>0.5承</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Start w:id="857" w:name="_Toc296891243"/>
      <w:bookmarkStart w:id="858" w:name="_Toc292559408"/>
      <w:bookmarkStart w:id="859" w:name="_Toc296347202"/>
      <w:bookmarkStart w:id="860" w:name="_Toc296891031"/>
      <w:bookmarkStart w:id="861" w:name="_Toc296944542"/>
      <w:bookmarkStart w:id="862" w:name="_Toc297216204"/>
      <w:bookmarkStart w:id="863" w:name="_Toc297120503"/>
      <w:bookmarkStart w:id="864" w:name="_Toc297123545"/>
      <w:bookmarkStart w:id="865" w:name="_Toc296346704"/>
      <w:bookmarkStart w:id="866" w:name="_Toc296503203"/>
      <w:bookmarkStart w:id="867" w:name="_Toc292559913"/>
      <w:bookmarkStart w:id="868" w:name="_Toc300934994"/>
      <w:bookmarkStart w:id="869" w:name="_Toc303539151"/>
      <w:bookmarkStart w:id="870" w:name="_Toc297048389"/>
      <w:r>
        <w:rPr>
          <w:rFonts w:hint="eastAsia" w:ascii="宋体" w:hAnsi="宋体" w:cs="宋体"/>
          <w:color w:val="auto"/>
          <w:szCs w:val="21"/>
          <w:highlight w:val="none"/>
        </w:rPr>
        <w:t>包人的合理化建议</w:t>
      </w:r>
    </w:p>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14:paraId="0624E3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b/>
          <w:bCs/>
          <w:color w:val="auto"/>
          <w:szCs w:val="21"/>
          <w:highlight w:val="none"/>
          <w:u w:val="single"/>
        </w:rPr>
        <w:t xml:space="preserve">3天内 </w:t>
      </w:r>
      <w:r>
        <w:rPr>
          <w:rFonts w:hint="eastAsia" w:ascii="宋体" w:hAnsi="宋体" w:cs="宋体"/>
          <w:color w:val="auto"/>
          <w:szCs w:val="21"/>
          <w:highlight w:val="none"/>
        </w:rPr>
        <w:t>。</w:t>
      </w:r>
    </w:p>
    <w:p w14:paraId="5045B0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b/>
          <w:bCs/>
          <w:color w:val="auto"/>
          <w:szCs w:val="21"/>
          <w:highlight w:val="none"/>
          <w:u w:val="single"/>
        </w:rPr>
        <w:t>3天内</w:t>
      </w:r>
      <w:r>
        <w:rPr>
          <w:rFonts w:hint="eastAsia" w:ascii="宋体" w:hAnsi="宋体" w:cs="宋体"/>
          <w:color w:val="auto"/>
          <w:szCs w:val="21"/>
          <w:highlight w:val="none"/>
        </w:rPr>
        <w:t xml:space="preserve"> 。</w:t>
      </w:r>
    </w:p>
    <w:p w14:paraId="1C9CB8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w:t>
      </w:r>
      <w:bookmarkStart w:id="871" w:name="_Toc297216205"/>
      <w:bookmarkStart w:id="872" w:name="_Toc292559409"/>
      <w:bookmarkStart w:id="873" w:name="_Toc296346705"/>
      <w:bookmarkStart w:id="874" w:name="_Toc297123546"/>
      <w:bookmarkStart w:id="875" w:name="_Toc318581175"/>
      <w:bookmarkStart w:id="876" w:name="_Toc297048390"/>
      <w:bookmarkStart w:id="877" w:name="_Toc296891032"/>
      <w:bookmarkStart w:id="878" w:name="_Toc304295571"/>
      <w:bookmarkStart w:id="879" w:name="_Toc312677504"/>
      <w:bookmarkStart w:id="880" w:name="_Toc300934995"/>
      <w:bookmarkStart w:id="881" w:name="_Toc296347203"/>
      <w:bookmarkStart w:id="882" w:name="_Toc312678030"/>
      <w:bookmarkStart w:id="883" w:name="_Toc296503204"/>
      <w:bookmarkStart w:id="884" w:name="_Toc296944543"/>
      <w:bookmarkStart w:id="885" w:name="_Toc303539152"/>
      <w:bookmarkStart w:id="886" w:name="_Toc296891244"/>
      <w:bookmarkStart w:id="887" w:name="_Toc292559914"/>
      <w:bookmarkStart w:id="888" w:name="_Toc297120504"/>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b/>
          <w:bCs/>
          <w:color w:val="auto"/>
          <w:szCs w:val="21"/>
          <w:highlight w:val="none"/>
          <w:u w:val="single"/>
        </w:rPr>
        <w:t>无</w:t>
      </w:r>
      <w:r>
        <w:rPr>
          <w:rFonts w:hint="eastAsia" w:ascii="宋体" w:hAnsi="宋体" w:cs="宋体"/>
          <w:color w:val="auto"/>
          <w:szCs w:val="21"/>
          <w:highlight w:val="none"/>
        </w:rPr>
        <w:t xml:space="preserve"> 。</w:t>
      </w:r>
    </w:p>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14:paraId="4369CA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889" w:name="_Toc312678033"/>
      <w:bookmarkStart w:id="890" w:name="_Toc296944538"/>
      <w:bookmarkStart w:id="891" w:name="_Toc296891239"/>
      <w:bookmarkStart w:id="892" w:name="_Toc296346700"/>
      <w:bookmarkStart w:id="893" w:name="_Toc297216207"/>
      <w:bookmarkStart w:id="894" w:name="_Toc297123548"/>
      <w:bookmarkStart w:id="895" w:name="_Toc304295574"/>
      <w:bookmarkStart w:id="896" w:name="_Toc292559404"/>
      <w:bookmarkStart w:id="897" w:name="_Toc297120499"/>
      <w:bookmarkStart w:id="898" w:name="_Toc296347198"/>
      <w:bookmarkStart w:id="899" w:name="_Toc312677507"/>
      <w:bookmarkStart w:id="900" w:name="_Toc296503199"/>
      <w:bookmarkStart w:id="901" w:name="_Toc303539154"/>
      <w:bookmarkStart w:id="902" w:name="_Toc300934997"/>
      <w:bookmarkStart w:id="903" w:name="_Toc296891027"/>
      <w:bookmarkStart w:id="904" w:name="_Toc297048385"/>
      <w:bookmarkStart w:id="905" w:name="_Toc292559909"/>
      <w:r>
        <w:rPr>
          <w:rFonts w:hint="eastAsia" w:ascii="宋体" w:hAnsi="宋体" w:cs="宋体"/>
          <w:color w:val="auto"/>
          <w:szCs w:val="21"/>
          <w:highlight w:val="none"/>
        </w:rPr>
        <w:t>0.7 暂估价</w:t>
      </w:r>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14:paraId="4C92A4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暂</w:t>
      </w:r>
      <w:bookmarkStart w:id="906" w:name="_Toc312678034"/>
      <w:bookmarkStart w:id="907" w:name="_Toc312677508"/>
      <w:bookmarkStart w:id="908" w:name="_Toc318581176"/>
      <w:r>
        <w:rPr>
          <w:rFonts w:hint="eastAsia" w:ascii="宋体" w:hAnsi="宋体" w:cs="宋体"/>
          <w:color w:val="auto"/>
          <w:szCs w:val="21"/>
          <w:highlight w:val="none"/>
        </w:rPr>
        <w:t>估价材料和工程设备的明细详见：</w:t>
      </w:r>
      <w:r>
        <w:rPr>
          <w:rFonts w:hint="eastAsia" w:ascii="宋体" w:hAnsi="宋体" w:cs="宋体"/>
          <w:b/>
          <w:bCs/>
          <w:color w:val="auto"/>
          <w:szCs w:val="21"/>
          <w:highlight w:val="none"/>
          <w:u w:val="single"/>
        </w:rPr>
        <w:t>详见工程量清单</w:t>
      </w:r>
      <w:r>
        <w:rPr>
          <w:rFonts w:hint="eastAsia" w:ascii="宋体" w:hAnsi="宋体" w:cs="宋体"/>
          <w:color w:val="auto"/>
          <w:szCs w:val="21"/>
          <w:highlight w:val="none"/>
        </w:rPr>
        <w:t>。</w:t>
      </w:r>
    </w:p>
    <w:bookmarkEnd w:id="906"/>
    <w:bookmarkEnd w:id="907"/>
    <w:bookmarkEnd w:id="908"/>
    <w:p w14:paraId="30B20A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909" w:name="_Toc318581177"/>
      <w:bookmarkStart w:id="910" w:name="_Toc312678035"/>
      <w:bookmarkStart w:id="911" w:name="_Toc312677509"/>
      <w:r>
        <w:rPr>
          <w:rFonts w:hint="eastAsia" w:ascii="宋体" w:hAnsi="宋体" w:cs="宋体"/>
          <w:color w:val="auto"/>
          <w:szCs w:val="21"/>
          <w:highlight w:val="none"/>
        </w:rPr>
        <w:t>0.7.1 依法必须招标的暂估价项目</w:t>
      </w:r>
    </w:p>
    <w:bookmarkEnd w:id="909"/>
    <w:bookmarkEnd w:id="910"/>
    <w:bookmarkEnd w:id="911"/>
    <w:p w14:paraId="394C7F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w:t>
      </w:r>
      <w:r>
        <w:rPr>
          <w:rFonts w:hint="eastAsia" w:ascii="宋体" w:hAnsi="宋体" w:cs="宋体"/>
          <w:b/>
          <w:bCs/>
          <w:color w:val="auto"/>
          <w:szCs w:val="21"/>
          <w:highlight w:val="none"/>
          <w:u w:val="single"/>
        </w:rPr>
        <w:t>第 / 种</w:t>
      </w:r>
      <w:r>
        <w:rPr>
          <w:rFonts w:hint="eastAsia" w:ascii="宋体" w:hAnsi="宋体" w:cs="宋体"/>
          <w:color w:val="auto"/>
          <w:szCs w:val="21"/>
          <w:highlight w:val="none"/>
        </w:rPr>
        <w:t>方式确定。</w:t>
      </w:r>
    </w:p>
    <w:p w14:paraId="46BB5A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1C7A72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对于不属于依法必须招标的暂估价项目的确认和批准采取以下第 1 种方式确定。</w:t>
      </w:r>
    </w:p>
    <w:p w14:paraId="2081A1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 1 种方式：对于不属于依法必须招标的暂估价项目，按本项约定确认和批准：</w:t>
      </w:r>
    </w:p>
    <w:p w14:paraId="280CCF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（1）承包人应根据施工进度计划，在签订暂估价项目的采购合同、分包合同前 28 天向监理人提出书面申请。监理人应当在收到申请后 3 天内报送发包人，发包人应当在收到申请后 14 天内给予批准或提出修改意见，发包人逾期未予批准或提出修改意见的，视为该书面申请已获得同意；</w:t>
      </w:r>
    </w:p>
    <w:p w14:paraId="0E8B23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（2）发包人认为承包人确定的供应商、分包人无法满足工程质量或合同要求的，发包人可以要求承包人重新确定暂估价项目的供应商、分包人 ;</w:t>
      </w:r>
    </w:p>
    <w:p w14:paraId="0AD871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（3）承包人应当在签订暂估价合同后 7 天内，将暂估价合同副本报送发包人留存。</w:t>
      </w:r>
    </w:p>
    <w:p w14:paraId="2C7846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10.8 暂列金额</w:t>
      </w:r>
    </w:p>
    <w:p w14:paraId="1D380B22">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合同当事人关于暂列金额使用的约定：</w:t>
      </w:r>
      <w:r>
        <w:rPr>
          <w:rFonts w:hint="eastAsia" w:ascii="宋体" w:hAnsi="宋体" w:cs="宋体"/>
          <w:b/>
          <w:bCs/>
          <w:color w:val="auto"/>
          <w:szCs w:val="21"/>
          <w:highlight w:val="none"/>
          <w:u w:val="single"/>
        </w:rPr>
        <w:t xml:space="preserve"> 该费用由发包人掌握使用，含在已签合同总价款内，使用后余额为发包方所有；用于支付工程签订时不确定或不可预见的所有材料、工程设备、服务的采购、可能发生的工程变更、合同约定调整因素出现时的合同价调整，以及发生的索赔、现场签证确认等费用。</w:t>
      </w:r>
    </w:p>
    <w:p w14:paraId="0A0FE4C2">
      <w:pPr>
        <w:spacing w:line="360" w:lineRule="auto"/>
        <w:ind w:firstLine="420" w:firstLineChars="200"/>
        <w:rPr>
          <w:rFonts w:hint="eastAsia" w:ascii="宋体" w:hAnsi="宋体" w:cs="宋体"/>
          <w:color w:val="auto"/>
          <w:szCs w:val="21"/>
          <w:highlight w:val="none"/>
        </w:rPr>
      </w:pPr>
      <w:bookmarkStart w:id="912" w:name="_Toc351203643"/>
      <w:r>
        <w:rPr>
          <w:rFonts w:hint="eastAsia" w:ascii="宋体" w:hAnsi="宋体" w:cs="宋体"/>
          <w:color w:val="auto"/>
          <w:szCs w:val="21"/>
          <w:highlight w:val="none"/>
        </w:rPr>
        <w:t>11. 价格调整</w:t>
      </w:r>
      <w:bookmarkEnd w:id="912"/>
    </w:p>
    <w:p w14:paraId="1EC78BF1">
      <w:pPr>
        <w:spacing w:line="360" w:lineRule="auto"/>
        <w:ind w:firstLine="420" w:firstLineChars="200"/>
        <w:rPr>
          <w:rFonts w:hint="eastAsia" w:ascii="宋体" w:hAnsi="宋体" w:cs="宋体"/>
          <w:color w:val="auto"/>
          <w:szCs w:val="21"/>
          <w:highlight w:val="none"/>
        </w:rPr>
      </w:pPr>
      <w:bookmarkStart w:id="913" w:name="_Toc297120501"/>
      <w:bookmarkStart w:id="914" w:name="_Toc296347200"/>
      <w:bookmarkStart w:id="915" w:name="_Toc296503201"/>
      <w:bookmarkStart w:id="916" w:name="_Toc303539157"/>
      <w:bookmarkStart w:id="917" w:name="_Toc312678039"/>
      <w:bookmarkStart w:id="918" w:name="_Toc292559406"/>
      <w:bookmarkStart w:id="919" w:name="_Toc296891241"/>
      <w:bookmarkStart w:id="920" w:name="_Toc300935000"/>
      <w:bookmarkStart w:id="921" w:name="_Toc296346702"/>
      <w:bookmarkStart w:id="922" w:name="_Toc297216209"/>
      <w:bookmarkStart w:id="923" w:name="_Toc296944540"/>
      <w:bookmarkStart w:id="924" w:name="_Toc292559911"/>
      <w:bookmarkStart w:id="925" w:name="_Toc297048387"/>
      <w:bookmarkStart w:id="926" w:name="_Toc297123550"/>
      <w:bookmarkStart w:id="927" w:name="_Toc304295577"/>
      <w:bookmarkStart w:id="928" w:name="_Toc296891029"/>
      <w:r>
        <w:rPr>
          <w:rFonts w:hint="eastAsia" w:ascii="宋体" w:hAnsi="宋体" w:cs="宋体"/>
          <w:color w:val="auto"/>
          <w:szCs w:val="21"/>
          <w:highlight w:val="none"/>
        </w:rPr>
        <w:t>11.1 市场价格波动引起的调整</w:t>
      </w:r>
    </w:p>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14:paraId="68506F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市场价格波动是否调整合同价格的约定：</w:t>
      </w:r>
      <w:r>
        <w:rPr>
          <w:rFonts w:hint="eastAsia" w:ascii="宋体" w:hAnsi="宋体" w:cs="宋体"/>
          <w:b/>
          <w:bCs/>
          <w:color w:val="auto"/>
          <w:szCs w:val="21"/>
          <w:highlight w:val="none"/>
          <w:u w:val="single"/>
        </w:rPr>
        <w:t xml:space="preserve"> 不调整 </w:t>
      </w:r>
      <w:r>
        <w:rPr>
          <w:rFonts w:hint="eastAsia" w:ascii="宋体" w:hAnsi="宋体" w:cs="宋体"/>
          <w:color w:val="auto"/>
          <w:szCs w:val="21"/>
          <w:highlight w:val="none"/>
        </w:rPr>
        <w:t>。</w:t>
      </w:r>
    </w:p>
    <w:bookmarkEnd w:id="816"/>
    <w:bookmarkEnd w:id="817"/>
    <w:bookmarkEnd w:id="818"/>
    <w:bookmarkEnd w:id="819"/>
    <w:bookmarkEnd w:id="820"/>
    <w:bookmarkEnd w:id="821"/>
    <w:p w14:paraId="70D237E5">
      <w:pPr>
        <w:spacing w:line="360" w:lineRule="auto"/>
        <w:ind w:firstLine="420" w:firstLineChars="200"/>
        <w:rPr>
          <w:rFonts w:hint="eastAsia" w:ascii="宋体" w:hAnsi="宋体" w:cs="宋体"/>
          <w:color w:val="auto"/>
          <w:szCs w:val="21"/>
          <w:highlight w:val="none"/>
        </w:rPr>
      </w:pPr>
      <w:bookmarkStart w:id="929" w:name="_Toc296503205"/>
      <w:bookmarkStart w:id="930" w:name="_Toc292559915"/>
      <w:bookmarkStart w:id="931" w:name="_Toc296346706"/>
      <w:bookmarkStart w:id="932" w:name="_Toc296891245"/>
      <w:bookmarkStart w:id="933" w:name="_Toc297048391"/>
      <w:bookmarkStart w:id="934" w:name="_Toc296347204"/>
      <w:bookmarkStart w:id="935" w:name="_Toc296944544"/>
      <w:bookmarkStart w:id="936" w:name="_Toc296891033"/>
      <w:bookmarkStart w:id="937" w:name="_Toc297120505"/>
      <w:bookmarkStart w:id="938" w:name="_Toc292559410"/>
      <w:bookmarkStart w:id="939" w:name="_Toc351203644"/>
      <w:bookmarkStart w:id="940" w:name="_Toc300935002"/>
      <w:bookmarkStart w:id="941" w:name="_Toc312678040"/>
      <w:bookmarkStart w:id="942" w:name="_Toc297123552"/>
      <w:bookmarkStart w:id="943" w:name="_Toc304295579"/>
      <w:bookmarkStart w:id="944" w:name="_Toc303539159"/>
      <w:bookmarkStart w:id="945" w:name="_Toc297216211"/>
      <w:r>
        <w:rPr>
          <w:rFonts w:hint="eastAsia" w:ascii="宋体" w:hAnsi="宋体" w:cs="宋体"/>
          <w:color w:val="auto"/>
          <w:szCs w:val="21"/>
          <w:highlight w:val="none"/>
        </w:rPr>
        <w:t xml:space="preserve">12. </w:t>
      </w:r>
      <w:bookmarkEnd w:id="929"/>
      <w:bookmarkEnd w:id="930"/>
      <w:bookmarkEnd w:id="931"/>
      <w:bookmarkEnd w:id="932"/>
      <w:bookmarkEnd w:id="933"/>
      <w:bookmarkEnd w:id="934"/>
      <w:bookmarkEnd w:id="935"/>
      <w:bookmarkEnd w:id="936"/>
      <w:bookmarkEnd w:id="937"/>
      <w:bookmarkEnd w:id="938"/>
      <w:r>
        <w:rPr>
          <w:rFonts w:hint="eastAsia" w:ascii="宋体" w:hAnsi="宋体" w:cs="宋体"/>
          <w:color w:val="auto"/>
          <w:szCs w:val="21"/>
          <w:highlight w:val="none"/>
        </w:rPr>
        <w:t>合同价格、计量与支付</w:t>
      </w:r>
      <w:bookmarkEnd w:id="939"/>
    </w:p>
    <w:bookmarkEnd w:id="940"/>
    <w:bookmarkEnd w:id="941"/>
    <w:bookmarkEnd w:id="942"/>
    <w:bookmarkEnd w:id="943"/>
    <w:bookmarkEnd w:id="944"/>
    <w:bookmarkEnd w:id="945"/>
    <w:p w14:paraId="4BB74773">
      <w:pPr>
        <w:spacing w:line="360" w:lineRule="auto"/>
        <w:ind w:firstLine="420" w:firstLineChars="200"/>
        <w:rPr>
          <w:rFonts w:hint="eastAsia" w:ascii="宋体" w:hAnsi="宋体" w:cs="宋体"/>
          <w:color w:val="auto"/>
          <w:szCs w:val="21"/>
          <w:highlight w:val="none"/>
        </w:rPr>
      </w:pPr>
      <w:bookmarkStart w:id="946" w:name="_Toc292559916"/>
      <w:bookmarkStart w:id="947" w:name="_Toc292559411"/>
      <w:bookmarkStart w:id="948" w:name="_Toc267251461"/>
      <w:bookmarkStart w:id="949" w:name="_Toc296346707"/>
      <w:bookmarkStart w:id="950" w:name="_Toc296503206"/>
      <w:bookmarkStart w:id="951" w:name="_Toc296347205"/>
      <w:bookmarkStart w:id="952" w:name="_Toc296891034"/>
      <w:bookmarkStart w:id="953" w:name="_Toc296944545"/>
      <w:bookmarkStart w:id="954" w:name="_Toc297048392"/>
      <w:bookmarkStart w:id="955" w:name="_Toc296891246"/>
      <w:bookmarkStart w:id="956" w:name="_Toc297120506"/>
      <w:bookmarkStart w:id="957" w:name="_Toc300935003"/>
      <w:bookmarkStart w:id="958" w:name="_Toc297123553"/>
      <w:bookmarkStart w:id="959" w:name="_Toc297216212"/>
      <w:bookmarkStart w:id="960" w:name="_Toc312678041"/>
      <w:bookmarkStart w:id="961" w:name="_Toc304295580"/>
      <w:bookmarkStart w:id="962" w:name="_Toc303539160"/>
      <w:r>
        <w:rPr>
          <w:rFonts w:hint="eastAsia" w:ascii="宋体" w:hAnsi="宋体" w:cs="宋体"/>
          <w:color w:val="auto"/>
          <w:szCs w:val="21"/>
          <w:highlight w:val="none"/>
        </w:rPr>
        <w:t>12.1 合</w:t>
      </w:r>
      <w:bookmarkEnd w:id="946"/>
      <w:bookmarkEnd w:id="947"/>
      <w:bookmarkEnd w:id="948"/>
      <w:r>
        <w:rPr>
          <w:rFonts w:hint="eastAsia" w:ascii="宋体" w:hAnsi="宋体" w:cs="宋体"/>
          <w:color w:val="auto"/>
          <w:szCs w:val="21"/>
          <w:highlight w:val="none"/>
        </w:rPr>
        <w:t>同价</w:t>
      </w:r>
      <w:bookmarkEnd w:id="949"/>
      <w:bookmarkEnd w:id="950"/>
      <w:bookmarkEnd w:id="951"/>
      <w:bookmarkEnd w:id="952"/>
      <w:bookmarkEnd w:id="953"/>
      <w:bookmarkEnd w:id="954"/>
      <w:bookmarkEnd w:id="955"/>
      <w:bookmarkEnd w:id="956"/>
      <w:r>
        <w:rPr>
          <w:rFonts w:hint="eastAsia" w:ascii="宋体" w:hAnsi="宋体" w:cs="宋体"/>
          <w:color w:val="auto"/>
          <w:szCs w:val="21"/>
          <w:highlight w:val="none"/>
        </w:rPr>
        <w:t>格形式</w:t>
      </w:r>
    </w:p>
    <w:bookmarkEnd w:id="957"/>
    <w:bookmarkEnd w:id="958"/>
    <w:bookmarkEnd w:id="959"/>
    <w:bookmarkEnd w:id="960"/>
    <w:bookmarkEnd w:id="961"/>
    <w:bookmarkEnd w:id="962"/>
    <w:p w14:paraId="513CD8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1、本合同价款采用</w:t>
      </w:r>
      <w:r>
        <w:rPr>
          <w:rFonts w:hint="eastAsia" w:ascii="宋体" w:hAnsi="宋体" w:cs="宋体"/>
          <w:b/>
          <w:bCs/>
          <w:color w:val="auto"/>
          <w:szCs w:val="21"/>
          <w:highlight w:val="none"/>
          <w:u w:val="single"/>
        </w:rPr>
        <w:t>固定综合单价合同</w:t>
      </w:r>
      <w:r>
        <w:rPr>
          <w:rFonts w:hint="eastAsia" w:ascii="宋体" w:hAnsi="宋体" w:cs="宋体"/>
          <w:color w:val="auto"/>
          <w:szCs w:val="21"/>
          <w:highlight w:val="none"/>
        </w:rPr>
        <w:t>。</w:t>
      </w:r>
    </w:p>
    <w:p w14:paraId="265CAC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单价包含的风险范围：（1）材料价格市场波动风险；（2）总价措施包干的风险，本项目总价措施费用按措施项目投标价固定包干，无论施工过程中发生何种变化，总价措施费用都不予调整；（3）临时停水停电由承包人自行考虑到相关措施，费用自理；（4）已有清单项目工程量增减的风险，即在实施过程中，已有清单项目的工程量无论发生如何变化，结算时，投标报价中的综合单价均不予以调整。</w:t>
      </w:r>
    </w:p>
    <w:p w14:paraId="4C495E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b/>
          <w:bCs/>
          <w:color w:val="auto"/>
          <w:szCs w:val="21"/>
          <w:highlight w:val="none"/>
          <w:u w:val="single"/>
        </w:rPr>
        <w:t xml:space="preserve"> 供应商自行考虑计入磋商报价 。</w:t>
      </w:r>
    </w:p>
    <w:p w14:paraId="35AB1A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001172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1、由于工程量清单项目漏项、工程设计变更、现场签证增加等引起新增的工程量清单项目，其综合单价调整执行专用条款10.4.1规定。</w:t>
      </w:r>
    </w:p>
    <w:p w14:paraId="385146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2、根据合同范围及公共突发事件处置需要，确需额外配备的防控物资及其它的措施项目的，承包人应根据国家及当地相关规定（通知）按一事一报原则报监理人并经发包人同意后支付。</w:t>
      </w:r>
    </w:p>
    <w:p w14:paraId="2116C7ED">
      <w:pPr>
        <w:spacing w:line="360" w:lineRule="auto"/>
        <w:ind w:firstLine="420" w:firstLineChars="200"/>
        <w:rPr>
          <w:rFonts w:hint="eastAsia" w:ascii="宋体" w:hAnsi="宋体" w:cs="宋体"/>
          <w:color w:val="auto"/>
          <w:szCs w:val="21"/>
          <w:highlight w:val="none"/>
        </w:rPr>
      </w:pPr>
      <w:bookmarkStart w:id="963" w:name="_Toc312678042"/>
      <w:bookmarkStart w:id="964" w:name="_Toc297123554"/>
      <w:bookmarkStart w:id="965" w:name="_Toc304295581"/>
      <w:bookmarkStart w:id="966" w:name="_Toc297216213"/>
      <w:bookmarkStart w:id="967" w:name="_Toc300935004"/>
      <w:bookmarkStart w:id="968" w:name="_Toc303539161"/>
      <w:bookmarkStart w:id="969" w:name="_Toc292559917"/>
      <w:bookmarkStart w:id="970" w:name="_Toc292559412"/>
      <w:bookmarkStart w:id="971" w:name="_Toc296503207"/>
      <w:bookmarkStart w:id="972" w:name="_Toc296346708"/>
      <w:bookmarkStart w:id="973" w:name="_Toc296944546"/>
      <w:bookmarkStart w:id="974" w:name="_Toc297120507"/>
      <w:bookmarkStart w:id="975" w:name="_Toc296347206"/>
      <w:bookmarkStart w:id="976" w:name="_Toc296891035"/>
      <w:bookmarkStart w:id="977" w:name="_Toc296891247"/>
      <w:bookmarkStart w:id="978" w:name="_Toc297048393"/>
      <w:r>
        <w:rPr>
          <w:rFonts w:hint="eastAsia" w:ascii="宋体" w:hAnsi="宋体" w:cs="宋体"/>
          <w:color w:val="auto"/>
          <w:szCs w:val="21"/>
          <w:highlight w:val="none"/>
        </w:rPr>
        <w:t>12.2 预付款</w:t>
      </w:r>
    </w:p>
    <w:bookmarkEnd w:id="963"/>
    <w:bookmarkEnd w:id="964"/>
    <w:bookmarkEnd w:id="965"/>
    <w:bookmarkEnd w:id="966"/>
    <w:bookmarkEnd w:id="967"/>
    <w:bookmarkEnd w:id="968"/>
    <w:p w14:paraId="020083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12.2.1 预付款的支付</w:t>
      </w:r>
    </w:p>
    <w:p w14:paraId="68CEF0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预付款支付比例和条件：</w:t>
      </w:r>
      <w:r>
        <w:rPr>
          <w:rFonts w:ascii="宋体" w:hAnsi="宋体"/>
          <w:b/>
          <w:bCs/>
          <w:color w:val="auto"/>
          <w:szCs w:val="21"/>
          <w:highlight w:val="none"/>
          <w:u w:val="single"/>
        </w:rPr>
        <w:t>合同价款的</w:t>
      </w:r>
      <w:r>
        <w:rPr>
          <w:rFonts w:hint="eastAsia" w:ascii="宋体" w:hAnsi="宋体"/>
          <w:b/>
          <w:bCs/>
          <w:color w:val="auto"/>
          <w:szCs w:val="21"/>
          <w:highlight w:val="none"/>
          <w:u w:val="single"/>
        </w:rPr>
        <w:t>30</w:t>
      </w:r>
      <w:r>
        <w:rPr>
          <w:rFonts w:ascii="宋体" w:hAnsi="宋体"/>
          <w:b/>
          <w:bCs/>
          <w:color w:val="auto"/>
          <w:szCs w:val="21"/>
          <w:highlight w:val="none"/>
          <w:u w:val="single"/>
        </w:rPr>
        <w:t>%</w:t>
      </w:r>
      <w:r>
        <w:rPr>
          <w:rFonts w:hint="eastAsia" w:ascii="宋体" w:hAnsi="宋体" w:cs="宋体"/>
          <w:color w:val="auto"/>
          <w:szCs w:val="21"/>
          <w:highlight w:val="none"/>
        </w:rPr>
        <w:t>。</w:t>
      </w:r>
    </w:p>
    <w:p w14:paraId="65FBA1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12.2.2 预付款担保</w:t>
      </w:r>
    </w:p>
    <w:p w14:paraId="016D0A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48D3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969"/>
    <w:bookmarkEnd w:id="970"/>
    <w:bookmarkEnd w:id="971"/>
    <w:bookmarkEnd w:id="972"/>
    <w:bookmarkEnd w:id="973"/>
    <w:bookmarkEnd w:id="974"/>
    <w:bookmarkEnd w:id="975"/>
    <w:bookmarkEnd w:id="976"/>
    <w:bookmarkEnd w:id="977"/>
    <w:bookmarkEnd w:id="978"/>
    <w:p w14:paraId="37DE38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计量</w:t>
      </w:r>
    </w:p>
    <w:p w14:paraId="633B34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716ACE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工程量计算规则：《房屋建筑与装饰工程工程量计算规范》（GB50854-2013）及国家和行业相关规定执行。</w:t>
      </w:r>
    </w:p>
    <w:p w14:paraId="2986B2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2F8D50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关于计量周期的约定：按月计量，每月20日按进度向监理工程师提交审核，由监理工程师向发包人报审已完成工程量报告 。</w:t>
      </w:r>
    </w:p>
    <w:p w14:paraId="5B6862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12.3.3 单价合同的计量</w:t>
      </w:r>
    </w:p>
    <w:p w14:paraId="4E87A2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b/>
          <w:bCs/>
          <w:color w:val="auto"/>
          <w:szCs w:val="21"/>
          <w:highlight w:val="none"/>
          <w:u w:val="single"/>
        </w:rPr>
        <w:t xml:space="preserve">按合同通用条款执行 </w:t>
      </w:r>
      <w:r>
        <w:rPr>
          <w:rFonts w:hint="eastAsia" w:ascii="宋体" w:hAnsi="宋体" w:cs="宋体"/>
          <w:color w:val="auto"/>
          <w:szCs w:val="21"/>
          <w:highlight w:val="none"/>
        </w:rPr>
        <w:t>。</w:t>
      </w:r>
    </w:p>
    <w:p w14:paraId="44761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00B01A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EFF33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12.3.5总价合同采用支付分解表计量支付的，是否适用第12.3.4 项〔总价合同的计量〕约定进行计量：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F6E84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6DE517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8BBA3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工程进度款支付</w:t>
      </w:r>
    </w:p>
    <w:p w14:paraId="21865213">
      <w:pPr>
        <w:spacing w:line="360" w:lineRule="auto"/>
        <w:ind w:firstLine="420" w:firstLineChars="200"/>
        <w:rPr>
          <w:rFonts w:hint="eastAsia" w:ascii="宋体" w:hAnsi="宋体" w:cs="宋体"/>
          <w:color w:val="auto"/>
          <w:szCs w:val="21"/>
          <w:highlight w:val="none"/>
        </w:rPr>
      </w:pPr>
      <w:bookmarkStart w:id="979" w:name="_Toc292559416"/>
      <w:bookmarkStart w:id="980" w:name="_Toc297048397"/>
      <w:bookmarkStart w:id="981" w:name="_Toc296503211"/>
      <w:bookmarkStart w:id="982" w:name="_Toc297120511"/>
      <w:bookmarkStart w:id="983" w:name="_Toc296891039"/>
      <w:bookmarkStart w:id="984" w:name="_Toc303539163"/>
      <w:bookmarkStart w:id="985" w:name="_Toc296347210"/>
      <w:bookmarkStart w:id="986" w:name="_Toc296891251"/>
      <w:bookmarkStart w:id="987" w:name="_Toc292559921"/>
      <w:bookmarkStart w:id="988" w:name="_Toc296346712"/>
      <w:bookmarkStart w:id="989" w:name="_Toc297216215"/>
      <w:bookmarkStart w:id="990" w:name="_Toc300935006"/>
      <w:bookmarkStart w:id="991" w:name="_Toc297123556"/>
      <w:bookmarkStart w:id="992" w:name="_Toc296944550"/>
      <w:r>
        <w:rPr>
          <w:rFonts w:hint="eastAsia" w:ascii="宋体" w:hAnsi="宋体" w:cs="宋体"/>
          <w:color w:val="auto"/>
          <w:szCs w:val="21"/>
          <w:highlight w:val="none"/>
        </w:rPr>
        <w:t>12.4.1 付款周期</w:t>
      </w:r>
    </w:p>
    <w:p w14:paraId="39075B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A4A30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付款方式：按以下信息对公支付。</w:t>
      </w:r>
    </w:p>
    <w:p w14:paraId="3B29B2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增值税发票开票及付款信息：</w:t>
      </w:r>
    </w:p>
    <w:p w14:paraId="49B9B1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b/>
          <w:bCs/>
          <w:color w:val="auto"/>
          <w:szCs w:val="21"/>
          <w:highlight w:val="none"/>
          <w:u w:val="single"/>
        </w:rPr>
        <w:t xml:space="preserve">          </w:t>
      </w:r>
    </w:p>
    <w:p w14:paraId="73CB38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纳税人识别号：</w:t>
      </w:r>
      <w:r>
        <w:rPr>
          <w:rFonts w:hint="eastAsia" w:ascii="宋体" w:hAnsi="宋体" w:cs="宋体"/>
          <w:b/>
          <w:bCs/>
          <w:color w:val="auto"/>
          <w:szCs w:val="21"/>
          <w:highlight w:val="none"/>
          <w:u w:val="single"/>
        </w:rPr>
        <w:t xml:space="preserve">          </w:t>
      </w:r>
    </w:p>
    <w:p w14:paraId="5647AB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b/>
          <w:bCs/>
          <w:color w:val="auto"/>
          <w:szCs w:val="21"/>
          <w:highlight w:val="none"/>
          <w:u w:val="single"/>
        </w:rPr>
        <w:t xml:space="preserve">          </w:t>
      </w:r>
    </w:p>
    <w:p w14:paraId="168C92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b/>
          <w:bCs/>
          <w:color w:val="auto"/>
          <w:szCs w:val="21"/>
          <w:highlight w:val="none"/>
          <w:u w:val="single"/>
        </w:rPr>
        <w:t xml:space="preserve">          </w:t>
      </w:r>
    </w:p>
    <w:p w14:paraId="29CF54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承包人指定收款账号</w:t>
      </w:r>
    </w:p>
    <w:p w14:paraId="11D97D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户名：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FBAEE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p>
    <w:p w14:paraId="214CEE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u w:val="single"/>
        </w:rPr>
        <w:t xml:space="preserve">                    </w:t>
      </w:r>
    </w:p>
    <w:p w14:paraId="1F62BD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合同履行和工程款支付往来的单位、账号（变更的需提供证明材料），必须与响应文件和本合同保持一致，承包人授权除此以外的自然人或单位进行项目实施、委托收款等事项，发包人一概不予认可。</w:t>
      </w:r>
    </w:p>
    <w:p w14:paraId="2A0DFB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12.4.2 进度付款申请单的编制</w:t>
      </w:r>
    </w:p>
    <w:p w14:paraId="757AE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关于进度付款申请单编制的约定：按照发包人规定的格式编制 。</w:t>
      </w:r>
    </w:p>
    <w:p w14:paraId="081153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r>
        <w:rPr>
          <w:rFonts w:hint="eastAsia" w:ascii="宋体" w:hAnsi="宋体" w:cs="宋体"/>
          <w:color w:val="auto"/>
          <w:szCs w:val="21"/>
          <w:highlight w:val="none"/>
        </w:rPr>
        <w:t>2.4.3 进度付款申请单的提交</w:t>
      </w:r>
    </w:p>
    <w:p w14:paraId="1BB2A82C">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eastAsia="宋体" w:cs="宋体"/>
          <w:b/>
          <w:bCs/>
          <w:color w:val="auto"/>
          <w:szCs w:val="21"/>
          <w:highlight w:val="none"/>
          <w:u w:val="single"/>
          <w:lang w:val="en-US" w:eastAsia="zh-CN"/>
        </w:rPr>
        <w:t>双方在签订合同时具体协商</w:t>
      </w:r>
      <w:r>
        <w:rPr>
          <w:rFonts w:hint="eastAsia" w:ascii="宋体" w:hAnsi="宋体"/>
          <w:b/>
          <w:bCs/>
          <w:color w:val="auto"/>
          <w:szCs w:val="21"/>
          <w:highlight w:val="none"/>
          <w:u w:val="single"/>
        </w:rPr>
        <w:t>。</w:t>
      </w:r>
    </w:p>
    <w:p w14:paraId="2FEA5A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C907C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DF302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4EBEEE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（1）监理人审查并报送发包人的期限：</w:t>
      </w:r>
      <w:r>
        <w:rPr>
          <w:rFonts w:hint="eastAsia" w:ascii="宋体" w:hAnsi="宋体" w:cs="宋体"/>
          <w:b/>
          <w:bCs/>
          <w:color w:val="auto"/>
          <w:szCs w:val="21"/>
          <w:highlight w:val="none"/>
          <w:u w:val="single"/>
        </w:rPr>
        <w:t xml:space="preserve">收到承包人提交的进度付款申请单后5日内 </w:t>
      </w:r>
      <w:r>
        <w:rPr>
          <w:rFonts w:hint="eastAsia" w:ascii="宋体" w:hAnsi="宋体" w:cs="宋体"/>
          <w:color w:val="auto"/>
          <w:szCs w:val="21"/>
          <w:highlight w:val="none"/>
        </w:rPr>
        <w:t>。</w:t>
      </w:r>
    </w:p>
    <w:p w14:paraId="0DE1CB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b/>
          <w:bCs/>
          <w:color w:val="auto"/>
          <w:szCs w:val="21"/>
          <w:highlight w:val="none"/>
          <w:u w:val="single"/>
        </w:rPr>
        <w:t xml:space="preserve">收到经监理审查确认的进度付款申请单后7日内 </w:t>
      </w:r>
      <w:r>
        <w:rPr>
          <w:rFonts w:hint="eastAsia" w:ascii="宋体" w:hAnsi="宋体" w:cs="宋体"/>
          <w:color w:val="auto"/>
          <w:szCs w:val="21"/>
          <w:highlight w:val="none"/>
        </w:rPr>
        <w:t>。</w:t>
      </w:r>
    </w:p>
    <w:p w14:paraId="2A5723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b/>
          <w:bCs/>
          <w:color w:val="auto"/>
          <w:szCs w:val="21"/>
          <w:highlight w:val="none"/>
          <w:u w:val="single"/>
        </w:rPr>
        <w:t>发包人审批通过进度款支付材料后30天内支付</w:t>
      </w:r>
      <w:r>
        <w:rPr>
          <w:rFonts w:hint="eastAsia" w:ascii="宋体" w:hAnsi="宋体" w:cs="宋体"/>
          <w:color w:val="auto"/>
          <w:szCs w:val="21"/>
          <w:highlight w:val="none"/>
        </w:rPr>
        <w:t>。</w:t>
      </w:r>
    </w:p>
    <w:p w14:paraId="6C09DC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15D8E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0D26B5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3、单价合同的总价项目支付分解表的编制与审批：按通用条款执行。</w:t>
      </w:r>
    </w:p>
    <w:bookmarkEnd w:id="822"/>
    <w:p w14:paraId="21161B7A">
      <w:pPr>
        <w:spacing w:line="360" w:lineRule="auto"/>
        <w:ind w:firstLine="420" w:firstLineChars="200"/>
        <w:rPr>
          <w:rFonts w:hint="eastAsia" w:ascii="宋体" w:hAnsi="宋体" w:cs="宋体"/>
          <w:color w:val="auto"/>
          <w:szCs w:val="21"/>
          <w:highlight w:val="none"/>
        </w:rPr>
      </w:pPr>
      <w:bookmarkStart w:id="993" w:name="_Toc351203645"/>
      <w:bookmarkStart w:id="994" w:name="_Toc296346720"/>
      <w:bookmarkStart w:id="995" w:name="_Toc297216223"/>
      <w:bookmarkStart w:id="996" w:name="_Toc297123564"/>
      <w:bookmarkStart w:id="997" w:name="_Toc292559929"/>
      <w:bookmarkStart w:id="998" w:name="_Toc312678053"/>
      <w:bookmarkStart w:id="999" w:name="_Toc296347218"/>
      <w:bookmarkStart w:id="1000" w:name="_Toc303539172"/>
      <w:bookmarkStart w:id="1001" w:name="_Toc296503219"/>
      <w:bookmarkStart w:id="1002" w:name="_Toc296891259"/>
      <w:bookmarkStart w:id="1003" w:name="_Toc297120519"/>
      <w:bookmarkStart w:id="1004" w:name="_Toc296944558"/>
      <w:bookmarkStart w:id="1005" w:name="_Toc296891047"/>
      <w:bookmarkStart w:id="1006" w:name="_Toc300935015"/>
      <w:bookmarkStart w:id="1007" w:name="_Toc292559424"/>
      <w:bookmarkStart w:id="1008" w:name="_Toc297048405"/>
      <w:bookmarkStart w:id="1009" w:name="_Toc304295593"/>
      <w:r>
        <w:rPr>
          <w:rFonts w:hint="eastAsia" w:ascii="宋体" w:hAnsi="宋体" w:cs="宋体"/>
          <w:color w:val="auto"/>
          <w:szCs w:val="21"/>
          <w:highlight w:val="none"/>
        </w:rPr>
        <w:t>13. 验收和工程试车</w:t>
      </w:r>
      <w:bookmarkEnd w:id="993"/>
    </w:p>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14:paraId="6828E3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分部分项工程验收</w:t>
      </w:r>
    </w:p>
    <w:p w14:paraId="03B31A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13.1.2监理人不能按时进行验收时，应提前24小时提交书面延期要求。</w:t>
      </w:r>
    </w:p>
    <w:p w14:paraId="0919B6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bCs/>
          <w:color w:val="auto"/>
          <w:szCs w:val="21"/>
          <w:highlight w:val="none"/>
          <w:u w:val="single"/>
        </w:rPr>
        <w:t>48小时</w:t>
      </w:r>
      <w:r>
        <w:rPr>
          <w:rFonts w:hint="eastAsia" w:ascii="宋体" w:hAnsi="宋体" w:cs="宋体"/>
          <w:color w:val="auto"/>
          <w:szCs w:val="21"/>
          <w:highlight w:val="none"/>
        </w:rPr>
        <w:t>。</w:t>
      </w:r>
    </w:p>
    <w:p w14:paraId="3A8494E7">
      <w:pPr>
        <w:spacing w:line="360" w:lineRule="auto"/>
        <w:ind w:firstLine="420" w:firstLineChars="200"/>
        <w:rPr>
          <w:rFonts w:hint="eastAsia" w:ascii="宋体" w:hAnsi="宋体" w:cs="宋体"/>
          <w:color w:val="auto"/>
          <w:szCs w:val="21"/>
          <w:highlight w:val="none"/>
        </w:rPr>
      </w:pPr>
      <w:bookmarkStart w:id="1010" w:name="_Toc296891263"/>
      <w:bookmarkStart w:id="1011" w:name="_Toc296503223"/>
      <w:bookmarkStart w:id="1012" w:name="_Toc297123565"/>
      <w:bookmarkStart w:id="1013" w:name="_Toc297120523"/>
      <w:bookmarkStart w:id="1014" w:name="_Toc300935016"/>
      <w:bookmarkStart w:id="1015" w:name="_Toc297048409"/>
      <w:bookmarkStart w:id="1016" w:name="_Toc292559428"/>
      <w:bookmarkStart w:id="1017" w:name="_Toc297216224"/>
      <w:bookmarkStart w:id="1018" w:name="_Toc303539173"/>
      <w:bookmarkStart w:id="1019" w:name="_Toc296347222"/>
      <w:bookmarkStart w:id="1020" w:name="_Toc312678056"/>
      <w:bookmarkStart w:id="1021" w:name="_Toc292559933"/>
      <w:bookmarkStart w:id="1022" w:name="_Toc304295596"/>
      <w:bookmarkStart w:id="1023" w:name="_Toc296944562"/>
      <w:bookmarkStart w:id="1024" w:name="_Toc296891051"/>
      <w:bookmarkStart w:id="1025" w:name="_Toc296346724"/>
      <w:bookmarkStart w:id="1026" w:name="_Toc267251475"/>
      <w:bookmarkStart w:id="1027" w:name="_Toc267251474"/>
      <w:bookmarkStart w:id="1028" w:name="_Toc267251470"/>
      <w:bookmarkStart w:id="1029" w:name="_Toc267251473"/>
      <w:bookmarkStart w:id="1030" w:name="_Toc267251476"/>
      <w:bookmarkStart w:id="1031" w:name="_Toc267251471"/>
      <w:bookmarkStart w:id="1032" w:name="_Toc267251472"/>
      <w:r>
        <w:rPr>
          <w:rFonts w:hint="eastAsia" w:ascii="宋体" w:hAnsi="宋体" w:cs="宋体"/>
          <w:color w:val="auto"/>
          <w:szCs w:val="21"/>
          <w:highlight w:val="none"/>
        </w:rPr>
        <w:t>13.2 竣工验收</w:t>
      </w:r>
    </w:p>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14:paraId="0B5141C1">
      <w:pPr>
        <w:spacing w:line="360" w:lineRule="auto"/>
        <w:ind w:firstLine="420" w:firstLineChars="200"/>
        <w:rPr>
          <w:rFonts w:hint="eastAsia" w:ascii="宋体" w:hAnsi="宋体" w:cs="宋体"/>
          <w:color w:val="auto"/>
          <w:szCs w:val="21"/>
          <w:highlight w:val="none"/>
        </w:rPr>
      </w:pPr>
      <w:bookmarkStart w:id="1033" w:name="_Toc280868704"/>
      <w:bookmarkStart w:id="1034" w:name="_Toc280868705"/>
      <w:bookmarkStart w:id="1035" w:name="_Toc280868706"/>
      <w:bookmarkStart w:id="1036" w:name="_Toc280868707"/>
      <w:bookmarkStart w:id="1037" w:name="_Toc280868708"/>
      <w:bookmarkStart w:id="1038" w:name="_Toc280868709"/>
      <w:r>
        <w:rPr>
          <w:rFonts w:hint="eastAsia" w:ascii="宋体" w:hAnsi="宋体" w:cs="宋体"/>
          <w:color w:val="auto"/>
          <w:szCs w:val="21"/>
          <w:highlight w:val="none"/>
        </w:rPr>
        <w:t>13.2.2竣工验收程序</w:t>
      </w:r>
    </w:p>
    <w:bookmarkEnd w:id="1033"/>
    <w:p w14:paraId="475448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关于竣工验收程序的约定：</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 xml:space="preserve"> 。</w:t>
      </w:r>
    </w:p>
    <w:p w14:paraId="0779C9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发包人不按照本项约定组织竣工验收、颁发工程接收证书的违约金的计算方法： </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 xml:space="preserve"> 。</w:t>
      </w:r>
    </w:p>
    <w:bookmarkEnd w:id="1034"/>
    <w:p w14:paraId="663206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1035"/>
    <w:p w14:paraId="283473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承包人向发包人移交工程的期限：颁发工程接收证书后7天内完成工程的移交 。</w:t>
      </w:r>
    </w:p>
    <w:p w14:paraId="7F43A8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发包人未按本合同约定接收全部或部分工程的，违约金的计算方法为：</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w:t>
      </w:r>
    </w:p>
    <w:bookmarkEnd w:id="1036"/>
    <w:p w14:paraId="61958A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 xml:space="preserve"> 。</w:t>
      </w:r>
    </w:p>
    <w:p w14:paraId="40F0FC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工程试车</w:t>
      </w:r>
    </w:p>
    <w:bookmarkEnd w:id="1037"/>
    <w:p w14:paraId="7809B9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13.3.1 试车程序</w:t>
      </w:r>
    </w:p>
    <w:p w14:paraId="281002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工程试车内容：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093614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（1）单机无负荷试车费用由</w:t>
      </w:r>
      <w:r>
        <w:rPr>
          <w:rFonts w:hint="eastAsia" w:ascii="宋体" w:hAnsi="宋体" w:cs="宋体"/>
          <w:color w:val="auto"/>
          <w:szCs w:val="21"/>
          <w:highlight w:val="none"/>
          <w:u w:val="single"/>
        </w:rPr>
        <w:t xml:space="preserve">   /  承</w:t>
      </w:r>
      <w:r>
        <w:rPr>
          <w:rFonts w:hint="eastAsia" w:ascii="宋体" w:hAnsi="宋体" w:cs="宋体"/>
          <w:color w:val="auto"/>
          <w:szCs w:val="21"/>
          <w:highlight w:val="none"/>
        </w:rPr>
        <w:t>担；</w:t>
      </w:r>
    </w:p>
    <w:p w14:paraId="7AB0DD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（2）无负荷联动试车费用由</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承担。</w:t>
      </w:r>
    </w:p>
    <w:p w14:paraId="6E1B8D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13.3.3 投料试车</w:t>
      </w:r>
    </w:p>
    <w:p w14:paraId="32176B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关于投料试车相关事项的约定：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7815A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 竣工退场</w:t>
      </w:r>
    </w:p>
    <w:p w14:paraId="4881EC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13.6.1 竣工退场</w:t>
      </w:r>
      <w:bookmarkStart w:id="1039" w:name="_Toc351203646"/>
    </w:p>
    <w:p w14:paraId="3B62A7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了经监理工程师同意需在缺陷责任期内继续工作和使用的人员、施工设备和临时工程外，其余人员、施工设备和临时工程均应撤离施工场地或拆除，包括废弃的施工设备和材料，已按计划撤离施工现场。缺陷责任期满后28天内，承包人的人员和施工设备须全部撤离施工场，延后撤离造成发包人增加的费用，由承包人承担。</w:t>
      </w:r>
    </w:p>
    <w:p w14:paraId="52C0F2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承包人完成竣工退场的期限：</w:t>
      </w:r>
      <w:r>
        <w:rPr>
          <w:rFonts w:hint="eastAsia" w:ascii="宋体" w:hAnsi="宋体" w:cs="宋体"/>
          <w:b/>
          <w:bCs/>
          <w:color w:val="auto"/>
          <w:szCs w:val="21"/>
          <w:highlight w:val="none"/>
          <w:u w:val="single"/>
        </w:rPr>
        <w:t>工程移交后7天内完成</w:t>
      </w:r>
      <w:r>
        <w:rPr>
          <w:rFonts w:hint="eastAsia" w:ascii="宋体" w:hAnsi="宋体" w:cs="宋体"/>
          <w:color w:val="auto"/>
          <w:szCs w:val="21"/>
          <w:highlight w:val="none"/>
        </w:rPr>
        <w:t>。</w:t>
      </w:r>
    </w:p>
    <w:p w14:paraId="4F1895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竣工结算</w:t>
      </w:r>
      <w:bookmarkEnd w:id="1039"/>
    </w:p>
    <w:p w14:paraId="7D36A1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竣工结算申请</w:t>
      </w:r>
    </w:p>
    <w:p w14:paraId="33DC8E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承包人提交竣工结算申请单的期限：</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 xml:space="preserve"> 。</w:t>
      </w:r>
    </w:p>
    <w:p w14:paraId="2F5090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竣工结算申请单应包括的内容：按发包人规定的格式、程序上报。按通用条款执行 。</w:t>
      </w:r>
    </w:p>
    <w:p w14:paraId="40C006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竣工结算审核</w:t>
      </w:r>
    </w:p>
    <w:p w14:paraId="386B378F">
      <w:pPr>
        <w:autoSpaceDE w:val="0"/>
        <w:autoSpaceDN w:val="0"/>
        <w:snapToGrid w:val="0"/>
        <w:spacing w:line="360" w:lineRule="auto"/>
        <w:ind w:firstLine="420" w:firstLineChars="200"/>
        <w:textAlignment w:val="bottom"/>
        <w:rPr>
          <w:rFonts w:hint="eastAsia" w:ascii="宋体" w:hAnsi="宋体"/>
          <w:color w:val="auto"/>
          <w:szCs w:val="21"/>
          <w:highlight w:val="none"/>
        </w:rPr>
      </w:pPr>
      <w:r>
        <w:rPr>
          <w:rFonts w:hint="eastAsia" w:ascii="宋体" w:hAnsi="宋体" w:cs="宋体"/>
          <w:color w:val="auto"/>
          <w:szCs w:val="21"/>
          <w:highlight w:val="none"/>
        </w:rPr>
        <w:t>发包人审批竣工付款申请单的期限：工程完工后，承包人应及时报送已完成项目结算审计资料至发包人委托的第三方造价单位，</w:t>
      </w:r>
      <w:r>
        <w:rPr>
          <w:rFonts w:hint="eastAsia" w:ascii="宋体" w:hAnsi="宋体"/>
          <w:color w:val="auto"/>
          <w:szCs w:val="21"/>
          <w:highlight w:val="none"/>
        </w:rPr>
        <w:t>由第三方造价单位以成交供应商第一轮报价所报的响应文件中的“已标价工程量清单”进行结算审计，</w:t>
      </w:r>
      <w:r>
        <w:rPr>
          <w:rFonts w:hint="eastAsia" w:ascii="宋体" w:hAnsi="宋体"/>
          <w:b/>
          <w:bCs/>
          <w:color w:val="auto"/>
          <w:szCs w:val="21"/>
          <w:highlight w:val="none"/>
        </w:rPr>
        <w:t>最终结算：由第三方造价单位审定的结算价*优惠率。</w:t>
      </w:r>
    </w:p>
    <w:p w14:paraId="21D66739">
      <w:pPr>
        <w:spacing w:line="360" w:lineRule="auto"/>
        <w:ind w:firstLine="422" w:firstLineChars="200"/>
        <w:rPr>
          <w:rFonts w:hint="eastAsia" w:ascii="宋体" w:hAnsi="宋体" w:cs="宋体"/>
          <w:color w:val="auto"/>
          <w:szCs w:val="21"/>
          <w:highlight w:val="none"/>
        </w:rPr>
      </w:pPr>
      <w:r>
        <w:rPr>
          <w:rFonts w:hint="eastAsia" w:ascii="宋体" w:hAnsi="宋体"/>
          <w:b/>
          <w:bCs/>
          <w:color w:val="auto"/>
          <w:highlight w:val="none"/>
        </w:rPr>
        <w:t>结算价=按响应文件（第一次报价）计算审定的结算价×优惠率(优惠率=（第二次报价-暂估价）/（第一次报价-暂估价）)</w:t>
      </w:r>
    </w:p>
    <w:p w14:paraId="51E1ED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发包人审批竣工付款申请单的期限：发包人审批通过结算款支付材料后30天内支付。</w:t>
      </w:r>
    </w:p>
    <w:p w14:paraId="636FF3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发包人完成竣工付款的期限：发包人应在签发竣工付款证书后的30 天内，完成对承包人的竣工付款。</w:t>
      </w:r>
    </w:p>
    <w:p w14:paraId="58EDE2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w:t>
      </w:r>
    </w:p>
    <w:p w14:paraId="3923B2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 最终结清</w:t>
      </w:r>
    </w:p>
    <w:p w14:paraId="2971E7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14.4.1 最终结清申请单</w:t>
      </w:r>
    </w:p>
    <w:p w14:paraId="11B7BB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承包人提交最终结清申请单的份数：</w:t>
      </w:r>
      <w:r>
        <w:rPr>
          <w:rFonts w:hint="eastAsia" w:ascii="宋体" w:hAnsi="宋体" w:cs="宋体"/>
          <w:b/>
          <w:bCs/>
          <w:color w:val="auto"/>
          <w:szCs w:val="21"/>
          <w:highlight w:val="none"/>
          <w:u w:val="single"/>
        </w:rPr>
        <w:t xml:space="preserve"> 4份，在缺陷责任期终止证书签发后14天内</w:t>
      </w:r>
      <w:r>
        <w:rPr>
          <w:rFonts w:hint="eastAsia" w:ascii="宋体" w:hAnsi="宋体" w:cs="宋体"/>
          <w:color w:val="auto"/>
          <w:szCs w:val="21"/>
          <w:highlight w:val="none"/>
        </w:rPr>
        <w:t xml:space="preserve"> 。</w:t>
      </w:r>
    </w:p>
    <w:p w14:paraId="50AB6D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承包人提交最终结算申请单的期限：</w:t>
      </w:r>
      <w:r>
        <w:rPr>
          <w:rFonts w:hint="eastAsia" w:ascii="宋体" w:hAnsi="宋体" w:cs="宋体"/>
          <w:b/>
          <w:bCs/>
          <w:color w:val="auto"/>
          <w:szCs w:val="21"/>
          <w:highlight w:val="none"/>
          <w:u w:val="single"/>
        </w:rPr>
        <w:t xml:space="preserve"> 缺陷责任期满且工程竣工投产两年后14天内 </w:t>
      </w:r>
      <w:r>
        <w:rPr>
          <w:rFonts w:hint="eastAsia" w:ascii="宋体" w:hAnsi="宋体" w:cs="宋体"/>
          <w:color w:val="auto"/>
          <w:szCs w:val="21"/>
          <w:highlight w:val="none"/>
        </w:rPr>
        <w:t xml:space="preserve">。 </w:t>
      </w:r>
    </w:p>
    <w:p w14:paraId="5B91C7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02AF23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b/>
          <w:bCs/>
          <w:color w:val="auto"/>
          <w:szCs w:val="21"/>
          <w:highlight w:val="none"/>
          <w:u w:val="single"/>
        </w:rPr>
        <w:t xml:space="preserve">收到申请30天内 </w:t>
      </w:r>
      <w:r>
        <w:rPr>
          <w:rFonts w:hint="eastAsia" w:ascii="宋体" w:hAnsi="宋体" w:cs="宋体"/>
          <w:color w:val="auto"/>
          <w:szCs w:val="21"/>
          <w:highlight w:val="none"/>
        </w:rPr>
        <w:t>。</w:t>
      </w:r>
    </w:p>
    <w:p w14:paraId="13E8B7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（2）发包人完成支付的期限：发包人审批通过支付材料后30天内支付 。</w:t>
      </w:r>
    </w:p>
    <w:bookmarkEnd w:id="1026"/>
    <w:bookmarkEnd w:id="1027"/>
    <w:bookmarkEnd w:id="1028"/>
    <w:bookmarkEnd w:id="1029"/>
    <w:bookmarkEnd w:id="1030"/>
    <w:bookmarkEnd w:id="1031"/>
    <w:bookmarkEnd w:id="1032"/>
    <w:bookmarkEnd w:id="1038"/>
    <w:p w14:paraId="61D7745E">
      <w:pPr>
        <w:spacing w:line="360" w:lineRule="auto"/>
        <w:ind w:firstLine="420" w:firstLineChars="200"/>
        <w:rPr>
          <w:rFonts w:hint="eastAsia" w:ascii="宋体" w:hAnsi="宋体" w:cs="宋体"/>
          <w:color w:val="auto"/>
          <w:szCs w:val="21"/>
          <w:highlight w:val="none"/>
        </w:rPr>
      </w:pPr>
      <w:bookmarkStart w:id="1040" w:name="_Toc351203647"/>
      <w:bookmarkStart w:id="1041" w:name="_Toc267251483"/>
      <w:bookmarkStart w:id="1042" w:name="_Toc267251484"/>
      <w:bookmarkStart w:id="1043" w:name="_Toc267251482"/>
      <w:bookmarkStart w:id="1044" w:name="_Toc267251485"/>
      <w:bookmarkStart w:id="1045" w:name="_Toc267251486"/>
      <w:bookmarkStart w:id="1046" w:name="_Toc267251490"/>
      <w:bookmarkStart w:id="1047" w:name="_Toc267251488"/>
      <w:bookmarkStart w:id="1048" w:name="_Toc267251489"/>
      <w:bookmarkStart w:id="1049" w:name="_Toc267251497"/>
      <w:bookmarkStart w:id="1050" w:name="_Toc267251494"/>
      <w:bookmarkStart w:id="1051" w:name="_Toc267251502"/>
      <w:bookmarkStart w:id="1052" w:name="_Toc267251496"/>
      <w:bookmarkStart w:id="1053" w:name="_Toc267251501"/>
      <w:bookmarkStart w:id="1054" w:name="_Toc267251493"/>
      <w:bookmarkStart w:id="1055" w:name="_Toc267251498"/>
      <w:bookmarkStart w:id="1056" w:name="_Toc267251499"/>
      <w:bookmarkStart w:id="1057" w:name="_Toc267251492"/>
      <w:bookmarkStart w:id="1058" w:name="_Toc267251495"/>
      <w:bookmarkStart w:id="1059" w:name="_Toc267251491"/>
      <w:bookmarkStart w:id="1060" w:name="_Toc267251503"/>
      <w:bookmarkStart w:id="1061" w:name="_Toc267251504"/>
      <w:bookmarkStart w:id="1062" w:name="_Toc267251506"/>
      <w:bookmarkStart w:id="1063" w:name="_Toc267251507"/>
      <w:bookmarkStart w:id="1064" w:name="_Toc267251508"/>
      <w:bookmarkStart w:id="1065" w:name="_Toc267251515"/>
      <w:bookmarkStart w:id="1066" w:name="_Toc267251510"/>
      <w:bookmarkStart w:id="1067" w:name="_Toc267251511"/>
      <w:bookmarkStart w:id="1068" w:name="_Toc267251509"/>
      <w:bookmarkStart w:id="1069" w:name="_Toc267251513"/>
      <w:bookmarkStart w:id="1070" w:name="_Toc267251514"/>
      <w:r>
        <w:rPr>
          <w:rFonts w:hint="eastAsia" w:ascii="宋体" w:hAnsi="宋体" w:cs="宋体"/>
          <w:color w:val="auto"/>
          <w:szCs w:val="21"/>
          <w:highlight w:val="none"/>
        </w:rPr>
        <w:t>15. 缺陷责任期与保修</w:t>
      </w:r>
      <w:bookmarkEnd w:id="1040"/>
    </w:p>
    <w:p w14:paraId="219835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15.2缺陷责任期</w:t>
      </w:r>
      <w:bookmarkEnd w:id="1041"/>
    </w:p>
    <w:p w14:paraId="674B68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缺陷责任期的具体期限：24个月，且不低于法定最低保修年限，自交付使用之日起计 。</w:t>
      </w:r>
    </w:p>
    <w:p w14:paraId="52FA56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质量保证金</w:t>
      </w:r>
    </w:p>
    <w:p w14:paraId="68D6A2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b/>
          <w:bCs/>
          <w:color w:val="auto"/>
          <w:szCs w:val="21"/>
          <w:highlight w:val="none"/>
          <w:u w:val="single"/>
        </w:rPr>
        <w:t xml:space="preserve"> 是 </w:t>
      </w:r>
      <w:r>
        <w:rPr>
          <w:rFonts w:hint="eastAsia" w:ascii="宋体" w:hAnsi="宋体" w:cs="宋体"/>
          <w:color w:val="auto"/>
          <w:szCs w:val="21"/>
          <w:highlight w:val="none"/>
        </w:rPr>
        <w:t>。</w:t>
      </w:r>
    </w:p>
    <w:p w14:paraId="0D2050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在工程项目竣工前，承包人按专用合同条款第3.7条提供履约担保的，发包人不得同时预留工程质量保证金。</w:t>
      </w:r>
    </w:p>
    <w:p w14:paraId="2BBF58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66ABD12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质量保证金采用以下第 / 种方式：</w:t>
      </w:r>
    </w:p>
    <w:p w14:paraId="688381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（1）质量保证金保函，保证金额为：/ ； </w:t>
      </w:r>
    </w:p>
    <w:p w14:paraId="1813F3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（2）对公支付合同价款的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8324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21067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15.3.2 质量保证金的扣留 </w:t>
      </w:r>
    </w:p>
    <w:p w14:paraId="5A59FC0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质量保证金的扣留采取以下第 （3） 种方式：</w:t>
      </w:r>
    </w:p>
    <w:p w14:paraId="492771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0937B3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8DCB9A3">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（3）其他扣留方式:</w:t>
      </w:r>
      <w:r>
        <w:rPr>
          <w:rFonts w:hint="eastAsia" w:ascii="宋体" w:hAnsi="宋体"/>
          <w:b/>
          <w:bCs/>
          <w:color w:val="auto"/>
          <w:kern w:val="0"/>
          <w:szCs w:val="21"/>
          <w:highlight w:val="none"/>
          <w:u w:val="single"/>
        </w:rPr>
        <w:t>预留合同价款的3%作为质量保证金，</w:t>
      </w:r>
      <w:r>
        <w:rPr>
          <w:rFonts w:ascii="宋体" w:hAnsi="宋体"/>
          <w:b/>
          <w:bCs/>
          <w:color w:val="auto"/>
          <w:kern w:val="0"/>
          <w:szCs w:val="21"/>
          <w:highlight w:val="none"/>
          <w:u w:val="single"/>
        </w:rPr>
        <w:t>在</w:t>
      </w:r>
      <w:r>
        <w:rPr>
          <w:rFonts w:hint="eastAsia" w:ascii="宋体" w:hAnsi="宋体"/>
          <w:b/>
          <w:bCs/>
          <w:color w:val="auto"/>
          <w:kern w:val="0"/>
          <w:szCs w:val="21"/>
          <w:highlight w:val="none"/>
          <w:u w:val="single"/>
        </w:rPr>
        <w:t>工程</w:t>
      </w:r>
      <w:r>
        <w:rPr>
          <w:rFonts w:ascii="宋体" w:hAnsi="宋体"/>
          <w:b/>
          <w:bCs/>
          <w:color w:val="auto"/>
          <w:kern w:val="0"/>
          <w:szCs w:val="21"/>
          <w:highlight w:val="none"/>
          <w:u w:val="single"/>
        </w:rPr>
        <w:t>质量缺陷责任期届满后不计利息</w:t>
      </w:r>
      <w:r>
        <w:rPr>
          <w:rFonts w:hint="eastAsia" w:ascii="宋体" w:hAnsi="宋体"/>
          <w:b/>
          <w:bCs/>
          <w:color w:val="auto"/>
          <w:kern w:val="0"/>
          <w:szCs w:val="21"/>
          <w:highlight w:val="none"/>
          <w:u w:val="single"/>
        </w:rPr>
        <w:t>退回质量保证金。</w:t>
      </w:r>
    </w:p>
    <w:p w14:paraId="06CA79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 xml:space="preserve"> /  。</w:t>
      </w:r>
    </w:p>
    <w:bookmarkEnd w:id="1042"/>
    <w:bookmarkEnd w:id="1043"/>
    <w:p w14:paraId="20ACDA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15.4保修</w:t>
      </w:r>
    </w:p>
    <w:bookmarkEnd w:id="1044"/>
    <w:p w14:paraId="225177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15.4.1 保修责任</w:t>
      </w:r>
    </w:p>
    <w:p w14:paraId="2A58E1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工程保修期为：</w:t>
      </w:r>
      <w:r>
        <w:rPr>
          <w:rFonts w:hint="eastAsia" w:ascii="宋体" w:hAnsi="宋体" w:cs="宋体"/>
          <w:b/>
          <w:bCs/>
          <w:color w:val="auto"/>
          <w:szCs w:val="21"/>
          <w:highlight w:val="none"/>
          <w:u w:val="single"/>
        </w:rPr>
        <w:t>满足《建设工程质量管理条例》。</w:t>
      </w:r>
    </w:p>
    <w:p w14:paraId="2ED323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750CFBDD">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承包人收到保修通知并到达工程现场的合理时间：</w:t>
      </w:r>
      <w:r>
        <w:rPr>
          <w:rFonts w:hint="eastAsia" w:ascii="宋体" w:hAnsi="宋体" w:cs="宋体"/>
          <w:b/>
          <w:bCs/>
          <w:color w:val="auto"/>
          <w:szCs w:val="21"/>
          <w:highlight w:val="none"/>
          <w:u w:val="single"/>
        </w:rPr>
        <w:t xml:space="preserve"> 在工程保修期间，承包人应建立工程保修专业队伍，提供7*24小时全天候服务。属于保修范围、内容的项目，承包人应当在接到保修通知之日起，8小时内派人保修，一般质量问题，24小时内完成，较大质量问题，2个工作日内完成，承包人不在约定期限内派人保修的，发包人可以委托他人修理，费用从保修金中扣除。发生紧急抢修事故的，承包人在接到事故通知后，应当立即到达事故现场抢修。修复工作完成后，由发包人组织验收。</w:t>
      </w:r>
    </w:p>
    <w:bookmarkEnd w:id="1045"/>
    <w:bookmarkEnd w:id="1046"/>
    <w:bookmarkEnd w:id="1047"/>
    <w:bookmarkEnd w:id="1048"/>
    <w:p w14:paraId="0E2740D4">
      <w:pPr>
        <w:spacing w:line="360" w:lineRule="auto"/>
        <w:ind w:firstLine="420" w:firstLineChars="200"/>
        <w:rPr>
          <w:rFonts w:hint="eastAsia" w:ascii="宋体" w:hAnsi="宋体" w:cs="宋体"/>
          <w:color w:val="auto"/>
          <w:szCs w:val="21"/>
          <w:highlight w:val="none"/>
        </w:rPr>
      </w:pPr>
      <w:bookmarkStart w:id="1071" w:name="_Toc351203648"/>
      <w:bookmarkStart w:id="1072" w:name="_Toc280868717"/>
      <w:bookmarkStart w:id="1073" w:name="_Toc280868718"/>
      <w:r>
        <w:rPr>
          <w:rFonts w:hint="eastAsia" w:ascii="宋体" w:hAnsi="宋体" w:cs="宋体"/>
          <w:color w:val="auto"/>
          <w:szCs w:val="21"/>
          <w:highlight w:val="none"/>
        </w:rPr>
        <w:t>16. 违约</w:t>
      </w:r>
      <w:bookmarkEnd w:id="1071"/>
    </w:p>
    <w:p w14:paraId="12EEBC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发包人违约</w:t>
      </w:r>
    </w:p>
    <w:p w14:paraId="6BB285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3AAE48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发包人违约的其他情形：</w:t>
      </w:r>
      <w:r>
        <w:rPr>
          <w:rFonts w:hint="eastAsia" w:ascii="宋体" w:hAnsi="宋体" w:cs="宋体"/>
          <w:b/>
          <w:bCs/>
          <w:color w:val="auto"/>
          <w:szCs w:val="21"/>
          <w:highlight w:val="none"/>
          <w:u w:val="single"/>
        </w:rPr>
        <w:t>按通用条款执行。</w:t>
      </w:r>
    </w:p>
    <w:p w14:paraId="4B224F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发包人违约的责任</w:t>
      </w:r>
    </w:p>
    <w:p w14:paraId="7E5EE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发包人违约责任的承担方式和计算方法：</w:t>
      </w:r>
    </w:p>
    <w:p w14:paraId="18F03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（1）因发包人原因未能在计划开工日期前7天内下达开工通知的违约责任：</w:t>
      </w:r>
      <w:r>
        <w:rPr>
          <w:rFonts w:hint="eastAsia" w:ascii="宋体" w:hAnsi="宋体" w:cs="宋体"/>
          <w:b/>
          <w:bCs/>
          <w:color w:val="auto"/>
          <w:szCs w:val="21"/>
          <w:highlight w:val="none"/>
          <w:u w:val="single"/>
        </w:rPr>
        <w:t xml:space="preserve"> /  。</w:t>
      </w:r>
    </w:p>
    <w:p w14:paraId="53AFC4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（2）因发包人原因未能按合同约定支付合同价款的违约责任：</w:t>
      </w:r>
      <w:r>
        <w:rPr>
          <w:rFonts w:hint="eastAsia" w:ascii="宋体" w:hAnsi="宋体" w:cs="宋体"/>
          <w:b/>
          <w:bCs/>
          <w:color w:val="auto"/>
          <w:szCs w:val="21"/>
          <w:highlight w:val="none"/>
          <w:u w:val="single"/>
        </w:rPr>
        <w:t xml:space="preserve"> / 。</w:t>
      </w:r>
    </w:p>
    <w:p w14:paraId="190855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（3）发包人违反第10.1款〔变更的范围〕第（2）项约定，自行实施被取消的工作或转由他人实施的违约责任：</w:t>
      </w:r>
      <w:r>
        <w:rPr>
          <w:rFonts w:hint="eastAsia" w:ascii="宋体" w:hAnsi="宋体" w:cs="宋体"/>
          <w:b/>
          <w:bCs/>
          <w:color w:val="auto"/>
          <w:szCs w:val="21"/>
          <w:highlight w:val="none"/>
          <w:u w:val="single"/>
        </w:rPr>
        <w:t xml:space="preserve"> / 。</w:t>
      </w:r>
    </w:p>
    <w:p w14:paraId="6FBCDE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b/>
          <w:bCs/>
          <w:color w:val="auto"/>
          <w:szCs w:val="21"/>
          <w:highlight w:val="none"/>
          <w:u w:val="single"/>
        </w:rPr>
        <w:t xml:space="preserve"> /  。</w:t>
      </w:r>
    </w:p>
    <w:p w14:paraId="3BBAA1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（5）因发包人违反合同约定造成暂停施工的违约责任：</w:t>
      </w:r>
      <w:r>
        <w:rPr>
          <w:rFonts w:hint="eastAsia" w:ascii="宋体" w:hAnsi="宋体" w:cs="宋体"/>
          <w:b/>
          <w:bCs/>
          <w:color w:val="auto"/>
          <w:szCs w:val="21"/>
          <w:highlight w:val="none"/>
          <w:u w:val="single"/>
        </w:rPr>
        <w:t xml:space="preserve"> / 。</w:t>
      </w:r>
    </w:p>
    <w:p w14:paraId="01CDC5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（6）发包人无正当理由没有在约定期限内发出复工指示，导致承包人无法复工的违约责任：</w:t>
      </w:r>
      <w:r>
        <w:rPr>
          <w:rFonts w:hint="eastAsia" w:ascii="宋体" w:hAnsi="宋体" w:cs="宋体"/>
          <w:b/>
          <w:bCs/>
          <w:color w:val="auto"/>
          <w:szCs w:val="21"/>
          <w:highlight w:val="none"/>
          <w:u w:val="single"/>
        </w:rPr>
        <w:t xml:space="preserve"> / 。</w:t>
      </w:r>
    </w:p>
    <w:p w14:paraId="4E0F5F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w:t>
      </w:r>
      <w:r>
        <w:rPr>
          <w:rFonts w:hint="eastAsia" w:ascii="宋体" w:hAnsi="宋体" w:cs="宋体"/>
          <w:b/>
          <w:bCs/>
          <w:color w:val="auto"/>
          <w:szCs w:val="21"/>
          <w:highlight w:val="none"/>
          <w:u w:val="single"/>
        </w:rPr>
        <w:t xml:space="preserve"> /  。</w:t>
      </w:r>
    </w:p>
    <w:p w14:paraId="3ECF57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336D8A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承包人按16.1.1项〔发包人违约的情形〕约定暂停施工满 28 天后发包人仍不纠正其违约行为并致使合同目的不能实现的，承包人有权解除合同。</w:t>
      </w:r>
    </w:p>
    <w:p w14:paraId="0C53E6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承包人违约</w:t>
      </w:r>
    </w:p>
    <w:p w14:paraId="09BDFD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16.2.1 承包人违约的情形</w:t>
      </w:r>
    </w:p>
    <w:p w14:paraId="58B820D8">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承包人违约的其他情形：</w:t>
      </w:r>
      <w:r>
        <w:rPr>
          <w:rFonts w:hint="eastAsia" w:ascii="宋体" w:hAnsi="宋体" w:cs="宋体"/>
          <w:b/>
          <w:bCs/>
          <w:color w:val="auto"/>
          <w:szCs w:val="21"/>
          <w:highlight w:val="none"/>
          <w:u w:val="single"/>
        </w:rPr>
        <w:t>承包人发生以下违约行为之一的，根据其违约行为种类，除承包人须根据本合同约定支付违约金外，发包人有权没收履约保证金，并根据其对发包人造成经济损失的程度要求赔偿，此外，发包人亦有权终止合同而不向承包人作任何赔偿或补偿。</w:t>
      </w:r>
    </w:p>
    <w:p w14:paraId="2AD0D5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（1）未经监理工程师同意，撤走已进入工地的施工机械设备，而导致工程施工受到影响的；</w:t>
      </w:r>
    </w:p>
    <w:p w14:paraId="2888A6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（2）未按发包人或监理人的整改要求（包括以巡查例会方式或其他方式另行提出）进行整改并书面递交整改报告的；</w:t>
      </w:r>
    </w:p>
    <w:p w14:paraId="1D5782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（3）未经发包人同意擅自转包或分包的；</w:t>
      </w:r>
    </w:p>
    <w:p w14:paraId="413E64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应严格依法将工资按月足额支付给农民工本人，严禁将工资发放给不具备用工主体资格的组织和个人。承包人对所承包工程项目的农民工工资支付负总责，不得以工程款未到位等为由克扣或拖欠农民工工资，不得将合同应收工程款等经营风险转嫁给农民工。承包人企业的劳动合同管理、用工制度管理、工资支付制度管理等应当遵照国家、省市及地方的相关法规及规定执行，并接受相关主管部门、监管部门等的监督及管理，因承包人欠薪所产生的一切问题及一切责任（包括违约及赔偿责任、社会责任、法律责任）由承包人全权负责。承包人在签订合同时应将农民工工资支付的详细管理方案提交发包人审核，方案应当从各方面（包括但不限于项目农民工实名制管理、项目农民工工资支付管理、拖欠农民工工资“黑名单”管理等）详细说明确保不拖欠农民工工资的管理措施、保证措施及相关承诺。承包人每月需向发包人提交农民工工资支付情况的书面材料，承包人向发包人申请付款时还须同时提交当前未拖欠农民工工资的书面承诺；</w:t>
      </w:r>
    </w:p>
    <w:p w14:paraId="1197AB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（5）因承包人原因发生农民工讨薪、围堵或其他公共事件的，每发生一次承包人需向发包人赔偿人民币1万元，发生上访事件的，承包人需向发包人赔偿人民币1万元/人次；</w:t>
      </w:r>
    </w:p>
    <w:p w14:paraId="02ACBA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（6）其他违反本合同约定的任何行为。</w:t>
      </w:r>
    </w:p>
    <w:p w14:paraId="377251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16.2.2承包人违约的责任</w:t>
      </w:r>
    </w:p>
    <w:p w14:paraId="37A094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承包人违约责任的承担方式和计算方法： 根据承包人的违约情形，发包人可主张承包人承担如下部分或全部的赔偿责任：</w:t>
      </w:r>
    </w:p>
    <w:p w14:paraId="26650E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（1）发包人没收承包人履约保证金；</w:t>
      </w:r>
    </w:p>
    <w:p w14:paraId="0DD72E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（2）及时整改及承担费用的责任；</w:t>
      </w:r>
    </w:p>
    <w:p w14:paraId="1324B0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所需的材料由承包人自行采购。材质、规格、品牌必须符合设计及满足发包人要求。承包人所采购材料不符合约定时，监理和发包人有权要求制止使用，并要求承包人及时更换，造成工期延误的按照工期延误的约定承担违约责任。承包人不予更换不符合要求的材料时，发包人可不予支付下一期进度款，若不更换不符合要求的材料达到3天的，承包人承担2000元的违约金，供应商拒不更换的发包人可以单方解除合同，合同解除的，承包人承担1万元的违约金，给发包人造成损失（包括直接损失、间接损失及为实现权利所支付的所有费用）的，承包人还应赔偿发包人的损失。</w:t>
      </w:r>
    </w:p>
    <w:p w14:paraId="019038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约定承包人违约应承担的违约责任：符合设计文件要求，满足国家规范及验收标准，按国家现行的质量标准一次验收合格。如果不能一次通过相关部门验收合格并通过备案，承包人需向发包人支付暂定合同总价的10%作为质量违约金，并无偿返工、整改，工期不予顺延，逾期完工仍按照工期延误的规定处理；若其中分部分项工程达不到一次性验收合格，承保人需向发包人支付至少合同总价5%/次的违约金，并承担全部返工费用；竣工验收时，如发现存在不可修复的缺陷，发包人将对缺陷进行综合评价，并折合成响应的费用（承包人同意此项费用由发包人确定），此费用为承包人向发包人的赔偿金额。给发包人造成损失（包括直接损失、间接损失及为实现权利所支付的所有费用）的，承包人还应赔偿发包人的损失。承包人应承担的违约金，发包人可在应付工程款中直接扣除。</w:t>
      </w:r>
    </w:p>
    <w:p w14:paraId="14C3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双方约定的承包人其他违约责任：1.在工程实施过程中，因承包人原因造成施工质量、安全等问题的，或者承包人拒不服从监理单位现场人员管理的，监理单位可向承包人开具处罚通知书，并经发包人同意后对承包人处罚金5000元人民币/次。2.如因承包人原因导致发包人单方解除合同的，承包人应承担向发包人支付签约合同总价10%的违约金的违约责任。3.若安全生产、文明施工、环境保护管理及措施未达到要求，承包人应承担因此导致的经济损失、接受执法部门的处罚外，每发生一次，需向承包人支付2000元的违约罚金，情节严重的，发包人有权解除合同。</w:t>
      </w:r>
    </w:p>
    <w:p w14:paraId="282E9D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（7）发包人的违约索赔范围还包括给发包人所造成直接损失、间接损失及为实现权利所支付的所有费用。</w:t>
      </w:r>
    </w:p>
    <w:p w14:paraId="1F5AF2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（8）导致发包人解除合同并重新委托第三方修复、重作或继续未完施工的，承包人须向发包人赔偿因此导致的发包人额外支出；</w:t>
      </w:r>
    </w:p>
    <w:p w14:paraId="7F0861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（9）发包人为解除合同而与承包人发生争议，且争议经合同约定的争议解决机构或裁决机构生效裁决确定发包人有权解除合同的，则为处理争议所发生的一切实际费用须由承包人承担；</w:t>
      </w:r>
    </w:p>
    <w:p w14:paraId="7F9DB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（10）承包人须承担因其违约导致发包人所遭受的第三人索赔；</w:t>
      </w:r>
    </w:p>
    <w:p w14:paraId="61AE54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（11）承包人须承担其违约行为导致发包人所遭受其他实际损害的赔偿责任；</w:t>
      </w:r>
    </w:p>
    <w:p w14:paraId="77E802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（12）其他违约行为按照本合同专用条款约定的违约金支付，所有违约金发包人均可从合同款项、履约保证金、质量保证金中扣除，不足的部分，由承包人应补足 。</w:t>
      </w:r>
    </w:p>
    <w:p w14:paraId="1AA94D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6C007BFF">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关于承包人违约解除合同的特别约定：</w:t>
      </w:r>
      <w:r>
        <w:rPr>
          <w:rFonts w:hint="eastAsia" w:ascii="宋体" w:hAnsi="宋体" w:cs="宋体"/>
          <w:b/>
          <w:bCs/>
          <w:color w:val="auto"/>
          <w:szCs w:val="21"/>
          <w:highlight w:val="none"/>
          <w:u w:val="single"/>
        </w:rPr>
        <w:t xml:space="preserve"> 发包人根据法律规定或合同约定解除本合同的，发包人无须向承包人作任何赔偿或补偿 。</w:t>
      </w:r>
    </w:p>
    <w:p w14:paraId="69A1C8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s="宋体"/>
          <w:b/>
          <w:bCs/>
          <w:color w:val="auto"/>
          <w:szCs w:val="21"/>
          <w:highlight w:val="none"/>
          <w:u w:val="single"/>
        </w:rPr>
        <w:t xml:space="preserve">    /   。</w:t>
      </w:r>
    </w:p>
    <w:p w14:paraId="7E918DC0">
      <w:pPr>
        <w:spacing w:line="360" w:lineRule="auto"/>
        <w:ind w:firstLine="420" w:firstLineChars="200"/>
        <w:rPr>
          <w:rFonts w:hint="eastAsia" w:ascii="宋体" w:hAnsi="宋体" w:cs="宋体"/>
          <w:color w:val="auto"/>
          <w:szCs w:val="21"/>
          <w:highlight w:val="none"/>
        </w:rPr>
      </w:pPr>
      <w:bookmarkStart w:id="1074" w:name="_Toc351203649"/>
      <w:r>
        <w:rPr>
          <w:rFonts w:hint="eastAsia" w:ascii="宋体" w:hAnsi="宋体" w:cs="宋体"/>
          <w:color w:val="auto"/>
          <w:szCs w:val="21"/>
          <w:highlight w:val="none"/>
        </w:rPr>
        <w:t>17. 不可抗力</w:t>
      </w:r>
      <w:bookmarkEnd w:id="1074"/>
      <w:r>
        <w:rPr>
          <w:rFonts w:hint="eastAsia" w:ascii="宋体" w:hAnsi="宋体" w:cs="宋体"/>
          <w:color w:val="auto"/>
          <w:szCs w:val="21"/>
          <w:highlight w:val="none"/>
        </w:rPr>
        <w:t xml:space="preserve"> </w:t>
      </w:r>
      <w:bookmarkEnd w:id="1072"/>
    </w:p>
    <w:p w14:paraId="30F7EE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不可抗力的确认</w:t>
      </w:r>
    </w:p>
    <w:p w14:paraId="328165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除通用合同条款约定的不可抗力事件之外，视为不可抗力的其他情形：</w:t>
      </w:r>
    </w:p>
    <w:p w14:paraId="290E34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（1）火山爆发、泥石流、暴风（雪）、台风、龙卷风、水灾等自然灾害；</w:t>
      </w:r>
    </w:p>
    <w:p w14:paraId="20FB6D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（2）核反应、辐射或放射性污染；</w:t>
      </w:r>
    </w:p>
    <w:p w14:paraId="689E53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（3）空中飞行物体坠落或非发包人或承包人责任造成爆炸、火灾；</w:t>
      </w:r>
    </w:p>
    <w:p w14:paraId="1D0019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（4）公共突发事件；</w:t>
      </w:r>
    </w:p>
    <w:p w14:paraId="27D7D1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（5）因国家政策法规、行业主管部门相关规定所导致的停工等情况。</w:t>
      </w:r>
    </w:p>
    <w:p w14:paraId="1D969B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 不可抗力后果的承担</w:t>
      </w:r>
    </w:p>
    <w:p w14:paraId="35E0F4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17.3.2 补充条款：</w:t>
      </w:r>
    </w:p>
    <w:p w14:paraId="120CF859">
      <w:pPr>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不可抗力的等级范围约定：</w:t>
      </w:r>
      <w:r>
        <w:rPr>
          <w:rFonts w:hint="eastAsia" w:ascii="宋体" w:hAnsi="宋体" w:cs="宋体"/>
          <w:b/>
          <w:bCs/>
          <w:color w:val="auto"/>
          <w:szCs w:val="21"/>
          <w:highlight w:val="none"/>
          <w:u w:val="single"/>
        </w:rPr>
        <w:t>不可抗力需要满足三个条件：即不可预计、不可避免和不能克服。对于人类无法控制的大自然力量所引起的灾害事故应达到被国家权威部门发布且界定为灾害事故的程度。</w:t>
      </w:r>
    </w:p>
    <w:p w14:paraId="16A03B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 因不可抗力解除合同</w:t>
      </w:r>
    </w:p>
    <w:p w14:paraId="1C17C7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 60 天内完成款项的支付。</w:t>
      </w:r>
    </w:p>
    <w:p w14:paraId="574DCBE6">
      <w:pPr>
        <w:spacing w:line="360" w:lineRule="auto"/>
        <w:ind w:firstLine="420" w:firstLineChars="200"/>
        <w:rPr>
          <w:rFonts w:hint="eastAsia" w:ascii="宋体" w:hAnsi="宋体" w:cs="宋体"/>
          <w:color w:val="auto"/>
          <w:szCs w:val="21"/>
          <w:highlight w:val="none"/>
        </w:rPr>
      </w:pPr>
      <w:bookmarkStart w:id="1075" w:name="_Toc351203650"/>
      <w:r>
        <w:rPr>
          <w:rFonts w:hint="eastAsia" w:ascii="宋体" w:hAnsi="宋体" w:cs="宋体"/>
          <w:color w:val="auto"/>
          <w:szCs w:val="21"/>
          <w:highlight w:val="none"/>
        </w:rPr>
        <w:t>18. 保险</w:t>
      </w:r>
      <w:bookmarkEnd w:id="1075"/>
    </w:p>
    <w:bookmarkEnd w:id="1073"/>
    <w:p w14:paraId="5E9412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 工程保险</w:t>
      </w:r>
    </w:p>
    <w:p w14:paraId="718AC142">
      <w:pPr>
        <w:spacing w:line="360" w:lineRule="auto"/>
        <w:ind w:firstLine="420" w:firstLineChars="200"/>
        <w:rPr>
          <w:rFonts w:hint="eastAsia" w:ascii="宋体" w:hAnsi="宋体" w:cs="宋体"/>
          <w:color w:val="auto"/>
          <w:szCs w:val="21"/>
          <w:highlight w:val="none"/>
        </w:rPr>
      </w:pPr>
      <w:bookmarkStart w:id="1076" w:name="_Toc444783348"/>
      <w:bookmarkStart w:id="1077" w:name="_Toc18755"/>
      <w:bookmarkStart w:id="1078" w:name="_Toc432626049"/>
      <w:bookmarkStart w:id="1079" w:name="_Toc462926842"/>
      <w:bookmarkStart w:id="1080" w:name="_Toc21202"/>
      <w:bookmarkStart w:id="1081" w:name="_Toc471372390"/>
      <w:bookmarkStart w:id="1082" w:name="_Toc24796"/>
      <w:r>
        <w:rPr>
          <w:rFonts w:hint="eastAsia" w:ascii="宋体" w:hAnsi="宋体" w:cs="宋体"/>
          <w:color w:val="auto"/>
          <w:szCs w:val="21"/>
          <w:highlight w:val="none"/>
        </w:rPr>
        <w:t>关于工程保险的特别约定：双方约定的投保内容、保险金额、保险费率、保险期限等有关内容如下：</w:t>
      </w:r>
    </w:p>
    <w:p w14:paraId="7324EA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（1）删除合同通用条款18.1；</w:t>
      </w:r>
    </w:p>
    <w:p w14:paraId="6A46FA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依法应该支付的损失赔偿费、抚恤费和其他法律规定应当支付的费用和法律规定应当承担的责任，发包人不承担此责任，如因此给发包人造成损失的，承包人应赔偿发包人因此所遭受的全部损失。</w:t>
      </w:r>
    </w:p>
    <w:p w14:paraId="400564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 工伤保险</w:t>
      </w:r>
      <w:bookmarkEnd w:id="1076"/>
      <w:bookmarkEnd w:id="1077"/>
      <w:bookmarkEnd w:id="1078"/>
      <w:bookmarkEnd w:id="1079"/>
      <w:bookmarkEnd w:id="1080"/>
      <w:bookmarkEnd w:id="1081"/>
      <w:bookmarkEnd w:id="1082"/>
    </w:p>
    <w:p w14:paraId="29FEDE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关于工伤保险的约定：</w:t>
      </w:r>
      <w:r>
        <w:rPr>
          <w:rFonts w:hint="eastAsia" w:ascii="宋体" w:hAnsi="宋体" w:cs="宋体"/>
          <w:b/>
          <w:bCs/>
          <w:color w:val="auto"/>
          <w:szCs w:val="21"/>
          <w:highlight w:val="none"/>
          <w:u w:val="single"/>
        </w:rPr>
        <w:t>按规定办理工伤保险。</w:t>
      </w:r>
    </w:p>
    <w:p w14:paraId="31986F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 其他保险</w:t>
      </w:r>
    </w:p>
    <w:p w14:paraId="400A0E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关于其他保险的约定：</w:t>
      </w:r>
    </w:p>
    <w:p w14:paraId="5CD7F1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（1）意外伤害保险</w:t>
      </w:r>
    </w:p>
    <w:p w14:paraId="63537C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本项目的意外伤害保险应按项目参加意外伤害保险，双方各自负责按实为所属人员办理保险费。</w:t>
      </w:r>
    </w:p>
    <w:p w14:paraId="14DAA87E">
      <w:pPr>
        <w:spacing w:line="360" w:lineRule="auto"/>
        <w:ind w:firstLine="420" w:firstLineChars="200"/>
        <w:rPr>
          <w:rFonts w:hint="eastAsia" w:ascii="宋体" w:hAnsi="宋体" w:cs="宋体"/>
          <w:color w:val="auto"/>
          <w:szCs w:val="21"/>
          <w:highlight w:val="none"/>
        </w:rPr>
      </w:pPr>
      <w:bookmarkStart w:id="1083" w:name="_Hlk34739969"/>
      <w:r>
        <w:rPr>
          <w:rFonts w:hint="eastAsia" w:ascii="宋体" w:hAnsi="宋体" w:cs="宋体"/>
          <w:color w:val="auto"/>
          <w:szCs w:val="21"/>
          <w:highlight w:val="none"/>
        </w:rPr>
        <w:t>（2）</w:t>
      </w:r>
      <w:bookmarkEnd w:id="1083"/>
      <w:bookmarkStart w:id="1084" w:name="_Hlk34767768"/>
      <w:r>
        <w:rPr>
          <w:rFonts w:hint="eastAsia" w:ascii="宋体" w:hAnsi="宋体" w:cs="宋体"/>
          <w:color w:val="auto"/>
          <w:szCs w:val="21"/>
          <w:highlight w:val="none"/>
        </w:rPr>
        <w:t>第三者责任险</w:t>
      </w:r>
    </w:p>
    <w:p w14:paraId="237E93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在缺陷责任期终止证书颁发前，承包人须以承包人和发包人的共同名义，投保第三者责任险，保险金额及费率由承包人与发包人同意的保险人商定。</w:t>
      </w:r>
    </w:p>
    <w:p w14:paraId="49E523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承包人是否应为其施工设备等办理财产保险：</w:t>
      </w:r>
      <w:r>
        <w:rPr>
          <w:rFonts w:hint="eastAsia" w:ascii="宋体" w:hAnsi="宋体" w:cs="宋体"/>
          <w:b/>
          <w:bCs/>
          <w:color w:val="auto"/>
          <w:szCs w:val="21"/>
          <w:highlight w:val="none"/>
          <w:u w:val="single"/>
        </w:rPr>
        <w:t>是。</w:t>
      </w:r>
    </w:p>
    <w:bookmarkEnd w:id="1084"/>
    <w:p w14:paraId="768140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保险事故发生时，承包人有责任尽力采取必要的措施，防止或者减少损失。</w:t>
      </w:r>
    </w:p>
    <w:p w14:paraId="579AA2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 通知义务</w:t>
      </w:r>
    </w:p>
    <w:p w14:paraId="62678B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关于变更保险合同时的通知义务的约定：</w:t>
      </w:r>
      <w:r>
        <w:rPr>
          <w:rFonts w:hint="eastAsia" w:ascii="宋体" w:hAnsi="宋体" w:cs="宋体"/>
          <w:b/>
          <w:bCs/>
          <w:color w:val="auto"/>
          <w:szCs w:val="21"/>
          <w:highlight w:val="none"/>
          <w:u w:val="single"/>
        </w:rPr>
        <w:t xml:space="preserve"> 按通用条款执行 。</w:t>
      </w:r>
    </w:p>
    <w:bookmarkEnd w:id="1049"/>
    <w:bookmarkEnd w:id="1050"/>
    <w:bookmarkEnd w:id="1051"/>
    <w:bookmarkEnd w:id="1052"/>
    <w:bookmarkEnd w:id="1053"/>
    <w:bookmarkEnd w:id="1054"/>
    <w:bookmarkEnd w:id="1055"/>
    <w:bookmarkEnd w:id="1056"/>
    <w:bookmarkEnd w:id="1057"/>
    <w:bookmarkEnd w:id="1058"/>
    <w:bookmarkEnd w:id="1059"/>
    <w:bookmarkEnd w:id="1060"/>
    <w:p w14:paraId="3970A692">
      <w:pPr>
        <w:spacing w:line="360" w:lineRule="auto"/>
        <w:ind w:firstLine="420" w:firstLineChars="200"/>
        <w:rPr>
          <w:rFonts w:hint="eastAsia" w:ascii="宋体" w:hAnsi="宋体" w:cs="宋体"/>
          <w:color w:val="auto"/>
          <w:szCs w:val="21"/>
          <w:highlight w:val="none"/>
        </w:rPr>
      </w:pPr>
      <w:bookmarkStart w:id="1085" w:name="_Toc351203651"/>
      <w:r>
        <w:rPr>
          <w:rFonts w:hint="eastAsia" w:ascii="宋体" w:hAnsi="宋体" w:cs="宋体"/>
          <w:color w:val="auto"/>
          <w:szCs w:val="21"/>
          <w:highlight w:val="none"/>
        </w:rPr>
        <w:t>20. 争议解决</w:t>
      </w:r>
      <w:bookmarkEnd w:id="1085"/>
    </w:p>
    <w:bookmarkEnd w:id="1061"/>
    <w:bookmarkEnd w:id="1062"/>
    <w:p w14:paraId="31B2F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争</w:t>
      </w:r>
      <w:bookmarkEnd w:id="1063"/>
      <w:r>
        <w:rPr>
          <w:rFonts w:hint="eastAsia" w:ascii="宋体" w:hAnsi="宋体" w:cs="宋体"/>
          <w:color w:val="auto"/>
          <w:szCs w:val="21"/>
          <w:highlight w:val="none"/>
        </w:rPr>
        <w:t>议评审</w:t>
      </w:r>
    </w:p>
    <w:p w14:paraId="3A014D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b/>
          <w:bCs/>
          <w:color w:val="auto"/>
          <w:szCs w:val="21"/>
          <w:highlight w:val="none"/>
          <w:u w:val="single"/>
        </w:rPr>
        <w:t xml:space="preserve"> 采取争议评审方式解决争议 。</w:t>
      </w:r>
    </w:p>
    <w:p w14:paraId="5EF71D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20.3.1 争议评审小组的确定</w:t>
      </w:r>
    </w:p>
    <w:p w14:paraId="494424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争议评审小组成员的确定：</w:t>
      </w:r>
    </w:p>
    <w:p w14:paraId="563D0C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（1）争议评审组由三人或五人组成，专家的聘请方法可由发包人和承包人共同协商确定，或请行政主管部门推荐或通过合同争议调解机构聘请，并经双方认同。</w:t>
      </w:r>
    </w:p>
    <w:p w14:paraId="7F127B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选择三名争议评审员的，各自选定一名，第三名成员为首席争议评审员，选择五名争议评审员的，各自选定两名，第五名成员为首席争议评审员。首席争议评审员由合同当事人共同确定或由合同当事人委托已选定的争议评审员共同确定，或由行政主管部门指定首席争议评审员，或通过合同争议调解机构指定。</w:t>
      </w:r>
    </w:p>
    <w:p w14:paraId="031215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选定争议评审员的期限：合同当事人应当自合同签订后60天内，或者争议发生后30天内，选定争议评审员  。</w:t>
      </w:r>
    </w:p>
    <w:p w14:paraId="67C2C9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争议评审小组成员的报酬承担方式：争议评审组的各项费用由发包人和承包人平均分摊 。</w:t>
      </w:r>
    </w:p>
    <w:p w14:paraId="36B4F9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其他事项的约定：争议评审组成员应与合同双方均无利害关系 。</w:t>
      </w:r>
    </w:p>
    <w:p w14:paraId="57C3D5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20.3.2 争议评审小组的决定</w:t>
      </w:r>
    </w:p>
    <w:p w14:paraId="0EE9E3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b/>
          <w:bCs/>
          <w:color w:val="auto"/>
          <w:szCs w:val="21"/>
          <w:highlight w:val="none"/>
          <w:u w:val="single"/>
        </w:rPr>
        <w:t>按通用条款执行 。</w:t>
      </w:r>
    </w:p>
    <w:p w14:paraId="3DC218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20.4仲裁或诉讼</w:t>
      </w:r>
      <w:bookmarkEnd w:id="1064"/>
    </w:p>
    <w:p w14:paraId="5A3D64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w:t>
      </w:r>
      <w:r>
        <w:rPr>
          <w:rFonts w:hint="eastAsia" w:ascii="宋体" w:hAnsi="宋体" w:cs="宋体"/>
          <w:b/>
          <w:bCs/>
          <w:color w:val="auto"/>
          <w:szCs w:val="21"/>
          <w:highlight w:val="none"/>
          <w:u w:val="single"/>
        </w:rPr>
        <w:t>第（2）种</w:t>
      </w:r>
      <w:r>
        <w:rPr>
          <w:rFonts w:hint="eastAsia" w:ascii="宋体" w:hAnsi="宋体" w:cs="宋体"/>
          <w:color w:val="auto"/>
          <w:szCs w:val="21"/>
          <w:highlight w:val="none"/>
        </w:rPr>
        <w:t>方式解决：</w:t>
      </w:r>
    </w:p>
    <w:p w14:paraId="003CFD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（1）向 / 仲裁委员会申请仲裁；</w:t>
      </w:r>
    </w:p>
    <w:p w14:paraId="3EE019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（2）向 </w:t>
      </w:r>
      <w:r>
        <w:rPr>
          <w:rFonts w:hint="eastAsia" w:ascii="宋体" w:hAnsi="宋体" w:cs="宋体"/>
          <w:b/>
          <w:bCs/>
          <w:color w:val="auto"/>
          <w:szCs w:val="21"/>
          <w:highlight w:val="none"/>
          <w:u w:val="single"/>
        </w:rPr>
        <w:t>工程</w:t>
      </w:r>
      <w:r>
        <w:rPr>
          <w:rFonts w:hint="eastAsia" w:ascii="宋体" w:hAnsi="宋体" w:cs="宋体"/>
          <w:color w:val="auto"/>
          <w:szCs w:val="21"/>
          <w:highlight w:val="none"/>
        </w:rPr>
        <w:t xml:space="preserve"> 所在地人民法院起诉。</w:t>
      </w:r>
      <w:bookmarkEnd w:id="1065"/>
      <w:bookmarkEnd w:id="1066"/>
      <w:bookmarkEnd w:id="1067"/>
      <w:bookmarkEnd w:id="1068"/>
      <w:bookmarkEnd w:id="1069"/>
      <w:bookmarkEnd w:id="1070"/>
    </w:p>
    <w:p w14:paraId="363960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协议书补充条款：</w:t>
      </w:r>
    </w:p>
    <w:p w14:paraId="523E79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1.承包人在施工过程中，不得损害发包人的利益。若由于承包人原因，致使发包人利益受损，承包人须承担责任。</w:t>
      </w:r>
    </w:p>
    <w:p w14:paraId="41CB0D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在施工全过程中必须严格遵守响应文件中对质量、工期、施工工艺技术等所有承诺，发包人有权进行符合性监督。若承包人在施工过程中所提供的质量、工期、施工工艺技术与其承诺不符，发包人有权提出索赔。</w:t>
      </w:r>
    </w:p>
    <w:p w14:paraId="25D05A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3.设备在保修期内发生故障，承包人应在收到用户设备故障报告后24小时内做出响应，指导用户排除故障或派技术人员到现场提供免费技术服务。</w:t>
      </w:r>
    </w:p>
    <w:p w14:paraId="453B62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4.承包人需提供维护工具和设备，确定这些工具和设备的依据如下：提供更换模块和部件的任何方面的维护所需的所有特殊用途的工具。除所需的维护工具和设备外，应含专用维修仪器仪表和维修工具。</w:t>
      </w:r>
    </w:p>
    <w:p w14:paraId="1250C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在保修期内如设备出现故障、承包人应立即对发包人的故障设备进行免费修理或更换，并在发包人要求的时限内完成更换、修理及返工作。若由于承包人的迟延造成发包人不能正常工作或致使返修的故障设备超过保修期，则由此产生的修理费用及发包人损失由承包人负责。</w:t>
      </w:r>
    </w:p>
    <w:p w14:paraId="3EEC30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6.本合同未尽约定，参照磋商文件实质性要求及响应文件实质性承诺执行。</w:t>
      </w:r>
    </w:p>
    <w:p w14:paraId="06047274">
      <w:pPr>
        <w:spacing w:line="360" w:lineRule="auto"/>
        <w:ind w:firstLine="420" w:firstLineChars="200"/>
        <w:jc w:val="center"/>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工程质量保修书</w:t>
      </w:r>
    </w:p>
    <w:p w14:paraId="73A786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发包人（全称）：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 xml:space="preserve">              </w:t>
      </w:r>
    </w:p>
    <w:p w14:paraId="7CD1B6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承包人（全称）：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 xml:space="preserve">                          </w:t>
      </w:r>
    </w:p>
    <w:p w14:paraId="145F62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hint="eastAsia" w:ascii="宋体" w:hAnsi="宋体" w:cs="宋体"/>
          <w:color w:val="auto"/>
          <w:szCs w:val="21"/>
          <w:highlight w:val="none"/>
          <w:lang w:eastAsia="zh-CN"/>
        </w:rPr>
        <w:t>大理护理职业学院眼健康产业学院（一期）建设项目（一标段）</w:t>
      </w:r>
      <w:r>
        <w:rPr>
          <w:rFonts w:hint="eastAsia" w:ascii="宋体" w:hAnsi="宋体" w:cs="宋体"/>
          <w:color w:val="auto"/>
          <w:szCs w:val="21"/>
          <w:highlight w:val="none"/>
        </w:rPr>
        <w:t>与</w:t>
      </w:r>
      <w:r>
        <w:rPr>
          <w:rFonts w:hint="eastAsia" w:ascii="宋体" w:hAnsi="宋体" w:cs="宋体"/>
          <w:color w:val="auto"/>
          <w:szCs w:val="21"/>
          <w:highlight w:val="none"/>
          <w:u w:val="single"/>
        </w:rPr>
        <w:t xml:space="preserve">         签订</w:t>
      </w:r>
      <w:r>
        <w:rPr>
          <w:rFonts w:hint="eastAsia" w:ascii="宋体" w:hAnsi="宋体" w:cs="宋体"/>
          <w:color w:val="auto"/>
          <w:szCs w:val="21"/>
          <w:highlight w:val="none"/>
        </w:rPr>
        <w:t>工程质量保修书。</w:t>
      </w:r>
    </w:p>
    <w:p w14:paraId="2A524B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一、工程质量保修范围和内容</w:t>
      </w:r>
    </w:p>
    <w:p w14:paraId="321E8B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58DC99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1EF53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大理护理职业学院眼健康产业学院（一期）建设项目（一标段）</w:t>
      </w:r>
      <w:r>
        <w:rPr>
          <w:rFonts w:hint="eastAsia" w:ascii="宋体" w:hAnsi="宋体" w:cs="宋体"/>
          <w:color w:val="auto"/>
          <w:szCs w:val="21"/>
          <w:highlight w:val="none"/>
        </w:rPr>
        <w:t xml:space="preserve"> 项目质量保修范围内为在保修期内出现的所有质量缺陷。</w:t>
      </w:r>
    </w:p>
    <w:p w14:paraId="756A45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二、质量保修期</w:t>
      </w:r>
    </w:p>
    <w:p w14:paraId="090A72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70CE5F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1．地基基础工程和主体结构工程为设计文件规定的工程合理使用年限；</w:t>
      </w:r>
    </w:p>
    <w:p w14:paraId="38296E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2．电气管线、给排水管道、设备安装工程为2年；</w:t>
      </w:r>
    </w:p>
    <w:p w14:paraId="289034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3．其他项目保修期限约定如下：设备保修期不少于24个月，时间从工程竣工验收合格之日起计算 。</w:t>
      </w:r>
    </w:p>
    <w:p w14:paraId="3F2FE0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2AC348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三、缺陷责任期</w:t>
      </w:r>
    </w:p>
    <w:p w14:paraId="20B454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工程缺陷责任期为24个月，缺陷责任期自工程通过竣工验收之日起计算。单位工程先于全部工程进行验收，单位工程缺陷责任期自单位工程验收合格之日起算。</w:t>
      </w:r>
    </w:p>
    <w:p w14:paraId="4120DC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24BF51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四、质量保修责任</w:t>
      </w:r>
    </w:p>
    <w:p w14:paraId="5AA4E9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1．属于保修范围、内容的项目，承包人应当在接到保修通知之日起8小时内派人保修。承包人不在约定期限内派人保修的，发包人可以委托他人修理，因此发生的费用由承包人承担。</w:t>
      </w:r>
    </w:p>
    <w:p w14:paraId="03A147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5D3C16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3FAF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573470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五、保修费用</w:t>
      </w:r>
    </w:p>
    <w:p w14:paraId="11D402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0D797D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六、双方约定的其他工程质量保修事项：</w:t>
      </w:r>
      <w:r>
        <w:rPr>
          <w:rFonts w:hint="eastAsia" w:ascii="宋体" w:hAnsi="宋体" w:cs="宋体"/>
          <w:b/>
          <w:bCs/>
          <w:color w:val="auto"/>
          <w:szCs w:val="21"/>
          <w:highlight w:val="none"/>
          <w:u w:val="single"/>
        </w:rPr>
        <w:t xml:space="preserve">  无  。</w:t>
      </w:r>
    </w:p>
    <w:p w14:paraId="08DFC2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0B3D9803">
      <w:pPr>
        <w:spacing w:line="360" w:lineRule="auto"/>
        <w:ind w:firstLine="420" w:firstLineChars="200"/>
        <w:rPr>
          <w:rFonts w:hint="eastAsia" w:ascii="宋体" w:hAnsi="宋体" w:cs="宋体"/>
          <w:color w:val="auto"/>
          <w:szCs w:val="21"/>
          <w:highlight w:val="none"/>
        </w:rPr>
      </w:pPr>
    </w:p>
    <w:tbl>
      <w:tblPr>
        <w:tblStyle w:val="87"/>
        <w:tblpPr w:leftFromText="180" w:rightFromText="180" w:vertAnchor="text" w:horzAnchor="page" w:tblpX="1270" w:tblpY="285"/>
        <w:tblOverlap w:val="never"/>
        <w:tblW w:w="5000" w:type="pct"/>
        <w:tblInd w:w="0" w:type="dxa"/>
        <w:tblLayout w:type="autofit"/>
        <w:tblCellMar>
          <w:top w:w="0" w:type="dxa"/>
          <w:left w:w="108" w:type="dxa"/>
          <w:bottom w:w="0" w:type="dxa"/>
          <w:right w:w="108" w:type="dxa"/>
        </w:tblCellMar>
      </w:tblPr>
      <w:tblGrid>
        <w:gridCol w:w="1325"/>
        <w:gridCol w:w="3347"/>
        <w:gridCol w:w="1263"/>
        <w:gridCol w:w="4027"/>
      </w:tblGrid>
      <w:tr w14:paraId="01969D42">
        <w:tblPrEx>
          <w:tblCellMar>
            <w:top w:w="0" w:type="dxa"/>
            <w:left w:w="108" w:type="dxa"/>
            <w:bottom w:w="0" w:type="dxa"/>
            <w:right w:w="108" w:type="dxa"/>
          </w:tblCellMar>
        </w:tblPrEx>
        <w:tc>
          <w:tcPr>
            <w:tcW w:w="665" w:type="pct"/>
            <w:vAlign w:val="center"/>
          </w:tcPr>
          <w:p w14:paraId="54FD61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 包 人：</w:t>
            </w:r>
          </w:p>
        </w:tc>
        <w:tc>
          <w:tcPr>
            <w:tcW w:w="1680" w:type="pct"/>
            <w:vAlign w:val="center"/>
          </w:tcPr>
          <w:p w14:paraId="17808E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（公章）</w:t>
            </w:r>
          </w:p>
        </w:tc>
        <w:tc>
          <w:tcPr>
            <w:tcW w:w="634" w:type="pct"/>
            <w:vAlign w:val="center"/>
          </w:tcPr>
          <w:p w14:paraId="39D780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承 包 人：</w:t>
            </w:r>
          </w:p>
        </w:tc>
        <w:tc>
          <w:tcPr>
            <w:tcW w:w="2021" w:type="pct"/>
            <w:vAlign w:val="center"/>
          </w:tcPr>
          <w:p w14:paraId="1B5AB3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(公章)</w:t>
            </w:r>
          </w:p>
        </w:tc>
      </w:tr>
      <w:tr w14:paraId="2285E352">
        <w:tblPrEx>
          <w:tblCellMar>
            <w:top w:w="0" w:type="dxa"/>
            <w:left w:w="108" w:type="dxa"/>
            <w:bottom w:w="0" w:type="dxa"/>
            <w:right w:w="108" w:type="dxa"/>
          </w:tblCellMar>
        </w:tblPrEx>
        <w:trPr>
          <w:trHeight w:val="1551" w:hRule="atLeast"/>
        </w:trPr>
        <w:tc>
          <w:tcPr>
            <w:tcW w:w="665" w:type="pct"/>
            <w:vAlign w:val="center"/>
          </w:tcPr>
          <w:p w14:paraId="0A1B9D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1680" w:type="pct"/>
            <w:vAlign w:val="center"/>
          </w:tcPr>
          <w:p w14:paraId="6068D9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p>
        </w:tc>
        <w:tc>
          <w:tcPr>
            <w:tcW w:w="634" w:type="pct"/>
            <w:vAlign w:val="center"/>
          </w:tcPr>
          <w:p w14:paraId="316D04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2021" w:type="pct"/>
            <w:vAlign w:val="center"/>
          </w:tcPr>
          <w:p w14:paraId="3E4971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（签字）</w:t>
            </w:r>
          </w:p>
        </w:tc>
      </w:tr>
      <w:tr w14:paraId="6A85F82B">
        <w:tblPrEx>
          <w:tblCellMar>
            <w:top w:w="0" w:type="dxa"/>
            <w:left w:w="108" w:type="dxa"/>
            <w:bottom w:w="0" w:type="dxa"/>
            <w:right w:w="108" w:type="dxa"/>
          </w:tblCellMar>
        </w:tblPrEx>
        <w:tc>
          <w:tcPr>
            <w:tcW w:w="665" w:type="pct"/>
            <w:vAlign w:val="center"/>
          </w:tcPr>
          <w:p w14:paraId="056E7C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1680" w:type="pct"/>
            <w:vAlign w:val="center"/>
          </w:tcPr>
          <w:p w14:paraId="7AAE3804">
            <w:pPr>
              <w:spacing w:line="360" w:lineRule="auto"/>
              <w:ind w:firstLine="420" w:firstLineChars="200"/>
              <w:rPr>
                <w:rFonts w:hint="eastAsia" w:ascii="宋体" w:hAnsi="宋体" w:cs="宋体"/>
                <w:color w:val="auto"/>
                <w:szCs w:val="21"/>
                <w:highlight w:val="none"/>
              </w:rPr>
            </w:pPr>
          </w:p>
        </w:tc>
        <w:tc>
          <w:tcPr>
            <w:tcW w:w="634" w:type="pct"/>
            <w:vAlign w:val="center"/>
          </w:tcPr>
          <w:p w14:paraId="08A7F4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21" w:type="pct"/>
            <w:vAlign w:val="center"/>
          </w:tcPr>
          <w:p w14:paraId="2E4D67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        </w:t>
            </w:r>
          </w:p>
        </w:tc>
      </w:tr>
      <w:tr w14:paraId="4C4F22CD">
        <w:tblPrEx>
          <w:tblCellMar>
            <w:top w:w="0" w:type="dxa"/>
            <w:left w:w="108" w:type="dxa"/>
            <w:bottom w:w="0" w:type="dxa"/>
            <w:right w:w="108" w:type="dxa"/>
          </w:tblCellMar>
        </w:tblPrEx>
        <w:trPr>
          <w:trHeight w:val="1530" w:hRule="atLeast"/>
        </w:trPr>
        <w:tc>
          <w:tcPr>
            <w:tcW w:w="665" w:type="pct"/>
            <w:vAlign w:val="center"/>
          </w:tcPr>
          <w:p w14:paraId="308E8A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p>
        </w:tc>
        <w:tc>
          <w:tcPr>
            <w:tcW w:w="1680" w:type="pct"/>
            <w:vAlign w:val="center"/>
          </w:tcPr>
          <w:p w14:paraId="6766F407">
            <w:pPr>
              <w:spacing w:line="360" w:lineRule="auto"/>
              <w:rPr>
                <w:rFonts w:hint="eastAsia" w:ascii="宋体" w:hAnsi="宋体" w:cs="宋体"/>
                <w:color w:val="auto"/>
                <w:szCs w:val="21"/>
                <w:highlight w:val="none"/>
              </w:rPr>
            </w:pPr>
          </w:p>
        </w:tc>
        <w:tc>
          <w:tcPr>
            <w:tcW w:w="634" w:type="pct"/>
            <w:vAlign w:val="center"/>
          </w:tcPr>
          <w:p w14:paraId="73ACAD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p>
        </w:tc>
        <w:tc>
          <w:tcPr>
            <w:tcW w:w="2021" w:type="pct"/>
            <w:vAlign w:val="center"/>
          </w:tcPr>
          <w:p w14:paraId="4286E6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        </w:t>
            </w:r>
          </w:p>
        </w:tc>
      </w:tr>
      <w:tr w14:paraId="42406B58">
        <w:tblPrEx>
          <w:tblCellMar>
            <w:top w:w="0" w:type="dxa"/>
            <w:left w:w="108" w:type="dxa"/>
            <w:bottom w:w="0" w:type="dxa"/>
            <w:right w:w="108" w:type="dxa"/>
          </w:tblCellMar>
        </w:tblPrEx>
        <w:trPr>
          <w:trHeight w:val="645" w:hRule="atLeast"/>
        </w:trPr>
        <w:tc>
          <w:tcPr>
            <w:tcW w:w="665" w:type="pct"/>
            <w:vAlign w:val="center"/>
          </w:tcPr>
          <w:p w14:paraId="12F6DE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1680" w:type="pct"/>
            <w:vAlign w:val="center"/>
          </w:tcPr>
          <w:p w14:paraId="23B5432E">
            <w:pPr>
              <w:spacing w:line="360" w:lineRule="auto"/>
              <w:ind w:firstLine="420" w:firstLineChars="200"/>
              <w:rPr>
                <w:rFonts w:hint="eastAsia" w:ascii="宋体" w:hAnsi="宋体" w:cs="宋体"/>
                <w:color w:val="auto"/>
                <w:szCs w:val="21"/>
                <w:highlight w:val="none"/>
              </w:rPr>
            </w:pPr>
          </w:p>
        </w:tc>
        <w:tc>
          <w:tcPr>
            <w:tcW w:w="634" w:type="pct"/>
            <w:vAlign w:val="center"/>
          </w:tcPr>
          <w:p w14:paraId="7BDEFA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021" w:type="pct"/>
            <w:vAlign w:val="center"/>
          </w:tcPr>
          <w:p w14:paraId="343722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        </w:t>
            </w:r>
          </w:p>
        </w:tc>
      </w:tr>
      <w:tr w14:paraId="0F8F84CC">
        <w:tblPrEx>
          <w:tblCellMar>
            <w:top w:w="0" w:type="dxa"/>
            <w:left w:w="108" w:type="dxa"/>
            <w:bottom w:w="0" w:type="dxa"/>
            <w:right w:w="108" w:type="dxa"/>
          </w:tblCellMar>
        </w:tblPrEx>
        <w:tc>
          <w:tcPr>
            <w:tcW w:w="665" w:type="pct"/>
            <w:vAlign w:val="center"/>
          </w:tcPr>
          <w:p w14:paraId="3C62F59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1680" w:type="pct"/>
            <w:vAlign w:val="center"/>
          </w:tcPr>
          <w:p w14:paraId="3B75A8C2">
            <w:pPr>
              <w:spacing w:line="360" w:lineRule="auto"/>
              <w:ind w:firstLine="420" w:firstLineChars="200"/>
              <w:rPr>
                <w:rFonts w:hint="eastAsia" w:ascii="宋体" w:hAnsi="宋体" w:cs="宋体"/>
                <w:color w:val="auto"/>
                <w:szCs w:val="21"/>
                <w:highlight w:val="none"/>
              </w:rPr>
            </w:pPr>
          </w:p>
        </w:tc>
        <w:tc>
          <w:tcPr>
            <w:tcW w:w="634" w:type="pct"/>
            <w:vAlign w:val="center"/>
          </w:tcPr>
          <w:p w14:paraId="2BD7E5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021" w:type="pct"/>
            <w:vAlign w:val="center"/>
          </w:tcPr>
          <w:p w14:paraId="14941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        </w:t>
            </w:r>
          </w:p>
        </w:tc>
      </w:tr>
      <w:tr w14:paraId="0B9B7F0C">
        <w:tblPrEx>
          <w:tblCellMar>
            <w:top w:w="0" w:type="dxa"/>
            <w:left w:w="108" w:type="dxa"/>
            <w:bottom w:w="0" w:type="dxa"/>
            <w:right w:w="108" w:type="dxa"/>
          </w:tblCellMar>
        </w:tblPrEx>
        <w:tc>
          <w:tcPr>
            <w:tcW w:w="665" w:type="pct"/>
            <w:vAlign w:val="center"/>
          </w:tcPr>
          <w:p w14:paraId="0FE631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1680" w:type="pct"/>
            <w:vAlign w:val="center"/>
          </w:tcPr>
          <w:p w14:paraId="0D0B4EE0">
            <w:pPr>
              <w:spacing w:line="360" w:lineRule="auto"/>
              <w:ind w:firstLine="420" w:firstLineChars="200"/>
              <w:rPr>
                <w:rFonts w:hint="eastAsia" w:ascii="宋体" w:hAnsi="宋体" w:cs="宋体"/>
                <w:color w:val="auto"/>
                <w:szCs w:val="21"/>
                <w:highlight w:val="none"/>
              </w:rPr>
            </w:pPr>
          </w:p>
        </w:tc>
        <w:tc>
          <w:tcPr>
            <w:tcW w:w="634" w:type="pct"/>
            <w:vAlign w:val="center"/>
          </w:tcPr>
          <w:p w14:paraId="05DDA9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021" w:type="pct"/>
            <w:vAlign w:val="center"/>
          </w:tcPr>
          <w:p w14:paraId="23B256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        </w:t>
            </w:r>
          </w:p>
        </w:tc>
      </w:tr>
      <w:tr w14:paraId="5AA8D899">
        <w:tblPrEx>
          <w:tblCellMar>
            <w:top w:w="0" w:type="dxa"/>
            <w:left w:w="108" w:type="dxa"/>
            <w:bottom w:w="0" w:type="dxa"/>
            <w:right w:w="108" w:type="dxa"/>
          </w:tblCellMar>
        </w:tblPrEx>
        <w:tc>
          <w:tcPr>
            <w:tcW w:w="665" w:type="pct"/>
            <w:vAlign w:val="center"/>
          </w:tcPr>
          <w:p w14:paraId="6765B8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电子信箱：</w:t>
            </w:r>
          </w:p>
        </w:tc>
        <w:tc>
          <w:tcPr>
            <w:tcW w:w="1680" w:type="pct"/>
            <w:vAlign w:val="center"/>
          </w:tcPr>
          <w:p w14:paraId="446EF786">
            <w:pPr>
              <w:spacing w:line="360" w:lineRule="auto"/>
              <w:ind w:firstLine="420" w:firstLineChars="200"/>
              <w:rPr>
                <w:rFonts w:hint="eastAsia" w:ascii="宋体" w:hAnsi="宋体" w:cs="宋体"/>
                <w:color w:val="auto"/>
                <w:szCs w:val="21"/>
                <w:highlight w:val="none"/>
              </w:rPr>
            </w:pPr>
          </w:p>
        </w:tc>
        <w:tc>
          <w:tcPr>
            <w:tcW w:w="634" w:type="pct"/>
            <w:vAlign w:val="center"/>
          </w:tcPr>
          <w:p w14:paraId="701A96D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电子信箱：</w:t>
            </w:r>
          </w:p>
        </w:tc>
        <w:tc>
          <w:tcPr>
            <w:tcW w:w="2021" w:type="pct"/>
            <w:vAlign w:val="center"/>
          </w:tcPr>
          <w:p w14:paraId="471A65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        </w:t>
            </w:r>
          </w:p>
        </w:tc>
      </w:tr>
      <w:tr w14:paraId="1C17315F">
        <w:tblPrEx>
          <w:tblCellMar>
            <w:top w:w="0" w:type="dxa"/>
            <w:left w:w="108" w:type="dxa"/>
            <w:bottom w:w="0" w:type="dxa"/>
            <w:right w:w="108" w:type="dxa"/>
          </w:tblCellMar>
        </w:tblPrEx>
        <w:tc>
          <w:tcPr>
            <w:tcW w:w="665" w:type="pct"/>
            <w:vAlign w:val="center"/>
          </w:tcPr>
          <w:p w14:paraId="1A8A509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680" w:type="pct"/>
            <w:vAlign w:val="center"/>
          </w:tcPr>
          <w:p w14:paraId="4742264A">
            <w:pPr>
              <w:spacing w:line="360" w:lineRule="auto"/>
              <w:ind w:firstLine="420" w:firstLineChars="200"/>
              <w:rPr>
                <w:rFonts w:hint="eastAsia" w:ascii="宋体" w:hAnsi="宋体" w:cs="宋体"/>
                <w:color w:val="auto"/>
                <w:szCs w:val="21"/>
                <w:highlight w:val="none"/>
              </w:rPr>
            </w:pPr>
          </w:p>
        </w:tc>
        <w:tc>
          <w:tcPr>
            <w:tcW w:w="634" w:type="pct"/>
            <w:vAlign w:val="center"/>
          </w:tcPr>
          <w:p w14:paraId="4FC3CDA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021" w:type="pct"/>
            <w:vAlign w:val="center"/>
          </w:tcPr>
          <w:p w14:paraId="25B497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         </w:t>
            </w:r>
          </w:p>
        </w:tc>
      </w:tr>
      <w:tr w14:paraId="23895548">
        <w:tblPrEx>
          <w:tblCellMar>
            <w:top w:w="0" w:type="dxa"/>
            <w:left w:w="108" w:type="dxa"/>
            <w:bottom w:w="0" w:type="dxa"/>
            <w:right w:w="108" w:type="dxa"/>
          </w:tblCellMar>
        </w:tblPrEx>
        <w:tc>
          <w:tcPr>
            <w:tcW w:w="665" w:type="pct"/>
            <w:vAlign w:val="center"/>
          </w:tcPr>
          <w:p w14:paraId="40CDD5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p>
        </w:tc>
        <w:tc>
          <w:tcPr>
            <w:tcW w:w="1680" w:type="pct"/>
            <w:vAlign w:val="center"/>
          </w:tcPr>
          <w:p w14:paraId="3386DD2A">
            <w:pPr>
              <w:spacing w:line="360" w:lineRule="auto"/>
              <w:ind w:firstLine="420" w:firstLineChars="200"/>
              <w:rPr>
                <w:rFonts w:hint="eastAsia" w:ascii="宋体" w:hAnsi="宋体" w:cs="宋体"/>
                <w:color w:val="auto"/>
                <w:szCs w:val="21"/>
                <w:highlight w:val="none"/>
              </w:rPr>
            </w:pPr>
          </w:p>
        </w:tc>
        <w:tc>
          <w:tcPr>
            <w:tcW w:w="634" w:type="pct"/>
            <w:vAlign w:val="center"/>
          </w:tcPr>
          <w:p w14:paraId="57DF64A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p>
        </w:tc>
        <w:tc>
          <w:tcPr>
            <w:tcW w:w="2021" w:type="pct"/>
            <w:vAlign w:val="center"/>
          </w:tcPr>
          <w:p w14:paraId="30255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        </w:t>
            </w:r>
          </w:p>
        </w:tc>
      </w:tr>
    </w:tbl>
    <w:p w14:paraId="6699708A">
      <w:pPr>
        <w:widowControl/>
        <w:spacing w:line="360" w:lineRule="auto"/>
        <w:jc w:val="left"/>
        <w:rPr>
          <w:rFonts w:hint="eastAsia" w:ascii="宋体" w:hAnsi="宋体"/>
          <w:color w:val="auto"/>
          <w:szCs w:val="21"/>
          <w:highlight w:val="none"/>
        </w:rPr>
      </w:pPr>
    </w:p>
    <w:p w14:paraId="58E1BE39">
      <w:pPr>
        <w:rPr>
          <w:rFonts w:hint="eastAsia" w:ascii="宋体" w:hAnsi="宋体" w:cs="宋体"/>
          <w:color w:val="auto"/>
          <w:szCs w:val="21"/>
          <w:highlight w:val="none"/>
        </w:rPr>
      </w:pPr>
    </w:p>
    <w:p w14:paraId="674B63E0">
      <w:pPr>
        <w:snapToGrid w:val="0"/>
        <w:spacing w:line="360" w:lineRule="auto"/>
        <w:ind w:firstLine="420" w:firstLineChars="200"/>
        <w:rPr>
          <w:rFonts w:hint="eastAsia" w:ascii="宋体" w:hAnsi="宋体"/>
          <w:color w:val="auto"/>
          <w:sz w:val="32"/>
          <w:highlight w:val="none"/>
        </w:rPr>
      </w:pPr>
      <w:r>
        <w:rPr>
          <w:rFonts w:ascii="宋体" w:hAnsi="宋体"/>
          <w:color w:val="auto"/>
          <w:szCs w:val="21"/>
          <w:highlight w:val="none"/>
        </w:rPr>
        <w:br w:type="page"/>
      </w:r>
      <w:bookmarkStart w:id="1086" w:name="_Toc86124081"/>
    </w:p>
    <w:p w14:paraId="52437A0A">
      <w:pPr>
        <w:pStyle w:val="3"/>
        <w:spacing w:line="360" w:lineRule="auto"/>
        <w:jc w:val="center"/>
        <w:rPr>
          <w:rFonts w:hint="eastAsia" w:ascii="宋体" w:hAnsi="宋体" w:eastAsia="宋体"/>
          <w:color w:val="auto"/>
          <w:sz w:val="36"/>
          <w:szCs w:val="21"/>
          <w:highlight w:val="none"/>
        </w:rPr>
      </w:pPr>
      <w:bookmarkStart w:id="1087" w:name="_Toc2466"/>
      <w:bookmarkStart w:id="1088" w:name="_Toc174031458"/>
      <w:bookmarkStart w:id="1089" w:name="_Toc5151"/>
      <w:bookmarkStart w:id="1090" w:name="_Toc179645122"/>
      <w:r>
        <w:rPr>
          <w:rFonts w:hint="eastAsia" w:ascii="宋体" w:hAnsi="宋体" w:eastAsia="宋体"/>
          <w:color w:val="auto"/>
          <w:sz w:val="36"/>
          <w:szCs w:val="21"/>
          <w:highlight w:val="none"/>
        </w:rPr>
        <w:t>第四章</w:t>
      </w:r>
      <w:r>
        <w:rPr>
          <w:rFonts w:ascii="宋体" w:hAnsi="宋体" w:eastAsia="宋体"/>
          <w:color w:val="auto"/>
          <w:sz w:val="36"/>
          <w:szCs w:val="21"/>
          <w:highlight w:val="none"/>
        </w:rPr>
        <w:t xml:space="preserve">  </w:t>
      </w:r>
      <w:r>
        <w:rPr>
          <w:rFonts w:hint="eastAsia" w:ascii="宋体" w:hAnsi="宋体" w:eastAsia="宋体"/>
          <w:color w:val="auto"/>
          <w:sz w:val="36"/>
          <w:szCs w:val="21"/>
          <w:highlight w:val="none"/>
        </w:rPr>
        <w:t>响应文件格式</w:t>
      </w:r>
      <w:bookmarkEnd w:id="1086"/>
      <w:bookmarkEnd w:id="1087"/>
      <w:bookmarkEnd w:id="1088"/>
      <w:bookmarkEnd w:id="1089"/>
      <w:bookmarkEnd w:id="1090"/>
    </w:p>
    <w:p w14:paraId="01ADC088">
      <w:pPr>
        <w:spacing w:line="360" w:lineRule="auto"/>
        <w:jc w:val="left"/>
        <w:rPr>
          <w:rFonts w:hint="eastAsia" w:ascii="宋体" w:hAnsi="宋体"/>
          <w:color w:val="auto"/>
          <w:sz w:val="24"/>
          <w:highlight w:val="none"/>
        </w:rPr>
      </w:pPr>
    </w:p>
    <w:p w14:paraId="01BFCE4B">
      <w:pPr>
        <w:overflowPunct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（未提供格式的部分由供应商自行编制）</w:t>
      </w:r>
    </w:p>
    <w:p w14:paraId="2CB9AC77">
      <w:pPr>
        <w:spacing w:line="360" w:lineRule="auto"/>
        <w:jc w:val="center"/>
        <w:rPr>
          <w:rFonts w:hint="eastAsia" w:ascii="宋体" w:hAnsi="宋体"/>
          <w:b/>
          <w:color w:val="auto"/>
          <w:sz w:val="32"/>
          <w:szCs w:val="32"/>
          <w:highlight w:val="none"/>
          <w:u w:val="single"/>
        </w:rPr>
      </w:pPr>
      <w:r>
        <w:rPr>
          <w:rFonts w:ascii="宋体" w:hAnsi="宋体"/>
          <w:b/>
          <w:color w:val="auto"/>
          <w:sz w:val="32"/>
          <w:szCs w:val="32"/>
          <w:highlight w:val="none"/>
          <w:u w:val="single"/>
        </w:rPr>
        <w:br w:type="page"/>
      </w:r>
    </w:p>
    <w:p w14:paraId="6A1A0C92">
      <w:pPr>
        <w:spacing w:line="360" w:lineRule="auto"/>
        <w:jc w:val="center"/>
        <w:rPr>
          <w:rFonts w:hint="eastAsia" w:ascii="宋体" w:hAnsi="宋体" w:eastAsia="宋体"/>
          <w:b/>
          <w:bCs/>
          <w:color w:val="auto"/>
          <w:spacing w:val="23"/>
          <w:sz w:val="44"/>
          <w:szCs w:val="44"/>
          <w:highlight w:val="none"/>
          <w:lang w:eastAsia="zh-CN"/>
        </w:rPr>
      </w:pPr>
      <w:r>
        <w:rPr>
          <w:rFonts w:hint="eastAsia" w:ascii="宋体" w:hAnsi="宋体"/>
          <w:b/>
          <w:bCs/>
          <w:color w:val="auto"/>
          <w:spacing w:val="23"/>
          <w:sz w:val="44"/>
          <w:szCs w:val="44"/>
          <w:highlight w:val="none"/>
          <w:lang w:eastAsia="zh-CN"/>
        </w:rPr>
        <w:t>大理护理职业学院眼健康产业学院（一期）建设项目（一标段）</w:t>
      </w:r>
    </w:p>
    <w:p w14:paraId="046137DA">
      <w:pPr>
        <w:spacing w:line="360" w:lineRule="auto"/>
        <w:jc w:val="center"/>
        <w:rPr>
          <w:rFonts w:hint="eastAsia" w:ascii="宋体" w:hAnsi="宋体"/>
          <w:color w:val="auto"/>
          <w:sz w:val="24"/>
          <w:highlight w:val="none"/>
        </w:rPr>
      </w:pPr>
    </w:p>
    <w:p w14:paraId="20A84E82">
      <w:pPr>
        <w:spacing w:line="360" w:lineRule="auto"/>
        <w:jc w:val="center"/>
        <w:rPr>
          <w:rFonts w:hint="eastAsia" w:ascii="宋体" w:hAnsi="宋体"/>
          <w:color w:val="auto"/>
          <w:sz w:val="24"/>
          <w:highlight w:val="none"/>
        </w:rPr>
      </w:pPr>
    </w:p>
    <w:p w14:paraId="73D8A06C">
      <w:pPr>
        <w:spacing w:line="360" w:lineRule="auto"/>
        <w:jc w:val="center"/>
        <w:rPr>
          <w:rFonts w:hint="eastAsia" w:ascii="宋体" w:hAnsi="宋体"/>
          <w:color w:val="auto"/>
          <w:sz w:val="24"/>
          <w:highlight w:val="none"/>
        </w:rPr>
      </w:pPr>
    </w:p>
    <w:p w14:paraId="588F4F36">
      <w:pPr>
        <w:spacing w:line="360" w:lineRule="auto"/>
        <w:jc w:val="center"/>
        <w:rPr>
          <w:rFonts w:hint="eastAsia" w:ascii="宋体" w:hAnsi="宋体"/>
          <w:color w:val="auto"/>
          <w:sz w:val="24"/>
          <w:highlight w:val="none"/>
        </w:rPr>
      </w:pPr>
    </w:p>
    <w:p w14:paraId="0CDEADC0">
      <w:pPr>
        <w:spacing w:line="360" w:lineRule="auto"/>
        <w:jc w:val="center"/>
        <w:rPr>
          <w:rFonts w:hint="eastAsia" w:ascii="宋体" w:hAnsi="宋体"/>
          <w:color w:val="auto"/>
          <w:sz w:val="24"/>
          <w:highlight w:val="none"/>
        </w:rPr>
      </w:pPr>
    </w:p>
    <w:p w14:paraId="55BC5E23">
      <w:pPr>
        <w:spacing w:line="360" w:lineRule="auto"/>
        <w:jc w:val="center"/>
        <w:rPr>
          <w:rFonts w:hint="eastAsia" w:ascii="宋体" w:hAnsi="宋体"/>
          <w:color w:val="auto"/>
          <w:sz w:val="24"/>
          <w:highlight w:val="none"/>
        </w:rPr>
      </w:pPr>
    </w:p>
    <w:p w14:paraId="3674582E">
      <w:pPr>
        <w:spacing w:line="36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564E89B8">
      <w:pPr>
        <w:spacing w:line="360" w:lineRule="auto"/>
        <w:ind w:firstLine="3058" w:firstLineChars="1088"/>
        <w:rPr>
          <w:rFonts w:hint="eastAsia" w:ascii="宋体" w:hAnsi="宋体"/>
          <w:b/>
          <w:color w:val="auto"/>
          <w:sz w:val="28"/>
          <w:szCs w:val="28"/>
          <w:highlight w:val="none"/>
          <w:u w:val="single"/>
        </w:rPr>
      </w:pPr>
      <w:r>
        <w:rPr>
          <w:rFonts w:hint="eastAsia" w:ascii="宋体" w:hAnsi="宋体"/>
          <w:b/>
          <w:color w:val="auto"/>
          <w:sz w:val="28"/>
          <w:szCs w:val="28"/>
          <w:highlight w:val="none"/>
        </w:rPr>
        <w:t>招标编号：</w:t>
      </w:r>
      <w:r>
        <w:rPr>
          <w:rFonts w:ascii="宋体" w:hAnsi="宋体"/>
          <w:b/>
          <w:color w:val="auto"/>
          <w:sz w:val="28"/>
          <w:szCs w:val="28"/>
          <w:highlight w:val="none"/>
          <w:u w:val="single"/>
        </w:rPr>
        <w:t xml:space="preserve">              </w:t>
      </w:r>
    </w:p>
    <w:p w14:paraId="1E063AD4">
      <w:pPr>
        <w:spacing w:line="360" w:lineRule="auto"/>
        <w:ind w:firstLine="3058" w:firstLineChars="1088"/>
        <w:rPr>
          <w:rFonts w:hint="eastAsia" w:ascii="宋体" w:hAnsi="宋体"/>
          <w:b/>
          <w:color w:val="auto"/>
          <w:sz w:val="28"/>
          <w:szCs w:val="28"/>
          <w:highlight w:val="none"/>
          <w:u w:val="single"/>
        </w:rPr>
      </w:pPr>
    </w:p>
    <w:p w14:paraId="700B8877">
      <w:pPr>
        <w:spacing w:line="360" w:lineRule="auto"/>
        <w:rPr>
          <w:rFonts w:hint="eastAsia" w:ascii="宋体" w:hAnsi="宋体"/>
          <w:color w:val="auto"/>
          <w:sz w:val="24"/>
          <w:highlight w:val="none"/>
        </w:rPr>
      </w:pPr>
    </w:p>
    <w:p w14:paraId="6BA1FF19">
      <w:pPr>
        <w:pStyle w:val="33"/>
        <w:rPr>
          <w:color w:val="auto"/>
          <w:highlight w:val="none"/>
        </w:rPr>
      </w:pPr>
    </w:p>
    <w:p w14:paraId="057F38F1">
      <w:pPr>
        <w:spacing w:line="360" w:lineRule="auto"/>
        <w:rPr>
          <w:rFonts w:hint="eastAsia" w:ascii="宋体" w:hAnsi="宋体"/>
          <w:color w:val="auto"/>
          <w:sz w:val="24"/>
          <w:highlight w:val="none"/>
        </w:rPr>
      </w:pPr>
    </w:p>
    <w:p w14:paraId="3D5BFC6D">
      <w:pPr>
        <w:pStyle w:val="33"/>
        <w:rPr>
          <w:rFonts w:hint="eastAsia" w:ascii="宋体" w:hAnsi="宋体"/>
          <w:color w:val="auto"/>
          <w:sz w:val="24"/>
          <w:highlight w:val="none"/>
        </w:rPr>
      </w:pPr>
    </w:p>
    <w:p w14:paraId="24AA2358">
      <w:pPr>
        <w:rPr>
          <w:rFonts w:hint="eastAsia"/>
          <w:highlight w:val="none"/>
        </w:rPr>
      </w:pPr>
    </w:p>
    <w:p w14:paraId="7CB824D4">
      <w:pPr>
        <w:spacing w:line="360" w:lineRule="auto"/>
        <w:jc w:val="center"/>
        <w:rPr>
          <w:rFonts w:hint="eastAsia" w:ascii="宋体" w:hAnsi="宋体"/>
          <w:color w:val="auto"/>
          <w:sz w:val="24"/>
          <w:highlight w:val="none"/>
        </w:rPr>
      </w:pPr>
    </w:p>
    <w:p w14:paraId="3F69CA75">
      <w:pPr>
        <w:spacing w:line="360" w:lineRule="auto"/>
        <w:ind w:firstLine="1988" w:firstLineChars="825"/>
        <w:rPr>
          <w:rFonts w:hint="eastAsia" w:ascii="宋体" w:hAnsi="宋体"/>
          <w:b/>
          <w:bCs/>
          <w:color w:val="auto"/>
          <w:sz w:val="24"/>
          <w:highlight w:val="none"/>
        </w:rPr>
      </w:pPr>
      <w:r>
        <w:rPr>
          <w:rFonts w:hint="eastAsia" w:ascii="宋体" w:hAnsi="宋体"/>
          <w:b/>
          <w:bCs/>
          <w:color w:val="auto"/>
          <w:sz w:val="24"/>
          <w:highlight w:val="none"/>
        </w:rPr>
        <w:t>供应商：</w:t>
      </w:r>
      <w:r>
        <w:rPr>
          <w:rFonts w:ascii="宋体" w:hAnsi="宋体"/>
          <w:b/>
          <w:bCs/>
          <w:color w:val="auto"/>
          <w:sz w:val="24"/>
          <w:highlight w:val="none"/>
          <w:u w:val="single"/>
        </w:rPr>
        <w:t xml:space="preserve">                                 </w:t>
      </w:r>
      <w:r>
        <w:rPr>
          <w:rFonts w:hint="eastAsia" w:ascii="宋体" w:hAnsi="宋体"/>
          <w:b/>
          <w:bCs/>
          <w:color w:val="auto"/>
          <w:sz w:val="24"/>
          <w:highlight w:val="none"/>
        </w:rPr>
        <w:t>（电子签章）</w:t>
      </w:r>
    </w:p>
    <w:p w14:paraId="5888C4A4">
      <w:pPr>
        <w:spacing w:line="360" w:lineRule="auto"/>
        <w:ind w:firstLine="1988" w:firstLineChars="825"/>
        <w:rPr>
          <w:rFonts w:hint="eastAsia" w:ascii="宋体" w:hAnsi="宋体"/>
          <w:b/>
          <w:bCs/>
          <w:color w:val="auto"/>
          <w:sz w:val="24"/>
          <w:highlight w:val="none"/>
        </w:rPr>
      </w:pPr>
      <w:r>
        <w:rPr>
          <w:rFonts w:hint="eastAsia" w:ascii="宋体" w:hAnsi="宋体"/>
          <w:b/>
          <w:bCs/>
          <w:color w:val="auto"/>
          <w:sz w:val="24"/>
          <w:highlight w:val="none"/>
        </w:rPr>
        <w:t>法定代表人或其委托代理人：</w:t>
      </w:r>
      <w:r>
        <w:rPr>
          <w:rFonts w:ascii="宋体" w:hAnsi="宋体"/>
          <w:b/>
          <w:bCs/>
          <w:color w:val="auto"/>
          <w:sz w:val="24"/>
          <w:highlight w:val="none"/>
          <w:u w:val="single"/>
        </w:rPr>
        <w:t xml:space="preserve">               </w:t>
      </w:r>
      <w:r>
        <w:rPr>
          <w:rFonts w:hint="eastAsia" w:ascii="宋体" w:hAnsi="宋体"/>
          <w:b/>
          <w:bCs/>
          <w:color w:val="auto"/>
          <w:sz w:val="24"/>
          <w:highlight w:val="none"/>
        </w:rPr>
        <w:t>（电子签名）</w:t>
      </w:r>
    </w:p>
    <w:p w14:paraId="0C0532CF">
      <w:pPr>
        <w:spacing w:line="360" w:lineRule="auto"/>
        <w:ind w:firstLine="1988" w:firstLineChars="825"/>
        <w:rPr>
          <w:rFonts w:hint="eastAsia" w:ascii="宋体" w:hAnsi="宋体"/>
          <w:b/>
          <w:bCs/>
          <w:color w:val="auto"/>
          <w:sz w:val="24"/>
          <w:highlight w:val="none"/>
        </w:rPr>
      </w:pPr>
      <w:r>
        <w:rPr>
          <w:rFonts w:hint="eastAsia" w:ascii="宋体" w:hAnsi="宋体"/>
          <w:b/>
          <w:bCs/>
          <w:color w:val="auto"/>
          <w:sz w:val="24"/>
          <w:highlight w:val="none"/>
        </w:rPr>
        <w:t>日期：</w:t>
      </w:r>
      <w:r>
        <w:rPr>
          <w:rFonts w:hint="eastAsia" w:ascii="宋体" w:hAnsi="宋体"/>
          <w:b/>
          <w:bCs/>
          <w:color w:val="auto"/>
          <w:sz w:val="24"/>
          <w:highlight w:val="none"/>
          <w:u w:val="single"/>
        </w:rPr>
        <w:t xml:space="preserve"> </w:t>
      </w:r>
      <w:r>
        <w:rPr>
          <w:rFonts w:ascii="宋体" w:hAnsi="宋体"/>
          <w:b/>
          <w:bCs/>
          <w:color w:val="auto"/>
          <w:sz w:val="24"/>
          <w:highlight w:val="none"/>
          <w:u w:val="single"/>
        </w:rPr>
        <w:t xml:space="preserve">     </w:t>
      </w:r>
      <w:r>
        <w:rPr>
          <w:rFonts w:hint="eastAsia" w:ascii="宋体" w:hAnsi="宋体"/>
          <w:b/>
          <w:bCs/>
          <w:color w:val="auto"/>
          <w:sz w:val="24"/>
          <w:highlight w:val="none"/>
        </w:rPr>
        <w:t>年</w:t>
      </w:r>
      <w:r>
        <w:rPr>
          <w:rFonts w:ascii="宋体" w:hAnsi="宋体"/>
          <w:b/>
          <w:bCs/>
          <w:color w:val="auto"/>
          <w:sz w:val="24"/>
          <w:highlight w:val="none"/>
          <w:u w:val="single"/>
        </w:rPr>
        <w:t xml:space="preserve">       </w:t>
      </w:r>
      <w:r>
        <w:rPr>
          <w:rFonts w:hint="eastAsia" w:ascii="宋体" w:hAnsi="宋体"/>
          <w:b/>
          <w:bCs/>
          <w:color w:val="auto"/>
          <w:sz w:val="24"/>
          <w:highlight w:val="none"/>
        </w:rPr>
        <w:t>月</w:t>
      </w:r>
      <w:r>
        <w:rPr>
          <w:rFonts w:ascii="宋体" w:hAnsi="宋体"/>
          <w:b/>
          <w:bCs/>
          <w:color w:val="auto"/>
          <w:sz w:val="24"/>
          <w:highlight w:val="none"/>
          <w:u w:val="single"/>
        </w:rPr>
        <w:t xml:space="preserve">       </w:t>
      </w:r>
      <w:r>
        <w:rPr>
          <w:rFonts w:hint="eastAsia" w:ascii="宋体" w:hAnsi="宋体"/>
          <w:b/>
          <w:bCs/>
          <w:color w:val="auto"/>
          <w:sz w:val="24"/>
          <w:highlight w:val="none"/>
        </w:rPr>
        <w:t>日</w:t>
      </w:r>
      <w:bookmarkStart w:id="1091" w:name="_Toc415662824"/>
      <w:bookmarkStart w:id="1092" w:name="_Toc347849247"/>
      <w:bookmarkStart w:id="1093" w:name="_Toc383175509"/>
      <w:bookmarkStart w:id="1094" w:name="_Toc86124091"/>
    </w:p>
    <w:p w14:paraId="3E7ADFE7">
      <w:pPr>
        <w:pStyle w:val="45"/>
        <w:overflowPunct w:val="0"/>
        <w:spacing w:line="360" w:lineRule="auto"/>
        <w:rPr>
          <w:rFonts w:hint="eastAsia" w:hAnsi="宋体" w:cs="宋体"/>
          <w:b/>
          <w:color w:val="auto"/>
          <w:sz w:val="28"/>
          <w:szCs w:val="28"/>
          <w:highlight w:val="none"/>
        </w:rPr>
      </w:pPr>
    </w:p>
    <w:p w14:paraId="0AEC7D4F">
      <w:pPr>
        <w:pStyle w:val="4"/>
        <w:overflowPunct w:val="0"/>
        <w:spacing w:before="0" w:after="0"/>
        <w:rPr>
          <w:rFonts w:hint="eastAsia" w:ascii="宋体" w:hAnsi="宋体" w:cs="宋体"/>
          <w:color w:val="auto"/>
          <w:highlight w:val="none"/>
        </w:rPr>
      </w:pPr>
      <w:bookmarkStart w:id="1095" w:name="_Toc445112750"/>
      <w:bookmarkStart w:id="1096" w:name="_Toc5663"/>
      <w:bookmarkStart w:id="1097" w:name="_Toc17236"/>
      <w:bookmarkStart w:id="1098" w:name="_Toc459818157"/>
      <w:bookmarkStart w:id="1099" w:name="_Toc8986"/>
      <w:bookmarkStart w:id="1100" w:name="_Toc348009990"/>
      <w:bookmarkStart w:id="1101" w:name="_Toc26462"/>
      <w:bookmarkStart w:id="1102" w:name="_Toc513038639"/>
      <w:r>
        <w:rPr>
          <w:rFonts w:hint="eastAsia" w:ascii="宋体" w:hAnsi="宋体" w:cs="宋体"/>
          <w:color w:val="auto"/>
          <w:highlight w:val="none"/>
        </w:rPr>
        <w:br w:type="page"/>
      </w:r>
      <w:bookmarkStart w:id="1103" w:name="_Toc179645123"/>
      <w:bookmarkStart w:id="1104" w:name="_Toc174031459"/>
      <w:r>
        <w:rPr>
          <w:rFonts w:hint="eastAsia" w:ascii="宋体" w:hAnsi="宋体" w:cs="宋体"/>
          <w:color w:val="auto"/>
          <w:highlight w:val="none"/>
        </w:rPr>
        <w:t>一、</w:t>
      </w:r>
      <w:bookmarkStart w:id="1105" w:name="_Hlk179643385"/>
      <w:r>
        <w:rPr>
          <w:rFonts w:hint="eastAsia" w:ascii="宋体" w:hAnsi="宋体" w:cs="宋体"/>
          <w:color w:val="auto"/>
          <w:highlight w:val="none"/>
        </w:rPr>
        <w:t>★</w:t>
      </w:r>
      <w:bookmarkEnd w:id="1105"/>
      <w:r>
        <w:rPr>
          <w:rFonts w:hint="eastAsia" w:ascii="宋体" w:hAnsi="宋体" w:cs="宋体"/>
          <w:color w:val="auto"/>
          <w:highlight w:val="none"/>
        </w:rPr>
        <w:t>报价一览表</w:t>
      </w:r>
      <w:bookmarkEnd w:id="1095"/>
      <w:bookmarkEnd w:id="1096"/>
      <w:bookmarkEnd w:id="1097"/>
      <w:bookmarkEnd w:id="1098"/>
      <w:bookmarkEnd w:id="1099"/>
      <w:bookmarkEnd w:id="1100"/>
      <w:bookmarkEnd w:id="1101"/>
      <w:bookmarkEnd w:id="1102"/>
      <w:bookmarkEnd w:id="1103"/>
      <w:bookmarkEnd w:id="1104"/>
    </w:p>
    <w:p w14:paraId="2D8FF1C1">
      <w:pPr>
        <w:overflowPunct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项目名称：</w:t>
      </w:r>
      <w:r>
        <w:rPr>
          <w:rFonts w:hint="eastAsia" w:ascii="宋体" w:hAnsi="宋体" w:cs="宋体"/>
          <w:b/>
          <w:color w:val="auto"/>
          <w:szCs w:val="21"/>
          <w:highlight w:val="none"/>
          <w:u w:val="single"/>
        </w:rPr>
        <w:t xml:space="preserve">                           </w:t>
      </w:r>
    </w:p>
    <w:p w14:paraId="063A397B">
      <w:pPr>
        <w:overflowPunct w:val="0"/>
        <w:spacing w:line="360" w:lineRule="auto"/>
        <w:rPr>
          <w:rFonts w:hint="eastAsia" w:ascii="宋体" w:hAnsi="宋体" w:cs="宋体"/>
          <w:b/>
          <w:color w:val="auto"/>
          <w:szCs w:val="21"/>
          <w:highlight w:val="none"/>
          <w:u w:val="single"/>
        </w:rPr>
      </w:pPr>
      <w:r>
        <w:rPr>
          <w:rFonts w:hint="eastAsia" w:ascii="宋体" w:hAnsi="宋体" w:cs="宋体"/>
          <w:b/>
          <w:color w:val="auto"/>
          <w:szCs w:val="21"/>
          <w:highlight w:val="none"/>
        </w:rPr>
        <w:t>招标编号：</w:t>
      </w:r>
      <w:r>
        <w:rPr>
          <w:rFonts w:hint="eastAsia" w:ascii="宋体" w:hAnsi="宋体" w:cs="宋体"/>
          <w:color w:val="auto"/>
          <w:szCs w:val="21"/>
          <w:highlight w:val="none"/>
          <w:u w:val="single"/>
        </w:rPr>
        <w:t xml:space="preserve">                           </w:t>
      </w:r>
    </w:p>
    <w:tbl>
      <w:tblPr>
        <w:tblStyle w:val="8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59"/>
        <w:gridCol w:w="1417"/>
        <w:gridCol w:w="2517"/>
        <w:gridCol w:w="949"/>
        <w:gridCol w:w="1104"/>
        <w:gridCol w:w="1419"/>
        <w:gridCol w:w="697"/>
      </w:tblGrid>
      <w:tr w14:paraId="77137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933" w:type="pct"/>
            <w:shd w:val="clear" w:color="auto" w:fill="auto"/>
            <w:vAlign w:val="center"/>
          </w:tcPr>
          <w:p w14:paraId="02BBD84A">
            <w:pPr>
              <w:overflowPunct w:val="0"/>
              <w:adjustRightInd w:val="0"/>
              <w:snapToGrid w:val="0"/>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供应商名称</w:t>
            </w:r>
          </w:p>
        </w:tc>
        <w:tc>
          <w:tcPr>
            <w:tcW w:w="711" w:type="pct"/>
            <w:shd w:val="clear" w:color="auto" w:fill="auto"/>
            <w:vAlign w:val="center"/>
          </w:tcPr>
          <w:p w14:paraId="7B652FA0">
            <w:pPr>
              <w:overflowPunct w:val="0"/>
              <w:adjustRightInd w:val="0"/>
              <w:snapToGrid w:val="0"/>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磋商报价（元）</w:t>
            </w:r>
          </w:p>
        </w:tc>
        <w:tc>
          <w:tcPr>
            <w:tcW w:w="1263" w:type="pct"/>
            <w:shd w:val="clear" w:color="auto" w:fill="auto"/>
            <w:vAlign w:val="center"/>
          </w:tcPr>
          <w:p w14:paraId="73E0F56D">
            <w:pPr>
              <w:overflowPunct w:val="0"/>
              <w:adjustRightInd w:val="0"/>
              <w:snapToGrid w:val="0"/>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项目经理</w:t>
            </w:r>
          </w:p>
        </w:tc>
        <w:tc>
          <w:tcPr>
            <w:tcW w:w="476" w:type="pct"/>
            <w:shd w:val="clear" w:color="auto" w:fill="auto"/>
            <w:vAlign w:val="center"/>
          </w:tcPr>
          <w:p w14:paraId="18344186">
            <w:pPr>
              <w:overflowPunct w:val="0"/>
              <w:adjustRightInd w:val="0"/>
              <w:snapToGrid w:val="0"/>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工期</w:t>
            </w:r>
          </w:p>
        </w:tc>
        <w:tc>
          <w:tcPr>
            <w:tcW w:w="554" w:type="pct"/>
            <w:vAlign w:val="center"/>
          </w:tcPr>
          <w:p w14:paraId="27C26CF3">
            <w:pPr>
              <w:overflowPunct w:val="0"/>
              <w:adjustRightInd w:val="0"/>
              <w:snapToGrid w:val="0"/>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项目实施地点</w:t>
            </w:r>
          </w:p>
        </w:tc>
        <w:tc>
          <w:tcPr>
            <w:tcW w:w="712" w:type="pct"/>
            <w:shd w:val="clear" w:color="auto" w:fill="auto"/>
            <w:vAlign w:val="center"/>
          </w:tcPr>
          <w:p w14:paraId="68DA73C0">
            <w:pPr>
              <w:overflowPunct w:val="0"/>
              <w:adjustRightInd w:val="0"/>
              <w:snapToGrid w:val="0"/>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质量标准</w:t>
            </w:r>
          </w:p>
        </w:tc>
        <w:tc>
          <w:tcPr>
            <w:tcW w:w="350" w:type="pct"/>
            <w:shd w:val="clear" w:color="auto" w:fill="auto"/>
            <w:vAlign w:val="center"/>
          </w:tcPr>
          <w:p w14:paraId="12F90A79">
            <w:pPr>
              <w:overflowPunct w:val="0"/>
              <w:adjustRightInd w:val="0"/>
              <w:snapToGrid w:val="0"/>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549C3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2" w:hRule="atLeast"/>
        </w:trPr>
        <w:tc>
          <w:tcPr>
            <w:tcW w:w="933" w:type="pct"/>
            <w:vAlign w:val="center"/>
          </w:tcPr>
          <w:p w14:paraId="4158294E">
            <w:pPr>
              <w:overflowPunct w:val="0"/>
              <w:adjustRightInd w:val="0"/>
              <w:snapToGrid w:val="0"/>
              <w:spacing w:line="360" w:lineRule="auto"/>
              <w:jc w:val="center"/>
              <w:rPr>
                <w:rFonts w:hint="eastAsia" w:ascii="宋体" w:hAnsi="宋体" w:cs="宋体"/>
                <w:color w:val="auto"/>
                <w:szCs w:val="21"/>
                <w:highlight w:val="none"/>
              </w:rPr>
            </w:pPr>
          </w:p>
        </w:tc>
        <w:tc>
          <w:tcPr>
            <w:tcW w:w="711" w:type="pct"/>
            <w:vAlign w:val="center"/>
          </w:tcPr>
          <w:p w14:paraId="6E35795D">
            <w:pPr>
              <w:overflowPunct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小写：</w:t>
            </w:r>
          </w:p>
          <w:p w14:paraId="147DD16F">
            <w:pPr>
              <w:pStyle w:val="33"/>
              <w:spacing w:line="360" w:lineRule="auto"/>
              <w:rPr>
                <w:rFonts w:hint="eastAsia" w:ascii="宋体" w:hAnsi="宋体"/>
                <w:color w:val="auto"/>
                <w:highlight w:val="none"/>
              </w:rPr>
            </w:pPr>
            <w:r>
              <w:rPr>
                <w:rFonts w:hint="eastAsia" w:ascii="宋体" w:hAnsi="宋体"/>
                <w:b/>
                <w:bCs/>
                <w:color w:val="auto"/>
                <w:sz w:val="21"/>
                <w:szCs w:val="21"/>
                <w:highlight w:val="none"/>
              </w:rPr>
              <w:t>大写：</w:t>
            </w:r>
          </w:p>
        </w:tc>
        <w:tc>
          <w:tcPr>
            <w:tcW w:w="1263" w:type="pct"/>
            <w:vAlign w:val="center"/>
          </w:tcPr>
          <w:p w14:paraId="410C3BB4">
            <w:pPr>
              <w:spacing w:line="360" w:lineRule="auto"/>
              <w:rPr>
                <w:rFonts w:hint="eastAsia" w:ascii="宋体" w:hAnsi="宋体"/>
                <w:b/>
                <w:bCs/>
                <w:color w:val="auto"/>
                <w:szCs w:val="21"/>
                <w:highlight w:val="none"/>
              </w:rPr>
            </w:pPr>
            <w:r>
              <w:rPr>
                <w:rFonts w:hint="eastAsia" w:ascii="宋体" w:hAnsi="宋体"/>
                <w:b/>
                <w:bCs/>
                <w:color w:val="auto"/>
                <w:szCs w:val="21"/>
                <w:highlight w:val="none"/>
              </w:rPr>
              <w:t>姓名：</w:t>
            </w:r>
          </w:p>
          <w:p w14:paraId="0D5B4AC6">
            <w:pPr>
              <w:spacing w:line="360" w:lineRule="auto"/>
              <w:rPr>
                <w:b/>
                <w:bCs/>
                <w:color w:val="auto"/>
                <w:highlight w:val="none"/>
              </w:rPr>
            </w:pPr>
            <w:r>
              <w:rPr>
                <w:rFonts w:hint="eastAsia"/>
                <w:b/>
                <w:bCs/>
                <w:color w:val="auto"/>
                <w:highlight w:val="none"/>
              </w:rPr>
              <w:t>注册证书类型：</w:t>
            </w:r>
          </w:p>
          <w:p w14:paraId="39D8517D">
            <w:pPr>
              <w:overflowPunct w:val="0"/>
              <w:adjustRightInd w:val="0"/>
              <w:snapToGrid w:val="0"/>
              <w:spacing w:line="360" w:lineRule="auto"/>
              <w:rPr>
                <w:rFonts w:hint="eastAsia" w:ascii="宋体" w:hAnsi="宋体" w:cs="宋体"/>
                <w:b/>
                <w:bCs/>
                <w:color w:val="auto"/>
                <w:szCs w:val="21"/>
                <w:highlight w:val="none"/>
              </w:rPr>
            </w:pPr>
            <w:r>
              <w:rPr>
                <w:rFonts w:hint="eastAsia" w:ascii="宋体" w:hAnsi="Courier New"/>
                <w:b/>
                <w:bCs/>
                <w:color w:val="auto"/>
                <w:szCs w:val="21"/>
                <w:highlight w:val="none"/>
              </w:rPr>
              <w:t>注册证号：</w:t>
            </w:r>
          </w:p>
        </w:tc>
        <w:tc>
          <w:tcPr>
            <w:tcW w:w="476" w:type="pct"/>
            <w:vAlign w:val="center"/>
          </w:tcPr>
          <w:p w14:paraId="3ABAEACC">
            <w:pPr>
              <w:overflowPunct w:val="0"/>
              <w:adjustRightInd w:val="0"/>
              <w:snapToGrid w:val="0"/>
              <w:spacing w:line="360" w:lineRule="auto"/>
              <w:jc w:val="center"/>
              <w:rPr>
                <w:rFonts w:hint="eastAsia" w:ascii="宋体" w:hAnsi="宋体" w:cs="宋体"/>
                <w:color w:val="auto"/>
                <w:szCs w:val="21"/>
                <w:highlight w:val="none"/>
              </w:rPr>
            </w:pPr>
          </w:p>
        </w:tc>
        <w:tc>
          <w:tcPr>
            <w:tcW w:w="554" w:type="pct"/>
            <w:vAlign w:val="center"/>
          </w:tcPr>
          <w:p w14:paraId="2FCE6B67">
            <w:pPr>
              <w:overflowPunct w:val="0"/>
              <w:adjustRightInd w:val="0"/>
              <w:snapToGrid w:val="0"/>
              <w:spacing w:line="360" w:lineRule="auto"/>
              <w:jc w:val="center"/>
              <w:rPr>
                <w:rFonts w:hint="eastAsia" w:ascii="宋体" w:hAnsi="宋体" w:cs="宋体"/>
                <w:color w:val="auto"/>
                <w:szCs w:val="21"/>
                <w:highlight w:val="none"/>
              </w:rPr>
            </w:pPr>
          </w:p>
        </w:tc>
        <w:tc>
          <w:tcPr>
            <w:tcW w:w="712" w:type="pct"/>
            <w:vAlign w:val="center"/>
          </w:tcPr>
          <w:p w14:paraId="1CFB1959">
            <w:pPr>
              <w:overflowPunct w:val="0"/>
              <w:adjustRightInd w:val="0"/>
              <w:snapToGrid w:val="0"/>
              <w:spacing w:line="360" w:lineRule="auto"/>
              <w:jc w:val="center"/>
              <w:rPr>
                <w:rFonts w:hint="eastAsia" w:ascii="宋体" w:hAnsi="宋体" w:cs="宋体"/>
                <w:color w:val="auto"/>
                <w:szCs w:val="21"/>
                <w:highlight w:val="none"/>
              </w:rPr>
            </w:pPr>
          </w:p>
        </w:tc>
        <w:tc>
          <w:tcPr>
            <w:tcW w:w="350" w:type="pct"/>
            <w:vAlign w:val="center"/>
          </w:tcPr>
          <w:p w14:paraId="1E419274">
            <w:pPr>
              <w:overflowPunct w:val="0"/>
              <w:adjustRightInd w:val="0"/>
              <w:snapToGrid w:val="0"/>
              <w:spacing w:line="360" w:lineRule="auto"/>
              <w:jc w:val="center"/>
              <w:rPr>
                <w:rFonts w:hint="eastAsia" w:ascii="宋体" w:hAnsi="宋体" w:cs="宋体"/>
                <w:color w:val="auto"/>
                <w:szCs w:val="21"/>
                <w:highlight w:val="none"/>
              </w:rPr>
            </w:pPr>
          </w:p>
        </w:tc>
      </w:tr>
    </w:tbl>
    <w:p w14:paraId="08CB5027">
      <w:pPr>
        <w:overflowPunct w:val="0"/>
        <w:spacing w:line="360" w:lineRule="auto"/>
        <w:ind w:firstLine="2" w:firstLineChars="1"/>
        <w:rPr>
          <w:rFonts w:hint="eastAsia" w:ascii="宋体" w:hAnsi="宋体" w:cs="宋体"/>
          <w:color w:val="auto"/>
          <w:szCs w:val="21"/>
          <w:highlight w:val="none"/>
        </w:rPr>
      </w:pPr>
    </w:p>
    <w:p w14:paraId="7ACEAFB9">
      <w:pPr>
        <w:pStyle w:val="33"/>
        <w:rPr>
          <w:rFonts w:hint="eastAsia" w:ascii="宋体" w:hAnsi="宋体"/>
          <w:color w:val="auto"/>
          <w:highlight w:val="none"/>
        </w:rPr>
      </w:pPr>
    </w:p>
    <w:p w14:paraId="663837F4">
      <w:pPr>
        <w:overflowPunct w:val="0"/>
        <w:spacing w:line="480" w:lineRule="auto"/>
        <w:ind w:firstLine="2" w:firstLineChars="1"/>
        <w:rPr>
          <w:rFonts w:hint="eastAsia" w:ascii="宋体" w:hAnsi="宋体" w:cs="宋体"/>
          <w:b/>
          <w:color w:val="auto"/>
          <w:szCs w:val="21"/>
          <w:highlight w:val="none"/>
        </w:rPr>
      </w:pPr>
      <w:r>
        <w:rPr>
          <w:rFonts w:hint="eastAsia" w:ascii="宋体" w:hAnsi="宋体" w:cs="宋体"/>
          <w:b/>
          <w:color w:val="auto"/>
          <w:szCs w:val="21"/>
          <w:highlight w:val="none"/>
        </w:rPr>
        <w:t>供应商：</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（电子签章）</w:t>
      </w:r>
    </w:p>
    <w:p w14:paraId="15C76D46">
      <w:pPr>
        <w:overflowPunct w:val="0"/>
        <w:spacing w:line="480" w:lineRule="auto"/>
        <w:ind w:firstLine="2" w:firstLineChars="1"/>
        <w:rPr>
          <w:rFonts w:hint="eastAsia" w:ascii="宋体" w:hAnsi="宋体" w:cs="宋体"/>
          <w:b/>
          <w:color w:val="auto"/>
          <w:szCs w:val="21"/>
          <w:highlight w:val="none"/>
        </w:rPr>
      </w:pPr>
      <w:r>
        <w:rPr>
          <w:rFonts w:hint="eastAsia" w:ascii="宋体" w:hAnsi="宋体" w:cs="宋体"/>
          <w:b/>
          <w:color w:val="auto"/>
          <w:szCs w:val="21"/>
          <w:highlight w:val="none"/>
        </w:rPr>
        <w:t>法定代表人或其委托代理人：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（电子签名）</w:t>
      </w:r>
    </w:p>
    <w:p w14:paraId="1EB7E3E8">
      <w:pPr>
        <w:overflowPunct w:val="0"/>
        <w:spacing w:line="480" w:lineRule="auto"/>
        <w:ind w:firstLine="2" w:firstLineChars="1"/>
        <w:rPr>
          <w:rFonts w:hint="eastAsia" w:ascii="宋体" w:hAnsi="宋体" w:cs="宋体"/>
          <w:b/>
          <w:color w:val="auto"/>
          <w:szCs w:val="21"/>
          <w:highlight w:val="none"/>
        </w:r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p w14:paraId="0FAF0E15">
      <w:pPr>
        <w:overflowPunct w:val="0"/>
        <w:spacing w:line="360" w:lineRule="auto"/>
        <w:rPr>
          <w:rFonts w:hint="eastAsia" w:ascii="宋体" w:hAnsi="宋体" w:cs="宋体"/>
          <w:b/>
          <w:color w:val="auto"/>
          <w:szCs w:val="21"/>
          <w:highlight w:val="none"/>
        </w:rPr>
      </w:pPr>
    </w:p>
    <w:p w14:paraId="49BBE417">
      <w:pPr>
        <w:overflowPunct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表中“</w:t>
      </w:r>
      <w:r>
        <w:rPr>
          <w:rFonts w:hint="eastAsia" w:ascii="宋体" w:hAnsi="宋体" w:cs="宋体"/>
          <w:b/>
          <w:color w:val="auto"/>
          <w:szCs w:val="21"/>
          <w:highlight w:val="none"/>
        </w:rPr>
        <w:t>磋商报价</w:t>
      </w:r>
      <w:r>
        <w:rPr>
          <w:rFonts w:hint="eastAsia" w:ascii="宋体" w:hAnsi="宋体" w:cs="宋体"/>
          <w:color w:val="auto"/>
          <w:szCs w:val="21"/>
          <w:highlight w:val="none"/>
        </w:rPr>
        <w:t>”应与“</w:t>
      </w:r>
      <w:r>
        <w:rPr>
          <w:rFonts w:hint="eastAsia" w:ascii="宋体" w:hAnsi="宋体" w:cs="宋体"/>
          <w:b/>
          <w:color w:val="auto"/>
          <w:szCs w:val="21"/>
          <w:highlight w:val="none"/>
        </w:rPr>
        <w:t>磋商申请函</w:t>
      </w:r>
      <w:r>
        <w:rPr>
          <w:rFonts w:hint="eastAsia" w:ascii="宋体" w:hAnsi="宋体" w:cs="宋体"/>
          <w:color w:val="auto"/>
          <w:szCs w:val="21"/>
          <w:highlight w:val="none"/>
        </w:rPr>
        <w:t>”中“</w:t>
      </w:r>
      <w:r>
        <w:rPr>
          <w:rFonts w:hint="eastAsia" w:ascii="宋体" w:hAnsi="宋体" w:cs="宋体"/>
          <w:b/>
          <w:color w:val="auto"/>
          <w:szCs w:val="21"/>
          <w:highlight w:val="none"/>
        </w:rPr>
        <w:t>总报价</w:t>
      </w:r>
      <w:r>
        <w:rPr>
          <w:rFonts w:hint="eastAsia" w:ascii="宋体" w:hAnsi="宋体" w:cs="宋体"/>
          <w:color w:val="auto"/>
          <w:szCs w:val="21"/>
          <w:highlight w:val="none"/>
        </w:rPr>
        <w:t>”和“</w:t>
      </w:r>
      <w:r>
        <w:rPr>
          <w:rFonts w:hint="eastAsia" w:ascii="宋体" w:hAnsi="宋体" w:cs="宋体"/>
          <w:b/>
          <w:color w:val="auto"/>
          <w:szCs w:val="21"/>
          <w:highlight w:val="none"/>
        </w:rPr>
        <w:t>磋商总价</w:t>
      </w:r>
      <w:r>
        <w:rPr>
          <w:rFonts w:hint="eastAsia" w:ascii="宋体" w:hAnsi="宋体" w:cs="宋体"/>
          <w:color w:val="auto"/>
          <w:szCs w:val="21"/>
          <w:highlight w:val="none"/>
        </w:rPr>
        <w:t>”一致。</w:t>
      </w:r>
    </w:p>
    <w:p w14:paraId="482A237E">
      <w:pPr>
        <w:pStyle w:val="33"/>
        <w:rPr>
          <w:rFonts w:hint="eastAsia" w:ascii="宋体" w:hAnsi="宋体"/>
          <w:color w:val="auto"/>
          <w:highlight w:val="none"/>
        </w:rPr>
      </w:pPr>
    </w:p>
    <w:p w14:paraId="13A06A26">
      <w:pPr>
        <w:keepNext/>
        <w:keepLines/>
        <w:spacing w:after="120" w:line="360" w:lineRule="auto"/>
        <w:jc w:val="left"/>
        <w:rPr>
          <w:rFonts w:hint="eastAsia" w:ascii="宋体" w:hAnsi="宋体"/>
          <w:b/>
          <w:color w:val="auto"/>
          <w:sz w:val="28"/>
          <w:szCs w:val="28"/>
          <w:highlight w:val="none"/>
        </w:rPr>
      </w:pPr>
      <w:r>
        <w:rPr>
          <w:rFonts w:hint="eastAsia" w:ascii="宋体" w:hAnsi="宋体"/>
          <w:b/>
          <w:color w:val="auto"/>
          <w:sz w:val="28"/>
          <w:szCs w:val="28"/>
          <w:highlight w:val="none"/>
        </w:rPr>
        <w:br w:type="page"/>
      </w:r>
    </w:p>
    <w:bookmarkEnd w:id="1091"/>
    <w:bookmarkEnd w:id="1092"/>
    <w:bookmarkEnd w:id="1093"/>
    <w:p w14:paraId="0C14F153">
      <w:pPr>
        <w:keepNext/>
        <w:keepLines/>
        <w:spacing w:after="120" w:line="360" w:lineRule="auto"/>
        <w:jc w:val="center"/>
        <w:outlineLvl w:val="1"/>
        <w:rPr>
          <w:rFonts w:hint="eastAsia" w:ascii="宋体" w:hAnsi="宋体"/>
          <w:b/>
          <w:color w:val="auto"/>
          <w:sz w:val="28"/>
          <w:szCs w:val="32"/>
          <w:highlight w:val="none"/>
        </w:rPr>
      </w:pPr>
      <w:bookmarkStart w:id="1106" w:name="_Toc2769"/>
      <w:bookmarkStart w:id="1107" w:name="_Toc415662825"/>
      <w:bookmarkStart w:id="1108" w:name="_Toc174031463"/>
      <w:bookmarkStart w:id="1109" w:name="_Toc347849248"/>
      <w:bookmarkStart w:id="1110" w:name="_Toc383175510"/>
      <w:bookmarkStart w:id="1111" w:name="_Toc179645124"/>
      <w:r>
        <w:rPr>
          <w:rFonts w:hint="eastAsia" w:ascii="宋体" w:hAnsi="宋体"/>
          <w:b/>
          <w:color w:val="auto"/>
          <w:sz w:val="32"/>
          <w:szCs w:val="32"/>
          <w:highlight w:val="none"/>
        </w:rPr>
        <w:t>二、资格证明文件</w:t>
      </w:r>
      <w:bookmarkEnd w:id="1106"/>
      <w:bookmarkEnd w:id="1107"/>
      <w:bookmarkEnd w:id="1108"/>
      <w:bookmarkEnd w:id="1109"/>
      <w:bookmarkEnd w:id="1110"/>
      <w:bookmarkEnd w:id="1111"/>
    </w:p>
    <w:p w14:paraId="1A7AB580">
      <w:pPr>
        <w:spacing w:line="360" w:lineRule="auto"/>
        <w:jc w:val="left"/>
        <w:rPr>
          <w:rFonts w:hint="eastAsia" w:ascii="宋体" w:hAnsi="宋体"/>
          <w:color w:val="auto"/>
          <w:sz w:val="24"/>
          <w:highlight w:val="none"/>
        </w:rPr>
      </w:pPr>
    </w:p>
    <w:p w14:paraId="7091B9C0">
      <w:pPr>
        <w:spacing w:line="360" w:lineRule="auto"/>
        <w:ind w:firstLine="420" w:firstLineChars="200"/>
        <w:rPr>
          <w:rFonts w:hint="eastAsia"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供应商应填写和提交下述规定的有关资料。</w:t>
      </w:r>
    </w:p>
    <w:p w14:paraId="218FFB2E">
      <w:pPr>
        <w:spacing w:line="360" w:lineRule="auto"/>
        <w:ind w:firstLine="420" w:firstLineChars="200"/>
        <w:rPr>
          <w:rFonts w:hint="eastAsia"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所附格式要求填写的全部内容都必须填写。</w:t>
      </w:r>
    </w:p>
    <w:p w14:paraId="2BA3D413">
      <w:pPr>
        <w:spacing w:line="360" w:lineRule="auto"/>
        <w:ind w:firstLine="420" w:firstLineChars="200"/>
        <w:rPr>
          <w:rFonts w:hint="eastAsia" w:ascii="宋体" w:hAnsi="宋体"/>
          <w:color w:val="auto"/>
          <w:highlight w:val="none"/>
        </w:rPr>
      </w:pPr>
      <w:r>
        <w:rPr>
          <w:rFonts w:hint="eastAsia" w:ascii="宋体" w:hAnsi="宋体"/>
          <w:color w:val="auto"/>
          <w:highlight w:val="none"/>
        </w:rPr>
        <w:t>3</w:t>
      </w:r>
      <w:r>
        <w:rPr>
          <w:rFonts w:ascii="宋体" w:hAnsi="宋体"/>
          <w:color w:val="auto"/>
          <w:highlight w:val="none"/>
        </w:rPr>
        <w:t xml:space="preserve">. </w:t>
      </w:r>
      <w:r>
        <w:rPr>
          <w:rFonts w:hint="eastAsia" w:ascii="宋体" w:hAnsi="宋体"/>
          <w:color w:val="auto"/>
          <w:highlight w:val="none"/>
        </w:rPr>
        <w:t>供应商提交的材料将被</w:t>
      </w:r>
      <w:r>
        <w:rPr>
          <w:rFonts w:hint="eastAsia" w:ascii="宋体" w:hAnsi="宋体"/>
          <w:color w:val="auto"/>
          <w:szCs w:val="21"/>
          <w:highlight w:val="none"/>
        </w:rPr>
        <w:t>保密，但不退还。</w:t>
      </w:r>
    </w:p>
    <w:p w14:paraId="470BB7DD">
      <w:pPr>
        <w:spacing w:line="360" w:lineRule="auto"/>
        <w:ind w:firstLine="480" w:firstLineChars="200"/>
        <w:rPr>
          <w:rFonts w:hint="eastAsia" w:ascii="宋体" w:hAnsi="宋体"/>
          <w:color w:val="auto"/>
          <w:sz w:val="24"/>
          <w:highlight w:val="none"/>
        </w:rPr>
      </w:pPr>
    </w:p>
    <w:p w14:paraId="279986C2">
      <w:pPr>
        <w:overflowPunct w:val="0"/>
        <w:spacing w:line="360" w:lineRule="auto"/>
        <w:rPr>
          <w:rFonts w:hint="eastAsia" w:ascii="宋体" w:hAnsi="宋体" w:cs="宋体"/>
          <w:b/>
          <w:color w:val="auto"/>
          <w:szCs w:val="21"/>
          <w:highlight w:val="none"/>
        </w:rPr>
      </w:pPr>
    </w:p>
    <w:p w14:paraId="47D3826A">
      <w:pPr>
        <w:pStyle w:val="45"/>
        <w:spacing w:line="600" w:lineRule="exact"/>
        <w:rPr>
          <w:rFonts w:hint="eastAsia" w:hAnsi="宋体" w:cs="宋体"/>
          <w:b/>
          <w:color w:val="auto"/>
          <w:sz w:val="28"/>
          <w:szCs w:val="28"/>
          <w:highlight w:val="none"/>
        </w:rPr>
      </w:pPr>
    </w:p>
    <w:p w14:paraId="183EF05B">
      <w:pPr>
        <w:ind w:firstLine="643"/>
        <w:jc w:val="center"/>
        <w:rPr>
          <w:rFonts w:hint="eastAsia" w:ascii="宋体" w:hAnsi="宋体" w:cs="宋体"/>
          <w:b/>
          <w:bCs/>
          <w:color w:val="auto"/>
          <w:sz w:val="32"/>
          <w:szCs w:val="32"/>
          <w:highlight w:val="none"/>
        </w:rPr>
      </w:pPr>
    </w:p>
    <w:p w14:paraId="4197905A">
      <w:pPr>
        <w:keepNext/>
        <w:keepLines/>
        <w:spacing w:line="360" w:lineRule="auto"/>
        <w:jc w:val="center"/>
        <w:outlineLvl w:val="2"/>
        <w:rPr>
          <w:rFonts w:hint="eastAsia" w:ascii="宋体" w:hAnsi="宋体"/>
          <w:b/>
          <w:color w:val="auto"/>
          <w:kern w:val="0"/>
          <w:sz w:val="32"/>
          <w:szCs w:val="28"/>
          <w:highlight w:val="none"/>
        </w:rPr>
      </w:pPr>
      <w:r>
        <w:rPr>
          <w:rFonts w:hint="eastAsia" w:ascii="宋体" w:hAnsi="宋体" w:cs="宋体"/>
          <w:b/>
          <w:bCs/>
          <w:color w:val="auto"/>
          <w:sz w:val="32"/>
          <w:szCs w:val="32"/>
          <w:highlight w:val="none"/>
        </w:rPr>
        <w:br w:type="page"/>
      </w:r>
      <w:bookmarkStart w:id="1112" w:name="_Toc347849252"/>
      <w:bookmarkStart w:id="1113" w:name="_Toc179645125"/>
      <w:bookmarkStart w:id="1114" w:name="_Toc4163"/>
      <w:bookmarkStart w:id="1115" w:name="_Toc174031460"/>
      <w:bookmarkStart w:id="1116" w:name="_Toc383175515"/>
      <w:bookmarkStart w:id="1117" w:name="_Toc30342"/>
      <w:bookmarkStart w:id="1118" w:name="_Toc18666"/>
      <w:bookmarkStart w:id="1119" w:name="_Toc174031464"/>
      <w:bookmarkStart w:id="1120" w:name="_Toc174031550"/>
      <w:r>
        <w:rPr>
          <w:rFonts w:hint="eastAsia" w:ascii="宋体" w:hAnsi="宋体" w:cs="宋体"/>
          <w:b/>
          <w:color w:val="auto"/>
          <w:sz w:val="28"/>
          <w:szCs w:val="18"/>
          <w:highlight w:val="none"/>
        </w:rPr>
        <w:t>（一）★磋商申请</w:t>
      </w:r>
      <w:bookmarkEnd w:id="1112"/>
      <w:r>
        <w:rPr>
          <w:rFonts w:hint="eastAsia" w:ascii="宋体" w:hAnsi="宋体" w:cs="宋体"/>
          <w:b/>
          <w:color w:val="auto"/>
          <w:sz w:val="28"/>
          <w:szCs w:val="18"/>
          <w:highlight w:val="none"/>
        </w:rPr>
        <w:t>函</w:t>
      </w:r>
      <w:bookmarkEnd w:id="1113"/>
      <w:bookmarkEnd w:id="1114"/>
      <w:bookmarkEnd w:id="1115"/>
      <w:bookmarkEnd w:id="1116"/>
    </w:p>
    <w:p w14:paraId="6E89967F">
      <w:pPr>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致：</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（采购人名称）</w:t>
      </w:r>
    </w:p>
    <w:p w14:paraId="2F5F831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我方仔细研究了</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（项目名称）</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b/>
          <w:bCs/>
          <w:color w:val="auto"/>
          <w:szCs w:val="21"/>
          <w:highlight w:val="none"/>
        </w:rPr>
        <w:t>招标编号：</w:t>
      </w:r>
      <w:r>
        <w:rPr>
          <w:rFonts w:ascii="宋体" w:hAnsi="宋体"/>
          <w:color w:val="auto"/>
          <w:szCs w:val="21"/>
          <w:highlight w:val="none"/>
          <w:u w:val="single"/>
        </w:rPr>
        <w:t xml:space="preserve">          </w:t>
      </w:r>
      <w:r>
        <w:rPr>
          <w:rFonts w:hint="eastAsia" w:ascii="宋体" w:hAnsi="宋体"/>
          <w:color w:val="auto"/>
          <w:szCs w:val="21"/>
          <w:highlight w:val="none"/>
        </w:rPr>
        <w:t>）竞争性磋商文件，并认可项目竞争性磋商文件的全部内容，我方正式授权下述签字人</w:t>
      </w:r>
      <w:r>
        <w:rPr>
          <w:rFonts w:ascii="宋体" w:hAnsi="宋体"/>
          <w:color w:val="auto"/>
          <w:szCs w:val="21"/>
          <w:highlight w:val="none"/>
          <w:u w:val="single"/>
        </w:rPr>
        <w:t xml:space="preserve">   </w:t>
      </w:r>
      <w:r>
        <w:rPr>
          <w:rFonts w:hint="eastAsia" w:ascii="宋体" w:hAnsi="宋体"/>
          <w:color w:val="auto"/>
          <w:szCs w:val="21"/>
          <w:highlight w:val="none"/>
          <w:u w:val="single"/>
        </w:rPr>
        <w:t>（姓名和职务）</w:t>
      </w:r>
      <w:r>
        <w:rPr>
          <w:rFonts w:ascii="宋体" w:hAnsi="宋体"/>
          <w:color w:val="auto"/>
          <w:szCs w:val="21"/>
          <w:highlight w:val="none"/>
          <w:u w:val="single"/>
        </w:rPr>
        <w:t xml:space="preserve">    </w:t>
      </w:r>
      <w:r>
        <w:rPr>
          <w:rFonts w:hint="eastAsia" w:ascii="宋体" w:hAnsi="宋体"/>
          <w:color w:val="auto"/>
          <w:szCs w:val="21"/>
          <w:highlight w:val="none"/>
        </w:rPr>
        <w:t>全权代表</w:t>
      </w:r>
      <w:r>
        <w:rPr>
          <w:rFonts w:ascii="宋体" w:hAnsi="宋体"/>
          <w:color w:val="auto"/>
          <w:szCs w:val="21"/>
          <w:highlight w:val="none"/>
          <w:u w:val="single"/>
        </w:rPr>
        <w:t xml:space="preserve">  </w:t>
      </w:r>
      <w:r>
        <w:rPr>
          <w:rFonts w:hint="eastAsia" w:ascii="宋体" w:hAnsi="宋体"/>
          <w:color w:val="auto"/>
          <w:szCs w:val="21"/>
          <w:highlight w:val="none"/>
          <w:u w:val="single"/>
        </w:rPr>
        <w:t>（供应商全称）</w:t>
      </w:r>
      <w:r>
        <w:rPr>
          <w:rFonts w:ascii="宋体" w:hAnsi="宋体"/>
          <w:color w:val="auto"/>
          <w:szCs w:val="21"/>
          <w:highlight w:val="none"/>
          <w:u w:val="single"/>
        </w:rPr>
        <w:t xml:space="preserve">   </w:t>
      </w:r>
      <w:r>
        <w:rPr>
          <w:rFonts w:hint="eastAsia" w:ascii="宋体" w:hAnsi="宋体"/>
          <w:color w:val="auto"/>
          <w:szCs w:val="21"/>
          <w:highlight w:val="none"/>
        </w:rPr>
        <w:t>参加磋商，并提交响应文件。</w:t>
      </w:r>
    </w:p>
    <w:p w14:paraId="7E35EED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据此申请书，签字人兹宣布同意如下：</w:t>
      </w:r>
    </w:p>
    <w:p w14:paraId="761878E2">
      <w:pPr>
        <w:numPr>
          <w:ilvl w:val="0"/>
          <w:numId w:val="21"/>
        </w:numPr>
        <w:overflowPunct w:val="0"/>
        <w:adjustRightInd w:val="0"/>
        <w:snapToGrid w:val="0"/>
        <w:spacing w:line="360" w:lineRule="auto"/>
        <w:ind w:firstLine="420"/>
        <w:jc w:val="left"/>
        <w:rPr>
          <w:rFonts w:hint="eastAsia" w:ascii="宋体" w:hAnsi="宋体"/>
          <w:color w:val="auto"/>
          <w:szCs w:val="21"/>
          <w:highlight w:val="none"/>
        </w:rPr>
      </w:pPr>
      <w:r>
        <w:rPr>
          <w:rFonts w:ascii="宋体" w:hAnsi="宋体"/>
          <w:color w:val="auto"/>
          <w:szCs w:val="21"/>
          <w:highlight w:val="none"/>
        </w:rPr>
        <w:t>我方愿以</w:t>
      </w:r>
      <w:r>
        <w:rPr>
          <w:rFonts w:hint="eastAsia" w:ascii="宋体" w:hAnsi="宋体"/>
          <w:color w:val="auto"/>
          <w:szCs w:val="21"/>
          <w:highlight w:val="none"/>
        </w:rPr>
        <w:t>：</w:t>
      </w:r>
      <w:r>
        <w:rPr>
          <w:rFonts w:hint="eastAsia" w:ascii="宋体" w:hAnsi="宋体"/>
          <w:b/>
          <w:color w:val="auto"/>
          <w:highlight w:val="none"/>
        </w:rPr>
        <w:t>人民币</w:t>
      </w:r>
      <w:r>
        <w:rPr>
          <w:rFonts w:hint="eastAsia" w:ascii="宋体" w:hAnsi="宋体"/>
          <w:b/>
          <w:color w:val="auto"/>
          <w:highlight w:val="none"/>
          <w:u w:val="single"/>
        </w:rPr>
        <w:t xml:space="preserve">     元</w:t>
      </w:r>
      <w:r>
        <w:rPr>
          <w:rFonts w:hint="eastAsia" w:ascii="宋体" w:hAnsi="宋体" w:cs="宋体"/>
          <w:color w:val="auto"/>
          <w:szCs w:val="21"/>
          <w:highlight w:val="none"/>
        </w:rPr>
        <w:t>的磋商报价</w:t>
      </w:r>
      <w:r>
        <w:rPr>
          <w:rFonts w:ascii="宋体" w:hAnsi="宋体"/>
          <w:color w:val="auto"/>
          <w:szCs w:val="21"/>
          <w:highlight w:val="none"/>
        </w:rPr>
        <w:t>，</w:t>
      </w:r>
      <w:r>
        <w:rPr>
          <w:rFonts w:hint="eastAsia" w:ascii="宋体" w:hAnsi="宋体"/>
          <w:color w:val="auto"/>
          <w:szCs w:val="21"/>
          <w:highlight w:val="none"/>
        </w:rPr>
        <w:t>按合同约定完成本项目。</w:t>
      </w:r>
    </w:p>
    <w:p w14:paraId="23E25ABB">
      <w:pPr>
        <w:spacing w:line="360" w:lineRule="auto"/>
        <w:ind w:firstLine="420" w:firstLineChars="200"/>
        <w:jc w:val="left"/>
        <w:rPr>
          <w:rFonts w:hint="eastAsia" w:ascii="宋体" w:hAnsi="宋体"/>
          <w:b/>
          <w:bCs/>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我方拟派</w:t>
      </w:r>
      <w:r>
        <w:rPr>
          <w:rFonts w:hint="eastAsia" w:ascii="宋体" w:hAnsi="宋体"/>
          <w:b/>
          <w:bCs/>
          <w:color w:val="auto"/>
          <w:szCs w:val="21"/>
          <w:highlight w:val="none"/>
        </w:rPr>
        <w:t>项目经理姓名：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w:t>
      </w:r>
      <w:r>
        <w:rPr>
          <w:rFonts w:hint="eastAsia" w:ascii="宋体" w:hAnsi="宋体"/>
          <w:b/>
          <w:bCs/>
          <w:color w:val="auto"/>
          <w:szCs w:val="21"/>
          <w:highlight w:val="none"/>
        </w:rPr>
        <w:t>执业证书信息（注册证书编号）：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3DBF8FAD">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我方承诺本项目</w:t>
      </w:r>
      <w:r>
        <w:rPr>
          <w:rFonts w:hint="eastAsia" w:ascii="宋体" w:hAnsi="宋体"/>
          <w:b/>
          <w:bCs/>
          <w:color w:val="auto"/>
          <w:szCs w:val="21"/>
          <w:highlight w:val="none"/>
        </w:rPr>
        <w:t>工期为：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b/>
          <w:bCs/>
          <w:color w:val="auto"/>
          <w:szCs w:val="21"/>
          <w:highlight w:val="none"/>
        </w:rPr>
        <w:t>项目实施地点: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b/>
          <w:bCs/>
          <w:color w:val="auto"/>
          <w:szCs w:val="21"/>
          <w:highlight w:val="none"/>
        </w:rPr>
        <w:t>。</w:t>
      </w:r>
    </w:p>
    <w:p w14:paraId="78F7AE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 xml:space="preserve">. </w:t>
      </w:r>
      <w:r>
        <w:rPr>
          <w:rFonts w:hint="eastAsia" w:ascii="宋体" w:hAnsi="宋体"/>
          <w:bCs/>
          <w:color w:val="auto"/>
          <w:szCs w:val="21"/>
          <w:highlight w:val="none"/>
        </w:rPr>
        <w:t>我方满足的</w:t>
      </w:r>
      <w:r>
        <w:rPr>
          <w:rFonts w:hint="eastAsia" w:ascii="宋体" w:hAnsi="宋体"/>
          <w:b/>
          <w:bCs/>
          <w:color w:val="auto"/>
          <w:szCs w:val="21"/>
          <w:highlight w:val="none"/>
        </w:rPr>
        <w:t>质量标准为：</w:t>
      </w:r>
      <w:r>
        <w:rPr>
          <w:rFonts w:hint="eastAsia" w:ascii="宋体" w:hAnsi="宋体"/>
          <w:color w:val="auto"/>
          <w:szCs w:val="21"/>
          <w:highlight w:val="none"/>
          <w:u w:val="single"/>
        </w:rPr>
        <w:t>工程质量、安全、技术规格、物理特性符合国家标准和行业标准以及采购人的要求，一次性验收合格</w:t>
      </w:r>
      <w:r>
        <w:rPr>
          <w:rFonts w:hint="eastAsia" w:ascii="宋体" w:hAnsi="宋体"/>
          <w:b/>
          <w:bCs/>
          <w:color w:val="auto"/>
          <w:szCs w:val="21"/>
          <w:highlight w:val="none"/>
        </w:rPr>
        <w:t>。</w:t>
      </w:r>
    </w:p>
    <w:p w14:paraId="50E39A6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bCs/>
          <w:color w:val="auto"/>
          <w:szCs w:val="21"/>
          <w:highlight w:val="none"/>
        </w:rPr>
        <w:t>我方满足的</w:t>
      </w:r>
      <w:r>
        <w:rPr>
          <w:rFonts w:hint="eastAsia" w:ascii="宋体" w:hAnsi="宋体"/>
          <w:b/>
          <w:color w:val="auto"/>
          <w:szCs w:val="21"/>
          <w:highlight w:val="none"/>
        </w:rPr>
        <w:t>工程</w:t>
      </w:r>
      <w:r>
        <w:rPr>
          <w:rFonts w:hint="eastAsia" w:ascii="宋体" w:hAnsi="宋体"/>
          <w:b/>
          <w:bCs/>
          <w:color w:val="auto"/>
          <w:szCs w:val="21"/>
          <w:highlight w:val="none"/>
        </w:rPr>
        <w:t>保修期为：</w:t>
      </w:r>
      <w:r>
        <w:rPr>
          <w:rFonts w:hint="eastAsia" w:ascii="宋体" w:hAnsi="宋体"/>
          <w:color w:val="auto"/>
          <w:szCs w:val="21"/>
          <w:highlight w:val="none"/>
          <w:u w:val="single"/>
        </w:rPr>
        <w:t>满足《建设工程质量管理条例》</w:t>
      </w:r>
      <w:r>
        <w:rPr>
          <w:rFonts w:ascii="宋体" w:hAnsi="宋体"/>
          <w:color w:val="auto"/>
          <w:szCs w:val="21"/>
          <w:highlight w:val="none"/>
          <w:u w:val="single"/>
        </w:rPr>
        <w:t xml:space="preserve"> </w:t>
      </w:r>
      <w:r>
        <w:rPr>
          <w:rFonts w:hint="eastAsia" w:ascii="宋体" w:hAnsi="宋体"/>
          <w:b/>
          <w:bCs/>
          <w:color w:val="auto"/>
          <w:szCs w:val="21"/>
          <w:highlight w:val="none"/>
        </w:rPr>
        <w:t>。</w:t>
      </w:r>
    </w:p>
    <w:p w14:paraId="46A6FED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 我方同意将按竞争性磋商文件的规定履行合同责任和义务。</w:t>
      </w:r>
    </w:p>
    <w:p w14:paraId="0F8C4CE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 我方已详细审查全部竞争性磋商文件，包括修改文件以及全部参考资料和所有附件。我们完全理解并认为该磋商文件公平公正，不存在倾向性，且同意放弃对这方面有不明及误解的权利。</w:t>
      </w:r>
    </w:p>
    <w:p w14:paraId="146E69D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 我方响应文件有效期为自磋商之日起</w:t>
      </w:r>
      <w:r>
        <w:rPr>
          <w:rFonts w:hint="eastAsia" w:ascii="宋体" w:hAnsi="宋体"/>
          <w:color w:val="auto"/>
          <w:szCs w:val="21"/>
          <w:highlight w:val="none"/>
          <w:u w:val="single"/>
        </w:rPr>
        <w:t>90</w:t>
      </w:r>
      <w:r>
        <w:rPr>
          <w:rFonts w:hint="eastAsia" w:ascii="宋体" w:hAnsi="宋体"/>
          <w:color w:val="auto"/>
          <w:szCs w:val="21"/>
          <w:highlight w:val="none"/>
        </w:rPr>
        <w:t>天。</w:t>
      </w:r>
    </w:p>
    <w:p w14:paraId="6ADE707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9．我方同意供应商须知中关于没收磋商保证金的规定。</w:t>
      </w:r>
    </w:p>
    <w:p w14:paraId="728D2A2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10．同意应贵方要求提供与本次磋商有关的任何数据和资料，并保证数据和资料的完整性和真实性。</w:t>
      </w:r>
    </w:p>
    <w:p w14:paraId="2C97A29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xml:space="preserve">. </w:t>
      </w:r>
      <w:r>
        <w:rPr>
          <w:rFonts w:hint="eastAsia" w:ascii="宋体" w:hAnsi="宋体"/>
          <w:color w:val="auto"/>
          <w:szCs w:val="21"/>
          <w:highlight w:val="none"/>
        </w:rPr>
        <w:t>我方完全理解贵方不一定要接受最低报价的供应商为成交供应商的行为。</w:t>
      </w:r>
    </w:p>
    <w:p w14:paraId="50455525">
      <w:pPr>
        <w:spacing w:line="360" w:lineRule="auto"/>
        <w:jc w:val="left"/>
        <w:rPr>
          <w:rFonts w:hint="eastAsia" w:ascii="宋体" w:hAnsi="宋体"/>
          <w:color w:val="auto"/>
          <w:szCs w:val="21"/>
          <w:highlight w:val="none"/>
        </w:rPr>
      </w:pPr>
    </w:p>
    <w:p w14:paraId="0EE0419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与本次磋商有关的正式通讯地址为：</w:t>
      </w:r>
    </w:p>
    <w:p w14:paraId="4C3FF1F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4C32D44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hint="eastAsia" w:ascii="宋体" w:hAnsi="宋体"/>
          <w:color w:val="auto"/>
          <w:szCs w:val="21"/>
          <w:highlight w:val="none"/>
          <w:u w:val="single"/>
        </w:rPr>
        <w:t>　　　　　　　　</w:t>
      </w:r>
    </w:p>
    <w:p w14:paraId="55071E3B">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开户名称：</w:t>
      </w:r>
      <w:r>
        <w:rPr>
          <w:rFonts w:ascii="宋体" w:hAnsi="宋体"/>
          <w:color w:val="auto"/>
          <w:szCs w:val="21"/>
          <w:highlight w:val="none"/>
          <w:u w:val="single"/>
        </w:rPr>
        <w:t xml:space="preserve">                                                    </w:t>
      </w:r>
    </w:p>
    <w:p w14:paraId="0D1FA73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开户银行：</w:t>
      </w:r>
      <w:r>
        <w:rPr>
          <w:rFonts w:ascii="宋体" w:hAnsi="宋体"/>
          <w:color w:val="auto"/>
          <w:szCs w:val="21"/>
          <w:highlight w:val="none"/>
          <w:u w:val="single"/>
        </w:rPr>
        <w:t xml:space="preserve">                                                    </w:t>
      </w:r>
    </w:p>
    <w:p w14:paraId="125F6E8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帐</w:t>
      </w:r>
      <w:r>
        <w:rPr>
          <w:rFonts w:ascii="宋体" w:hAnsi="宋体"/>
          <w:color w:val="auto"/>
          <w:szCs w:val="21"/>
          <w:highlight w:val="none"/>
        </w:rPr>
        <w:t xml:space="preserve">    </w:t>
      </w:r>
      <w:r>
        <w:rPr>
          <w:rFonts w:hint="eastAsia" w:ascii="宋体" w:hAnsi="宋体"/>
          <w:color w:val="auto"/>
          <w:szCs w:val="21"/>
          <w:highlight w:val="none"/>
        </w:rPr>
        <w:t>号：</w:t>
      </w:r>
      <w:r>
        <w:rPr>
          <w:rFonts w:ascii="宋体" w:hAnsi="宋体"/>
          <w:color w:val="auto"/>
          <w:szCs w:val="21"/>
          <w:highlight w:val="none"/>
          <w:u w:val="single"/>
        </w:rPr>
        <w:t xml:space="preserve">                                                    </w:t>
      </w:r>
    </w:p>
    <w:p w14:paraId="72211B8B">
      <w:pPr>
        <w:spacing w:line="480" w:lineRule="auto"/>
        <w:ind w:firstLine="422" w:firstLineChars="200"/>
        <w:jc w:val="left"/>
        <w:rPr>
          <w:rFonts w:hint="eastAsia" w:ascii="宋体" w:hAnsi="宋体"/>
          <w:b/>
          <w:bCs/>
          <w:color w:val="auto"/>
          <w:szCs w:val="21"/>
          <w:highlight w:val="none"/>
        </w:rPr>
      </w:pPr>
    </w:p>
    <w:p w14:paraId="7B2A9B27">
      <w:pPr>
        <w:spacing w:line="48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供应商：</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rPr>
        <w:t>（电子签章）</w:t>
      </w:r>
    </w:p>
    <w:p w14:paraId="2C8F2A85">
      <w:pPr>
        <w:spacing w:line="48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法定代表人或其委托代理人：</w:t>
      </w:r>
      <w:r>
        <w:rPr>
          <w:rFonts w:ascii="宋体" w:hAnsi="宋体"/>
          <w:b/>
          <w:bCs/>
          <w:color w:val="auto"/>
          <w:szCs w:val="21"/>
          <w:highlight w:val="none"/>
          <w:u w:val="single"/>
        </w:rPr>
        <w:t xml:space="preserve">                  </w:t>
      </w:r>
      <w:r>
        <w:rPr>
          <w:rFonts w:hint="eastAsia" w:ascii="宋体" w:hAnsi="宋体"/>
          <w:b/>
          <w:bCs/>
          <w:color w:val="auto"/>
          <w:szCs w:val="21"/>
          <w:highlight w:val="none"/>
        </w:rPr>
        <w:t>（电子签名）</w:t>
      </w:r>
    </w:p>
    <w:p w14:paraId="0B5EF3D5">
      <w:pPr>
        <w:spacing w:line="48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日期：</w:t>
      </w:r>
      <w:r>
        <w:rPr>
          <w:rFonts w:ascii="宋体" w:hAnsi="宋体"/>
          <w:b/>
          <w:bCs/>
          <w:color w:val="auto"/>
          <w:szCs w:val="21"/>
          <w:highlight w:val="none"/>
          <w:u w:val="single"/>
        </w:rPr>
        <w:t xml:space="preserve">            </w:t>
      </w:r>
      <w:r>
        <w:rPr>
          <w:rFonts w:hint="eastAsia" w:ascii="宋体" w:hAnsi="宋体"/>
          <w:b/>
          <w:bCs/>
          <w:color w:val="auto"/>
          <w:szCs w:val="21"/>
          <w:highlight w:val="none"/>
        </w:rPr>
        <w:t>年</w:t>
      </w:r>
      <w:r>
        <w:rPr>
          <w:rFonts w:ascii="宋体" w:hAnsi="宋体"/>
          <w:b/>
          <w:bCs/>
          <w:color w:val="auto"/>
          <w:szCs w:val="21"/>
          <w:highlight w:val="none"/>
          <w:u w:val="single"/>
        </w:rPr>
        <w:t xml:space="preserve">       </w:t>
      </w:r>
      <w:r>
        <w:rPr>
          <w:rFonts w:hint="eastAsia" w:ascii="宋体" w:hAnsi="宋体"/>
          <w:b/>
          <w:bCs/>
          <w:color w:val="auto"/>
          <w:szCs w:val="21"/>
          <w:highlight w:val="none"/>
        </w:rPr>
        <w:t>月</w:t>
      </w:r>
      <w:r>
        <w:rPr>
          <w:rFonts w:ascii="宋体" w:hAnsi="宋体"/>
          <w:b/>
          <w:bCs/>
          <w:color w:val="auto"/>
          <w:szCs w:val="21"/>
          <w:highlight w:val="none"/>
          <w:u w:val="single"/>
        </w:rPr>
        <w:t xml:space="preserve">       </w:t>
      </w:r>
      <w:r>
        <w:rPr>
          <w:rFonts w:hint="eastAsia" w:ascii="宋体" w:hAnsi="宋体"/>
          <w:b/>
          <w:bCs/>
          <w:color w:val="auto"/>
          <w:szCs w:val="21"/>
          <w:highlight w:val="none"/>
        </w:rPr>
        <w:t>日</w:t>
      </w:r>
    </w:p>
    <w:p w14:paraId="54BCD8BE">
      <w:pPr>
        <w:keepNext/>
        <w:keepLines/>
        <w:spacing w:line="360" w:lineRule="auto"/>
        <w:jc w:val="center"/>
        <w:outlineLvl w:val="2"/>
        <w:rPr>
          <w:rFonts w:hint="eastAsia" w:ascii="宋体" w:hAnsi="宋体"/>
          <w:bCs/>
          <w:color w:val="auto"/>
          <w:highlight w:val="none"/>
        </w:rPr>
      </w:pPr>
      <w:r>
        <w:rPr>
          <w:rFonts w:hint="eastAsia" w:ascii="宋体" w:hAnsi="宋体"/>
          <w:bCs/>
          <w:color w:val="auto"/>
          <w:highlight w:val="none"/>
        </w:rPr>
        <w:br w:type="page"/>
      </w:r>
      <w:bookmarkStart w:id="1121" w:name="_Toc174031461"/>
      <w:bookmarkStart w:id="1122" w:name="_Toc22449"/>
      <w:bookmarkStart w:id="1123" w:name="_Toc179645126"/>
      <w:r>
        <w:rPr>
          <w:rFonts w:hint="eastAsia" w:ascii="宋体" w:hAnsi="宋体" w:cs="宋体"/>
          <w:b/>
          <w:color w:val="auto"/>
          <w:sz w:val="28"/>
          <w:szCs w:val="18"/>
          <w:highlight w:val="none"/>
        </w:rPr>
        <w:t>（二）法定代表人身份证明书</w:t>
      </w:r>
      <w:bookmarkEnd w:id="1121"/>
      <w:bookmarkEnd w:id="1122"/>
      <w:bookmarkEnd w:id="1123"/>
    </w:p>
    <w:p w14:paraId="6BD3CADC">
      <w:pPr>
        <w:spacing w:line="360" w:lineRule="auto"/>
        <w:rPr>
          <w:rFonts w:hint="eastAsia" w:ascii="宋体" w:hAnsi="宋体"/>
          <w:b/>
          <w:color w:val="auto"/>
          <w:sz w:val="30"/>
          <w:szCs w:val="30"/>
          <w:highlight w:val="none"/>
        </w:rPr>
      </w:pPr>
    </w:p>
    <w:p w14:paraId="371A51F5">
      <w:pPr>
        <w:spacing w:line="360" w:lineRule="auto"/>
        <w:rPr>
          <w:rFonts w:hint="eastAsia"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u w:val="single"/>
        </w:rPr>
        <w:t xml:space="preserve">                        </w:t>
      </w:r>
    </w:p>
    <w:p w14:paraId="07C6FD8C">
      <w:pPr>
        <w:spacing w:line="360" w:lineRule="auto"/>
        <w:rPr>
          <w:rFonts w:hint="eastAsia" w:ascii="宋体" w:hAnsi="宋体"/>
          <w:color w:val="auto"/>
          <w:szCs w:val="21"/>
          <w:highlight w:val="none"/>
        </w:rPr>
      </w:pPr>
      <w:r>
        <w:rPr>
          <w:rFonts w:hint="eastAsia" w:ascii="宋体" w:hAnsi="宋体"/>
          <w:color w:val="auto"/>
          <w:szCs w:val="21"/>
          <w:highlight w:val="none"/>
        </w:rPr>
        <w:t>单位性质：</w:t>
      </w:r>
      <w:r>
        <w:rPr>
          <w:rFonts w:ascii="宋体" w:hAnsi="宋体"/>
          <w:color w:val="auto"/>
          <w:szCs w:val="21"/>
          <w:highlight w:val="none"/>
          <w:u w:val="single"/>
        </w:rPr>
        <w:t xml:space="preserve">                          </w:t>
      </w:r>
    </w:p>
    <w:p w14:paraId="77F999A8">
      <w:pPr>
        <w:spacing w:line="360" w:lineRule="auto"/>
        <w:rPr>
          <w:rFonts w:hint="eastAsia" w:ascii="宋体" w:hAnsi="宋体"/>
          <w:color w:val="auto"/>
          <w:szCs w:val="21"/>
          <w:highlight w:val="none"/>
        </w:rPr>
      </w:pPr>
      <w:r>
        <w:rPr>
          <w:rFonts w:hint="eastAsia" w:ascii="宋体" w:hAnsi="宋体"/>
          <w:color w:val="auto"/>
          <w:szCs w:val="21"/>
          <w:highlight w:val="none"/>
        </w:rPr>
        <w:t>成立时间：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3D88ABE8">
      <w:pPr>
        <w:spacing w:line="360" w:lineRule="auto"/>
        <w:rPr>
          <w:rFonts w:hint="eastAsia" w:ascii="宋体" w:hAnsi="宋体"/>
          <w:color w:val="auto"/>
          <w:szCs w:val="21"/>
          <w:highlight w:val="none"/>
        </w:rPr>
      </w:pPr>
      <w:r>
        <w:rPr>
          <w:rFonts w:hint="eastAsia" w:ascii="宋体" w:hAnsi="宋体"/>
          <w:color w:val="auto"/>
          <w:szCs w:val="21"/>
          <w:highlight w:val="none"/>
        </w:rPr>
        <w:t>经营期限：</w:t>
      </w:r>
      <w:r>
        <w:rPr>
          <w:rFonts w:ascii="宋体" w:hAnsi="宋体"/>
          <w:color w:val="auto"/>
          <w:szCs w:val="21"/>
          <w:highlight w:val="none"/>
          <w:u w:val="single"/>
        </w:rPr>
        <w:t xml:space="preserve">                          </w:t>
      </w:r>
    </w:p>
    <w:p w14:paraId="3F37B015">
      <w:pPr>
        <w:spacing w:line="360" w:lineRule="auto"/>
        <w:rPr>
          <w:rFonts w:hint="eastAsia"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性别：</w:t>
      </w:r>
      <w:r>
        <w:rPr>
          <w:rFonts w:ascii="宋体" w:hAnsi="宋体"/>
          <w:color w:val="auto"/>
          <w:szCs w:val="21"/>
          <w:highlight w:val="none"/>
          <w:u w:val="single"/>
        </w:rPr>
        <w:t xml:space="preserve">            </w:t>
      </w:r>
      <w:r>
        <w:rPr>
          <w:rFonts w:hint="eastAsia" w:ascii="宋体" w:hAnsi="宋体"/>
          <w:color w:val="auto"/>
          <w:szCs w:val="21"/>
          <w:highlight w:val="none"/>
        </w:rPr>
        <w:t>年龄：</w:t>
      </w:r>
      <w:r>
        <w:rPr>
          <w:rFonts w:ascii="宋体" w:hAnsi="宋体"/>
          <w:color w:val="auto"/>
          <w:szCs w:val="21"/>
          <w:highlight w:val="none"/>
          <w:u w:val="single"/>
        </w:rPr>
        <w:t xml:space="preserve">            </w:t>
      </w:r>
      <w:r>
        <w:rPr>
          <w:rFonts w:hint="eastAsia" w:ascii="宋体" w:hAnsi="宋体"/>
          <w:color w:val="auto"/>
          <w:szCs w:val="21"/>
          <w:highlight w:val="none"/>
        </w:rPr>
        <w:t>职务：</w:t>
      </w:r>
      <w:r>
        <w:rPr>
          <w:rFonts w:ascii="宋体" w:hAnsi="宋体"/>
          <w:color w:val="auto"/>
          <w:szCs w:val="21"/>
          <w:highlight w:val="none"/>
          <w:u w:val="single"/>
        </w:rPr>
        <w:t xml:space="preserve">            </w:t>
      </w:r>
    </w:p>
    <w:p w14:paraId="566AF66F">
      <w:pPr>
        <w:spacing w:line="360" w:lineRule="auto"/>
        <w:rPr>
          <w:rFonts w:hint="eastAsia"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（供应商名称）的法定代表人。</w:t>
      </w:r>
    </w:p>
    <w:p w14:paraId="607CF43D">
      <w:pPr>
        <w:spacing w:line="360" w:lineRule="auto"/>
        <w:ind w:firstLine="420" w:firstLineChars="200"/>
        <w:rPr>
          <w:rFonts w:hint="eastAsia" w:ascii="宋体" w:hAnsi="宋体"/>
          <w:color w:val="auto"/>
          <w:szCs w:val="21"/>
          <w:highlight w:val="none"/>
        </w:rPr>
      </w:pPr>
    </w:p>
    <w:p w14:paraId="34B2A1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特此证明。</w:t>
      </w:r>
    </w:p>
    <w:p w14:paraId="43FACBCD">
      <w:pPr>
        <w:spacing w:line="360" w:lineRule="auto"/>
        <w:rPr>
          <w:rFonts w:hint="eastAsia" w:ascii="宋体" w:hAnsi="宋体"/>
          <w:b/>
          <w:bCs/>
          <w:color w:val="auto"/>
          <w:sz w:val="24"/>
          <w:highlight w:val="none"/>
        </w:rPr>
      </w:pPr>
    </w:p>
    <w:p w14:paraId="076954FD">
      <w:pPr>
        <w:spacing w:line="360" w:lineRule="auto"/>
        <w:rPr>
          <w:rFonts w:hint="eastAsia" w:ascii="宋体" w:hAnsi="宋体"/>
          <w:color w:val="auto"/>
          <w:sz w:val="18"/>
          <w:szCs w:val="18"/>
          <w:highlight w:val="none"/>
        </w:rPr>
      </w:pPr>
      <w:r>
        <w:rPr>
          <w:rFonts w:hint="eastAsia" w:ascii="宋体" w:hAnsi="宋体"/>
          <w:b/>
          <w:bCs/>
          <w:color w:val="auto"/>
          <w:szCs w:val="21"/>
          <w:highlight w:val="none"/>
        </w:rPr>
        <w:t>注</w:t>
      </w:r>
      <w:r>
        <w:rPr>
          <w:rFonts w:ascii="宋体" w:hAnsi="宋体"/>
          <w:b/>
          <w:bCs/>
          <w:color w:val="auto"/>
          <w:szCs w:val="21"/>
          <w:highlight w:val="none"/>
        </w:rPr>
        <w:t>:</w:t>
      </w:r>
      <w:r>
        <w:rPr>
          <w:rFonts w:hint="eastAsia" w:ascii="宋体" w:hAnsi="宋体"/>
          <w:b/>
          <w:bCs/>
          <w:color w:val="auto"/>
          <w:szCs w:val="21"/>
          <w:highlight w:val="none"/>
        </w:rPr>
        <w:t>后附法定代表人身份证复印件。</w:t>
      </w:r>
    </w:p>
    <w:p w14:paraId="6EEE1565">
      <w:pPr>
        <w:overflowPunct w:val="0"/>
        <w:adjustRightInd w:val="0"/>
        <w:snapToGrid w:val="0"/>
        <w:spacing w:line="480" w:lineRule="auto"/>
        <w:ind w:firstLine="422" w:firstLineChars="200"/>
        <w:rPr>
          <w:rFonts w:hint="eastAsia" w:ascii="宋体" w:hAnsi="宋体"/>
          <w:b/>
          <w:color w:val="auto"/>
          <w:szCs w:val="21"/>
          <w:highlight w:val="none"/>
        </w:rPr>
      </w:pPr>
    </w:p>
    <w:p w14:paraId="3EB7B954">
      <w:pPr>
        <w:overflowPunct w:val="0"/>
        <w:adjustRightInd w:val="0"/>
        <w:snapToGrid w:val="0"/>
        <w:spacing w:line="480" w:lineRule="auto"/>
        <w:ind w:firstLine="422" w:firstLineChars="200"/>
        <w:rPr>
          <w:rFonts w:hint="eastAsia" w:ascii="宋体" w:hAnsi="宋体"/>
          <w:b/>
          <w:color w:val="auto"/>
          <w:szCs w:val="21"/>
          <w:highlight w:val="none"/>
        </w:rPr>
      </w:pPr>
    </w:p>
    <w:p w14:paraId="294DAC40">
      <w:pPr>
        <w:overflowPunct w:val="0"/>
        <w:adjustRightInd w:val="0"/>
        <w:snapToGrid w:val="0"/>
        <w:spacing w:line="48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供应商</w:t>
      </w:r>
      <w:r>
        <w:rPr>
          <w:rFonts w:ascii="宋体" w:hAnsi="宋体"/>
          <w:b/>
          <w:color w:val="auto"/>
          <w:szCs w:val="21"/>
          <w:highlight w:val="none"/>
        </w:rPr>
        <w:t>：</w:t>
      </w:r>
      <w:r>
        <w:rPr>
          <w:rFonts w:ascii="宋体" w:hAnsi="宋体"/>
          <w:b/>
          <w:color w:val="auto"/>
          <w:szCs w:val="21"/>
          <w:highlight w:val="none"/>
          <w:u w:val="single"/>
        </w:rPr>
        <w:t xml:space="preserve">                                 </w:t>
      </w:r>
      <w:r>
        <w:rPr>
          <w:rFonts w:ascii="宋体" w:hAnsi="宋体"/>
          <w:b/>
          <w:color w:val="auto"/>
          <w:szCs w:val="21"/>
          <w:highlight w:val="none"/>
        </w:rPr>
        <w:t>（</w:t>
      </w:r>
      <w:r>
        <w:rPr>
          <w:rFonts w:hint="eastAsia" w:ascii="宋体" w:hAnsi="宋体"/>
          <w:b/>
          <w:bCs/>
          <w:color w:val="auto"/>
          <w:szCs w:val="21"/>
          <w:highlight w:val="none"/>
        </w:rPr>
        <w:t>电子签章</w:t>
      </w:r>
      <w:r>
        <w:rPr>
          <w:rFonts w:ascii="宋体" w:hAnsi="宋体"/>
          <w:b/>
          <w:color w:val="auto"/>
          <w:szCs w:val="21"/>
          <w:highlight w:val="none"/>
        </w:rPr>
        <w:t>）</w:t>
      </w:r>
    </w:p>
    <w:p w14:paraId="23D5D9D6">
      <w:pPr>
        <w:overflowPunct w:val="0"/>
        <w:adjustRightInd w:val="0"/>
        <w:snapToGrid w:val="0"/>
        <w:spacing w:line="48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日期：</w:t>
      </w:r>
      <w:r>
        <w:rPr>
          <w:rFonts w:ascii="宋体" w:hAnsi="宋体"/>
          <w:b/>
          <w:color w:val="auto"/>
          <w:szCs w:val="21"/>
          <w:highlight w:val="none"/>
          <w:u w:val="single"/>
        </w:rPr>
        <w:t xml:space="preserve">            </w:t>
      </w:r>
      <w:r>
        <w:rPr>
          <w:rFonts w:ascii="宋体" w:hAnsi="宋体"/>
          <w:b/>
          <w:color w:val="auto"/>
          <w:szCs w:val="21"/>
          <w:highlight w:val="none"/>
        </w:rPr>
        <w:t>年</w:t>
      </w:r>
      <w:r>
        <w:rPr>
          <w:rFonts w:ascii="宋体" w:hAnsi="宋体"/>
          <w:b/>
          <w:color w:val="auto"/>
          <w:szCs w:val="21"/>
          <w:highlight w:val="none"/>
          <w:u w:val="single"/>
        </w:rPr>
        <w:t xml:space="preserve">       </w:t>
      </w:r>
      <w:r>
        <w:rPr>
          <w:rFonts w:ascii="宋体" w:hAnsi="宋体"/>
          <w:b/>
          <w:color w:val="auto"/>
          <w:szCs w:val="21"/>
          <w:highlight w:val="none"/>
        </w:rPr>
        <w:t>月</w:t>
      </w:r>
      <w:r>
        <w:rPr>
          <w:rFonts w:ascii="宋体" w:hAnsi="宋体"/>
          <w:b/>
          <w:color w:val="auto"/>
          <w:szCs w:val="21"/>
          <w:highlight w:val="none"/>
          <w:u w:val="single"/>
        </w:rPr>
        <w:t xml:space="preserve">       </w:t>
      </w:r>
      <w:r>
        <w:rPr>
          <w:rFonts w:ascii="宋体" w:hAnsi="宋体"/>
          <w:b/>
          <w:color w:val="auto"/>
          <w:szCs w:val="21"/>
          <w:highlight w:val="none"/>
        </w:rPr>
        <w:t>日</w:t>
      </w:r>
    </w:p>
    <w:p w14:paraId="5E129E43">
      <w:pPr>
        <w:spacing w:line="360" w:lineRule="auto"/>
        <w:rPr>
          <w:rFonts w:hint="eastAsia" w:ascii="宋体" w:hAnsi="宋体"/>
          <w:color w:val="auto"/>
          <w:szCs w:val="21"/>
          <w:highlight w:val="none"/>
        </w:rPr>
      </w:pPr>
    </w:p>
    <w:p w14:paraId="0B4E6109">
      <w:pPr>
        <w:spacing w:line="360" w:lineRule="auto"/>
        <w:rPr>
          <w:rFonts w:hint="eastAsia" w:ascii="宋体" w:hAnsi="宋体"/>
          <w:color w:val="auto"/>
          <w:szCs w:val="21"/>
          <w:highlight w:val="none"/>
        </w:rPr>
      </w:pPr>
    </w:p>
    <w:p w14:paraId="58ED50F0">
      <w:pPr>
        <w:keepNext/>
        <w:keepLines/>
        <w:spacing w:line="360" w:lineRule="auto"/>
        <w:jc w:val="center"/>
        <w:outlineLvl w:val="2"/>
        <w:rPr>
          <w:rStyle w:val="153"/>
          <w:rFonts w:hint="eastAsia" w:ascii="宋体" w:hAnsi="宋体"/>
          <w:b w:val="0"/>
          <w:color w:val="auto"/>
          <w:highlight w:val="none"/>
        </w:rPr>
      </w:pPr>
      <w:r>
        <w:rPr>
          <w:rFonts w:ascii="宋体" w:hAnsi="宋体"/>
          <w:b/>
          <w:color w:val="auto"/>
          <w:kern w:val="0"/>
          <w:sz w:val="20"/>
          <w:highlight w:val="none"/>
        </w:rPr>
        <w:br w:type="page"/>
      </w:r>
      <w:bookmarkStart w:id="1124" w:name="_Toc174031462"/>
      <w:bookmarkStart w:id="1125" w:name="_Toc179645127"/>
      <w:bookmarkStart w:id="1126" w:name="_Toc29084"/>
      <w:bookmarkStart w:id="1127" w:name="_Toc2106"/>
      <w:bookmarkStart w:id="1128" w:name="_Toc13701"/>
      <w:r>
        <w:rPr>
          <w:rFonts w:hint="eastAsia" w:ascii="宋体" w:hAnsi="宋体" w:cs="宋体"/>
          <w:b/>
          <w:color w:val="auto"/>
          <w:sz w:val="28"/>
          <w:szCs w:val="18"/>
          <w:highlight w:val="none"/>
        </w:rPr>
        <w:t>（三）法定代表人授权委托书</w:t>
      </w:r>
      <w:bookmarkEnd w:id="1124"/>
      <w:bookmarkEnd w:id="1125"/>
      <w:bookmarkEnd w:id="1126"/>
      <w:bookmarkEnd w:id="1127"/>
    </w:p>
    <w:p w14:paraId="2346E9A5">
      <w:pPr>
        <w:spacing w:line="360" w:lineRule="auto"/>
        <w:ind w:firstLine="420" w:firstLineChars="200"/>
        <w:rPr>
          <w:rFonts w:hint="eastAsia" w:ascii="宋体" w:hAnsi="宋体"/>
          <w:color w:val="auto"/>
          <w:szCs w:val="21"/>
          <w:highlight w:val="none"/>
        </w:rPr>
      </w:pPr>
    </w:p>
    <w:p w14:paraId="727E2C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本授权书声明：</w:t>
      </w:r>
      <w:r>
        <w:rPr>
          <w:rFonts w:ascii="宋体" w:hAnsi="宋体"/>
          <w:color w:val="auto"/>
          <w:szCs w:val="21"/>
          <w:highlight w:val="none"/>
          <w:u w:val="single"/>
        </w:rPr>
        <w:t xml:space="preserve">       </w:t>
      </w:r>
      <w:r>
        <w:rPr>
          <w:rFonts w:hint="eastAsia" w:ascii="宋体" w:hAnsi="宋体"/>
          <w:color w:val="auto"/>
          <w:szCs w:val="21"/>
          <w:highlight w:val="none"/>
          <w:u w:val="single"/>
        </w:rPr>
        <w:t>（供应商全称）</w:t>
      </w:r>
      <w:r>
        <w:rPr>
          <w:rFonts w:ascii="宋体" w:hAnsi="宋体"/>
          <w:color w:val="auto"/>
          <w:szCs w:val="21"/>
          <w:highlight w:val="none"/>
          <w:u w:val="single"/>
        </w:rPr>
        <w:t xml:space="preserve">     </w:t>
      </w:r>
      <w:r>
        <w:rPr>
          <w:rFonts w:hint="eastAsia" w:ascii="宋体" w:hAnsi="宋体"/>
          <w:color w:val="auto"/>
          <w:szCs w:val="21"/>
          <w:highlight w:val="none"/>
        </w:rPr>
        <w:t>的法定代表人代表本公司授权</w:t>
      </w:r>
      <w:r>
        <w:rPr>
          <w:rFonts w:ascii="宋体" w:hAnsi="宋体"/>
          <w:color w:val="auto"/>
          <w:szCs w:val="21"/>
          <w:highlight w:val="none"/>
          <w:u w:val="single"/>
        </w:rPr>
        <w:t xml:space="preserve">   </w:t>
      </w:r>
      <w:r>
        <w:rPr>
          <w:rFonts w:hint="eastAsia" w:ascii="宋体" w:hAnsi="宋体"/>
          <w:color w:val="auto"/>
          <w:szCs w:val="21"/>
          <w:highlight w:val="none"/>
          <w:u w:val="single"/>
        </w:rPr>
        <w:t>（委托代理人姓名）</w:t>
      </w:r>
      <w:r>
        <w:rPr>
          <w:rFonts w:ascii="宋体" w:hAnsi="宋体"/>
          <w:color w:val="auto"/>
          <w:szCs w:val="21"/>
          <w:highlight w:val="none"/>
          <w:u w:val="single"/>
        </w:rPr>
        <w:t xml:space="preserve">   </w:t>
      </w:r>
      <w:r>
        <w:rPr>
          <w:rFonts w:hint="eastAsia" w:ascii="宋体" w:hAnsi="宋体"/>
          <w:color w:val="auto"/>
          <w:szCs w:val="21"/>
          <w:highlight w:val="none"/>
        </w:rPr>
        <w:t>为本公司合法代理人，以本单位名义亲自出席参加贵方组织的</w:t>
      </w:r>
      <w:r>
        <w:rPr>
          <w:rFonts w:ascii="宋体" w:hAnsi="宋体"/>
          <w:color w:val="auto"/>
          <w:szCs w:val="21"/>
          <w:highlight w:val="none"/>
          <w:u w:val="single"/>
        </w:rPr>
        <w:t xml:space="preserve">    </w:t>
      </w:r>
      <w:r>
        <w:rPr>
          <w:rFonts w:hint="eastAsia" w:ascii="宋体" w:hAnsi="宋体"/>
          <w:color w:val="auto"/>
          <w:szCs w:val="21"/>
          <w:highlight w:val="none"/>
          <w:u w:val="single"/>
        </w:rPr>
        <w:t>（项目名称）</w:t>
      </w:r>
      <w:r>
        <w:rPr>
          <w:rFonts w:ascii="宋体" w:hAnsi="宋体"/>
          <w:color w:val="auto"/>
          <w:szCs w:val="21"/>
          <w:highlight w:val="none"/>
          <w:u w:val="single"/>
        </w:rPr>
        <w:t xml:space="preserve">    </w:t>
      </w:r>
      <w:r>
        <w:rPr>
          <w:rFonts w:hint="eastAsia" w:ascii="宋体" w:hAnsi="宋体"/>
          <w:color w:val="auto"/>
          <w:szCs w:val="21"/>
          <w:highlight w:val="none"/>
        </w:rPr>
        <w:t>项目（招标编号：</w:t>
      </w:r>
      <w:r>
        <w:rPr>
          <w:rFonts w:ascii="宋体" w:hAnsi="宋体"/>
          <w:color w:val="auto"/>
          <w:szCs w:val="21"/>
          <w:highlight w:val="none"/>
          <w:u w:val="single"/>
        </w:rPr>
        <w:t xml:space="preserve">          </w:t>
      </w:r>
      <w:r>
        <w:rPr>
          <w:rFonts w:hint="eastAsia" w:ascii="宋体" w:hAnsi="宋体"/>
          <w:color w:val="auto"/>
          <w:szCs w:val="21"/>
          <w:highlight w:val="none"/>
        </w:rPr>
        <w:t>）的磋商采购。代理人在本项目磋商过程中所签署的一切文件和处理与之有关的一切事务，我方均予承认。</w:t>
      </w:r>
    </w:p>
    <w:p w14:paraId="6D77F7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14:paraId="2E6A200E">
      <w:pPr>
        <w:spacing w:line="360" w:lineRule="auto"/>
        <w:ind w:firstLine="420" w:firstLineChars="200"/>
        <w:rPr>
          <w:rFonts w:hint="eastAsia" w:ascii="宋体" w:hAnsi="宋体"/>
          <w:color w:val="auto"/>
          <w:szCs w:val="21"/>
          <w:highlight w:val="none"/>
        </w:rPr>
      </w:pPr>
    </w:p>
    <w:p w14:paraId="385C95EC">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供</w:t>
      </w:r>
      <w:r>
        <w:rPr>
          <w:rFonts w:ascii="宋体" w:hAnsi="宋体"/>
          <w:b/>
          <w:bCs/>
          <w:color w:val="auto"/>
          <w:szCs w:val="21"/>
          <w:highlight w:val="none"/>
        </w:rPr>
        <w:t xml:space="preserve">  </w:t>
      </w:r>
      <w:r>
        <w:rPr>
          <w:rFonts w:hint="eastAsia" w:ascii="宋体" w:hAnsi="宋体"/>
          <w:b/>
          <w:bCs/>
          <w:color w:val="auto"/>
          <w:szCs w:val="21"/>
          <w:highlight w:val="none"/>
        </w:rPr>
        <w:t>应</w:t>
      </w:r>
      <w:r>
        <w:rPr>
          <w:rFonts w:ascii="宋体" w:hAnsi="宋体"/>
          <w:b/>
          <w:bCs/>
          <w:color w:val="auto"/>
          <w:szCs w:val="21"/>
          <w:highlight w:val="none"/>
        </w:rPr>
        <w:t xml:space="preserve">  </w:t>
      </w:r>
      <w:r>
        <w:rPr>
          <w:rFonts w:hint="eastAsia" w:ascii="宋体" w:hAnsi="宋体"/>
          <w:b/>
          <w:bCs/>
          <w:color w:val="auto"/>
          <w:szCs w:val="21"/>
          <w:highlight w:val="none"/>
        </w:rPr>
        <w:t>商：</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rPr>
        <w:t>（电子签章）</w:t>
      </w:r>
    </w:p>
    <w:p w14:paraId="52F05A9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法定代表人：</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rPr>
        <w:t>（电子签名）</w:t>
      </w:r>
    </w:p>
    <w:p w14:paraId="69D06D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法定代表人身份证号码：</w:t>
      </w:r>
      <w:r>
        <w:rPr>
          <w:rFonts w:ascii="宋体" w:hAnsi="宋体"/>
          <w:color w:val="auto"/>
          <w:szCs w:val="21"/>
          <w:highlight w:val="none"/>
          <w:u w:val="single"/>
        </w:rPr>
        <w:t xml:space="preserve">                </w:t>
      </w:r>
    </w:p>
    <w:p w14:paraId="7C08CA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委托代理人姓名：</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p w14:paraId="784743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职</w:t>
      </w:r>
      <w:r>
        <w:rPr>
          <w:rFonts w:ascii="宋体" w:hAnsi="宋体"/>
          <w:color w:val="auto"/>
          <w:szCs w:val="21"/>
          <w:highlight w:val="none"/>
        </w:rPr>
        <w:t xml:space="preserve">      </w:t>
      </w:r>
      <w:r>
        <w:rPr>
          <w:rFonts w:hint="eastAsia" w:ascii="宋体" w:hAnsi="宋体"/>
          <w:color w:val="auto"/>
          <w:szCs w:val="21"/>
          <w:highlight w:val="none"/>
        </w:rPr>
        <w:t>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1067A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代理人身份证号码：</w:t>
      </w:r>
      <w:r>
        <w:rPr>
          <w:rFonts w:ascii="宋体" w:hAnsi="宋体"/>
          <w:color w:val="auto"/>
          <w:szCs w:val="21"/>
          <w:highlight w:val="none"/>
          <w:u w:val="single"/>
        </w:rPr>
        <w:t xml:space="preserve">                    </w:t>
      </w:r>
    </w:p>
    <w:p w14:paraId="509FD783">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委托代理人电话：</w:t>
      </w:r>
      <w:r>
        <w:rPr>
          <w:rFonts w:ascii="宋体" w:hAnsi="宋体"/>
          <w:color w:val="auto"/>
          <w:szCs w:val="21"/>
          <w:highlight w:val="none"/>
          <w:u w:val="single"/>
        </w:rPr>
        <w:t xml:space="preserve">                      </w:t>
      </w:r>
    </w:p>
    <w:p w14:paraId="1F1BAC89">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日期：</w:t>
      </w:r>
      <w:r>
        <w:rPr>
          <w:rFonts w:ascii="宋体" w:hAnsi="宋体"/>
          <w:b/>
          <w:bCs/>
          <w:color w:val="auto"/>
          <w:szCs w:val="21"/>
          <w:highlight w:val="none"/>
          <w:u w:val="single"/>
        </w:rPr>
        <w:t xml:space="preserve">          </w:t>
      </w:r>
      <w:r>
        <w:rPr>
          <w:rFonts w:hint="eastAsia" w:ascii="宋体" w:hAnsi="宋体"/>
          <w:b/>
          <w:bCs/>
          <w:color w:val="auto"/>
          <w:szCs w:val="21"/>
          <w:highlight w:val="none"/>
        </w:rPr>
        <w:t>年</w:t>
      </w:r>
      <w:r>
        <w:rPr>
          <w:rFonts w:ascii="宋体" w:hAnsi="宋体"/>
          <w:b/>
          <w:bCs/>
          <w:color w:val="auto"/>
          <w:szCs w:val="21"/>
          <w:highlight w:val="none"/>
          <w:u w:val="single"/>
        </w:rPr>
        <w:t xml:space="preserve">       </w:t>
      </w:r>
      <w:r>
        <w:rPr>
          <w:rFonts w:hint="eastAsia" w:ascii="宋体" w:hAnsi="宋体"/>
          <w:b/>
          <w:bCs/>
          <w:color w:val="auto"/>
          <w:szCs w:val="21"/>
          <w:highlight w:val="none"/>
        </w:rPr>
        <w:t>月</w:t>
      </w:r>
      <w:r>
        <w:rPr>
          <w:rFonts w:ascii="宋体" w:hAnsi="宋体"/>
          <w:b/>
          <w:bCs/>
          <w:color w:val="auto"/>
          <w:szCs w:val="21"/>
          <w:highlight w:val="none"/>
          <w:u w:val="single"/>
        </w:rPr>
        <w:t xml:space="preserve">        </w:t>
      </w:r>
      <w:r>
        <w:rPr>
          <w:rFonts w:hint="eastAsia" w:ascii="宋体" w:hAnsi="宋体"/>
          <w:b/>
          <w:bCs/>
          <w:color w:val="auto"/>
          <w:szCs w:val="21"/>
          <w:highlight w:val="none"/>
        </w:rPr>
        <w:t>日</w:t>
      </w:r>
    </w:p>
    <w:p w14:paraId="03B6C57C">
      <w:pPr>
        <w:spacing w:line="360" w:lineRule="auto"/>
        <w:ind w:firstLine="420" w:firstLineChars="200"/>
        <w:rPr>
          <w:rFonts w:hint="eastAsia" w:ascii="宋体" w:hAnsi="宋体"/>
          <w:color w:val="auto"/>
          <w:szCs w:val="21"/>
          <w:highlight w:val="none"/>
        </w:rPr>
      </w:pPr>
    </w:p>
    <w:p w14:paraId="15C2E4FD">
      <w:pPr>
        <w:spacing w:line="360" w:lineRule="auto"/>
        <w:ind w:firstLine="420" w:firstLineChars="200"/>
        <w:rPr>
          <w:rFonts w:hint="eastAsia" w:ascii="宋体" w:hAnsi="宋体"/>
          <w:color w:val="auto"/>
          <w:szCs w:val="21"/>
          <w:highlight w:val="none"/>
        </w:rPr>
      </w:pPr>
    </w:p>
    <w:p w14:paraId="70D78790">
      <w:pPr>
        <w:spacing w:line="360" w:lineRule="auto"/>
        <w:ind w:firstLine="422" w:firstLineChars="200"/>
        <w:rPr>
          <w:rFonts w:hint="eastAsia" w:ascii="宋体" w:hAnsi="宋体"/>
          <w:bCs/>
          <w:color w:val="auto"/>
          <w:sz w:val="28"/>
          <w:highlight w:val="none"/>
        </w:rPr>
      </w:pPr>
      <w:r>
        <w:rPr>
          <w:rFonts w:hint="eastAsia" w:ascii="宋体" w:hAnsi="宋体"/>
          <w:b/>
          <w:color w:val="auto"/>
          <w:szCs w:val="21"/>
          <w:highlight w:val="none"/>
        </w:rPr>
        <w:t>注：后附委托代理人身份证复印件。</w:t>
      </w:r>
    </w:p>
    <w:p w14:paraId="17788E5C">
      <w:pPr>
        <w:spacing w:line="360" w:lineRule="auto"/>
        <w:rPr>
          <w:rFonts w:hint="eastAsia" w:ascii="宋体" w:hAnsi="宋体"/>
          <w:b/>
          <w:color w:val="auto"/>
          <w:sz w:val="28"/>
          <w:szCs w:val="28"/>
          <w:highlight w:val="none"/>
        </w:rPr>
      </w:pPr>
    </w:p>
    <w:bookmarkEnd w:id="1128"/>
    <w:p w14:paraId="06FA1A65">
      <w:pPr>
        <w:keepNext/>
        <w:keepLines/>
        <w:spacing w:line="360" w:lineRule="auto"/>
        <w:jc w:val="center"/>
        <w:outlineLvl w:val="2"/>
        <w:rPr>
          <w:rFonts w:hint="eastAsia" w:ascii="宋体" w:hAnsi="宋体" w:cs="宋体"/>
          <w:b/>
          <w:color w:val="auto"/>
          <w:sz w:val="28"/>
          <w:szCs w:val="18"/>
          <w:highlight w:val="none"/>
        </w:rPr>
      </w:pPr>
      <w:r>
        <w:rPr>
          <w:rFonts w:hint="eastAsia" w:ascii="宋体" w:hAnsi="宋体"/>
          <w:b/>
          <w:color w:val="auto"/>
          <w:sz w:val="32"/>
          <w:szCs w:val="32"/>
          <w:highlight w:val="none"/>
        </w:rPr>
        <w:br w:type="page"/>
      </w:r>
      <w:bookmarkStart w:id="1129" w:name="_Toc179645128"/>
      <w:r>
        <w:rPr>
          <w:rFonts w:hint="eastAsia" w:ascii="宋体" w:hAnsi="宋体" w:cs="宋体"/>
          <w:b/>
          <w:color w:val="auto"/>
          <w:sz w:val="28"/>
          <w:szCs w:val="18"/>
          <w:highlight w:val="none"/>
        </w:rPr>
        <w:t>（四）供应商具备参加政府采购活动条件承诺书</w:t>
      </w:r>
      <w:bookmarkEnd w:id="1117"/>
      <w:bookmarkEnd w:id="1118"/>
      <w:bookmarkEnd w:id="1119"/>
      <w:bookmarkEnd w:id="1120"/>
      <w:bookmarkEnd w:id="1129"/>
    </w:p>
    <w:p w14:paraId="43D3464B">
      <w:pPr>
        <w:overflowPunct w:val="0"/>
        <w:spacing w:line="360" w:lineRule="auto"/>
        <w:rPr>
          <w:rFonts w:hint="eastAsia" w:ascii="宋体" w:hAnsi="宋体" w:cs="宋体"/>
          <w:b/>
          <w:bCs/>
          <w:color w:val="auto"/>
          <w:szCs w:val="21"/>
          <w:highlight w:val="none"/>
        </w:rPr>
      </w:pPr>
    </w:p>
    <w:p w14:paraId="1B3C8E87">
      <w:pPr>
        <w:overflowPunct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（采购人名称）</w:t>
      </w:r>
    </w:p>
    <w:p w14:paraId="7D349E5E">
      <w:pPr>
        <w:overflowPunct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我公司郑重承诺我公司满足《中华人民共和国政府采购法》第二十二条关于供应商的资格条件： </w:t>
      </w:r>
    </w:p>
    <w:p w14:paraId="66AC675E">
      <w:pPr>
        <w:overflowPunct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F067EA6">
      <w:pPr>
        <w:overflowPunct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735B006">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21AEAAA0">
      <w:pPr>
        <w:spacing w:line="480" w:lineRule="auto"/>
        <w:ind w:firstLine="420" w:firstLineChars="200"/>
        <w:rPr>
          <w:rFonts w:hint="eastAsia" w:ascii="宋体" w:hAnsi="宋体" w:cs="宋体"/>
          <w:color w:val="auto"/>
          <w:highlight w:val="none"/>
        </w:rPr>
      </w:pPr>
      <w:r>
        <w:rPr>
          <w:rFonts w:hint="eastAsia" w:ascii="宋体" w:hAnsi="宋体" w:cs="宋体"/>
          <w:color w:val="auto"/>
          <w:highlight w:val="none"/>
        </w:rPr>
        <w:t>4.有依法缴纳税收和社会保障资金的良好记录。</w:t>
      </w:r>
    </w:p>
    <w:p w14:paraId="44D48ACD">
      <w:pPr>
        <w:spacing w:line="480" w:lineRule="auto"/>
        <w:ind w:firstLine="420" w:firstLineChars="200"/>
        <w:rPr>
          <w:rFonts w:hint="eastAsia" w:ascii="宋体" w:hAnsi="宋体" w:cs="宋体"/>
          <w:color w:val="auto"/>
          <w:highlight w:val="none"/>
        </w:rPr>
      </w:pPr>
      <w:r>
        <w:rPr>
          <w:rFonts w:hint="eastAsia" w:ascii="宋体" w:hAnsi="宋体" w:cs="宋体"/>
          <w:color w:val="auto"/>
          <w:highlight w:val="none"/>
        </w:rPr>
        <w:t>5.参加政府采购活动前三年内，在经营活动中没有重大违法记录。</w:t>
      </w:r>
    </w:p>
    <w:p w14:paraId="28DDA9AC">
      <w:pPr>
        <w:spacing w:line="480" w:lineRule="auto"/>
        <w:ind w:firstLine="420" w:firstLineChars="200"/>
        <w:rPr>
          <w:rFonts w:hint="eastAsia" w:ascii="宋体" w:hAnsi="宋体" w:cs="宋体"/>
          <w:color w:val="auto"/>
          <w:highlight w:val="none"/>
        </w:rPr>
      </w:pPr>
      <w:r>
        <w:rPr>
          <w:rFonts w:hint="eastAsia" w:ascii="宋体" w:hAnsi="宋体" w:cs="宋体"/>
          <w:color w:val="auto"/>
          <w:highlight w:val="none"/>
        </w:rPr>
        <w:t>6.法律、行政法规规定的其他条件。</w:t>
      </w:r>
    </w:p>
    <w:p w14:paraId="5AC30519">
      <w:pPr>
        <w:overflowPunct w:val="0"/>
        <w:spacing w:line="360" w:lineRule="auto"/>
        <w:jc w:val="left"/>
        <w:rPr>
          <w:rFonts w:hint="eastAsia" w:ascii="宋体" w:hAnsi="宋体" w:cs="宋体"/>
          <w:color w:val="auto"/>
          <w:szCs w:val="21"/>
          <w:highlight w:val="none"/>
        </w:rPr>
      </w:pPr>
    </w:p>
    <w:p w14:paraId="06A77337">
      <w:pPr>
        <w:overflowPunct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供应商名称：</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（电子签章）</w:t>
      </w:r>
    </w:p>
    <w:p w14:paraId="60FBC45E">
      <w:pPr>
        <w:overflowPunct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法定代表人或其委托代理人：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（电子签名）</w:t>
      </w:r>
    </w:p>
    <w:p w14:paraId="35A93D9D">
      <w:pPr>
        <w:overflowPunct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p w14:paraId="38AD865A">
      <w:pPr>
        <w:ind w:firstLine="643"/>
        <w:jc w:val="center"/>
        <w:rPr>
          <w:rFonts w:hint="eastAsia" w:ascii="宋体" w:hAnsi="宋体" w:cs="宋体"/>
          <w:b/>
          <w:bCs/>
          <w:color w:val="auto"/>
          <w:szCs w:val="21"/>
          <w:highlight w:val="none"/>
        </w:rPr>
      </w:pPr>
    </w:p>
    <w:p w14:paraId="533E288D">
      <w:pPr>
        <w:keepNext/>
        <w:keepLines/>
        <w:spacing w:line="360" w:lineRule="auto"/>
        <w:jc w:val="center"/>
        <w:outlineLvl w:val="2"/>
        <w:rPr>
          <w:rFonts w:hint="eastAsia" w:ascii="宋体" w:hAnsi="宋体" w:cs="宋体"/>
          <w:color w:val="auto"/>
          <w:sz w:val="30"/>
          <w:szCs w:val="30"/>
          <w:highlight w:val="none"/>
        </w:rPr>
      </w:pPr>
      <w:r>
        <w:rPr>
          <w:rFonts w:hint="eastAsia" w:ascii="宋体" w:hAnsi="宋体" w:cs="宋体"/>
          <w:b/>
          <w:bCs/>
          <w:color w:val="auto"/>
          <w:sz w:val="32"/>
          <w:szCs w:val="32"/>
          <w:highlight w:val="none"/>
        </w:rPr>
        <w:br w:type="page"/>
      </w:r>
      <w:bookmarkStart w:id="1130" w:name="_Toc174031551"/>
      <w:bookmarkStart w:id="1131" w:name="_Toc174031465"/>
      <w:bookmarkStart w:id="1132" w:name="_Toc179645129"/>
      <w:r>
        <w:rPr>
          <w:rFonts w:hint="eastAsia" w:ascii="宋体" w:hAnsi="宋体" w:cs="宋体"/>
          <w:b/>
          <w:color w:val="auto"/>
          <w:sz w:val="28"/>
          <w:szCs w:val="18"/>
          <w:highlight w:val="none"/>
        </w:rPr>
        <w:t>（五）磋商保证金缴纳凭证</w:t>
      </w:r>
    </w:p>
    <w:p w14:paraId="3A542C09">
      <w:pPr>
        <w:jc w:val="center"/>
        <w:rPr>
          <w:rFonts w:hint="eastAsia" w:ascii="宋体" w:hAnsi="宋体" w:cs="宋体"/>
          <w:b/>
          <w:bCs/>
          <w:color w:val="auto"/>
          <w:sz w:val="32"/>
          <w:szCs w:val="32"/>
          <w:highlight w:val="none"/>
        </w:rPr>
      </w:pPr>
      <w:r>
        <w:rPr>
          <w:rFonts w:hint="eastAsia" w:ascii="宋体" w:hAnsi="宋体"/>
          <w:color w:val="auto"/>
          <w:szCs w:val="21"/>
          <w:highlight w:val="none"/>
        </w:rPr>
        <w:t>（提供保证金缴纳凭证复印件/扫描件）</w:t>
      </w:r>
    </w:p>
    <w:p w14:paraId="1D26767C">
      <w:pPr>
        <w:pStyle w:val="33"/>
        <w:rPr>
          <w:color w:val="auto"/>
          <w:highlight w:val="none"/>
        </w:rPr>
      </w:pPr>
    </w:p>
    <w:p w14:paraId="7024EA51">
      <w:pPr>
        <w:rPr>
          <w:color w:val="auto"/>
          <w:highlight w:val="none"/>
        </w:rPr>
      </w:pPr>
    </w:p>
    <w:p w14:paraId="74080E1F">
      <w:pPr>
        <w:keepNext/>
        <w:keepLines/>
        <w:spacing w:line="360" w:lineRule="auto"/>
        <w:jc w:val="center"/>
        <w:outlineLvl w:val="2"/>
        <w:rPr>
          <w:rFonts w:hint="eastAsia" w:ascii="宋体" w:hAnsi="宋体" w:cs="宋体"/>
          <w:color w:val="auto"/>
          <w:sz w:val="30"/>
          <w:szCs w:val="30"/>
          <w:highlight w:val="none"/>
        </w:rPr>
      </w:pPr>
      <w:r>
        <w:rPr>
          <w:rFonts w:hint="eastAsia" w:ascii="宋体" w:hAnsi="宋体" w:cs="宋体"/>
          <w:b/>
          <w:color w:val="auto"/>
          <w:sz w:val="28"/>
          <w:szCs w:val="18"/>
          <w:highlight w:val="none"/>
        </w:rPr>
        <w:t>（六）</w:t>
      </w:r>
      <w:bookmarkEnd w:id="1130"/>
      <w:bookmarkEnd w:id="1131"/>
      <w:r>
        <w:rPr>
          <w:rFonts w:hint="eastAsia" w:ascii="宋体" w:hAnsi="宋体" w:cs="宋体"/>
          <w:b/>
          <w:color w:val="auto"/>
          <w:sz w:val="28"/>
          <w:szCs w:val="18"/>
          <w:highlight w:val="none"/>
        </w:rPr>
        <w:t>营业执照或同等法定证明</w:t>
      </w:r>
      <w:bookmarkEnd w:id="1132"/>
    </w:p>
    <w:p w14:paraId="7412BCE3">
      <w:pPr>
        <w:spacing w:line="360" w:lineRule="auto"/>
        <w:jc w:val="center"/>
        <w:rPr>
          <w:rFonts w:hint="eastAsia" w:ascii="宋体" w:hAnsi="宋体"/>
          <w:color w:val="auto"/>
          <w:szCs w:val="21"/>
          <w:highlight w:val="none"/>
        </w:rPr>
      </w:pPr>
      <w:bookmarkStart w:id="1133" w:name="_Toc516501429"/>
      <w:bookmarkStart w:id="1134" w:name="_Toc421607922"/>
      <w:bookmarkStart w:id="1135" w:name="_Toc46765048"/>
      <w:bookmarkStart w:id="1136" w:name="_Toc83328630"/>
      <w:bookmarkStart w:id="1137" w:name="_Toc416962895"/>
      <w:bookmarkStart w:id="1138" w:name="_Toc3841"/>
      <w:bookmarkStart w:id="1139" w:name="_Toc82683129"/>
      <w:bookmarkStart w:id="1140" w:name="_Toc347494222"/>
      <w:bookmarkStart w:id="1141" w:name="_Toc347849249"/>
      <w:bookmarkStart w:id="1142" w:name="_Toc415662826"/>
      <w:bookmarkStart w:id="1143" w:name="_Toc383175511"/>
      <w:bookmarkStart w:id="1144" w:name="_Toc383175512"/>
      <w:r>
        <w:rPr>
          <w:rFonts w:hint="eastAsia" w:ascii="宋体" w:hAnsi="宋体"/>
          <w:color w:val="auto"/>
          <w:szCs w:val="21"/>
          <w:highlight w:val="none"/>
        </w:rPr>
        <w:t>（提供复印件/扫描件）</w:t>
      </w:r>
    </w:p>
    <w:p w14:paraId="0DE53399">
      <w:pPr>
        <w:pStyle w:val="33"/>
        <w:rPr>
          <w:rFonts w:hint="eastAsia" w:ascii="宋体" w:hAnsi="宋体"/>
          <w:color w:val="auto"/>
          <w:highlight w:val="none"/>
        </w:rPr>
      </w:pPr>
    </w:p>
    <w:p w14:paraId="2CF9340C">
      <w:pPr>
        <w:rPr>
          <w:rFonts w:hint="eastAsia" w:ascii="宋体" w:hAnsi="宋体"/>
          <w:color w:val="auto"/>
          <w:highlight w:val="none"/>
        </w:rPr>
      </w:pPr>
    </w:p>
    <w:p w14:paraId="6F4E846D">
      <w:pPr>
        <w:keepNext/>
        <w:keepLines/>
        <w:spacing w:line="360" w:lineRule="auto"/>
        <w:jc w:val="center"/>
        <w:outlineLvl w:val="2"/>
        <w:rPr>
          <w:rFonts w:hint="eastAsia" w:ascii="宋体" w:hAnsi="宋体"/>
          <w:b/>
          <w:bCs/>
          <w:color w:val="auto"/>
          <w:sz w:val="28"/>
          <w:szCs w:val="32"/>
          <w:highlight w:val="none"/>
        </w:rPr>
      </w:pPr>
      <w:bookmarkStart w:id="1145" w:name="_Toc419875194"/>
      <w:bookmarkStart w:id="1146" w:name="_Toc26527"/>
      <w:bookmarkStart w:id="1147" w:name="_Toc137737724"/>
      <w:bookmarkStart w:id="1148" w:name="_Toc147601931"/>
      <w:bookmarkStart w:id="1149" w:name="_Toc139471131"/>
      <w:bookmarkStart w:id="1150" w:name="_Toc139471249"/>
      <w:bookmarkStart w:id="1151" w:name="_Toc131545976"/>
      <w:r>
        <w:rPr>
          <w:rFonts w:hint="eastAsia" w:ascii="宋体" w:hAnsi="宋体"/>
          <w:b/>
          <w:bCs/>
          <w:color w:val="auto"/>
          <w:sz w:val="28"/>
          <w:szCs w:val="32"/>
          <w:highlight w:val="none"/>
        </w:rPr>
        <w:t>（七）</w:t>
      </w:r>
      <w:bookmarkEnd w:id="1145"/>
      <w:bookmarkEnd w:id="1146"/>
      <w:r>
        <w:rPr>
          <w:rFonts w:hint="eastAsia" w:ascii="宋体" w:hAnsi="宋体"/>
          <w:b/>
          <w:bCs/>
          <w:color w:val="auto"/>
          <w:sz w:val="28"/>
          <w:szCs w:val="32"/>
          <w:highlight w:val="none"/>
        </w:rPr>
        <w:t>开户许可证</w:t>
      </w:r>
      <w:bookmarkEnd w:id="1147"/>
      <w:bookmarkEnd w:id="1148"/>
      <w:bookmarkEnd w:id="1149"/>
      <w:bookmarkEnd w:id="1150"/>
      <w:bookmarkEnd w:id="1151"/>
    </w:p>
    <w:p w14:paraId="323B4229">
      <w:pPr>
        <w:spacing w:line="360" w:lineRule="auto"/>
        <w:jc w:val="center"/>
        <w:rPr>
          <w:rFonts w:hint="eastAsia" w:ascii="宋体" w:hAnsi="宋体"/>
          <w:color w:val="auto"/>
          <w:sz w:val="32"/>
          <w:highlight w:val="none"/>
        </w:rPr>
      </w:pPr>
      <w:r>
        <w:rPr>
          <w:rFonts w:hint="eastAsia" w:ascii="宋体" w:hAnsi="宋体"/>
          <w:color w:val="auto"/>
          <w:szCs w:val="21"/>
          <w:highlight w:val="none"/>
        </w:rPr>
        <w:t>（提供复印件/扫描件）</w:t>
      </w:r>
    </w:p>
    <w:p w14:paraId="2665DC6A">
      <w:pPr>
        <w:spacing w:line="360" w:lineRule="auto"/>
        <w:rPr>
          <w:rFonts w:hint="eastAsia" w:ascii="宋体" w:hAnsi="宋体"/>
          <w:color w:val="auto"/>
          <w:sz w:val="24"/>
          <w:szCs w:val="28"/>
          <w:highlight w:val="none"/>
        </w:rPr>
      </w:pPr>
    </w:p>
    <w:p w14:paraId="2CC586DB">
      <w:pPr>
        <w:rPr>
          <w:rFonts w:hint="eastAsia" w:ascii="宋体" w:hAnsi="宋体"/>
          <w:color w:val="auto"/>
          <w:highlight w:val="none"/>
        </w:rPr>
      </w:pPr>
    </w:p>
    <w:bookmarkEnd w:id="1133"/>
    <w:bookmarkEnd w:id="1134"/>
    <w:bookmarkEnd w:id="1135"/>
    <w:bookmarkEnd w:id="1136"/>
    <w:bookmarkEnd w:id="1137"/>
    <w:bookmarkEnd w:id="1138"/>
    <w:bookmarkEnd w:id="1139"/>
    <w:p w14:paraId="30D349D0">
      <w:pPr>
        <w:keepNext/>
        <w:keepLines/>
        <w:spacing w:line="360" w:lineRule="auto"/>
        <w:jc w:val="center"/>
        <w:outlineLvl w:val="2"/>
        <w:rPr>
          <w:rFonts w:hint="eastAsia" w:ascii="宋体" w:hAnsi="宋体"/>
          <w:color w:val="auto"/>
          <w:sz w:val="30"/>
          <w:szCs w:val="30"/>
          <w:highlight w:val="none"/>
        </w:rPr>
      </w:pPr>
      <w:bookmarkStart w:id="1152" w:name="_Toc174031552"/>
      <w:bookmarkStart w:id="1153" w:name="_Toc179645130"/>
      <w:bookmarkStart w:id="1154" w:name="_Toc174031466"/>
      <w:r>
        <w:rPr>
          <w:rFonts w:hint="eastAsia" w:ascii="宋体" w:hAnsi="宋体" w:cs="宋体"/>
          <w:b/>
          <w:color w:val="auto"/>
          <w:sz w:val="28"/>
          <w:szCs w:val="18"/>
          <w:highlight w:val="none"/>
        </w:rPr>
        <w:t>（八）供应商具有良好的商业信誉和健全的财务会计制度</w:t>
      </w:r>
      <w:bookmarkEnd w:id="1152"/>
      <w:bookmarkEnd w:id="1153"/>
      <w:bookmarkEnd w:id="1154"/>
    </w:p>
    <w:p w14:paraId="34C38AA1">
      <w:pPr>
        <w:spacing w:line="600" w:lineRule="exact"/>
        <w:jc w:val="center"/>
        <w:rPr>
          <w:rFonts w:hint="eastAsia" w:ascii="宋体" w:hAnsi="宋体"/>
          <w:color w:val="auto"/>
          <w:sz w:val="24"/>
          <w:highlight w:val="none"/>
        </w:rPr>
      </w:pPr>
      <w:r>
        <w:rPr>
          <w:rFonts w:hint="eastAsia" w:ascii="宋体" w:hAnsi="宋体" w:cs="宋体"/>
          <w:color w:val="auto"/>
          <w:highlight w:val="none"/>
        </w:rPr>
        <w:t>详见“</w:t>
      </w:r>
      <w:r>
        <w:rPr>
          <w:rFonts w:hint="eastAsia" w:ascii="宋体" w:hAnsi="宋体" w:cs="宋体"/>
          <w:b/>
          <w:color w:val="auto"/>
          <w:szCs w:val="28"/>
          <w:highlight w:val="none"/>
        </w:rPr>
        <w:t>供应商须知前附表</w:t>
      </w:r>
      <w:r>
        <w:rPr>
          <w:rFonts w:hint="eastAsia" w:ascii="宋体" w:hAnsi="宋体" w:cs="宋体"/>
          <w:color w:val="auto"/>
          <w:highlight w:val="none"/>
        </w:rPr>
        <w:t>”4.1.2款规定。</w:t>
      </w:r>
    </w:p>
    <w:p w14:paraId="4CAA02B4">
      <w:pPr>
        <w:rPr>
          <w:rFonts w:hint="eastAsia" w:ascii="宋体" w:hAnsi="宋体"/>
          <w:color w:val="auto"/>
          <w:highlight w:val="none"/>
        </w:rPr>
      </w:pPr>
    </w:p>
    <w:p w14:paraId="09B33F0C">
      <w:pPr>
        <w:pStyle w:val="33"/>
        <w:rPr>
          <w:color w:val="auto"/>
          <w:highlight w:val="none"/>
        </w:rPr>
      </w:pPr>
    </w:p>
    <w:p w14:paraId="3136806B">
      <w:pPr>
        <w:pStyle w:val="33"/>
        <w:rPr>
          <w:rFonts w:hint="eastAsia" w:ascii="宋体" w:hAnsi="宋体"/>
          <w:color w:val="auto"/>
          <w:highlight w:val="none"/>
        </w:rPr>
      </w:pPr>
    </w:p>
    <w:p w14:paraId="12E95839">
      <w:pPr>
        <w:keepNext/>
        <w:keepLines/>
        <w:spacing w:line="360" w:lineRule="auto"/>
        <w:jc w:val="center"/>
        <w:outlineLvl w:val="2"/>
        <w:rPr>
          <w:rFonts w:hint="eastAsia" w:ascii="宋体" w:hAnsi="宋体" w:cs="宋体"/>
          <w:b/>
          <w:color w:val="auto"/>
          <w:sz w:val="28"/>
          <w:szCs w:val="18"/>
          <w:highlight w:val="none"/>
        </w:rPr>
      </w:pPr>
      <w:bookmarkStart w:id="1155" w:name="_Toc156995336"/>
      <w:bookmarkStart w:id="1156" w:name="_Toc125904340"/>
      <w:bookmarkStart w:id="1157" w:name="_Toc153917646"/>
      <w:bookmarkStart w:id="1158" w:name="_Toc179645131"/>
      <w:bookmarkStart w:id="1159" w:name="_Toc131545978"/>
      <w:bookmarkStart w:id="1160" w:name="_Toc125986477"/>
      <w:bookmarkStart w:id="1161" w:name="_Toc174031553"/>
      <w:bookmarkStart w:id="1162" w:name="_Toc138022600"/>
      <w:bookmarkStart w:id="1163" w:name="_Toc174031467"/>
      <w:bookmarkStart w:id="1164" w:name="_Toc137737726"/>
      <w:r>
        <w:rPr>
          <w:rFonts w:hint="eastAsia" w:ascii="宋体" w:hAnsi="宋体" w:cs="宋体"/>
          <w:b/>
          <w:color w:val="auto"/>
          <w:sz w:val="28"/>
          <w:szCs w:val="18"/>
          <w:highlight w:val="none"/>
        </w:rPr>
        <w:t>（九）供应商依法缴纳税收的证明材料</w:t>
      </w:r>
      <w:bookmarkEnd w:id="1155"/>
      <w:bookmarkEnd w:id="1156"/>
      <w:bookmarkEnd w:id="1157"/>
      <w:bookmarkEnd w:id="1158"/>
      <w:bookmarkEnd w:id="1159"/>
      <w:bookmarkEnd w:id="1160"/>
      <w:bookmarkEnd w:id="1161"/>
      <w:bookmarkEnd w:id="1162"/>
      <w:bookmarkEnd w:id="1163"/>
      <w:bookmarkEnd w:id="1164"/>
    </w:p>
    <w:p w14:paraId="1CEA43E6">
      <w:pPr>
        <w:adjustRightInd w:val="0"/>
        <w:snapToGrid w:val="0"/>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详见“</w:t>
      </w:r>
      <w:r>
        <w:rPr>
          <w:rFonts w:hint="eastAsia" w:ascii="宋体" w:hAnsi="宋体" w:cs="宋体"/>
          <w:b/>
          <w:color w:val="auto"/>
          <w:szCs w:val="28"/>
          <w:highlight w:val="none"/>
        </w:rPr>
        <w:t>供应商须知前附表</w:t>
      </w:r>
      <w:r>
        <w:rPr>
          <w:rFonts w:hint="eastAsia" w:ascii="宋体" w:hAnsi="宋体" w:cs="宋体"/>
          <w:color w:val="auto"/>
          <w:highlight w:val="none"/>
        </w:rPr>
        <w:t>”4.1.4款规定。</w:t>
      </w:r>
    </w:p>
    <w:p w14:paraId="20207CC5">
      <w:pPr>
        <w:pStyle w:val="33"/>
        <w:spacing w:line="360" w:lineRule="auto"/>
        <w:rPr>
          <w:rFonts w:hint="eastAsia" w:ascii="宋体" w:hAnsi="宋体"/>
          <w:color w:val="auto"/>
          <w:highlight w:val="none"/>
        </w:rPr>
      </w:pPr>
    </w:p>
    <w:p w14:paraId="195F57A1">
      <w:pPr>
        <w:spacing w:line="360" w:lineRule="auto"/>
        <w:rPr>
          <w:rFonts w:hint="eastAsia" w:ascii="宋体" w:hAnsi="宋体"/>
          <w:color w:val="auto"/>
          <w:highlight w:val="none"/>
        </w:rPr>
      </w:pPr>
    </w:p>
    <w:p w14:paraId="79B16898">
      <w:pPr>
        <w:keepNext/>
        <w:keepLines/>
        <w:spacing w:line="360" w:lineRule="auto"/>
        <w:jc w:val="center"/>
        <w:outlineLvl w:val="2"/>
        <w:rPr>
          <w:rFonts w:hint="eastAsia" w:ascii="宋体" w:hAnsi="宋体" w:cs="宋体"/>
          <w:b/>
          <w:color w:val="auto"/>
          <w:sz w:val="28"/>
          <w:szCs w:val="18"/>
          <w:highlight w:val="none"/>
        </w:rPr>
      </w:pPr>
      <w:bookmarkStart w:id="1165" w:name="_Toc125986478"/>
      <w:bookmarkStart w:id="1166" w:name="_Toc153917647"/>
      <w:bookmarkStart w:id="1167" w:name="_Toc131545979"/>
      <w:bookmarkStart w:id="1168" w:name="_Toc138022601"/>
      <w:bookmarkStart w:id="1169" w:name="_Toc174031554"/>
      <w:bookmarkStart w:id="1170" w:name="_Toc125904341"/>
      <w:bookmarkStart w:id="1171" w:name="_Toc156995337"/>
      <w:bookmarkStart w:id="1172" w:name="_Toc174031468"/>
      <w:bookmarkStart w:id="1173" w:name="_Toc179645132"/>
      <w:bookmarkStart w:id="1174" w:name="_Toc137737727"/>
      <w:r>
        <w:rPr>
          <w:rFonts w:hint="eastAsia" w:ascii="宋体" w:hAnsi="宋体" w:cs="宋体"/>
          <w:b/>
          <w:color w:val="auto"/>
          <w:sz w:val="28"/>
          <w:szCs w:val="18"/>
          <w:highlight w:val="none"/>
        </w:rPr>
        <w:t>（十）供应商依法缴纳社会保障资金的证明材料</w:t>
      </w:r>
      <w:bookmarkEnd w:id="1165"/>
      <w:bookmarkEnd w:id="1166"/>
      <w:bookmarkEnd w:id="1167"/>
      <w:bookmarkEnd w:id="1168"/>
      <w:bookmarkEnd w:id="1169"/>
      <w:bookmarkEnd w:id="1170"/>
      <w:bookmarkEnd w:id="1171"/>
      <w:bookmarkEnd w:id="1172"/>
      <w:bookmarkEnd w:id="1173"/>
      <w:bookmarkEnd w:id="1174"/>
    </w:p>
    <w:p w14:paraId="26067666">
      <w:pPr>
        <w:adjustRightInd w:val="0"/>
        <w:snapToGrid w:val="0"/>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详见“</w:t>
      </w:r>
      <w:r>
        <w:rPr>
          <w:rFonts w:hint="eastAsia" w:ascii="宋体" w:hAnsi="宋体" w:cs="宋体"/>
          <w:b/>
          <w:color w:val="auto"/>
          <w:szCs w:val="28"/>
          <w:highlight w:val="none"/>
        </w:rPr>
        <w:t>供应商须知前附表</w:t>
      </w:r>
      <w:r>
        <w:rPr>
          <w:rFonts w:hint="eastAsia" w:ascii="宋体" w:hAnsi="宋体" w:cs="宋体"/>
          <w:color w:val="auto"/>
          <w:highlight w:val="none"/>
        </w:rPr>
        <w:t>”4.1.5款规定。</w:t>
      </w:r>
    </w:p>
    <w:p w14:paraId="60F8DF2D">
      <w:pPr>
        <w:pStyle w:val="33"/>
        <w:rPr>
          <w:rFonts w:hint="eastAsia" w:ascii="宋体" w:hAnsi="宋体"/>
          <w:color w:val="auto"/>
          <w:highlight w:val="none"/>
        </w:rPr>
      </w:pPr>
    </w:p>
    <w:p w14:paraId="46969D0F">
      <w:pPr>
        <w:rPr>
          <w:rFonts w:hint="eastAsia" w:ascii="宋体" w:hAnsi="宋体"/>
          <w:color w:val="auto"/>
          <w:highlight w:val="none"/>
        </w:rPr>
      </w:pPr>
    </w:p>
    <w:p w14:paraId="70572CD3">
      <w:pPr>
        <w:keepNext/>
        <w:keepLines/>
        <w:spacing w:line="360" w:lineRule="auto"/>
        <w:jc w:val="center"/>
        <w:outlineLvl w:val="2"/>
        <w:rPr>
          <w:rFonts w:hint="eastAsia" w:ascii="宋体" w:hAnsi="宋体" w:cs="宋体"/>
          <w:b/>
          <w:color w:val="auto"/>
          <w:sz w:val="28"/>
          <w:szCs w:val="18"/>
          <w:highlight w:val="none"/>
        </w:rPr>
      </w:pPr>
      <w:bookmarkStart w:id="1175" w:name="_Toc416962898"/>
      <w:bookmarkStart w:id="1176" w:name="_Toc46765051"/>
      <w:bookmarkStart w:id="1177" w:name="_Toc516501432"/>
      <w:bookmarkStart w:id="1178" w:name="_Toc421607925"/>
      <w:bookmarkStart w:id="1179" w:name="_Toc179645133"/>
      <w:bookmarkStart w:id="1180" w:name="_Toc19166"/>
      <w:bookmarkStart w:id="1181" w:name="_Toc174031469"/>
      <w:bookmarkStart w:id="1182" w:name="_Toc83328633"/>
      <w:bookmarkStart w:id="1183" w:name="_Toc174031555"/>
      <w:bookmarkStart w:id="1184" w:name="_Toc82683132"/>
      <w:r>
        <w:rPr>
          <w:rFonts w:hint="eastAsia" w:ascii="宋体" w:hAnsi="宋体" w:cs="宋体"/>
          <w:b/>
          <w:color w:val="auto"/>
          <w:sz w:val="28"/>
          <w:szCs w:val="18"/>
          <w:highlight w:val="none"/>
        </w:rPr>
        <w:t>（十一）供应商具备履行合同所必需的设备和专业技术能力的证明材料</w:t>
      </w:r>
      <w:bookmarkEnd w:id="1175"/>
      <w:bookmarkEnd w:id="1176"/>
      <w:bookmarkEnd w:id="1177"/>
      <w:bookmarkEnd w:id="1178"/>
      <w:r>
        <w:rPr>
          <w:rFonts w:hint="eastAsia" w:ascii="宋体" w:hAnsi="宋体" w:cs="宋体"/>
          <w:b/>
          <w:color w:val="auto"/>
          <w:sz w:val="28"/>
          <w:szCs w:val="18"/>
          <w:highlight w:val="none"/>
        </w:rPr>
        <w:t>或相关说明</w:t>
      </w:r>
      <w:bookmarkEnd w:id="1179"/>
      <w:bookmarkEnd w:id="1180"/>
      <w:bookmarkEnd w:id="1181"/>
      <w:bookmarkEnd w:id="1182"/>
      <w:bookmarkEnd w:id="1183"/>
      <w:bookmarkEnd w:id="1184"/>
    </w:p>
    <w:p w14:paraId="5B5F989B">
      <w:pPr>
        <w:spacing w:line="360" w:lineRule="auto"/>
        <w:jc w:val="center"/>
        <w:rPr>
          <w:rFonts w:hint="eastAsia" w:ascii="宋体" w:hAnsi="宋体"/>
          <w:color w:val="auto"/>
          <w:szCs w:val="21"/>
          <w:highlight w:val="none"/>
        </w:rPr>
      </w:pPr>
      <w:r>
        <w:rPr>
          <w:rFonts w:hint="eastAsia" w:ascii="宋体" w:hAnsi="宋体" w:cs="宋体"/>
          <w:color w:val="auto"/>
          <w:highlight w:val="none"/>
        </w:rPr>
        <w:t>（供应商提供承诺书，</w:t>
      </w:r>
      <w:r>
        <w:rPr>
          <w:rFonts w:hint="eastAsia" w:ascii="宋体" w:hAnsi="宋体" w:cs="宋体"/>
          <w:color w:val="auto"/>
          <w:szCs w:val="28"/>
          <w:highlight w:val="none"/>
        </w:rPr>
        <w:t>格式内容自拟</w:t>
      </w:r>
      <w:r>
        <w:rPr>
          <w:rFonts w:hint="eastAsia" w:ascii="宋体" w:hAnsi="宋体" w:cs="宋体"/>
          <w:color w:val="auto"/>
          <w:highlight w:val="none"/>
        </w:rPr>
        <w:t>）</w:t>
      </w:r>
    </w:p>
    <w:p w14:paraId="7D6E592F">
      <w:pPr>
        <w:keepNext/>
        <w:keepLines/>
        <w:spacing w:line="360" w:lineRule="auto"/>
        <w:jc w:val="center"/>
        <w:outlineLvl w:val="2"/>
        <w:rPr>
          <w:rFonts w:hint="eastAsia" w:ascii="宋体" w:hAnsi="宋体"/>
          <w:b/>
          <w:bCs/>
          <w:color w:val="auto"/>
          <w:sz w:val="30"/>
          <w:szCs w:val="30"/>
          <w:highlight w:val="none"/>
        </w:rPr>
      </w:pPr>
      <w:r>
        <w:rPr>
          <w:rFonts w:ascii="宋体" w:hAnsi="宋体"/>
          <w:color w:val="auto"/>
          <w:highlight w:val="none"/>
        </w:rPr>
        <w:br w:type="page"/>
      </w:r>
      <w:bookmarkStart w:id="1185" w:name="_Toc416962899"/>
      <w:bookmarkStart w:id="1186" w:name="_Toc11920"/>
      <w:bookmarkStart w:id="1187" w:name="_Toc46765052"/>
      <w:bookmarkStart w:id="1188" w:name="_Toc421607926"/>
      <w:bookmarkStart w:id="1189" w:name="_Toc174031470"/>
      <w:bookmarkStart w:id="1190" w:name="_Toc82683133"/>
      <w:bookmarkStart w:id="1191" w:name="_Toc174031556"/>
      <w:bookmarkStart w:id="1192" w:name="_Toc179645134"/>
      <w:bookmarkStart w:id="1193" w:name="_Toc516501433"/>
      <w:bookmarkStart w:id="1194" w:name="_Toc83328634"/>
      <w:r>
        <w:rPr>
          <w:rFonts w:hint="eastAsia" w:ascii="宋体" w:hAnsi="宋体" w:cs="宋体"/>
          <w:b/>
          <w:color w:val="auto"/>
          <w:sz w:val="28"/>
          <w:szCs w:val="18"/>
          <w:highlight w:val="none"/>
        </w:rPr>
        <w:t>（十二）供应商参加政府采购活动前三年内在经营活动中没有重大违法记录的书面声明</w:t>
      </w:r>
      <w:bookmarkEnd w:id="1185"/>
      <w:bookmarkEnd w:id="1186"/>
      <w:bookmarkEnd w:id="1187"/>
      <w:bookmarkEnd w:id="1188"/>
      <w:bookmarkEnd w:id="1189"/>
      <w:bookmarkEnd w:id="1190"/>
      <w:bookmarkEnd w:id="1191"/>
      <w:bookmarkEnd w:id="1192"/>
      <w:bookmarkEnd w:id="1193"/>
      <w:bookmarkEnd w:id="1194"/>
    </w:p>
    <w:p w14:paraId="0D6048FA">
      <w:pPr>
        <w:jc w:val="center"/>
        <w:rPr>
          <w:rFonts w:hint="eastAsia" w:ascii="宋体" w:hAnsi="宋体"/>
          <w:b/>
          <w:bCs/>
          <w:color w:val="auto"/>
          <w:szCs w:val="21"/>
          <w:highlight w:val="none"/>
        </w:rPr>
      </w:pPr>
      <w:r>
        <w:rPr>
          <w:rFonts w:hint="eastAsia" w:ascii="宋体" w:hAnsi="宋体"/>
          <w:b/>
          <w:bCs/>
          <w:color w:val="auto"/>
          <w:highlight w:val="none"/>
        </w:rPr>
        <w:t>（供应商自行承诺说明，内容自拟）</w:t>
      </w:r>
    </w:p>
    <w:p w14:paraId="3E02EBA0">
      <w:pPr>
        <w:spacing w:line="360" w:lineRule="auto"/>
        <w:jc w:val="left"/>
        <w:rPr>
          <w:rFonts w:hint="eastAsia" w:ascii="宋体" w:hAnsi="宋体"/>
          <w:color w:val="auto"/>
          <w:sz w:val="24"/>
          <w:highlight w:val="none"/>
          <w:u w:val="single"/>
        </w:rPr>
      </w:pPr>
    </w:p>
    <w:p w14:paraId="111625EE">
      <w:pPr>
        <w:spacing w:line="360" w:lineRule="auto"/>
        <w:jc w:val="left"/>
        <w:rPr>
          <w:rFonts w:hint="eastAsia" w:ascii="宋体" w:hAnsi="宋体"/>
          <w:color w:val="auto"/>
          <w:sz w:val="24"/>
          <w:highlight w:val="none"/>
        </w:rPr>
      </w:pPr>
    </w:p>
    <w:p w14:paraId="19B9D5E8">
      <w:pPr>
        <w:spacing w:line="360" w:lineRule="auto"/>
        <w:rPr>
          <w:rFonts w:hint="eastAsia" w:ascii="宋体" w:hAnsi="宋体"/>
          <w:b/>
          <w:bCs/>
          <w:color w:val="auto"/>
          <w:szCs w:val="21"/>
          <w:highlight w:val="none"/>
        </w:rPr>
      </w:pPr>
      <w:r>
        <w:rPr>
          <w:rFonts w:hint="eastAsia" w:ascii="宋体" w:hAnsi="宋体"/>
          <w:b/>
          <w:bCs/>
          <w:color w:val="auto"/>
          <w:szCs w:val="21"/>
          <w:highlight w:val="none"/>
        </w:rPr>
        <w:t>注：重大违法记录，是指供应商因违法经营受到刑事处罚或者责令停产停业、吊销许可证或者执照、较大数额罚款等行政处罚。</w:t>
      </w:r>
    </w:p>
    <w:p w14:paraId="094FF2D6">
      <w:pPr>
        <w:rPr>
          <w:rFonts w:hint="eastAsia" w:ascii="宋体" w:hAnsi="宋体"/>
          <w:color w:val="auto"/>
          <w:sz w:val="24"/>
          <w:highlight w:val="none"/>
        </w:rPr>
      </w:pPr>
    </w:p>
    <w:p w14:paraId="5B23AF24">
      <w:pPr>
        <w:spacing w:line="360" w:lineRule="auto"/>
        <w:rPr>
          <w:rFonts w:hint="eastAsia" w:ascii="宋体" w:hAnsi="宋体"/>
          <w:color w:val="auto"/>
          <w:szCs w:val="21"/>
          <w:highlight w:val="none"/>
          <w:u w:val="single"/>
        </w:rPr>
      </w:pPr>
    </w:p>
    <w:p w14:paraId="0302E926">
      <w:pPr>
        <w:spacing w:line="360" w:lineRule="auto"/>
        <w:jc w:val="center"/>
        <w:rPr>
          <w:rFonts w:hint="eastAsia" w:ascii="宋体" w:hAnsi="宋体"/>
          <w:color w:val="auto"/>
          <w:sz w:val="24"/>
          <w:highlight w:val="none"/>
        </w:rPr>
      </w:pPr>
    </w:p>
    <w:p w14:paraId="21B70DF4">
      <w:pPr>
        <w:spacing w:line="600" w:lineRule="exact"/>
        <w:rPr>
          <w:rFonts w:hint="eastAsia" w:ascii="宋体" w:hAnsi="宋体"/>
          <w:color w:val="auto"/>
          <w:sz w:val="32"/>
          <w:highlight w:val="none"/>
        </w:rPr>
      </w:pPr>
    </w:p>
    <w:p w14:paraId="069F177F">
      <w:pPr>
        <w:keepNext/>
        <w:keepLines/>
        <w:spacing w:line="360" w:lineRule="auto"/>
        <w:jc w:val="center"/>
        <w:outlineLvl w:val="2"/>
        <w:rPr>
          <w:rFonts w:hint="eastAsia" w:ascii="宋体" w:hAnsi="宋体" w:cs="宋体"/>
          <w:b/>
          <w:color w:val="auto"/>
          <w:sz w:val="28"/>
          <w:szCs w:val="28"/>
          <w:highlight w:val="none"/>
        </w:rPr>
      </w:pPr>
      <w:r>
        <w:rPr>
          <w:rFonts w:hint="eastAsia" w:ascii="宋体" w:hAnsi="宋体"/>
          <w:b/>
          <w:color w:val="auto"/>
          <w:sz w:val="32"/>
          <w:szCs w:val="32"/>
          <w:highlight w:val="none"/>
        </w:rPr>
        <w:br w:type="page"/>
      </w:r>
      <w:bookmarkStart w:id="1195" w:name="_Toc174031471"/>
      <w:bookmarkStart w:id="1196" w:name="_Toc174031557"/>
      <w:bookmarkStart w:id="1197" w:name="_Toc179645135"/>
      <w:r>
        <w:rPr>
          <w:rFonts w:hint="eastAsia" w:ascii="宋体" w:hAnsi="宋体"/>
          <w:b/>
          <w:color w:val="auto"/>
          <w:sz w:val="28"/>
          <w:szCs w:val="28"/>
          <w:highlight w:val="none"/>
        </w:rPr>
        <w:t>（十三）</w:t>
      </w:r>
      <w:r>
        <w:rPr>
          <w:rFonts w:hint="eastAsia" w:ascii="宋体" w:hAnsi="宋体" w:cs="宋体"/>
          <w:b/>
          <w:color w:val="auto"/>
          <w:sz w:val="28"/>
          <w:szCs w:val="28"/>
          <w:highlight w:val="none"/>
        </w:rPr>
        <w:t>落实政府采购政策需满足的资格要求</w:t>
      </w:r>
    </w:p>
    <w:p w14:paraId="2055230E">
      <w:pPr>
        <w:spacing w:line="360" w:lineRule="auto"/>
        <w:jc w:val="center"/>
        <w:rPr>
          <w:rFonts w:hint="eastAsia" w:ascii="宋体" w:hAnsi="宋体"/>
          <w:b/>
          <w:bCs/>
          <w:color w:val="auto"/>
          <w:sz w:val="28"/>
          <w:szCs w:val="36"/>
          <w:highlight w:val="none"/>
        </w:rPr>
      </w:pPr>
      <w:r>
        <w:rPr>
          <w:rFonts w:hint="eastAsia" w:ascii="宋体" w:hAnsi="宋体"/>
          <w:b/>
          <w:bCs/>
          <w:color w:val="auto"/>
          <w:sz w:val="28"/>
          <w:szCs w:val="36"/>
          <w:highlight w:val="none"/>
        </w:rPr>
        <w:t>（如有）</w:t>
      </w:r>
    </w:p>
    <w:p w14:paraId="5F05D0DD">
      <w:pPr>
        <w:numPr>
          <w:ilvl w:val="0"/>
          <w:numId w:val="0"/>
        </w:numPr>
        <w:spacing w:line="588" w:lineRule="exact"/>
        <w:jc w:val="center"/>
        <w:rPr>
          <w:rFonts w:hint="eastAsia" w:ascii="宋体" w:hAnsi="宋体" w:cs="宋体"/>
          <w:b/>
          <w:color w:val="auto"/>
          <w:sz w:val="24"/>
          <w:szCs w:val="16"/>
          <w:highlight w:val="none"/>
        </w:rPr>
      </w:pPr>
      <w:bookmarkStart w:id="1198" w:name="_Toc16281"/>
      <w:bookmarkStart w:id="1199" w:name="_Toc174031483"/>
      <w:bookmarkStart w:id="1200" w:name="_Toc179645148"/>
      <w:r>
        <w:rPr>
          <w:rFonts w:hint="eastAsia" w:ascii="宋体" w:hAnsi="宋体" w:eastAsia="宋体" w:cs="宋体"/>
          <w:b/>
          <w:color w:val="auto"/>
          <w:kern w:val="2"/>
          <w:sz w:val="24"/>
          <w:szCs w:val="16"/>
          <w:highlight w:val="none"/>
          <w:lang w:val="en-US" w:eastAsia="zh-CN" w:bidi="ar-SA"/>
        </w:rPr>
        <w:t>1、</w:t>
      </w:r>
      <w:r>
        <w:rPr>
          <w:rFonts w:hint="eastAsia" w:ascii="宋体" w:hAnsi="宋体" w:cs="宋体"/>
          <w:b/>
          <w:color w:val="auto"/>
          <w:sz w:val="24"/>
          <w:szCs w:val="16"/>
          <w:highlight w:val="none"/>
        </w:rPr>
        <w:t>中小型企业声明函</w:t>
      </w:r>
      <w:bookmarkEnd w:id="1198"/>
      <w:r>
        <w:rPr>
          <w:rFonts w:hint="eastAsia" w:ascii="宋体" w:hAnsi="宋体" w:cs="宋体"/>
          <w:b/>
          <w:color w:val="auto"/>
          <w:sz w:val="24"/>
          <w:szCs w:val="16"/>
          <w:highlight w:val="none"/>
        </w:rPr>
        <w:t>（工程）</w:t>
      </w:r>
      <w:bookmarkEnd w:id="1199"/>
      <w:bookmarkEnd w:id="1200"/>
    </w:p>
    <w:p w14:paraId="42B76F9D">
      <w:pPr>
        <w:numPr>
          <w:ilvl w:val="0"/>
          <w:numId w:val="0"/>
        </w:numPr>
        <w:spacing w:line="588" w:lineRule="exact"/>
        <w:jc w:val="center"/>
        <w:rPr>
          <w:rFonts w:hint="eastAsia" w:ascii="宋体" w:hAnsi="宋体" w:eastAsia="宋体" w:cs="宋体"/>
          <w:b/>
          <w:spacing w:val="6"/>
          <w:sz w:val="21"/>
          <w:szCs w:val="21"/>
          <w:highlight w:val="none"/>
        </w:rPr>
      </w:pPr>
      <w:r>
        <w:rPr>
          <w:rFonts w:hint="eastAsia" w:ascii="宋体" w:hAnsi="宋体" w:eastAsia="宋体" w:cs="宋体"/>
          <w:b/>
          <w:sz w:val="21"/>
          <w:szCs w:val="21"/>
          <w:highlight w:val="none"/>
        </w:rPr>
        <w:t>（不属于中小企业的无需填写）</w:t>
      </w:r>
    </w:p>
    <w:p w14:paraId="3A1844B2">
      <w:pPr>
        <w:keepNext/>
        <w:keepLines/>
        <w:spacing w:line="360" w:lineRule="auto"/>
        <w:jc w:val="center"/>
        <w:outlineLvl w:val="3"/>
        <w:rPr>
          <w:rFonts w:hint="eastAsia" w:ascii="宋体" w:hAnsi="宋体" w:cs="宋体"/>
          <w:b/>
          <w:color w:val="auto"/>
          <w:sz w:val="24"/>
          <w:szCs w:val="16"/>
          <w:highlight w:val="none"/>
        </w:rPr>
      </w:pPr>
    </w:p>
    <w:p w14:paraId="7C20E0FD">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仿宋"/>
          <w:color w:val="auto"/>
          <w:kern w:val="0"/>
          <w:szCs w:val="21"/>
          <w:highlight w:val="none"/>
        </w:rPr>
        <w:t>本公司郑重声明，根据《政府采购促进中小企业发展管理办法》（财库</w:t>
      </w:r>
      <w:r>
        <w:rPr>
          <w:rFonts w:hint="eastAsia" w:ascii="宋体" w:hAnsi="宋体" w:cs="宋体"/>
          <w:color w:val="auto"/>
          <w:kern w:val="0"/>
          <w:szCs w:val="21"/>
          <w:highlight w:val="none"/>
        </w:rPr>
        <w:t>﹝</w:t>
      </w:r>
      <w:r>
        <w:rPr>
          <w:rFonts w:hint="eastAsia" w:ascii="宋体" w:hAnsi="宋体" w:cs="仿宋"/>
          <w:color w:val="auto"/>
          <w:kern w:val="0"/>
          <w:szCs w:val="21"/>
          <w:highlight w:val="none"/>
        </w:rPr>
        <w:t>2020</w:t>
      </w:r>
      <w:r>
        <w:rPr>
          <w:rFonts w:hint="eastAsia" w:ascii="宋体" w:hAnsi="宋体" w:cs="宋体"/>
          <w:color w:val="auto"/>
          <w:kern w:val="0"/>
          <w:szCs w:val="21"/>
          <w:highlight w:val="none"/>
        </w:rPr>
        <w:t>﹞</w:t>
      </w:r>
      <w:r>
        <w:rPr>
          <w:rFonts w:hint="eastAsia" w:ascii="宋体" w:hAnsi="宋体" w:cs="仿宋"/>
          <w:color w:val="auto"/>
          <w:kern w:val="0"/>
          <w:szCs w:val="21"/>
          <w:highlight w:val="none"/>
        </w:rPr>
        <w:t>46 号）的规定，本公司（联合体）参加</w:t>
      </w:r>
      <w:r>
        <w:rPr>
          <w:rFonts w:hint="eastAsia" w:ascii="宋体" w:hAnsi="宋体" w:cs="宋体"/>
          <w:b/>
          <w:bCs/>
          <w:color w:val="auto"/>
          <w:kern w:val="0"/>
          <w:szCs w:val="21"/>
          <w:highlight w:val="none"/>
          <w:u w:val="single"/>
          <w:lang w:eastAsia="zh-CN"/>
        </w:rPr>
        <w:t>大理护理职业学院</w:t>
      </w:r>
      <w:r>
        <w:rPr>
          <w:rFonts w:hint="eastAsia" w:ascii="宋体" w:hAnsi="宋体" w:cs="宋体"/>
          <w:color w:val="auto"/>
          <w:kern w:val="0"/>
          <w:szCs w:val="21"/>
          <w:highlight w:val="none"/>
        </w:rPr>
        <w:t>的</w:t>
      </w:r>
      <w:r>
        <w:rPr>
          <w:rFonts w:hint="eastAsia" w:ascii="宋体" w:hAnsi="宋体" w:cs="宋体"/>
          <w:b/>
          <w:bCs/>
          <w:color w:val="auto"/>
          <w:kern w:val="0"/>
          <w:szCs w:val="21"/>
          <w:highlight w:val="none"/>
          <w:u w:val="single"/>
          <w:lang w:eastAsia="zh-CN"/>
        </w:rPr>
        <w:t>大理护理职业学院眼健康产业学院（一期）建设项目（一标段）</w:t>
      </w:r>
      <w:r>
        <w:rPr>
          <w:rFonts w:hint="eastAsia" w:ascii="宋体" w:hAnsi="宋体" w:cs="宋体"/>
          <w:color w:val="auto"/>
          <w:kern w:val="0"/>
          <w:szCs w:val="21"/>
          <w:highlight w:val="none"/>
        </w:rPr>
        <w:t>采购活动，</w:t>
      </w:r>
      <w:r>
        <w:rPr>
          <w:rFonts w:hint="eastAsia" w:ascii="宋体" w:hAnsi="宋体" w:cs="仿宋"/>
          <w:color w:val="auto"/>
          <w:kern w:val="0"/>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14645667">
      <w:pPr>
        <w:autoSpaceDE w:val="0"/>
        <w:autoSpaceDN w:val="0"/>
        <w:adjustRightInd w:val="0"/>
        <w:snapToGrid w:val="0"/>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w:t>
      </w:r>
      <w:r>
        <w:rPr>
          <w:rFonts w:hint="eastAsia" w:ascii="宋体" w:hAnsi="宋体" w:cs="宋体"/>
          <w:b/>
          <w:bCs/>
          <w:color w:val="auto"/>
          <w:kern w:val="0"/>
          <w:szCs w:val="21"/>
          <w:highlight w:val="none"/>
          <w:u w:val="single"/>
          <w:lang w:eastAsia="zh-CN"/>
        </w:rPr>
        <w:t>大理护理职业学院眼健康产业学院（一期）建设项目（一标段）</w:t>
      </w:r>
      <w:r>
        <w:rPr>
          <w:rFonts w:hint="eastAsia" w:ascii="宋体" w:hAnsi="宋体" w:cs="宋体"/>
          <w:color w:val="auto"/>
          <w:kern w:val="0"/>
          <w:szCs w:val="21"/>
          <w:highlight w:val="none"/>
        </w:rPr>
        <w:t>，属于</w:t>
      </w:r>
      <w:r>
        <w:rPr>
          <w:rFonts w:hint="eastAsia" w:ascii="宋体" w:hAnsi="宋体" w:cs="宋体"/>
          <w:b/>
          <w:bCs/>
          <w:color w:val="auto"/>
          <w:kern w:val="0"/>
          <w:szCs w:val="21"/>
          <w:highlight w:val="none"/>
          <w:u w:val="single"/>
        </w:rPr>
        <w:t>建筑业</w:t>
      </w:r>
      <w:r>
        <w:rPr>
          <w:rFonts w:hint="eastAsia" w:ascii="宋体" w:hAnsi="宋体" w:cs="宋体"/>
          <w:color w:val="auto"/>
          <w:kern w:val="0"/>
          <w:szCs w:val="21"/>
          <w:highlight w:val="none"/>
        </w:rPr>
        <w:t>行业；承接企业为</w:t>
      </w:r>
      <w:r>
        <w:rPr>
          <w:rFonts w:hint="eastAsia" w:ascii="宋体" w:hAnsi="宋体" w:cs="宋体"/>
          <w:b/>
          <w:bCs/>
          <w:color w:val="auto"/>
          <w:kern w:val="0"/>
          <w:szCs w:val="21"/>
          <w:highlight w:val="none"/>
          <w:u w:val="single"/>
        </w:rPr>
        <w:t xml:space="preserve">  （企业名称）  </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color w:val="auto"/>
          <w:kern w:val="0"/>
          <w:szCs w:val="21"/>
          <w:highlight w:val="none"/>
          <w:u w:val="single"/>
        </w:rPr>
        <w:t xml:space="preserve">    </w:t>
      </w:r>
      <w:r>
        <w:rPr>
          <w:rFonts w:hint="eastAsia" w:ascii="宋体" w:hAnsi="宋体" w:cs="宋体"/>
          <w:b/>
          <w:bCs/>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68537712">
      <w:pPr>
        <w:autoSpaceDE w:val="0"/>
        <w:autoSpaceDN w:val="0"/>
        <w:adjustRightInd w:val="0"/>
        <w:snapToGrid w:val="0"/>
        <w:spacing w:line="360" w:lineRule="auto"/>
        <w:ind w:firstLine="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u w:val="single"/>
        </w:rPr>
        <w:t xml:space="preserve">（标的名称） </w:t>
      </w:r>
      <w:r>
        <w:rPr>
          <w:rFonts w:hint="eastAsia" w:ascii="宋体" w:hAnsi="宋体" w:cs="宋体"/>
          <w:color w:val="auto"/>
          <w:kern w:val="0"/>
          <w:szCs w:val="21"/>
          <w:highlight w:val="none"/>
        </w:rPr>
        <w:t>，属于</w:t>
      </w:r>
      <w:r>
        <w:rPr>
          <w:rFonts w:hint="eastAsia" w:ascii="宋体" w:hAnsi="宋体" w:cs="宋体"/>
          <w:b/>
          <w:bCs/>
          <w:color w:val="auto"/>
          <w:kern w:val="0"/>
          <w:szCs w:val="21"/>
          <w:highlight w:val="none"/>
          <w:u w:val="single"/>
        </w:rPr>
        <w:t xml:space="preserve">    </w:t>
      </w:r>
      <w:r>
        <w:rPr>
          <w:rFonts w:hint="eastAsia" w:ascii="宋体" w:hAnsi="宋体" w:cs="宋体"/>
          <w:color w:val="auto"/>
          <w:kern w:val="0"/>
          <w:szCs w:val="21"/>
          <w:highlight w:val="none"/>
        </w:rPr>
        <w:t>行业；承接企业为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color w:val="auto"/>
          <w:kern w:val="0"/>
          <w:szCs w:val="21"/>
          <w:highlight w:val="none"/>
          <w:u w:val="single"/>
        </w:rPr>
        <w:t xml:space="preserve">        （中型企业、小型企业、微型企业）</w:t>
      </w:r>
      <w:r>
        <w:rPr>
          <w:rFonts w:hint="eastAsia" w:ascii="宋体" w:hAnsi="宋体" w:cs="宋体"/>
          <w:color w:val="auto"/>
          <w:kern w:val="0"/>
          <w:szCs w:val="21"/>
          <w:highlight w:val="none"/>
        </w:rPr>
        <w:t>；</w:t>
      </w:r>
    </w:p>
    <w:p w14:paraId="650BDC9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131A215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14:paraId="6C7CC417">
      <w:pPr>
        <w:autoSpaceDE w:val="0"/>
        <w:autoSpaceDN w:val="0"/>
        <w:adjustRightInd w:val="0"/>
        <w:snapToGrid w:val="0"/>
        <w:spacing w:line="360" w:lineRule="auto"/>
        <w:ind w:firstLine="420" w:firstLineChars="200"/>
        <w:jc w:val="left"/>
        <w:rPr>
          <w:rFonts w:hint="eastAsia" w:ascii="宋体" w:hAnsi="宋体" w:cs="宋体"/>
          <w:color w:val="auto"/>
          <w:spacing w:val="6"/>
          <w:szCs w:val="21"/>
          <w:highlight w:val="none"/>
        </w:rPr>
      </w:pPr>
      <w:r>
        <w:rPr>
          <w:rFonts w:hint="eastAsia" w:ascii="宋体" w:hAnsi="宋体" w:cs="宋体"/>
          <w:color w:val="auto"/>
          <w:kern w:val="0"/>
          <w:szCs w:val="21"/>
          <w:highlight w:val="none"/>
        </w:rPr>
        <w:t>本企业对上述声明内容的真实性负责。如有虚假，将依法承担相应责任。</w:t>
      </w:r>
    </w:p>
    <w:p w14:paraId="097B91E2">
      <w:pPr>
        <w:spacing w:line="360" w:lineRule="auto"/>
        <w:ind w:firstLine="444" w:firstLineChars="200"/>
        <w:rPr>
          <w:rFonts w:hint="eastAsia" w:ascii="宋体" w:hAnsi="宋体" w:cs="宋体"/>
          <w:color w:val="auto"/>
          <w:spacing w:val="6"/>
          <w:szCs w:val="21"/>
          <w:highlight w:val="none"/>
        </w:rPr>
      </w:pPr>
    </w:p>
    <w:p w14:paraId="64983163">
      <w:pPr>
        <w:spacing w:line="360" w:lineRule="auto"/>
        <w:ind w:firstLine="444" w:firstLineChars="200"/>
        <w:rPr>
          <w:rFonts w:hint="eastAsia" w:ascii="宋体" w:hAnsi="宋体" w:cs="宋体"/>
          <w:color w:val="auto"/>
          <w:spacing w:val="6"/>
          <w:szCs w:val="21"/>
          <w:highlight w:val="none"/>
        </w:rPr>
      </w:pPr>
    </w:p>
    <w:p w14:paraId="3DAB9C33">
      <w:pPr>
        <w:overflowPunct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供应商名称：</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（电子签章）</w:t>
      </w:r>
    </w:p>
    <w:p w14:paraId="7B942651">
      <w:pPr>
        <w:overflowPunct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p w14:paraId="7D8EF0CD">
      <w:pPr>
        <w:pStyle w:val="45"/>
        <w:spacing w:line="360" w:lineRule="auto"/>
        <w:ind w:firstLine="422" w:firstLineChars="200"/>
        <w:rPr>
          <w:rFonts w:hint="eastAsia" w:hAnsi="宋体" w:cs="宋体"/>
          <w:b/>
          <w:color w:val="auto"/>
          <w:highlight w:val="none"/>
        </w:rPr>
      </w:pPr>
    </w:p>
    <w:p w14:paraId="6FB8E095">
      <w:pPr>
        <w:widowControl/>
        <w:spacing w:line="360" w:lineRule="auto"/>
        <w:ind w:firstLine="422" w:firstLineChars="200"/>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注：</w:t>
      </w:r>
    </w:p>
    <w:p w14:paraId="228C9490">
      <w:pPr>
        <w:widowControl/>
        <w:spacing w:line="360" w:lineRule="auto"/>
        <w:ind w:firstLine="422" w:firstLineChars="200"/>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1.从业人员、营业收入、资产总额填报上一年度数据，无上一年度数据的新成立企业可不填报。</w:t>
      </w:r>
    </w:p>
    <w:p w14:paraId="062C2977">
      <w:pPr>
        <w:widowControl/>
        <w:spacing w:line="360" w:lineRule="auto"/>
        <w:ind w:firstLine="422" w:firstLineChars="200"/>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2.根据《工业和信息化部、国家统计局、国家发展和改革委员会、财政部关于印发中小企业划型标准规定的通知》，</w:t>
      </w:r>
      <w:r>
        <w:rPr>
          <w:rFonts w:hint="eastAsia" w:ascii="宋体" w:hAnsi="宋体" w:cs="宋体"/>
          <w:b/>
          <w:bCs/>
          <w:color w:val="auto"/>
          <w:kern w:val="0"/>
          <w:szCs w:val="21"/>
          <w:highlight w:val="none"/>
          <w:u w:val="single"/>
          <w:lang w:bidi="ar"/>
        </w:rPr>
        <w:t>建筑业</w:t>
      </w:r>
      <w:r>
        <w:rPr>
          <w:rFonts w:hint="eastAsia" w:ascii="宋体" w:hAnsi="宋体" w:cs="宋体"/>
          <w:b/>
          <w:bCs/>
          <w:color w:val="auto"/>
          <w:kern w:val="0"/>
          <w:szCs w:val="21"/>
          <w:highlight w:val="none"/>
          <w:lang w:bidi="ar"/>
        </w:rPr>
        <w:t>。</w:t>
      </w:r>
    </w:p>
    <w:p w14:paraId="05BFBD2F">
      <w:pPr>
        <w:spacing w:line="360" w:lineRule="auto"/>
        <w:ind w:firstLine="422" w:firstLineChars="200"/>
        <w:rPr>
          <w:rFonts w:hint="eastAsia" w:ascii="宋体" w:hAnsi="宋体" w:cs="宋体"/>
          <w:b/>
          <w:color w:val="auto"/>
          <w:szCs w:val="21"/>
          <w:highlight w:val="none"/>
        </w:rPr>
      </w:pPr>
      <w:r>
        <w:rPr>
          <w:rFonts w:hint="eastAsia" w:ascii="宋体" w:hAnsi="宋体" w:cs="宋体"/>
          <w:b/>
          <w:bCs/>
          <w:color w:val="auto"/>
          <w:kern w:val="0"/>
          <w:szCs w:val="21"/>
          <w:highlight w:val="none"/>
          <w:lang w:bidi="ar"/>
        </w:rPr>
        <w:t>3.供应商填表时应择一明确自己属于</w:t>
      </w:r>
      <w:r>
        <w:rPr>
          <w:rFonts w:hint="eastAsia" w:ascii="宋体" w:hAnsi="宋体" w:cs="宋体"/>
          <w:b/>
          <w:bCs/>
          <w:color w:val="auto"/>
          <w:kern w:val="0"/>
          <w:szCs w:val="21"/>
          <w:highlight w:val="none"/>
          <w:lang w:val="en-US" w:eastAsia="zh-CN" w:bidi="ar"/>
        </w:rPr>
        <w:t>哪种类型的</w:t>
      </w:r>
      <w:r>
        <w:rPr>
          <w:rFonts w:hint="eastAsia" w:ascii="宋体" w:hAnsi="宋体" w:cs="宋体"/>
          <w:b/>
          <w:bCs/>
          <w:color w:val="auto"/>
          <w:kern w:val="0"/>
          <w:szCs w:val="21"/>
          <w:highlight w:val="none"/>
          <w:lang w:bidi="ar"/>
        </w:rPr>
        <w:t>企业</w:t>
      </w:r>
      <w:r>
        <w:rPr>
          <w:rFonts w:hint="eastAsia" w:ascii="宋体" w:hAnsi="宋体" w:cs="宋体"/>
          <w:b/>
          <w:color w:val="auto"/>
          <w:szCs w:val="21"/>
          <w:highlight w:val="none"/>
        </w:rPr>
        <w:t>。</w:t>
      </w:r>
    </w:p>
    <w:p w14:paraId="27C956D8">
      <w:pPr>
        <w:pStyle w:val="33"/>
        <w:rPr>
          <w:rFonts w:hint="eastAsia" w:ascii="宋体" w:hAnsi="宋体" w:cs="宋体"/>
          <w:b/>
          <w:bCs/>
          <w:color w:val="auto"/>
          <w:szCs w:val="21"/>
          <w:highlight w:val="none"/>
        </w:rPr>
      </w:pPr>
      <w:r>
        <w:rPr>
          <w:rFonts w:hint="eastAsia" w:ascii="宋体" w:hAnsi="宋体" w:cs="宋体"/>
          <w:b/>
          <w:color w:val="auto"/>
          <w:sz w:val="28"/>
          <w:szCs w:val="28"/>
          <w:highlight w:val="none"/>
        </w:rPr>
        <w:br w:type="page"/>
      </w:r>
      <w:r>
        <w:rPr>
          <w:rFonts w:hint="eastAsia" w:ascii="宋体" w:hAnsi="宋体" w:cs="宋体"/>
          <w:b/>
          <w:bCs/>
          <w:color w:val="auto"/>
          <w:sz w:val="21"/>
          <w:szCs w:val="18"/>
          <w:highlight w:val="none"/>
        </w:rPr>
        <w:t>附件：</w:t>
      </w:r>
    </w:p>
    <w:p w14:paraId="72155ABB">
      <w:pPr>
        <w:pStyle w:val="33"/>
        <w:adjustRightInd w:val="0"/>
        <w:snapToGrid w:val="0"/>
        <w:spacing w:after="0" w:line="360" w:lineRule="auto"/>
        <w:rPr>
          <w:rFonts w:hint="eastAsia" w:ascii="宋体" w:hAnsi="宋体" w:cs="宋体"/>
          <w:b/>
          <w:bCs/>
          <w:color w:val="auto"/>
          <w:sz w:val="21"/>
          <w:szCs w:val="18"/>
          <w:highlight w:val="none"/>
        </w:rPr>
      </w:pPr>
      <w:r>
        <w:rPr>
          <w:rFonts w:hint="eastAsia" w:ascii="宋体" w:hAnsi="宋体" w:cs="宋体"/>
          <w:b/>
          <w:bCs/>
          <w:color w:val="auto"/>
          <w:sz w:val="21"/>
          <w:szCs w:val="18"/>
          <w:highlight w:val="none"/>
        </w:rPr>
        <w:t>《关于印发中小企业划型标准规定的通知》（工信部联企业〔2011〕300号）中小企业划型标准规定节选：</w:t>
      </w:r>
    </w:p>
    <w:p w14:paraId="3846B5F7">
      <w:pPr>
        <w:pStyle w:val="45"/>
        <w:snapToGrid w:val="0"/>
        <w:spacing w:line="360" w:lineRule="auto"/>
        <w:ind w:firstLine="422" w:firstLineChars="200"/>
        <w:jc w:val="both"/>
        <w:rPr>
          <w:rFonts w:hint="eastAsia" w:hAnsi="宋体" w:cs="宋体"/>
          <w:b/>
          <w:bCs/>
          <w:color w:val="auto"/>
          <w:highlight w:val="none"/>
        </w:rPr>
      </w:pPr>
      <w:r>
        <w:rPr>
          <w:rFonts w:hint="eastAsia" w:hAnsi="宋体" w:cs="宋体"/>
          <w:b/>
          <w:bCs/>
          <w:color w:val="auto"/>
          <w:highlight w:val="none"/>
        </w:rPr>
        <w:t>四、各行业划型标准为：</w:t>
      </w:r>
    </w:p>
    <w:p w14:paraId="0BBF8C4A">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（一）农、林、牧、渔业。营业收入20000万元以下的为中小微型企业。其中，营业收入500万元及以上的为中型企业，营业收入50万元及以上的为小型企业，营业收入50万元以下的为微型企业。</w:t>
      </w:r>
    </w:p>
    <w:p w14:paraId="4E75B844">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2AEA30">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A66F2FA">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843BDC">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DF934FF">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C72FED0">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A66C26">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8FA794">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1C8DF7">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7F1539">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B5DF30A">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E419D7A">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64318CD">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1B5541">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A25DEE">
      <w:pPr>
        <w:pStyle w:val="45"/>
        <w:snapToGrid w:val="0"/>
        <w:spacing w:line="360" w:lineRule="auto"/>
        <w:ind w:firstLine="420" w:firstLineChars="200"/>
        <w:jc w:val="both"/>
        <w:rPr>
          <w:rFonts w:hint="eastAsia" w:hAnsi="宋体" w:cs="宋体"/>
          <w:color w:val="auto"/>
          <w:highlight w:val="none"/>
        </w:rPr>
      </w:pPr>
      <w:r>
        <w:rPr>
          <w:rFonts w:hint="eastAsia" w:hAnsi="宋体" w:cs="宋体"/>
          <w:color w:val="auto"/>
          <w:highlight w:val="none"/>
        </w:rPr>
        <w:t>（十六）其他未列明行业。从业人员300人以下的为中小微型企业。其中，从业人员100人及以上的为中型企业；从业人员10人及以上的为小型企业；从业人员10人以下的为微型企业。</w:t>
      </w:r>
    </w:p>
    <w:p w14:paraId="75FA3997">
      <w:pPr>
        <w:pStyle w:val="33"/>
        <w:rPr>
          <w:rFonts w:hint="eastAsia" w:ascii="宋体" w:hAnsi="宋体" w:cs="宋体"/>
          <w:color w:val="auto"/>
          <w:szCs w:val="21"/>
          <w:highlight w:val="none"/>
        </w:rPr>
      </w:pPr>
    </w:p>
    <w:p w14:paraId="1B8056A9">
      <w:pPr>
        <w:keepNext/>
        <w:keepLines/>
        <w:spacing w:line="360" w:lineRule="auto"/>
        <w:jc w:val="center"/>
        <w:outlineLvl w:val="3"/>
        <w:rPr>
          <w:rFonts w:hint="eastAsia" w:ascii="宋体" w:hAnsi="宋体" w:cs="宋体"/>
          <w:color w:val="auto"/>
          <w:highlight w:val="none"/>
        </w:rPr>
      </w:pPr>
      <w:r>
        <w:rPr>
          <w:rFonts w:hint="eastAsia" w:ascii="宋体" w:hAnsi="宋体" w:cs="宋体"/>
          <w:color w:val="auto"/>
          <w:spacing w:val="-4"/>
          <w:highlight w:val="none"/>
        </w:rPr>
        <w:br w:type="page"/>
      </w:r>
      <w:r>
        <w:rPr>
          <w:rFonts w:hint="eastAsia" w:ascii="宋体" w:hAnsi="宋体" w:cs="宋体"/>
          <w:b/>
          <w:color w:val="auto"/>
          <w:sz w:val="24"/>
          <w:szCs w:val="16"/>
          <w:highlight w:val="none"/>
        </w:rPr>
        <w:t>2、残疾人福利性单位声明函</w:t>
      </w:r>
    </w:p>
    <w:p w14:paraId="6D2273BB">
      <w:pPr>
        <w:widowControl/>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（不属于残疾人福利性单位的无需填写）</w:t>
      </w:r>
    </w:p>
    <w:p w14:paraId="457EB456">
      <w:pPr>
        <w:overflowPunct w:val="0"/>
        <w:spacing w:line="360" w:lineRule="auto"/>
        <w:ind w:firstLine="562" w:firstLineChars="200"/>
        <w:rPr>
          <w:rFonts w:hint="eastAsia" w:ascii="宋体" w:hAnsi="宋体" w:cs="宋体"/>
          <w:b/>
          <w:color w:val="auto"/>
          <w:sz w:val="28"/>
          <w:szCs w:val="28"/>
          <w:highlight w:val="none"/>
        </w:rPr>
      </w:pPr>
    </w:p>
    <w:p w14:paraId="1F8860A6">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F08D68">
      <w:pPr>
        <w:overflow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06DA51A">
      <w:pPr>
        <w:overflowPunct w:val="0"/>
        <w:spacing w:line="360" w:lineRule="auto"/>
        <w:ind w:firstLine="420" w:firstLineChars="200"/>
        <w:rPr>
          <w:rFonts w:hint="eastAsia" w:ascii="宋体" w:hAnsi="宋体" w:cs="宋体"/>
          <w:color w:val="auto"/>
          <w:szCs w:val="21"/>
          <w:highlight w:val="none"/>
        </w:rPr>
      </w:pPr>
    </w:p>
    <w:p w14:paraId="29639383">
      <w:pPr>
        <w:overflowPunct w:val="0"/>
        <w:spacing w:line="360" w:lineRule="auto"/>
        <w:ind w:firstLine="420" w:firstLineChars="200"/>
        <w:rPr>
          <w:rFonts w:hint="eastAsia" w:ascii="宋体" w:hAnsi="宋体" w:cs="宋体"/>
          <w:color w:val="auto"/>
          <w:szCs w:val="21"/>
          <w:highlight w:val="none"/>
        </w:rPr>
      </w:pPr>
    </w:p>
    <w:p w14:paraId="6C1EE3DA">
      <w:pPr>
        <w:overflowPunct w:val="0"/>
        <w:adjustRightInd w:val="0"/>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供应商：</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（电子签章）</w:t>
      </w:r>
    </w:p>
    <w:p w14:paraId="7818052C">
      <w:pPr>
        <w:overflowPunct w:val="0"/>
        <w:adjustRightInd w:val="0"/>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法定代表人或其委托代理人：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（电子签名）</w:t>
      </w:r>
    </w:p>
    <w:p w14:paraId="4C8B673D">
      <w:pPr>
        <w:overflowPunct w:val="0"/>
        <w:adjustRightInd w:val="0"/>
        <w:snapToGrid w:val="0"/>
        <w:spacing w:line="48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p w14:paraId="1B046B8D">
      <w:pPr>
        <w:keepNext/>
        <w:keepLines/>
        <w:spacing w:line="360" w:lineRule="auto"/>
        <w:jc w:val="center"/>
        <w:outlineLvl w:val="3"/>
        <w:rPr>
          <w:rFonts w:hint="eastAsia" w:ascii="宋体" w:hAnsi="宋体" w:cs="宋体"/>
          <w:color w:val="auto"/>
          <w:sz w:val="28"/>
          <w:szCs w:val="28"/>
          <w:highlight w:val="none"/>
        </w:rPr>
      </w:pPr>
      <w:r>
        <w:rPr>
          <w:rFonts w:hint="eastAsia" w:ascii="宋体" w:hAnsi="宋体" w:cs="宋体"/>
          <w:b/>
          <w:color w:val="auto"/>
          <w:sz w:val="28"/>
          <w:szCs w:val="28"/>
          <w:highlight w:val="none"/>
        </w:rPr>
        <w:br w:type="page"/>
      </w:r>
      <w:bookmarkStart w:id="1201" w:name="_Toc179645150"/>
      <w:bookmarkStart w:id="1202" w:name="_Toc368"/>
      <w:bookmarkStart w:id="1203" w:name="_Toc2770"/>
      <w:bookmarkStart w:id="1204" w:name="_Toc174031485"/>
      <w:bookmarkStart w:id="1205" w:name="_Toc179645151"/>
      <w:bookmarkStart w:id="1206" w:name="_Toc24018"/>
      <w:bookmarkStart w:id="1207" w:name="_Toc32612"/>
      <w:bookmarkStart w:id="1208" w:name="_Toc174031486"/>
      <w:r>
        <w:rPr>
          <w:rFonts w:hint="eastAsia" w:ascii="宋体" w:hAnsi="宋体" w:cs="宋体"/>
          <w:b/>
          <w:color w:val="auto"/>
          <w:sz w:val="24"/>
          <w:szCs w:val="16"/>
          <w:highlight w:val="none"/>
        </w:rPr>
        <w:t>3、监狱企业证明文件</w:t>
      </w:r>
      <w:bookmarkEnd w:id="1201"/>
      <w:bookmarkEnd w:id="1202"/>
      <w:bookmarkEnd w:id="1203"/>
      <w:bookmarkEnd w:id="1204"/>
    </w:p>
    <w:p w14:paraId="107DD419">
      <w:pPr>
        <w:widowControl/>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（不属于监狱企业的无需填写）</w:t>
      </w:r>
    </w:p>
    <w:p w14:paraId="61937FC7">
      <w:pPr>
        <w:overflowPunct w:val="0"/>
        <w:spacing w:line="360" w:lineRule="auto"/>
        <w:ind w:firstLine="420" w:firstLineChars="200"/>
        <w:jc w:val="left"/>
        <w:rPr>
          <w:rFonts w:hint="eastAsia" w:ascii="宋体" w:hAnsi="宋体" w:cs="宋体"/>
          <w:color w:val="auto"/>
          <w:szCs w:val="21"/>
          <w:highlight w:val="none"/>
        </w:rPr>
      </w:pPr>
    </w:p>
    <w:p w14:paraId="4A2A0E28">
      <w:pPr>
        <w:overflowPunct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6DEF7E">
      <w:pPr>
        <w:overflowPunct w:val="0"/>
        <w:spacing w:line="360" w:lineRule="auto"/>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p>
    <w:p w14:paraId="7689A23E">
      <w:pPr>
        <w:pStyle w:val="33"/>
        <w:rPr>
          <w:rFonts w:hint="eastAsia" w:ascii="宋体" w:hAnsi="宋体"/>
          <w:color w:val="auto"/>
          <w:highlight w:val="none"/>
        </w:rPr>
      </w:pPr>
    </w:p>
    <w:p w14:paraId="232253DC">
      <w:pPr>
        <w:rPr>
          <w:color w:val="auto"/>
          <w:highlight w:val="none"/>
        </w:rPr>
      </w:pPr>
    </w:p>
    <w:p w14:paraId="19220CD4">
      <w:pPr>
        <w:overflowPunct w:val="0"/>
        <w:adjustRightInd w:val="0"/>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供应商：</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（电子签章）</w:t>
      </w:r>
    </w:p>
    <w:p w14:paraId="4A52CE7F">
      <w:pPr>
        <w:overflowPunct w:val="0"/>
        <w:adjustRightInd w:val="0"/>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法定代表人或其委托代理人：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（电子签名）</w:t>
      </w:r>
    </w:p>
    <w:p w14:paraId="65C8C1CA">
      <w:pPr>
        <w:overflowPunct w:val="0"/>
        <w:adjustRightInd w:val="0"/>
        <w:snapToGrid w:val="0"/>
        <w:spacing w:line="48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p w14:paraId="61BF528C">
      <w:pPr>
        <w:rPr>
          <w:rFonts w:hint="eastAsia" w:ascii="宋体" w:hAnsi="宋体"/>
          <w:color w:val="auto"/>
          <w:highlight w:val="none"/>
        </w:rPr>
      </w:pPr>
    </w:p>
    <w:p w14:paraId="2DEF2E0C">
      <w:pPr>
        <w:pStyle w:val="5"/>
        <w:ind w:firstLine="0" w:firstLineChars="0"/>
        <w:rPr>
          <w:rFonts w:hint="eastAsia" w:hAnsi="宋体"/>
          <w:color w:val="auto"/>
          <w:highlight w:val="none"/>
        </w:rPr>
      </w:pPr>
      <w:r>
        <w:rPr>
          <w:rFonts w:hint="eastAsia" w:hAnsi="宋体"/>
          <w:color w:val="auto"/>
          <w:highlight w:val="none"/>
        </w:rPr>
        <w:br w:type="page"/>
      </w:r>
      <w:bookmarkEnd w:id="1205"/>
      <w:bookmarkEnd w:id="1206"/>
      <w:bookmarkEnd w:id="1207"/>
      <w:bookmarkEnd w:id="1208"/>
      <w:r>
        <w:rPr>
          <w:rFonts w:hint="eastAsia" w:hAnsi="宋体" w:cs="宋体"/>
          <w:color w:val="auto"/>
          <w:sz w:val="28"/>
          <w:szCs w:val="18"/>
          <w:highlight w:val="none"/>
        </w:rPr>
        <w:t>（十四）供应商资格要求中要求的其他文件</w:t>
      </w:r>
      <w:bookmarkEnd w:id="1195"/>
      <w:bookmarkEnd w:id="1196"/>
      <w:bookmarkEnd w:id="1197"/>
    </w:p>
    <w:bookmarkEnd w:id="1140"/>
    <w:bookmarkEnd w:id="1141"/>
    <w:bookmarkEnd w:id="1142"/>
    <w:bookmarkEnd w:id="1143"/>
    <w:bookmarkEnd w:id="1144"/>
    <w:p w14:paraId="4BC64D23">
      <w:pPr>
        <w:adjustRightInd w:val="0"/>
        <w:snapToGrid w:val="0"/>
        <w:spacing w:line="360" w:lineRule="auto"/>
        <w:rPr>
          <w:rFonts w:hint="eastAsia" w:ascii="宋体" w:hAnsi="宋体"/>
          <w:b/>
          <w:bCs/>
          <w:color w:val="auto"/>
          <w:szCs w:val="21"/>
          <w:highlight w:val="none"/>
        </w:rPr>
      </w:pPr>
      <w:bookmarkStart w:id="1209" w:name="_Toc327344860"/>
      <w:bookmarkStart w:id="1210" w:name="_Toc267641379"/>
      <w:bookmarkStart w:id="1211" w:name="_Toc232509438"/>
      <w:r>
        <w:rPr>
          <w:rFonts w:hint="eastAsia" w:ascii="宋体" w:hAnsi="宋体" w:cs="宋体"/>
          <w:b/>
          <w:bCs/>
          <w:color w:val="auto"/>
          <w:szCs w:val="21"/>
          <w:highlight w:val="none"/>
        </w:rPr>
        <w:t>磋商文件第一章“二、申请人资格要求”中要求提供的其他资格证明文件，包含但不限于以下资料：</w:t>
      </w:r>
    </w:p>
    <w:p w14:paraId="118A1C32">
      <w:pP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lang w:eastAsia="zh-CN"/>
        </w:rPr>
        <w:t>供应商须具有建设行政主管部门核发的建筑工程施工总承包叁级或建筑装修装饰工程专业承包二级及以上资质，且应具有建设行政主管部门核发的在有效期内的安全生产许可证</w:t>
      </w:r>
      <w:r>
        <w:rPr>
          <w:rFonts w:hint="eastAsia" w:ascii="宋体" w:hAnsi="宋体"/>
          <w:b/>
          <w:bCs/>
          <w:color w:val="auto"/>
          <w:szCs w:val="21"/>
          <w:highlight w:val="none"/>
        </w:rPr>
        <w:t>。</w:t>
      </w:r>
    </w:p>
    <w:p w14:paraId="7A6873E4">
      <w:pPr>
        <w:overflowPunct w:val="0"/>
        <w:spacing w:line="360" w:lineRule="auto"/>
        <w:ind w:firstLine="422" w:firstLineChars="200"/>
        <w:rPr>
          <w:rFonts w:hint="eastAsia" w:ascii="宋体" w:hAnsi="宋体" w:cs="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lang w:eastAsia="zh-CN"/>
        </w:rPr>
        <w:t>供应商拟派的本项目的项目经理须须具备有效的贰级及以上注册建造师证（建筑工程专业）（须注册在本单位的），有效的安全生产考核合格证书（B证）</w:t>
      </w:r>
      <w:r>
        <w:rPr>
          <w:rFonts w:ascii="宋体" w:hAnsi="宋体"/>
          <w:color w:val="auto"/>
          <w:szCs w:val="21"/>
          <w:highlight w:val="none"/>
        </w:rPr>
        <w:t>，必须为供应商本单位人员（提供有效的劳动合同和</w:t>
      </w:r>
      <w:r>
        <w:rPr>
          <w:rFonts w:hint="eastAsia" w:ascii="宋体" w:hAnsi="宋体"/>
          <w:color w:val="auto"/>
          <w:szCs w:val="21"/>
          <w:highlight w:val="none"/>
        </w:rPr>
        <w:t>近三个月内开具的</w:t>
      </w:r>
      <w:r>
        <w:rPr>
          <w:rFonts w:ascii="宋体" w:hAnsi="宋体"/>
          <w:color w:val="auto"/>
          <w:szCs w:val="21"/>
          <w:highlight w:val="none"/>
        </w:rPr>
        <w:t>社保缴纳证明等证明材料）</w:t>
      </w:r>
      <w:r>
        <w:rPr>
          <w:rFonts w:hint="eastAsia" w:ascii="宋体" w:hAnsi="宋体"/>
          <w:color w:val="auto"/>
          <w:szCs w:val="21"/>
          <w:highlight w:val="none"/>
        </w:rPr>
        <w:t>，</w:t>
      </w:r>
      <w:r>
        <w:rPr>
          <w:rFonts w:ascii="宋体" w:hAnsi="宋体"/>
          <w:color w:val="auto"/>
          <w:szCs w:val="21"/>
          <w:highlight w:val="none"/>
        </w:rPr>
        <w:t>且未担任其它在建工程项目的项目经理</w:t>
      </w:r>
      <w:r>
        <w:rPr>
          <w:rFonts w:hint="eastAsia" w:ascii="宋体" w:hAnsi="宋体"/>
          <w:b/>
          <w:bCs/>
          <w:color w:val="auto"/>
          <w:szCs w:val="21"/>
          <w:highlight w:val="none"/>
        </w:rPr>
        <w:t>（提供无在建项目承诺书）</w:t>
      </w:r>
      <w:r>
        <w:rPr>
          <w:rFonts w:ascii="宋体" w:hAnsi="宋体"/>
          <w:color w:val="auto"/>
          <w:szCs w:val="21"/>
          <w:highlight w:val="none"/>
        </w:rPr>
        <w:t>。</w:t>
      </w:r>
      <w:r>
        <w:rPr>
          <w:rFonts w:hint="eastAsia" w:ascii="宋体" w:hAnsi="宋体"/>
          <w:color w:val="auto"/>
          <w:kern w:val="0"/>
          <w:szCs w:val="21"/>
          <w:highlight w:val="none"/>
        </w:rPr>
        <w:t>（</w:t>
      </w:r>
      <w:r>
        <w:rPr>
          <w:rFonts w:hint="eastAsia" w:ascii="宋体" w:hAnsi="宋体"/>
          <w:b/>
          <w:bCs/>
          <w:color w:val="auto"/>
          <w:kern w:val="0"/>
          <w:szCs w:val="21"/>
          <w:highlight w:val="none"/>
        </w:rPr>
        <w:t>注：</w:t>
      </w:r>
      <w:r>
        <w:rPr>
          <w:rFonts w:hint="eastAsia" w:ascii="宋体" w:hAnsi="宋体"/>
          <w:color w:val="auto"/>
          <w:kern w:val="0"/>
          <w:szCs w:val="21"/>
          <w:highlight w:val="none"/>
        </w:rPr>
        <w:t>若</w:t>
      </w:r>
      <w:r>
        <w:rPr>
          <w:rFonts w:ascii="宋体" w:hAnsi="宋体"/>
          <w:color w:val="auto"/>
          <w:szCs w:val="21"/>
          <w:highlight w:val="none"/>
        </w:rPr>
        <w:t>项目经理</w:t>
      </w:r>
      <w:r>
        <w:rPr>
          <w:rFonts w:hint="eastAsia" w:ascii="宋体" w:hAnsi="宋体"/>
          <w:color w:val="auto"/>
          <w:kern w:val="0"/>
          <w:szCs w:val="21"/>
          <w:highlight w:val="none"/>
        </w:rPr>
        <w:t>有在建工程，但已做变更的，需提供全套</w:t>
      </w:r>
      <w:r>
        <w:rPr>
          <w:rFonts w:ascii="宋体" w:hAnsi="宋体"/>
          <w:color w:val="auto"/>
          <w:szCs w:val="21"/>
          <w:highlight w:val="none"/>
        </w:rPr>
        <w:t>项目经理</w:t>
      </w:r>
      <w:r>
        <w:rPr>
          <w:rFonts w:hint="eastAsia" w:ascii="宋体" w:hAnsi="宋体"/>
          <w:color w:val="auto"/>
          <w:kern w:val="0"/>
          <w:szCs w:val="21"/>
          <w:highlight w:val="none"/>
        </w:rPr>
        <w:t>变更相关证明材料扫描件；若</w:t>
      </w:r>
      <w:r>
        <w:rPr>
          <w:rFonts w:ascii="宋体" w:hAnsi="宋体"/>
          <w:color w:val="auto"/>
          <w:szCs w:val="21"/>
          <w:highlight w:val="none"/>
        </w:rPr>
        <w:t>项目经理</w:t>
      </w:r>
      <w:r>
        <w:rPr>
          <w:rFonts w:hint="eastAsia" w:ascii="宋体" w:hAnsi="宋体"/>
          <w:color w:val="auto"/>
          <w:kern w:val="0"/>
          <w:szCs w:val="21"/>
          <w:highlight w:val="none"/>
        </w:rPr>
        <w:t>在本项目成交人确定前已在其他项目中中标（成交）并担任</w:t>
      </w:r>
      <w:r>
        <w:rPr>
          <w:rFonts w:ascii="宋体" w:hAnsi="宋体"/>
          <w:color w:val="auto"/>
          <w:szCs w:val="21"/>
          <w:highlight w:val="none"/>
        </w:rPr>
        <w:t>项目经理</w:t>
      </w:r>
      <w:r>
        <w:rPr>
          <w:rFonts w:hint="eastAsia" w:ascii="宋体" w:hAnsi="宋体"/>
          <w:color w:val="auto"/>
          <w:kern w:val="0"/>
          <w:szCs w:val="21"/>
          <w:highlight w:val="none"/>
        </w:rPr>
        <w:t>,且投标时未提供</w:t>
      </w:r>
      <w:r>
        <w:rPr>
          <w:rFonts w:ascii="宋体" w:hAnsi="宋体"/>
          <w:color w:val="auto"/>
          <w:szCs w:val="21"/>
          <w:highlight w:val="none"/>
        </w:rPr>
        <w:t>项目经理</w:t>
      </w:r>
      <w:r>
        <w:rPr>
          <w:rFonts w:hint="eastAsia" w:ascii="宋体" w:hAnsi="宋体"/>
          <w:color w:val="auto"/>
          <w:kern w:val="0"/>
          <w:szCs w:val="21"/>
          <w:highlight w:val="none"/>
        </w:rPr>
        <w:t>变更材料的，视其为“担任其他在建设工程项目的</w:t>
      </w:r>
      <w:r>
        <w:rPr>
          <w:rFonts w:ascii="宋体" w:hAnsi="宋体"/>
          <w:color w:val="auto"/>
          <w:szCs w:val="21"/>
          <w:highlight w:val="none"/>
        </w:rPr>
        <w:t>项目经理</w:t>
      </w:r>
      <w:r>
        <w:rPr>
          <w:rFonts w:hint="eastAsia" w:ascii="宋体" w:hAnsi="宋体"/>
          <w:color w:val="auto"/>
          <w:kern w:val="0"/>
          <w:szCs w:val="21"/>
          <w:highlight w:val="none"/>
        </w:rPr>
        <w:t>”)</w:t>
      </w:r>
      <w:r>
        <w:rPr>
          <w:rFonts w:ascii="宋体" w:hAnsi="宋体"/>
          <w:color w:val="auto"/>
          <w:szCs w:val="21"/>
          <w:highlight w:val="none"/>
        </w:rPr>
        <w:t>。</w:t>
      </w:r>
    </w:p>
    <w:p w14:paraId="1432E7D8">
      <w:pPr>
        <w:overflowPunct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w:t>
      </w:r>
      <w:r>
        <w:rPr>
          <w:rFonts w:hint="eastAsia" w:ascii="宋体" w:hAnsi="宋体" w:cs="宋体"/>
          <w:color w:val="auto"/>
          <w:szCs w:val="21"/>
          <w:highlight w:val="none"/>
        </w:rPr>
        <w:t>供应商未被列入“信用中国”网站（www.creditchina.gov.cn）失信被执行人、重大税收违法失信主体、政府采购严重违法失信行为记录名单，及未被列入中国政府采购网（www.ccgp.gov.cn）“政府采购严重违法失信行为信息记录”。</w:t>
      </w:r>
      <w:r>
        <w:rPr>
          <w:rFonts w:hint="eastAsia" w:ascii="宋体" w:hAnsi="宋体" w:cs="宋体"/>
          <w:b/>
          <w:bCs/>
          <w:color w:val="auto"/>
          <w:szCs w:val="21"/>
          <w:highlight w:val="none"/>
        </w:rPr>
        <w:t>（以截止时间后磋商现场工作人员查询结果为准）</w:t>
      </w:r>
      <w:r>
        <w:rPr>
          <w:rFonts w:hint="eastAsia" w:ascii="宋体" w:hAnsi="宋体" w:cs="宋体"/>
          <w:color w:val="auto"/>
          <w:szCs w:val="21"/>
          <w:highlight w:val="none"/>
        </w:rPr>
        <w:t>。</w:t>
      </w:r>
    </w:p>
    <w:p w14:paraId="7FF5003D">
      <w:pPr>
        <w:overflowPunct w:val="0"/>
        <w:spacing w:line="360" w:lineRule="auto"/>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4、</w:t>
      </w:r>
      <w:r>
        <w:rPr>
          <w:rFonts w:hint="eastAsia" w:ascii="宋体" w:hAnsi="宋体" w:cs="宋体"/>
          <w:color w:val="auto"/>
          <w:szCs w:val="21"/>
          <w:highlight w:val="none"/>
        </w:rPr>
        <w:t>单位负责人为同一人或者存在直接控股、管理关系的不同供应商，不得参加同一合同项下的政府采购活动。</w:t>
      </w:r>
      <w:r>
        <w:rPr>
          <w:rFonts w:hint="eastAsia" w:ascii="宋体" w:hAnsi="宋体" w:cs="宋体"/>
          <w:b/>
          <w:bCs/>
          <w:color w:val="auto"/>
          <w:szCs w:val="21"/>
          <w:highlight w:val="none"/>
        </w:rPr>
        <w:t>（提供承诺书）</w:t>
      </w:r>
    </w:p>
    <w:p w14:paraId="75171BE5">
      <w:pPr>
        <w:adjustRightInd w:val="0"/>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5、</w:t>
      </w:r>
      <w:r>
        <w:rPr>
          <w:rFonts w:hint="eastAsia" w:ascii="宋体" w:hAnsi="宋体" w:cs="宋体"/>
          <w:color w:val="auto"/>
          <w:szCs w:val="21"/>
          <w:highlight w:val="none"/>
        </w:rPr>
        <w:t>非联合体磋商承诺书</w:t>
      </w:r>
      <w:r>
        <w:rPr>
          <w:rFonts w:hint="eastAsia" w:ascii="宋体" w:hAnsi="宋体"/>
          <w:color w:val="auto"/>
          <w:szCs w:val="21"/>
          <w:highlight w:val="none"/>
        </w:rPr>
        <w:t>。（提供承诺书，格式由供应商自拟）</w:t>
      </w:r>
    </w:p>
    <w:p w14:paraId="12960439">
      <w:pPr>
        <w:adjustRightInd w:val="0"/>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6、</w:t>
      </w:r>
      <w:r>
        <w:rPr>
          <w:rFonts w:hint="eastAsia" w:ascii="宋体" w:hAnsi="宋体"/>
          <w:color w:val="auto"/>
          <w:szCs w:val="21"/>
          <w:highlight w:val="none"/>
        </w:rPr>
        <w:t>其他。</w:t>
      </w:r>
    </w:p>
    <w:p w14:paraId="202CC511">
      <w:pPr>
        <w:pStyle w:val="33"/>
        <w:rPr>
          <w:rFonts w:hint="eastAsia" w:ascii="宋体" w:hAnsi="宋体"/>
          <w:color w:val="auto"/>
          <w:highlight w:val="none"/>
        </w:rPr>
      </w:pPr>
    </w:p>
    <w:p w14:paraId="7090E627">
      <w:pPr>
        <w:pStyle w:val="5"/>
        <w:ind w:firstLine="0" w:firstLineChars="0"/>
        <w:rPr>
          <w:rFonts w:hint="eastAsia" w:hAnsi="宋体"/>
          <w:color w:val="auto"/>
          <w:kern w:val="2"/>
          <w:sz w:val="28"/>
          <w:highlight w:val="none"/>
        </w:rPr>
      </w:pPr>
      <w:r>
        <w:rPr>
          <w:rFonts w:hAnsi="宋体"/>
          <w:color w:val="auto"/>
          <w:sz w:val="28"/>
          <w:highlight w:val="none"/>
        </w:rPr>
        <w:br w:type="page"/>
      </w:r>
      <w:bookmarkEnd w:id="1209"/>
      <w:bookmarkEnd w:id="1210"/>
      <w:bookmarkEnd w:id="1211"/>
      <w:bookmarkStart w:id="1212" w:name="_Toc25475"/>
      <w:bookmarkStart w:id="1213" w:name="_Toc137737733"/>
      <w:bookmarkStart w:id="1214" w:name="_Toc139471258"/>
      <w:bookmarkStart w:id="1215" w:name="_Toc139471140"/>
      <w:bookmarkStart w:id="1216" w:name="_Toc147601940"/>
      <w:bookmarkStart w:id="1217" w:name="_Toc179645136"/>
      <w:bookmarkStart w:id="1218" w:name="_Toc17002"/>
      <w:bookmarkStart w:id="1219" w:name="_Toc174031472"/>
      <w:bookmarkStart w:id="1220" w:name="_Toc26411"/>
      <w:r>
        <w:rPr>
          <w:rFonts w:hint="eastAsia" w:hAnsi="宋体"/>
          <w:color w:val="auto"/>
          <w:kern w:val="2"/>
          <w:sz w:val="28"/>
          <w:highlight w:val="none"/>
        </w:rPr>
        <w:t>（十五）</w:t>
      </w:r>
      <w:bookmarkEnd w:id="1212"/>
      <w:r>
        <w:rPr>
          <w:rFonts w:hint="eastAsia" w:hAnsi="宋体"/>
          <w:color w:val="auto"/>
          <w:kern w:val="2"/>
          <w:sz w:val="28"/>
          <w:szCs w:val="21"/>
          <w:highlight w:val="none"/>
        </w:rPr>
        <w:t>★</w:t>
      </w:r>
      <w:r>
        <w:rPr>
          <w:rFonts w:hint="eastAsia" w:hAnsi="宋体"/>
          <w:color w:val="auto"/>
          <w:kern w:val="2"/>
          <w:sz w:val="28"/>
          <w:highlight w:val="none"/>
        </w:rPr>
        <w:t>报价书</w:t>
      </w:r>
      <w:bookmarkEnd w:id="1213"/>
      <w:bookmarkEnd w:id="1214"/>
      <w:bookmarkEnd w:id="1215"/>
      <w:bookmarkEnd w:id="1216"/>
    </w:p>
    <w:p w14:paraId="01DA633A">
      <w:pPr>
        <w:spacing w:line="360" w:lineRule="auto"/>
        <w:rPr>
          <w:rFonts w:hint="eastAsia" w:ascii="宋体" w:hAnsi="宋体"/>
          <w:color w:val="auto"/>
          <w:highlight w:val="none"/>
        </w:rPr>
      </w:pPr>
    </w:p>
    <w:p w14:paraId="321D61B1">
      <w:pPr>
        <w:spacing w:line="360" w:lineRule="auto"/>
        <w:rPr>
          <w:rFonts w:hint="eastAsia" w:ascii="宋体" w:hAnsi="宋体"/>
          <w:b/>
          <w:bCs/>
          <w:color w:val="auto"/>
          <w:highlight w:val="none"/>
        </w:rPr>
      </w:pPr>
      <w:r>
        <w:rPr>
          <w:rFonts w:hint="eastAsia" w:ascii="宋体" w:hAnsi="宋体"/>
          <w:b/>
          <w:bCs/>
          <w:color w:val="auto"/>
          <w:highlight w:val="none"/>
        </w:rPr>
        <w:t>注：供应商应根据采购人提供的工程量清单编制报价书，不应出现更改、漏报、多报等情况，若出现则按照不实质性响应竞争性磋商文件，作否决投标处理。</w:t>
      </w:r>
    </w:p>
    <w:p w14:paraId="2C3990EE">
      <w:pPr>
        <w:widowControl/>
        <w:jc w:val="left"/>
        <w:rPr>
          <w:rFonts w:hint="eastAsia" w:ascii="宋体" w:hAnsi="宋体"/>
          <w:color w:val="auto"/>
          <w:sz w:val="32"/>
          <w:highlight w:val="none"/>
        </w:rPr>
      </w:pPr>
    </w:p>
    <w:p w14:paraId="3779CBD5">
      <w:pPr>
        <w:rPr>
          <w:rStyle w:val="1301"/>
          <w:rFonts w:hint="eastAsia" w:hAnsi="宋体"/>
          <w:color w:val="auto"/>
          <w:highlight w:val="none"/>
        </w:rPr>
      </w:pPr>
    </w:p>
    <w:p w14:paraId="568D8E42">
      <w:pPr>
        <w:keepNext/>
        <w:keepLines/>
        <w:spacing w:line="360" w:lineRule="auto"/>
        <w:jc w:val="center"/>
        <w:outlineLvl w:val="2"/>
        <w:rPr>
          <w:rFonts w:hint="eastAsia" w:ascii="宋体" w:hAnsi="宋体" w:cs="宋体"/>
          <w:b/>
          <w:bCs/>
          <w:color w:val="auto"/>
          <w:szCs w:val="21"/>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18"/>
          <w:highlight w:val="none"/>
        </w:rPr>
        <w:t>（十六）构成响应文件商务部分的其他资料</w:t>
      </w:r>
    </w:p>
    <w:p w14:paraId="0F9758B0">
      <w:pPr>
        <w:pStyle w:val="86"/>
        <w:spacing w:line="360" w:lineRule="auto"/>
        <w:ind w:left="141" w:leftChars="67" w:firstLine="4" w:firstLineChars="2"/>
        <w:jc w:val="center"/>
        <w:rPr>
          <w:rFonts w:hint="eastAsia" w:ascii="宋体" w:hAnsi="宋体" w:cs="宋体"/>
          <w:color w:val="auto"/>
          <w:szCs w:val="21"/>
          <w:highlight w:val="none"/>
        </w:rPr>
      </w:pPr>
      <w:r>
        <w:rPr>
          <w:rFonts w:hint="eastAsia" w:ascii="宋体" w:hAnsi="宋体" w:cs="宋体"/>
          <w:bCs/>
          <w:color w:val="auto"/>
          <w:szCs w:val="21"/>
          <w:highlight w:val="none"/>
        </w:rPr>
        <w:t>（格式内容自拟）</w:t>
      </w:r>
    </w:p>
    <w:p w14:paraId="3C322231">
      <w:pPr>
        <w:pStyle w:val="182"/>
        <w:ind w:firstLine="0" w:firstLineChars="0"/>
        <w:rPr>
          <w:rFonts w:hint="eastAsia" w:hAnsi="宋体"/>
          <w:color w:val="auto"/>
          <w:highlight w:val="none"/>
        </w:rPr>
      </w:pPr>
    </w:p>
    <w:p w14:paraId="6A568BDD">
      <w:pPr>
        <w:pStyle w:val="182"/>
        <w:ind w:firstLine="420"/>
        <w:rPr>
          <w:rFonts w:hint="eastAsia" w:hAnsi="宋体"/>
          <w:color w:val="auto"/>
          <w:highlight w:val="none"/>
        </w:rPr>
      </w:pPr>
    </w:p>
    <w:p w14:paraId="154083DD">
      <w:pPr>
        <w:pStyle w:val="86"/>
        <w:ind w:left="0" w:leftChars="0" w:firstLine="7" w:firstLineChars="2"/>
        <w:jc w:val="center"/>
        <w:outlineLvl w:val="1"/>
        <w:rPr>
          <w:rFonts w:hint="eastAsia" w:ascii="宋体" w:hAnsi="宋体" w:cs="宋体"/>
          <w:b/>
          <w:bCs/>
          <w:color w:val="auto"/>
          <w:sz w:val="32"/>
          <w:szCs w:val="32"/>
          <w:highlight w:val="none"/>
        </w:rPr>
      </w:pPr>
      <w:r>
        <w:rPr>
          <w:rFonts w:hint="eastAsia" w:ascii="宋体" w:hAnsi="宋体"/>
          <w:color w:val="auto"/>
          <w:sz w:val="36"/>
          <w:szCs w:val="21"/>
          <w:highlight w:val="none"/>
        </w:rPr>
        <w:br w:type="page"/>
      </w:r>
      <w:r>
        <w:rPr>
          <w:rFonts w:hint="eastAsia" w:ascii="宋体" w:hAnsi="宋体"/>
          <w:b/>
          <w:bCs/>
          <w:color w:val="auto"/>
          <w:sz w:val="32"/>
          <w:szCs w:val="32"/>
          <w:highlight w:val="none"/>
        </w:rPr>
        <w:t>三</w:t>
      </w:r>
      <w:r>
        <w:rPr>
          <w:rFonts w:hint="eastAsia" w:ascii="宋体" w:hAnsi="宋体" w:cs="宋体"/>
          <w:b/>
          <w:bCs/>
          <w:color w:val="auto"/>
          <w:sz w:val="32"/>
          <w:szCs w:val="32"/>
          <w:highlight w:val="none"/>
        </w:rPr>
        <w:t>、技术部分</w:t>
      </w:r>
      <w:bookmarkEnd w:id="1217"/>
      <w:bookmarkEnd w:id="1218"/>
      <w:bookmarkEnd w:id="1219"/>
      <w:bookmarkEnd w:id="1220"/>
    </w:p>
    <w:p w14:paraId="3A1F1802">
      <w:pPr>
        <w:pStyle w:val="1419"/>
        <w:ind w:firstLine="420"/>
        <w:jc w:val="center"/>
        <w:rPr>
          <w:color w:val="auto"/>
          <w:sz w:val="21"/>
          <w:szCs w:val="21"/>
          <w:highlight w:val="none"/>
        </w:rPr>
      </w:pPr>
      <w:bookmarkStart w:id="1221" w:name="_Toc139471148"/>
      <w:bookmarkStart w:id="1222" w:name="_Toc147601948"/>
      <w:bookmarkStart w:id="1223" w:name="_Toc139471266"/>
      <w:bookmarkStart w:id="1224" w:name="_Toc55994838"/>
      <w:bookmarkStart w:id="1225" w:name="_Toc137737741"/>
      <w:bookmarkStart w:id="1226" w:name="_Toc10702"/>
      <w:bookmarkStart w:id="1227" w:name="_Toc131545992"/>
      <w:bookmarkStart w:id="1228" w:name="_Toc334597678"/>
    </w:p>
    <w:p w14:paraId="601144F8">
      <w:pPr>
        <w:pStyle w:val="1419"/>
        <w:ind w:firstLine="420"/>
        <w:jc w:val="center"/>
        <w:rPr>
          <w:color w:val="auto"/>
          <w:sz w:val="21"/>
          <w:szCs w:val="21"/>
          <w:highlight w:val="none"/>
        </w:rPr>
      </w:pPr>
    </w:p>
    <w:p w14:paraId="59070669">
      <w:pPr>
        <w:keepNext/>
        <w:keepLines/>
        <w:spacing w:line="360" w:lineRule="auto"/>
        <w:jc w:val="center"/>
        <w:outlineLvl w:val="2"/>
        <w:rPr>
          <w:rFonts w:hint="eastAsia" w:ascii="宋体" w:hAnsi="宋体"/>
          <w:b/>
          <w:bCs/>
          <w:color w:val="auto"/>
          <w:sz w:val="28"/>
          <w:szCs w:val="32"/>
          <w:highlight w:val="none"/>
        </w:rPr>
      </w:pPr>
      <w:r>
        <w:rPr>
          <w:rFonts w:hint="eastAsia" w:ascii="宋体" w:hAnsi="宋体"/>
          <w:b/>
          <w:bCs/>
          <w:color w:val="auto"/>
          <w:sz w:val="28"/>
          <w:szCs w:val="32"/>
          <w:highlight w:val="none"/>
        </w:rPr>
        <w:t>（</w:t>
      </w:r>
      <w:r>
        <w:rPr>
          <w:rFonts w:hint="eastAsia" w:ascii="宋体" w:hAnsi="宋体"/>
          <w:b/>
          <w:bCs/>
          <w:color w:val="auto"/>
          <w:sz w:val="28"/>
          <w:szCs w:val="32"/>
          <w:highlight w:val="none"/>
          <w:lang w:val="en-US" w:eastAsia="zh-CN"/>
        </w:rPr>
        <w:t>一</w:t>
      </w:r>
      <w:r>
        <w:rPr>
          <w:rFonts w:hint="eastAsia" w:ascii="宋体" w:hAnsi="宋体"/>
          <w:b/>
          <w:bCs/>
          <w:color w:val="auto"/>
          <w:sz w:val="28"/>
          <w:szCs w:val="32"/>
          <w:highlight w:val="none"/>
        </w:rPr>
        <w:t>）</w:t>
      </w:r>
      <w:bookmarkEnd w:id="1221"/>
      <w:bookmarkEnd w:id="1222"/>
      <w:bookmarkEnd w:id="1223"/>
      <w:bookmarkEnd w:id="1224"/>
      <w:bookmarkEnd w:id="1225"/>
      <w:bookmarkEnd w:id="1226"/>
      <w:bookmarkEnd w:id="1227"/>
      <w:r>
        <w:rPr>
          <w:rFonts w:ascii="宋体" w:hAnsi="宋体"/>
          <w:b/>
          <w:bCs/>
          <w:color w:val="auto"/>
          <w:sz w:val="28"/>
          <w:szCs w:val="32"/>
          <w:highlight w:val="none"/>
        </w:rPr>
        <w:t>施工组织方案</w:t>
      </w:r>
    </w:p>
    <w:p w14:paraId="7D8DD1B1">
      <w:pPr>
        <w:spacing w:line="360" w:lineRule="auto"/>
        <w:jc w:val="center"/>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内容格式自拟</w:t>
      </w:r>
      <w:r>
        <w:rPr>
          <w:rFonts w:ascii="宋体" w:hAnsi="宋体"/>
          <w:color w:val="auto"/>
          <w:szCs w:val="21"/>
          <w:highlight w:val="none"/>
        </w:rPr>
        <w:t>）</w:t>
      </w:r>
    </w:p>
    <w:p w14:paraId="44B2748D">
      <w:pPr>
        <w:spacing w:line="360" w:lineRule="auto"/>
        <w:jc w:val="left"/>
        <w:rPr>
          <w:rFonts w:hint="eastAsia" w:ascii="宋体" w:hAnsi="宋体"/>
          <w:b/>
          <w:color w:val="auto"/>
          <w:sz w:val="28"/>
          <w:szCs w:val="28"/>
          <w:highlight w:val="none"/>
        </w:rPr>
      </w:pPr>
    </w:p>
    <w:p w14:paraId="0D2E2BCE">
      <w:pPr>
        <w:spacing w:line="360" w:lineRule="auto"/>
        <w:jc w:val="left"/>
        <w:rPr>
          <w:rFonts w:hint="eastAsia" w:ascii="宋体" w:hAnsi="宋体"/>
          <w:b/>
          <w:color w:val="auto"/>
          <w:sz w:val="28"/>
          <w:szCs w:val="28"/>
          <w:highlight w:val="none"/>
        </w:rPr>
      </w:pPr>
    </w:p>
    <w:p w14:paraId="3F532480">
      <w:pPr>
        <w:keepNext/>
        <w:keepLines/>
        <w:spacing w:line="360" w:lineRule="auto"/>
        <w:jc w:val="center"/>
        <w:outlineLvl w:val="2"/>
        <w:rPr>
          <w:rFonts w:hint="eastAsia" w:ascii="宋体" w:hAnsi="宋体"/>
          <w:b/>
          <w:bCs/>
          <w:color w:val="auto"/>
          <w:sz w:val="28"/>
          <w:szCs w:val="32"/>
          <w:highlight w:val="none"/>
        </w:rPr>
      </w:pPr>
      <w:bookmarkStart w:id="1229" w:name="_Toc55994839"/>
      <w:bookmarkStart w:id="1230" w:name="_Toc139471267"/>
      <w:bookmarkStart w:id="1231" w:name="_Toc147601949"/>
      <w:bookmarkStart w:id="1232" w:name="_Toc139471149"/>
      <w:bookmarkStart w:id="1233" w:name="_Toc6686"/>
      <w:bookmarkStart w:id="1234" w:name="_Toc137737742"/>
      <w:bookmarkStart w:id="1235" w:name="_Toc131545993"/>
      <w:r>
        <w:rPr>
          <w:rFonts w:hint="eastAsia" w:ascii="宋体" w:hAnsi="宋体" w:cs="宋体"/>
          <w:b/>
          <w:bCs/>
          <w:color w:val="auto"/>
          <w:sz w:val="28"/>
          <w:szCs w:val="21"/>
          <w:highlight w:val="none"/>
        </w:rPr>
        <w:t>（</w:t>
      </w:r>
      <w:r>
        <w:rPr>
          <w:rFonts w:hint="eastAsia" w:ascii="宋体" w:hAnsi="宋体" w:cs="宋体"/>
          <w:b/>
          <w:bCs/>
          <w:color w:val="auto"/>
          <w:sz w:val="28"/>
          <w:szCs w:val="21"/>
          <w:highlight w:val="none"/>
          <w:lang w:val="en-US" w:eastAsia="zh-CN"/>
        </w:rPr>
        <w:t>二</w:t>
      </w:r>
      <w:r>
        <w:rPr>
          <w:rFonts w:hint="eastAsia" w:ascii="宋体" w:hAnsi="宋体" w:cs="宋体"/>
          <w:b/>
          <w:bCs/>
          <w:color w:val="auto"/>
          <w:sz w:val="28"/>
          <w:szCs w:val="21"/>
          <w:highlight w:val="none"/>
        </w:rPr>
        <w:t>）</w:t>
      </w:r>
      <w:bookmarkEnd w:id="1229"/>
      <w:bookmarkEnd w:id="1230"/>
      <w:bookmarkEnd w:id="1231"/>
      <w:bookmarkEnd w:id="1232"/>
      <w:bookmarkEnd w:id="1233"/>
      <w:bookmarkEnd w:id="1234"/>
      <w:bookmarkEnd w:id="1235"/>
      <w:r>
        <w:rPr>
          <w:rFonts w:hint="eastAsia" w:ascii="宋体" w:hAnsi="宋体" w:cs="宋体"/>
          <w:b/>
          <w:bCs/>
          <w:color w:val="auto"/>
          <w:sz w:val="28"/>
          <w:szCs w:val="21"/>
          <w:highlight w:val="none"/>
        </w:rPr>
        <w:t>质量管理体系与措施</w:t>
      </w:r>
    </w:p>
    <w:p w14:paraId="73AC11D9">
      <w:pPr>
        <w:spacing w:line="360" w:lineRule="auto"/>
        <w:jc w:val="center"/>
        <w:rPr>
          <w:rFonts w:hint="eastAsia" w:ascii="宋体" w:hAnsi="宋体"/>
          <w:color w:val="auto"/>
          <w:highlight w:val="none"/>
        </w:rPr>
      </w:pPr>
      <w:r>
        <w:rPr>
          <w:rFonts w:hint="eastAsia" w:ascii="宋体" w:hAnsi="宋体"/>
          <w:color w:val="auto"/>
          <w:highlight w:val="none"/>
        </w:rPr>
        <w:t>（内容格式自拟）</w:t>
      </w:r>
    </w:p>
    <w:p w14:paraId="2B359962">
      <w:pPr>
        <w:spacing w:line="360" w:lineRule="auto"/>
        <w:jc w:val="left"/>
        <w:rPr>
          <w:rFonts w:hint="eastAsia" w:ascii="宋体" w:hAnsi="宋体"/>
          <w:color w:val="auto"/>
          <w:highlight w:val="none"/>
        </w:rPr>
      </w:pPr>
    </w:p>
    <w:p w14:paraId="424A1FA4">
      <w:pPr>
        <w:spacing w:line="360" w:lineRule="auto"/>
        <w:jc w:val="left"/>
        <w:rPr>
          <w:rFonts w:hint="eastAsia" w:ascii="宋体" w:hAnsi="宋体"/>
          <w:b/>
          <w:color w:val="auto"/>
          <w:sz w:val="28"/>
          <w:szCs w:val="28"/>
          <w:highlight w:val="none"/>
        </w:rPr>
      </w:pPr>
      <w:r>
        <w:rPr>
          <w:rFonts w:hint="eastAsia" w:ascii="宋体" w:hAnsi="宋体"/>
          <w:b/>
          <w:color w:val="auto"/>
          <w:sz w:val="28"/>
          <w:szCs w:val="28"/>
          <w:highlight w:val="none"/>
        </w:rPr>
        <w:t xml:space="preserve"> </w:t>
      </w:r>
    </w:p>
    <w:p w14:paraId="30ACA4A8">
      <w:pPr>
        <w:keepNext/>
        <w:keepLines/>
        <w:spacing w:line="360" w:lineRule="auto"/>
        <w:jc w:val="center"/>
        <w:outlineLvl w:val="2"/>
        <w:rPr>
          <w:rFonts w:hint="eastAsia" w:ascii="宋体" w:hAnsi="宋体"/>
          <w:b/>
          <w:bCs/>
          <w:color w:val="auto"/>
          <w:sz w:val="28"/>
          <w:szCs w:val="32"/>
          <w:highlight w:val="none"/>
        </w:rPr>
      </w:pPr>
      <w:bookmarkStart w:id="1236" w:name="_Toc139471150"/>
      <w:bookmarkStart w:id="1237" w:name="_Toc1975"/>
      <w:bookmarkStart w:id="1238" w:name="_Toc147601950"/>
      <w:bookmarkStart w:id="1239" w:name="_Toc139471268"/>
      <w:bookmarkStart w:id="1240" w:name="_Toc137737743"/>
      <w:bookmarkStart w:id="1241" w:name="_Toc55994840"/>
      <w:bookmarkStart w:id="1242" w:name="_Toc131545994"/>
      <w:r>
        <w:rPr>
          <w:rFonts w:hint="eastAsia" w:ascii="宋体" w:hAnsi="宋体" w:cs="宋体"/>
          <w:b/>
          <w:color w:val="auto"/>
          <w:sz w:val="28"/>
          <w:szCs w:val="21"/>
          <w:highlight w:val="none"/>
        </w:rPr>
        <w:t>（</w:t>
      </w:r>
      <w:r>
        <w:rPr>
          <w:rFonts w:hint="eastAsia" w:ascii="宋体" w:hAnsi="宋体" w:cs="宋体"/>
          <w:b/>
          <w:color w:val="auto"/>
          <w:sz w:val="28"/>
          <w:szCs w:val="21"/>
          <w:highlight w:val="none"/>
          <w:lang w:val="en-US" w:eastAsia="zh-CN"/>
        </w:rPr>
        <w:t>三</w:t>
      </w:r>
      <w:r>
        <w:rPr>
          <w:rFonts w:hint="eastAsia" w:ascii="宋体" w:hAnsi="宋体" w:cs="宋体"/>
          <w:b/>
          <w:color w:val="auto"/>
          <w:sz w:val="28"/>
          <w:szCs w:val="21"/>
          <w:highlight w:val="none"/>
        </w:rPr>
        <w:t>）</w:t>
      </w:r>
      <w:bookmarkEnd w:id="1236"/>
      <w:bookmarkEnd w:id="1237"/>
      <w:bookmarkEnd w:id="1238"/>
      <w:bookmarkEnd w:id="1239"/>
      <w:bookmarkEnd w:id="1240"/>
      <w:bookmarkEnd w:id="1241"/>
      <w:bookmarkEnd w:id="1242"/>
      <w:r>
        <w:rPr>
          <w:rFonts w:hint="eastAsia" w:ascii="宋体" w:hAnsi="宋体"/>
          <w:b/>
          <w:bCs/>
          <w:color w:val="auto"/>
          <w:sz w:val="28"/>
          <w:szCs w:val="21"/>
          <w:highlight w:val="none"/>
        </w:rPr>
        <w:t>安全管理体系与措施</w:t>
      </w:r>
    </w:p>
    <w:p w14:paraId="6A357ED8">
      <w:pPr>
        <w:spacing w:line="360" w:lineRule="auto"/>
        <w:jc w:val="center"/>
        <w:rPr>
          <w:rFonts w:hint="eastAsia" w:ascii="宋体" w:hAnsi="宋体"/>
          <w:color w:val="auto"/>
          <w:highlight w:val="none"/>
        </w:rPr>
      </w:pPr>
      <w:r>
        <w:rPr>
          <w:rFonts w:hint="eastAsia" w:ascii="宋体" w:hAnsi="宋体"/>
          <w:color w:val="auto"/>
          <w:highlight w:val="none"/>
        </w:rPr>
        <w:t>（内容格式自拟）</w:t>
      </w:r>
    </w:p>
    <w:p w14:paraId="21501F0E">
      <w:pPr>
        <w:spacing w:line="360" w:lineRule="auto"/>
        <w:jc w:val="left"/>
        <w:rPr>
          <w:rFonts w:hint="eastAsia" w:ascii="宋体" w:hAnsi="宋体"/>
          <w:b/>
          <w:color w:val="auto"/>
          <w:sz w:val="28"/>
          <w:szCs w:val="28"/>
          <w:highlight w:val="none"/>
        </w:rPr>
      </w:pPr>
      <w:r>
        <w:rPr>
          <w:rFonts w:hint="eastAsia" w:ascii="宋体" w:hAnsi="宋体"/>
          <w:b/>
          <w:color w:val="auto"/>
          <w:sz w:val="28"/>
          <w:szCs w:val="28"/>
          <w:highlight w:val="none"/>
        </w:rPr>
        <w:t xml:space="preserve"> </w:t>
      </w:r>
    </w:p>
    <w:p w14:paraId="19C415DC">
      <w:pPr>
        <w:spacing w:line="360" w:lineRule="auto"/>
        <w:jc w:val="left"/>
        <w:rPr>
          <w:rFonts w:hint="eastAsia" w:ascii="宋体" w:hAnsi="宋体"/>
          <w:b/>
          <w:color w:val="auto"/>
          <w:sz w:val="28"/>
          <w:szCs w:val="28"/>
          <w:highlight w:val="none"/>
        </w:rPr>
      </w:pPr>
    </w:p>
    <w:p w14:paraId="12874E20">
      <w:pPr>
        <w:keepNext/>
        <w:keepLines/>
        <w:spacing w:line="360" w:lineRule="auto"/>
        <w:jc w:val="center"/>
        <w:outlineLvl w:val="2"/>
        <w:rPr>
          <w:rFonts w:hint="eastAsia" w:ascii="宋体" w:hAnsi="宋体"/>
          <w:b/>
          <w:bCs/>
          <w:color w:val="auto"/>
          <w:sz w:val="28"/>
          <w:szCs w:val="32"/>
          <w:highlight w:val="none"/>
        </w:rPr>
      </w:pPr>
      <w:bookmarkStart w:id="1243" w:name="_Toc139471151"/>
      <w:bookmarkStart w:id="1244" w:name="_Toc139471269"/>
      <w:bookmarkStart w:id="1245" w:name="_Toc137737744"/>
      <w:bookmarkStart w:id="1246" w:name="_Toc147601951"/>
      <w:r>
        <w:rPr>
          <w:rFonts w:hint="eastAsia" w:ascii="宋体" w:hAnsi="宋体" w:cs="宋体"/>
          <w:b/>
          <w:color w:val="auto"/>
          <w:sz w:val="28"/>
          <w:szCs w:val="21"/>
          <w:highlight w:val="none"/>
        </w:rPr>
        <w:t>（</w:t>
      </w:r>
      <w:r>
        <w:rPr>
          <w:rFonts w:hint="eastAsia" w:ascii="宋体" w:hAnsi="宋体" w:cs="宋体"/>
          <w:b/>
          <w:color w:val="auto"/>
          <w:sz w:val="28"/>
          <w:szCs w:val="21"/>
          <w:highlight w:val="none"/>
          <w:lang w:val="en-US" w:eastAsia="zh-CN"/>
        </w:rPr>
        <w:t>四</w:t>
      </w:r>
      <w:r>
        <w:rPr>
          <w:rFonts w:hint="eastAsia" w:ascii="宋体" w:hAnsi="宋体" w:cs="宋体"/>
          <w:b/>
          <w:color w:val="auto"/>
          <w:sz w:val="28"/>
          <w:szCs w:val="21"/>
          <w:highlight w:val="none"/>
        </w:rPr>
        <w:t>）</w:t>
      </w:r>
      <w:bookmarkEnd w:id="1243"/>
      <w:bookmarkEnd w:id="1244"/>
      <w:bookmarkEnd w:id="1245"/>
      <w:bookmarkEnd w:id="1246"/>
      <w:r>
        <w:rPr>
          <w:rFonts w:hint="eastAsia" w:ascii="宋体" w:hAnsi="宋体" w:cs="宋体"/>
          <w:b/>
          <w:bCs/>
          <w:color w:val="auto"/>
          <w:sz w:val="28"/>
          <w:szCs w:val="21"/>
          <w:highlight w:val="none"/>
        </w:rPr>
        <w:t>文明施工及环境保护管理体系与措施</w:t>
      </w:r>
    </w:p>
    <w:p w14:paraId="6BCCD3C0">
      <w:pPr>
        <w:spacing w:line="360" w:lineRule="auto"/>
        <w:jc w:val="center"/>
        <w:rPr>
          <w:rFonts w:hint="eastAsia" w:ascii="宋体" w:hAnsi="宋体"/>
          <w:color w:val="auto"/>
          <w:highlight w:val="none"/>
        </w:rPr>
      </w:pPr>
      <w:r>
        <w:rPr>
          <w:rFonts w:hint="eastAsia" w:ascii="宋体" w:hAnsi="宋体"/>
          <w:color w:val="auto"/>
          <w:highlight w:val="none"/>
        </w:rPr>
        <w:t>（内容格式自拟）</w:t>
      </w:r>
    </w:p>
    <w:p w14:paraId="2BE45A72">
      <w:pPr>
        <w:spacing w:line="360" w:lineRule="auto"/>
        <w:jc w:val="left"/>
        <w:rPr>
          <w:rFonts w:hint="eastAsia" w:ascii="宋体" w:hAnsi="宋体"/>
          <w:b/>
          <w:color w:val="auto"/>
          <w:sz w:val="28"/>
          <w:szCs w:val="28"/>
          <w:highlight w:val="none"/>
        </w:rPr>
      </w:pPr>
    </w:p>
    <w:p w14:paraId="726E9E41">
      <w:pPr>
        <w:spacing w:line="360" w:lineRule="auto"/>
        <w:jc w:val="left"/>
        <w:rPr>
          <w:rFonts w:hint="eastAsia" w:ascii="宋体" w:hAnsi="宋体"/>
          <w:b/>
          <w:color w:val="auto"/>
          <w:sz w:val="28"/>
          <w:szCs w:val="28"/>
          <w:highlight w:val="none"/>
        </w:rPr>
      </w:pPr>
    </w:p>
    <w:p w14:paraId="294C9397">
      <w:pPr>
        <w:keepNext/>
        <w:keepLines/>
        <w:tabs>
          <w:tab w:val="left" w:pos="360"/>
        </w:tabs>
        <w:spacing w:line="360" w:lineRule="auto"/>
        <w:ind w:left="425"/>
        <w:jc w:val="center"/>
        <w:outlineLvl w:val="2"/>
        <w:rPr>
          <w:rFonts w:hint="eastAsia" w:ascii="宋体" w:hAnsi="宋体" w:cs="宋体"/>
          <w:b/>
          <w:bCs/>
          <w:color w:val="auto"/>
          <w:sz w:val="28"/>
          <w:szCs w:val="28"/>
          <w:highlight w:val="none"/>
        </w:rPr>
      </w:pPr>
      <w:bookmarkStart w:id="1247" w:name="_Toc2066"/>
      <w:bookmarkStart w:id="1248" w:name="_Toc496521012"/>
      <w:bookmarkStart w:id="1249" w:name="_Toc493600044"/>
      <w:bookmarkStart w:id="1250" w:name="_Toc147601957"/>
      <w:bookmarkStart w:id="1251" w:name="_Toc137737750"/>
      <w:bookmarkStart w:id="1252" w:name="_Toc139471275"/>
      <w:bookmarkStart w:id="1253" w:name="_Toc12863"/>
      <w:bookmarkStart w:id="1254" w:name="_Toc131545999"/>
      <w:bookmarkStart w:id="1255" w:name="_Toc21100"/>
      <w:bookmarkStart w:id="1256" w:name="_Toc23619"/>
      <w:bookmarkStart w:id="1257" w:name="_Toc11282"/>
      <w:bookmarkStart w:id="1258" w:name="_Toc139471157"/>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五</w:t>
      </w:r>
      <w:r>
        <w:rPr>
          <w:rFonts w:hint="eastAsia" w:ascii="宋体" w:hAnsi="宋体" w:cs="宋体"/>
          <w:b/>
          <w:bCs/>
          <w:color w:val="auto"/>
          <w:sz w:val="28"/>
          <w:szCs w:val="28"/>
          <w:highlight w:val="none"/>
        </w:rPr>
        <w:t>）构成响应文件技术部分的其他资料</w:t>
      </w:r>
      <w:bookmarkEnd w:id="1247"/>
      <w:bookmarkEnd w:id="1248"/>
      <w:bookmarkEnd w:id="1249"/>
      <w:bookmarkEnd w:id="1250"/>
      <w:bookmarkEnd w:id="1251"/>
      <w:bookmarkEnd w:id="1252"/>
      <w:bookmarkEnd w:id="1253"/>
      <w:bookmarkEnd w:id="1254"/>
      <w:bookmarkEnd w:id="1255"/>
      <w:bookmarkEnd w:id="1256"/>
      <w:bookmarkEnd w:id="1257"/>
      <w:bookmarkEnd w:id="1258"/>
    </w:p>
    <w:p w14:paraId="79C6E344">
      <w:pPr>
        <w:spacing w:line="360" w:lineRule="auto"/>
        <w:jc w:val="center"/>
        <w:rPr>
          <w:rFonts w:hint="eastAsia" w:ascii="宋体" w:hAnsi="宋体"/>
          <w:color w:val="auto"/>
          <w:szCs w:val="21"/>
          <w:highlight w:val="none"/>
        </w:rPr>
      </w:pPr>
      <w:r>
        <w:rPr>
          <w:rFonts w:hint="eastAsia" w:ascii="宋体" w:hAnsi="宋体" w:cs="宋体"/>
          <w:color w:val="auto"/>
          <w:szCs w:val="21"/>
          <w:highlight w:val="none"/>
        </w:rPr>
        <w:t>（格式内容自拟）</w:t>
      </w:r>
    </w:p>
    <w:p w14:paraId="5E09989E">
      <w:pPr>
        <w:pStyle w:val="86"/>
        <w:ind w:left="0" w:leftChars="0" w:firstLine="4" w:firstLineChars="2"/>
        <w:jc w:val="center"/>
        <w:outlineLvl w:val="1"/>
        <w:rPr>
          <w:rFonts w:hint="eastAsia" w:ascii="宋体" w:hAnsi="宋体" w:cs="宋体"/>
          <w:b/>
          <w:bCs/>
          <w:color w:val="auto"/>
          <w:sz w:val="32"/>
          <w:szCs w:val="32"/>
          <w:highlight w:val="none"/>
        </w:rPr>
      </w:pPr>
      <w:r>
        <w:rPr>
          <w:rFonts w:hint="eastAsia" w:ascii="宋体" w:hAnsi="宋体" w:cs="宋体"/>
          <w:color w:val="auto"/>
          <w:szCs w:val="21"/>
          <w:highlight w:val="none"/>
        </w:rPr>
        <w:br w:type="page"/>
      </w:r>
      <w:bookmarkStart w:id="1259" w:name="_Toc179645142"/>
      <w:bookmarkStart w:id="1260" w:name="_Toc943"/>
      <w:bookmarkStart w:id="1261" w:name="_Toc174031480"/>
      <w:bookmarkStart w:id="1262" w:name="_Toc25255"/>
      <w:r>
        <w:rPr>
          <w:rFonts w:hint="eastAsia" w:ascii="宋体" w:hAnsi="宋体"/>
          <w:b/>
          <w:bCs/>
          <w:color w:val="auto"/>
          <w:sz w:val="32"/>
          <w:szCs w:val="32"/>
          <w:highlight w:val="none"/>
        </w:rPr>
        <w:t>四</w:t>
      </w:r>
      <w:r>
        <w:rPr>
          <w:rFonts w:hint="eastAsia" w:ascii="宋体" w:hAnsi="宋体" w:cs="宋体"/>
          <w:b/>
          <w:bCs/>
          <w:color w:val="auto"/>
          <w:sz w:val="32"/>
          <w:szCs w:val="32"/>
          <w:highlight w:val="none"/>
        </w:rPr>
        <w:t>、商务部分</w:t>
      </w:r>
      <w:bookmarkEnd w:id="1259"/>
      <w:bookmarkEnd w:id="1260"/>
      <w:bookmarkEnd w:id="1261"/>
    </w:p>
    <w:p w14:paraId="48473CAD">
      <w:pPr>
        <w:spacing w:line="360" w:lineRule="auto"/>
        <w:rPr>
          <w:rFonts w:hint="eastAsia" w:ascii="宋体" w:hAnsi="宋体"/>
          <w:color w:val="auto"/>
          <w:highlight w:val="none"/>
        </w:rPr>
      </w:pPr>
      <w:bookmarkStart w:id="1263" w:name="_Toc139471153"/>
      <w:bookmarkStart w:id="1264" w:name="_Toc139471271"/>
      <w:bookmarkStart w:id="1265" w:name="_Toc131545996"/>
      <w:bookmarkStart w:id="1266" w:name="_Toc8569"/>
      <w:bookmarkStart w:id="1267" w:name="_Toc147601953"/>
      <w:bookmarkStart w:id="1268" w:name="_Toc20565"/>
      <w:bookmarkStart w:id="1269" w:name="_Toc137737746"/>
      <w:bookmarkStart w:id="1270" w:name="_Toc21881"/>
      <w:bookmarkStart w:id="1271" w:name="_Toc26075"/>
      <w:bookmarkStart w:id="1272" w:name="_Toc156995328"/>
      <w:bookmarkStart w:id="1273" w:name="_Toc174031482"/>
      <w:bookmarkStart w:id="1274" w:name="_Toc174031568"/>
      <w:bookmarkStart w:id="1275" w:name="_Toc174031477"/>
      <w:bookmarkStart w:id="1276" w:name="_Toc174031563"/>
      <w:bookmarkStart w:id="1277" w:name="_Toc179645143"/>
      <w:bookmarkStart w:id="1278" w:name="_Toc174031567"/>
      <w:bookmarkStart w:id="1279" w:name="_Toc174031481"/>
    </w:p>
    <w:p w14:paraId="6FEFA57E">
      <w:pPr>
        <w:spacing w:line="360" w:lineRule="auto"/>
        <w:ind w:firstLine="480" w:firstLineChars="200"/>
        <w:rPr>
          <w:rFonts w:hint="eastAsia" w:ascii="宋体" w:hAnsi="宋体"/>
          <w:color w:val="auto"/>
          <w:sz w:val="24"/>
          <w:szCs w:val="28"/>
          <w:highlight w:val="none"/>
        </w:rPr>
      </w:pPr>
    </w:p>
    <w:p w14:paraId="14F175E9">
      <w:pPr>
        <w:keepNext/>
        <w:keepLines/>
        <w:numPr>
          <w:ilvl w:val="1"/>
          <w:numId w:val="0"/>
        </w:numPr>
        <w:tabs>
          <w:tab w:val="left" w:pos="360"/>
        </w:tabs>
        <w:spacing w:line="360" w:lineRule="auto"/>
        <w:jc w:val="center"/>
        <w:outlineLvl w:val="2"/>
        <w:rPr>
          <w:rFonts w:hint="eastAsia" w:ascii="宋体" w:hAnsi="宋体" w:cs="宋体"/>
          <w:b/>
          <w:bCs/>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rPr>
        <w:t>）</w:t>
      </w:r>
      <w:bookmarkEnd w:id="1263"/>
      <w:bookmarkEnd w:id="1264"/>
      <w:bookmarkEnd w:id="1265"/>
      <w:bookmarkEnd w:id="1266"/>
      <w:bookmarkEnd w:id="1267"/>
      <w:bookmarkEnd w:id="1268"/>
      <w:bookmarkEnd w:id="1269"/>
      <w:bookmarkEnd w:id="1270"/>
      <w:bookmarkEnd w:id="1271"/>
      <w:r>
        <w:rPr>
          <w:rFonts w:hint="eastAsia" w:ascii="宋体" w:hAnsi="宋体" w:cs="宋体"/>
          <w:b/>
          <w:color w:val="auto"/>
          <w:sz w:val="28"/>
          <w:szCs w:val="28"/>
          <w:highlight w:val="none"/>
        </w:rPr>
        <w:t>工程进度计划与保证措施</w:t>
      </w:r>
    </w:p>
    <w:p w14:paraId="0E4530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（内容格式自拟）</w:t>
      </w:r>
    </w:p>
    <w:p w14:paraId="0F5CDC31">
      <w:pPr>
        <w:spacing w:line="360" w:lineRule="auto"/>
        <w:ind w:firstLine="420" w:firstLineChars="200"/>
        <w:rPr>
          <w:rFonts w:hint="eastAsia" w:ascii="宋体" w:hAnsi="等线"/>
          <w:color w:val="auto"/>
          <w:szCs w:val="22"/>
          <w:highlight w:val="none"/>
        </w:rPr>
      </w:pPr>
    </w:p>
    <w:p w14:paraId="78780210">
      <w:pPr>
        <w:spacing w:line="360" w:lineRule="auto"/>
        <w:rPr>
          <w:color w:val="auto"/>
          <w:highlight w:val="none"/>
        </w:rPr>
      </w:pPr>
    </w:p>
    <w:p w14:paraId="5132E1CE">
      <w:pPr>
        <w:spacing w:line="360" w:lineRule="auto"/>
        <w:ind w:firstLine="420" w:firstLineChars="200"/>
        <w:rPr>
          <w:rFonts w:hint="eastAsia" w:ascii="宋体" w:hAnsi="等线"/>
          <w:color w:val="auto"/>
          <w:szCs w:val="22"/>
          <w:highlight w:val="none"/>
        </w:rPr>
      </w:pPr>
    </w:p>
    <w:p w14:paraId="280D7993">
      <w:pPr>
        <w:widowControl/>
        <w:jc w:val="left"/>
        <w:rPr>
          <w:rFonts w:hint="eastAsia" w:ascii="宋体" w:hAnsi="宋体" w:cs="宋体"/>
          <w:b/>
          <w:color w:val="auto"/>
          <w:sz w:val="28"/>
          <w:szCs w:val="28"/>
          <w:highlight w:val="none"/>
        </w:rPr>
      </w:pPr>
    </w:p>
    <w:p w14:paraId="6B3C40DC">
      <w:pPr>
        <w:keepNext/>
        <w:keepLines/>
        <w:numPr>
          <w:ilvl w:val="1"/>
          <w:numId w:val="0"/>
        </w:numPr>
        <w:tabs>
          <w:tab w:val="left" w:pos="360"/>
        </w:tabs>
        <w:spacing w:line="360" w:lineRule="auto"/>
        <w:jc w:val="center"/>
        <w:outlineLvl w:val="2"/>
        <w:rPr>
          <w:rFonts w:hint="eastAsia" w:ascii="宋体" w:hAnsi="宋体" w:cs="宋体"/>
          <w:b/>
          <w:bCs/>
          <w:color w:val="auto"/>
          <w:sz w:val="28"/>
          <w:szCs w:val="28"/>
          <w:highlight w:val="none"/>
        </w:rPr>
      </w:pPr>
      <w:bookmarkStart w:id="1280" w:name="_Toc137737747"/>
      <w:bookmarkStart w:id="1281" w:name="_Toc131545997"/>
      <w:bookmarkStart w:id="1282" w:name="_Toc32094"/>
      <w:bookmarkStart w:id="1283" w:name="_Toc29792"/>
      <w:bookmarkStart w:id="1284" w:name="_Toc139471272"/>
      <w:bookmarkStart w:id="1285" w:name="_Toc139471154"/>
      <w:bookmarkStart w:id="1286" w:name="_Toc147601954"/>
      <w:bookmarkStart w:id="1287" w:name="_Toc30090"/>
      <w:bookmarkStart w:id="1288" w:name="_Toc2780"/>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w:t>
      </w:r>
      <w:bookmarkEnd w:id="1280"/>
      <w:bookmarkEnd w:id="1281"/>
      <w:bookmarkEnd w:id="1282"/>
      <w:bookmarkEnd w:id="1283"/>
      <w:bookmarkEnd w:id="1284"/>
      <w:bookmarkEnd w:id="1285"/>
      <w:bookmarkEnd w:id="1286"/>
      <w:bookmarkEnd w:id="1287"/>
      <w:bookmarkEnd w:id="1288"/>
      <w:r>
        <w:rPr>
          <w:rFonts w:hint="eastAsia" w:ascii="宋体" w:hAnsi="宋体" w:cs="宋体"/>
          <w:b/>
          <w:color w:val="auto"/>
          <w:sz w:val="28"/>
          <w:szCs w:val="28"/>
          <w:highlight w:val="none"/>
        </w:rPr>
        <w:t>项目管理机构配置</w:t>
      </w:r>
    </w:p>
    <w:p w14:paraId="01912C37">
      <w:pPr>
        <w:keepNext/>
        <w:numPr>
          <w:ilvl w:val="1"/>
          <w:numId w:val="0"/>
        </w:numPr>
        <w:tabs>
          <w:tab w:val="left" w:pos="1021"/>
        </w:tabs>
        <w:adjustRightInd w:val="0"/>
        <w:spacing w:line="360" w:lineRule="auto"/>
        <w:jc w:val="center"/>
        <w:textAlignment w:val="baseline"/>
        <w:outlineLvl w:val="3"/>
        <w:rPr>
          <w:rFonts w:hint="eastAsia" w:ascii="宋体" w:hAnsi="宋体" w:cs="宋体"/>
          <w:b/>
          <w:bCs/>
          <w:color w:val="auto"/>
          <w:kern w:val="0"/>
          <w:sz w:val="24"/>
          <w:highlight w:val="none"/>
        </w:rPr>
      </w:pPr>
      <w:bookmarkStart w:id="1289" w:name="_Toc25067"/>
      <w:bookmarkStart w:id="1290" w:name="_Toc489883529"/>
      <w:bookmarkStart w:id="1291" w:name="_Toc29599"/>
      <w:bookmarkStart w:id="1292" w:name="_Toc7436350"/>
      <w:bookmarkStart w:id="1293" w:name="_Toc17400"/>
      <w:bookmarkStart w:id="1294" w:name="_Toc29736"/>
      <w:r>
        <w:rPr>
          <w:rFonts w:hint="eastAsia" w:ascii="宋体" w:hAnsi="宋体" w:cs="宋体"/>
          <w:b/>
          <w:bCs/>
          <w:color w:val="auto"/>
          <w:kern w:val="0"/>
          <w:sz w:val="24"/>
          <w:highlight w:val="none"/>
        </w:rPr>
        <w:t>1、项目经理简历表</w:t>
      </w:r>
      <w:bookmarkEnd w:id="1289"/>
      <w:bookmarkEnd w:id="1290"/>
      <w:bookmarkEnd w:id="1291"/>
      <w:bookmarkEnd w:id="1292"/>
      <w:bookmarkEnd w:id="1293"/>
      <w:bookmarkEnd w:id="1294"/>
    </w:p>
    <w:tbl>
      <w:tblPr>
        <w:tblStyle w:val="8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1"/>
        <w:gridCol w:w="1040"/>
        <w:gridCol w:w="1247"/>
        <w:gridCol w:w="1247"/>
        <w:gridCol w:w="626"/>
        <w:gridCol w:w="1696"/>
        <w:gridCol w:w="175"/>
        <w:gridCol w:w="2295"/>
      </w:tblGrid>
      <w:tr w14:paraId="528FF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pct"/>
            <w:tcBorders>
              <w:tl2br w:val="nil"/>
              <w:tr2bl w:val="nil"/>
            </w:tcBorders>
            <w:vAlign w:val="center"/>
          </w:tcPr>
          <w:p w14:paraId="3959E9DC">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姓名</w:t>
            </w:r>
          </w:p>
        </w:tc>
        <w:tc>
          <w:tcPr>
            <w:tcW w:w="668" w:type="pct"/>
            <w:gridSpan w:val="2"/>
            <w:tcBorders>
              <w:tl2br w:val="nil"/>
              <w:tr2bl w:val="nil"/>
            </w:tcBorders>
            <w:vAlign w:val="center"/>
          </w:tcPr>
          <w:p w14:paraId="496D7962">
            <w:pPr>
              <w:autoSpaceDE w:val="0"/>
              <w:autoSpaceDN w:val="0"/>
              <w:adjustRightInd w:val="0"/>
              <w:spacing w:line="276" w:lineRule="auto"/>
              <w:jc w:val="center"/>
              <w:rPr>
                <w:rFonts w:hint="eastAsia" w:ascii="宋体" w:hAnsi="宋体" w:cs="宋体"/>
                <w:color w:val="auto"/>
                <w:kern w:val="0"/>
                <w:highlight w:val="none"/>
              </w:rPr>
            </w:pPr>
          </w:p>
        </w:tc>
        <w:tc>
          <w:tcPr>
            <w:tcW w:w="626" w:type="pct"/>
            <w:tcBorders>
              <w:tl2br w:val="nil"/>
              <w:tr2bl w:val="nil"/>
            </w:tcBorders>
            <w:vAlign w:val="center"/>
          </w:tcPr>
          <w:p w14:paraId="07D68F74">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年龄</w:t>
            </w:r>
          </w:p>
        </w:tc>
        <w:tc>
          <w:tcPr>
            <w:tcW w:w="626" w:type="pct"/>
            <w:tcBorders>
              <w:tl2br w:val="nil"/>
              <w:tr2bl w:val="nil"/>
            </w:tcBorders>
            <w:vAlign w:val="center"/>
          </w:tcPr>
          <w:p w14:paraId="4D4A095D">
            <w:pPr>
              <w:autoSpaceDE w:val="0"/>
              <w:autoSpaceDN w:val="0"/>
              <w:adjustRightInd w:val="0"/>
              <w:spacing w:line="276" w:lineRule="auto"/>
              <w:jc w:val="center"/>
              <w:rPr>
                <w:rFonts w:hint="eastAsia" w:ascii="宋体" w:hAnsi="宋体" w:cs="宋体"/>
                <w:color w:val="auto"/>
                <w:kern w:val="0"/>
                <w:highlight w:val="none"/>
              </w:rPr>
            </w:pPr>
          </w:p>
        </w:tc>
        <w:tc>
          <w:tcPr>
            <w:tcW w:w="1253" w:type="pct"/>
            <w:gridSpan w:val="3"/>
            <w:tcBorders>
              <w:tl2br w:val="nil"/>
              <w:tr2bl w:val="nil"/>
            </w:tcBorders>
            <w:vAlign w:val="center"/>
          </w:tcPr>
          <w:p w14:paraId="2C5625C7">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学历</w:t>
            </w:r>
          </w:p>
        </w:tc>
        <w:tc>
          <w:tcPr>
            <w:tcW w:w="1152" w:type="pct"/>
            <w:tcBorders>
              <w:tl2br w:val="nil"/>
              <w:tr2bl w:val="nil"/>
            </w:tcBorders>
            <w:vAlign w:val="center"/>
          </w:tcPr>
          <w:p w14:paraId="7FF419D5">
            <w:pPr>
              <w:autoSpaceDE w:val="0"/>
              <w:autoSpaceDN w:val="0"/>
              <w:adjustRightInd w:val="0"/>
              <w:spacing w:line="276" w:lineRule="auto"/>
              <w:jc w:val="center"/>
              <w:rPr>
                <w:rFonts w:hint="eastAsia" w:ascii="宋体" w:hAnsi="宋体" w:cs="宋体"/>
                <w:color w:val="auto"/>
                <w:kern w:val="0"/>
                <w:highlight w:val="none"/>
              </w:rPr>
            </w:pPr>
          </w:p>
        </w:tc>
      </w:tr>
      <w:tr w14:paraId="4DF84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pct"/>
            <w:tcBorders>
              <w:tl2br w:val="nil"/>
              <w:tr2bl w:val="nil"/>
            </w:tcBorders>
            <w:vAlign w:val="center"/>
          </w:tcPr>
          <w:p w14:paraId="78455387">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职称</w:t>
            </w:r>
          </w:p>
        </w:tc>
        <w:tc>
          <w:tcPr>
            <w:tcW w:w="668" w:type="pct"/>
            <w:gridSpan w:val="2"/>
            <w:tcBorders>
              <w:tl2br w:val="nil"/>
              <w:tr2bl w:val="nil"/>
            </w:tcBorders>
            <w:vAlign w:val="center"/>
          </w:tcPr>
          <w:p w14:paraId="16A25416">
            <w:pPr>
              <w:autoSpaceDE w:val="0"/>
              <w:autoSpaceDN w:val="0"/>
              <w:adjustRightInd w:val="0"/>
              <w:spacing w:line="276" w:lineRule="auto"/>
              <w:jc w:val="center"/>
              <w:rPr>
                <w:rFonts w:hint="eastAsia" w:ascii="宋体" w:hAnsi="宋体" w:cs="宋体"/>
                <w:color w:val="auto"/>
                <w:kern w:val="0"/>
                <w:highlight w:val="none"/>
              </w:rPr>
            </w:pPr>
          </w:p>
        </w:tc>
        <w:tc>
          <w:tcPr>
            <w:tcW w:w="626" w:type="pct"/>
            <w:tcBorders>
              <w:tl2br w:val="nil"/>
              <w:tr2bl w:val="nil"/>
            </w:tcBorders>
            <w:vAlign w:val="center"/>
          </w:tcPr>
          <w:p w14:paraId="6C809526">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职务</w:t>
            </w:r>
          </w:p>
        </w:tc>
        <w:tc>
          <w:tcPr>
            <w:tcW w:w="626" w:type="pct"/>
            <w:tcBorders>
              <w:tl2br w:val="nil"/>
              <w:tr2bl w:val="nil"/>
            </w:tcBorders>
            <w:vAlign w:val="center"/>
          </w:tcPr>
          <w:p w14:paraId="1BE6C5BF">
            <w:pPr>
              <w:autoSpaceDE w:val="0"/>
              <w:autoSpaceDN w:val="0"/>
              <w:adjustRightInd w:val="0"/>
              <w:spacing w:line="276" w:lineRule="auto"/>
              <w:jc w:val="center"/>
              <w:rPr>
                <w:rFonts w:hint="eastAsia" w:ascii="宋体" w:hAnsi="宋体" w:cs="宋体"/>
                <w:color w:val="auto"/>
                <w:kern w:val="0"/>
                <w:highlight w:val="none"/>
              </w:rPr>
            </w:pPr>
          </w:p>
        </w:tc>
        <w:tc>
          <w:tcPr>
            <w:tcW w:w="1253" w:type="pct"/>
            <w:gridSpan w:val="3"/>
            <w:tcBorders>
              <w:tl2br w:val="nil"/>
              <w:tr2bl w:val="nil"/>
            </w:tcBorders>
            <w:vAlign w:val="center"/>
          </w:tcPr>
          <w:p w14:paraId="7F3CFC6F">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拟在本合同任职</w:t>
            </w:r>
          </w:p>
        </w:tc>
        <w:tc>
          <w:tcPr>
            <w:tcW w:w="1152" w:type="pct"/>
            <w:tcBorders>
              <w:tl2br w:val="nil"/>
              <w:tr2bl w:val="nil"/>
            </w:tcBorders>
            <w:vAlign w:val="center"/>
          </w:tcPr>
          <w:p w14:paraId="61AD3C89">
            <w:pPr>
              <w:autoSpaceDE w:val="0"/>
              <w:autoSpaceDN w:val="0"/>
              <w:adjustRightInd w:val="0"/>
              <w:spacing w:line="276" w:lineRule="auto"/>
              <w:jc w:val="center"/>
              <w:rPr>
                <w:rFonts w:hint="eastAsia" w:ascii="宋体" w:hAnsi="宋体" w:cs="宋体"/>
                <w:color w:val="auto"/>
                <w:kern w:val="0"/>
                <w:highlight w:val="none"/>
              </w:rPr>
            </w:pPr>
          </w:p>
        </w:tc>
      </w:tr>
      <w:tr w14:paraId="26E58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675" w:type="pct"/>
            <w:tcBorders>
              <w:tl2br w:val="nil"/>
              <w:tr2bl w:val="nil"/>
            </w:tcBorders>
            <w:vAlign w:val="center"/>
          </w:tcPr>
          <w:p w14:paraId="4955D92A">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毕业学校</w:t>
            </w:r>
          </w:p>
        </w:tc>
        <w:tc>
          <w:tcPr>
            <w:tcW w:w="4325" w:type="pct"/>
            <w:gridSpan w:val="8"/>
            <w:tcBorders>
              <w:tl2br w:val="nil"/>
              <w:tr2bl w:val="nil"/>
            </w:tcBorders>
            <w:vAlign w:val="center"/>
          </w:tcPr>
          <w:p w14:paraId="7D7905EF">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年毕业于            学校            专业</w:t>
            </w:r>
          </w:p>
        </w:tc>
      </w:tr>
      <w:tr w14:paraId="24A22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tcBorders>
              <w:tl2br w:val="nil"/>
              <w:tr2bl w:val="nil"/>
            </w:tcBorders>
            <w:vAlign w:val="center"/>
          </w:tcPr>
          <w:p w14:paraId="4F91BA3A">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主要工作经历</w:t>
            </w:r>
          </w:p>
        </w:tc>
      </w:tr>
      <w:tr w14:paraId="6D2BF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pct"/>
            <w:gridSpan w:val="2"/>
            <w:tcBorders>
              <w:tl2br w:val="nil"/>
              <w:tr2bl w:val="nil"/>
            </w:tcBorders>
            <w:vAlign w:val="center"/>
          </w:tcPr>
          <w:p w14:paraId="7B9D7868">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时间</w:t>
            </w:r>
          </w:p>
        </w:tc>
        <w:tc>
          <w:tcPr>
            <w:tcW w:w="2088" w:type="pct"/>
            <w:gridSpan w:val="4"/>
            <w:tcBorders>
              <w:tl2br w:val="nil"/>
              <w:tr2bl w:val="nil"/>
            </w:tcBorders>
            <w:vAlign w:val="center"/>
          </w:tcPr>
          <w:p w14:paraId="6321255D">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参加过的类似项目</w:t>
            </w:r>
          </w:p>
        </w:tc>
        <w:tc>
          <w:tcPr>
            <w:tcW w:w="851" w:type="pct"/>
            <w:tcBorders>
              <w:tl2br w:val="nil"/>
              <w:tr2bl w:val="nil"/>
            </w:tcBorders>
            <w:vAlign w:val="center"/>
          </w:tcPr>
          <w:p w14:paraId="09A35D18">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担任职务</w:t>
            </w:r>
          </w:p>
        </w:tc>
        <w:tc>
          <w:tcPr>
            <w:tcW w:w="1241" w:type="pct"/>
            <w:gridSpan w:val="2"/>
            <w:tcBorders>
              <w:tl2br w:val="nil"/>
              <w:tr2bl w:val="nil"/>
            </w:tcBorders>
            <w:vAlign w:val="center"/>
          </w:tcPr>
          <w:p w14:paraId="5B37224E">
            <w:pPr>
              <w:autoSpaceDE w:val="0"/>
              <w:autoSpaceDN w:val="0"/>
              <w:adjustRightInd w:val="0"/>
              <w:spacing w:line="276"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发包人及联系电话</w:t>
            </w:r>
          </w:p>
        </w:tc>
      </w:tr>
      <w:tr w14:paraId="53961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4B2A7DFF">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38308910">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3906F418">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5ACF08EB">
            <w:pPr>
              <w:autoSpaceDE w:val="0"/>
              <w:autoSpaceDN w:val="0"/>
              <w:adjustRightInd w:val="0"/>
              <w:spacing w:line="520" w:lineRule="exact"/>
              <w:jc w:val="center"/>
              <w:rPr>
                <w:rFonts w:hint="eastAsia" w:ascii="宋体" w:hAnsi="宋体" w:cs="宋体"/>
                <w:color w:val="auto"/>
                <w:kern w:val="0"/>
                <w:highlight w:val="none"/>
              </w:rPr>
            </w:pPr>
          </w:p>
        </w:tc>
      </w:tr>
      <w:tr w14:paraId="77EAD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3FB68E0D">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59745F7D">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60802549">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2F234A6C">
            <w:pPr>
              <w:autoSpaceDE w:val="0"/>
              <w:autoSpaceDN w:val="0"/>
              <w:adjustRightInd w:val="0"/>
              <w:spacing w:line="520" w:lineRule="exact"/>
              <w:jc w:val="center"/>
              <w:rPr>
                <w:rFonts w:hint="eastAsia" w:ascii="宋体" w:hAnsi="宋体" w:cs="宋体"/>
                <w:color w:val="auto"/>
                <w:kern w:val="0"/>
                <w:highlight w:val="none"/>
              </w:rPr>
            </w:pPr>
          </w:p>
        </w:tc>
      </w:tr>
      <w:tr w14:paraId="372E1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063E3823">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1BFC3D4E">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36C8A1B8">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49F0D527">
            <w:pPr>
              <w:autoSpaceDE w:val="0"/>
              <w:autoSpaceDN w:val="0"/>
              <w:adjustRightInd w:val="0"/>
              <w:spacing w:line="520" w:lineRule="exact"/>
              <w:jc w:val="center"/>
              <w:rPr>
                <w:rFonts w:hint="eastAsia" w:ascii="宋体" w:hAnsi="宋体" w:cs="宋体"/>
                <w:color w:val="auto"/>
                <w:kern w:val="0"/>
                <w:highlight w:val="none"/>
              </w:rPr>
            </w:pPr>
          </w:p>
        </w:tc>
      </w:tr>
      <w:tr w14:paraId="1E7A3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7DB5E43B">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4601AC76">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4941FC9D">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0384F366">
            <w:pPr>
              <w:autoSpaceDE w:val="0"/>
              <w:autoSpaceDN w:val="0"/>
              <w:adjustRightInd w:val="0"/>
              <w:spacing w:line="520" w:lineRule="exact"/>
              <w:jc w:val="center"/>
              <w:rPr>
                <w:rFonts w:hint="eastAsia" w:ascii="宋体" w:hAnsi="宋体" w:cs="宋体"/>
                <w:color w:val="auto"/>
                <w:kern w:val="0"/>
                <w:highlight w:val="none"/>
              </w:rPr>
            </w:pPr>
          </w:p>
        </w:tc>
      </w:tr>
      <w:tr w14:paraId="68B17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5121E53C">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1C641D9E">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47D102AD">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38607D3E">
            <w:pPr>
              <w:autoSpaceDE w:val="0"/>
              <w:autoSpaceDN w:val="0"/>
              <w:adjustRightInd w:val="0"/>
              <w:spacing w:line="520" w:lineRule="exact"/>
              <w:jc w:val="center"/>
              <w:rPr>
                <w:rFonts w:hint="eastAsia" w:ascii="宋体" w:hAnsi="宋体" w:cs="宋体"/>
                <w:color w:val="auto"/>
                <w:kern w:val="0"/>
                <w:highlight w:val="none"/>
              </w:rPr>
            </w:pPr>
          </w:p>
        </w:tc>
      </w:tr>
      <w:tr w14:paraId="7010E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7B448016">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0DF2D5B7">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37FD7B90">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127A11FE">
            <w:pPr>
              <w:autoSpaceDE w:val="0"/>
              <w:autoSpaceDN w:val="0"/>
              <w:adjustRightInd w:val="0"/>
              <w:spacing w:line="520" w:lineRule="exact"/>
              <w:jc w:val="center"/>
              <w:rPr>
                <w:rFonts w:hint="eastAsia" w:ascii="宋体" w:hAnsi="宋体" w:cs="宋体"/>
                <w:color w:val="auto"/>
                <w:kern w:val="0"/>
                <w:highlight w:val="none"/>
              </w:rPr>
            </w:pPr>
          </w:p>
        </w:tc>
      </w:tr>
      <w:tr w14:paraId="479EB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535899C9">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09109727">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5C83728E">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39CEA50D">
            <w:pPr>
              <w:autoSpaceDE w:val="0"/>
              <w:autoSpaceDN w:val="0"/>
              <w:adjustRightInd w:val="0"/>
              <w:spacing w:line="520" w:lineRule="exact"/>
              <w:jc w:val="center"/>
              <w:rPr>
                <w:rFonts w:hint="eastAsia" w:ascii="宋体" w:hAnsi="宋体" w:cs="宋体"/>
                <w:color w:val="auto"/>
                <w:kern w:val="0"/>
                <w:highlight w:val="none"/>
              </w:rPr>
            </w:pPr>
          </w:p>
        </w:tc>
      </w:tr>
      <w:tr w14:paraId="5BA0E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2F53F510">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42ED4213">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230CB5E2">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39AA76EB">
            <w:pPr>
              <w:autoSpaceDE w:val="0"/>
              <w:autoSpaceDN w:val="0"/>
              <w:adjustRightInd w:val="0"/>
              <w:spacing w:line="520" w:lineRule="exact"/>
              <w:jc w:val="center"/>
              <w:rPr>
                <w:rFonts w:hint="eastAsia" w:ascii="宋体" w:hAnsi="宋体" w:cs="宋体"/>
                <w:color w:val="auto"/>
                <w:kern w:val="0"/>
                <w:highlight w:val="none"/>
              </w:rPr>
            </w:pPr>
          </w:p>
        </w:tc>
      </w:tr>
      <w:tr w14:paraId="35C16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gridSpan w:val="2"/>
            <w:tcBorders>
              <w:tl2br w:val="nil"/>
              <w:tr2bl w:val="nil"/>
            </w:tcBorders>
            <w:vAlign w:val="center"/>
          </w:tcPr>
          <w:p w14:paraId="4759440C">
            <w:pPr>
              <w:autoSpaceDE w:val="0"/>
              <w:autoSpaceDN w:val="0"/>
              <w:adjustRightInd w:val="0"/>
              <w:spacing w:line="520" w:lineRule="exact"/>
              <w:jc w:val="center"/>
              <w:rPr>
                <w:rFonts w:hint="eastAsia" w:ascii="宋体" w:hAnsi="宋体" w:cs="宋体"/>
                <w:color w:val="auto"/>
                <w:kern w:val="0"/>
                <w:highlight w:val="none"/>
              </w:rPr>
            </w:pPr>
          </w:p>
        </w:tc>
        <w:tc>
          <w:tcPr>
            <w:tcW w:w="2088" w:type="pct"/>
            <w:gridSpan w:val="4"/>
            <w:tcBorders>
              <w:tl2br w:val="nil"/>
              <w:tr2bl w:val="nil"/>
            </w:tcBorders>
            <w:vAlign w:val="center"/>
          </w:tcPr>
          <w:p w14:paraId="46946AD5">
            <w:pPr>
              <w:autoSpaceDE w:val="0"/>
              <w:autoSpaceDN w:val="0"/>
              <w:adjustRightInd w:val="0"/>
              <w:spacing w:line="520" w:lineRule="exact"/>
              <w:jc w:val="center"/>
              <w:rPr>
                <w:rFonts w:hint="eastAsia" w:ascii="宋体" w:hAnsi="宋体" w:cs="宋体"/>
                <w:color w:val="auto"/>
                <w:kern w:val="0"/>
                <w:highlight w:val="none"/>
              </w:rPr>
            </w:pPr>
          </w:p>
        </w:tc>
        <w:tc>
          <w:tcPr>
            <w:tcW w:w="851" w:type="pct"/>
            <w:tcBorders>
              <w:tl2br w:val="nil"/>
              <w:tr2bl w:val="nil"/>
            </w:tcBorders>
            <w:vAlign w:val="center"/>
          </w:tcPr>
          <w:p w14:paraId="46D34B7D">
            <w:pPr>
              <w:autoSpaceDE w:val="0"/>
              <w:autoSpaceDN w:val="0"/>
              <w:adjustRightInd w:val="0"/>
              <w:spacing w:line="520" w:lineRule="exact"/>
              <w:jc w:val="center"/>
              <w:rPr>
                <w:rFonts w:hint="eastAsia" w:ascii="宋体" w:hAnsi="宋体" w:cs="宋体"/>
                <w:color w:val="auto"/>
                <w:kern w:val="0"/>
                <w:highlight w:val="none"/>
              </w:rPr>
            </w:pPr>
          </w:p>
        </w:tc>
        <w:tc>
          <w:tcPr>
            <w:tcW w:w="1241" w:type="pct"/>
            <w:gridSpan w:val="2"/>
            <w:tcBorders>
              <w:tl2br w:val="nil"/>
              <w:tr2bl w:val="nil"/>
            </w:tcBorders>
            <w:vAlign w:val="center"/>
          </w:tcPr>
          <w:p w14:paraId="3303D9A5">
            <w:pPr>
              <w:autoSpaceDE w:val="0"/>
              <w:autoSpaceDN w:val="0"/>
              <w:adjustRightInd w:val="0"/>
              <w:spacing w:line="520" w:lineRule="exact"/>
              <w:jc w:val="center"/>
              <w:rPr>
                <w:rFonts w:hint="eastAsia" w:ascii="宋体" w:hAnsi="宋体" w:cs="宋体"/>
                <w:color w:val="auto"/>
                <w:kern w:val="0"/>
                <w:highlight w:val="none"/>
              </w:rPr>
            </w:pPr>
          </w:p>
        </w:tc>
      </w:tr>
    </w:tbl>
    <w:p w14:paraId="57173B40">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注：上表内的</w:t>
      </w:r>
      <w:r>
        <w:rPr>
          <w:rFonts w:hint="eastAsia" w:ascii="宋体" w:hAnsi="宋体" w:cs="宋体"/>
          <w:color w:val="auto"/>
          <w:kern w:val="0"/>
          <w:highlight w:val="none"/>
        </w:rPr>
        <w:t>项目经理应附身份证复印件/扫描件、注册资格证书复印件/扫描件、安全生产考核合格证书复印件/扫描件、职称证复印件/扫描件（如有）、执业资格证书复印件/扫描件（如有），承担过的类似项目业绩证明材料复印件/扫描件（如有）。</w:t>
      </w:r>
    </w:p>
    <w:p w14:paraId="5616E984">
      <w:pPr>
        <w:keepNext/>
        <w:numPr>
          <w:ilvl w:val="1"/>
          <w:numId w:val="0"/>
        </w:numPr>
        <w:tabs>
          <w:tab w:val="left" w:pos="1021"/>
        </w:tabs>
        <w:adjustRightInd w:val="0"/>
        <w:spacing w:line="360" w:lineRule="auto"/>
        <w:jc w:val="center"/>
        <w:textAlignment w:val="baseline"/>
        <w:outlineLvl w:val="3"/>
        <w:rPr>
          <w:rFonts w:hint="eastAsia" w:ascii="宋体" w:hAnsi="宋体" w:cs="宋体"/>
          <w:b/>
          <w:bCs/>
          <w:color w:val="auto"/>
          <w:kern w:val="0"/>
          <w:sz w:val="24"/>
          <w:highlight w:val="none"/>
        </w:rPr>
      </w:pPr>
      <w:bookmarkStart w:id="1295" w:name="_Toc489883530"/>
      <w:bookmarkStart w:id="1296" w:name="_Toc7436351"/>
      <w:r>
        <w:rPr>
          <w:rFonts w:ascii="宋体" w:hAnsi="宋体"/>
          <w:color w:val="auto"/>
          <w:szCs w:val="21"/>
          <w:highlight w:val="none"/>
        </w:rPr>
        <w:br w:type="page"/>
      </w:r>
      <w:bookmarkStart w:id="1297" w:name="_Toc14131"/>
      <w:bookmarkStart w:id="1298" w:name="_Toc32362"/>
      <w:bookmarkStart w:id="1299" w:name="_Toc29451"/>
      <w:bookmarkStart w:id="1300" w:name="_Toc24334"/>
      <w:r>
        <w:rPr>
          <w:rFonts w:hint="eastAsia" w:ascii="宋体" w:hAnsi="宋体" w:cs="宋体"/>
          <w:b/>
          <w:bCs/>
          <w:color w:val="auto"/>
          <w:kern w:val="0"/>
          <w:sz w:val="24"/>
          <w:highlight w:val="none"/>
        </w:rPr>
        <w:t>2、拟投入本项目的其他人员配备表</w:t>
      </w:r>
      <w:bookmarkEnd w:id="1295"/>
      <w:bookmarkEnd w:id="1296"/>
      <w:bookmarkEnd w:id="1297"/>
      <w:bookmarkEnd w:id="1298"/>
      <w:bookmarkEnd w:id="1299"/>
      <w:bookmarkEnd w:id="1300"/>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0"/>
        <w:gridCol w:w="1284"/>
        <w:gridCol w:w="720"/>
        <w:gridCol w:w="720"/>
        <w:gridCol w:w="900"/>
        <w:gridCol w:w="900"/>
        <w:gridCol w:w="720"/>
        <w:gridCol w:w="1080"/>
        <w:gridCol w:w="2160"/>
      </w:tblGrid>
      <w:tr w14:paraId="39242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48094585">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岗位</w:t>
            </w:r>
          </w:p>
        </w:tc>
        <w:tc>
          <w:tcPr>
            <w:tcW w:w="1284" w:type="dxa"/>
            <w:vAlign w:val="center"/>
          </w:tcPr>
          <w:p w14:paraId="26BCCD9E">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姓名</w:t>
            </w:r>
          </w:p>
        </w:tc>
        <w:tc>
          <w:tcPr>
            <w:tcW w:w="720" w:type="dxa"/>
            <w:vAlign w:val="center"/>
          </w:tcPr>
          <w:p w14:paraId="3428F91F">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性别</w:t>
            </w:r>
          </w:p>
        </w:tc>
        <w:tc>
          <w:tcPr>
            <w:tcW w:w="720" w:type="dxa"/>
            <w:vAlign w:val="center"/>
          </w:tcPr>
          <w:p w14:paraId="22E9E21F">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年龄</w:t>
            </w:r>
          </w:p>
        </w:tc>
        <w:tc>
          <w:tcPr>
            <w:tcW w:w="900" w:type="dxa"/>
            <w:vAlign w:val="center"/>
          </w:tcPr>
          <w:p w14:paraId="01947A29">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职称</w:t>
            </w:r>
          </w:p>
        </w:tc>
        <w:tc>
          <w:tcPr>
            <w:tcW w:w="900" w:type="dxa"/>
            <w:vAlign w:val="center"/>
          </w:tcPr>
          <w:p w14:paraId="381F2188">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职务</w:t>
            </w:r>
          </w:p>
        </w:tc>
        <w:tc>
          <w:tcPr>
            <w:tcW w:w="720" w:type="dxa"/>
            <w:vAlign w:val="center"/>
          </w:tcPr>
          <w:p w14:paraId="1D561F73">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学历</w:t>
            </w:r>
          </w:p>
        </w:tc>
        <w:tc>
          <w:tcPr>
            <w:tcW w:w="1080" w:type="dxa"/>
            <w:vAlign w:val="center"/>
          </w:tcPr>
          <w:p w14:paraId="0C0130D5">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专业</w:t>
            </w:r>
          </w:p>
        </w:tc>
        <w:tc>
          <w:tcPr>
            <w:tcW w:w="2160" w:type="dxa"/>
            <w:vAlign w:val="center"/>
          </w:tcPr>
          <w:p w14:paraId="24BB1BBF">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技术业绩</w:t>
            </w:r>
          </w:p>
        </w:tc>
      </w:tr>
      <w:tr w14:paraId="75EBC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3A5F0B05">
            <w:pPr>
              <w:spacing w:line="360" w:lineRule="auto"/>
              <w:jc w:val="center"/>
              <w:rPr>
                <w:rFonts w:hint="eastAsia" w:ascii="宋体" w:hAnsi="宋体" w:cs="宋体"/>
                <w:color w:val="auto"/>
                <w:szCs w:val="21"/>
                <w:highlight w:val="none"/>
              </w:rPr>
            </w:pPr>
          </w:p>
        </w:tc>
        <w:tc>
          <w:tcPr>
            <w:tcW w:w="1284" w:type="dxa"/>
            <w:vAlign w:val="center"/>
          </w:tcPr>
          <w:p w14:paraId="6B3680C0">
            <w:pPr>
              <w:spacing w:line="360" w:lineRule="auto"/>
              <w:jc w:val="center"/>
              <w:rPr>
                <w:rFonts w:hint="eastAsia" w:ascii="宋体" w:hAnsi="宋体" w:cs="宋体"/>
                <w:color w:val="auto"/>
                <w:szCs w:val="21"/>
                <w:highlight w:val="none"/>
              </w:rPr>
            </w:pPr>
          </w:p>
        </w:tc>
        <w:tc>
          <w:tcPr>
            <w:tcW w:w="720" w:type="dxa"/>
            <w:vAlign w:val="center"/>
          </w:tcPr>
          <w:p w14:paraId="24F63FF6">
            <w:pPr>
              <w:spacing w:line="360" w:lineRule="auto"/>
              <w:jc w:val="center"/>
              <w:rPr>
                <w:rFonts w:hint="eastAsia" w:ascii="宋体" w:hAnsi="宋体" w:cs="宋体"/>
                <w:color w:val="auto"/>
                <w:szCs w:val="21"/>
                <w:highlight w:val="none"/>
              </w:rPr>
            </w:pPr>
          </w:p>
        </w:tc>
        <w:tc>
          <w:tcPr>
            <w:tcW w:w="720" w:type="dxa"/>
            <w:vAlign w:val="center"/>
          </w:tcPr>
          <w:p w14:paraId="16007DBD">
            <w:pPr>
              <w:spacing w:line="360" w:lineRule="auto"/>
              <w:jc w:val="center"/>
              <w:rPr>
                <w:rFonts w:hint="eastAsia" w:ascii="宋体" w:hAnsi="宋体" w:cs="宋体"/>
                <w:color w:val="auto"/>
                <w:szCs w:val="21"/>
                <w:highlight w:val="none"/>
              </w:rPr>
            </w:pPr>
          </w:p>
        </w:tc>
        <w:tc>
          <w:tcPr>
            <w:tcW w:w="900" w:type="dxa"/>
            <w:vAlign w:val="center"/>
          </w:tcPr>
          <w:p w14:paraId="2BE46612">
            <w:pPr>
              <w:spacing w:line="360" w:lineRule="auto"/>
              <w:jc w:val="center"/>
              <w:rPr>
                <w:rFonts w:hint="eastAsia" w:ascii="宋体" w:hAnsi="宋体" w:cs="宋体"/>
                <w:color w:val="auto"/>
                <w:szCs w:val="21"/>
                <w:highlight w:val="none"/>
              </w:rPr>
            </w:pPr>
          </w:p>
        </w:tc>
        <w:tc>
          <w:tcPr>
            <w:tcW w:w="900" w:type="dxa"/>
            <w:vAlign w:val="center"/>
          </w:tcPr>
          <w:p w14:paraId="742C9308">
            <w:pPr>
              <w:spacing w:line="360" w:lineRule="auto"/>
              <w:jc w:val="center"/>
              <w:rPr>
                <w:rFonts w:hint="eastAsia" w:ascii="宋体" w:hAnsi="宋体" w:cs="宋体"/>
                <w:color w:val="auto"/>
                <w:szCs w:val="21"/>
                <w:highlight w:val="none"/>
              </w:rPr>
            </w:pPr>
          </w:p>
        </w:tc>
        <w:tc>
          <w:tcPr>
            <w:tcW w:w="720" w:type="dxa"/>
            <w:vAlign w:val="center"/>
          </w:tcPr>
          <w:p w14:paraId="6D119995">
            <w:pPr>
              <w:spacing w:line="360" w:lineRule="auto"/>
              <w:jc w:val="center"/>
              <w:rPr>
                <w:rFonts w:hint="eastAsia" w:ascii="宋体" w:hAnsi="宋体" w:cs="宋体"/>
                <w:color w:val="auto"/>
                <w:szCs w:val="21"/>
                <w:highlight w:val="none"/>
              </w:rPr>
            </w:pPr>
          </w:p>
        </w:tc>
        <w:tc>
          <w:tcPr>
            <w:tcW w:w="1080" w:type="dxa"/>
            <w:vAlign w:val="center"/>
          </w:tcPr>
          <w:p w14:paraId="573DD6BF">
            <w:pPr>
              <w:spacing w:line="360" w:lineRule="auto"/>
              <w:jc w:val="center"/>
              <w:rPr>
                <w:rFonts w:hint="eastAsia" w:ascii="宋体" w:hAnsi="宋体" w:cs="宋体"/>
                <w:color w:val="auto"/>
                <w:szCs w:val="21"/>
                <w:highlight w:val="none"/>
              </w:rPr>
            </w:pPr>
          </w:p>
        </w:tc>
        <w:tc>
          <w:tcPr>
            <w:tcW w:w="2160" w:type="dxa"/>
            <w:vAlign w:val="center"/>
          </w:tcPr>
          <w:p w14:paraId="7A6453B2">
            <w:pPr>
              <w:spacing w:line="360" w:lineRule="auto"/>
              <w:jc w:val="center"/>
              <w:rPr>
                <w:rFonts w:hint="eastAsia" w:ascii="宋体" w:hAnsi="宋体" w:cs="宋体"/>
                <w:color w:val="auto"/>
                <w:szCs w:val="21"/>
                <w:highlight w:val="none"/>
              </w:rPr>
            </w:pPr>
          </w:p>
        </w:tc>
      </w:tr>
      <w:tr w14:paraId="4165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29A30CDF">
            <w:pPr>
              <w:spacing w:line="360" w:lineRule="auto"/>
              <w:jc w:val="center"/>
              <w:rPr>
                <w:rFonts w:hint="eastAsia" w:ascii="宋体" w:hAnsi="宋体" w:cs="宋体"/>
                <w:color w:val="auto"/>
                <w:szCs w:val="21"/>
                <w:highlight w:val="none"/>
              </w:rPr>
            </w:pPr>
          </w:p>
        </w:tc>
        <w:tc>
          <w:tcPr>
            <w:tcW w:w="1284" w:type="dxa"/>
            <w:vAlign w:val="center"/>
          </w:tcPr>
          <w:p w14:paraId="6F319E3A">
            <w:pPr>
              <w:spacing w:line="360" w:lineRule="auto"/>
              <w:jc w:val="center"/>
              <w:rPr>
                <w:rFonts w:hint="eastAsia" w:ascii="宋体" w:hAnsi="宋体" w:cs="宋体"/>
                <w:color w:val="auto"/>
                <w:szCs w:val="21"/>
                <w:highlight w:val="none"/>
              </w:rPr>
            </w:pPr>
          </w:p>
        </w:tc>
        <w:tc>
          <w:tcPr>
            <w:tcW w:w="720" w:type="dxa"/>
            <w:vAlign w:val="center"/>
          </w:tcPr>
          <w:p w14:paraId="5D900164">
            <w:pPr>
              <w:spacing w:line="360" w:lineRule="auto"/>
              <w:jc w:val="center"/>
              <w:rPr>
                <w:rFonts w:hint="eastAsia" w:ascii="宋体" w:hAnsi="宋体" w:cs="宋体"/>
                <w:color w:val="auto"/>
                <w:szCs w:val="21"/>
                <w:highlight w:val="none"/>
              </w:rPr>
            </w:pPr>
          </w:p>
        </w:tc>
        <w:tc>
          <w:tcPr>
            <w:tcW w:w="720" w:type="dxa"/>
            <w:vAlign w:val="center"/>
          </w:tcPr>
          <w:p w14:paraId="78924FF0">
            <w:pPr>
              <w:spacing w:line="360" w:lineRule="auto"/>
              <w:jc w:val="center"/>
              <w:rPr>
                <w:rFonts w:hint="eastAsia" w:ascii="宋体" w:hAnsi="宋体" w:cs="宋体"/>
                <w:color w:val="auto"/>
                <w:szCs w:val="21"/>
                <w:highlight w:val="none"/>
              </w:rPr>
            </w:pPr>
          </w:p>
        </w:tc>
        <w:tc>
          <w:tcPr>
            <w:tcW w:w="900" w:type="dxa"/>
            <w:vAlign w:val="center"/>
          </w:tcPr>
          <w:p w14:paraId="201198A2">
            <w:pPr>
              <w:spacing w:line="360" w:lineRule="auto"/>
              <w:jc w:val="center"/>
              <w:rPr>
                <w:rFonts w:hint="eastAsia" w:ascii="宋体" w:hAnsi="宋体" w:cs="宋体"/>
                <w:color w:val="auto"/>
                <w:szCs w:val="21"/>
                <w:highlight w:val="none"/>
              </w:rPr>
            </w:pPr>
          </w:p>
        </w:tc>
        <w:tc>
          <w:tcPr>
            <w:tcW w:w="900" w:type="dxa"/>
            <w:vAlign w:val="center"/>
          </w:tcPr>
          <w:p w14:paraId="5E194ECC">
            <w:pPr>
              <w:spacing w:line="360" w:lineRule="auto"/>
              <w:jc w:val="center"/>
              <w:rPr>
                <w:rFonts w:hint="eastAsia" w:ascii="宋体" w:hAnsi="宋体" w:cs="宋体"/>
                <w:color w:val="auto"/>
                <w:szCs w:val="21"/>
                <w:highlight w:val="none"/>
              </w:rPr>
            </w:pPr>
          </w:p>
        </w:tc>
        <w:tc>
          <w:tcPr>
            <w:tcW w:w="720" w:type="dxa"/>
            <w:vAlign w:val="center"/>
          </w:tcPr>
          <w:p w14:paraId="0BF0E10C">
            <w:pPr>
              <w:spacing w:line="360" w:lineRule="auto"/>
              <w:jc w:val="center"/>
              <w:rPr>
                <w:rFonts w:hint="eastAsia" w:ascii="宋体" w:hAnsi="宋体" w:cs="宋体"/>
                <w:color w:val="auto"/>
                <w:szCs w:val="21"/>
                <w:highlight w:val="none"/>
              </w:rPr>
            </w:pPr>
          </w:p>
        </w:tc>
        <w:tc>
          <w:tcPr>
            <w:tcW w:w="1080" w:type="dxa"/>
            <w:vAlign w:val="center"/>
          </w:tcPr>
          <w:p w14:paraId="32F64348">
            <w:pPr>
              <w:spacing w:line="360" w:lineRule="auto"/>
              <w:jc w:val="center"/>
              <w:rPr>
                <w:rFonts w:hint="eastAsia" w:ascii="宋体" w:hAnsi="宋体" w:cs="宋体"/>
                <w:color w:val="auto"/>
                <w:szCs w:val="21"/>
                <w:highlight w:val="none"/>
              </w:rPr>
            </w:pPr>
          </w:p>
        </w:tc>
        <w:tc>
          <w:tcPr>
            <w:tcW w:w="2160" w:type="dxa"/>
            <w:vAlign w:val="center"/>
          </w:tcPr>
          <w:p w14:paraId="2C7FE44B">
            <w:pPr>
              <w:spacing w:line="360" w:lineRule="auto"/>
              <w:jc w:val="center"/>
              <w:rPr>
                <w:rFonts w:hint="eastAsia" w:ascii="宋体" w:hAnsi="宋体" w:cs="宋体"/>
                <w:color w:val="auto"/>
                <w:szCs w:val="21"/>
                <w:highlight w:val="none"/>
              </w:rPr>
            </w:pPr>
          </w:p>
        </w:tc>
      </w:tr>
      <w:tr w14:paraId="5A065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6FC19135">
            <w:pPr>
              <w:spacing w:line="360" w:lineRule="auto"/>
              <w:jc w:val="center"/>
              <w:rPr>
                <w:rFonts w:hint="eastAsia" w:ascii="宋体" w:hAnsi="宋体" w:cs="宋体"/>
                <w:color w:val="auto"/>
                <w:szCs w:val="21"/>
                <w:highlight w:val="none"/>
              </w:rPr>
            </w:pPr>
          </w:p>
        </w:tc>
        <w:tc>
          <w:tcPr>
            <w:tcW w:w="1284" w:type="dxa"/>
            <w:vAlign w:val="center"/>
          </w:tcPr>
          <w:p w14:paraId="6FEC9610">
            <w:pPr>
              <w:spacing w:line="360" w:lineRule="auto"/>
              <w:jc w:val="center"/>
              <w:rPr>
                <w:rFonts w:hint="eastAsia" w:ascii="宋体" w:hAnsi="宋体" w:cs="宋体"/>
                <w:color w:val="auto"/>
                <w:szCs w:val="21"/>
                <w:highlight w:val="none"/>
              </w:rPr>
            </w:pPr>
          </w:p>
        </w:tc>
        <w:tc>
          <w:tcPr>
            <w:tcW w:w="720" w:type="dxa"/>
            <w:vAlign w:val="center"/>
          </w:tcPr>
          <w:p w14:paraId="6245CEBC">
            <w:pPr>
              <w:spacing w:line="360" w:lineRule="auto"/>
              <w:jc w:val="center"/>
              <w:rPr>
                <w:rFonts w:hint="eastAsia" w:ascii="宋体" w:hAnsi="宋体" w:cs="宋体"/>
                <w:color w:val="auto"/>
                <w:szCs w:val="21"/>
                <w:highlight w:val="none"/>
              </w:rPr>
            </w:pPr>
          </w:p>
        </w:tc>
        <w:tc>
          <w:tcPr>
            <w:tcW w:w="720" w:type="dxa"/>
            <w:vAlign w:val="center"/>
          </w:tcPr>
          <w:p w14:paraId="2B18E3EE">
            <w:pPr>
              <w:spacing w:line="360" w:lineRule="auto"/>
              <w:jc w:val="center"/>
              <w:rPr>
                <w:rFonts w:hint="eastAsia" w:ascii="宋体" w:hAnsi="宋体" w:cs="宋体"/>
                <w:color w:val="auto"/>
                <w:szCs w:val="21"/>
                <w:highlight w:val="none"/>
              </w:rPr>
            </w:pPr>
          </w:p>
        </w:tc>
        <w:tc>
          <w:tcPr>
            <w:tcW w:w="900" w:type="dxa"/>
            <w:vAlign w:val="center"/>
          </w:tcPr>
          <w:p w14:paraId="74ECEEEF">
            <w:pPr>
              <w:spacing w:line="360" w:lineRule="auto"/>
              <w:jc w:val="center"/>
              <w:rPr>
                <w:rFonts w:hint="eastAsia" w:ascii="宋体" w:hAnsi="宋体" w:cs="宋体"/>
                <w:color w:val="auto"/>
                <w:szCs w:val="21"/>
                <w:highlight w:val="none"/>
              </w:rPr>
            </w:pPr>
          </w:p>
        </w:tc>
        <w:tc>
          <w:tcPr>
            <w:tcW w:w="900" w:type="dxa"/>
            <w:vAlign w:val="center"/>
          </w:tcPr>
          <w:p w14:paraId="40973FFC">
            <w:pPr>
              <w:spacing w:line="360" w:lineRule="auto"/>
              <w:jc w:val="center"/>
              <w:rPr>
                <w:rFonts w:hint="eastAsia" w:ascii="宋体" w:hAnsi="宋体" w:cs="宋体"/>
                <w:color w:val="auto"/>
                <w:szCs w:val="21"/>
                <w:highlight w:val="none"/>
              </w:rPr>
            </w:pPr>
          </w:p>
        </w:tc>
        <w:tc>
          <w:tcPr>
            <w:tcW w:w="720" w:type="dxa"/>
            <w:vAlign w:val="center"/>
          </w:tcPr>
          <w:p w14:paraId="057E7573">
            <w:pPr>
              <w:spacing w:line="360" w:lineRule="auto"/>
              <w:jc w:val="center"/>
              <w:rPr>
                <w:rFonts w:hint="eastAsia" w:ascii="宋体" w:hAnsi="宋体" w:cs="宋体"/>
                <w:color w:val="auto"/>
                <w:szCs w:val="21"/>
                <w:highlight w:val="none"/>
              </w:rPr>
            </w:pPr>
          </w:p>
        </w:tc>
        <w:tc>
          <w:tcPr>
            <w:tcW w:w="1080" w:type="dxa"/>
            <w:vAlign w:val="center"/>
          </w:tcPr>
          <w:p w14:paraId="5F6C7A84">
            <w:pPr>
              <w:spacing w:line="360" w:lineRule="auto"/>
              <w:jc w:val="center"/>
              <w:rPr>
                <w:rFonts w:hint="eastAsia" w:ascii="宋体" w:hAnsi="宋体" w:cs="宋体"/>
                <w:color w:val="auto"/>
                <w:szCs w:val="21"/>
                <w:highlight w:val="none"/>
              </w:rPr>
            </w:pPr>
          </w:p>
        </w:tc>
        <w:tc>
          <w:tcPr>
            <w:tcW w:w="2160" w:type="dxa"/>
            <w:vAlign w:val="center"/>
          </w:tcPr>
          <w:p w14:paraId="5FA50D91">
            <w:pPr>
              <w:spacing w:line="360" w:lineRule="auto"/>
              <w:jc w:val="center"/>
              <w:rPr>
                <w:rFonts w:hint="eastAsia" w:ascii="宋体" w:hAnsi="宋体" w:cs="宋体"/>
                <w:color w:val="auto"/>
                <w:szCs w:val="21"/>
                <w:highlight w:val="none"/>
              </w:rPr>
            </w:pPr>
          </w:p>
        </w:tc>
      </w:tr>
      <w:tr w14:paraId="7E339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6B2375FC">
            <w:pPr>
              <w:spacing w:line="360" w:lineRule="auto"/>
              <w:jc w:val="center"/>
              <w:rPr>
                <w:rFonts w:hint="eastAsia" w:ascii="宋体" w:hAnsi="宋体" w:cs="宋体"/>
                <w:color w:val="auto"/>
                <w:szCs w:val="21"/>
                <w:highlight w:val="none"/>
              </w:rPr>
            </w:pPr>
          </w:p>
        </w:tc>
        <w:tc>
          <w:tcPr>
            <w:tcW w:w="1284" w:type="dxa"/>
            <w:vAlign w:val="center"/>
          </w:tcPr>
          <w:p w14:paraId="4A722787">
            <w:pPr>
              <w:spacing w:line="360" w:lineRule="auto"/>
              <w:jc w:val="center"/>
              <w:rPr>
                <w:rFonts w:hint="eastAsia" w:ascii="宋体" w:hAnsi="宋体" w:cs="宋体"/>
                <w:color w:val="auto"/>
                <w:szCs w:val="21"/>
                <w:highlight w:val="none"/>
              </w:rPr>
            </w:pPr>
          </w:p>
        </w:tc>
        <w:tc>
          <w:tcPr>
            <w:tcW w:w="720" w:type="dxa"/>
            <w:vAlign w:val="center"/>
          </w:tcPr>
          <w:p w14:paraId="18633DF0">
            <w:pPr>
              <w:spacing w:line="360" w:lineRule="auto"/>
              <w:jc w:val="center"/>
              <w:rPr>
                <w:rFonts w:hint="eastAsia" w:ascii="宋体" w:hAnsi="宋体" w:cs="宋体"/>
                <w:color w:val="auto"/>
                <w:szCs w:val="21"/>
                <w:highlight w:val="none"/>
              </w:rPr>
            </w:pPr>
          </w:p>
        </w:tc>
        <w:tc>
          <w:tcPr>
            <w:tcW w:w="720" w:type="dxa"/>
            <w:vAlign w:val="center"/>
          </w:tcPr>
          <w:p w14:paraId="324BD623">
            <w:pPr>
              <w:spacing w:line="360" w:lineRule="auto"/>
              <w:jc w:val="center"/>
              <w:rPr>
                <w:rFonts w:hint="eastAsia" w:ascii="宋体" w:hAnsi="宋体" w:cs="宋体"/>
                <w:color w:val="auto"/>
                <w:szCs w:val="21"/>
                <w:highlight w:val="none"/>
              </w:rPr>
            </w:pPr>
          </w:p>
        </w:tc>
        <w:tc>
          <w:tcPr>
            <w:tcW w:w="900" w:type="dxa"/>
            <w:vAlign w:val="center"/>
          </w:tcPr>
          <w:p w14:paraId="2262CE2A">
            <w:pPr>
              <w:spacing w:line="360" w:lineRule="auto"/>
              <w:jc w:val="center"/>
              <w:rPr>
                <w:rFonts w:hint="eastAsia" w:ascii="宋体" w:hAnsi="宋体" w:cs="宋体"/>
                <w:color w:val="auto"/>
                <w:szCs w:val="21"/>
                <w:highlight w:val="none"/>
              </w:rPr>
            </w:pPr>
          </w:p>
        </w:tc>
        <w:tc>
          <w:tcPr>
            <w:tcW w:w="900" w:type="dxa"/>
            <w:vAlign w:val="center"/>
          </w:tcPr>
          <w:p w14:paraId="438BE5BE">
            <w:pPr>
              <w:spacing w:line="360" w:lineRule="auto"/>
              <w:jc w:val="center"/>
              <w:rPr>
                <w:rFonts w:hint="eastAsia" w:ascii="宋体" w:hAnsi="宋体" w:cs="宋体"/>
                <w:color w:val="auto"/>
                <w:szCs w:val="21"/>
                <w:highlight w:val="none"/>
              </w:rPr>
            </w:pPr>
          </w:p>
        </w:tc>
        <w:tc>
          <w:tcPr>
            <w:tcW w:w="720" w:type="dxa"/>
            <w:vAlign w:val="center"/>
          </w:tcPr>
          <w:p w14:paraId="68F9849C">
            <w:pPr>
              <w:spacing w:line="360" w:lineRule="auto"/>
              <w:jc w:val="center"/>
              <w:rPr>
                <w:rFonts w:hint="eastAsia" w:ascii="宋体" w:hAnsi="宋体" w:cs="宋体"/>
                <w:color w:val="auto"/>
                <w:szCs w:val="21"/>
                <w:highlight w:val="none"/>
              </w:rPr>
            </w:pPr>
          </w:p>
        </w:tc>
        <w:tc>
          <w:tcPr>
            <w:tcW w:w="1080" w:type="dxa"/>
            <w:vAlign w:val="center"/>
          </w:tcPr>
          <w:p w14:paraId="476145AA">
            <w:pPr>
              <w:spacing w:line="360" w:lineRule="auto"/>
              <w:jc w:val="center"/>
              <w:rPr>
                <w:rFonts w:hint="eastAsia" w:ascii="宋体" w:hAnsi="宋体" w:cs="宋体"/>
                <w:color w:val="auto"/>
                <w:szCs w:val="21"/>
                <w:highlight w:val="none"/>
              </w:rPr>
            </w:pPr>
          </w:p>
        </w:tc>
        <w:tc>
          <w:tcPr>
            <w:tcW w:w="2160" w:type="dxa"/>
            <w:vAlign w:val="center"/>
          </w:tcPr>
          <w:p w14:paraId="79BA614C">
            <w:pPr>
              <w:spacing w:line="360" w:lineRule="auto"/>
              <w:jc w:val="center"/>
              <w:rPr>
                <w:rFonts w:hint="eastAsia" w:ascii="宋体" w:hAnsi="宋体" w:cs="宋体"/>
                <w:color w:val="auto"/>
                <w:szCs w:val="21"/>
                <w:highlight w:val="none"/>
              </w:rPr>
            </w:pPr>
          </w:p>
        </w:tc>
      </w:tr>
      <w:tr w14:paraId="51DD6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6160F028">
            <w:pPr>
              <w:spacing w:line="360" w:lineRule="auto"/>
              <w:jc w:val="center"/>
              <w:rPr>
                <w:rFonts w:hint="eastAsia" w:ascii="宋体" w:hAnsi="宋体" w:cs="宋体"/>
                <w:color w:val="auto"/>
                <w:szCs w:val="21"/>
                <w:highlight w:val="none"/>
              </w:rPr>
            </w:pPr>
          </w:p>
        </w:tc>
        <w:tc>
          <w:tcPr>
            <w:tcW w:w="1284" w:type="dxa"/>
            <w:vAlign w:val="center"/>
          </w:tcPr>
          <w:p w14:paraId="5EEA25BE">
            <w:pPr>
              <w:spacing w:line="360" w:lineRule="auto"/>
              <w:jc w:val="center"/>
              <w:rPr>
                <w:rFonts w:hint="eastAsia" w:ascii="宋体" w:hAnsi="宋体" w:cs="宋体"/>
                <w:color w:val="auto"/>
                <w:szCs w:val="21"/>
                <w:highlight w:val="none"/>
              </w:rPr>
            </w:pPr>
          </w:p>
        </w:tc>
        <w:tc>
          <w:tcPr>
            <w:tcW w:w="720" w:type="dxa"/>
            <w:vAlign w:val="center"/>
          </w:tcPr>
          <w:p w14:paraId="57B6C37D">
            <w:pPr>
              <w:spacing w:line="360" w:lineRule="auto"/>
              <w:jc w:val="center"/>
              <w:rPr>
                <w:rFonts w:hint="eastAsia" w:ascii="宋体" w:hAnsi="宋体" w:cs="宋体"/>
                <w:color w:val="auto"/>
                <w:szCs w:val="21"/>
                <w:highlight w:val="none"/>
              </w:rPr>
            </w:pPr>
          </w:p>
        </w:tc>
        <w:tc>
          <w:tcPr>
            <w:tcW w:w="720" w:type="dxa"/>
            <w:vAlign w:val="center"/>
          </w:tcPr>
          <w:p w14:paraId="1976679B">
            <w:pPr>
              <w:spacing w:line="360" w:lineRule="auto"/>
              <w:jc w:val="center"/>
              <w:rPr>
                <w:rFonts w:hint="eastAsia" w:ascii="宋体" w:hAnsi="宋体" w:cs="宋体"/>
                <w:color w:val="auto"/>
                <w:szCs w:val="21"/>
                <w:highlight w:val="none"/>
              </w:rPr>
            </w:pPr>
          </w:p>
        </w:tc>
        <w:tc>
          <w:tcPr>
            <w:tcW w:w="900" w:type="dxa"/>
            <w:vAlign w:val="center"/>
          </w:tcPr>
          <w:p w14:paraId="6E716CF0">
            <w:pPr>
              <w:spacing w:line="360" w:lineRule="auto"/>
              <w:jc w:val="center"/>
              <w:rPr>
                <w:rFonts w:hint="eastAsia" w:ascii="宋体" w:hAnsi="宋体" w:cs="宋体"/>
                <w:color w:val="auto"/>
                <w:szCs w:val="21"/>
                <w:highlight w:val="none"/>
              </w:rPr>
            </w:pPr>
          </w:p>
        </w:tc>
        <w:tc>
          <w:tcPr>
            <w:tcW w:w="900" w:type="dxa"/>
            <w:vAlign w:val="center"/>
          </w:tcPr>
          <w:p w14:paraId="106D25E8">
            <w:pPr>
              <w:spacing w:line="360" w:lineRule="auto"/>
              <w:jc w:val="center"/>
              <w:rPr>
                <w:rFonts w:hint="eastAsia" w:ascii="宋体" w:hAnsi="宋体" w:cs="宋体"/>
                <w:color w:val="auto"/>
                <w:szCs w:val="21"/>
                <w:highlight w:val="none"/>
              </w:rPr>
            </w:pPr>
          </w:p>
        </w:tc>
        <w:tc>
          <w:tcPr>
            <w:tcW w:w="720" w:type="dxa"/>
            <w:vAlign w:val="center"/>
          </w:tcPr>
          <w:p w14:paraId="4653EC5A">
            <w:pPr>
              <w:spacing w:line="360" w:lineRule="auto"/>
              <w:jc w:val="center"/>
              <w:rPr>
                <w:rFonts w:hint="eastAsia" w:ascii="宋体" w:hAnsi="宋体" w:cs="宋体"/>
                <w:color w:val="auto"/>
                <w:szCs w:val="21"/>
                <w:highlight w:val="none"/>
              </w:rPr>
            </w:pPr>
          </w:p>
        </w:tc>
        <w:tc>
          <w:tcPr>
            <w:tcW w:w="1080" w:type="dxa"/>
            <w:vAlign w:val="center"/>
          </w:tcPr>
          <w:p w14:paraId="1C9F25F1">
            <w:pPr>
              <w:spacing w:line="360" w:lineRule="auto"/>
              <w:jc w:val="center"/>
              <w:rPr>
                <w:rFonts w:hint="eastAsia" w:ascii="宋体" w:hAnsi="宋体" w:cs="宋体"/>
                <w:color w:val="auto"/>
                <w:szCs w:val="21"/>
                <w:highlight w:val="none"/>
              </w:rPr>
            </w:pPr>
          </w:p>
        </w:tc>
        <w:tc>
          <w:tcPr>
            <w:tcW w:w="2160" w:type="dxa"/>
            <w:vAlign w:val="center"/>
          </w:tcPr>
          <w:p w14:paraId="207F61F3">
            <w:pPr>
              <w:spacing w:line="360" w:lineRule="auto"/>
              <w:jc w:val="center"/>
              <w:rPr>
                <w:rFonts w:hint="eastAsia" w:ascii="宋体" w:hAnsi="宋体" w:cs="宋体"/>
                <w:color w:val="auto"/>
                <w:szCs w:val="21"/>
                <w:highlight w:val="none"/>
              </w:rPr>
            </w:pPr>
          </w:p>
        </w:tc>
      </w:tr>
      <w:tr w14:paraId="1F86D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71CFE4EC">
            <w:pPr>
              <w:spacing w:line="360" w:lineRule="auto"/>
              <w:jc w:val="center"/>
              <w:rPr>
                <w:rFonts w:hint="eastAsia" w:ascii="宋体" w:hAnsi="宋体" w:cs="宋体"/>
                <w:color w:val="auto"/>
                <w:szCs w:val="21"/>
                <w:highlight w:val="none"/>
              </w:rPr>
            </w:pPr>
          </w:p>
        </w:tc>
        <w:tc>
          <w:tcPr>
            <w:tcW w:w="1284" w:type="dxa"/>
            <w:vAlign w:val="center"/>
          </w:tcPr>
          <w:p w14:paraId="4F8E22F3">
            <w:pPr>
              <w:spacing w:line="360" w:lineRule="auto"/>
              <w:jc w:val="center"/>
              <w:rPr>
                <w:rFonts w:hint="eastAsia" w:ascii="宋体" w:hAnsi="宋体" w:cs="宋体"/>
                <w:color w:val="auto"/>
                <w:szCs w:val="21"/>
                <w:highlight w:val="none"/>
              </w:rPr>
            </w:pPr>
          </w:p>
        </w:tc>
        <w:tc>
          <w:tcPr>
            <w:tcW w:w="720" w:type="dxa"/>
            <w:vAlign w:val="center"/>
          </w:tcPr>
          <w:p w14:paraId="1ADFAFCD">
            <w:pPr>
              <w:spacing w:line="360" w:lineRule="auto"/>
              <w:jc w:val="center"/>
              <w:rPr>
                <w:rFonts w:hint="eastAsia" w:ascii="宋体" w:hAnsi="宋体" w:cs="宋体"/>
                <w:color w:val="auto"/>
                <w:szCs w:val="21"/>
                <w:highlight w:val="none"/>
              </w:rPr>
            </w:pPr>
          </w:p>
        </w:tc>
        <w:tc>
          <w:tcPr>
            <w:tcW w:w="720" w:type="dxa"/>
            <w:vAlign w:val="center"/>
          </w:tcPr>
          <w:p w14:paraId="1268180D">
            <w:pPr>
              <w:spacing w:line="360" w:lineRule="auto"/>
              <w:jc w:val="center"/>
              <w:rPr>
                <w:rFonts w:hint="eastAsia" w:ascii="宋体" w:hAnsi="宋体" w:cs="宋体"/>
                <w:color w:val="auto"/>
                <w:szCs w:val="21"/>
                <w:highlight w:val="none"/>
              </w:rPr>
            </w:pPr>
          </w:p>
        </w:tc>
        <w:tc>
          <w:tcPr>
            <w:tcW w:w="900" w:type="dxa"/>
            <w:vAlign w:val="center"/>
          </w:tcPr>
          <w:p w14:paraId="3E6F76A0">
            <w:pPr>
              <w:spacing w:line="360" w:lineRule="auto"/>
              <w:jc w:val="center"/>
              <w:rPr>
                <w:rFonts w:hint="eastAsia" w:ascii="宋体" w:hAnsi="宋体" w:cs="宋体"/>
                <w:color w:val="auto"/>
                <w:szCs w:val="21"/>
                <w:highlight w:val="none"/>
              </w:rPr>
            </w:pPr>
          </w:p>
        </w:tc>
        <w:tc>
          <w:tcPr>
            <w:tcW w:w="900" w:type="dxa"/>
            <w:vAlign w:val="center"/>
          </w:tcPr>
          <w:p w14:paraId="5526B20A">
            <w:pPr>
              <w:spacing w:line="360" w:lineRule="auto"/>
              <w:jc w:val="center"/>
              <w:rPr>
                <w:rFonts w:hint="eastAsia" w:ascii="宋体" w:hAnsi="宋体" w:cs="宋体"/>
                <w:color w:val="auto"/>
                <w:szCs w:val="21"/>
                <w:highlight w:val="none"/>
              </w:rPr>
            </w:pPr>
          </w:p>
        </w:tc>
        <w:tc>
          <w:tcPr>
            <w:tcW w:w="720" w:type="dxa"/>
            <w:vAlign w:val="center"/>
          </w:tcPr>
          <w:p w14:paraId="48890246">
            <w:pPr>
              <w:spacing w:line="360" w:lineRule="auto"/>
              <w:jc w:val="center"/>
              <w:rPr>
                <w:rFonts w:hint="eastAsia" w:ascii="宋体" w:hAnsi="宋体" w:cs="宋体"/>
                <w:color w:val="auto"/>
                <w:szCs w:val="21"/>
                <w:highlight w:val="none"/>
              </w:rPr>
            </w:pPr>
          </w:p>
        </w:tc>
        <w:tc>
          <w:tcPr>
            <w:tcW w:w="1080" w:type="dxa"/>
            <w:vAlign w:val="center"/>
          </w:tcPr>
          <w:p w14:paraId="4B290CB3">
            <w:pPr>
              <w:spacing w:line="360" w:lineRule="auto"/>
              <w:jc w:val="center"/>
              <w:rPr>
                <w:rFonts w:hint="eastAsia" w:ascii="宋体" w:hAnsi="宋体" w:cs="宋体"/>
                <w:color w:val="auto"/>
                <w:szCs w:val="21"/>
                <w:highlight w:val="none"/>
              </w:rPr>
            </w:pPr>
          </w:p>
        </w:tc>
        <w:tc>
          <w:tcPr>
            <w:tcW w:w="2160" w:type="dxa"/>
            <w:vAlign w:val="center"/>
          </w:tcPr>
          <w:p w14:paraId="00D8FDA2">
            <w:pPr>
              <w:spacing w:line="360" w:lineRule="auto"/>
              <w:jc w:val="center"/>
              <w:rPr>
                <w:rFonts w:hint="eastAsia" w:ascii="宋体" w:hAnsi="宋体" w:cs="宋体"/>
                <w:color w:val="auto"/>
                <w:szCs w:val="21"/>
                <w:highlight w:val="none"/>
              </w:rPr>
            </w:pPr>
          </w:p>
        </w:tc>
      </w:tr>
      <w:tr w14:paraId="632F9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388A31B6">
            <w:pPr>
              <w:spacing w:line="360" w:lineRule="auto"/>
              <w:jc w:val="center"/>
              <w:rPr>
                <w:rFonts w:hint="eastAsia" w:ascii="宋体" w:hAnsi="宋体" w:cs="宋体"/>
                <w:color w:val="auto"/>
                <w:szCs w:val="21"/>
                <w:highlight w:val="none"/>
              </w:rPr>
            </w:pPr>
          </w:p>
        </w:tc>
        <w:tc>
          <w:tcPr>
            <w:tcW w:w="1284" w:type="dxa"/>
            <w:vAlign w:val="center"/>
          </w:tcPr>
          <w:p w14:paraId="28A1F43A">
            <w:pPr>
              <w:spacing w:line="360" w:lineRule="auto"/>
              <w:jc w:val="center"/>
              <w:rPr>
                <w:rFonts w:hint="eastAsia" w:ascii="宋体" w:hAnsi="宋体" w:cs="宋体"/>
                <w:color w:val="auto"/>
                <w:szCs w:val="21"/>
                <w:highlight w:val="none"/>
              </w:rPr>
            </w:pPr>
          </w:p>
        </w:tc>
        <w:tc>
          <w:tcPr>
            <w:tcW w:w="720" w:type="dxa"/>
            <w:vAlign w:val="center"/>
          </w:tcPr>
          <w:p w14:paraId="68231821">
            <w:pPr>
              <w:spacing w:line="360" w:lineRule="auto"/>
              <w:jc w:val="center"/>
              <w:rPr>
                <w:rFonts w:hint="eastAsia" w:ascii="宋体" w:hAnsi="宋体" w:cs="宋体"/>
                <w:color w:val="auto"/>
                <w:szCs w:val="21"/>
                <w:highlight w:val="none"/>
              </w:rPr>
            </w:pPr>
          </w:p>
        </w:tc>
        <w:tc>
          <w:tcPr>
            <w:tcW w:w="720" w:type="dxa"/>
            <w:vAlign w:val="center"/>
          </w:tcPr>
          <w:p w14:paraId="256199A2">
            <w:pPr>
              <w:spacing w:line="360" w:lineRule="auto"/>
              <w:jc w:val="center"/>
              <w:rPr>
                <w:rFonts w:hint="eastAsia" w:ascii="宋体" w:hAnsi="宋体" w:cs="宋体"/>
                <w:color w:val="auto"/>
                <w:szCs w:val="21"/>
                <w:highlight w:val="none"/>
              </w:rPr>
            </w:pPr>
          </w:p>
        </w:tc>
        <w:tc>
          <w:tcPr>
            <w:tcW w:w="900" w:type="dxa"/>
            <w:vAlign w:val="center"/>
          </w:tcPr>
          <w:p w14:paraId="2C4FA80E">
            <w:pPr>
              <w:spacing w:line="360" w:lineRule="auto"/>
              <w:jc w:val="center"/>
              <w:rPr>
                <w:rFonts w:hint="eastAsia" w:ascii="宋体" w:hAnsi="宋体" w:cs="宋体"/>
                <w:color w:val="auto"/>
                <w:szCs w:val="21"/>
                <w:highlight w:val="none"/>
              </w:rPr>
            </w:pPr>
          </w:p>
        </w:tc>
        <w:tc>
          <w:tcPr>
            <w:tcW w:w="900" w:type="dxa"/>
            <w:vAlign w:val="center"/>
          </w:tcPr>
          <w:p w14:paraId="06EEF084">
            <w:pPr>
              <w:spacing w:line="360" w:lineRule="auto"/>
              <w:jc w:val="center"/>
              <w:rPr>
                <w:rFonts w:hint="eastAsia" w:ascii="宋体" w:hAnsi="宋体" w:cs="宋体"/>
                <w:color w:val="auto"/>
                <w:szCs w:val="21"/>
                <w:highlight w:val="none"/>
              </w:rPr>
            </w:pPr>
          </w:p>
        </w:tc>
        <w:tc>
          <w:tcPr>
            <w:tcW w:w="720" w:type="dxa"/>
            <w:vAlign w:val="center"/>
          </w:tcPr>
          <w:p w14:paraId="178D99C0">
            <w:pPr>
              <w:spacing w:line="360" w:lineRule="auto"/>
              <w:jc w:val="center"/>
              <w:rPr>
                <w:rFonts w:hint="eastAsia" w:ascii="宋体" w:hAnsi="宋体" w:cs="宋体"/>
                <w:color w:val="auto"/>
                <w:szCs w:val="21"/>
                <w:highlight w:val="none"/>
              </w:rPr>
            </w:pPr>
          </w:p>
        </w:tc>
        <w:tc>
          <w:tcPr>
            <w:tcW w:w="1080" w:type="dxa"/>
            <w:vAlign w:val="center"/>
          </w:tcPr>
          <w:p w14:paraId="2E500B28">
            <w:pPr>
              <w:spacing w:line="360" w:lineRule="auto"/>
              <w:jc w:val="center"/>
              <w:rPr>
                <w:rFonts w:hint="eastAsia" w:ascii="宋体" w:hAnsi="宋体" w:cs="宋体"/>
                <w:color w:val="auto"/>
                <w:szCs w:val="21"/>
                <w:highlight w:val="none"/>
              </w:rPr>
            </w:pPr>
          </w:p>
        </w:tc>
        <w:tc>
          <w:tcPr>
            <w:tcW w:w="2160" w:type="dxa"/>
            <w:vAlign w:val="center"/>
          </w:tcPr>
          <w:p w14:paraId="4FC8BE0B">
            <w:pPr>
              <w:spacing w:line="360" w:lineRule="auto"/>
              <w:jc w:val="center"/>
              <w:rPr>
                <w:rFonts w:hint="eastAsia" w:ascii="宋体" w:hAnsi="宋体" w:cs="宋体"/>
                <w:color w:val="auto"/>
                <w:szCs w:val="21"/>
                <w:highlight w:val="none"/>
              </w:rPr>
            </w:pPr>
          </w:p>
        </w:tc>
      </w:tr>
      <w:tr w14:paraId="69993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7214EA03">
            <w:pPr>
              <w:spacing w:line="360" w:lineRule="auto"/>
              <w:jc w:val="center"/>
              <w:rPr>
                <w:rFonts w:hint="eastAsia" w:ascii="宋体" w:hAnsi="宋体" w:cs="宋体"/>
                <w:color w:val="auto"/>
                <w:szCs w:val="21"/>
                <w:highlight w:val="none"/>
              </w:rPr>
            </w:pPr>
          </w:p>
        </w:tc>
        <w:tc>
          <w:tcPr>
            <w:tcW w:w="1284" w:type="dxa"/>
            <w:vAlign w:val="center"/>
          </w:tcPr>
          <w:p w14:paraId="27626C9A">
            <w:pPr>
              <w:spacing w:line="360" w:lineRule="auto"/>
              <w:jc w:val="center"/>
              <w:rPr>
                <w:rFonts w:hint="eastAsia" w:ascii="宋体" w:hAnsi="宋体" w:cs="宋体"/>
                <w:color w:val="auto"/>
                <w:szCs w:val="21"/>
                <w:highlight w:val="none"/>
              </w:rPr>
            </w:pPr>
          </w:p>
        </w:tc>
        <w:tc>
          <w:tcPr>
            <w:tcW w:w="720" w:type="dxa"/>
            <w:vAlign w:val="center"/>
          </w:tcPr>
          <w:p w14:paraId="05ED1F00">
            <w:pPr>
              <w:spacing w:line="360" w:lineRule="auto"/>
              <w:jc w:val="center"/>
              <w:rPr>
                <w:rFonts w:hint="eastAsia" w:ascii="宋体" w:hAnsi="宋体" w:cs="宋体"/>
                <w:color w:val="auto"/>
                <w:szCs w:val="21"/>
                <w:highlight w:val="none"/>
              </w:rPr>
            </w:pPr>
          </w:p>
        </w:tc>
        <w:tc>
          <w:tcPr>
            <w:tcW w:w="720" w:type="dxa"/>
            <w:vAlign w:val="center"/>
          </w:tcPr>
          <w:p w14:paraId="74CAE850">
            <w:pPr>
              <w:spacing w:line="360" w:lineRule="auto"/>
              <w:jc w:val="center"/>
              <w:rPr>
                <w:rFonts w:hint="eastAsia" w:ascii="宋体" w:hAnsi="宋体" w:cs="宋体"/>
                <w:color w:val="auto"/>
                <w:szCs w:val="21"/>
                <w:highlight w:val="none"/>
              </w:rPr>
            </w:pPr>
          </w:p>
        </w:tc>
        <w:tc>
          <w:tcPr>
            <w:tcW w:w="900" w:type="dxa"/>
            <w:vAlign w:val="center"/>
          </w:tcPr>
          <w:p w14:paraId="273F3070">
            <w:pPr>
              <w:spacing w:line="360" w:lineRule="auto"/>
              <w:jc w:val="center"/>
              <w:rPr>
                <w:rFonts w:hint="eastAsia" w:ascii="宋体" w:hAnsi="宋体" w:cs="宋体"/>
                <w:color w:val="auto"/>
                <w:szCs w:val="21"/>
                <w:highlight w:val="none"/>
              </w:rPr>
            </w:pPr>
          </w:p>
        </w:tc>
        <w:tc>
          <w:tcPr>
            <w:tcW w:w="900" w:type="dxa"/>
            <w:vAlign w:val="center"/>
          </w:tcPr>
          <w:p w14:paraId="3E31F767">
            <w:pPr>
              <w:spacing w:line="360" w:lineRule="auto"/>
              <w:jc w:val="center"/>
              <w:rPr>
                <w:rFonts w:hint="eastAsia" w:ascii="宋体" w:hAnsi="宋体" w:cs="宋体"/>
                <w:color w:val="auto"/>
                <w:szCs w:val="21"/>
                <w:highlight w:val="none"/>
              </w:rPr>
            </w:pPr>
          </w:p>
        </w:tc>
        <w:tc>
          <w:tcPr>
            <w:tcW w:w="720" w:type="dxa"/>
            <w:vAlign w:val="center"/>
          </w:tcPr>
          <w:p w14:paraId="1DED0588">
            <w:pPr>
              <w:spacing w:line="360" w:lineRule="auto"/>
              <w:jc w:val="center"/>
              <w:rPr>
                <w:rFonts w:hint="eastAsia" w:ascii="宋体" w:hAnsi="宋体" w:cs="宋体"/>
                <w:color w:val="auto"/>
                <w:szCs w:val="21"/>
                <w:highlight w:val="none"/>
              </w:rPr>
            </w:pPr>
          </w:p>
        </w:tc>
        <w:tc>
          <w:tcPr>
            <w:tcW w:w="1080" w:type="dxa"/>
            <w:vAlign w:val="center"/>
          </w:tcPr>
          <w:p w14:paraId="28FA0774">
            <w:pPr>
              <w:spacing w:line="360" w:lineRule="auto"/>
              <w:jc w:val="center"/>
              <w:rPr>
                <w:rFonts w:hint="eastAsia" w:ascii="宋体" w:hAnsi="宋体" w:cs="宋体"/>
                <w:color w:val="auto"/>
                <w:szCs w:val="21"/>
                <w:highlight w:val="none"/>
              </w:rPr>
            </w:pPr>
          </w:p>
        </w:tc>
        <w:tc>
          <w:tcPr>
            <w:tcW w:w="2160" w:type="dxa"/>
            <w:vAlign w:val="center"/>
          </w:tcPr>
          <w:p w14:paraId="1AFCA6D7">
            <w:pPr>
              <w:spacing w:line="360" w:lineRule="auto"/>
              <w:jc w:val="center"/>
              <w:rPr>
                <w:rFonts w:hint="eastAsia" w:ascii="宋体" w:hAnsi="宋体" w:cs="宋体"/>
                <w:color w:val="auto"/>
                <w:szCs w:val="21"/>
                <w:highlight w:val="none"/>
              </w:rPr>
            </w:pPr>
          </w:p>
        </w:tc>
      </w:tr>
      <w:tr w14:paraId="7621B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10" w:type="dxa"/>
            <w:vAlign w:val="center"/>
          </w:tcPr>
          <w:p w14:paraId="3579A3DB">
            <w:pPr>
              <w:spacing w:line="360" w:lineRule="auto"/>
              <w:jc w:val="center"/>
              <w:rPr>
                <w:rFonts w:hint="eastAsia" w:ascii="宋体" w:hAnsi="宋体" w:cs="宋体"/>
                <w:color w:val="auto"/>
                <w:szCs w:val="21"/>
                <w:highlight w:val="none"/>
              </w:rPr>
            </w:pPr>
          </w:p>
        </w:tc>
        <w:tc>
          <w:tcPr>
            <w:tcW w:w="1284" w:type="dxa"/>
            <w:vAlign w:val="center"/>
          </w:tcPr>
          <w:p w14:paraId="168FCF85">
            <w:pPr>
              <w:spacing w:line="360" w:lineRule="auto"/>
              <w:jc w:val="center"/>
              <w:rPr>
                <w:rFonts w:hint="eastAsia" w:ascii="宋体" w:hAnsi="宋体" w:cs="宋体"/>
                <w:color w:val="auto"/>
                <w:szCs w:val="21"/>
                <w:highlight w:val="none"/>
              </w:rPr>
            </w:pPr>
          </w:p>
        </w:tc>
        <w:tc>
          <w:tcPr>
            <w:tcW w:w="720" w:type="dxa"/>
            <w:vAlign w:val="center"/>
          </w:tcPr>
          <w:p w14:paraId="2618D552">
            <w:pPr>
              <w:spacing w:line="360" w:lineRule="auto"/>
              <w:jc w:val="center"/>
              <w:rPr>
                <w:rFonts w:hint="eastAsia" w:ascii="宋体" w:hAnsi="宋体" w:cs="宋体"/>
                <w:color w:val="auto"/>
                <w:szCs w:val="21"/>
                <w:highlight w:val="none"/>
              </w:rPr>
            </w:pPr>
          </w:p>
        </w:tc>
        <w:tc>
          <w:tcPr>
            <w:tcW w:w="720" w:type="dxa"/>
            <w:vAlign w:val="center"/>
          </w:tcPr>
          <w:p w14:paraId="21BC6084">
            <w:pPr>
              <w:spacing w:line="360" w:lineRule="auto"/>
              <w:jc w:val="center"/>
              <w:rPr>
                <w:rFonts w:hint="eastAsia" w:ascii="宋体" w:hAnsi="宋体" w:cs="宋体"/>
                <w:color w:val="auto"/>
                <w:szCs w:val="21"/>
                <w:highlight w:val="none"/>
              </w:rPr>
            </w:pPr>
          </w:p>
        </w:tc>
        <w:tc>
          <w:tcPr>
            <w:tcW w:w="900" w:type="dxa"/>
            <w:vAlign w:val="center"/>
          </w:tcPr>
          <w:p w14:paraId="52CF647F">
            <w:pPr>
              <w:spacing w:line="360" w:lineRule="auto"/>
              <w:jc w:val="center"/>
              <w:rPr>
                <w:rFonts w:hint="eastAsia" w:ascii="宋体" w:hAnsi="宋体" w:cs="宋体"/>
                <w:color w:val="auto"/>
                <w:szCs w:val="21"/>
                <w:highlight w:val="none"/>
              </w:rPr>
            </w:pPr>
          </w:p>
        </w:tc>
        <w:tc>
          <w:tcPr>
            <w:tcW w:w="900" w:type="dxa"/>
            <w:vAlign w:val="center"/>
          </w:tcPr>
          <w:p w14:paraId="794F2CFB">
            <w:pPr>
              <w:spacing w:line="360" w:lineRule="auto"/>
              <w:jc w:val="center"/>
              <w:rPr>
                <w:rFonts w:hint="eastAsia" w:ascii="宋体" w:hAnsi="宋体" w:cs="宋体"/>
                <w:color w:val="auto"/>
                <w:szCs w:val="21"/>
                <w:highlight w:val="none"/>
              </w:rPr>
            </w:pPr>
          </w:p>
        </w:tc>
        <w:tc>
          <w:tcPr>
            <w:tcW w:w="720" w:type="dxa"/>
            <w:vAlign w:val="center"/>
          </w:tcPr>
          <w:p w14:paraId="6D7D9902">
            <w:pPr>
              <w:spacing w:line="360" w:lineRule="auto"/>
              <w:jc w:val="center"/>
              <w:rPr>
                <w:rFonts w:hint="eastAsia" w:ascii="宋体" w:hAnsi="宋体" w:cs="宋体"/>
                <w:color w:val="auto"/>
                <w:szCs w:val="21"/>
                <w:highlight w:val="none"/>
              </w:rPr>
            </w:pPr>
          </w:p>
        </w:tc>
        <w:tc>
          <w:tcPr>
            <w:tcW w:w="1080" w:type="dxa"/>
            <w:vAlign w:val="center"/>
          </w:tcPr>
          <w:p w14:paraId="0663DD70">
            <w:pPr>
              <w:spacing w:line="360" w:lineRule="auto"/>
              <w:jc w:val="center"/>
              <w:rPr>
                <w:rFonts w:hint="eastAsia" w:ascii="宋体" w:hAnsi="宋体" w:cs="宋体"/>
                <w:color w:val="auto"/>
                <w:szCs w:val="21"/>
                <w:highlight w:val="none"/>
              </w:rPr>
            </w:pPr>
          </w:p>
        </w:tc>
        <w:tc>
          <w:tcPr>
            <w:tcW w:w="2160" w:type="dxa"/>
            <w:vAlign w:val="center"/>
          </w:tcPr>
          <w:p w14:paraId="4032C0F8">
            <w:pPr>
              <w:spacing w:line="360" w:lineRule="auto"/>
              <w:jc w:val="center"/>
              <w:rPr>
                <w:rFonts w:hint="eastAsia" w:ascii="宋体" w:hAnsi="宋体" w:cs="宋体"/>
                <w:color w:val="auto"/>
                <w:szCs w:val="21"/>
                <w:highlight w:val="none"/>
              </w:rPr>
            </w:pPr>
          </w:p>
        </w:tc>
      </w:tr>
    </w:tbl>
    <w:p w14:paraId="063032FA">
      <w:pPr>
        <w:spacing w:line="360" w:lineRule="auto"/>
        <w:rPr>
          <w:rFonts w:hint="eastAsia" w:ascii="宋体" w:hAnsi="宋体" w:cs="宋体"/>
          <w:color w:val="auto"/>
          <w:kern w:val="0"/>
          <w:highlight w:val="none"/>
        </w:rPr>
      </w:pPr>
      <w:r>
        <w:rPr>
          <w:rFonts w:hint="eastAsia" w:ascii="宋体" w:hAnsi="宋体" w:cs="宋体"/>
          <w:color w:val="auto"/>
          <w:szCs w:val="21"/>
          <w:highlight w:val="none"/>
        </w:rPr>
        <w:t>注：拟投入本项目的其他人员</w:t>
      </w:r>
      <w:r>
        <w:rPr>
          <w:rFonts w:hint="eastAsia" w:ascii="宋体" w:hAnsi="宋体" w:cs="宋体"/>
          <w:color w:val="auto"/>
          <w:kern w:val="0"/>
          <w:highlight w:val="none"/>
        </w:rPr>
        <w:t>应附身份证复印件/扫描件、注册资格证书复印件/扫描件（如有）、安全生产考核合格证书复印件/扫描件（如有）、职称证复印件/扫描件（如有）、执业资格证书复印件/扫描件（如有）、同供应商签订的劳动合同复印件/扫描件（如有），承担过的类似项目业绩证明材料复印件/扫描件（如有）。</w:t>
      </w:r>
    </w:p>
    <w:p w14:paraId="02205A25">
      <w:pPr>
        <w:spacing w:line="360" w:lineRule="auto"/>
        <w:rPr>
          <w:rFonts w:hint="eastAsia" w:ascii="宋体" w:hAnsi="宋体" w:cs="宋体"/>
          <w:color w:val="auto"/>
          <w:kern w:val="0"/>
          <w:highlight w:val="none"/>
        </w:rPr>
      </w:pPr>
    </w:p>
    <w:p w14:paraId="2E2EEF32">
      <w:pPr>
        <w:widowControl/>
        <w:jc w:val="left"/>
        <w:rPr>
          <w:rFonts w:hint="eastAsia" w:ascii="宋体" w:hAnsi="宋体"/>
          <w:color w:val="auto"/>
          <w:szCs w:val="21"/>
          <w:highlight w:val="none"/>
        </w:rPr>
      </w:pPr>
    </w:p>
    <w:p w14:paraId="2773BFF5">
      <w:pPr>
        <w:keepNext/>
        <w:keepLines/>
        <w:numPr>
          <w:ilvl w:val="1"/>
          <w:numId w:val="0"/>
        </w:numPr>
        <w:tabs>
          <w:tab w:val="left" w:pos="360"/>
        </w:tabs>
        <w:spacing w:line="360" w:lineRule="auto"/>
        <w:jc w:val="center"/>
        <w:outlineLvl w:val="2"/>
        <w:rPr>
          <w:rFonts w:hint="eastAsia" w:ascii="宋体" w:hAnsi="宋体" w:cs="宋体"/>
          <w:b/>
          <w:bCs/>
          <w:color w:val="auto"/>
          <w:sz w:val="28"/>
          <w:szCs w:val="28"/>
          <w:highlight w:val="none"/>
        </w:rPr>
      </w:pPr>
      <w:bookmarkStart w:id="1301" w:name="_Toc139471273"/>
      <w:bookmarkStart w:id="1302" w:name="_Toc147601955"/>
      <w:bookmarkStart w:id="1303" w:name="_Toc139471155"/>
      <w:bookmarkStart w:id="1304" w:name="_Toc13773774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rPr>
        <w:t>）</w:t>
      </w:r>
      <w:bookmarkEnd w:id="1301"/>
      <w:bookmarkEnd w:id="1302"/>
      <w:bookmarkEnd w:id="1303"/>
      <w:bookmarkEnd w:id="1304"/>
      <w:r>
        <w:rPr>
          <w:rFonts w:hint="eastAsia" w:ascii="宋体" w:hAnsi="宋体"/>
          <w:b/>
          <w:bCs/>
          <w:color w:val="auto"/>
          <w:sz w:val="28"/>
          <w:szCs w:val="21"/>
          <w:highlight w:val="none"/>
        </w:rPr>
        <w:t>施工总平面布置图</w:t>
      </w:r>
    </w:p>
    <w:p w14:paraId="1E97EB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（内容格式自拟）</w:t>
      </w:r>
    </w:p>
    <w:p w14:paraId="45250624">
      <w:pPr>
        <w:spacing w:line="360" w:lineRule="auto"/>
        <w:ind w:firstLine="420" w:firstLineChars="200"/>
        <w:rPr>
          <w:rFonts w:hint="eastAsia" w:ascii="宋体" w:hAnsi="等线"/>
          <w:color w:val="auto"/>
          <w:szCs w:val="22"/>
          <w:highlight w:val="none"/>
        </w:rPr>
      </w:pPr>
    </w:p>
    <w:p w14:paraId="252F9AA1">
      <w:pPr>
        <w:pStyle w:val="33"/>
        <w:rPr>
          <w:color w:val="auto"/>
          <w:highlight w:val="none"/>
        </w:rPr>
      </w:pPr>
    </w:p>
    <w:p w14:paraId="2DCAF153">
      <w:pPr>
        <w:rPr>
          <w:color w:val="auto"/>
          <w:highlight w:val="none"/>
        </w:rPr>
      </w:pPr>
    </w:p>
    <w:p w14:paraId="38697E27">
      <w:pPr>
        <w:spacing w:line="360" w:lineRule="auto"/>
        <w:rPr>
          <w:color w:val="auto"/>
          <w:highlight w:val="none"/>
        </w:rPr>
      </w:pPr>
    </w:p>
    <w:bookmarkEnd w:id="1272"/>
    <w:bookmarkEnd w:id="1273"/>
    <w:bookmarkEnd w:id="1274"/>
    <w:bookmarkEnd w:id="1275"/>
    <w:bookmarkEnd w:id="1276"/>
    <w:bookmarkEnd w:id="1277"/>
    <w:p w14:paraId="3449A04C">
      <w:pPr>
        <w:keepNext/>
        <w:keepLines/>
        <w:spacing w:line="360" w:lineRule="auto"/>
        <w:jc w:val="center"/>
        <w:outlineLvl w:val="2"/>
        <w:rPr>
          <w:rFonts w:hint="eastAsia" w:ascii="宋体" w:hAnsi="宋体" w:cs="宋体"/>
          <w:color w:val="auto"/>
          <w:sz w:val="28"/>
          <w:szCs w:val="28"/>
          <w:highlight w:val="none"/>
        </w:rPr>
      </w:pPr>
      <w:bookmarkStart w:id="1305" w:name="_Toc179645147"/>
      <w:r>
        <w:rPr>
          <w:rFonts w:hint="eastAsia" w:ascii="宋体" w:hAnsi="宋体" w:cs="宋体"/>
          <w:b/>
          <w:color w:val="auto"/>
          <w:sz w:val="28"/>
          <w:szCs w:val="18"/>
          <w:highlight w:val="none"/>
        </w:rPr>
        <w:t>（</w:t>
      </w:r>
      <w:r>
        <w:rPr>
          <w:rFonts w:hint="eastAsia" w:ascii="宋体" w:hAnsi="宋体" w:cs="宋体"/>
          <w:b/>
          <w:color w:val="auto"/>
          <w:sz w:val="28"/>
          <w:szCs w:val="18"/>
          <w:highlight w:val="none"/>
          <w:lang w:val="en-US" w:eastAsia="zh-CN"/>
        </w:rPr>
        <w:t>四</w:t>
      </w:r>
      <w:r>
        <w:rPr>
          <w:rFonts w:hint="eastAsia" w:ascii="宋体" w:hAnsi="宋体" w:cs="宋体"/>
          <w:b/>
          <w:color w:val="auto"/>
          <w:sz w:val="28"/>
          <w:szCs w:val="18"/>
          <w:highlight w:val="none"/>
        </w:rPr>
        <w:t>）类似项目业绩</w:t>
      </w:r>
      <w:bookmarkEnd w:id="1278"/>
      <w:bookmarkEnd w:id="1279"/>
      <w:bookmarkEnd w:id="1305"/>
    </w:p>
    <w:tbl>
      <w:tblPr>
        <w:tblStyle w:val="8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6"/>
        <w:gridCol w:w="2750"/>
        <w:gridCol w:w="1618"/>
        <w:gridCol w:w="1618"/>
        <w:gridCol w:w="2008"/>
        <w:gridCol w:w="932"/>
      </w:tblGrid>
      <w:tr w14:paraId="02110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07975403">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380" w:type="pct"/>
            <w:vAlign w:val="center"/>
          </w:tcPr>
          <w:p w14:paraId="537EA6BE">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项目名称</w:t>
            </w:r>
          </w:p>
        </w:tc>
        <w:tc>
          <w:tcPr>
            <w:tcW w:w="812" w:type="pct"/>
            <w:vAlign w:val="center"/>
          </w:tcPr>
          <w:p w14:paraId="3CCFB4F2">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业主单位</w:t>
            </w:r>
          </w:p>
        </w:tc>
        <w:tc>
          <w:tcPr>
            <w:tcW w:w="812" w:type="pct"/>
            <w:vAlign w:val="center"/>
          </w:tcPr>
          <w:p w14:paraId="075D6D4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合同金额</w:t>
            </w:r>
          </w:p>
        </w:tc>
        <w:tc>
          <w:tcPr>
            <w:tcW w:w="1008" w:type="pct"/>
            <w:vAlign w:val="center"/>
          </w:tcPr>
          <w:p w14:paraId="2636DE18">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合同签订时间</w:t>
            </w:r>
          </w:p>
        </w:tc>
        <w:tc>
          <w:tcPr>
            <w:tcW w:w="468" w:type="pct"/>
            <w:vAlign w:val="center"/>
          </w:tcPr>
          <w:p w14:paraId="21F2FE43">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4AE01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61FA3887">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380" w:type="pct"/>
            <w:vAlign w:val="center"/>
          </w:tcPr>
          <w:p w14:paraId="57577739">
            <w:pPr>
              <w:snapToGrid w:val="0"/>
              <w:jc w:val="center"/>
              <w:rPr>
                <w:rFonts w:hint="eastAsia" w:ascii="宋体" w:hAnsi="宋体" w:cs="宋体"/>
                <w:b/>
                <w:color w:val="auto"/>
                <w:szCs w:val="21"/>
                <w:highlight w:val="none"/>
                <w:u w:val="single"/>
              </w:rPr>
            </w:pPr>
          </w:p>
        </w:tc>
        <w:tc>
          <w:tcPr>
            <w:tcW w:w="812" w:type="pct"/>
            <w:vAlign w:val="center"/>
          </w:tcPr>
          <w:p w14:paraId="5185B0EE">
            <w:pPr>
              <w:snapToGrid w:val="0"/>
              <w:jc w:val="center"/>
              <w:rPr>
                <w:rFonts w:hint="eastAsia" w:ascii="宋体" w:hAnsi="宋体" w:cs="宋体"/>
                <w:b/>
                <w:color w:val="auto"/>
                <w:szCs w:val="21"/>
                <w:highlight w:val="none"/>
                <w:u w:val="single"/>
              </w:rPr>
            </w:pPr>
          </w:p>
        </w:tc>
        <w:tc>
          <w:tcPr>
            <w:tcW w:w="812" w:type="pct"/>
            <w:vAlign w:val="center"/>
          </w:tcPr>
          <w:p w14:paraId="10E17188">
            <w:pPr>
              <w:snapToGrid w:val="0"/>
              <w:jc w:val="center"/>
              <w:rPr>
                <w:rFonts w:hint="eastAsia" w:ascii="宋体" w:hAnsi="宋体" w:cs="宋体"/>
                <w:b/>
                <w:color w:val="auto"/>
                <w:szCs w:val="21"/>
                <w:highlight w:val="none"/>
                <w:u w:val="single"/>
              </w:rPr>
            </w:pPr>
          </w:p>
        </w:tc>
        <w:tc>
          <w:tcPr>
            <w:tcW w:w="1008" w:type="pct"/>
            <w:vAlign w:val="center"/>
          </w:tcPr>
          <w:p w14:paraId="33CD246E">
            <w:pPr>
              <w:snapToGrid w:val="0"/>
              <w:jc w:val="center"/>
              <w:rPr>
                <w:rFonts w:hint="eastAsia" w:ascii="宋体" w:hAnsi="宋体" w:cs="宋体"/>
                <w:b/>
                <w:color w:val="auto"/>
                <w:szCs w:val="21"/>
                <w:highlight w:val="none"/>
                <w:u w:val="single"/>
              </w:rPr>
            </w:pPr>
          </w:p>
        </w:tc>
        <w:tc>
          <w:tcPr>
            <w:tcW w:w="468" w:type="pct"/>
            <w:vAlign w:val="center"/>
          </w:tcPr>
          <w:p w14:paraId="5FFB6860">
            <w:pPr>
              <w:snapToGrid w:val="0"/>
              <w:jc w:val="center"/>
              <w:rPr>
                <w:rFonts w:hint="eastAsia" w:ascii="宋体" w:hAnsi="宋体" w:cs="宋体"/>
                <w:b/>
                <w:color w:val="auto"/>
                <w:szCs w:val="21"/>
                <w:highlight w:val="none"/>
                <w:u w:val="single"/>
              </w:rPr>
            </w:pPr>
          </w:p>
        </w:tc>
      </w:tr>
      <w:tr w14:paraId="27168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11101BE9">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380" w:type="pct"/>
            <w:vAlign w:val="center"/>
          </w:tcPr>
          <w:p w14:paraId="320B80C1">
            <w:pPr>
              <w:snapToGrid w:val="0"/>
              <w:jc w:val="center"/>
              <w:rPr>
                <w:rFonts w:hint="eastAsia" w:ascii="宋体" w:hAnsi="宋体" w:cs="宋体"/>
                <w:b/>
                <w:color w:val="auto"/>
                <w:szCs w:val="21"/>
                <w:highlight w:val="none"/>
                <w:u w:val="single"/>
              </w:rPr>
            </w:pPr>
          </w:p>
        </w:tc>
        <w:tc>
          <w:tcPr>
            <w:tcW w:w="812" w:type="pct"/>
            <w:vAlign w:val="center"/>
          </w:tcPr>
          <w:p w14:paraId="7E572E0C">
            <w:pPr>
              <w:snapToGrid w:val="0"/>
              <w:jc w:val="center"/>
              <w:rPr>
                <w:rFonts w:hint="eastAsia" w:ascii="宋体" w:hAnsi="宋体" w:cs="宋体"/>
                <w:b/>
                <w:color w:val="auto"/>
                <w:szCs w:val="21"/>
                <w:highlight w:val="none"/>
                <w:u w:val="single"/>
              </w:rPr>
            </w:pPr>
          </w:p>
        </w:tc>
        <w:tc>
          <w:tcPr>
            <w:tcW w:w="812" w:type="pct"/>
            <w:vAlign w:val="center"/>
          </w:tcPr>
          <w:p w14:paraId="718E7C91">
            <w:pPr>
              <w:snapToGrid w:val="0"/>
              <w:jc w:val="center"/>
              <w:rPr>
                <w:rFonts w:hint="eastAsia" w:ascii="宋体" w:hAnsi="宋体" w:cs="宋体"/>
                <w:b/>
                <w:color w:val="auto"/>
                <w:szCs w:val="21"/>
                <w:highlight w:val="none"/>
                <w:u w:val="single"/>
              </w:rPr>
            </w:pPr>
          </w:p>
        </w:tc>
        <w:tc>
          <w:tcPr>
            <w:tcW w:w="1008" w:type="pct"/>
            <w:vAlign w:val="center"/>
          </w:tcPr>
          <w:p w14:paraId="024DAA69">
            <w:pPr>
              <w:snapToGrid w:val="0"/>
              <w:jc w:val="center"/>
              <w:rPr>
                <w:rFonts w:hint="eastAsia" w:ascii="宋体" w:hAnsi="宋体" w:cs="宋体"/>
                <w:b/>
                <w:color w:val="auto"/>
                <w:szCs w:val="21"/>
                <w:highlight w:val="none"/>
                <w:u w:val="single"/>
              </w:rPr>
            </w:pPr>
          </w:p>
        </w:tc>
        <w:tc>
          <w:tcPr>
            <w:tcW w:w="468" w:type="pct"/>
            <w:vAlign w:val="center"/>
          </w:tcPr>
          <w:p w14:paraId="788F28A0">
            <w:pPr>
              <w:snapToGrid w:val="0"/>
              <w:jc w:val="center"/>
              <w:rPr>
                <w:rFonts w:hint="eastAsia" w:ascii="宋体" w:hAnsi="宋体" w:cs="宋体"/>
                <w:b/>
                <w:color w:val="auto"/>
                <w:szCs w:val="21"/>
                <w:highlight w:val="none"/>
                <w:u w:val="single"/>
              </w:rPr>
            </w:pPr>
          </w:p>
        </w:tc>
      </w:tr>
      <w:tr w14:paraId="3CA99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258459EA">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380" w:type="pct"/>
            <w:vAlign w:val="center"/>
          </w:tcPr>
          <w:p w14:paraId="617A2B8A">
            <w:pPr>
              <w:snapToGrid w:val="0"/>
              <w:jc w:val="center"/>
              <w:rPr>
                <w:rFonts w:hint="eastAsia" w:ascii="宋体" w:hAnsi="宋体" w:cs="宋体"/>
                <w:b/>
                <w:color w:val="auto"/>
                <w:szCs w:val="21"/>
                <w:highlight w:val="none"/>
                <w:u w:val="single"/>
              </w:rPr>
            </w:pPr>
          </w:p>
        </w:tc>
        <w:tc>
          <w:tcPr>
            <w:tcW w:w="812" w:type="pct"/>
            <w:vAlign w:val="center"/>
          </w:tcPr>
          <w:p w14:paraId="26E53C8E">
            <w:pPr>
              <w:snapToGrid w:val="0"/>
              <w:jc w:val="center"/>
              <w:rPr>
                <w:rFonts w:hint="eastAsia" w:ascii="宋体" w:hAnsi="宋体" w:cs="宋体"/>
                <w:b/>
                <w:color w:val="auto"/>
                <w:szCs w:val="21"/>
                <w:highlight w:val="none"/>
                <w:u w:val="single"/>
              </w:rPr>
            </w:pPr>
          </w:p>
        </w:tc>
        <w:tc>
          <w:tcPr>
            <w:tcW w:w="812" w:type="pct"/>
            <w:vAlign w:val="center"/>
          </w:tcPr>
          <w:p w14:paraId="4350CAE2">
            <w:pPr>
              <w:snapToGrid w:val="0"/>
              <w:jc w:val="center"/>
              <w:rPr>
                <w:rFonts w:hint="eastAsia" w:ascii="宋体" w:hAnsi="宋体" w:cs="宋体"/>
                <w:b/>
                <w:color w:val="auto"/>
                <w:szCs w:val="21"/>
                <w:highlight w:val="none"/>
                <w:u w:val="single"/>
              </w:rPr>
            </w:pPr>
          </w:p>
        </w:tc>
        <w:tc>
          <w:tcPr>
            <w:tcW w:w="1008" w:type="pct"/>
            <w:vAlign w:val="center"/>
          </w:tcPr>
          <w:p w14:paraId="0D841BE4">
            <w:pPr>
              <w:snapToGrid w:val="0"/>
              <w:jc w:val="center"/>
              <w:rPr>
                <w:rFonts w:hint="eastAsia" w:ascii="宋体" w:hAnsi="宋体" w:cs="宋体"/>
                <w:b/>
                <w:color w:val="auto"/>
                <w:szCs w:val="21"/>
                <w:highlight w:val="none"/>
                <w:u w:val="single"/>
              </w:rPr>
            </w:pPr>
          </w:p>
        </w:tc>
        <w:tc>
          <w:tcPr>
            <w:tcW w:w="468" w:type="pct"/>
            <w:vAlign w:val="center"/>
          </w:tcPr>
          <w:p w14:paraId="202EC0DD">
            <w:pPr>
              <w:snapToGrid w:val="0"/>
              <w:jc w:val="center"/>
              <w:rPr>
                <w:rFonts w:hint="eastAsia" w:ascii="宋体" w:hAnsi="宋体" w:cs="宋体"/>
                <w:b/>
                <w:color w:val="auto"/>
                <w:szCs w:val="21"/>
                <w:highlight w:val="none"/>
                <w:u w:val="single"/>
              </w:rPr>
            </w:pPr>
          </w:p>
        </w:tc>
      </w:tr>
      <w:tr w14:paraId="1673D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51692A94">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w:t>
            </w:r>
          </w:p>
        </w:tc>
        <w:tc>
          <w:tcPr>
            <w:tcW w:w="1380" w:type="pct"/>
            <w:vAlign w:val="center"/>
          </w:tcPr>
          <w:p w14:paraId="4A93530C">
            <w:pPr>
              <w:snapToGrid w:val="0"/>
              <w:jc w:val="center"/>
              <w:rPr>
                <w:rFonts w:hint="eastAsia" w:ascii="宋体" w:hAnsi="宋体" w:cs="宋体"/>
                <w:b/>
                <w:color w:val="auto"/>
                <w:szCs w:val="21"/>
                <w:highlight w:val="none"/>
                <w:u w:val="single"/>
              </w:rPr>
            </w:pPr>
          </w:p>
        </w:tc>
        <w:tc>
          <w:tcPr>
            <w:tcW w:w="812" w:type="pct"/>
            <w:vAlign w:val="center"/>
          </w:tcPr>
          <w:p w14:paraId="10E5C0B0">
            <w:pPr>
              <w:snapToGrid w:val="0"/>
              <w:jc w:val="center"/>
              <w:rPr>
                <w:rFonts w:hint="eastAsia" w:ascii="宋体" w:hAnsi="宋体" w:cs="宋体"/>
                <w:b/>
                <w:color w:val="auto"/>
                <w:szCs w:val="21"/>
                <w:highlight w:val="none"/>
                <w:u w:val="single"/>
              </w:rPr>
            </w:pPr>
          </w:p>
        </w:tc>
        <w:tc>
          <w:tcPr>
            <w:tcW w:w="812" w:type="pct"/>
            <w:vAlign w:val="center"/>
          </w:tcPr>
          <w:p w14:paraId="591DE4CC">
            <w:pPr>
              <w:snapToGrid w:val="0"/>
              <w:jc w:val="center"/>
              <w:rPr>
                <w:rFonts w:hint="eastAsia" w:ascii="宋体" w:hAnsi="宋体" w:cs="宋体"/>
                <w:b/>
                <w:color w:val="auto"/>
                <w:szCs w:val="21"/>
                <w:highlight w:val="none"/>
                <w:u w:val="single"/>
              </w:rPr>
            </w:pPr>
          </w:p>
        </w:tc>
        <w:tc>
          <w:tcPr>
            <w:tcW w:w="1008" w:type="pct"/>
            <w:vAlign w:val="center"/>
          </w:tcPr>
          <w:p w14:paraId="6ADF3D2C">
            <w:pPr>
              <w:snapToGrid w:val="0"/>
              <w:jc w:val="center"/>
              <w:rPr>
                <w:rFonts w:hint="eastAsia" w:ascii="宋体" w:hAnsi="宋体" w:cs="宋体"/>
                <w:b/>
                <w:color w:val="auto"/>
                <w:szCs w:val="21"/>
                <w:highlight w:val="none"/>
                <w:u w:val="single"/>
              </w:rPr>
            </w:pPr>
          </w:p>
        </w:tc>
        <w:tc>
          <w:tcPr>
            <w:tcW w:w="468" w:type="pct"/>
            <w:vAlign w:val="center"/>
          </w:tcPr>
          <w:p w14:paraId="113AC3BD">
            <w:pPr>
              <w:snapToGrid w:val="0"/>
              <w:jc w:val="center"/>
              <w:rPr>
                <w:rFonts w:hint="eastAsia" w:ascii="宋体" w:hAnsi="宋体" w:cs="宋体"/>
                <w:b/>
                <w:color w:val="auto"/>
                <w:szCs w:val="21"/>
                <w:highlight w:val="none"/>
                <w:u w:val="single"/>
              </w:rPr>
            </w:pPr>
          </w:p>
        </w:tc>
      </w:tr>
      <w:tr w14:paraId="50488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75C39BB6">
            <w:pPr>
              <w:snapToGrid w:val="0"/>
              <w:jc w:val="center"/>
              <w:rPr>
                <w:rFonts w:hint="eastAsia" w:ascii="宋体" w:hAnsi="宋体" w:cs="宋体"/>
                <w:b/>
                <w:color w:val="auto"/>
                <w:szCs w:val="21"/>
                <w:highlight w:val="none"/>
              </w:rPr>
            </w:pPr>
          </w:p>
        </w:tc>
        <w:tc>
          <w:tcPr>
            <w:tcW w:w="1380" w:type="pct"/>
            <w:vAlign w:val="center"/>
          </w:tcPr>
          <w:p w14:paraId="6C399252">
            <w:pPr>
              <w:snapToGrid w:val="0"/>
              <w:jc w:val="center"/>
              <w:rPr>
                <w:rFonts w:hint="eastAsia" w:ascii="宋体" w:hAnsi="宋体" w:cs="宋体"/>
                <w:b/>
                <w:color w:val="auto"/>
                <w:szCs w:val="21"/>
                <w:highlight w:val="none"/>
                <w:u w:val="single"/>
              </w:rPr>
            </w:pPr>
          </w:p>
        </w:tc>
        <w:tc>
          <w:tcPr>
            <w:tcW w:w="812" w:type="pct"/>
            <w:vAlign w:val="center"/>
          </w:tcPr>
          <w:p w14:paraId="77AF41B5">
            <w:pPr>
              <w:snapToGrid w:val="0"/>
              <w:jc w:val="center"/>
              <w:rPr>
                <w:rFonts w:hint="eastAsia" w:ascii="宋体" w:hAnsi="宋体" w:cs="宋体"/>
                <w:b/>
                <w:color w:val="auto"/>
                <w:szCs w:val="21"/>
                <w:highlight w:val="none"/>
                <w:u w:val="single"/>
              </w:rPr>
            </w:pPr>
          </w:p>
        </w:tc>
        <w:tc>
          <w:tcPr>
            <w:tcW w:w="812" w:type="pct"/>
            <w:vAlign w:val="center"/>
          </w:tcPr>
          <w:p w14:paraId="1978A894">
            <w:pPr>
              <w:snapToGrid w:val="0"/>
              <w:jc w:val="center"/>
              <w:rPr>
                <w:rFonts w:hint="eastAsia" w:ascii="宋体" w:hAnsi="宋体" w:cs="宋体"/>
                <w:b/>
                <w:color w:val="auto"/>
                <w:szCs w:val="21"/>
                <w:highlight w:val="none"/>
                <w:u w:val="single"/>
              </w:rPr>
            </w:pPr>
          </w:p>
        </w:tc>
        <w:tc>
          <w:tcPr>
            <w:tcW w:w="1008" w:type="pct"/>
            <w:vAlign w:val="center"/>
          </w:tcPr>
          <w:p w14:paraId="44E7F7ED">
            <w:pPr>
              <w:snapToGrid w:val="0"/>
              <w:jc w:val="center"/>
              <w:rPr>
                <w:rFonts w:hint="eastAsia" w:ascii="宋体" w:hAnsi="宋体" w:cs="宋体"/>
                <w:b/>
                <w:color w:val="auto"/>
                <w:szCs w:val="21"/>
                <w:highlight w:val="none"/>
                <w:u w:val="single"/>
              </w:rPr>
            </w:pPr>
          </w:p>
        </w:tc>
        <w:tc>
          <w:tcPr>
            <w:tcW w:w="468" w:type="pct"/>
            <w:vAlign w:val="center"/>
          </w:tcPr>
          <w:p w14:paraId="121F27DA">
            <w:pPr>
              <w:snapToGrid w:val="0"/>
              <w:jc w:val="center"/>
              <w:rPr>
                <w:rFonts w:hint="eastAsia" w:ascii="宋体" w:hAnsi="宋体" w:cs="宋体"/>
                <w:b/>
                <w:color w:val="auto"/>
                <w:szCs w:val="21"/>
                <w:highlight w:val="none"/>
                <w:u w:val="single"/>
              </w:rPr>
            </w:pPr>
          </w:p>
        </w:tc>
      </w:tr>
      <w:tr w14:paraId="3C4A9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0974A18F">
            <w:pPr>
              <w:snapToGrid w:val="0"/>
              <w:jc w:val="center"/>
              <w:rPr>
                <w:rFonts w:hint="eastAsia" w:ascii="宋体" w:hAnsi="宋体" w:cs="宋体"/>
                <w:b/>
                <w:color w:val="auto"/>
                <w:szCs w:val="21"/>
                <w:highlight w:val="none"/>
              </w:rPr>
            </w:pPr>
          </w:p>
        </w:tc>
        <w:tc>
          <w:tcPr>
            <w:tcW w:w="1380" w:type="pct"/>
            <w:vAlign w:val="center"/>
          </w:tcPr>
          <w:p w14:paraId="5A6690A3">
            <w:pPr>
              <w:snapToGrid w:val="0"/>
              <w:jc w:val="center"/>
              <w:rPr>
                <w:rFonts w:hint="eastAsia" w:ascii="宋体" w:hAnsi="宋体" w:cs="宋体"/>
                <w:b/>
                <w:color w:val="auto"/>
                <w:szCs w:val="21"/>
                <w:highlight w:val="none"/>
                <w:u w:val="single"/>
              </w:rPr>
            </w:pPr>
          </w:p>
        </w:tc>
        <w:tc>
          <w:tcPr>
            <w:tcW w:w="812" w:type="pct"/>
            <w:vAlign w:val="center"/>
          </w:tcPr>
          <w:p w14:paraId="2BC7A511">
            <w:pPr>
              <w:snapToGrid w:val="0"/>
              <w:jc w:val="center"/>
              <w:rPr>
                <w:rFonts w:hint="eastAsia" w:ascii="宋体" w:hAnsi="宋体" w:cs="宋体"/>
                <w:b/>
                <w:color w:val="auto"/>
                <w:szCs w:val="21"/>
                <w:highlight w:val="none"/>
                <w:u w:val="single"/>
              </w:rPr>
            </w:pPr>
          </w:p>
        </w:tc>
        <w:tc>
          <w:tcPr>
            <w:tcW w:w="812" w:type="pct"/>
            <w:vAlign w:val="center"/>
          </w:tcPr>
          <w:p w14:paraId="25144D93">
            <w:pPr>
              <w:snapToGrid w:val="0"/>
              <w:jc w:val="center"/>
              <w:rPr>
                <w:rFonts w:hint="eastAsia" w:ascii="宋体" w:hAnsi="宋体" w:cs="宋体"/>
                <w:b/>
                <w:color w:val="auto"/>
                <w:szCs w:val="21"/>
                <w:highlight w:val="none"/>
                <w:u w:val="single"/>
              </w:rPr>
            </w:pPr>
          </w:p>
        </w:tc>
        <w:tc>
          <w:tcPr>
            <w:tcW w:w="1008" w:type="pct"/>
            <w:vAlign w:val="center"/>
          </w:tcPr>
          <w:p w14:paraId="16F0D66C">
            <w:pPr>
              <w:snapToGrid w:val="0"/>
              <w:jc w:val="center"/>
              <w:rPr>
                <w:rFonts w:hint="eastAsia" w:ascii="宋体" w:hAnsi="宋体" w:cs="宋体"/>
                <w:b/>
                <w:color w:val="auto"/>
                <w:szCs w:val="21"/>
                <w:highlight w:val="none"/>
                <w:u w:val="single"/>
              </w:rPr>
            </w:pPr>
          </w:p>
        </w:tc>
        <w:tc>
          <w:tcPr>
            <w:tcW w:w="468" w:type="pct"/>
            <w:vAlign w:val="center"/>
          </w:tcPr>
          <w:p w14:paraId="305EB4CB">
            <w:pPr>
              <w:snapToGrid w:val="0"/>
              <w:jc w:val="center"/>
              <w:rPr>
                <w:rFonts w:hint="eastAsia" w:ascii="宋体" w:hAnsi="宋体" w:cs="宋体"/>
                <w:b/>
                <w:color w:val="auto"/>
                <w:szCs w:val="21"/>
                <w:highlight w:val="none"/>
                <w:u w:val="single"/>
              </w:rPr>
            </w:pPr>
          </w:p>
        </w:tc>
      </w:tr>
      <w:tr w14:paraId="1BADF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1447F479">
            <w:pPr>
              <w:snapToGrid w:val="0"/>
              <w:jc w:val="center"/>
              <w:rPr>
                <w:rFonts w:hint="eastAsia" w:ascii="宋体" w:hAnsi="宋体" w:cs="宋体"/>
                <w:b/>
                <w:color w:val="auto"/>
                <w:szCs w:val="21"/>
                <w:highlight w:val="none"/>
              </w:rPr>
            </w:pPr>
          </w:p>
        </w:tc>
        <w:tc>
          <w:tcPr>
            <w:tcW w:w="1380" w:type="pct"/>
            <w:vAlign w:val="center"/>
          </w:tcPr>
          <w:p w14:paraId="277A8580">
            <w:pPr>
              <w:snapToGrid w:val="0"/>
              <w:jc w:val="center"/>
              <w:rPr>
                <w:rFonts w:hint="eastAsia" w:ascii="宋体" w:hAnsi="宋体" w:cs="宋体"/>
                <w:b/>
                <w:color w:val="auto"/>
                <w:szCs w:val="21"/>
                <w:highlight w:val="none"/>
                <w:u w:val="single"/>
              </w:rPr>
            </w:pPr>
          </w:p>
        </w:tc>
        <w:tc>
          <w:tcPr>
            <w:tcW w:w="812" w:type="pct"/>
            <w:vAlign w:val="center"/>
          </w:tcPr>
          <w:p w14:paraId="2260342D">
            <w:pPr>
              <w:snapToGrid w:val="0"/>
              <w:jc w:val="center"/>
              <w:rPr>
                <w:rFonts w:hint="eastAsia" w:ascii="宋体" w:hAnsi="宋体" w:cs="宋体"/>
                <w:b/>
                <w:color w:val="auto"/>
                <w:szCs w:val="21"/>
                <w:highlight w:val="none"/>
                <w:u w:val="single"/>
              </w:rPr>
            </w:pPr>
          </w:p>
        </w:tc>
        <w:tc>
          <w:tcPr>
            <w:tcW w:w="812" w:type="pct"/>
            <w:vAlign w:val="center"/>
          </w:tcPr>
          <w:p w14:paraId="5FBE706C">
            <w:pPr>
              <w:snapToGrid w:val="0"/>
              <w:jc w:val="center"/>
              <w:rPr>
                <w:rFonts w:hint="eastAsia" w:ascii="宋体" w:hAnsi="宋体" w:cs="宋体"/>
                <w:b/>
                <w:color w:val="auto"/>
                <w:szCs w:val="21"/>
                <w:highlight w:val="none"/>
                <w:u w:val="single"/>
              </w:rPr>
            </w:pPr>
          </w:p>
        </w:tc>
        <w:tc>
          <w:tcPr>
            <w:tcW w:w="1008" w:type="pct"/>
            <w:vAlign w:val="center"/>
          </w:tcPr>
          <w:p w14:paraId="27EBC36A">
            <w:pPr>
              <w:snapToGrid w:val="0"/>
              <w:jc w:val="center"/>
              <w:rPr>
                <w:rFonts w:hint="eastAsia" w:ascii="宋体" w:hAnsi="宋体" w:cs="宋体"/>
                <w:b/>
                <w:color w:val="auto"/>
                <w:szCs w:val="21"/>
                <w:highlight w:val="none"/>
                <w:u w:val="single"/>
              </w:rPr>
            </w:pPr>
          </w:p>
        </w:tc>
        <w:tc>
          <w:tcPr>
            <w:tcW w:w="468" w:type="pct"/>
            <w:vAlign w:val="center"/>
          </w:tcPr>
          <w:p w14:paraId="1AB48DBB">
            <w:pPr>
              <w:snapToGrid w:val="0"/>
              <w:jc w:val="center"/>
              <w:rPr>
                <w:rFonts w:hint="eastAsia" w:ascii="宋体" w:hAnsi="宋体" w:cs="宋体"/>
                <w:b/>
                <w:color w:val="auto"/>
                <w:szCs w:val="21"/>
                <w:highlight w:val="none"/>
                <w:u w:val="single"/>
              </w:rPr>
            </w:pPr>
          </w:p>
        </w:tc>
      </w:tr>
      <w:tr w14:paraId="7A4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7C2AECF3">
            <w:pPr>
              <w:snapToGrid w:val="0"/>
              <w:jc w:val="center"/>
              <w:rPr>
                <w:rFonts w:hint="eastAsia" w:ascii="宋体" w:hAnsi="宋体" w:cs="宋体"/>
                <w:b/>
                <w:color w:val="auto"/>
                <w:szCs w:val="21"/>
                <w:highlight w:val="none"/>
              </w:rPr>
            </w:pPr>
          </w:p>
        </w:tc>
        <w:tc>
          <w:tcPr>
            <w:tcW w:w="1380" w:type="pct"/>
            <w:vAlign w:val="center"/>
          </w:tcPr>
          <w:p w14:paraId="15D12522">
            <w:pPr>
              <w:snapToGrid w:val="0"/>
              <w:jc w:val="center"/>
              <w:rPr>
                <w:rFonts w:hint="eastAsia" w:ascii="宋体" w:hAnsi="宋体" w:cs="宋体"/>
                <w:b/>
                <w:color w:val="auto"/>
                <w:szCs w:val="21"/>
                <w:highlight w:val="none"/>
                <w:u w:val="single"/>
              </w:rPr>
            </w:pPr>
          </w:p>
        </w:tc>
        <w:tc>
          <w:tcPr>
            <w:tcW w:w="812" w:type="pct"/>
            <w:vAlign w:val="center"/>
          </w:tcPr>
          <w:p w14:paraId="138A50C3">
            <w:pPr>
              <w:snapToGrid w:val="0"/>
              <w:jc w:val="center"/>
              <w:rPr>
                <w:rFonts w:hint="eastAsia" w:ascii="宋体" w:hAnsi="宋体" w:cs="宋体"/>
                <w:b/>
                <w:color w:val="auto"/>
                <w:szCs w:val="21"/>
                <w:highlight w:val="none"/>
                <w:u w:val="single"/>
              </w:rPr>
            </w:pPr>
          </w:p>
        </w:tc>
        <w:tc>
          <w:tcPr>
            <w:tcW w:w="812" w:type="pct"/>
            <w:vAlign w:val="center"/>
          </w:tcPr>
          <w:p w14:paraId="3C49004A">
            <w:pPr>
              <w:snapToGrid w:val="0"/>
              <w:jc w:val="center"/>
              <w:rPr>
                <w:rFonts w:hint="eastAsia" w:ascii="宋体" w:hAnsi="宋体" w:cs="宋体"/>
                <w:b/>
                <w:color w:val="auto"/>
                <w:szCs w:val="21"/>
                <w:highlight w:val="none"/>
                <w:u w:val="single"/>
              </w:rPr>
            </w:pPr>
          </w:p>
        </w:tc>
        <w:tc>
          <w:tcPr>
            <w:tcW w:w="1008" w:type="pct"/>
            <w:vAlign w:val="center"/>
          </w:tcPr>
          <w:p w14:paraId="579CDA3E">
            <w:pPr>
              <w:snapToGrid w:val="0"/>
              <w:jc w:val="center"/>
              <w:rPr>
                <w:rFonts w:hint="eastAsia" w:ascii="宋体" w:hAnsi="宋体" w:cs="宋体"/>
                <w:b/>
                <w:color w:val="auto"/>
                <w:szCs w:val="21"/>
                <w:highlight w:val="none"/>
                <w:u w:val="single"/>
              </w:rPr>
            </w:pPr>
          </w:p>
        </w:tc>
        <w:tc>
          <w:tcPr>
            <w:tcW w:w="468" w:type="pct"/>
            <w:vAlign w:val="center"/>
          </w:tcPr>
          <w:p w14:paraId="376D61AD">
            <w:pPr>
              <w:snapToGrid w:val="0"/>
              <w:jc w:val="center"/>
              <w:rPr>
                <w:rFonts w:hint="eastAsia" w:ascii="宋体" w:hAnsi="宋体" w:cs="宋体"/>
                <w:b/>
                <w:color w:val="auto"/>
                <w:szCs w:val="21"/>
                <w:highlight w:val="none"/>
                <w:u w:val="single"/>
              </w:rPr>
            </w:pPr>
          </w:p>
        </w:tc>
      </w:tr>
      <w:tr w14:paraId="21166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5F5B7A62">
            <w:pPr>
              <w:snapToGrid w:val="0"/>
              <w:jc w:val="center"/>
              <w:rPr>
                <w:rFonts w:hint="eastAsia" w:ascii="宋体" w:hAnsi="宋体" w:cs="宋体"/>
                <w:b/>
                <w:color w:val="auto"/>
                <w:szCs w:val="21"/>
                <w:highlight w:val="none"/>
              </w:rPr>
            </w:pPr>
          </w:p>
        </w:tc>
        <w:tc>
          <w:tcPr>
            <w:tcW w:w="1380" w:type="pct"/>
            <w:vAlign w:val="center"/>
          </w:tcPr>
          <w:p w14:paraId="5372E209">
            <w:pPr>
              <w:snapToGrid w:val="0"/>
              <w:jc w:val="center"/>
              <w:rPr>
                <w:rFonts w:hint="eastAsia" w:ascii="宋体" w:hAnsi="宋体" w:cs="宋体"/>
                <w:b/>
                <w:color w:val="auto"/>
                <w:szCs w:val="21"/>
                <w:highlight w:val="none"/>
                <w:u w:val="single"/>
              </w:rPr>
            </w:pPr>
          </w:p>
        </w:tc>
        <w:tc>
          <w:tcPr>
            <w:tcW w:w="812" w:type="pct"/>
            <w:vAlign w:val="center"/>
          </w:tcPr>
          <w:p w14:paraId="79564457">
            <w:pPr>
              <w:snapToGrid w:val="0"/>
              <w:jc w:val="center"/>
              <w:rPr>
                <w:rFonts w:hint="eastAsia" w:ascii="宋体" w:hAnsi="宋体" w:cs="宋体"/>
                <w:b/>
                <w:color w:val="auto"/>
                <w:szCs w:val="21"/>
                <w:highlight w:val="none"/>
                <w:u w:val="single"/>
              </w:rPr>
            </w:pPr>
          </w:p>
        </w:tc>
        <w:tc>
          <w:tcPr>
            <w:tcW w:w="812" w:type="pct"/>
            <w:vAlign w:val="center"/>
          </w:tcPr>
          <w:p w14:paraId="7D88ABF9">
            <w:pPr>
              <w:snapToGrid w:val="0"/>
              <w:jc w:val="center"/>
              <w:rPr>
                <w:rFonts w:hint="eastAsia" w:ascii="宋体" w:hAnsi="宋体" w:cs="宋体"/>
                <w:b/>
                <w:color w:val="auto"/>
                <w:szCs w:val="21"/>
                <w:highlight w:val="none"/>
                <w:u w:val="single"/>
              </w:rPr>
            </w:pPr>
          </w:p>
        </w:tc>
        <w:tc>
          <w:tcPr>
            <w:tcW w:w="1008" w:type="pct"/>
            <w:vAlign w:val="center"/>
          </w:tcPr>
          <w:p w14:paraId="7F3A5EB9">
            <w:pPr>
              <w:snapToGrid w:val="0"/>
              <w:jc w:val="center"/>
              <w:rPr>
                <w:rFonts w:hint="eastAsia" w:ascii="宋体" w:hAnsi="宋体" w:cs="宋体"/>
                <w:b/>
                <w:color w:val="auto"/>
                <w:szCs w:val="21"/>
                <w:highlight w:val="none"/>
                <w:u w:val="single"/>
              </w:rPr>
            </w:pPr>
          </w:p>
        </w:tc>
        <w:tc>
          <w:tcPr>
            <w:tcW w:w="468" w:type="pct"/>
            <w:vAlign w:val="center"/>
          </w:tcPr>
          <w:p w14:paraId="7D50D55E">
            <w:pPr>
              <w:snapToGrid w:val="0"/>
              <w:jc w:val="center"/>
              <w:rPr>
                <w:rFonts w:hint="eastAsia" w:ascii="宋体" w:hAnsi="宋体" w:cs="宋体"/>
                <w:b/>
                <w:color w:val="auto"/>
                <w:szCs w:val="21"/>
                <w:highlight w:val="none"/>
                <w:u w:val="single"/>
              </w:rPr>
            </w:pPr>
          </w:p>
        </w:tc>
      </w:tr>
      <w:tr w14:paraId="3EFCB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0" w:type="pct"/>
            <w:vAlign w:val="center"/>
          </w:tcPr>
          <w:p w14:paraId="72C2EDE9">
            <w:pPr>
              <w:snapToGrid w:val="0"/>
              <w:jc w:val="center"/>
              <w:rPr>
                <w:rFonts w:hint="eastAsia" w:ascii="宋体" w:hAnsi="宋体" w:cs="宋体"/>
                <w:b/>
                <w:color w:val="auto"/>
                <w:szCs w:val="21"/>
                <w:highlight w:val="none"/>
              </w:rPr>
            </w:pPr>
          </w:p>
        </w:tc>
        <w:tc>
          <w:tcPr>
            <w:tcW w:w="1380" w:type="pct"/>
            <w:vAlign w:val="center"/>
          </w:tcPr>
          <w:p w14:paraId="3B2DEF3E">
            <w:pPr>
              <w:snapToGrid w:val="0"/>
              <w:jc w:val="center"/>
              <w:rPr>
                <w:rFonts w:hint="eastAsia" w:ascii="宋体" w:hAnsi="宋体" w:cs="宋体"/>
                <w:b/>
                <w:color w:val="auto"/>
                <w:szCs w:val="21"/>
                <w:highlight w:val="none"/>
                <w:u w:val="single"/>
              </w:rPr>
            </w:pPr>
          </w:p>
        </w:tc>
        <w:tc>
          <w:tcPr>
            <w:tcW w:w="812" w:type="pct"/>
            <w:vAlign w:val="center"/>
          </w:tcPr>
          <w:p w14:paraId="6C3FF111">
            <w:pPr>
              <w:snapToGrid w:val="0"/>
              <w:jc w:val="center"/>
              <w:rPr>
                <w:rFonts w:hint="eastAsia" w:ascii="宋体" w:hAnsi="宋体" w:cs="宋体"/>
                <w:b/>
                <w:color w:val="auto"/>
                <w:szCs w:val="21"/>
                <w:highlight w:val="none"/>
                <w:u w:val="single"/>
              </w:rPr>
            </w:pPr>
          </w:p>
        </w:tc>
        <w:tc>
          <w:tcPr>
            <w:tcW w:w="812" w:type="pct"/>
            <w:vAlign w:val="center"/>
          </w:tcPr>
          <w:p w14:paraId="6C100751">
            <w:pPr>
              <w:snapToGrid w:val="0"/>
              <w:jc w:val="center"/>
              <w:rPr>
                <w:rFonts w:hint="eastAsia" w:ascii="宋体" w:hAnsi="宋体" w:cs="宋体"/>
                <w:b/>
                <w:color w:val="auto"/>
                <w:szCs w:val="21"/>
                <w:highlight w:val="none"/>
                <w:u w:val="single"/>
              </w:rPr>
            </w:pPr>
          </w:p>
        </w:tc>
        <w:tc>
          <w:tcPr>
            <w:tcW w:w="1008" w:type="pct"/>
            <w:vAlign w:val="center"/>
          </w:tcPr>
          <w:p w14:paraId="3DF5AF3A">
            <w:pPr>
              <w:snapToGrid w:val="0"/>
              <w:jc w:val="center"/>
              <w:rPr>
                <w:rFonts w:hint="eastAsia" w:ascii="宋体" w:hAnsi="宋体" w:cs="宋体"/>
                <w:b/>
                <w:color w:val="auto"/>
                <w:szCs w:val="21"/>
                <w:highlight w:val="none"/>
                <w:u w:val="single"/>
              </w:rPr>
            </w:pPr>
          </w:p>
        </w:tc>
        <w:tc>
          <w:tcPr>
            <w:tcW w:w="468" w:type="pct"/>
            <w:vAlign w:val="center"/>
          </w:tcPr>
          <w:p w14:paraId="15502734">
            <w:pPr>
              <w:snapToGrid w:val="0"/>
              <w:jc w:val="center"/>
              <w:rPr>
                <w:rFonts w:hint="eastAsia" w:ascii="宋体" w:hAnsi="宋体" w:cs="宋体"/>
                <w:b/>
                <w:color w:val="auto"/>
                <w:szCs w:val="21"/>
                <w:highlight w:val="none"/>
                <w:u w:val="single"/>
              </w:rPr>
            </w:pPr>
          </w:p>
        </w:tc>
      </w:tr>
    </w:tbl>
    <w:p w14:paraId="7FC35841">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注：1.有效业绩证明材料是指：供应商202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年至本项目响应文件提交截止时间前完成的类似项目业绩（如中标/成交通知书复印件/扫描件或合同复印件/扫描件等有效证明文件，复印件/扫描件）；</w:t>
      </w:r>
    </w:p>
    <w:p w14:paraId="041DB24C">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2.未提供类似项目业绩证明材料或提供的证明材料不能明确反映其为类似项目业绩的不得分。</w:t>
      </w:r>
    </w:p>
    <w:p w14:paraId="59ACC1FD">
      <w:pPr>
        <w:keepNext/>
        <w:keepLines/>
        <w:tabs>
          <w:tab w:val="left" w:pos="426"/>
        </w:tabs>
        <w:spacing w:line="360" w:lineRule="auto"/>
        <w:ind w:left="-2" w:leftChars="-1"/>
        <w:jc w:val="center"/>
        <w:outlineLvl w:val="2"/>
        <w:rPr>
          <w:rFonts w:hint="eastAsia" w:ascii="宋体" w:hAnsi="宋体" w:cs="宋体"/>
          <w:b/>
          <w:bCs/>
          <w:color w:val="auto"/>
          <w:sz w:val="28"/>
          <w:szCs w:val="28"/>
          <w:highlight w:val="none"/>
        </w:rPr>
      </w:pPr>
      <w:r>
        <w:rPr>
          <w:rFonts w:hint="eastAsia" w:ascii="宋体" w:hAnsi="宋体" w:cs="宋体"/>
          <w:color w:val="auto"/>
          <w:szCs w:val="21"/>
          <w:highlight w:val="none"/>
        </w:rPr>
        <w:br w:type="page"/>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五</w:t>
      </w:r>
      <w:r>
        <w:rPr>
          <w:rFonts w:hint="eastAsia" w:ascii="宋体" w:hAnsi="宋体" w:cs="宋体"/>
          <w:b/>
          <w:bCs/>
          <w:color w:val="auto"/>
          <w:sz w:val="28"/>
          <w:szCs w:val="28"/>
          <w:highlight w:val="none"/>
        </w:rPr>
        <w:t>）构成响应文件商务部分的其他资料</w:t>
      </w:r>
    </w:p>
    <w:p w14:paraId="539AE4DF">
      <w:pPr>
        <w:spacing w:line="360" w:lineRule="auto"/>
        <w:jc w:val="center"/>
        <w:rPr>
          <w:rFonts w:hint="eastAsia" w:ascii="宋体" w:hAnsi="宋体"/>
          <w:color w:val="auto"/>
          <w:szCs w:val="21"/>
          <w:highlight w:val="none"/>
        </w:rPr>
      </w:pPr>
      <w:r>
        <w:rPr>
          <w:rFonts w:hint="eastAsia" w:ascii="宋体" w:hAnsi="宋体" w:cs="宋体"/>
          <w:color w:val="auto"/>
          <w:szCs w:val="21"/>
          <w:highlight w:val="none"/>
        </w:rPr>
        <w:t>（格式内容自拟）</w:t>
      </w:r>
    </w:p>
    <w:p w14:paraId="024DCAAE">
      <w:pPr>
        <w:jc w:val="center"/>
        <w:rPr>
          <w:rFonts w:hint="eastAsia" w:ascii="宋体" w:hAnsi="宋体" w:cs="宋体"/>
          <w:color w:val="auto"/>
          <w:szCs w:val="21"/>
          <w:highlight w:val="none"/>
        </w:rPr>
      </w:pPr>
    </w:p>
    <w:bookmarkEnd w:id="1228"/>
    <w:bookmarkEnd w:id="1262"/>
    <w:p w14:paraId="7D652A1B">
      <w:pPr>
        <w:pStyle w:val="3"/>
        <w:spacing w:line="360" w:lineRule="auto"/>
        <w:jc w:val="center"/>
        <w:rPr>
          <w:rFonts w:hint="eastAsia" w:ascii="宋体" w:hAnsi="宋体" w:eastAsia="宋体"/>
          <w:b w:val="0"/>
          <w:bCs w:val="0"/>
          <w:color w:val="auto"/>
          <w:sz w:val="32"/>
          <w:highlight w:val="none"/>
        </w:rPr>
      </w:pPr>
      <w:bookmarkStart w:id="1306" w:name="_Toc15966"/>
      <w:r>
        <w:rPr>
          <w:rFonts w:hint="eastAsia" w:ascii="宋体" w:hAnsi="宋体" w:eastAsia="宋体"/>
          <w:color w:val="auto"/>
          <w:highlight w:val="none"/>
        </w:rPr>
        <w:br w:type="page"/>
      </w:r>
      <w:bookmarkEnd w:id="1306"/>
      <w:bookmarkStart w:id="1307" w:name="_Toc4375"/>
      <w:bookmarkStart w:id="1308" w:name="_Toc24621"/>
      <w:bookmarkStart w:id="1309" w:name="_Toc179645152"/>
      <w:bookmarkStart w:id="1310" w:name="_Toc174031487"/>
      <w:r>
        <w:rPr>
          <w:rFonts w:hint="eastAsia" w:ascii="宋体" w:hAnsi="宋体" w:eastAsia="宋体"/>
          <w:color w:val="auto"/>
          <w:sz w:val="36"/>
          <w:szCs w:val="21"/>
          <w:highlight w:val="none"/>
        </w:rPr>
        <w:t>第五章</w:t>
      </w:r>
      <w:r>
        <w:rPr>
          <w:rFonts w:ascii="宋体" w:hAnsi="宋体" w:eastAsia="宋体"/>
          <w:color w:val="auto"/>
          <w:sz w:val="36"/>
          <w:szCs w:val="21"/>
          <w:highlight w:val="none"/>
        </w:rPr>
        <w:t xml:space="preserve">  </w:t>
      </w:r>
      <w:bookmarkEnd w:id="1094"/>
      <w:r>
        <w:rPr>
          <w:rFonts w:hint="eastAsia" w:ascii="宋体" w:hAnsi="宋体" w:eastAsia="宋体"/>
          <w:color w:val="auto"/>
          <w:sz w:val="36"/>
          <w:szCs w:val="21"/>
          <w:highlight w:val="none"/>
        </w:rPr>
        <w:t>项目需求</w:t>
      </w:r>
      <w:bookmarkEnd w:id="1307"/>
      <w:bookmarkEnd w:id="1308"/>
      <w:bookmarkEnd w:id="1309"/>
      <w:bookmarkEnd w:id="1310"/>
      <w:bookmarkStart w:id="1311" w:name="_Toc86124092"/>
    </w:p>
    <w:p w14:paraId="2D0D5728">
      <w:pPr>
        <w:widowControl/>
        <w:spacing w:before="120" w:beforeLines="50" w:after="120" w:afterLines="50" w:line="360" w:lineRule="auto"/>
        <w:jc w:val="left"/>
        <w:rPr>
          <w:rFonts w:hint="eastAsia" w:ascii="宋体" w:hAnsi="宋体"/>
          <w:b/>
          <w:bCs/>
          <w:color w:val="auto"/>
          <w:kern w:val="0"/>
          <w:sz w:val="24"/>
          <w:highlight w:val="none"/>
        </w:rPr>
      </w:pPr>
      <w:bookmarkStart w:id="1312" w:name="_Hlk69811220"/>
      <w:bookmarkStart w:id="1313" w:name="_Hlk178607412"/>
      <w:bookmarkStart w:id="1314" w:name="_Toc430041035"/>
      <w:bookmarkStart w:id="1315" w:name="_Toc432106528"/>
      <w:bookmarkStart w:id="1316" w:name="_Toc3634"/>
      <w:bookmarkStart w:id="1317" w:name="_Toc432194878"/>
      <w:r>
        <w:rPr>
          <w:rFonts w:ascii="宋体" w:hAnsi="宋体"/>
          <w:b/>
          <w:color w:val="auto"/>
          <w:kern w:val="0"/>
          <w:sz w:val="24"/>
          <w:highlight w:val="none"/>
        </w:rPr>
        <w:t>一、需求一览表</w:t>
      </w:r>
    </w:p>
    <w:tbl>
      <w:tblPr>
        <w:tblStyle w:val="87"/>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73"/>
        <w:gridCol w:w="3489"/>
        <w:gridCol w:w="992"/>
        <w:gridCol w:w="709"/>
        <w:gridCol w:w="1558"/>
        <w:gridCol w:w="1560"/>
        <w:gridCol w:w="781"/>
      </w:tblGrid>
      <w:tr w14:paraId="2A24C4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438" w:type="pct"/>
            <w:shd w:val="clear" w:color="auto" w:fill="FFFFFF"/>
            <w:vAlign w:val="center"/>
          </w:tcPr>
          <w:p w14:paraId="73D561FC">
            <w:pPr>
              <w:widowControl/>
              <w:jc w:val="center"/>
              <w:rPr>
                <w:rFonts w:hint="eastAsia" w:ascii="宋体" w:hAnsi="宋体"/>
                <w:b/>
                <w:bCs/>
                <w:color w:val="auto"/>
                <w:kern w:val="0"/>
                <w:szCs w:val="21"/>
                <w:highlight w:val="none"/>
              </w:rPr>
            </w:pPr>
            <w:r>
              <w:rPr>
                <w:rFonts w:ascii="宋体" w:hAnsi="宋体"/>
                <w:b/>
                <w:bCs/>
                <w:color w:val="auto"/>
                <w:kern w:val="0"/>
                <w:szCs w:val="21"/>
                <w:highlight w:val="none"/>
              </w:rPr>
              <w:t>序号</w:t>
            </w:r>
          </w:p>
        </w:tc>
        <w:tc>
          <w:tcPr>
            <w:tcW w:w="1751" w:type="pct"/>
            <w:shd w:val="clear" w:color="auto" w:fill="FFFFFF"/>
            <w:vAlign w:val="center"/>
          </w:tcPr>
          <w:p w14:paraId="5C1CF330">
            <w:pPr>
              <w:widowControl/>
              <w:jc w:val="center"/>
              <w:rPr>
                <w:rFonts w:hint="eastAsia" w:ascii="宋体" w:hAnsi="宋体"/>
                <w:b/>
                <w:bCs/>
                <w:color w:val="auto"/>
                <w:kern w:val="0"/>
                <w:szCs w:val="21"/>
                <w:highlight w:val="none"/>
              </w:rPr>
            </w:pPr>
            <w:r>
              <w:rPr>
                <w:rFonts w:ascii="宋体" w:hAnsi="宋体"/>
                <w:b/>
                <w:bCs/>
                <w:color w:val="auto"/>
                <w:kern w:val="0"/>
                <w:szCs w:val="21"/>
                <w:highlight w:val="none"/>
              </w:rPr>
              <w:t>项目名称</w:t>
            </w:r>
          </w:p>
        </w:tc>
        <w:tc>
          <w:tcPr>
            <w:tcW w:w="498" w:type="pct"/>
            <w:shd w:val="clear" w:color="auto" w:fill="FFFFFF"/>
            <w:vAlign w:val="center"/>
          </w:tcPr>
          <w:p w14:paraId="5DAA4EFA">
            <w:pPr>
              <w:widowControl/>
              <w:jc w:val="center"/>
              <w:rPr>
                <w:rFonts w:hint="eastAsia" w:ascii="宋体" w:hAnsi="宋体"/>
                <w:b/>
                <w:bCs/>
                <w:color w:val="auto"/>
                <w:kern w:val="0"/>
                <w:szCs w:val="21"/>
                <w:highlight w:val="none"/>
              </w:rPr>
            </w:pPr>
            <w:r>
              <w:rPr>
                <w:rFonts w:ascii="宋体" w:hAnsi="宋体"/>
                <w:b/>
                <w:bCs/>
                <w:color w:val="auto"/>
                <w:kern w:val="0"/>
                <w:szCs w:val="21"/>
                <w:highlight w:val="none"/>
              </w:rPr>
              <w:t>数量</w:t>
            </w:r>
          </w:p>
        </w:tc>
        <w:tc>
          <w:tcPr>
            <w:tcW w:w="356" w:type="pct"/>
            <w:shd w:val="clear" w:color="auto" w:fill="FFFFFF"/>
            <w:vAlign w:val="center"/>
          </w:tcPr>
          <w:p w14:paraId="69A4C527">
            <w:pPr>
              <w:widowControl/>
              <w:jc w:val="center"/>
              <w:rPr>
                <w:rFonts w:hint="eastAsia" w:ascii="宋体" w:hAnsi="宋体"/>
                <w:b/>
                <w:bCs/>
                <w:color w:val="auto"/>
                <w:kern w:val="0"/>
                <w:szCs w:val="21"/>
                <w:highlight w:val="none"/>
              </w:rPr>
            </w:pPr>
            <w:r>
              <w:rPr>
                <w:rFonts w:ascii="宋体" w:hAnsi="宋体"/>
                <w:b/>
                <w:bCs/>
                <w:color w:val="auto"/>
                <w:kern w:val="0"/>
                <w:szCs w:val="21"/>
                <w:highlight w:val="none"/>
              </w:rPr>
              <w:t>计量单位</w:t>
            </w:r>
          </w:p>
        </w:tc>
        <w:tc>
          <w:tcPr>
            <w:tcW w:w="782" w:type="pct"/>
            <w:shd w:val="clear" w:color="auto" w:fill="FFFFFF"/>
            <w:vAlign w:val="center"/>
          </w:tcPr>
          <w:p w14:paraId="712C5E6E">
            <w:pPr>
              <w:widowControl/>
              <w:jc w:val="center"/>
              <w:rPr>
                <w:rFonts w:hint="eastAsia" w:ascii="宋体" w:hAnsi="宋体"/>
                <w:b/>
                <w:bCs/>
                <w:color w:val="auto"/>
                <w:kern w:val="0"/>
                <w:szCs w:val="21"/>
                <w:highlight w:val="none"/>
              </w:rPr>
            </w:pPr>
            <w:r>
              <w:rPr>
                <w:rFonts w:hint="eastAsia" w:ascii="宋体" w:hAnsi="宋体"/>
                <w:b/>
                <w:color w:val="auto"/>
                <w:kern w:val="0"/>
                <w:szCs w:val="21"/>
                <w:highlight w:val="none"/>
              </w:rPr>
              <w:t>★</w:t>
            </w:r>
            <w:r>
              <w:rPr>
                <w:rFonts w:hint="eastAsia" w:ascii="宋体" w:hAnsi="宋体"/>
                <w:b/>
                <w:bCs/>
                <w:color w:val="auto"/>
                <w:kern w:val="0"/>
                <w:szCs w:val="21"/>
                <w:highlight w:val="none"/>
              </w:rPr>
              <w:t>预算金额（万元）</w:t>
            </w:r>
          </w:p>
        </w:tc>
        <w:tc>
          <w:tcPr>
            <w:tcW w:w="783" w:type="pct"/>
            <w:shd w:val="clear" w:color="auto" w:fill="FFFFFF"/>
            <w:vAlign w:val="center"/>
          </w:tcPr>
          <w:p w14:paraId="4E2F8611">
            <w:pPr>
              <w:widowControl/>
              <w:jc w:val="center"/>
              <w:rPr>
                <w:rFonts w:hint="eastAsia" w:ascii="宋体" w:hAnsi="宋体"/>
                <w:b/>
                <w:bCs/>
                <w:color w:val="auto"/>
                <w:kern w:val="0"/>
                <w:szCs w:val="21"/>
                <w:highlight w:val="none"/>
              </w:rPr>
            </w:pPr>
            <w:r>
              <w:rPr>
                <w:rFonts w:hint="eastAsia" w:ascii="宋体" w:hAnsi="宋体"/>
                <w:b/>
                <w:color w:val="auto"/>
                <w:kern w:val="0"/>
                <w:szCs w:val="21"/>
                <w:highlight w:val="none"/>
              </w:rPr>
              <w:t>★</w:t>
            </w:r>
            <w:r>
              <w:rPr>
                <w:rFonts w:hint="eastAsia" w:ascii="宋体" w:hAnsi="宋体"/>
                <w:b/>
                <w:bCs/>
                <w:color w:val="auto"/>
                <w:kern w:val="0"/>
                <w:szCs w:val="21"/>
                <w:highlight w:val="none"/>
              </w:rPr>
              <w:t>最高限价（元）</w:t>
            </w:r>
          </w:p>
        </w:tc>
        <w:tc>
          <w:tcPr>
            <w:tcW w:w="392" w:type="pct"/>
            <w:shd w:val="clear" w:color="auto" w:fill="FFFFFF"/>
            <w:vAlign w:val="center"/>
          </w:tcPr>
          <w:p w14:paraId="1037076E">
            <w:pPr>
              <w:widowControl/>
              <w:jc w:val="center"/>
              <w:rPr>
                <w:rFonts w:hint="eastAsia" w:ascii="宋体" w:hAnsi="宋体"/>
                <w:b/>
                <w:bCs/>
                <w:color w:val="auto"/>
                <w:kern w:val="0"/>
                <w:szCs w:val="21"/>
                <w:highlight w:val="none"/>
              </w:rPr>
            </w:pPr>
            <w:r>
              <w:rPr>
                <w:rFonts w:ascii="宋体" w:hAnsi="宋体"/>
                <w:b/>
                <w:bCs/>
                <w:color w:val="auto"/>
                <w:kern w:val="0"/>
                <w:szCs w:val="21"/>
                <w:highlight w:val="none"/>
              </w:rPr>
              <w:t>备注</w:t>
            </w:r>
          </w:p>
        </w:tc>
      </w:tr>
      <w:tr w14:paraId="7619B4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18" w:hRule="atLeast"/>
          <w:jc w:val="center"/>
        </w:trPr>
        <w:tc>
          <w:tcPr>
            <w:tcW w:w="438" w:type="pct"/>
            <w:shd w:val="clear" w:color="auto" w:fill="FFFFFF"/>
            <w:vAlign w:val="center"/>
          </w:tcPr>
          <w:p w14:paraId="5FA0BA62">
            <w:pPr>
              <w:widowControl/>
              <w:jc w:val="center"/>
              <w:rPr>
                <w:rFonts w:hint="eastAsia" w:ascii="宋体" w:hAnsi="宋体"/>
                <w:b/>
                <w:bCs/>
                <w:color w:val="auto"/>
                <w:kern w:val="0"/>
                <w:szCs w:val="21"/>
                <w:highlight w:val="none"/>
              </w:rPr>
            </w:pPr>
            <w:r>
              <w:rPr>
                <w:rFonts w:ascii="宋体" w:hAnsi="宋体"/>
                <w:b/>
                <w:bCs/>
                <w:color w:val="auto"/>
                <w:kern w:val="0"/>
                <w:szCs w:val="21"/>
                <w:highlight w:val="none"/>
              </w:rPr>
              <w:t>1</w:t>
            </w:r>
          </w:p>
        </w:tc>
        <w:tc>
          <w:tcPr>
            <w:tcW w:w="1751" w:type="pct"/>
            <w:shd w:val="clear" w:color="auto" w:fill="FFFFFF"/>
            <w:vAlign w:val="center"/>
          </w:tcPr>
          <w:p w14:paraId="341B1D9D">
            <w:pPr>
              <w:widowControl/>
              <w:jc w:val="center"/>
              <w:rPr>
                <w:rFonts w:hint="eastAsia" w:ascii="宋体" w:hAnsi="宋体" w:eastAsia="宋体"/>
                <w:b/>
                <w:bCs/>
                <w:color w:val="auto"/>
                <w:kern w:val="0"/>
                <w:szCs w:val="21"/>
                <w:highlight w:val="none"/>
                <w:lang w:eastAsia="zh-CN"/>
              </w:rPr>
            </w:pPr>
            <w:r>
              <w:rPr>
                <w:rFonts w:hint="eastAsia" w:ascii="宋体" w:hAnsi="宋体"/>
                <w:b/>
                <w:bCs/>
                <w:color w:val="auto"/>
                <w:kern w:val="0"/>
                <w:szCs w:val="21"/>
                <w:highlight w:val="none"/>
                <w:lang w:eastAsia="zh-CN"/>
              </w:rPr>
              <w:t>大理护理职业学院眼健康产业学院（一期）建设项目（一标段）</w:t>
            </w:r>
          </w:p>
        </w:tc>
        <w:tc>
          <w:tcPr>
            <w:tcW w:w="498" w:type="pct"/>
            <w:shd w:val="clear" w:color="auto" w:fill="FFFFFF"/>
            <w:vAlign w:val="center"/>
          </w:tcPr>
          <w:p w14:paraId="0F4BEBFA">
            <w:pPr>
              <w:widowControl/>
              <w:jc w:val="center"/>
              <w:rPr>
                <w:rFonts w:hint="eastAsia" w:ascii="宋体" w:hAnsi="宋体"/>
                <w:b/>
                <w:bCs/>
                <w:color w:val="auto"/>
                <w:kern w:val="0"/>
                <w:szCs w:val="21"/>
                <w:highlight w:val="none"/>
              </w:rPr>
            </w:pPr>
            <w:r>
              <w:rPr>
                <w:rFonts w:ascii="宋体" w:hAnsi="宋体"/>
                <w:b/>
                <w:bCs/>
                <w:color w:val="auto"/>
                <w:kern w:val="0"/>
                <w:szCs w:val="21"/>
                <w:highlight w:val="none"/>
              </w:rPr>
              <w:t>1</w:t>
            </w:r>
          </w:p>
        </w:tc>
        <w:tc>
          <w:tcPr>
            <w:tcW w:w="356" w:type="pct"/>
            <w:shd w:val="clear" w:color="auto" w:fill="FFFFFF"/>
            <w:vAlign w:val="center"/>
          </w:tcPr>
          <w:p w14:paraId="6EA8846C">
            <w:pPr>
              <w:widowControl/>
              <w:jc w:val="center"/>
              <w:rPr>
                <w:rFonts w:hint="eastAsia" w:ascii="宋体" w:hAnsi="宋体"/>
                <w:b/>
                <w:bCs/>
                <w:color w:val="auto"/>
                <w:kern w:val="0"/>
                <w:szCs w:val="21"/>
                <w:highlight w:val="none"/>
              </w:rPr>
            </w:pPr>
            <w:r>
              <w:rPr>
                <w:rFonts w:ascii="宋体" w:hAnsi="宋体"/>
                <w:b/>
                <w:bCs/>
                <w:color w:val="auto"/>
                <w:kern w:val="0"/>
                <w:szCs w:val="21"/>
                <w:highlight w:val="none"/>
              </w:rPr>
              <w:t>项</w:t>
            </w:r>
          </w:p>
        </w:tc>
        <w:tc>
          <w:tcPr>
            <w:tcW w:w="782" w:type="pct"/>
            <w:shd w:val="clear" w:color="auto" w:fill="FFFFFF"/>
            <w:vAlign w:val="center"/>
          </w:tcPr>
          <w:p w14:paraId="51ED22B0">
            <w:pPr>
              <w:widowControl/>
              <w:jc w:val="center"/>
              <w:rPr>
                <w:rFonts w:hint="eastAsia" w:ascii="宋体" w:hAnsi="宋体" w:eastAsia="宋体"/>
                <w:b/>
                <w:bCs/>
                <w:color w:val="auto"/>
                <w:kern w:val="0"/>
                <w:szCs w:val="21"/>
                <w:highlight w:val="none"/>
                <w:lang w:eastAsia="zh-CN"/>
              </w:rPr>
            </w:pPr>
            <w:r>
              <w:rPr>
                <w:rFonts w:hint="eastAsia" w:ascii="宋体" w:hAnsi="宋体"/>
                <w:b/>
                <w:bCs/>
                <w:color w:val="auto"/>
                <w:kern w:val="0"/>
                <w:szCs w:val="21"/>
                <w:highlight w:val="none"/>
                <w:lang w:eastAsia="zh-CN"/>
              </w:rPr>
              <w:t>1498761.01</w:t>
            </w:r>
          </w:p>
        </w:tc>
        <w:tc>
          <w:tcPr>
            <w:tcW w:w="783" w:type="pct"/>
            <w:shd w:val="clear" w:color="auto" w:fill="FFFFFF"/>
            <w:vAlign w:val="center"/>
          </w:tcPr>
          <w:p w14:paraId="115892BB">
            <w:pPr>
              <w:widowControl/>
              <w:jc w:val="center"/>
              <w:rPr>
                <w:rFonts w:hint="eastAsia" w:ascii="宋体" w:hAnsi="宋体" w:eastAsia="宋体"/>
                <w:b/>
                <w:bCs/>
                <w:color w:val="auto"/>
                <w:kern w:val="0"/>
                <w:szCs w:val="21"/>
                <w:highlight w:val="none"/>
                <w:lang w:eastAsia="zh-CN"/>
              </w:rPr>
            </w:pPr>
            <w:r>
              <w:rPr>
                <w:rFonts w:hint="eastAsia" w:ascii="宋体" w:hAnsi="宋体"/>
                <w:b/>
                <w:bCs/>
                <w:color w:val="auto"/>
                <w:szCs w:val="21"/>
                <w:highlight w:val="none"/>
                <w:lang w:eastAsia="zh-CN"/>
              </w:rPr>
              <w:t>1498761.01</w:t>
            </w:r>
          </w:p>
        </w:tc>
        <w:tc>
          <w:tcPr>
            <w:tcW w:w="392" w:type="pct"/>
            <w:shd w:val="clear" w:color="auto" w:fill="FFFFFF"/>
            <w:vAlign w:val="center"/>
          </w:tcPr>
          <w:p w14:paraId="0E01CCC7">
            <w:pPr>
              <w:widowControl/>
              <w:jc w:val="right"/>
              <w:rPr>
                <w:rFonts w:hint="eastAsia" w:ascii="宋体" w:hAnsi="宋体"/>
                <w:color w:val="auto"/>
                <w:kern w:val="0"/>
                <w:szCs w:val="21"/>
                <w:highlight w:val="none"/>
              </w:rPr>
            </w:pPr>
          </w:p>
        </w:tc>
      </w:tr>
    </w:tbl>
    <w:p w14:paraId="533433A6">
      <w:pPr>
        <w:widowControl/>
        <w:spacing w:before="120" w:beforeLines="50" w:after="120" w:afterLines="50" w:line="360" w:lineRule="auto"/>
        <w:jc w:val="left"/>
        <w:rPr>
          <w:rFonts w:hint="eastAsia" w:ascii="宋体" w:hAnsi="宋体"/>
          <w:b/>
          <w:color w:val="auto"/>
          <w:kern w:val="0"/>
          <w:sz w:val="24"/>
          <w:highlight w:val="none"/>
        </w:rPr>
      </w:pPr>
      <w:r>
        <w:rPr>
          <w:rFonts w:hint="eastAsia" w:ascii="宋体" w:hAnsi="宋体"/>
          <w:b/>
          <w:color w:val="auto"/>
          <w:kern w:val="0"/>
          <w:sz w:val="24"/>
          <w:highlight w:val="none"/>
        </w:rPr>
        <w:t>二、基本情况</w:t>
      </w:r>
    </w:p>
    <w:p w14:paraId="14AE3E26">
      <w:pPr>
        <w:widowControl/>
        <w:spacing w:line="400" w:lineRule="exact"/>
        <w:ind w:firstLine="426" w:firstLineChars="202"/>
        <w:jc w:val="left"/>
        <w:rPr>
          <w:rFonts w:hint="eastAsia" w:ascii="宋体" w:hAnsi="宋体"/>
          <w:color w:val="auto"/>
          <w:kern w:val="0"/>
          <w:szCs w:val="21"/>
          <w:highlight w:val="none"/>
        </w:rPr>
      </w:pPr>
      <w:r>
        <w:rPr>
          <w:rFonts w:hint="eastAsia" w:ascii="宋体" w:hAnsi="宋体"/>
          <w:b/>
          <w:bCs/>
          <w:color w:val="auto"/>
          <w:kern w:val="0"/>
          <w:szCs w:val="21"/>
          <w:highlight w:val="none"/>
        </w:rPr>
        <w:t>1、工期：</w:t>
      </w:r>
      <w:r>
        <w:rPr>
          <w:rFonts w:hint="eastAsia" w:ascii="宋体" w:hAnsi="宋体"/>
          <w:color w:val="auto"/>
          <w:kern w:val="0"/>
          <w:szCs w:val="21"/>
          <w:highlight w:val="none"/>
          <w:lang w:eastAsia="zh-CN"/>
        </w:rPr>
        <w:t>合同签订后90个日历天内完成全部工作</w:t>
      </w:r>
      <w:r>
        <w:rPr>
          <w:rFonts w:hint="eastAsia" w:ascii="宋体" w:hAnsi="宋体"/>
          <w:color w:val="auto"/>
          <w:kern w:val="0"/>
          <w:szCs w:val="21"/>
          <w:highlight w:val="none"/>
        </w:rPr>
        <w:t>内容。</w:t>
      </w:r>
    </w:p>
    <w:p w14:paraId="7B92FF48">
      <w:pPr>
        <w:widowControl/>
        <w:spacing w:line="400" w:lineRule="exact"/>
        <w:ind w:firstLine="426" w:firstLineChars="202"/>
        <w:jc w:val="left"/>
        <w:rPr>
          <w:rFonts w:hint="eastAsia" w:ascii="宋体" w:hAnsi="宋体"/>
          <w:color w:val="auto"/>
          <w:kern w:val="0"/>
          <w:szCs w:val="21"/>
          <w:highlight w:val="none"/>
        </w:rPr>
      </w:pPr>
      <w:r>
        <w:rPr>
          <w:rFonts w:hint="eastAsia" w:ascii="宋体" w:hAnsi="宋体"/>
          <w:b/>
          <w:bCs/>
          <w:color w:val="auto"/>
          <w:kern w:val="0"/>
          <w:szCs w:val="21"/>
          <w:highlight w:val="none"/>
        </w:rPr>
        <w:t>2、项目实施地点：</w:t>
      </w:r>
      <w:r>
        <w:rPr>
          <w:rFonts w:hint="eastAsia" w:ascii="宋体" w:hAnsi="宋体"/>
          <w:color w:val="auto"/>
          <w:kern w:val="0"/>
          <w:szCs w:val="21"/>
          <w:highlight w:val="none"/>
          <w:lang w:eastAsia="zh-CN"/>
        </w:rPr>
        <w:t>大理护理职业学院</w:t>
      </w:r>
      <w:r>
        <w:rPr>
          <w:rFonts w:hint="eastAsia" w:ascii="宋体" w:hAnsi="宋体"/>
          <w:color w:val="auto"/>
          <w:kern w:val="0"/>
          <w:szCs w:val="21"/>
          <w:highlight w:val="none"/>
        </w:rPr>
        <w:t>。</w:t>
      </w:r>
    </w:p>
    <w:p w14:paraId="5158784C">
      <w:pPr>
        <w:widowControl/>
        <w:spacing w:line="400" w:lineRule="exact"/>
        <w:ind w:firstLine="426" w:firstLineChars="202"/>
        <w:jc w:val="left"/>
        <w:rPr>
          <w:rFonts w:hint="eastAsia" w:ascii="宋体" w:hAnsi="宋体"/>
          <w:color w:val="auto"/>
          <w:kern w:val="0"/>
          <w:szCs w:val="21"/>
          <w:highlight w:val="none"/>
        </w:rPr>
      </w:pPr>
      <w:r>
        <w:rPr>
          <w:rFonts w:hint="eastAsia" w:ascii="宋体" w:hAnsi="宋体"/>
          <w:b/>
          <w:bCs/>
          <w:color w:val="auto"/>
          <w:kern w:val="0"/>
          <w:szCs w:val="21"/>
          <w:highlight w:val="none"/>
        </w:rPr>
        <w:t>3、质量标准：</w:t>
      </w:r>
      <w:r>
        <w:rPr>
          <w:rFonts w:hint="eastAsia" w:ascii="宋体" w:hAnsi="宋体"/>
          <w:color w:val="auto"/>
          <w:kern w:val="0"/>
          <w:szCs w:val="21"/>
          <w:highlight w:val="none"/>
        </w:rPr>
        <w:t>工程质量、安全、技术规格、物理特性符合国家标准和行业标准以及采购人的要求，一次性验收合格。</w:t>
      </w:r>
    </w:p>
    <w:p w14:paraId="4A0BE149">
      <w:pPr>
        <w:widowControl/>
        <w:spacing w:line="400" w:lineRule="exact"/>
        <w:ind w:firstLine="426" w:firstLineChars="202"/>
        <w:jc w:val="left"/>
        <w:rPr>
          <w:rFonts w:hint="eastAsia" w:ascii="宋体" w:hAnsi="宋体"/>
          <w:color w:val="auto"/>
          <w:kern w:val="0"/>
          <w:szCs w:val="21"/>
          <w:highlight w:val="none"/>
        </w:rPr>
      </w:pPr>
      <w:r>
        <w:rPr>
          <w:rFonts w:hint="eastAsia" w:ascii="宋体" w:hAnsi="宋体"/>
          <w:b/>
          <w:bCs/>
          <w:color w:val="auto"/>
          <w:kern w:val="0"/>
          <w:szCs w:val="21"/>
          <w:highlight w:val="none"/>
        </w:rPr>
        <w:t>4、工程保修期：</w:t>
      </w:r>
      <w:r>
        <w:rPr>
          <w:rFonts w:hint="eastAsia" w:ascii="宋体" w:hAnsi="宋体"/>
          <w:color w:val="auto"/>
          <w:kern w:val="0"/>
          <w:szCs w:val="21"/>
          <w:highlight w:val="none"/>
        </w:rPr>
        <w:t>满足《建设工程质量管理条例》。</w:t>
      </w:r>
    </w:p>
    <w:p w14:paraId="44CE9A04">
      <w:pPr>
        <w:widowControl/>
        <w:spacing w:before="120" w:beforeLines="50" w:after="120" w:afterLines="50" w:line="360" w:lineRule="auto"/>
        <w:jc w:val="left"/>
        <w:rPr>
          <w:rFonts w:hint="eastAsia" w:ascii="宋体" w:hAnsi="宋体"/>
          <w:b/>
          <w:color w:val="auto"/>
          <w:kern w:val="0"/>
          <w:sz w:val="24"/>
          <w:highlight w:val="none"/>
        </w:rPr>
      </w:pPr>
      <w:r>
        <w:rPr>
          <w:rFonts w:hint="eastAsia" w:ascii="宋体" w:hAnsi="宋体"/>
          <w:b/>
          <w:color w:val="auto"/>
          <w:kern w:val="0"/>
          <w:sz w:val="24"/>
          <w:highlight w:val="none"/>
        </w:rPr>
        <w:t>三</w:t>
      </w:r>
      <w:r>
        <w:rPr>
          <w:rFonts w:ascii="宋体" w:hAnsi="宋体"/>
          <w:b/>
          <w:color w:val="auto"/>
          <w:kern w:val="0"/>
          <w:sz w:val="24"/>
          <w:highlight w:val="none"/>
        </w:rPr>
        <w:t>、</w:t>
      </w:r>
      <w:r>
        <w:rPr>
          <w:rFonts w:hint="eastAsia" w:ascii="宋体" w:hAnsi="宋体"/>
          <w:b/>
          <w:color w:val="auto"/>
          <w:kern w:val="0"/>
          <w:sz w:val="24"/>
          <w:highlight w:val="none"/>
        </w:rPr>
        <w:t>其他要求</w:t>
      </w:r>
    </w:p>
    <w:p w14:paraId="44F765E4">
      <w:pPr>
        <w:widowControl/>
        <w:spacing w:line="360" w:lineRule="auto"/>
        <w:ind w:firstLine="422" w:firstLineChars="200"/>
        <w:jc w:val="left"/>
        <w:rPr>
          <w:rFonts w:hint="eastAsia" w:ascii="宋体" w:hAnsi="宋体"/>
          <w:color w:val="auto"/>
          <w:kern w:val="0"/>
          <w:szCs w:val="21"/>
          <w:highlight w:val="none"/>
        </w:rPr>
      </w:pPr>
      <w:r>
        <w:rPr>
          <w:rFonts w:hint="eastAsia" w:ascii="宋体" w:hAnsi="宋体"/>
          <w:b/>
          <w:bCs/>
          <w:color w:val="auto"/>
          <w:kern w:val="0"/>
          <w:szCs w:val="21"/>
          <w:highlight w:val="none"/>
        </w:rPr>
        <w:t>1、缺陷责任期</w:t>
      </w:r>
      <w:r>
        <w:rPr>
          <w:rFonts w:ascii="宋体" w:hAnsi="宋体"/>
          <w:b/>
          <w:bCs/>
          <w:color w:val="auto"/>
          <w:kern w:val="0"/>
          <w:szCs w:val="21"/>
          <w:highlight w:val="none"/>
        </w:rPr>
        <w:t>：</w:t>
      </w:r>
      <w:r>
        <w:rPr>
          <w:rFonts w:hint="eastAsia" w:ascii="宋体" w:hAnsi="宋体"/>
          <w:color w:val="auto"/>
          <w:kern w:val="0"/>
          <w:szCs w:val="21"/>
          <w:highlight w:val="none"/>
        </w:rPr>
        <w:t>2年。</w:t>
      </w:r>
    </w:p>
    <w:p w14:paraId="11584FB1">
      <w:pPr>
        <w:widowControl/>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2、付款方式</w:t>
      </w:r>
      <w:r>
        <w:rPr>
          <w:rFonts w:ascii="宋体" w:hAnsi="宋体"/>
          <w:b/>
          <w:bCs/>
          <w:color w:val="auto"/>
          <w:kern w:val="0"/>
          <w:szCs w:val="21"/>
          <w:highlight w:val="none"/>
        </w:rPr>
        <w:t>：</w:t>
      </w:r>
      <w:r>
        <w:rPr>
          <w:rFonts w:hint="eastAsia" w:ascii="宋体" w:hAnsi="宋体" w:cs="Times New Roman"/>
          <w:color w:val="auto"/>
          <w:kern w:val="0"/>
          <w:szCs w:val="21"/>
          <w:highlight w:val="none"/>
          <w:lang w:val="en-US" w:eastAsia="zh-CN"/>
        </w:rPr>
        <w:t>双方签订合同并进场施工后七天内，发包人支付至合同价款的30%作为预付款</w:t>
      </w:r>
      <w:r>
        <w:rPr>
          <w:rFonts w:hint="eastAsia" w:ascii="宋体" w:hAnsi="宋体" w:eastAsia="宋体" w:cs="Times New Roman"/>
          <w:color w:val="auto"/>
          <w:kern w:val="0"/>
          <w:szCs w:val="21"/>
          <w:highlight w:val="none"/>
          <w:lang w:val="en-US" w:eastAsia="zh-CN"/>
        </w:rPr>
        <w:t>，剩余款项支付方式双方在签订合同时具体协商</w:t>
      </w:r>
      <w:r>
        <w:rPr>
          <w:rFonts w:hint="eastAsia" w:ascii="宋体" w:hAnsi="宋体"/>
          <w:color w:val="auto"/>
          <w:kern w:val="0"/>
          <w:szCs w:val="21"/>
          <w:highlight w:val="none"/>
        </w:rPr>
        <w:t>。</w:t>
      </w:r>
    </w:p>
    <w:p w14:paraId="75C9E5E9">
      <w:pPr>
        <w:widowControl/>
        <w:spacing w:before="120" w:beforeLines="50" w:after="120" w:afterLines="50" w:line="360" w:lineRule="auto"/>
        <w:jc w:val="left"/>
        <w:rPr>
          <w:rFonts w:hint="eastAsia" w:ascii="宋体" w:hAnsi="宋体"/>
          <w:b/>
          <w:color w:val="auto"/>
          <w:kern w:val="0"/>
          <w:sz w:val="24"/>
          <w:highlight w:val="none"/>
        </w:rPr>
      </w:pPr>
      <w:r>
        <w:rPr>
          <w:rFonts w:hint="eastAsia" w:ascii="宋体" w:hAnsi="宋体"/>
          <w:b/>
          <w:color w:val="auto"/>
          <w:kern w:val="0"/>
          <w:sz w:val="24"/>
          <w:highlight w:val="none"/>
        </w:rPr>
        <w:t>四、</w:t>
      </w:r>
      <w:bookmarkEnd w:id="1312"/>
      <w:r>
        <w:rPr>
          <w:rFonts w:hint="eastAsia" w:ascii="宋体" w:hAnsi="宋体"/>
          <w:b/>
          <w:color w:val="auto"/>
          <w:kern w:val="0"/>
          <w:sz w:val="24"/>
          <w:highlight w:val="none"/>
        </w:rPr>
        <w:t>工程量清单，详见附件1。</w:t>
      </w:r>
    </w:p>
    <w:bookmarkEnd w:id="1313"/>
    <w:p w14:paraId="0BF3E6B1">
      <w:pPr>
        <w:rPr>
          <w:rFonts w:hint="eastAsia" w:ascii="宋体" w:hAnsi="宋体"/>
          <w:color w:val="auto"/>
          <w:highlight w:val="none"/>
        </w:rPr>
      </w:pPr>
    </w:p>
    <w:p w14:paraId="5523A618">
      <w:pPr>
        <w:pStyle w:val="3"/>
        <w:spacing w:line="360" w:lineRule="auto"/>
        <w:jc w:val="center"/>
        <w:rPr>
          <w:rFonts w:hint="eastAsia" w:ascii="宋体" w:hAnsi="宋体" w:eastAsia="宋体"/>
          <w:color w:val="auto"/>
          <w:sz w:val="32"/>
          <w:highlight w:val="none"/>
        </w:rPr>
      </w:pPr>
      <w:r>
        <w:rPr>
          <w:rFonts w:hint="eastAsia" w:ascii="宋体" w:hAnsi="宋体" w:eastAsia="宋体"/>
          <w:color w:val="auto"/>
          <w:sz w:val="32"/>
          <w:highlight w:val="none"/>
        </w:rPr>
        <w:br w:type="page"/>
      </w:r>
      <w:bookmarkStart w:id="1318" w:name="_Toc11859"/>
      <w:bookmarkStart w:id="1319" w:name="_Toc179645153"/>
      <w:bookmarkStart w:id="1320" w:name="_Toc174031488"/>
      <w:r>
        <w:rPr>
          <w:rFonts w:hint="eastAsia" w:ascii="宋体" w:hAnsi="宋体" w:eastAsia="宋体"/>
          <w:color w:val="auto"/>
          <w:sz w:val="36"/>
          <w:szCs w:val="21"/>
          <w:highlight w:val="none"/>
        </w:rPr>
        <w:t>第六章  磋商程序和方法</w:t>
      </w:r>
      <w:bookmarkEnd w:id="1311"/>
      <w:bookmarkEnd w:id="1314"/>
      <w:bookmarkEnd w:id="1315"/>
      <w:bookmarkEnd w:id="1316"/>
      <w:bookmarkEnd w:id="1317"/>
      <w:bookmarkEnd w:id="1318"/>
      <w:bookmarkEnd w:id="1319"/>
      <w:bookmarkEnd w:id="1320"/>
    </w:p>
    <w:p w14:paraId="53A7DD1B">
      <w:pPr>
        <w:keepNext/>
        <w:keepLines/>
        <w:tabs>
          <w:tab w:val="left" w:pos="420"/>
          <w:tab w:val="left" w:pos="6090"/>
        </w:tabs>
        <w:adjustRightInd w:val="0"/>
        <w:snapToGrid w:val="0"/>
        <w:spacing w:line="360" w:lineRule="auto"/>
        <w:ind w:left="-2" w:leftChars="-1" w:firstLine="2"/>
        <w:jc w:val="center"/>
        <w:outlineLvl w:val="1"/>
        <w:rPr>
          <w:rFonts w:hint="eastAsia" w:ascii="宋体" w:hAnsi="宋体"/>
          <w:b/>
          <w:bCs/>
          <w:color w:val="auto"/>
          <w:sz w:val="32"/>
          <w:szCs w:val="28"/>
          <w:highlight w:val="none"/>
        </w:rPr>
      </w:pPr>
      <w:bookmarkStart w:id="1321" w:name="_Toc179645154"/>
      <w:bookmarkStart w:id="1322" w:name="_Toc102828262"/>
      <w:bookmarkStart w:id="1323" w:name="_Toc156995358"/>
      <w:bookmarkStart w:id="1324" w:name="_Toc147601960"/>
      <w:bookmarkStart w:id="1325" w:name="_Toc139471160"/>
      <w:bookmarkStart w:id="1326" w:name="_Toc174031489"/>
      <w:bookmarkStart w:id="1327" w:name="_Toc16538"/>
      <w:bookmarkStart w:id="1328" w:name="_Toc131546003"/>
      <w:r>
        <w:rPr>
          <w:rFonts w:hint="eastAsia" w:ascii="宋体" w:hAnsi="宋体"/>
          <w:b/>
          <w:bCs/>
          <w:color w:val="auto"/>
          <w:sz w:val="32"/>
          <w:szCs w:val="28"/>
          <w:highlight w:val="none"/>
        </w:rPr>
        <w:t>一、</w:t>
      </w:r>
      <w:r>
        <w:rPr>
          <w:rFonts w:ascii="宋体" w:hAnsi="宋体"/>
          <w:b/>
          <w:bCs/>
          <w:color w:val="auto"/>
          <w:sz w:val="32"/>
          <w:szCs w:val="28"/>
          <w:highlight w:val="none"/>
        </w:rPr>
        <w:t>磋商程序和方法前附表</w:t>
      </w:r>
      <w:bookmarkEnd w:id="1321"/>
      <w:bookmarkEnd w:id="1322"/>
      <w:bookmarkEnd w:id="1323"/>
      <w:bookmarkEnd w:id="1324"/>
      <w:bookmarkEnd w:id="1325"/>
      <w:bookmarkEnd w:id="1326"/>
      <w:bookmarkEnd w:id="1327"/>
      <w:bookmarkEnd w:id="1328"/>
    </w:p>
    <w:tbl>
      <w:tblPr>
        <w:tblStyle w:val="8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919"/>
        <w:gridCol w:w="873"/>
        <w:gridCol w:w="580"/>
        <w:gridCol w:w="6636"/>
      </w:tblGrid>
      <w:tr w14:paraId="7178B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40" w:type="pct"/>
            <w:gridSpan w:val="2"/>
            <w:tcBorders>
              <w:tl2br w:val="nil"/>
              <w:tr2bl w:val="nil"/>
            </w:tcBorders>
            <w:vAlign w:val="center"/>
          </w:tcPr>
          <w:p w14:paraId="69DA2E58">
            <w:pPr>
              <w:adjustRightInd w:val="0"/>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评审项目</w:t>
            </w:r>
          </w:p>
        </w:tc>
        <w:tc>
          <w:tcPr>
            <w:tcW w:w="438" w:type="pct"/>
            <w:tcBorders>
              <w:tl2br w:val="nil"/>
              <w:tr2bl w:val="nil"/>
            </w:tcBorders>
            <w:vAlign w:val="center"/>
          </w:tcPr>
          <w:p w14:paraId="7230E87E">
            <w:pPr>
              <w:adjustRightInd w:val="0"/>
              <w:snapToGrid w:val="0"/>
              <w:spacing w:line="276" w:lineRule="auto"/>
              <w:jc w:val="center"/>
              <w:rPr>
                <w:rFonts w:hint="eastAsia" w:ascii="宋体" w:hAnsi="宋体"/>
                <w:b/>
                <w:color w:val="auto"/>
                <w:szCs w:val="21"/>
                <w:highlight w:val="none"/>
              </w:rPr>
            </w:pPr>
            <w:r>
              <w:rPr>
                <w:rFonts w:ascii="宋体" w:hAnsi="宋体"/>
                <w:b/>
                <w:color w:val="auto"/>
                <w:szCs w:val="21"/>
                <w:highlight w:val="none"/>
              </w:rPr>
              <w:t xml:space="preserve">审 查 </w:t>
            </w:r>
          </w:p>
          <w:p w14:paraId="595413A5">
            <w:pPr>
              <w:adjustRightInd w:val="0"/>
              <w:snapToGrid w:val="0"/>
              <w:spacing w:line="276" w:lineRule="auto"/>
              <w:jc w:val="center"/>
              <w:rPr>
                <w:rFonts w:hint="eastAsia" w:ascii="宋体" w:hAnsi="宋体"/>
                <w:b/>
                <w:color w:val="auto"/>
                <w:szCs w:val="21"/>
                <w:highlight w:val="none"/>
              </w:rPr>
            </w:pPr>
            <w:r>
              <w:rPr>
                <w:rFonts w:ascii="宋体" w:hAnsi="宋体"/>
                <w:b/>
                <w:color w:val="auto"/>
                <w:szCs w:val="21"/>
                <w:highlight w:val="none"/>
              </w:rPr>
              <w:t>内 容</w:t>
            </w:r>
          </w:p>
        </w:tc>
        <w:tc>
          <w:tcPr>
            <w:tcW w:w="3621" w:type="pct"/>
            <w:gridSpan w:val="2"/>
            <w:tcBorders>
              <w:tl2br w:val="nil"/>
              <w:tr2bl w:val="nil"/>
            </w:tcBorders>
            <w:vAlign w:val="center"/>
          </w:tcPr>
          <w:p w14:paraId="0982941C">
            <w:pPr>
              <w:adjustRightInd w:val="0"/>
              <w:snapToGrid w:val="0"/>
              <w:spacing w:line="276" w:lineRule="auto"/>
              <w:jc w:val="center"/>
              <w:rPr>
                <w:rFonts w:hint="eastAsia" w:ascii="宋体" w:hAnsi="宋体"/>
                <w:b/>
                <w:color w:val="auto"/>
                <w:szCs w:val="21"/>
                <w:highlight w:val="none"/>
              </w:rPr>
            </w:pPr>
            <w:r>
              <w:rPr>
                <w:rFonts w:ascii="宋体" w:hAnsi="宋体"/>
                <w:b/>
                <w:color w:val="auto"/>
                <w:szCs w:val="21"/>
                <w:highlight w:val="none"/>
              </w:rPr>
              <w:t>审 查 标 准</w:t>
            </w:r>
          </w:p>
        </w:tc>
      </w:tr>
      <w:tr w14:paraId="3E8D4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tcBorders>
              <w:tl2br w:val="nil"/>
              <w:tr2bl w:val="nil"/>
            </w:tcBorders>
            <w:vAlign w:val="center"/>
          </w:tcPr>
          <w:p w14:paraId="3E1C6AF3">
            <w:pPr>
              <w:adjustRightInd w:val="0"/>
              <w:snapToGrid w:val="0"/>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初步评审</w:t>
            </w:r>
            <w:r>
              <w:rPr>
                <w:rFonts w:ascii="宋体" w:hAnsi="宋体"/>
                <w:b/>
                <w:bCs/>
                <w:color w:val="auto"/>
                <w:szCs w:val="21"/>
                <w:highlight w:val="none"/>
              </w:rPr>
              <w:t>标准</w:t>
            </w:r>
          </w:p>
        </w:tc>
        <w:tc>
          <w:tcPr>
            <w:tcW w:w="460" w:type="pct"/>
            <w:vMerge w:val="restart"/>
            <w:tcBorders>
              <w:tl2br w:val="nil"/>
              <w:tr2bl w:val="nil"/>
            </w:tcBorders>
            <w:vAlign w:val="center"/>
          </w:tcPr>
          <w:p w14:paraId="633FC61D">
            <w:pPr>
              <w:adjustRightInd w:val="0"/>
              <w:snapToGrid w:val="0"/>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（一）资格评审标准</w:t>
            </w:r>
          </w:p>
        </w:tc>
        <w:tc>
          <w:tcPr>
            <w:tcW w:w="4059" w:type="pct"/>
            <w:gridSpan w:val="3"/>
            <w:tcBorders>
              <w:tl2br w:val="nil"/>
              <w:tr2bl w:val="nil"/>
            </w:tcBorders>
            <w:vAlign w:val="center"/>
          </w:tcPr>
          <w:p w14:paraId="20A03E93">
            <w:pPr>
              <w:adjustRightInd w:val="0"/>
              <w:snapToGrid w:val="0"/>
              <w:spacing w:line="276" w:lineRule="auto"/>
              <w:jc w:val="left"/>
              <w:rPr>
                <w:rFonts w:hint="eastAsia" w:ascii="宋体" w:hAnsi="宋体"/>
                <w:b/>
                <w:bCs/>
                <w:color w:val="auto"/>
                <w:szCs w:val="21"/>
                <w:highlight w:val="none"/>
              </w:rPr>
            </w:pPr>
            <w:r>
              <w:rPr>
                <w:rFonts w:hint="eastAsia" w:ascii="宋体" w:hAnsi="宋体"/>
                <w:b/>
                <w:bCs/>
                <w:color w:val="auto"/>
                <w:szCs w:val="21"/>
                <w:highlight w:val="none"/>
              </w:rPr>
              <w:t>1、满足《中华人民共和国政府采购法》第二十二条规定：</w:t>
            </w:r>
          </w:p>
        </w:tc>
      </w:tr>
      <w:tr w14:paraId="00B5E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4BED8A30">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72DB1F30">
            <w:pPr>
              <w:adjustRightInd w:val="0"/>
              <w:snapToGrid w:val="0"/>
              <w:spacing w:line="360" w:lineRule="auto"/>
              <w:jc w:val="center"/>
              <w:rPr>
                <w:rFonts w:hint="eastAsia" w:ascii="宋体" w:hAnsi="宋体"/>
                <w:b/>
                <w:bCs/>
                <w:color w:val="auto"/>
                <w:szCs w:val="21"/>
                <w:highlight w:val="none"/>
              </w:rPr>
            </w:pPr>
          </w:p>
        </w:tc>
        <w:tc>
          <w:tcPr>
            <w:tcW w:w="438" w:type="pct"/>
            <w:tcBorders>
              <w:tl2br w:val="nil"/>
              <w:tr2bl w:val="nil"/>
            </w:tcBorders>
            <w:vAlign w:val="center"/>
          </w:tcPr>
          <w:p w14:paraId="5B4866C7">
            <w:pPr>
              <w:adjustRightInd w:val="0"/>
              <w:snapToGrid w:val="0"/>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1</w:t>
            </w:r>
            <w:r>
              <w:rPr>
                <w:rFonts w:ascii="宋体" w:hAnsi="宋体" w:cs="宋体"/>
                <w:b/>
                <w:bCs/>
                <w:color w:val="auto"/>
                <w:highlight w:val="none"/>
              </w:rPr>
              <w:t>.1</w:t>
            </w:r>
          </w:p>
        </w:tc>
        <w:tc>
          <w:tcPr>
            <w:tcW w:w="3621" w:type="pct"/>
            <w:gridSpan w:val="2"/>
            <w:tcBorders>
              <w:tl2br w:val="nil"/>
              <w:tr2bl w:val="nil"/>
            </w:tcBorders>
            <w:vAlign w:val="center"/>
          </w:tcPr>
          <w:p w14:paraId="5CAD5580">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供应商必须是具有独立承担民事责任能力的法人、其他组织或者自然人；提供多证合一营业执照（扫描件）或同等法定证明。</w:t>
            </w:r>
          </w:p>
        </w:tc>
      </w:tr>
      <w:tr w14:paraId="5186F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5D07C8D0">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0EAFB067">
            <w:pPr>
              <w:adjustRightInd w:val="0"/>
              <w:snapToGrid w:val="0"/>
              <w:spacing w:line="360" w:lineRule="auto"/>
              <w:jc w:val="center"/>
              <w:rPr>
                <w:rFonts w:hint="eastAsia" w:ascii="宋体" w:hAnsi="宋体"/>
                <w:b/>
                <w:bCs/>
                <w:color w:val="auto"/>
                <w:szCs w:val="21"/>
                <w:highlight w:val="none"/>
              </w:rPr>
            </w:pPr>
          </w:p>
        </w:tc>
        <w:tc>
          <w:tcPr>
            <w:tcW w:w="438" w:type="pct"/>
            <w:tcBorders>
              <w:tl2br w:val="nil"/>
              <w:tr2bl w:val="nil"/>
            </w:tcBorders>
            <w:vAlign w:val="center"/>
          </w:tcPr>
          <w:p w14:paraId="050F2062">
            <w:pPr>
              <w:adjustRightInd w:val="0"/>
              <w:snapToGrid w:val="0"/>
              <w:spacing w:line="360" w:lineRule="auto"/>
              <w:jc w:val="center"/>
              <w:rPr>
                <w:rFonts w:hint="eastAsia" w:ascii="宋体" w:hAnsi="宋体"/>
                <w:b/>
                <w:bCs/>
                <w:color w:val="auto"/>
                <w:szCs w:val="21"/>
                <w:highlight w:val="none"/>
              </w:rPr>
            </w:pPr>
            <w:r>
              <w:rPr>
                <w:rFonts w:hint="eastAsia" w:ascii="宋体" w:hAnsi="宋体" w:cs="宋体"/>
                <w:b/>
                <w:bCs/>
                <w:color w:val="auto"/>
                <w:highlight w:val="none"/>
              </w:rPr>
              <w:t>1</w:t>
            </w:r>
            <w:r>
              <w:rPr>
                <w:rFonts w:ascii="宋体" w:hAnsi="宋体" w:cs="宋体"/>
                <w:b/>
                <w:bCs/>
                <w:color w:val="auto"/>
                <w:highlight w:val="none"/>
              </w:rPr>
              <w:t>.2</w:t>
            </w:r>
          </w:p>
        </w:tc>
        <w:tc>
          <w:tcPr>
            <w:tcW w:w="3621" w:type="pct"/>
            <w:gridSpan w:val="2"/>
            <w:tcBorders>
              <w:tl2br w:val="nil"/>
              <w:tr2bl w:val="nil"/>
            </w:tcBorders>
            <w:vAlign w:val="center"/>
          </w:tcPr>
          <w:p w14:paraId="305A159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供应商具有良好的商业信誉和健全的财务会计制度：</w:t>
            </w:r>
          </w:p>
          <w:p w14:paraId="0AFAE7F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供应商须提供财务状况报告，可提供以下</w:t>
            </w:r>
            <w:r>
              <w:rPr>
                <w:rFonts w:hint="eastAsia" w:ascii="宋体" w:hAnsi="宋体" w:cs="宋体"/>
                <w:b/>
                <w:bCs/>
                <w:color w:val="auto"/>
                <w:szCs w:val="21"/>
                <w:highlight w:val="none"/>
              </w:rPr>
              <w:t>（1）、（2）、（3）</w:t>
            </w:r>
            <w:r>
              <w:rPr>
                <w:rFonts w:hint="eastAsia" w:ascii="宋体" w:hAnsi="宋体" w:cs="宋体"/>
                <w:color w:val="auto"/>
                <w:szCs w:val="21"/>
                <w:highlight w:val="none"/>
              </w:rPr>
              <w:t>三者之一；若供应商成立时间短，不足以出具经审计的财务审计报告的供应商，则提供以下</w:t>
            </w:r>
            <w:r>
              <w:rPr>
                <w:rFonts w:hint="eastAsia" w:ascii="宋体" w:hAnsi="宋体" w:cs="宋体"/>
                <w:b/>
                <w:bCs/>
                <w:color w:val="auto"/>
                <w:szCs w:val="21"/>
                <w:highlight w:val="none"/>
              </w:rPr>
              <w:t>（2）、（3）</w:t>
            </w:r>
            <w:r>
              <w:rPr>
                <w:rFonts w:hint="eastAsia" w:ascii="宋体" w:hAnsi="宋体" w:cs="宋体"/>
                <w:color w:val="auto"/>
                <w:szCs w:val="21"/>
                <w:highlight w:val="none"/>
              </w:rPr>
              <w:t>二者之一。</w:t>
            </w:r>
          </w:p>
          <w:p w14:paraId="56A2E69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color w:val="auto"/>
                <w:szCs w:val="21"/>
                <w:highlight w:val="none"/>
                <w:lang w:eastAsia="zh-CN"/>
              </w:rPr>
              <w:t>2023年-2025年任意一年</w:t>
            </w:r>
            <w:r>
              <w:rPr>
                <w:rFonts w:hint="eastAsia" w:ascii="宋体" w:hAnsi="宋体" w:cs="宋体"/>
                <w:color w:val="auto"/>
                <w:szCs w:val="21"/>
                <w:highlight w:val="none"/>
              </w:rPr>
              <w:t>度经审计的财务审计报告，包括财务审计报告及“四表一注”，“四表一注”即资产负债表、利润表、现金流量表、所有者权益变动表（执行中小企业会计准则的供应商可不提供）及其附注；</w:t>
            </w:r>
          </w:p>
          <w:p w14:paraId="42744D1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近三个月内基本开户银行出具的资信证明；</w:t>
            </w:r>
          </w:p>
          <w:p w14:paraId="02BDAA2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cs="宋体"/>
                <w:color w:val="auto"/>
                <w:szCs w:val="21"/>
                <w:highlight w:val="none"/>
              </w:rPr>
            </w:pPr>
            <w:r>
              <w:rPr>
                <w:rFonts w:hint="eastAsia" w:ascii="宋体" w:hAnsi="宋体" w:cs="宋体"/>
                <w:b/>
                <w:bCs/>
                <w:color w:val="auto"/>
                <w:szCs w:val="21"/>
                <w:highlight w:val="none"/>
              </w:rPr>
              <w:t>（3）</w:t>
            </w:r>
            <w:r>
              <w:rPr>
                <w:rFonts w:hint="eastAsia" w:ascii="宋体" w:hAnsi="宋体" w:cs="宋体"/>
                <w:color w:val="auto"/>
                <w:szCs w:val="21"/>
                <w:highlight w:val="none"/>
              </w:rPr>
              <w:t>财政部门认可的政府采购专业担保机构出具的投标担保函，须同时提供专业担保机构经财政部门认可的证明文件。</w:t>
            </w:r>
          </w:p>
          <w:p w14:paraId="41360C69">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color w:val="auto"/>
                <w:szCs w:val="21"/>
                <w:highlight w:val="none"/>
              </w:rPr>
            </w:pPr>
            <w:r>
              <w:rPr>
                <w:rFonts w:hint="eastAsia" w:ascii="宋体" w:hAnsi="宋体" w:cs="宋体"/>
                <w:b/>
                <w:bCs/>
                <w:color w:val="auto"/>
                <w:szCs w:val="21"/>
                <w:highlight w:val="none"/>
              </w:rPr>
              <w:t>备注：</w:t>
            </w:r>
            <w:r>
              <w:rPr>
                <w:rFonts w:hint="eastAsia" w:ascii="宋体" w:hAnsi="宋体" w:cs="宋体"/>
                <w:b/>
                <w:bCs/>
                <w:color w:val="auto"/>
                <w:highlight w:val="none"/>
              </w:rPr>
              <w:t>供应商可根据自身情况提供上述任意一种证明材料，</w:t>
            </w:r>
            <w:r>
              <w:rPr>
                <w:rFonts w:hint="eastAsia" w:ascii="宋体" w:hAnsi="宋体" w:cs="宋体"/>
                <w:b/>
                <w:bCs/>
                <w:color w:val="auto"/>
                <w:szCs w:val="21"/>
                <w:highlight w:val="none"/>
              </w:rPr>
              <w:t>新成立企业可根据实际情况提供（2）或（3）。</w:t>
            </w:r>
          </w:p>
        </w:tc>
      </w:tr>
      <w:tr w14:paraId="3317F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4265890E">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4C47C45D">
            <w:pPr>
              <w:adjustRightInd w:val="0"/>
              <w:snapToGrid w:val="0"/>
              <w:spacing w:line="360" w:lineRule="auto"/>
              <w:jc w:val="center"/>
              <w:rPr>
                <w:rFonts w:hint="eastAsia" w:ascii="宋体" w:hAnsi="宋体"/>
                <w:b/>
                <w:bCs/>
                <w:color w:val="auto"/>
                <w:szCs w:val="21"/>
                <w:highlight w:val="none"/>
              </w:rPr>
            </w:pPr>
          </w:p>
        </w:tc>
        <w:tc>
          <w:tcPr>
            <w:tcW w:w="438" w:type="pct"/>
            <w:tcBorders>
              <w:tl2br w:val="nil"/>
              <w:tr2bl w:val="nil"/>
            </w:tcBorders>
            <w:vAlign w:val="center"/>
          </w:tcPr>
          <w:p w14:paraId="7844FB4C">
            <w:pPr>
              <w:adjustRightInd w:val="0"/>
              <w:snapToGrid w:val="0"/>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1</w:t>
            </w:r>
            <w:r>
              <w:rPr>
                <w:rFonts w:ascii="宋体" w:hAnsi="宋体" w:cs="宋体"/>
                <w:b/>
                <w:bCs/>
                <w:color w:val="auto"/>
                <w:highlight w:val="none"/>
              </w:rPr>
              <w:t>.</w:t>
            </w:r>
            <w:r>
              <w:rPr>
                <w:rFonts w:hint="eastAsia" w:ascii="宋体" w:hAnsi="宋体" w:cs="宋体"/>
                <w:b/>
                <w:bCs/>
                <w:color w:val="auto"/>
                <w:highlight w:val="none"/>
              </w:rPr>
              <w:t>3</w:t>
            </w:r>
          </w:p>
        </w:tc>
        <w:tc>
          <w:tcPr>
            <w:tcW w:w="3621" w:type="pct"/>
            <w:gridSpan w:val="2"/>
            <w:tcBorders>
              <w:tl2br w:val="nil"/>
              <w:tr2bl w:val="nil"/>
            </w:tcBorders>
            <w:vAlign w:val="center"/>
          </w:tcPr>
          <w:p w14:paraId="096998CF">
            <w:pPr>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供应商须提供具备履行合同所必需的设备和专业技术能力的证明材料。</w:t>
            </w:r>
            <w:r>
              <w:rPr>
                <w:rFonts w:hint="eastAsia" w:ascii="宋体" w:hAnsi="宋体" w:cs="宋体"/>
                <w:b/>
                <w:bCs/>
                <w:color w:val="auto"/>
                <w:szCs w:val="21"/>
                <w:highlight w:val="none"/>
              </w:rPr>
              <w:t>（提供承诺书）</w:t>
            </w:r>
          </w:p>
        </w:tc>
      </w:tr>
      <w:tr w14:paraId="235DA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3A505950">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377F13C7">
            <w:pPr>
              <w:adjustRightInd w:val="0"/>
              <w:snapToGrid w:val="0"/>
              <w:spacing w:line="360" w:lineRule="auto"/>
              <w:jc w:val="center"/>
              <w:rPr>
                <w:rFonts w:hint="eastAsia" w:ascii="宋体" w:hAnsi="宋体"/>
                <w:b/>
                <w:bCs/>
                <w:color w:val="auto"/>
                <w:szCs w:val="21"/>
                <w:highlight w:val="none"/>
              </w:rPr>
            </w:pPr>
          </w:p>
        </w:tc>
        <w:tc>
          <w:tcPr>
            <w:tcW w:w="438" w:type="pct"/>
            <w:tcBorders>
              <w:tl2br w:val="nil"/>
              <w:tr2bl w:val="nil"/>
            </w:tcBorders>
            <w:vAlign w:val="center"/>
          </w:tcPr>
          <w:p w14:paraId="2126783C">
            <w:pPr>
              <w:adjustRightInd w:val="0"/>
              <w:snapToGrid w:val="0"/>
              <w:spacing w:line="360"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w:t>
            </w:r>
            <w:r>
              <w:rPr>
                <w:rFonts w:hint="eastAsia" w:ascii="宋体" w:hAnsi="宋体" w:cs="宋体"/>
                <w:b/>
                <w:bCs/>
                <w:color w:val="auto"/>
                <w:szCs w:val="21"/>
                <w:highlight w:val="none"/>
              </w:rPr>
              <w:t>4</w:t>
            </w:r>
          </w:p>
        </w:tc>
        <w:tc>
          <w:tcPr>
            <w:tcW w:w="3621" w:type="pct"/>
            <w:gridSpan w:val="2"/>
            <w:tcBorders>
              <w:tl2br w:val="nil"/>
              <w:tr2bl w:val="nil"/>
            </w:tcBorders>
            <w:vAlign w:val="center"/>
          </w:tcPr>
          <w:p w14:paraId="5BDF5F73">
            <w:pPr>
              <w:adjustRightInd w:val="0"/>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缴税</w:t>
            </w:r>
            <w:r>
              <w:rPr>
                <w:rFonts w:hint="eastAsia" w:ascii="宋体" w:hAnsi="宋体" w:cs="宋体"/>
                <w:color w:val="auto"/>
                <w:szCs w:val="21"/>
                <w:highlight w:val="none"/>
                <w:lang w:eastAsia="zh-CN"/>
              </w:rPr>
              <w:t>所属时间在2025年04月至投标截止日期前</w:t>
            </w:r>
            <w:r>
              <w:rPr>
                <w:rFonts w:hint="eastAsia" w:ascii="宋体" w:hAnsi="宋体" w:cs="宋体"/>
                <w:b/>
                <w:bCs/>
                <w:color w:val="auto"/>
                <w:szCs w:val="21"/>
                <w:highlight w:val="none"/>
              </w:rPr>
              <w:t>任意1个月</w:t>
            </w:r>
            <w:r>
              <w:rPr>
                <w:rFonts w:hint="eastAsia" w:ascii="宋体" w:hAnsi="宋体" w:cs="宋体"/>
                <w:color w:val="auto"/>
                <w:szCs w:val="21"/>
                <w:highlight w:val="none"/>
              </w:rPr>
              <w:t>的税务局税收通用缴款书复印件/扫描件或银行电子缴税（费）凭证复印件/扫描件或税务局出具纳税情况的相关证明复印件/扫描件。</w:t>
            </w:r>
            <w:r>
              <w:rPr>
                <w:rFonts w:hint="eastAsia" w:ascii="宋体" w:hAnsi="宋体"/>
                <w:b/>
                <w:bCs/>
                <w:color w:val="auto"/>
                <w:kern w:val="0"/>
                <w:szCs w:val="21"/>
                <w:highlight w:val="none"/>
              </w:rPr>
              <w:t>（</w:t>
            </w:r>
            <w:r>
              <w:rPr>
                <w:rFonts w:hint="eastAsia" w:ascii="宋体" w:hAnsi="宋体" w:cs="宋体"/>
                <w:b/>
                <w:color w:val="auto"/>
                <w:szCs w:val="21"/>
                <w:highlight w:val="none"/>
              </w:rPr>
              <w:t>新成立的</w:t>
            </w:r>
            <w:r>
              <w:rPr>
                <w:rFonts w:hint="eastAsia" w:ascii="宋体" w:hAnsi="宋体"/>
                <w:b/>
                <w:color w:val="auto"/>
                <w:szCs w:val="21"/>
                <w:highlight w:val="none"/>
              </w:rPr>
              <w:t>供应商</w:t>
            </w:r>
            <w:r>
              <w:rPr>
                <w:rFonts w:hint="eastAsia" w:ascii="宋体" w:hAnsi="宋体" w:cs="宋体"/>
                <w:b/>
                <w:color w:val="auto"/>
                <w:szCs w:val="21"/>
                <w:highlight w:val="none"/>
              </w:rPr>
              <w:t>根据实际情况提供</w:t>
            </w:r>
            <w:r>
              <w:rPr>
                <w:rFonts w:hint="eastAsia" w:ascii="宋体" w:hAnsi="宋体"/>
                <w:b/>
                <w:bCs/>
                <w:color w:val="auto"/>
                <w:kern w:val="0"/>
                <w:szCs w:val="21"/>
                <w:highlight w:val="none"/>
              </w:rPr>
              <w:t>；依法免税的供应商，应提供相应文件证明其依法免税）。</w:t>
            </w:r>
          </w:p>
        </w:tc>
      </w:tr>
      <w:tr w14:paraId="39863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5BE23278">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0FB715FD">
            <w:pPr>
              <w:adjustRightInd w:val="0"/>
              <w:snapToGrid w:val="0"/>
              <w:spacing w:line="360" w:lineRule="auto"/>
              <w:jc w:val="center"/>
              <w:rPr>
                <w:rFonts w:hint="eastAsia" w:ascii="宋体" w:hAnsi="宋体"/>
                <w:b/>
                <w:bCs/>
                <w:color w:val="auto"/>
                <w:szCs w:val="21"/>
                <w:highlight w:val="none"/>
              </w:rPr>
            </w:pPr>
          </w:p>
        </w:tc>
        <w:tc>
          <w:tcPr>
            <w:tcW w:w="438" w:type="pct"/>
            <w:tcBorders>
              <w:tl2br w:val="nil"/>
              <w:tr2bl w:val="nil"/>
            </w:tcBorders>
            <w:vAlign w:val="center"/>
          </w:tcPr>
          <w:p w14:paraId="7DD35011">
            <w:pPr>
              <w:adjustRightInd w:val="0"/>
              <w:snapToGrid w:val="0"/>
              <w:spacing w:line="360" w:lineRule="auto"/>
              <w:jc w:val="center"/>
              <w:rPr>
                <w:rFonts w:hint="eastAsia" w:ascii="宋体" w:hAnsi="宋体"/>
                <w:b/>
                <w:bCs/>
                <w:color w:val="auto"/>
                <w:szCs w:val="21"/>
                <w:highlight w:val="none"/>
              </w:rPr>
            </w:pPr>
            <w:r>
              <w:rPr>
                <w:rFonts w:hint="eastAsia" w:ascii="宋体" w:hAnsi="宋体" w:cs="宋体"/>
                <w:b/>
                <w:bCs/>
                <w:color w:val="auto"/>
                <w:highlight w:val="none"/>
              </w:rPr>
              <w:t>1</w:t>
            </w:r>
            <w:r>
              <w:rPr>
                <w:rFonts w:ascii="宋体" w:hAnsi="宋体" w:cs="宋体"/>
                <w:b/>
                <w:bCs/>
                <w:color w:val="auto"/>
                <w:highlight w:val="none"/>
              </w:rPr>
              <w:t>.</w:t>
            </w:r>
            <w:r>
              <w:rPr>
                <w:rFonts w:hint="eastAsia" w:ascii="宋体" w:hAnsi="宋体" w:cs="宋体"/>
                <w:b/>
                <w:bCs/>
                <w:color w:val="auto"/>
                <w:highlight w:val="none"/>
              </w:rPr>
              <w:t>5</w:t>
            </w:r>
          </w:p>
        </w:tc>
        <w:tc>
          <w:tcPr>
            <w:tcW w:w="3621" w:type="pct"/>
            <w:gridSpan w:val="2"/>
            <w:tcBorders>
              <w:tl2br w:val="nil"/>
              <w:tr2bl w:val="nil"/>
            </w:tcBorders>
            <w:vAlign w:val="center"/>
          </w:tcPr>
          <w:p w14:paraId="2EB38F1E">
            <w:pPr>
              <w:adjustRightInd w:val="0"/>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缴费</w:t>
            </w:r>
            <w:r>
              <w:rPr>
                <w:rFonts w:hint="eastAsia" w:ascii="宋体" w:hAnsi="宋体" w:cs="宋体"/>
                <w:color w:val="auto"/>
                <w:szCs w:val="21"/>
                <w:highlight w:val="none"/>
                <w:lang w:eastAsia="zh-CN"/>
              </w:rPr>
              <w:t>所属时间在2025年04月至投标截止日期前</w:t>
            </w:r>
            <w:r>
              <w:rPr>
                <w:rFonts w:hint="eastAsia" w:ascii="宋体" w:hAnsi="宋体" w:cs="宋体"/>
                <w:b/>
                <w:bCs/>
                <w:color w:val="auto"/>
                <w:szCs w:val="21"/>
                <w:highlight w:val="none"/>
              </w:rPr>
              <w:t>任意1个月</w:t>
            </w:r>
            <w:r>
              <w:rPr>
                <w:rFonts w:hint="eastAsia" w:ascii="宋体" w:hAnsi="宋体" w:cs="宋体"/>
                <w:color w:val="auto"/>
                <w:szCs w:val="21"/>
                <w:highlight w:val="none"/>
              </w:rPr>
              <w:t>的社会保险费缴款书复印件/扫描件或银行电子缴税（费）凭证复印件/扫描件或社保管理部门出具的有效的缴款证明复印件/扫描件。</w:t>
            </w:r>
            <w:r>
              <w:rPr>
                <w:rFonts w:hint="eastAsia" w:ascii="宋体" w:hAnsi="宋体"/>
                <w:b/>
                <w:bCs/>
                <w:color w:val="auto"/>
                <w:szCs w:val="21"/>
                <w:highlight w:val="none"/>
              </w:rPr>
              <w:t>（</w:t>
            </w:r>
            <w:r>
              <w:rPr>
                <w:rFonts w:hint="eastAsia" w:ascii="宋体" w:hAnsi="宋体" w:cs="宋体"/>
                <w:b/>
                <w:color w:val="auto"/>
                <w:szCs w:val="21"/>
                <w:highlight w:val="none"/>
              </w:rPr>
              <w:t>新成立的</w:t>
            </w:r>
            <w:r>
              <w:rPr>
                <w:rFonts w:hint="eastAsia" w:ascii="宋体" w:hAnsi="宋体"/>
                <w:b/>
                <w:color w:val="auto"/>
                <w:szCs w:val="21"/>
                <w:highlight w:val="none"/>
              </w:rPr>
              <w:t>供应商</w:t>
            </w:r>
            <w:r>
              <w:rPr>
                <w:rFonts w:hint="eastAsia" w:ascii="宋体" w:hAnsi="宋体" w:cs="宋体"/>
                <w:b/>
                <w:color w:val="auto"/>
                <w:szCs w:val="21"/>
                <w:highlight w:val="none"/>
              </w:rPr>
              <w:t>根据实际情况提供；</w:t>
            </w:r>
            <w:r>
              <w:rPr>
                <w:rFonts w:hint="eastAsia" w:ascii="宋体" w:hAnsi="宋体"/>
                <w:b/>
                <w:bCs/>
                <w:color w:val="auto"/>
                <w:kern w:val="0"/>
                <w:szCs w:val="21"/>
                <w:highlight w:val="none"/>
              </w:rPr>
              <w:t>依法不需要缴纳社会保障资金的供应商，应提供相应文件证明其不需要缴纳社会保障资金。</w:t>
            </w:r>
            <w:r>
              <w:rPr>
                <w:rFonts w:hint="eastAsia" w:ascii="宋体" w:hAnsi="宋体"/>
                <w:b/>
                <w:bCs/>
                <w:color w:val="auto"/>
                <w:szCs w:val="21"/>
                <w:highlight w:val="none"/>
              </w:rPr>
              <w:t>）</w:t>
            </w:r>
          </w:p>
        </w:tc>
      </w:tr>
      <w:tr w14:paraId="1A8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6E037B20">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16977164">
            <w:pPr>
              <w:adjustRightInd w:val="0"/>
              <w:snapToGrid w:val="0"/>
              <w:spacing w:line="360" w:lineRule="auto"/>
              <w:jc w:val="center"/>
              <w:rPr>
                <w:rFonts w:hint="eastAsia" w:ascii="宋体" w:hAnsi="宋体"/>
                <w:b/>
                <w:bCs/>
                <w:color w:val="auto"/>
                <w:szCs w:val="21"/>
                <w:highlight w:val="none"/>
              </w:rPr>
            </w:pPr>
          </w:p>
        </w:tc>
        <w:tc>
          <w:tcPr>
            <w:tcW w:w="438" w:type="pct"/>
            <w:tcBorders>
              <w:tl2br w:val="nil"/>
              <w:tr2bl w:val="nil"/>
            </w:tcBorders>
            <w:vAlign w:val="center"/>
          </w:tcPr>
          <w:p w14:paraId="4AE5B90F">
            <w:pPr>
              <w:adjustRightInd w:val="0"/>
              <w:snapToGrid w:val="0"/>
              <w:spacing w:line="360" w:lineRule="auto"/>
              <w:jc w:val="center"/>
              <w:rPr>
                <w:rFonts w:hint="eastAsia" w:ascii="宋体" w:hAnsi="宋体"/>
                <w:b/>
                <w:bCs/>
                <w:color w:val="auto"/>
                <w:szCs w:val="21"/>
                <w:highlight w:val="none"/>
              </w:rPr>
            </w:pPr>
            <w:r>
              <w:rPr>
                <w:rFonts w:hint="eastAsia" w:ascii="宋体" w:hAnsi="宋体" w:cs="宋体"/>
                <w:b/>
                <w:bCs/>
                <w:color w:val="auto"/>
                <w:highlight w:val="none"/>
              </w:rPr>
              <w:t>1</w:t>
            </w:r>
            <w:r>
              <w:rPr>
                <w:rFonts w:ascii="宋体" w:hAnsi="宋体" w:cs="宋体"/>
                <w:b/>
                <w:bCs/>
                <w:color w:val="auto"/>
                <w:highlight w:val="none"/>
              </w:rPr>
              <w:t>.6</w:t>
            </w:r>
          </w:p>
        </w:tc>
        <w:tc>
          <w:tcPr>
            <w:tcW w:w="3621" w:type="pct"/>
            <w:gridSpan w:val="2"/>
            <w:tcBorders>
              <w:tl2br w:val="nil"/>
              <w:tr2bl w:val="nil"/>
            </w:tcBorders>
            <w:vAlign w:val="center"/>
          </w:tcPr>
          <w:p w14:paraId="69F942F9">
            <w:pPr>
              <w:adjustRightInd w:val="0"/>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供应商必须提供参加政府采购活动前3年内在经营活动中没有重大违法记录的书面声明（重大违法记录，是指供应商因违法经营受到刑事处罚或者责令停产停业、吊销许可证或者执照、较大数额罚款等行政处罚）。</w:t>
            </w:r>
          </w:p>
        </w:tc>
      </w:tr>
      <w:tr w14:paraId="5AA25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690D317C">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3A30446E">
            <w:pPr>
              <w:adjustRightInd w:val="0"/>
              <w:snapToGrid w:val="0"/>
              <w:spacing w:line="360" w:lineRule="auto"/>
              <w:jc w:val="center"/>
              <w:rPr>
                <w:rFonts w:hint="eastAsia" w:ascii="宋体" w:hAnsi="宋体"/>
                <w:b/>
                <w:bCs/>
                <w:color w:val="auto"/>
                <w:szCs w:val="21"/>
                <w:highlight w:val="none"/>
              </w:rPr>
            </w:pPr>
          </w:p>
        </w:tc>
        <w:tc>
          <w:tcPr>
            <w:tcW w:w="4059" w:type="pct"/>
            <w:gridSpan w:val="3"/>
            <w:tcBorders>
              <w:tl2br w:val="nil"/>
              <w:tr2bl w:val="nil"/>
            </w:tcBorders>
            <w:vAlign w:val="center"/>
          </w:tcPr>
          <w:p w14:paraId="68BDF664">
            <w:pPr>
              <w:adjustRightInd w:val="0"/>
              <w:snapToGrid w:val="0"/>
              <w:spacing w:line="360" w:lineRule="auto"/>
              <w:jc w:val="left"/>
              <w:rPr>
                <w:rFonts w:hint="eastAsia" w:ascii="宋体" w:hAnsi="宋体"/>
                <w:b/>
                <w:bCs/>
                <w:color w:val="auto"/>
                <w:szCs w:val="21"/>
                <w:highlight w:val="none"/>
              </w:rPr>
            </w:pPr>
            <w:r>
              <w:rPr>
                <w:rFonts w:ascii="宋体" w:hAnsi="宋体"/>
                <w:b/>
                <w:bCs/>
                <w:color w:val="auto"/>
                <w:szCs w:val="21"/>
                <w:highlight w:val="none"/>
              </w:rPr>
              <w:t>2</w:t>
            </w:r>
            <w:r>
              <w:rPr>
                <w:rFonts w:hint="eastAsia" w:ascii="宋体" w:hAnsi="宋体"/>
                <w:b/>
                <w:bCs/>
                <w:color w:val="auto"/>
                <w:szCs w:val="21"/>
                <w:highlight w:val="none"/>
              </w:rPr>
              <w:t>、落实政府采购政策需满足的资格要求：</w:t>
            </w:r>
            <w:r>
              <w:rPr>
                <w:rFonts w:hint="eastAsia" w:ascii="宋体" w:hAnsi="宋体"/>
                <w:b/>
                <w:bCs/>
                <w:color w:val="auto"/>
                <w:szCs w:val="21"/>
                <w:highlight w:val="none"/>
                <w:lang w:eastAsia="zh-CN"/>
              </w:rPr>
              <w:t>本项目为非专门面向中小微企业采购的项目</w:t>
            </w:r>
            <w:r>
              <w:rPr>
                <w:rFonts w:hint="eastAsia" w:ascii="宋体" w:hAnsi="宋体"/>
                <w:b/>
                <w:bCs/>
                <w:color w:val="auto"/>
                <w:szCs w:val="21"/>
                <w:highlight w:val="none"/>
              </w:rPr>
              <w:t>（</w:t>
            </w:r>
            <w:r>
              <w:rPr>
                <w:rFonts w:hint="eastAsia" w:ascii="宋体" w:hAnsi="宋体"/>
                <w:b/>
                <w:bCs/>
                <w:color w:val="auto"/>
                <w:szCs w:val="21"/>
                <w:highlight w:val="none"/>
                <w:lang w:eastAsia="zh-CN"/>
              </w:rPr>
              <w:t>残疾人福利性单位、监狱企业视同中小微企业</w:t>
            </w:r>
            <w:r>
              <w:rPr>
                <w:rFonts w:hint="eastAsia" w:ascii="宋体" w:hAnsi="宋体"/>
                <w:b/>
                <w:bCs/>
                <w:color w:val="auto"/>
                <w:szCs w:val="21"/>
                <w:highlight w:val="none"/>
              </w:rPr>
              <w:t>）。</w:t>
            </w:r>
          </w:p>
        </w:tc>
      </w:tr>
      <w:tr w14:paraId="5B5DE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1FFC7627">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334D7017">
            <w:pPr>
              <w:adjustRightInd w:val="0"/>
              <w:snapToGrid w:val="0"/>
              <w:spacing w:line="360" w:lineRule="auto"/>
              <w:jc w:val="center"/>
              <w:rPr>
                <w:rFonts w:hint="eastAsia" w:ascii="宋体" w:hAnsi="宋体"/>
                <w:b/>
                <w:bCs/>
                <w:color w:val="auto"/>
                <w:szCs w:val="21"/>
                <w:highlight w:val="none"/>
              </w:rPr>
            </w:pPr>
          </w:p>
        </w:tc>
        <w:tc>
          <w:tcPr>
            <w:tcW w:w="4059" w:type="pct"/>
            <w:gridSpan w:val="3"/>
            <w:tcBorders>
              <w:tl2br w:val="nil"/>
              <w:tr2bl w:val="nil"/>
            </w:tcBorders>
            <w:vAlign w:val="center"/>
          </w:tcPr>
          <w:p w14:paraId="3CD1E57E">
            <w:pPr>
              <w:adjustRightInd w:val="0"/>
              <w:snapToGrid w:val="0"/>
              <w:spacing w:line="276" w:lineRule="auto"/>
              <w:jc w:val="left"/>
              <w:rPr>
                <w:rFonts w:hint="eastAsia" w:ascii="宋体" w:hAnsi="宋体"/>
                <w:b/>
                <w:bCs/>
                <w:color w:val="auto"/>
                <w:szCs w:val="21"/>
                <w:highlight w:val="none"/>
              </w:rPr>
            </w:pPr>
            <w:r>
              <w:rPr>
                <w:rFonts w:hint="eastAsia" w:ascii="宋体" w:hAnsi="宋体"/>
                <w:b/>
                <w:bCs/>
                <w:color w:val="auto"/>
                <w:szCs w:val="21"/>
                <w:highlight w:val="none"/>
              </w:rPr>
              <w:t>3、本项目的特定资格要求：</w:t>
            </w:r>
          </w:p>
        </w:tc>
      </w:tr>
      <w:tr w14:paraId="18998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1FFC8994">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3636C244">
            <w:pPr>
              <w:adjustRightInd w:val="0"/>
              <w:snapToGrid w:val="0"/>
              <w:spacing w:line="360" w:lineRule="auto"/>
              <w:jc w:val="center"/>
              <w:rPr>
                <w:rFonts w:hint="eastAsia" w:ascii="宋体" w:hAnsi="宋体"/>
                <w:b/>
                <w:bCs/>
                <w:color w:val="auto"/>
                <w:szCs w:val="21"/>
                <w:highlight w:val="none"/>
              </w:rPr>
            </w:pPr>
          </w:p>
        </w:tc>
        <w:tc>
          <w:tcPr>
            <w:tcW w:w="4059" w:type="pct"/>
            <w:gridSpan w:val="3"/>
            <w:tcBorders>
              <w:tl2br w:val="nil"/>
              <w:tr2bl w:val="nil"/>
            </w:tcBorders>
            <w:vAlign w:val="center"/>
          </w:tcPr>
          <w:p w14:paraId="6DC779D3">
            <w:pPr>
              <w:adjustRightInd w:val="0"/>
              <w:snapToGrid w:val="0"/>
              <w:spacing w:line="360" w:lineRule="auto"/>
              <w:jc w:val="left"/>
              <w:rPr>
                <w:rFonts w:hint="eastAsia" w:ascii="宋体" w:hAnsi="宋体" w:cs="宋体"/>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1</w:t>
            </w:r>
            <w:r>
              <w:rPr>
                <w:rFonts w:hint="eastAsia" w:ascii="宋体" w:hAnsi="宋体"/>
                <w:color w:val="auto"/>
                <w:szCs w:val="21"/>
                <w:highlight w:val="none"/>
                <w:lang w:eastAsia="zh-CN"/>
              </w:rPr>
              <w:t>供应商须具有建设行政主管部门核发的建筑工程施工总承包叁级或建筑装修装饰工程专业承包二级及以上资质，且应具有建设行政主管部门核发的在有效期内的安全生产许可证</w:t>
            </w:r>
            <w:r>
              <w:rPr>
                <w:rFonts w:hint="eastAsia" w:ascii="宋体" w:hAnsi="宋体"/>
                <w:b/>
                <w:bCs/>
                <w:color w:val="auto"/>
                <w:szCs w:val="21"/>
                <w:highlight w:val="none"/>
              </w:rPr>
              <w:t>。</w:t>
            </w:r>
          </w:p>
        </w:tc>
      </w:tr>
      <w:tr w14:paraId="0EABB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30A1842A">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3F58089D">
            <w:pPr>
              <w:adjustRightInd w:val="0"/>
              <w:snapToGrid w:val="0"/>
              <w:spacing w:line="360" w:lineRule="auto"/>
              <w:jc w:val="center"/>
              <w:rPr>
                <w:rFonts w:hint="eastAsia" w:ascii="宋体" w:hAnsi="宋体"/>
                <w:b/>
                <w:bCs/>
                <w:color w:val="auto"/>
                <w:szCs w:val="21"/>
                <w:highlight w:val="none"/>
              </w:rPr>
            </w:pPr>
          </w:p>
        </w:tc>
        <w:tc>
          <w:tcPr>
            <w:tcW w:w="4059" w:type="pct"/>
            <w:gridSpan w:val="3"/>
            <w:tcBorders>
              <w:tl2br w:val="nil"/>
              <w:tr2bl w:val="nil"/>
            </w:tcBorders>
            <w:vAlign w:val="center"/>
          </w:tcPr>
          <w:p w14:paraId="2F4F4235">
            <w:pPr>
              <w:adjustRightInd w:val="0"/>
              <w:snapToGrid w:val="0"/>
              <w:spacing w:line="360" w:lineRule="auto"/>
              <w:rPr>
                <w:rFonts w:hint="eastAsia" w:ascii="宋体" w:hAnsi="宋体" w:cs="宋体"/>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2</w:t>
            </w:r>
            <w:r>
              <w:rPr>
                <w:rFonts w:hint="eastAsia" w:ascii="宋体" w:hAnsi="宋体"/>
                <w:color w:val="auto"/>
                <w:szCs w:val="21"/>
                <w:highlight w:val="none"/>
                <w:lang w:eastAsia="zh-CN"/>
              </w:rPr>
              <w:t>供应商拟派的本项目的项目经理须须具备有效的贰级及以上注册建造师证（建筑工程专业）（须注册在本单位的），有效的安全生产考核合格证书（B证）</w:t>
            </w:r>
            <w:r>
              <w:rPr>
                <w:rFonts w:ascii="宋体" w:hAnsi="宋体"/>
                <w:color w:val="auto"/>
                <w:szCs w:val="21"/>
                <w:highlight w:val="none"/>
              </w:rPr>
              <w:t>，必须为供应商本单位人员（提供有效的劳动合同和</w:t>
            </w:r>
            <w:r>
              <w:rPr>
                <w:rFonts w:hint="eastAsia" w:ascii="宋体" w:hAnsi="宋体"/>
                <w:color w:val="auto"/>
                <w:szCs w:val="21"/>
                <w:highlight w:val="none"/>
              </w:rPr>
              <w:t>近三个月内开具的</w:t>
            </w:r>
            <w:r>
              <w:rPr>
                <w:rFonts w:ascii="宋体" w:hAnsi="宋体"/>
                <w:color w:val="auto"/>
                <w:szCs w:val="21"/>
                <w:highlight w:val="none"/>
              </w:rPr>
              <w:t>社保缴纳证明等证明材料）</w:t>
            </w:r>
            <w:r>
              <w:rPr>
                <w:rFonts w:hint="eastAsia" w:ascii="宋体" w:hAnsi="宋体"/>
                <w:color w:val="auto"/>
                <w:szCs w:val="21"/>
                <w:highlight w:val="none"/>
              </w:rPr>
              <w:t>，</w:t>
            </w:r>
            <w:r>
              <w:rPr>
                <w:rFonts w:ascii="宋体" w:hAnsi="宋体"/>
                <w:color w:val="auto"/>
                <w:szCs w:val="21"/>
                <w:highlight w:val="none"/>
              </w:rPr>
              <w:t>且未担任其它在建工程项目的项目经理</w:t>
            </w:r>
            <w:r>
              <w:rPr>
                <w:rFonts w:hint="eastAsia" w:ascii="宋体" w:hAnsi="宋体"/>
                <w:b/>
                <w:bCs/>
                <w:color w:val="auto"/>
                <w:szCs w:val="21"/>
                <w:highlight w:val="none"/>
              </w:rPr>
              <w:t>（提供无在建项目承诺书）</w:t>
            </w:r>
            <w:r>
              <w:rPr>
                <w:rFonts w:ascii="宋体" w:hAnsi="宋体"/>
                <w:color w:val="auto"/>
                <w:szCs w:val="21"/>
                <w:highlight w:val="none"/>
              </w:rPr>
              <w:t>。</w:t>
            </w:r>
            <w:r>
              <w:rPr>
                <w:rFonts w:hint="eastAsia" w:ascii="宋体" w:hAnsi="宋体"/>
                <w:color w:val="auto"/>
                <w:kern w:val="0"/>
                <w:szCs w:val="21"/>
                <w:highlight w:val="none"/>
              </w:rPr>
              <w:t>（</w:t>
            </w:r>
            <w:r>
              <w:rPr>
                <w:rFonts w:hint="eastAsia" w:ascii="宋体" w:hAnsi="宋体"/>
                <w:b/>
                <w:bCs/>
                <w:color w:val="auto"/>
                <w:kern w:val="0"/>
                <w:szCs w:val="21"/>
                <w:highlight w:val="none"/>
              </w:rPr>
              <w:t>注：</w:t>
            </w:r>
            <w:r>
              <w:rPr>
                <w:rFonts w:hint="eastAsia" w:ascii="宋体" w:hAnsi="宋体"/>
                <w:color w:val="auto"/>
                <w:kern w:val="0"/>
                <w:szCs w:val="21"/>
                <w:highlight w:val="none"/>
              </w:rPr>
              <w:t>若</w:t>
            </w:r>
            <w:r>
              <w:rPr>
                <w:rFonts w:ascii="宋体" w:hAnsi="宋体"/>
                <w:color w:val="auto"/>
                <w:szCs w:val="21"/>
                <w:highlight w:val="none"/>
              </w:rPr>
              <w:t>项目经理</w:t>
            </w:r>
            <w:r>
              <w:rPr>
                <w:rFonts w:hint="eastAsia" w:ascii="宋体" w:hAnsi="宋体"/>
                <w:color w:val="auto"/>
                <w:kern w:val="0"/>
                <w:szCs w:val="21"/>
                <w:highlight w:val="none"/>
              </w:rPr>
              <w:t>有在建工程，但已做变更的，需提供全套</w:t>
            </w:r>
            <w:r>
              <w:rPr>
                <w:rFonts w:ascii="宋体" w:hAnsi="宋体"/>
                <w:color w:val="auto"/>
                <w:szCs w:val="21"/>
                <w:highlight w:val="none"/>
              </w:rPr>
              <w:t>项目经理</w:t>
            </w:r>
            <w:r>
              <w:rPr>
                <w:rFonts w:hint="eastAsia" w:ascii="宋体" w:hAnsi="宋体"/>
                <w:color w:val="auto"/>
                <w:kern w:val="0"/>
                <w:szCs w:val="21"/>
                <w:highlight w:val="none"/>
              </w:rPr>
              <w:t>变更相关证明材料扫描件；若</w:t>
            </w:r>
            <w:r>
              <w:rPr>
                <w:rFonts w:ascii="宋体" w:hAnsi="宋体"/>
                <w:color w:val="auto"/>
                <w:szCs w:val="21"/>
                <w:highlight w:val="none"/>
              </w:rPr>
              <w:t>项目经理</w:t>
            </w:r>
            <w:r>
              <w:rPr>
                <w:rFonts w:hint="eastAsia" w:ascii="宋体" w:hAnsi="宋体"/>
                <w:color w:val="auto"/>
                <w:kern w:val="0"/>
                <w:szCs w:val="21"/>
                <w:highlight w:val="none"/>
              </w:rPr>
              <w:t>在本项目成交人确定前已在其他项目中中标（成交）并担任</w:t>
            </w:r>
            <w:r>
              <w:rPr>
                <w:rFonts w:ascii="宋体" w:hAnsi="宋体"/>
                <w:color w:val="auto"/>
                <w:szCs w:val="21"/>
                <w:highlight w:val="none"/>
              </w:rPr>
              <w:t>项目经理</w:t>
            </w:r>
            <w:r>
              <w:rPr>
                <w:rFonts w:hint="eastAsia" w:ascii="宋体" w:hAnsi="宋体"/>
                <w:color w:val="auto"/>
                <w:kern w:val="0"/>
                <w:szCs w:val="21"/>
                <w:highlight w:val="none"/>
              </w:rPr>
              <w:t>,且投标时未提供</w:t>
            </w:r>
            <w:r>
              <w:rPr>
                <w:rFonts w:ascii="宋体" w:hAnsi="宋体"/>
                <w:color w:val="auto"/>
                <w:szCs w:val="21"/>
                <w:highlight w:val="none"/>
              </w:rPr>
              <w:t>项目经理</w:t>
            </w:r>
            <w:r>
              <w:rPr>
                <w:rFonts w:hint="eastAsia" w:ascii="宋体" w:hAnsi="宋体"/>
                <w:color w:val="auto"/>
                <w:kern w:val="0"/>
                <w:szCs w:val="21"/>
                <w:highlight w:val="none"/>
              </w:rPr>
              <w:t>变更材料的，视其为“担任其他在建设工程项目的</w:t>
            </w:r>
            <w:r>
              <w:rPr>
                <w:rFonts w:ascii="宋体" w:hAnsi="宋体"/>
                <w:color w:val="auto"/>
                <w:szCs w:val="21"/>
                <w:highlight w:val="none"/>
              </w:rPr>
              <w:t>项目经理</w:t>
            </w:r>
            <w:r>
              <w:rPr>
                <w:rFonts w:hint="eastAsia" w:ascii="宋体" w:hAnsi="宋体"/>
                <w:color w:val="auto"/>
                <w:kern w:val="0"/>
                <w:szCs w:val="21"/>
                <w:highlight w:val="none"/>
              </w:rPr>
              <w:t>”)</w:t>
            </w:r>
            <w:r>
              <w:rPr>
                <w:rFonts w:ascii="宋体" w:hAnsi="宋体"/>
                <w:color w:val="auto"/>
                <w:szCs w:val="21"/>
                <w:highlight w:val="none"/>
              </w:rPr>
              <w:t>。</w:t>
            </w:r>
          </w:p>
        </w:tc>
      </w:tr>
      <w:tr w14:paraId="4BE9F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3BDB2543">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61314B23">
            <w:pPr>
              <w:adjustRightInd w:val="0"/>
              <w:snapToGrid w:val="0"/>
              <w:spacing w:line="360" w:lineRule="auto"/>
              <w:jc w:val="center"/>
              <w:rPr>
                <w:rFonts w:hint="eastAsia" w:ascii="宋体" w:hAnsi="宋体"/>
                <w:b/>
                <w:bCs/>
                <w:color w:val="auto"/>
                <w:szCs w:val="21"/>
                <w:highlight w:val="none"/>
              </w:rPr>
            </w:pPr>
          </w:p>
        </w:tc>
        <w:tc>
          <w:tcPr>
            <w:tcW w:w="4059" w:type="pct"/>
            <w:gridSpan w:val="3"/>
            <w:tcBorders>
              <w:tl2br w:val="nil"/>
              <w:tr2bl w:val="nil"/>
            </w:tcBorders>
            <w:vAlign w:val="center"/>
          </w:tcPr>
          <w:p w14:paraId="3B1C68B7">
            <w:pPr>
              <w:adjustRightInd w:val="0"/>
              <w:snapToGrid w:val="0"/>
              <w:spacing w:line="360" w:lineRule="auto"/>
              <w:jc w:val="left"/>
              <w:rPr>
                <w:rFonts w:hint="eastAsia" w:ascii="宋体" w:hAnsi="宋体"/>
                <w:color w:val="auto"/>
                <w:szCs w:val="21"/>
                <w:highlight w:val="none"/>
              </w:rPr>
            </w:pPr>
            <w:r>
              <w:rPr>
                <w:rFonts w:hint="eastAsia" w:ascii="宋体" w:hAnsi="宋体" w:cs="宋体"/>
                <w:b/>
                <w:bCs/>
                <w:color w:val="auto"/>
                <w:szCs w:val="21"/>
                <w:highlight w:val="none"/>
              </w:rPr>
              <w:t>3.3</w:t>
            </w:r>
            <w:r>
              <w:rPr>
                <w:rFonts w:hint="eastAsia" w:ascii="宋体" w:hAnsi="宋体" w:cs="宋体"/>
                <w:color w:val="auto"/>
                <w:szCs w:val="21"/>
                <w:highlight w:val="none"/>
              </w:rPr>
              <w:t>供应商未被列入“信用中国”网站（www.creditchina.gov.cn）失信被执行人、重大税收违法失信主体、政府采购严重违法失信行为记录名单，及未被列入中国政府采购网（www.ccgp.gov.cn）“政府采购严重违法失信行为信息记录”。</w:t>
            </w:r>
            <w:r>
              <w:rPr>
                <w:rFonts w:hint="eastAsia" w:ascii="宋体" w:hAnsi="宋体" w:cs="宋体"/>
                <w:b/>
                <w:bCs/>
                <w:color w:val="auto"/>
                <w:szCs w:val="21"/>
                <w:highlight w:val="none"/>
              </w:rPr>
              <w:t>（以截止时间后磋商现场工作人员查询结果为准）。</w:t>
            </w:r>
          </w:p>
        </w:tc>
      </w:tr>
      <w:tr w14:paraId="3AE32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vMerge w:val="continue"/>
            <w:tcBorders>
              <w:tl2br w:val="nil"/>
              <w:tr2bl w:val="nil"/>
            </w:tcBorders>
            <w:vAlign w:val="center"/>
          </w:tcPr>
          <w:p w14:paraId="69A7DA53">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676F9FCE">
            <w:pPr>
              <w:adjustRightInd w:val="0"/>
              <w:snapToGrid w:val="0"/>
              <w:spacing w:line="360" w:lineRule="auto"/>
              <w:jc w:val="center"/>
              <w:rPr>
                <w:rFonts w:hint="eastAsia" w:ascii="宋体" w:hAnsi="宋体"/>
                <w:b/>
                <w:bCs/>
                <w:color w:val="auto"/>
                <w:szCs w:val="21"/>
                <w:highlight w:val="none"/>
              </w:rPr>
            </w:pPr>
          </w:p>
        </w:tc>
        <w:tc>
          <w:tcPr>
            <w:tcW w:w="4059" w:type="pct"/>
            <w:gridSpan w:val="3"/>
            <w:tcBorders>
              <w:tl2br w:val="nil"/>
              <w:tr2bl w:val="nil"/>
            </w:tcBorders>
            <w:vAlign w:val="center"/>
          </w:tcPr>
          <w:p w14:paraId="40529321">
            <w:pPr>
              <w:adjustRightInd w:val="0"/>
              <w:snapToGrid w:val="0"/>
              <w:spacing w:line="360" w:lineRule="auto"/>
              <w:jc w:val="left"/>
              <w:rPr>
                <w:rFonts w:hint="eastAsia" w:ascii="宋体" w:hAnsi="宋体"/>
                <w:color w:val="auto"/>
                <w:szCs w:val="21"/>
                <w:highlight w:val="none"/>
              </w:rPr>
            </w:pPr>
            <w:r>
              <w:rPr>
                <w:rFonts w:hint="eastAsia" w:ascii="宋体" w:hAnsi="宋体"/>
                <w:b/>
                <w:bCs/>
                <w:color w:val="auto"/>
                <w:szCs w:val="21"/>
                <w:highlight w:val="none"/>
              </w:rPr>
              <w:t>3.4</w:t>
            </w:r>
            <w:r>
              <w:rPr>
                <w:rFonts w:hint="eastAsia" w:ascii="宋体" w:hAnsi="宋体"/>
                <w:color w:val="auto"/>
                <w:szCs w:val="21"/>
                <w:highlight w:val="none"/>
              </w:rPr>
              <w:t>单位负责人为同一人或者存在直接控股、管理关系的不同供应商，不得参加同一合同项下的政府采购活动</w:t>
            </w:r>
            <w:r>
              <w:rPr>
                <w:rFonts w:hint="eastAsia" w:ascii="宋体" w:hAnsi="宋体"/>
                <w:b/>
                <w:bCs/>
                <w:color w:val="auto"/>
                <w:szCs w:val="21"/>
                <w:highlight w:val="none"/>
              </w:rPr>
              <w:t>。</w:t>
            </w:r>
            <w:r>
              <w:rPr>
                <w:rFonts w:hint="eastAsia" w:ascii="宋体" w:hAnsi="宋体" w:cs="宋体"/>
                <w:b/>
                <w:bCs/>
                <w:color w:val="auto"/>
                <w:szCs w:val="21"/>
                <w:highlight w:val="none"/>
              </w:rPr>
              <w:t>（提供承诺书）</w:t>
            </w:r>
          </w:p>
        </w:tc>
      </w:tr>
      <w:tr w14:paraId="70522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vAlign w:val="center"/>
          </w:tcPr>
          <w:p w14:paraId="119D9C90">
            <w:pPr>
              <w:adjustRightInd w:val="0"/>
              <w:snapToGrid w:val="0"/>
              <w:spacing w:line="360" w:lineRule="auto"/>
              <w:jc w:val="center"/>
              <w:rPr>
                <w:rFonts w:hint="eastAsia" w:ascii="宋体" w:hAnsi="宋体"/>
                <w:b/>
                <w:bCs/>
                <w:color w:val="auto"/>
                <w:szCs w:val="21"/>
                <w:highlight w:val="none"/>
              </w:rPr>
            </w:pPr>
          </w:p>
        </w:tc>
        <w:tc>
          <w:tcPr>
            <w:tcW w:w="460" w:type="pct"/>
            <w:vMerge w:val="continue"/>
            <w:tcBorders>
              <w:tl2br w:val="nil"/>
              <w:tr2bl w:val="nil"/>
            </w:tcBorders>
            <w:vAlign w:val="center"/>
          </w:tcPr>
          <w:p w14:paraId="668C0279">
            <w:pPr>
              <w:adjustRightInd w:val="0"/>
              <w:snapToGrid w:val="0"/>
              <w:spacing w:line="360" w:lineRule="auto"/>
              <w:jc w:val="center"/>
              <w:rPr>
                <w:rFonts w:hint="eastAsia" w:ascii="宋体" w:hAnsi="宋体"/>
                <w:b/>
                <w:bCs/>
                <w:color w:val="auto"/>
                <w:szCs w:val="21"/>
                <w:highlight w:val="none"/>
              </w:rPr>
            </w:pPr>
          </w:p>
        </w:tc>
        <w:tc>
          <w:tcPr>
            <w:tcW w:w="4059" w:type="pct"/>
            <w:gridSpan w:val="3"/>
            <w:tcBorders>
              <w:tl2br w:val="nil"/>
              <w:tr2bl w:val="nil"/>
            </w:tcBorders>
            <w:vAlign w:val="center"/>
          </w:tcPr>
          <w:p w14:paraId="2447C4B5">
            <w:pPr>
              <w:adjustRightInd w:val="0"/>
              <w:snapToGrid w:val="0"/>
              <w:spacing w:line="276" w:lineRule="auto"/>
              <w:jc w:val="left"/>
              <w:rPr>
                <w:rFonts w:hint="eastAsia" w:ascii="宋体" w:hAnsi="宋体"/>
                <w:color w:val="auto"/>
                <w:szCs w:val="21"/>
                <w:highlight w:val="none"/>
              </w:rPr>
            </w:pPr>
            <w:r>
              <w:rPr>
                <w:rFonts w:hint="eastAsia" w:ascii="宋体" w:hAnsi="宋体"/>
                <w:b/>
                <w:bCs/>
                <w:color w:val="auto"/>
                <w:szCs w:val="21"/>
                <w:highlight w:val="none"/>
              </w:rPr>
              <w:t>3.5</w:t>
            </w:r>
            <w:r>
              <w:rPr>
                <w:rFonts w:hint="eastAsia" w:ascii="宋体" w:hAnsi="宋体"/>
                <w:color w:val="auto"/>
                <w:szCs w:val="21"/>
                <w:highlight w:val="none"/>
              </w:rPr>
              <w:t>本次磋商不接受联合体。</w:t>
            </w:r>
          </w:p>
        </w:tc>
      </w:tr>
      <w:tr w14:paraId="2AA6E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vAlign w:val="center"/>
          </w:tcPr>
          <w:p w14:paraId="1B4A364A">
            <w:pPr>
              <w:adjustRightInd w:val="0"/>
              <w:snapToGrid w:val="0"/>
              <w:spacing w:line="360" w:lineRule="auto"/>
              <w:jc w:val="center"/>
              <w:rPr>
                <w:rFonts w:hint="eastAsia" w:ascii="宋体" w:hAnsi="宋体"/>
                <w:color w:val="auto"/>
                <w:szCs w:val="21"/>
                <w:highlight w:val="none"/>
              </w:rPr>
            </w:pPr>
          </w:p>
        </w:tc>
        <w:tc>
          <w:tcPr>
            <w:tcW w:w="460" w:type="pct"/>
            <w:vMerge w:val="restart"/>
            <w:tcBorders>
              <w:tl2br w:val="nil"/>
              <w:tr2bl w:val="nil"/>
            </w:tcBorders>
            <w:vAlign w:val="center"/>
          </w:tcPr>
          <w:p w14:paraId="091180F0">
            <w:pPr>
              <w:adjustRightInd w:val="0"/>
              <w:snapToGrid w:val="0"/>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（二）符合性评审标准</w:t>
            </w:r>
          </w:p>
        </w:tc>
        <w:tc>
          <w:tcPr>
            <w:tcW w:w="729" w:type="pct"/>
            <w:gridSpan w:val="2"/>
            <w:tcBorders>
              <w:tl2br w:val="nil"/>
              <w:tr2bl w:val="nil"/>
            </w:tcBorders>
            <w:vAlign w:val="center"/>
          </w:tcPr>
          <w:p w14:paraId="7F8C38AC">
            <w:pPr>
              <w:adjustRightInd w:val="0"/>
              <w:snapToGrid w:val="0"/>
              <w:spacing w:line="276" w:lineRule="auto"/>
              <w:jc w:val="center"/>
              <w:rPr>
                <w:rFonts w:hint="eastAsia" w:ascii="宋体" w:hAnsi="宋体"/>
                <w:b/>
                <w:bCs/>
                <w:color w:val="auto"/>
                <w:szCs w:val="21"/>
                <w:highlight w:val="none"/>
              </w:rPr>
            </w:pPr>
            <w:r>
              <w:rPr>
                <w:rFonts w:hint="eastAsia" w:ascii="宋体" w:hAnsi="宋体"/>
                <w:b/>
                <w:bCs/>
                <w:color w:val="auto"/>
                <w:szCs w:val="21"/>
                <w:highlight w:val="none"/>
              </w:rPr>
              <w:t>磋商报价</w:t>
            </w:r>
          </w:p>
        </w:tc>
        <w:tc>
          <w:tcPr>
            <w:tcW w:w="3330" w:type="pct"/>
            <w:tcBorders>
              <w:tl2br w:val="nil"/>
              <w:tr2bl w:val="nil"/>
            </w:tcBorders>
            <w:vAlign w:val="center"/>
          </w:tcPr>
          <w:p w14:paraId="4167153F">
            <w:pPr>
              <w:adjustRightInd w:val="0"/>
              <w:snapToGrid w:val="0"/>
              <w:spacing w:line="276" w:lineRule="auto"/>
              <w:jc w:val="left"/>
              <w:rPr>
                <w:rFonts w:hint="eastAsia" w:ascii="宋体" w:hAnsi="宋体"/>
                <w:color w:val="auto"/>
                <w:szCs w:val="21"/>
                <w:highlight w:val="none"/>
              </w:rPr>
            </w:pPr>
            <w:r>
              <w:rPr>
                <w:rFonts w:hint="eastAsia" w:ascii="宋体" w:hAnsi="宋体"/>
                <w:color w:val="auto"/>
                <w:szCs w:val="21"/>
                <w:highlight w:val="none"/>
              </w:rPr>
              <w:t>磋商报价未超过竞争性磋商文件规定的预算金额或最高限价。</w:t>
            </w:r>
          </w:p>
        </w:tc>
      </w:tr>
      <w:tr w14:paraId="3D73B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vAlign w:val="center"/>
          </w:tcPr>
          <w:p w14:paraId="601E56B5">
            <w:pPr>
              <w:adjustRightInd w:val="0"/>
              <w:snapToGrid w:val="0"/>
              <w:spacing w:line="360" w:lineRule="auto"/>
              <w:jc w:val="center"/>
              <w:rPr>
                <w:rFonts w:hint="eastAsia" w:ascii="宋体" w:hAnsi="宋体"/>
                <w:color w:val="auto"/>
                <w:szCs w:val="21"/>
                <w:highlight w:val="none"/>
              </w:rPr>
            </w:pPr>
          </w:p>
        </w:tc>
        <w:tc>
          <w:tcPr>
            <w:tcW w:w="460" w:type="pct"/>
            <w:vMerge w:val="continue"/>
            <w:tcBorders>
              <w:tl2br w:val="nil"/>
              <w:tr2bl w:val="nil"/>
            </w:tcBorders>
            <w:vAlign w:val="center"/>
          </w:tcPr>
          <w:p w14:paraId="06F14562">
            <w:pPr>
              <w:adjustRightInd w:val="0"/>
              <w:snapToGrid w:val="0"/>
              <w:spacing w:line="360" w:lineRule="auto"/>
              <w:jc w:val="center"/>
              <w:rPr>
                <w:rFonts w:hint="eastAsia" w:ascii="宋体" w:hAnsi="宋体"/>
                <w:color w:val="auto"/>
                <w:szCs w:val="21"/>
                <w:highlight w:val="none"/>
              </w:rPr>
            </w:pPr>
          </w:p>
        </w:tc>
        <w:tc>
          <w:tcPr>
            <w:tcW w:w="729" w:type="pct"/>
            <w:gridSpan w:val="2"/>
            <w:tcBorders>
              <w:tl2br w:val="nil"/>
              <w:tr2bl w:val="nil"/>
            </w:tcBorders>
            <w:vAlign w:val="center"/>
          </w:tcPr>
          <w:p w14:paraId="70FF7C18">
            <w:pPr>
              <w:adjustRightInd w:val="0"/>
              <w:snapToGrid w:val="0"/>
              <w:spacing w:line="276" w:lineRule="auto"/>
              <w:jc w:val="center"/>
              <w:rPr>
                <w:rFonts w:hint="eastAsia" w:ascii="宋体" w:hAnsi="宋体" w:cs="宋体"/>
                <w:b/>
                <w:bCs/>
                <w:color w:val="auto"/>
                <w:szCs w:val="21"/>
                <w:highlight w:val="none"/>
              </w:rPr>
            </w:pPr>
            <w:r>
              <w:rPr>
                <w:rFonts w:hint="eastAsia" w:ascii="宋体" w:hAnsi="宋体"/>
                <w:b/>
                <w:bCs/>
                <w:color w:val="auto"/>
                <w:szCs w:val="21"/>
                <w:highlight w:val="none"/>
              </w:rPr>
              <w:t>磋商</w:t>
            </w:r>
            <w:r>
              <w:rPr>
                <w:rFonts w:ascii="宋体" w:hAnsi="宋体"/>
                <w:b/>
                <w:bCs/>
                <w:color w:val="auto"/>
                <w:szCs w:val="21"/>
                <w:highlight w:val="none"/>
              </w:rPr>
              <w:t>保证金</w:t>
            </w:r>
          </w:p>
        </w:tc>
        <w:tc>
          <w:tcPr>
            <w:tcW w:w="3330" w:type="pct"/>
            <w:tcBorders>
              <w:tl2br w:val="nil"/>
              <w:tr2bl w:val="nil"/>
            </w:tcBorders>
            <w:vAlign w:val="center"/>
          </w:tcPr>
          <w:p w14:paraId="1448871A">
            <w:pPr>
              <w:adjustRightInd w:val="0"/>
              <w:snapToGrid w:val="0"/>
              <w:spacing w:line="276" w:lineRule="auto"/>
              <w:jc w:val="left"/>
              <w:rPr>
                <w:rFonts w:hint="eastAsia" w:ascii="宋体" w:hAnsi="宋体" w:cs="宋体"/>
                <w:color w:val="auto"/>
                <w:szCs w:val="21"/>
                <w:highlight w:val="none"/>
              </w:rPr>
            </w:pPr>
            <w:r>
              <w:rPr>
                <w:rFonts w:ascii="宋体" w:hAnsi="宋体"/>
                <w:color w:val="auto"/>
                <w:szCs w:val="21"/>
                <w:highlight w:val="none"/>
              </w:rPr>
              <w:t>符合第二章“供应商须知</w:t>
            </w:r>
            <w:r>
              <w:rPr>
                <w:rFonts w:hint="eastAsia" w:ascii="宋体" w:hAnsi="宋体"/>
                <w:color w:val="auto"/>
                <w:szCs w:val="21"/>
                <w:highlight w:val="none"/>
              </w:rPr>
              <w:t>前附表</w:t>
            </w:r>
            <w:r>
              <w:rPr>
                <w:rFonts w:ascii="宋体" w:hAnsi="宋体"/>
                <w:color w:val="auto"/>
                <w:szCs w:val="21"/>
                <w:highlight w:val="none"/>
              </w:rPr>
              <w:t>”第1</w:t>
            </w:r>
            <w:r>
              <w:rPr>
                <w:rFonts w:hint="eastAsia" w:ascii="宋体" w:hAnsi="宋体"/>
                <w:color w:val="auto"/>
                <w:szCs w:val="21"/>
                <w:highlight w:val="none"/>
              </w:rPr>
              <w:t>5.2</w:t>
            </w:r>
            <w:r>
              <w:rPr>
                <w:rFonts w:ascii="宋体" w:hAnsi="宋体"/>
                <w:color w:val="auto"/>
                <w:szCs w:val="21"/>
                <w:highlight w:val="none"/>
              </w:rPr>
              <w:t>项规定</w:t>
            </w:r>
            <w:r>
              <w:rPr>
                <w:rFonts w:hint="eastAsia" w:ascii="宋体" w:hAnsi="宋体"/>
                <w:color w:val="auto"/>
                <w:szCs w:val="21"/>
                <w:highlight w:val="none"/>
              </w:rPr>
              <w:t>。</w:t>
            </w:r>
          </w:p>
        </w:tc>
      </w:tr>
      <w:tr w14:paraId="59AA6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vAlign w:val="center"/>
          </w:tcPr>
          <w:p w14:paraId="1B3E858F">
            <w:pPr>
              <w:adjustRightInd w:val="0"/>
              <w:snapToGrid w:val="0"/>
              <w:spacing w:line="360" w:lineRule="auto"/>
              <w:jc w:val="center"/>
              <w:rPr>
                <w:rFonts w:hint="eastAsia" w:ascii="宋体" w:hAnsi="宋体"/>
                <w:color w:val="auto"/>
                <w:szCs w:val="21"/>
                <w:highlight w:val="none"/>
              </w:rPr>
            </w:pPr>
          </w:p>
        </w:tc>
        <w:tc>
          <w:tcPr>
            <w:tcW w:w="460" w:type="pct"/>
            <w:vMerge w:val="continue"/>
            <w:tcBorders>
              <w:tl2br w:val="nil"/>
              <w:tr2bl w:val="nil"/>
            </w:tcBorders>
            <w:vAlign w:val="center"/>
          </w:tcPr>
          <w:p w14:paraId="48968D66">
            <w:pPr>
              <w:adjustRightInd w:val="0"/>
              <w:snapToGrid w:val="0"/>
              <w:spacing w:line="360" w:lineRule="auto"/>
              <w:jc w:val="center"/>
              <w:rPr>
                <w:rFonts w:hint="eastAsia" w:ascii="宋体" w:hAnsi="宋体"/>
                <w:color w:val="auto"/>
                <w:szCs w:val="21"/>
                <w:highlight w:val="none"/>
              </w:rPr>
            </w:pPr>
          </w:p>
        </w:tc>
        <w:tc>
          <w:tcPr>
            <w:tcW w:w="729" w:type="pct"/>
            <w:gridSpan w:val="2"/>
            <w:tcBorders>
              <w:tl2br w:val="nil"/>
              <w:tr2bl w:val="nil"/>
            </w:tcBorders>
            <w:vAlign w:val="center"/>
          </w:tcPr>
          <w:p w14:paraId="52BB62B6">
            <w:pPr>
              <w:adjustRightInd w:val="0"/>
              <w:snapToGrid w:val="0"/>
              <w:spacing w:line="276"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签署、盖章</w:t>
            </w:r>
          </w:p>
        </w:tc>
        <w:tc>
          <w:tcPr>
            <w:tcW w:w="3330" w:type="pct"/>
            <w:tcBorders>
              <w:tl2br w:val="nil"/>
              <w:tr2bl w:val="nil"/>
            </w:tcBorders>
            <w:vAlign w:val="center"/>
          </w:tcPr>
          <w:p w14:paraId="79C6C617">
            <w:pPr>
              <w:adjustRightInd w:val="0"/>
              <w:snapToGrid w:val="0"/>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响应文件按磋商文件要求签署、盖章的。</w:t>
            </w:r>
          </w:p>
        </w:tc>
      </w:tr>
      <w:tr w14:paraId="126F5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Merge w:val="continue"/>
            <w:tcBorders>
              <w:tl2br w:val="nil"/>
              <w:tr2bl w:val="nil"/>
            </w:tcBorders>
            <w:vAlign w:val="center"/>
          </w:tcPr>
          <w:p w14:paraId="70429E20">
            <w:pPr>
              <w:adjustRightInd w:val="0"/>
              <w:snapToGrid w:val="0"/>
              <w:spacing w:line="360" w:lineRule="auto"/>
              <w:jc w:val="center"/>
              <w:rPr>
                <w:rFonts w:hint="eastAsia" w:ascii="宋体" w:hAnsi="宋体"/>
                <w:color w:val="auto"/>
                <w:szCs w:val="21"/>
                <w:highlight w:val="none"/>
              </w:rPr>
            </w:pPr>
          </w:p>
        </w:tc>
        <w:tc>
          <w:tcPr>
            <w:tcW w:w="460" w:type="pct"/>
            <w:vMerge w:val="continue"/>
            <w:tcBorders>
              <w:tl2br w:val="nil"/>
              <w:tr2bl w:val="nil"/>
            </w:tcBorders>
            <w:vAlign w:val="center"/>
          </w:tcPr>
          <w:p w14:paraId="46B9161B">
            <w:pPr>
              <w:adjustRightInd w:val="0"/>
              <w:snapToGrid w:val="0"/>
              <w:spacing w:line="360" w:lineRule="auto"/>
              <w:jc w:val="center"/>
              <w:rPr>
                <w:rFonts w:hint="eastAsia" w:ascii="宋体" w:hAnsi="宋体"/>
                <w:color w:val="auto"/>
                <w:szCs w:val="21"/>
                <w:highlight w:val="none"/>
              </w:rPr>
            </w:pPr>
          </w:p>
        </w:tc>
        <w:tc>
          <w:tcPr>
            <w:tcW w:w="729" w:type="pct"/>
            <w:gridSpan w:val="2"/>
            <w:tcBorders>
              <w:tl2br w:val="nil"/>
              <w:tr2bl w:val="nil"/>
            </w:tcBorders>
            <w:vAlign w:val="center"/>
          </w:tcPr>
          <w:p w14:paraId="4591D39D">
            <w:pPr>
              <w:adjustRightInd w:val="0"/>
              <w:snapToGrid w:val="0"/>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工程量清单</w:t>
            </w:r>
          </w:p>
        </w:tc>
        <w:tc>
          <w:tcPr>
            <w:tcW w:w="3330" w:type="pct"/>
            <w:tcBorders>
              <w:tl2br w:val="nil"/>
              <w:tr2bl w:val="nil"/>
            </w:tcBorders>
            <w:vAlign w:val="center"/>
          </w:tcPr>
          <w:p w14:paraId="067004A8">
            <w:pPr>
              <w:adjustRightInd w:val="0"/>
              <w:snapToGrid w:val="0"/>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b/>
                <w:bCs/>
                <w:color w:val="auto"/>
                <w:szCs w:val="21"/>
                <w:highlight w:val="none"/>
              </w:rPr>
              <w:t>第五章 项目需求 四、工程量清单</w:t>
            </w:r>
            <w:r>
              <w:rPr>
                <w:rFonts w:hint="eastAsia" w:ascii="宋体" w:hAnsi="宋体" w:cs="宋体"/>
                <w:color w:val="auto"/>
                <w:szCs w:val="21"/>
                <w:highlight w:val="none"/>
              </w:rPr>
              <w:t>”给出的序号、项目名称、项目特征描述、计量单位和工程量、暂列金、暂估价，工程量清单报价完整，不存在有漏项、缺项。</w:t>
            </w:r>
          </w:p>
        </w:tc>
      </w:tr>
      <w:tr w14:paraId="38B49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79" w:type="pct"/>
            <w:vMerge w:val="continue"/>
            <w:tcBorders>
              <w:tl2br w:val="nil"/>
              <w:tr2bl w:val="nil"/>
            </w:tcBorders>
            <w:vAlign w:val="center"/>
          </w:tcPr>
          <w:p w14:paraId="79807185">
            <w:pPr>
              <w:adjustRightInd w:val="0"/>
              <w:snapToGrid w:val="0"/>
              <w:spacing w:line="360" w:lineRule="auto"/>
              <w:jc w:val="center"/>
              <w:rPr>
                <w:rFonts w:hint="eastAsia" w:ascii="宋体" w:hAnsi="宋体"/>
                <w:color w:val="auto"/>
                <w:szCs w:val="21"/>
                <w:highlight w:val="none"/>
              </w:rPr>
            </w:pPr>
          </w:p>
        </w:tc>
        <w:tc>
          <w:tcPr>
            <w:tcW w:w="460" w:type="pct"/>
            <w:vMerge w:val="continue"/>
            <w:tcBorders>
              <w:tl2br w:val="nil"/>
              <w:tr2bl w:val="nil"/>
            </w:tcBorders>
            <w:vAlign w:val="center"/>
          </w:tcPr>
          <w:p w14:paraId="4F90063C">
            <w:pPr>
              <w:adjustRightInd w:val="0"/>
              <w:snapToGrid w:val="0"/>
              <w:spacing w:line="360" w:lineRule="auto"/>
              <w:jc w:val="center"/>
              <w:rPr>
                <w:rFonts w:hint="eastAsia" w:ascii="宋体" w:hAnsi="宋体"/>
                <w:color w:val="auto"/>
                <w:szCs w:val="21"/>
                <w:highlight w:val="none"/>
              </w:rPr>
            </w:pPr>
          </w:p>
        </w:tc>
        <w:tc>
          <w:tcPr>
            <w:tcW w:w="729" w:type="pct"/>
            <w:gridSpan w:val="2"/>
            <w:tcBorders>
              <w:tl2br w:val="nil"/>
              <w:tr2bl w:val="nil"/>
            </w:tcBorders>
            <w:vAlign w:val="center"/>
          </w:tcPr>
          <w:p w14:paraId="634BFCA5">
            <w:pPr>
              <w:adjustRightInd w:val="0"/>
              <w:snapToGrid w:val="0"/>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其它实质性条件</w:t>
            </w:r>
          </w:p>
        </w:tc>
        <w:tc>
          <w:tcPr>
            <w:tcW w:w="3330" w:type="pct"/>
            <w:tcBorders>
              <w:tl2br w:val="nil"/>
              <w:tr2bl w:val="nil"/>
            </w:tcBorders>
            <w:vAlign w:val="center"/>
          </w:tcPr>
          <w:p w14:paraId="75281F67">
            <w:pPr>
              <w:adjustRightInd w:val="0"/>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供应商存在下列情况之一的，投标无效：</w:t>
            </w:r>
          </w:p>
          <w:p w14:paraId="1F49ADFA">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1.关键内容字迹潦草、表达不清、未按要求填写而导致非唯一理解的。</w:t>
            </w:r>
          </w:p>
          <w:p w14:paraId="3F5322E0">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2.报价书未按照采购人提供的工程量清单进行填报的。</w:t>
            </w:r>
          </w:p>
          <w:p w14:paraId="68A41786">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3.响应文件如果出现计算或表达上的错误，供应商不接受按磋商文件第六章《磋商程序及方法》第5款规定的原则进行修正的。</w:t>
            </w:r>
          </w:p>
          <w:p w14:paraId="7A27695C">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4.未实质性响应磋商文件标注★条款内容。</w:t>
            </w:r>
          </w:p>
          <w:p w14:paraId="5501EE06">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5.响应文件含有采购人不能接受的附加条件的。</w:t>
            </w:r>
          </w:p>
          <w:p w14:paraId="461542E8">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6.法律、法规和采购文件规定的其他无效情形。</w:t>
            </w:r>
          </w:p>
        </w:tc>
      </w:tr>
    </w:tbl>
    <w:p w14:paraId="0367CCFF">
      <w:pPr>
        <w:keepNext/>
        <w:keepLines/>
        <w:tabs>
          <w:tab w:val="left" w:pos="420"/>
          <w:tab w:val="left" w:pos="6090"/>
        </w:tabs>
        <w:adjustRightInd w:val="0"/>
        <w:snapToGrid w:val="0"/>
        <w:spacing w:line="360" w:lineRule="auto"/>
        <w:ind w:left="-2" w:leftChars="-1" w:firstLine="2"/>
        <w:jc w:val="center"/>
        <w:outlineLvl w:val="1"/>
        <w:rPr>
          <w:rFonts w:hint="eastAsia" w:ascii="宋体" w:hAnsi="宋体"/>
          <w:bCs/>
          <w:color w:val="auto"/>
          <w:sz w:val="30"/>
          <w:szCs w:val="28"/>
          <w:highlight w:val="none"/>
        </w:rPr>
      </w:pPr>
      <w:r>
        <w:rPr>
          <w:rFonts w:ascii="宋体" w:hAnsi="宋体"/>
          <w:color w:val="auto"/>
          <w:highlight w:val="none"/>
        </w:rPr>
        <w:br w:type="page"/>
      </w:r>
      <w:bookmarkStart w:id="1329" w:name="_Toc131546004"/>
      <w:bookmarkStart w:id="1330" w:name="_Toc139471161"/>
      <w:bookmarkStart w:id="1331" w:name="_Toc153917668"/>
      <w:bookmarkStart w:id="1332" w:name="_Toc179645155"/>
      <w:bookmarkStart w:id="1333" w:name="_Toc147601961"/>
      <w:bookmarkStart w:id="1334" w:name="_Toc16782"/>
      <w:bookmarkStart w:id="1335" w:name="_Toc102828263"/>
      <w:bookmarkStart w:id="1336" w:name="_Toc174031490"/>
      <w:r>
        <w:rPr>
          <w:rFonts w:hint="eastAsia" w:ascii="宋体" w:hAnsi="宋体"/>
          <w:b/>
          <w:bCs/>
          <w:color w:val="auto"/>
          <w:sz w:val="32"/>
          <w:szCs w:val="28"/>
          <w:highlight w:val="none"/>
        </w:rPr>
        <w:t>二、磋商程序及方法</w:t>
      </w:r>
      <w:bookmarkEnd w:id="1329"/>
      <w:bookmarkEnd w:id="1330"/>
      <w:bookmarkEnd w:id="1331"/>
      <w:bookmarkEnd w:id="1332"/>
      <w:bookmarkEnd w:id="1333"/>
      <w:bookmarkEnd w:id="1334"/>
      <w:bookmarkEnd w:id="1335"/>
      <w:bookmarkEnd w:id="1336"/>
    </w:p>
    <w:p w14:paraId="40301493">
      <w:pPr>
        <w:spacing w:line="360" w:lineRule="auto"/>
        <w:outlineLvl w:val="2"/>
        <w:rPr>
          <w:rFonts w:hint="eastAsia" w:ascii="宋体" w:hAnsi="宋体"/>
          <w:b/>
          <w:bCs/>
          <w:color w:val="auto"/>
          <w:sz w:val="24"/>
          <w:highlight w:val="none"/>
        </w:rPr>
      </w:pPr>
      <w:bookmarkStart w:id="1337" w:name="_Toc179645156"/>
      <w:bookmarkStart w:id="1338" w:name="_Toc139471162"/>
      <w:bookmarkStart w:id="1339" w:name="_Toc174031491"/>
      <w:bookmarkStart w:id="1340" w:name="_Toc174031577"/>
      <w:bookmarkStart w:id="1341" w:name="_Toc147601962"/>
      <w:bookmarkStart w:id="1342" w:name="_Toc153917669"/>
      <w:bookmarkStart w:id="1343" w:name="_Toc139471280"/>
      <w:bookmarkStart w:id="1344" w:name="_Toc131546005"/>
      <w:bookmarkStart w:id="1345" w:name="_Toc137737756"/>
      <w:r>
        <w:rPr>
          <w:rFonts w:hint="eastAsia" w:ascii="宋体" w:hAnsi="宋体"/>
          <w:b/>
          <w:bCs/>
          <w:color w:val="auto"/>
          <w:sz w:val="24"/>
          <w:highlight w:val="none"/>
        </w:rPr>
        <w:t>（一）</w:t>
      </w:r>
      <w:r>
        <w:rPr>
          <w:rFonts w:ascii="宋体" w:hAnsi="宋体"/>
          <w:b/>
          <w:bCs/>
          <w:color w:val="auto"/>
          <w:sz w:val="24"/>
          <w:highlight w:val="none"/>
        </w:rPr>
        <w:t>磋商方法</w:t>
      </w:r>
      <w:bookmarkEnd w:id="1337"/>
      <w:bookmarkEnd w:id="1338"/>
      <w:bookmarkEnd w:id="1339"/>
      <w:bookmarkEnd w:id="1340"/>
      <w:bookmarkEnd w:id="1341"/>
      <w:bookmarkEnd w:id="1342"/>
      <w:bookmarkEnd w:id="1343"/>
      <w:bookmarkEnd w:id="1344"/>
      <w:bookmarkEnd w:id="1345"/>
    </w:p>
    <w:p w14:paraId="0F921F4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根据《中华人民共和国政府采购法》、《中华人民共和国政府采购法实施条例》及省、市有关规定，磋商小组成员按照客观、公正、谨慎的原则，根据竞争性磋商文件规定的评审程序、评审方法和评审标准进行独立评审。</w:t>
      </w:r>
    </w:p>
    <w:p w14:paraId="73C5978A">
      <w:pPr>
        <w:adjustRightInd w:val="0"/>
        <w:snapToGrid w:val="0"/>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1.2</w:t>
      </w:r>
      <w:r>
        <w:rPr>
          <w:rFonts w:hint="eastAsia" w:ascii="宋体" w:hAnsi="宋体"/>
          <w:b/>
          <w:bCs/>
          <w:color w:val="auto"/>
          <w:szCs w:val="21"/>
          <w:highlight w:val="none"/>
        </w:rPr>
        <w:t>本次磋商采用综合评分法。</w:t>
      </w:r>
      <w:r>
        <w:rPr>
          <w:rFonts w:hint="eastAsia" w:ascii="宋体" w:hAnsi="宋体"/>
          <w:bCs/>
          <w:color w:val="auto"/>
          <w:szCs w:val="21"/>
          <w:highlight w:val="none"/>
        </w:rPr>
        <w:t>磋商小组将根据评审办法计算出各供应商的综合得分，按总得分由高到低的顺序推荐3名成交候选人；评标总得分相等时，磋商小组将依次按价格部分得分高优先、技术部分得分高优先、商务部分得分高优先的顺序推荐；所有得分均相等的，按优先采购监狱企业、残疾人福利性单位的服务原则推荐成交候选人；所有得分均相等且政府采购政策条件也相等的</w:t>
      </w:r>
      <w:r>
        <w:rPr>
          <w:rFonts w:hint="eastAsia" w:ascii="宋体" w:hAnsi="宋体" w:cs="宋体"/>
          <w:color w:val="auto"/>
          <w:szCs w:val="21"/>
          <w:highlight w:val="none"/>
        </w:rPr>
        <w:t>，由磋商小组采用记名投票方式，以少数服从多数原则推荐成交候选人。</w:t>
      </w:r>
    </w:p>
    <w:p w14:paraId="7E53794C">
      <w:pPr>
        <w:spacing w:line="360" w:lineRule="auto"/>
        <w:outlineLvl w:val="2"/>
        <w:rPr>
          <w:rFonts w:hint="eastAsia" w:ascii="宋体" w:hAnsi="宋体"/>
          <w:b/>
          <w:bCs/>
          <w:color w:val="auto"/>
          <w:sz w:val="24"/>
          <w:highlight w:val="none"/>
        </w:rPr>
      </w:pPr>
      <w:bookmarkStart w:id="1346" w:name="_Toc147601963"/>
      <w:bookmarkStart w:id="1347" w:name="_Toc137737757"/>
      <w:bookmarkStart w:id="1348" w:name="_Toc131546006"/>
      <w:bookmarkStart w:id="1349" w:name="_Toc139471163"/>
      <w:bookmarkStart w:id="1350" w:name="_Toc174031578"/>
      <w:bookmarkStart w:id="1351" w:name="_Toc174031492"/>
      <w:bookmarkStart w:id="1352" w:name="_Toc179645157"/>
      <w:bookmarkStart w:id="1353" w:name="_Toc153917670"/>
      <w:bookmarkStart w:id="1354" w:name="_Toc139471281"/>
      <w:r>
        <w:rPr>
          <w:rFonts w:hint="eastAsia" w:ascii="宋体" w:hAnsi="宋体"/>
          <w:b/>
          <w:bCs/>
          <w:color w:val="auto"/>
          <w:sz w:val="24"/>
          <w:highlight w:val="none"/>
        </w:rPr>
        <w:t>（二）评审工作程序</w:t>
      </w:r>
      <w:bookmarkEnd w:id="1346"/>
      <w:bookmarkEnd w:id="1347"/>
      <w:bookmarkEnd w:id="1348"/>
      <w:bookmarkEnd w:id="1349"/>
      <w:bookmarkEnd w:id="1350"/>
      <w:bookmarkEnd w:id="1351"/>
      <w:bookmarkEnd w:id="1352"/>
      <w:bookmarkEnd w:id="1353"/>
      <w:bookmarkEnd w:id="1354"/>
    </w:p>
    <w:p w14:paraId="636155AA">
      <w:pPr>
        <w:spacing w:line="360" w:lineRule="auto"/>
        <w:ind w:firstLine="420"/>
        <w:rPr>
          <w:rFonts w:hint="eastAsia" w:ascii="宋体" w:hAnsi="宋体"/>
          <w:color w:val="auto"/>
          <w:highlight w:val="none"/>
        </w:rPr>
      </w:pPr>
      <w:r>
        <w:rPr>
          <w:rFonts w:hint="eastAsia" w:ascii="宋体" w:hAnsi="宋体"/>
          <w:color w:val="auto"/>
          <w:highlight w:val="none"/>
        </w:rPr>
        <w:t>（1）供应商全权代表向磋商小组递交响应文件。</w:t>
      </w:r>
    </w:p>
    <w:p w14:paraId="28203ABE">
      <w:pPr>
        <w:spacing w:line="360" w:lineRule="auto"/>
        <w:ind w:firstLine="420"/>
        <w:rPr>
          <w:rFonts w:hint="eastAsia" w:ascii="宋体" w:hAnsi="宋体"/>
          <w:color w:val="auto"/>
          <w:highlight w:val="none"/>
        </w:rPr>
      </w:pPr>
      <w:r>
        <w:rPr>
          <w:rFonts w:hint="eastAsia" w:ascii="宋体" w:hAnsi="宋体"/>
          <w:color w:val="auto"/>
          <w:highlight w:val="none"/>
        </w:rPr>
        <w:t>（2）磋商的顺序：按“政采云”系统的编号顺序。</w:t>
      </w:r>
    </w:p>
    <w:p w14:paraId="777A58A5">
      <w:pPr>
        <w:spacing w:line="360" w:lineRule="auto"/>
        <w:ind w:firstLine="420"/>
        <w:rPr>
          <w:rFonts w:hint="eastAsia" w:ascii="宋体" w:hAnsi="宋体"/>
          <w:color w:val="auto"/>
          <w:highlight w:val="none"/>
        </w:rPr>
      </w:pPr>
      <w:r>
        <w:rPr>
          <w:rFonts w:hint="eastAsia" w:ascii="宋体" w:hAnsi="宋体"/>
          <w:color w:val="auto"/>
          <w:highlight w:val="none"/>
        </w:rPr>
        <w:t>（3）磋商小组审阅响应文件：</w:t>
      </w:r>
    </w:p>
    <w:p w14:paraId="2BA7B90A">
      <w:pPr>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磋商小组依据竞争性磋商文件的规定，对响应文件的有效性、完整性和对竞争性磋商文件的响应程度进行审查，以确定是否对竞争性磋商文件的要求做出实质性响应。未对竞争性磋商文件做实质性响应的供应商，不得进入具体磋商程序。初步评审标准详见“</w:t>
      </w:r>
      <w:r>
        <w:rPr>
          <w:rFonts w:ascii="宋体" w:hAnsi="宋体"/>
          <w:b/>
          <w:color w:val="auto"/>
          <w:highlight w:val="none"/>
        </w:rPr>
        <w:t>磋商程序和方法前附表</w:t>
      </w:r>
      <w:r>
        <w:rPr>
          <w:rFonts w:hint="eastAsia" w:ascii="宋体" w:hAnsi="宋体" w:cs="宋体"/>
          <w:color w:val="auto"/>
          <w:highlight w:val="none"/>
          <w:lang w:val="zh-CN"/>
        </w:rPr>
        <w:t>”。</w:t>
      </w:r>
    </w:p>
    <w:p w14:paraId="5C727B4A">
      <w:pPr>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在竞争性磋商文件及程序符合法律规定的前提下，递交响应文件或对竞争性磋商文件做出实质响应的供应商少于</w:t>
      </w:r>
      <w:r>
        <w:rPr>
          <w:rFonts w:hint="eastAsia" w:ascii="宋体" w:hAnsi="宋体" w:cs="宋体"/>
          <w:color w:val="auto"/>
          <w:highlight w:val="none"/>
        </w:rPr>
        <w:t>3家</w:t>
      </w:r>
      <w:r>
        <w:rPr>
          <w:rFonts w:hint="eastAsia" w:ascii="宋体" w:hAnsi="宋体" w:cs="宋体"/>
          <w:color w:val="auto"/>
          <w:highlight w:val="none"/>
          <w:lang w:val="zh-CN"/>
        </w:rPr>
        <w:t>时，应终止磋商，重新组织采购。</w:t>
      </w:r>
    </w:p>
    <w:p w14:paraId="2EF0AABD">
      <w:pPr>
        <w:spacing w:line="360" w:lineRule="auto"/>
        <w:ind w:firstLine="420"/>
        <w:rPr>
          <w:rFonts w:hint="eastAsia" w:ascii="宋体" w:hAnsi="宋体"/>
          <w:color w:val="auto"/>
          <w:highlight w:val="none"/>
        </w:rPr>
      </w:pPr>
      <w:r>
        <w:rPr>
          <w:rFonts w:hint="eastAsia" w:ascii="宋体" w:hAnsi="宋体"/>
          <w:color w:val="auto"/>
          <w:highlight w:val="none"/>
        </w:rPr>
        <w:t>（4）磋商开始，与供应商谈各项内容：</w:t>
      </w:r>
    </w:p>
    <w:p w14:paraId="61D2DADE">
      <w:pPr>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磋商小组</w:t>
      </w:r>
      <w:r>
        <w:rPr>
          <w:rFonts w:ascii="宋体" w:hAnsi="宋体" w:cs="宋体"/>
          <w:color w:val="auto"/>
          <w:highlight w:val="none"/>
          <w:lang w:val="zh-CN"/>
        </w:rPr>
        <w:t>所有成员集中与</w:t>
      </w:r>
      <w:r>
        <w:rPr>
          <w:rFonts w:hint="eastAsia" w:ascii="宋体" w:hAnsi="宋体" w:cs="宋体"/>
          <w:color w:val="auto"/>
          <w:highlight w:val="none"/>
          <w:lang w:val="zh-CN"/>
        </w:rPr>
        <w:t>单一</w:t>
      </w:r>
      <w:r>
        <w:rPr>
          <w:rFonts w:ascii="宋体" w:hAnsi="宋体" w:cs="宋体"/>
          <w:color w:val="auto"/>
          <w:highlight w:val="none"/>
          <w:lang w:val="zh-CN"/>
        </w:rPr>
        <w:t>供应商按照</w:t>
      </w:r>
      <w:r>
        <w:rPr>
          <w:rFonts w:hint="eastAsia" w:ascii="宋体" w:hAnsi="宋体"/>
          <w:color w:val="auto"/>
          <w:highlight w:val="none"/>
        </w:rPr>
        <w:t>抽签决定的磋商次序</w:t>
      </w:r>
      <w:r>
        <w:rPr>
          <w:rFonts w:ascii="宋体" w:hAnsi="宋体" w:cs="宋体"/>
          <w:color w:val="auto"/>
          <w:highlight w:val="none"/>
          <w:lang w:val="zh-CN"/>
        </w:rPr>
        <w:t>分别进行</w:t>
      </w:r>
      <w:r>
        <w:rPr>
          <w:rFonts w:hint="eastAsia" w:ascii="宋体" w:hAnsi="宋体" w:cs="宋体"/>
          <w:color w:val="auto"/>
          <w:highlight w:val="none"/>
          <w:lang w:val="zh-CN"/>
        </w:rPr>
        <w:t>磋商</w:t>
      </w:r>
      <w:r>
        <w:rPr>
          <w:rFonts w:ascii="宋体" w:hAnsi="宋体" w:cs="宋体"/>
          <w:color w:val="auto"/>
          <w:highlight w:val="none"/>
          <w:lang w:val="zh-CN"/>
        </w:rPr>
        <w:t>。</w:t>
      </w:r>
      <w:r>
        <w:rPr>
          <w:rFonts w:hint="eastAsia" w:ascii="宋体" w:hAnsi="宋体" w:cs="宋体"/>
          <w:color w:val="auto"/>
          <w:highlight w:val="none"/>
          <w:lang w:val="zh-CN"/>
        </w:rPr>
        <w:t>磋商小组</w:t>
      </w:r>
      <w:r>
        <w:rPr>
          <w:rFonts w:ascii="宋体" w:hAnsi="宋体" w:cs="宋体"/>
          <w:color w:val="auto"/>
          <w:highlight w:val="none"/>
          <w:lang w:val="zh-CN"/>
        </w:rPr>
        <w:t>可根据供应商的报价，响应内容及</w:t>
      </w:r>
      <w:r>
        <w:rPr>
          <w:rFonts w:hint="eastAsia" w:ascii="宋体" w:hAnsi="宋体" w:cs="宋体"/>
          <w:color w:val="auto"/>
          <w:highlight w:val="none"/>
          <w:lang w:val="zh-CN"/>
        </w:rPr>
        <w:t>磋商</w:t>
      </w:r>
      <w:r>
        <w:rPr>
          <w:rFonts w:ascii="宋体" w:hAnsi="宋体" w:cs="宋体"/>
          <w:color w:val="auto"/>
          <w:highlight w:val="none"/>
          <w:lang w:val="zh-CN"/>
        </w:rPr>
        <w:t>的情况，给予每个正在参加</w:t>
      </w:r>
      <w:r>
        <w:rPr>
          <w:rFonts w:hint="eastAsia" w:ascii="宋体" w:hAnsi="宋体" w:cs="宋体"/>
          <w:color w:val="auto"/>
          <w:highlight w:val="none"/>
          <w:lang w:val="zh-CN"/>
        </w:rPr>
        <w:t>磋商</w:t>
      </w:r>
      <w:r>
        <w:rPr>
          <w:rFonts w:ascii="宋体" w:hAnsi="宋体" w:cs="宋体"/>
          <w:color w:val="auto"/>
          <w:highlight w:val="none"/>
          <w:lang w:val="zh-CN"/>
        </w:rPr>
        <w:t>的供应商相同的机会。</w:t>
      </w:r>
    </w:p>
    <w:p w14:paraId="7123580D">
      <w:pPr>
        <w:spacing w:line="360" w:lineRule="auto"/>
        <w:ind w:firstLine="420"/>
        <w:rPr>
          <w:rFonts w:hint="eastAsia" w:ascii="宋体" w:hAnsi="宋体" w:cs="宋体"/>
          <w:color w:val="auto"/>
          <w:highlight w:val="none"/>
        </w:rPr>
      </w:pPr>
      <w:r>
        <w:rPr>
          <w:rFonts w:hint="eastAsia" w:ascii="宋体" w:hAnsi="宋体" w:cs="宋体"/>
          <w:color w:val="auto"/>
          <w:highlight w:val="none"/>
          <w:lang w:val="zh-CN"/>
        </w:rPr>
        <w:t>①</w:t>
      </w:r>
      <w:r>
        <w:rPr>
          <w:rFonts w:hint="eastAsia" w:ascii="宋体" w:hAnsi="宋体" w:cs="宋体"/>
          <w:color w:val="auto"/>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w:t>
      </w:r>
    </w:p>
    <w:p w14:paraId="73F5F004">
      <w:pPr>
        <w:spacing w:line="360" w:lineRule="auto"/>
        <w:ind w:firstLine="420"/>
        <w:rPr>
          <w:rFonts w:hint="eastAsia" w:ascii="宋体" w:hAnsi="宋体" w:cs="宋体"/>
          <w:color w:val="auto"/>
          <w:highlight w:val="none"/>
        </w:rPr>
      </w:pPr>
      <w:r>
        <w:rPr>
          <w:rFonts w:hint="eastAsia" w:ascii="宋体" w:hAnsi="宋体" w:cs="宋体"/>
          <w:color w:val="auto"/>
          <w:highlight w:val="none"/>
        </w:rPr>
        <w:t>②对竞争性磋商文件作出的实质性变动是竞争性磋商文件的有效组成部分，磋商小组应当及时以书面形式同时通知所有参加磋商的供应商。</w:t>
      </w:r>
      <w:r>
        <w:rPr>
          <w:rFonts w:ascii="宋体" w:hAnsi="宋体" w:cs="宋体"/>
          <w:color w:val="auto"/>
          <w:highlight w:val="none"/>
        </w:rPr>
        <w:t xml:space="preserve"> </w:t>
      </w:r>
    </w:p>
    <w:p w14:paraId="3D05CF0D">
      <w:pPr>
        <w:spacing w:line="360" w:lineRule="auto"/>
        <w:ind w:firstLine="420"/>
        <w:rPr>
          <w:rFonts w:hint="eastAsia" w:ascii="宋体" w:hAnsi="宋体" w:cs="宋体"/>
          <w:color w:val="auto"/>
          <w:highlight w:val="none"/>
        </w:rPr>
      </w:pPr>
      <w:r>
        <w:rPr>
          <w:rFonts w:hint="eastAsia" w:ascii="宋体" w:hAnsi="宋体" w:cs="宋体"/>
          <w:color w:val="auto"/>
          <w:highlight w:val="none"/>
        </w:rPr>
        <w:t>③供应商应当按照竞争性磋商文件的变动情况和磋商小组的要求重新提交响应文件，并由其全权代表签章。</w:t>
      </w:r>
    </w:p>
    <w:p w14:paraId="22E4FA78">
      <w:pPr>
        <w:spacing w:line="360" w:lineRule="auto"/>
        <w:ind w:firstLine="420"/>
        <w:rPr>
          <w:rFonts w:hint="eastAsia" w:ascii="宋体" w:hAnsi="宋体" w:cs="宋体"/>
          <w:color w:val="auto"/>
          <w:highlight w:val="none"/>
          <w:lang w:val="zh-CN"/>
        </w:rPr>
      </w:pPr>
      <w:r>
        <w:rPr>
          <w:rFonts w:hint="eastAsia" w:ascii="宋体" w:hAnsi="宋体"/>
          <w:color w:val="auto"/>
          <w:highlight w:val="none"/>
        </w:rPr>
        <w:t>（5）各供应商进行报价：</w:t>
      </w:r>
    </w:p>
    <w:p w14:paraId="456991C7">
      <w:pPr>
        <w:spacing w:line="360" w:lineRule="auto"/>
        <w:ind w:firstLine="420"/>
        <w:rPr>
          <w:rFonts w:hint="eastAsia" w:ascii="宋体" w:hAnsi="宋体" w:cs="宋体"/>
          <w:color w:val="auto"/>
          <w:highlight w:val="none"/>
          <w:lang w:val="zh-CN"/>
        </w:rPr>
      </w:pPr>
      <w:r>
        <w:rPr>
          <w:rFonts w:hint="eastAsia" w:ascii="宋体" w:hAnsi="宋体" w:cs="Courier New"/>
          <w:color w:val="auto"/>
          <w:kern w:val="0"/>
          <w:szCs w:val="21"/>
          <w:highlight w:val="none"/>
        </w:rPr>
        <w:t>符合磋商资格的供应商必须在接到磋商通知后规定时间内参加磋商，未在规定时间内参加磋商的视同放弃参加磋商权利，其响应文件按无效响应处理。</w:t>
      </w:r>
    </w:p>
    <w:p w14:paraId="7E0A645E">
      <w:pPr>
        <w:spacing w:line="360" w:lineRule="auto"/>
        <w:ind w:firstLine="420"/>
        <w:rPr>
          <w:rFonts w:hint="eastAsia" w:ascii="宋体" w:hAnsi="宋体" w:cs="宋体"/>
          <w:color w:val="auto"/>
          <w:highlight w:val="none"/>
        </w:rPr>
      </w:pPr>
      <w:r>
        <w:rPr>
          <w:rFonts w:hint="eastAsia" w:ascii="宋体" w:hAnsi="宋体" w:cs="宋体"/>
          <w:color w:val="auto"/>
          <w:highlight w:val="none"/>
          <w:lang w:val="zh-CN"/>
        </w:rPr>
        <w:t>（</w:t>
      </w:r>
      <w:r>
        <w:rPr>
          <w:rFonts w:hint="eastAsia" w:ascii="宋体" w:hAnsi="宋体" w:cs="宋体"/>
          <w:color w:val="auto"/>
          <w:highlight w:val="none"/>
        </w:rPr>
        <w:t>6</w:t>
      </w:r>
      <w:r>
        <w:rPr>
          <w:rFonts w:hint="eastAsia" w:ascii="宋体" w:hAnsi="宋体" w:cs="宋体"/>
          <w:color w:val="auto"/>
          <w:highlight w:val="none"/>
          <w:lang w:val="zh-CN"/>
        </w:rPr>
        <w:t>）</w:t>
      </w:r>
      <w:r>
        <w:rPr>
          <w:rFonts w:hint="eastAsia" w:ascii="宋体" w:hAnsi="宋体" w:cs="宋体"/>
          <w:color w:val="auto"/>
          <w:highlight w:val="none"/>
        </w:rPr>
        <w:t>由磋商小组采用综合评分法对提交最终报价的供应商的响应文件和最终报价进行综合评分。</w:t>
      </w:r>
    </w:p>
    <w:p w14:paraId="6FB96B9F">
      <w:pPr>
        <w:spacing w:line="360" w:lineRule="auto"/>
        <w:ind w:firstLine="420"/>
        <w:rPr>
          <w:rFonts w:hint="eastAsia" w:ascii="宋体" w:hAnsi="宋体" w:cs="宋体"/>
          <w:color w:val="auto"/>
          <w:highlight w:val="none"/>
          <w:lang w:val="zh-CN"/>
        </w:rPr>
      </w:pPr>
      <w:r>
        <w:rPr>
          <w:rFonts w:hint="eastAsia" w:ascii="宋体" w:hAnsi="宋体" w:cs="宋体"/>
          <w:color w:val="auto"/>
          <w:highlight w:val="none"/>
        </w:rPr>
        <w:t>（7）确定成交供应商。</w:t>
      </w:r>
    </w:p>
    <w:p w14:paraId="3762AE2B">
      <w:pPr>
        <w:spacing w:line="360" w:lineRule="auto"/>
        <w:ind w:firstLine="420"/>
        <w:rPr>
          <w:rFonts w:hint="eastAsia" w:ascii="宋体" w:hAnsi="宋体"/>
          <w:color w:val="auto"/>
          <w:highlight w:val="none"/>
        </w:rPr>
      </w:pPr>
      <w:r>
        <w:rPr>
          <w:rFonts w:hint="eastAsia" w:ascii="宋体" w:hAnsi="宋体"/>
          <w:color w:val="auto"/>
          <w:highlight w:val="none"/>
        </w:rPr>
        <w:t>（8）采购人与成交供应商签订合同，政府采购监督管理办公室备案。</w:t>
      </w:r>
    </w:p>
    <w:p w14:paraId="5FC087C1">
      <w:pPr>
        <w:spacing w:line="360" w:lineRule="auto"/>
        <w:outlineLvl w:val="2"/>
        <w:rPr>
          <w:rFonts w:hint="eastAsia" w:ascii="宋体" w:hAnsi="宋体"/>
          <w:b/>
          <w:bCs/>
          <w:color w:val="auto"/>
          <w:sz w:val="24"/>
          <w:highlight w:val="none"/>
        </w:rPr>
      </w:pPr>
      <w:bookmarkStart w:id="1355" w:name="_Toc174031493"/>
      <w:bookmarkStart w:id="1356" w:name="_Toc174031579"/>
      <w:bookmarkStart w:id="1357" w:name="_Toc147601964"/>
      <w:bookmarkStart w:id="1358" w:name="_Toc153917671"/>
      <w:bookmarkStart w:id="1359" w:name="_Toc179645158"/>
      <w:bookmarkStart w:id="1360" w:name="_Toc139471164"/>
      <w:bookmarkStart w:id="1361" w:name="_Toc131546007"/>
      <w:bookmarkStart w:id="1362" w:name="_Toc139471282"/>
      <w:bookmarkStart w:id="1363" w:name="_Toc137737758"/>
      <w:r>
        <w:rPr>
          <w:rFonts w:hint="eastAsia" w:ascii="宋体" w:hAnsi="宋体"/>
          <w:b/>
          <w:bCs/>
          <w:color w:val="auto"/>
          <w:sz w:val="24"/>
          <w:highlight w:val="none"/>
        </w:rPr>
        <w:t>（三）磋商内容</w:t>
      </w:r>
      <w:bookmarkEnd w:id="1355"/>
      <w:bookmarkEnd w:id="1356"/>
      <w:bookmarkEnd w:id="1357"/>
      <w:bookmarkEnd w:id="1358"/>
      <w:bookmarkEnd w:id="1359"/>
      <w:bookmarkEnd w:id="1360"/>
      <w:bookmarkEnd w:id="1361"/>
      <w:bookmarkEnd w:id="1362"/>
      <w:bookmarkEnd w:id="1363"/>
    </w:p>
    <w:p w14:paraId="7824D2AC">
      <w:pPr>
        <w:spacing w:line="360" w:lineRule="auto"/>
        <w:ind w:firstLine="420"/>
        <w:rPr>
          <w:rFonts w:hint="eastAsia" w:ascii="宋体" w:hAnsi="宋体"/>
          <w:color w:val="auto"/>
          <w:highlight w:val="none"/>
        </w:rPr>
      </w:pPr>
      <w:r>
        <w:rPr>
          <w:rFonts w:hint="eastAsia" w:ascii="宋体" w:hAnsi="宋体"/>
          <w:color w:val="auto"/>
          <w:highlight w:val="none"/>
        </w:rPr>
        <w:t>采购项目的质量、价格、其他条件等内容。</w:t>
      </w:r>
    </w:p>
    <w:p w14:paraId="37B30F57">
      <w:pPr>
        <w:spacing w:line="360" w:lineRule="auto"/>
        <w:outlineLvl w:val="2"/>
        <w:rPr>
          <w:rFonts w:hint="eastAsia" w:ascii="宋体" w:hAnsi="宋体"/>
          <w:b/>
          <w:bCs/>
          <w:color w:val="auto"/>
          <w:sz w:val="24"/>
          <w:highlight w:val="none"/>
        </w:rPr>
      </w:pPr>
      <w:bookmarkStart w:id="1364" w:name="_Toc179645159"/>
      <w:bookmarkStart w:id="1365" w:name="_Toc147601965"/>
      <w:bookmarkStart w:id="1366" w:name="_Toc139471283"/>
      <w:bookmarkStart w:id="1367" w:name="_Toc174031494"/>
      <w:bookmarkStart w:id="1368" w:name="_Toc139471165"/>
      <w:bookmarkStart w:id="1369" w:name="_Toc174031580"/>
      <w:bookmarkStart w:id="1370" w:name="_Toc131546008"/>
      <w:bookmarkStart w:id="1371" w:name="_Toc137737759"/>
      <w:r>
        <w:rPr>
          <w:rFonts w:hint="eastAsia" w:ascii="宋体" w:hAnsi="宋体"/>
          <w:b/>
          <w:bCs/>
          <w:color w:val="auto"/>
          <w:sz w:val="24"/>
          <w:highlight w:val="none"/>
        </w:rPr>
        <w:t>（四）评审原则与评审方法</w:t>
      </w:r>
      <w:bookmarkEnd w:id="1364"/>
      <w:bookmarkEnd w:id="1365"/>
      <w:bookmarkEnd w:id="1366"/>
      <w:bookmarkEnd w:id="1367"/>
      <w:bookmarkEnd w:id="1368"/>
      <w:bookmarkEnd w:id="1369"/>
      <w:bookmarkEnd w:id="1370"/>
      <w:bookmarkEnd w:id="1371"/>
    </w:p>
    <w:p w14:paraId="6B604403">
      <w:pPr>
        <w:spacing w:line="360" w:lineRule="auto"/>
        <w:outlineLvl w:val="3"/>
        <w:rPr>
          <w:rFonts w:hint="eastAsia" w:ascii="宋体" w:hAnsi="宋体" w:cs="黑体"/>
          <w:b/>
          <w:color w:val="auto"/>
          <w:sz w:val="24"/>
          <w:szCs w:val="32"/>
          <w:highlight w:val="none"/>
        </w:rPr>
      </w:pPr>
      <w:r>
        <w:rPr>
          <w:rFonts w:ascii="宋体" w:hAnsi="宋体" w:cs="黑体"/>
          <w:b/>
          <w:color w:val="auto"/>
          <w:sz w:val="24"/>
          <w:szCs w:val="32"/>
          <w:highlight w:val="none"/>
        </w:rPr>
        <w:t>1</w:t>
      </w:r>
      <w:r>
        <w:rPr>
          <w:rFonts w:hint="eastAsia" w:ascii="宋体" w:hAnsi="宋体" w:cs="黑体"/>
          <w:b/>
          <w:color w:val="auto"/>
          <w:sz w:val="24"/>
          <w:szCs w:val="32"/>
          <w:highlight w:val="none"/>
        </w:rPr>
        <w:t>、评审原则</w:t>
      </w:r>
    </w:p>
    <w:p w14:paraId="671E04E6">
      <w:pPr>
        <w:spacing w:line="360" w:lineRule="auto"/>
        <w:ind w:firstLine="420"/>
        <w:rPr>
          <w:rFonts w:hint="eastAsia" w:ascii="宋体" w:hAnsi="宋体"/>
          <w:bCs/>
          <w:color w:val="auto"/>
          <w:highlight w:val="none"/>
        </w:rPr>
      </w:pPr>
      <w:r>
        <w:rPr>
          <w:rFonts w:hint="eastAsia" w:ascii="宋体" w:hAnsi="宋体" w:cs="黑体"/>
          <w:bCs/>
          <w:color w:val="auto"/>
          <w:highlight w:val="none"/>
        </w:rPr>
        <w:t>（1）</w:t>
      </w:r>
      <w:r>
        <w:rPr>
          <w:rFonts w:hint="eastAsia" w:ascii="宋体" w:hAnsi="宋体"/>
          <w:bCs/>
          <w:color w:val="auto"/>
          <w:highlight w:val="none"/>
        </w:rPr>
        <w:t>本次磋商遵循公开透明、公平竞争、公正和诚实信用的原则。磋商小组成员按照客观、公正、审慎的原则，根据竞争性磋商文件规定的评审程序、评审方法和评审标准进行独立评审。未实质性响应竞争性磋商文件的响应文件按无效响应处理，并告知提交响应文件的供应商。</w:t>
      </w:r>
    </w:p>
    <w:p w14:paraId="05AED548">
      <w:pPr>
        <w:spacing w:line="360" w:lineRule="auto"/>
        <w:ind w:firstLine="420"/>
        <w:rPr>
          <w:rFonts w:hint="eastAsia" w:ascii="宋体" w:hAnsi="宋体" w:cs="宋体"/>
          <w:bCs/>
          <w:color w:val="auto"/>
          <w:highlight w:val="none"/>
          <w:lang w:val="zh-CN"/>
        </w:rPr>
      </w:pPr>
      <w:r>
        <w:rPr>
          <w:rFonts w:hint="eastAsia" w:ascii="宋体" w:hAnsi="宋体" w:cs="宋体"/>
          <w:bCs/>
          <w:color w:val="auto"/>
          <w:highlight w:val="none"/>
          <w:lang w:val="zh-CN"/>
        </w:rPr>
        <w:t>（2）磋商小组应当根据综合评分情况，按照评审得分由高到低顺序推荐至少3名成交候选供应商，并编写评审报告。评审得分相同的，按照最终报价由低到高的顺序推荐。评审得分且最终报价相同的，按照技术部分评分由高到低的顺序推荐。</w:t>
      </w:r>
    </w:p>
    <w:p w14:paraId="1F38E9F3">
      <w:pPr>
        <w:spacing w:line="360" w:lineRule="auto"/>
        <w:ind w:firstLine="420"/>
        <w:rPr>
          <w:rFonts w:hint="eastAsia" w:ascii="宋体" w:hAnsi="宋体" w:cs="黑体"/>
          <w:b/>
          <w:color w:val="auto"/>
          <w:highlight w:val="none"/>
          <w:lang w:val="zh-CN"/>
        </w:rPr>
      </w:pPr>
      <w:r>
        <w:rPr>
          <w:rFonts w:hint="eastAsia" w:ascii="宋体" w:hAnsi="宋体" w:cs="宋体"/>
          <w:bCs/>
          <w:color w:val="auto"/>
          <w:highlight w:val="none"/>
          <w:lang w:val="zh-CN"/>
        </w:rPr>
        <w:t>（3）</w:t>
      </w:r>
      <w:r>
        <w:rPr>
          <w:rFonts w:hint="eastAsia" w:ascii="宋体" w:hAnsi="宋体" w:cs="黑体"/>
          <w:bCs/>
          <w:color w:val="auto"/>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573CAFE">
      <w:pPr>
        <w:spacing w:line="360" w:lineRule="auto"/>
        <w:outlineLvl w:val="3"/>
        <w:rPr>
          <w:rFonts w:hint="eastAsia" w:ascii="宋体" w:hAnsi="宋体" w:cs="黑体"/>
          <w:b/>
          <w:color w:val="auto"/>
          <w:sz w:val="24"/>
          <w:szCs w:val="32"/>
          <w:highlight w:val="none"/>
        </w:rPr>
      </w:pPr>
      <w:r>
        <w:rPr>
          <w:rFonts w:ascii="宋体" w:hAnsi="宋体" w:cs="黑体"/>
          <w:b/>
          <w:color w:val="auto"/>
          <w:sz w:val="24"/>
          <w:szCs w:val="32"/>
          <w:highlight w:val="none"/>
        </w:rPr>
        <w:t>2</w:t>
      </w:r>
      <w:r>
        <w:rPr>
          <w:rFonts w:hint="eastAsia" w:ascii="宋体" w:hAnsi="宋体" w:cs="黑体"/>
          <w:b/>
          <w:color w:val="auto"/>
          <w:sz w:val="24"/>
          <w:szCs w:val="32"/>
          <w:highlight w:val="none"/>
        </w:rPr>
        <w:t>、评审标准</w:t>
      </w:r>
    </w:p>
    <w:p w14:paraId="263F699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政府采购法实施条例》及省、市有关规定，磋商小组成员按照客观、公正、谨慎的原则，根据竞争性磋商文件规定的评审程序、评审方法和评审标准进行独立评审。根据排名先后确定成交候选供应商。</w:t>
      </w:r>
    </w:p>
    <w:p w14:paraId="69C17361">
      <w:pPr>
        <w:spacing w:line="360" w:lineRule="auto"/>
        <w:ind w:firstLine="420"/>
        <w:rPr>
          <w:rFonts w:hint="eastAsia" w:ascii="宋体" w:hAnsi="宋体" w:cs="黑体"/>
          <w:b/>
          <w:color w:val="auto"/>
          <w:sz w:val="24"/>
          <w:szCs w:val="32"/>
          <w:highlight w:val="none"/>
        </w:rPr>
      </w:pPr>
      <w:r>
        <w:rPr>
          <w:rFonts w:hint="eastAsia" w:ascii="宋体" w:hAnsi="宋体" w:cs="黑体"/>
          <w:b/>
          <w:color w:val="auto"/>
          <w:sz w:val="24"/>
          <w:szCs w:val="32"/>
          <w:highlight w:val="none"/>
        </w:rPr>
        <w:t>（1）具体评审标准如下：</w:t>
      </w:r>
    </w:p>
    <w:p w14:paraId="3D7447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本办法采用</w:t>
      </w:r>
      <w:r>
        <w:rPr>
          <w:rFonts w:hint="eastAsia" w:ascii="宋体" w:hAnsi="宋体"/>
          <w:b/>
          <w:bCs/>
          <w:color w:val="auto"/>
          <w:szCs w:val="21"/>
          <w:highlight w:val="none"/>
        </w:rPr>
        <w:t>综合评分法</w:t>
      </w:r>
      <w:r>
        <w:rPr>
          <w:rFonts w:hint="eastAsia" w:ascii="宋体" w:hAnsi="宋体"/>
          <w:color w:val="auto"/>
          <w:szCs w:val="21"/>
          <w:highlight w:val="none"/>
        </w:rPr>
        <w:t>，评标时应先评技术标后评商务标，对通过初步评审的响应文件的技术、商务部分分别按照下列规定打分后，再按下列公式计算出各供应商的综合得分。</w:t>
      </w:r>
    </w:p>
    <w:tbl>
      <w:tblPr>
        <w:tblStyle w:val="87"/>
        <w:tblW w:w="97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559"/>
        <w:gridCol w:w="1462"/>
        <w:gridCol w:w="5913"/>
      </w:tblGrid>
      <w:tr w14:paraId="6FC5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trPr>
        <w:tc>
          <w:tcPr>
            <w:tcW w:w="817" w:type="dxa"/>
            <w:vAlign w:val="center"/>
          </w:tcPr>
          <w:p w14:paraId="30EE7FDB">
            <w:pPr>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评审项目</w:t>
            </w:r>
          </w:p>
        </w:tc>
        <w:tc>
          <w:tcPr>
            <w:tcW w:w="1559" w:type="dxa"/>
            <w:vAlign w:val="center"/>
          </w:tcPr>
          <w:p w14:paraId="48ABBD64">
            <w:pPr>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7375" w:type="dxa"/>
            <w:gridSpan w:val="2"/>
            <w:vAlign w:val="center"/>
          </w:tcPr>
          <w:p w14:paraId="7F8D6E14">
            <w:pPr>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340D8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7" w:hRule="atLeast"/>
        </w:trPr>
        <w:tc>
          <w:tcPr>
            <w:tcW w:w="817" w:type="dxa"/>
            <w:vMerge w:val="restart"/>
            <w:vAlign w:val="center"/>
          </w:tcPr>
          <w:p w14:paraId="742ED5B6">
            <w:pPr>
              <w:spacing w:line="360" w:lineRule="auto"/>
              <w:jc w:val="center"/>
              <w:rPr>
                <w:rFonts w:hint="eastAsia" w:ascii="宋体" w:hAnsi="宋体" w:cs="宋体"/>
                <w:b/>
                <w:color w:val="auto"/>
                <w:szCs w:val="21"/>
                <w:highlight w:val="none"/>
              </w:rPr>
            </w:pPr>
            <w:r>
              <w:rPr>
                <w:rFonts w:hint="eastAsia" w:ascii="宋体" w:hAnsi="宋体"/>
                <w:b/>
                <w:bCs/>
                <w:color w:val="auto"/>
                <w:szCs w:val="21"/>
                <w:highlight w:val="none"/>
              </w:rPr>
              <w:t>详细评审标准</w:t>
            </w:r>
          </w:p>
        </w:tc>
        <w:tc>
          <w:tcPr>
            <w:tcW w:w="1559" w:type="dxa"/>
            <w:vMerge w:val="restart"/>
            <w:vAlign w:val="center"/>
          </w:tcPr>
          <w:p w14:paraId="43C9A10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分值构成</w:t>
            </w:r>
          </w:p>
          <w:p w14:paraId="29335167">
            <w:pPr>
              <w:spacing w:line="360" w:lineRule="auto"/>
              <w:jc w:val="center"/>
              <w:rPr>
                <w:rFonts w:hint="eastAsia" w:ascii="宋体" w:hAnsi="宋体"/>
                <w:b/>
                <w:bCs/>
                <w:color w:val="auto"/>
                <w:szCs w:val="21"/>
                <w:highlight w:val="none"/>
              </w:rPr>
            </w:pPr>
            <w:r>
              <w:rPr>
                <w:rFonts w:hint="eastAsia" w:ascii="宋体" w:hAnsi="宋体" w:cs="宋体"/>
                <w:b/>
                <w:color w:val="auto"/>
                <w:szCs w:val="21"/>
                <w:highlight w:val="none"/>
              </w:rPr>
              <w:t>（满分100分）</w:t>
            </w:r>
          </w:p>
        </w:tc>
        <w:tc>
          <w:tcPr>
            <w:tcW w:w="7375" w:type="dxa"/>
            <w:gridSpan w:val="2"/>
            <w:vAlign w:val="center"/>
          </w:tcPr>
          <w:p w14:paraId="30C69750">
            <w:pPr>
              <w:spacing w:line="360" w:lineRule="auto"/>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的</w:t>
            </w:r>
            <w:r>
              <w:rPr>
                <w:rFonts w:hint="eastAsia" w:ascii="宋体" w:hAnsi="宋体"/>
                <w:color w:val="auto"/>
                <w:szCs w:val="21"/>
                <w:highlight w:val="none"/>
              </w:rPr>
              <w:t>磋商</w:t>
            </w:r>
            <w:r>
              <w:rPr>
                <w:rFonts w:ascii="宋体" w:hAnsi="宋体"/>
                <w:color w:val="auto"/>
                <w:szCs w:val="21"/>
                <w:highlight w:val="none"/>
              </w:rPr>
              <w:t>总得分＝F1＋F2＋F3</w:t>
            </w:r>
          </w:p>
          <w:p w14:paraId="4DA7A90F">
            <w:pPr>
              <w:spacing w:line="360" w:lineRule="auto"/>
              <w:rPr>
                <w:rFonts w:hint="eastAsia" w:ascii="宋体" w:hAnsi="宋体"/>
                <w:color w:val="auto"/>
                <w:szCs w:val="21"/>
                <w:highlight w:val="none"/>
              </w:rPr>
            </w:pPr>
            <w:r>
              <w:rPr>
                <w:rFonts w:ascii="宋体" w:hAnsi="宋体"/>
                <w:color w:val="auto"/>
                <w:szCs w:val="21"/>
                <w:highlight w:val="none"/>
              </w:rPr>
              <w:t>其中：F1、F2、F3分别为</w:t>
            </w:r>
            <w:r>
              <w:rPr>
                <w:rFonts w:hint="eastAsia" w:ascii="宋体" w:hAnsi="宋体"/>
                <w:color w:val="auto"/>
                <w:szCs w:val="21"/>
                <w:highlight w:val="none"/>
              </w:rPr>
              <w:t>磋商</w:t>
            </w:r>
            <w:r>
              <w:rPr>
                <w:rFonts w:ascii="宋体" w:hAnsi="宋体"/>
                <w:color w:val="auto"/>
                <w:szCs w:val="21"/>
                <w:highlight w:val="none"/>
              </w:rPr>
              <w:t>报价、技术部分、</w:t>
            </w:r>
            <w:r>
              <w:rPr>
                <w:rFonts w:hint="eastAsia" w:ascii="宋体" w:hAnsi="宋体"/>
                <w:color w:val="auto"/>
                <w:szCs w:val="21"/>
                <w:highlight w:val="none"/>
              </w:rPr>
              <w:t>商务</w:t>
            </w:r>
            <w:r>
              <w:rPr>
                <w:rFonts w:ascii="宋体" w:hAnsi="宋体"/>
                <w:color w:val="auto"/>
                <w:szCs w:val="21"/>
                <w:highlight w:val="none"/>
              </w:rPr>
              <w:t>部分3项评分因素的汇总得分</w:t>
            </w:r>
            <w:r>
              <w:rPr>
                <w:rFonts w:hint="eastAsia" w:ascii="宋体" w:hAnsi="宋体"/>
                <w:color w:val="auto"/>
                <w:szCs w:val="21"/>
                <w:highlight w:val="none"/>
              </w:rPr>
              <w:t>；</w:t>
            </w:r>
          </w:p>
        </w:tc>
      </w:tr>
      <w:tr w14:paraId="51DE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1" w:hRule="atLeast"/>
        </w:trPr>
        <w:tc>
          <w:tcPr>
            <w:tcW w:w="817" w:type="dxa"/>
            <w:vMerge w:val="continue"/>
            <w:vAlign w:val="center"/>
          </w:tcPr>
          <w:p w14:paraId="06BAF727">
            <w:pPr>
              <w:spacing w:line="360" w:lineRule="auto"/>
              <w:jc w:val="center"/>
              <w:rPr>
                <w:rFonts w:hint="eastAsia" w:ascii="宋体" w:hAnsi="宋体" w:cs="宋体"/>
                <w:b/>
                <w:color w:val="auto"/>
                <w:szCs w:val="21"/>
                <w:highlight w:val="none"/>
              </w:rPr>
            </w:pPr>
          </w:p>
        </w:tc>
        <w:tc>
          <w:tcPr>
            <w:tcW w:w="1559" w:type="dxa"/>
            <w:vMerge w:val="continue"/>
            <w:vAlign w:val="center"/>
          </w:tcPr>
          <w:p w14:paraId="4DA8352F">
            <w:pPr>
              <w:spacing w:line="360" w:lineRule="auto"/>
              <w:jc w:val="center"/>
              <w:rPr>
                <w:rFonts w:hint="eastAsia" w:ascii="宋体" w:hAnsi="宋体" w:cs="宋体"/>
                <w:b/>
                <w:color w:val="auto"/>
                <w:szCs w:val="21"/>
                <w:highlight w:val="none"/>
              </w:rPr>
            </w:pPr>
          </w:p>
        </w:tc>
        <w:tc>
          <w:tcPr>
            <w:tcW w:w="7375" w:type="dxa"/>
            <w:gridSpan w:val="2"/>
            <w:vAlign w:val="center"/>
          </w:tcPr>
          <w:p w14:paraId="490D37BF">
            <w:pPr>
              <w:spacing w:line="360" w:lineRule="auto"/>
              <w:ind w:left="1258" w:hanging="1258"/>
              <w:rPr>
                <w:rFonts w:hint="eastAsia"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报价F1：满分</w:t>
            </w:r>
            <w:r>
              <w:rPr>
                <w:rFonts w:hint="eastAsia" w:ascii="宋体" w:hAnsi="宋体"/>
                <w:color w:val="auto"/>
                <w:szCs w:val="21"/>
                <w:highlight w:val="none"/>
                <w:lang w:val="en-US" w:eastAsia="zh-CN"/>
              </w:rPr>
              <w:t>30</w:t>
            </w:r>
            <w:r>
              <w:rPr>
                <w:rFonts w:ascii="宋体" w:hAnsi="宋体"/>
                <w:color w:val="auto"/>
                <w:szCs w:val="21"/>
                <w:highlight w:val="none"/>
              </w:rPr>
              <w:t>分。</w:t>
            </w:r>
          </w:p>
          <w:p w14:paraId="1B2074E7">
            <w:pPr>
              <w:spacing w:line="360" w:lineRule="auto"/>
              <w:rPr>
                <w:rFonts w:hint="eastAsia" w:ascii="宋体" w:hAnsi="宋体"/>
                <w:color w:val="auto"/>
                <w:szCs w:val="21"/>
                <w:highlight w:val="none"/>
              </w:rPr>
            </w:pPr>
            <w:r>
              <w:rPr>
                <w:rFonts w:ascii="宋体" w:hAnsi="宋体"/>
                <w:color w:val="auto"/>
                <w:szCs w:val="21"/>
                <w:highlight w:val="none"/>
              </w:rPr>
              <w:t>技术部分F2：满分</w:t>
            </w:r>
            <w:r>
              <w:rPr>
                <w:rFonts w:hint="eastAsia" w:ascii="宋体" w:hAnsi="宋体"/>
                <w:color w:val="auto"/>
                <w:szCs w:val="21"/>
                <w:highlight w:val="none"/>
                <w:lang w:val="en-US" w:eastAsia="zh-CN"/>
              </w:rPr>
              <w:t>45</w:t>
            </w:r>
            <w:r>
              <w:rPr>
                <w:rFonts w:ascii="宋体" w:hAnsi="宋体"/>
                <w:color w:val="auto"/>
                <w:szCs w:val="21"/>
                <w:highlight w:val="none"/>
              </w:rPr>
              <w:t>分。</w:t>
            </w:r>
          </w:p>
          <w:p w14:paraId="47318594">
            <w:pPr>
              <w:spacing w:line="360" w:lineRule="auto"/>
              <w:rPr>
                <w:rFonts w:hint="eastAsia" w:ascii="宋体" w:hAnsi="宋体" w:cs="宋体"/>
                <w:b/>
                <w:color w:val="auto"/>
                <w:szCs w:val="21"/>
                <w:highlight w:val="none"/>
              </w:rPr>
            </w:pPr>
            <w:r>
              <w:rPr>
                <w:rFonts w:hint="eastAsia" w:ascii="宋体" w:hAnsi="宋体"/>
                <w:color w:val="auto"/>
                <w:szCs w:val="21"/>
                <w:highlight w:val="none"/>
              </w:rPr>
              <w:t>商务部分</w:t>
            </w:r>
            <w:r>
              <w:rPr>
                <w:rFonts w:ascii="宋体" w:hAnsi="宋体"/>
                <w:color w:val="auto"/>
                <w:szCs w:val="21"/>
                <w:highlight w:val="none"/>
              </w:rPr>
              <w:t>F3：满分</w:t>
            </w:r>
            <w:r>
              <w:rPr>
                <w:rFonts w:hint="eastAsia" w:ascii="宋体" w:hAnsi="宋体"/>
                <w:color w:val="auto"/>
                <w:szCs w:val="21"/>
                <w:highlight w:val="none"/>
                <w:lang w:val="en-US" w:eastAsia="zh-CN"/>
              </w:rPr>
              <w:t>25</w:t>
            </w:r>
            <w:r>
              <w:rPr>
                <w:rFonts w:ascii="宋体" w:hAnsi="宋体"/>
                <w:color w:val="auto"/>
                <w:szCs w:val="21"/>
                <w:highlight w:val="none"/>
              </w:rPr>
              <w:t>分。</w:t>
            </w:r>
          </w:p>
        </w:tc>
      </w:tr>
      <w:tr w14:paraId="50DFE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17" w:type="dxa"/>
            <w:vMerge w:val="continue"/>
            <w:vAlign w:val="center"/>
          </w:tcPr>
          <w:p w14:paraId="5A19A28E">
            <w:pPr>
              <w:spacing w:line="360" w:lineRule="auto"/>
              <w:jc w:val="center"/>
              <w:rPr>
                <w:rFonts w:hint="eastAsia" w:ascii="宋体" w:hAnsi="宋体"/>
                <w:color w:val="auto"/>
                <w:highlight w:val="none"/>
              </w:rPr>
            </w:pPr>
          </w:p>
        </w:tc>
        <w:tc>
          <w:tcPr>
            <w:tcW w:w="1559" w:type="dxa"/>
            <w:vAlign w:val="center"/>
          </w:tcPr>
          <w:p w14:paraId="247E1A5F">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磋商</w:t>
            </w:r>
            <w:r>
              <w:rPr>
                <w:rFonts w:ascii="宋体" w:hAnsi="宋体"/>
                <w:b/>
                <w:bCs/>
                <w:color w:val="auto"/>
                <w:szCs w:val="21"/>
                <w:highlight w:val="none"/>
              </w:rPr>
              <w:t>报价F1</w:t>
            </w:r>
            <w:r>
              <w:rPr>
                <w:rFonts w:hint="eastAsia" w:ascii="宋体" w:hAnsi="宋体"/>
                <w:b/>
                <w:bCs/>
                <w:color w:val="auto"/>
                <w:szCs w:val="21"/>
                <w:highlight w:val="none"/>
              </w:rPr>
              <w:t>评审标准</w:t>
            </w:r>
          </w:p>
          <w:p w14:paraId="14C680DC">
            <w:pPr>
              <w:pStyle w:val="33"/>
              <w:rPr>
                <w:rFonts w:hint="eastAsia" w:ascii="宋体" w:hAnsi="宋体"/>
                <w:b/>
                <w:bCs/>
                <w:color w:val="auto"/>
                <w:highlight w:val="none"/>
              </w:rPr>
            </w:pPr>
            <w:r>
              <w:rPr>
                <w:rFonts w:hint="eastAsia" w:ascii="宋体" w:hAnsi="宋体"/>
                <w:b/>
                <w:bCs/>
                <w:color w:val="auto"/>
                <w:sz w:val="21"/>
                <w:szCs w:val="21"/>
                <w:highlight w:val="none"/>
              </w:rPr>
              <w:t>（满分</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rPr>
              <w:t>0分）</w:t>
            </w:r>
          </w:p>
        </w:tc>
        <w:tc>
          <w:tcPr>
            <w:tcW w:w="1462" w:type="dxa"/>
            <w:vAlign w:val="center"/>
          </w:tcPr>
          <w:p w14:paraId="1E4A434D">
            <w:pPr>
              <w:spacing w:line="360" w:lineRule="auto"/>
              <w:contextualSpacing/>
              <w:jc w:val="center"/>
              <w:rPr>
                <w:rFonts w:hint="eastAsia" w:ascii="宋体" w:hAnsi="宋体" w:cs="宋体"/>
                <w:b/>
                <w:bCs/>
                <w:color w:val="auto"/>
                <w:szCs w:val="21"/>
                <w:highlight w:val="none"/>
              </w:rPr>
            </w:pPr>
            <w:r>
              <w:rPr>
                <w:rFonts w:hint="eastAsia" w:ascii="宋体" w:hAnsi="宋体" w:cs="宋体"/>
                <w:b/>
                <w:bCs/>
                <w:color w:val="auto"/>
                <w:szCs w:val="21"/>
                <w:highlight w:val="none"/>
              </w:rPr>
              <w:t>磋商报价得分</w:t>
            </w:r>
          </w:p>
          <w:p w14:paraId="2204B079">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（满分</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分）</w:t>
            </w:r>
          </w:p>
        </w:tc>
        <w:tc>
          <w:tcPr>
            <w:tcW w:w="5913" w:type="dxa"/>
            <w:vAlign w:val="center"/>
          </w:tcPr>
          <w:p w14:paraId="28F2E115">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1、本次竞争性磋商允许二次报价。供应商的二次报价即为最终报价。报价部分评审以供应商二次报价为准。</w:t>
            </w:r>
          </w:p>
          <w:p w14:paraId="08B1B547">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2、综合评分法中的价格分统一采用低价优先法计算，即满足竞争性磋商文件要求且最终报价最低的供应商的价格为评标基准价。</w:t>
            </w:r>
          </w:p>
          <w:p w14:paraId="248425AF">
            <w:pPr>
              <w:spacing w:line="360" w:lineRule="auto"/>
              <w:rPr>
                <w:rFonts w:hint="eastAsia" w:ascii="宋体" w:hAnsi="宋体"/>
                <w:color w:val="auto"/>
                <w:highlight w:val="none"/>
              </w:rPr>
            </w:pPr>
            <w:r>
              <w:rPr>
                <w:rFonts w:hint="eastAsia" w:ascii="宋体" w:hAnsi="宋体"/>
                <w:b/>
                <w:bCs/>
                <w:color w:val="auto"/>
                <w:highlight w:val="none"/>
              </w:rPr>
              <w:t>（1）</w:t>
            </w:r>
            <w:r>
              <w:rPr>
                <w:rFonts w:hint="eastAsia" w:ascii="宋体" w:hAnsi="宋体"/>
                <w:color w:val="auto"/>
                <w:highlight w:val="none"/>
              </w:rPr>
              <w:t>当最终磋商报价最低的为评标基准价，得报价分</w:t>
            </w:r>
            <w:r>
              <w:rPr>
                <w:rFonts w:hint="eastAsia" w:ascii="宋体" w:hAnsi="宋体"/>
                <w:color w:val="auto"/>
                <w:highlight w:val="none"/>
                <w:lang w:val="en-US" w:eastAsia="zh-CN"/>
              </w:rPr>
              <w:t>3</w:t>
            </w:r>
            <w:r>
              <w:rPr>
                <w:rFonts w:hint="eastAsia" w:ascii="宋体" w:hAnsi="宋体"/>
                <w:color w:val="auto"/>
                <w:highlight w:val="none"/>
              </w:rPr>
              <w:t>0分；</w:t>
            </w:r>
          </w:p>
          <w:p w14:paraId="7CA66996">
            <w:pPr>
              <w:widowControl/>
              <w:shd w:val="clear" w:color="auto"/>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其他供应商的报价得分统一按照下列公式计算：</w:t>
            </w:r>
          </w:p>
          <w:p w14:paraId="172D967B">
            <w:pPr>
              <w:widowControl/>
              <w:shd w:val="clear" w:color="auto"/>
              <w:spacing w:line="360" w:lineRule="auto"/>
              <w:jc w:val="center"/>
              <w:rPr>
                <w:rFonts w:hint="default" w:ascii="宋体" w:hAnsi="宋体" w:cs="宋体"/>
                <w:b/>
                <w:bCs/>
                <w:color w:val="auto"/>
                <w:szCs w:val="21"/>
                <w:highlight w:val="none"/>
                <w:lang w:val="en-US"/>
              </w:rPr>
            </w:pPr>
            <w:r>
              <w:rPr>
                <w:rFonts w:hint="eastAsia" w:ascii="宋体" w:hAnsi="宋体" w:cs="宋体"/>
                <w:b/>
                <w:bCs/>
                <w:color w:val="auto"/>
                <w:szCs w:val="21"/>
                <w:highlight w:val="none"/>
              </w:rPr>
              <w:t>磋商报价得分=[评标基准价／最终报价</w:t>
            </w:r>
            <w:r>
              <w:rPr>
                <w:rFonts w:ascii="宋体" w:hAnsi="宋体" w:cs="宋体"/>
                <w:b/>
                <w:bCs/>
                <w:color w:val="auto"/>
                <w:szCs w:val="21"/>
                <w:highlight w:val="none"/>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30</w:t>
            </w:r>
          </w:p>
          <w:p w14:paraId="69CB186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注：小微企业报价的确定：</w:t>
            </w:r>
          </w:p>
          <w:p w14:paraId="61D51D45">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①小型、微型企业提供参与投标时，须提供本企业的《中小企业声明函》。</w:t>
            </w:r>
          </w:p>
          <w:p w14:paraId="6145EE3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②如投标单位为监狱企业，还须提供省级以上监狱管理局、戒毒管理局（含新疆生产建设兵团）出具的属于监狱企业的证明文件扫描件。</w:t>
            </w:r>
          </w:p>
          <w:p w14:paraId="265009A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③如投标单位为残疾人福利性单位，提供《残疾人福利性单位声明函》。</w:t>
            </w:r>
          </w:p>
          <w:p w14:paraId="5B867914">
            <w:pPr>
              <w:spacing w:line="360" w:lineRule="auto"/>
              <w:rPr>
                <w:rFonts w:hint="eastAsia" w:ascii="宋体" w:hAnsi="宋体"/>
                <w:color w:val="auto"/>
                <w:highlight w:val="none"/>
              </w:rPr>
            </w:pPr>
            <w:r>
              <w:rPr>
                <w:rFonts w:hint="eastAsia" w:ascii="宋体" w:hAnsi="宋体" w:cs="宋体"/>
                <w:b/>
                <w:bCs/>
                <w:color w:val="auto"/>
                <w:szCs w:val="21"/>
                <w:highlight w:val="none"/>
              </w:rPr>
              <w:t>对小型、微型企业的投标产品（提供本企业承担的工程）的价格给予</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%的扣除</w:t>
            </w:r>
            <w:r>
              <w:rPr>
                <w:rFonts w:hint="eastAsia" w:ascii="宋体" w:hAnsi="宋体"/>
                <w:color w:val="auto"/>
                <w:szCs w:val="21"/>
                <w:highlight w:val="none"/>
              </w:rPr>
              <w:t>。</w:t>
            </w:r>
          </w:p>
        </w:tc>
      </w:tr>
      <w:tr w14:paraId="39412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7" w:hRule="atLeast"/>
        </w:trPr>
        <w:tc>
          <w:tcPr>
            <w:tcW w:w="817" w:type="dxa"/>
            <w:vMerge w:val="continue"/>
            <w:vAlign w:val="center"/>
          </w:tcPr>
          <w:p w14:paraId="37CCD2A2">
            <w:pPr>
              <w:overflowPunct w:val="0"/>
              <w:spacing w:before="100" w:after="100" w:line="360" w:lineRule="auto"/>
              <w:jc w:val="center"/>
              <w:rPr>
                <w:rFonts w:hint="eastAsia" w:ascii="宋体" w:hAnsi="宋体" w:cs="宋体"/>
                <w:color w:val="auto"/>
                <w:szCs w:val="21"/>
                <w:highlight w:val="none"/>
              </w:rPr>
            </w:pPr>
          </w:p>
        </w:tc>
        <w:tc>
          <w:tcPr>
            <w:tcW w:w="1559" w:type="dxa"/>
            <w:vMerge w:val="restart"/>
            <w:vAlign w:val="center"/>
          </w:tcPr>
          <w:p w14:paraId="47B95F4D">
            <w:pPr>
              <w:jc w:val="center"/>
              <w:rPr>
                <w:rFonts w:hint="eastAsia" w:ascii="宋体" w:hAnsi="宋体"/>
                <w:b/>
                <w:bCs/>
                <w:color w:val="auto"/>
                <w:szCs w:val="21"/>
                <w:highlight w:val="none"/>
              </w:rPr>
            </w:pPr>
            <w:r>
              <w:rPr>
                <w:rFonts w:hint="eastAsia" w:ascii="宋体" w:hAnsi="宋体"/>
                <w:b/>
                <w:bCs/>
                <w:color w:val="auto"/>
                <w:szCs w:val="21"/>
                <w:highlight w:val="none"/>
              </w:rPr>
              <w:t>技术部分F2评审标准</w:t>
            </w:r>
          </w:p>
          <w:p w14:paraId="2D89EDA2">
            <w:pPr>
              <w:overflowPunct w:val="0"/>
              <w:spacing w:before="100" w:after="100" w:line="360" w:lineRule="auto"/>
              <w:jc w:val="center"/>
              <w:rPr>
                <w:rFonts w:hint="eastAsia" w:ascii="宋体" w:hAnsi="宋体"/>
                <w:color w:val="auto"/>
                <w:szCs w:val="21"/>
                <w:highlight w:val="none"/>
              </w:rPr>
            </w:pPr>
            <w:r>
              <w:rPr>
                <w:rFonts w:hint="eastAsia" w:ascii="宋体" w:hAnsi="宋体" w:cs="宋体"/>
                <w:b/>
                <w:color w:val="auto"/>
                <w:szCs w:val="21"/>
                <w:highlight w:val="none"/>
              </w:rPr>
              <w:t>（满分</w:t>
            </w:r>
            <w:r>
              <w:rPr>
                <w:rFonts w:hint="eastAsia" w:ascii="宋体" w:hAnsi="宋体" w:cs="宋体"/>
                <w:b/>
                <w:color w:val="auto"/>
                <w:szCs w:val="21"/>
                <w:highlight w:val="none"/>
                <w:lang w:val="en-US" w:eastAsia="zh-CN"/>
              </w:rPr>
              <w:t>45</w:t>
            </w:r>
            <w:r>
              <w:rPr>
                <w:rFonts w:hint="eastAsia" w:ascii="宋体" w:hAnsi="宋体" w:cs="宋体"/>
                <w:b/>
                <w:color w:val="auto"/>
                <w:szCs w:val="21"/>
                <w:highlight w:val="none"/>
              </w:rPr>
              <w:t>分）</w:t>
            </w:r>
          </w:p>
        </w:tc>
        <w:tc>
          <w:tcPr>
            <w:tcW w:w="1462" w:type="dxa"/>
            <w:vAlign w:val="center"/>
          </w:tcPr>
          <w:p w14:paraId="039A44FC">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施工组织方案</w:t>
            </w:r>
          </w:p>
          <w:p w14:paraId="76048CAA">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（满分24分）</w:t>
            </w:r>
          </w:p>
        </w:tc>
        <w:tc>
          <w:tcPr>
            <w:tcW w:w="5913" w:type="dxa"/>
            <w:vAlign w:val="center"/>
          </w:tcPr>
          <w:p w14:paraId="4E0C37B2">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根据供应商编制的针对本项目的施工组织方案进行评审：</w:t>
            </w:r>
          </w:p>
          <w:p w14:paraId="215C0702">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①</w:t>
            </w:r>
            <w:r>
              <w:rPr>
                <w:rFonts w:hint="eastAsia" w:ascii="宋体" w:hAnsi="宋体"/>
                <w:color w:val="auto"/>
                <w:szCs w:val="22"/>
                <w:highlight w:val="none"/>
              </w:rPr>
              <w:t>编制依据；</w:t>
            </w:r>
          </w:p>
          <w:p w14:paraId="65846058">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②</w:t>
            </w:r>
            <w:r>
              <w:rPr>
                <w:rFonts w:hint="eastAsia" w:ascii="宋体" w:hAnsi="宋体"/>
                <w:color w:val="auto"/>
                <w:szCs w:val="22"/>
                <w:highlight w:val="none"/>
              </w:rPr>
              <w:t>工程概况；</w:t>
            </w:r>
          </w:p>
          <w:p w14:paraId="2E169647">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③</w:t>
            </w:r>
            <w:r>
              <w:rPr>
                <w:rFonts w:hint="eastAsia" w:ascii="宋体" w:hAnsi="宋体"/>
                <w:color w:val="auto"/>
                <w:szCs w:val="22"/>
                <w:highlight w:val="none"/>
              </w:rPr>
              <w:t>施工部署；</w:t>
            </w:r>
          </w:p>
          <w:p w14:paraId="56E5D32A">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④</w:t>
            </w:r>
            <w:r>
              <w:rPr>
                <w:rFonts w:hint="eastAsia" w:ascii="宋体" w:hAnsi="宋体"/>
                <w:color w:val="auto"/>
                <w:szCs w:val="22"/>
                <w:highlight w:val="none"/>
              </w:rPr>
              <w:t>施工准备；</w:t>
            </w:r>
          </w:p>
          <w:p w14:paraId="55AF0521">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⑤</w:t>
            </w:r>
            <w:r>
              <w:rPr>
                <w:rFonts w:hint="eastAsia" w:ascii="宋体" w:hAnsi="宋体"/>
                <w:color w:val="auto"/>
                <w:szCs w:val="22"/>
                <w:highlight w:val="none"/>
              </w:rPr>
              <w:t>施工现场布置；</w:t>
            </w:r>
          </w:p>
          <w:p w14:paraId="7A682260">
            <w:pPr>
              <w:adjustRightInd w:val="0"/>
              <w:snapToGrid w:val="0"/>
              <w:spacing w:line="360" w:lineRule="auto"/>
              <w:rPr>
                <w:rFonts w:hint="eastAsia" w:ascii="宋体" w:hAnsi="宋体"/>
                <w:color w:val="auto"/>
                <w:szCs w:val="22"/>
                <w:highlight w:val="none"/>
              </w:rPr>
            </w:pPr>
            <w:r>
              <w:rPr>
                <w:rFonts w:hint="eastAsia" w:ascii="宋体" w:hAnsi="宋体"/>
                <w:b/>
                <w:bCs/>
                <w:color w:val="auto"/>
                <w:szCs w:val="22"/>
                <w:highlight w:val="none"/>
              </w:rPr>
              <w:t>⑥</w:t>
            </w:r>
            <w:r>
              <w:rPr>
                <w:rFonts w:hint="eastAsia" w:ascii="宋体" w:hAnsi="宋体"/>
                <w:color w:val="auto"/>
                <w:szCs w:val="22"/>
                <w:highlight w:val="none"/>
              </w:rPr>
              <w:t>主要分部分项工程施工方案及措施；</w:t>
            </w:r>
          </w:p>
          <w:p w14:paraId="46C865B3">
            <w:pPr>
              <w:adjustRightInd w:val="0"/>
              <w:snapToGrid w:val="0"/>
              <w:spacing w:line="360" w:lineRule="auto"/>
              <w:rPr>
                <w:rFonts w:hint="eastAsia" w:ascii="宋体" w:hAnsi="宋体"/>
                <w:color w:val="auto"/>
                <w:szCs w:val="22"/>
                <w:highlight w:val="none"/>
              </w:rPr>
            </w:pPr>
            <w:r>
              <w:rPr>
                <w:rFonts w:hint="eastAsia" w:ascii="宋体" w:hAnsi="宋体"/>
                <w:b/>
                <w:bCs/>
                <w:color w:val="auto"/>
                <w:szCs w:val="22"/>
                <w:highlight w:val="none"/>
              </w:rPr>
              <w:t>⑦</w:t>
            </w:r>
            <w:r>
              <w:rPr>
                <w:rFonts w:hint="eastAsia" w:ascii="宋体" w:hAnsi="宋体"/>
                <w:color w:val="auto"/>
                <w:szCs w:val="22"/>
                <w:highlight w:val="none"/>
              </w:rPr>
              <w:t>重点与特殊部位施工措施和方法；</w:t>
            </w:r>
          </w:p>
          <w:p w14:paraId="40003AF0">
            <w:pPr>
              <w:adjustRightInd w:val="0"/>
              <w:snapToGrid w:val="0"/>
              <w:spacing w:line="360" w:lineRule="auto"/>
              <w:rPr>
                <w:rFonts w:hint="eastAsia" w:ascii="宋体" w:hAnsi="宋体" w:cs="宋体"/>
                <w:b/>
                <w:bCs/>
                <w:color w:val="auto"/>
                <w:szCs w:val="20"/>
                <w:highlight w:val="none"/>
              </w:rPr>
            </w:pPr>
            <w:r>
              <w:rPr>
                <w:rFonts w:hint="eastAsia" w:ascii="宋体" w:hAnsi="宋体"/>
                <w:b/>
                <w:bCs/>
                <w:color w:val="auto"/>
                <w:szCs w:val="22"/>
                <w:highlight w:val="none"/>
              </w:rPr>
              <w:t>⑧</w:t>
            </w:r>
            <w:r>
              <w:rPr>
                <w:rFonts w:hint="eastAsia" w:ascii="宋体" w:hAnsi="宋体"/>
                <w:color w:val="auto"/>
                <w:szCs w:val="22"/>
                <w:highlight w:val="none"/>
              </w:rPr>
              <w:t>施工组织管理。</w:t>
            </w:r>
          </w:p>
          <w:p w14:paraId="2FA95E63">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注：1、</w:t>
            </w:r>
            <w:r>
              <w:rPr>
                <w:rFonts w:hint="eastAsia" w:ascii="宋体" w:hAnsi="宋体" w:cs="宋体"/>
                <w:color w:val="auto"/>
                <w:szCs w:val="20"/>
                <w:highlight w:val="none"/>
              </w:rPr>
              <w:t>供应商针对以上8项方案内容均有详细描述且符合项目需求的</w:t>
            </w:r>
            <w:r>
              <w:rPr>
                <w:rFonts w:hint="eastAsia" w:ascii="宋体" w:hAnsi="宋体" w:cs="宋体"/>
                <w:b/>
                <w:bCs/>
                <w:color w:val="auto"/>
                <w:szCs w:val="20"/>
                <w:highlight w:val="none"/>
              </w:rPr>
              <w:t>，得24分</w:t>
            </w:r>
            <w:r>
              <w:rPr>
                <w:rFonts w:hint="eastAsia" w:ascii="宋体" w:hAnsi="宋体" w:cs="宋体"/>
                <w:color w:val="auto"/>
                <w:szCs w:val="20"/>
                <w:highlight w:val="none"/>
              </w:rPr>
              <w:t>，每缺少一项要求的内容，</w:t>
            </w:r>
            <w:r>
              <w:rPr>
                <w:rFonts w:hint="eastAsia" w:ascii="宋体" w:hAnsi="宋体" w:cs="宋体"/>
                <w:b/>
                <w:bCs/>
                <w:color w:val="auto"/>
                <w:szCs w:val="20"/>
                <w:highlight w:val="none"/>
              </w:rPr>
              <w:t>扣3分，扣完为止。</w:t>
            </w:r>
          </w:p>
          <w:p w14:paraId="1A8842F5">
            <w:pPr>
              <w:adjustRightInd w:val="0"/>
              <w:snapToGrid w:val="0"/>
              <w:spacing w:line="360" w:lineRule="auto"/>
              <w:rPr>
                <w:rFonts w:hint="eastAsia" w:ascii="宋体" w:hAnsi="宋体" w:cs="宋体"/>
                <w:color w:val="auto"/>
                <w:szCs w:val="20"/>
                <w:highlight w:val="none"/>
              </w:rPr>
            </w:pPr>
            <w:r>
              <w:rPr>
                <w:rFonts w:hint="eastAsia" w:ascii="宋体" w:hAnsi="宋体" w:cs="宋体"/>
                <w:b/>
                <w:bCs/>
                <w:color w:val="auto"/>
                <w:szCs w:val="20"/>
                <w:highlight w:val="none"/>
              </w:rPr>
              <w:t>2、</w:t>
            </w:r>
            <w:r>
              <w:rPr>
                <w:rFonts w:hint="eastAsia" w:ascii="宋体" w:hAnsi="宋体" w:cs="宋体"/>
                <w:color w:val="auto"/>
                <w:szCs w:val="20"/>
                <w:highlight w:val="none"/>
              </w:rPr>
              <w:t>每有一项要求的方案内容有错误或有逻辑错误的，</w:t>
            </w:r>
            <w:r>
              <w:rPr>
                <w:rFonts w:hint="eastAsia" w:ascii="宋体" w:hAnsi="宋体" w:cs="宋体"/>
                <w:b/>
                <w:bCs/>
                <w:color w:val="auto"/>
                <w:szCs w:val="20"/>
                <w:highlight w:val="none"/>
              </w:rPr>
              <w:t>扣1分；</w:t>
            </w:r>
            <w:r>
              <w:rPr>
                <w:rFonts w:hint="eastAsia" w:ascii="宋体" w:hAnsi="宋体" w:cs="宋体"/>
                <w:color w:val="auto"/>
                <w:szCs w:val="20"/>
                <w:highlight w:val="none"/>
              </w:rPr>
              <w:t>每有一项要求的方案内容有不切合实际或者与项目无关的描述，</w:t>
            </w:r>
            <w:r>
              <w:rPr>
                <w:rFonts w:hint="eastAsia" w:ascii="宋体" w:hAnsi="宋体" w:cs="宋体"/>
                <w:b/>
                <w:bCs/>
                <w:color w:val="auto"/>
                <w:szCs w:val="20"/>
                <w:highlight w:val="none"/>
              </w:rPr>
              <w:t>扣1分，</w:t>
            </w:r>
            <w:r>
              <w:rPr>
                <w:rFonts w:hint="eastAsia" w:ascii="宋体" w:hAnsi="宋体" w:cs="宋体"/>
                <w:color w:val="auto"/>
                <w:szCs w:val="20"/>
                <w:highlight w:val="none"/>
              </w:rPr>
              <w:t>每有一项要求的方案内容有缺漏的，</w:t>
            </w:r>
            <w:r>
              <w:rPr>
                <w:rFonts w:hint="eastAsia" w:ascii="宋体" w:hAnsi="宋体" w:cs="宋体"/>
                <w:b/>
                <w:bCs/>
                <w:color w:val="auto"/>
                <w:szCs w:val="20"/>
                <w:highlight w:val="none"/>
              </w:rPr>
              <w:t>扣1分。</w:t>
            </w:r>
          </w:p>
          <w:p w14:paraId="7950C2D8">
            <w:pPr>
              <w:adjustRightInd w:val="0"/>
              <w:snapToGrid w:val="0"/>
              <w:spacing w:line="360" w:lineRule="auto"/>
              <w:rPr>
                <w:rFonts w:hint="eastAsia" w:ascii="宋体" w:hAnsi="宋体"/>
                <w:color w:val="auto"/>
                <w:sz w:val="20"/>
                <w:szCs w:val="21"/>
                <w:highlight w:val="none"/>
              </w:rPr>
            </w:pPr>
            <w:r>
              <w:rPr>
                <w:rFonts w:hint="eastAsia" w:ascii="宋体" w:hAnsi="宋体" w:cs="宋体"/>
                <w:b/>
                <w:bCs/>
                <w:color w:val="auto"/>
                <w:szCs w:val="20"/>
                <w:highlight w:val="none"/>
              </w:rPr>
              <w:t>3、不提供方案的不得分。</w:t>
            </w:r>
          </w:p>
        </w:tc>
      </w:tr>
      <w:tr w14:paraId="75F98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7" w:type="dxa"/>
            <w:vMerge w:val="continue"/>
            <w:vAlign w:val="center"/>
          </w:tcPr>
          <w:p w14:paraId="5E25C8BA">
            <w:pPr>
              <w:overflowPunct w:val="0"/>
              <w:spacing w:before="100" w:after="100" w:line="360" w:lineRule="auto"/>
              <w:rPr>
                <w:rFonts w:hint="eastAsia" w:ascii="宋体" w:hAnsi="宋体" w:cs="宋体"/>
                <w:color w:val="auto"/>
                <w:szCs w:val="21"/>
                <w:highlight w:val="none"/>
              </w:rPr>
            </w:pPr>
          </w:p>
        </w:tc>
        <w:tc>
          <w:tcPr>
            <w:tcW w:w="1559" w:type="dxa"/>
            <w:vMerge w:val="continue"/>
            <w:vAlign w:val="center"/>
          </w:tcPr>
          <w:p w14:paraId="6A926B86">
            <w:pPr>
              <w:overflowPunct w:val="0"/>
              <w:spacing w:before="100" w:after="100" w:line="360" w:lineRule="auto"/>
              <w:rPr>
                <w:rFonts w:hint="eastAsia" w:ascii="宋体" w:hAnsi="宋体" w:cs="宋体"/>
                <w:color w:val="auto"/>
                <w:szCs w:val="21"/>
                <w:highlight w:val="none"/>
              </w:rPr>
            </w:pPr>
          </w:p>
        </w:tc>
        <w:tc>
          <w:tcPr>
            <w:tcW w:w="1462" w:type="dxa"/>
            <w:vAlign w:val="center"/>
          </w:tcPr>
          <w:p w14:paraId="79C27236">
            <w:pPr>
              <w:adjustRightInd w:val="0"/>
              <w:snapToGrid w:val="0"/>
              <w:spacing w:line="360" w:lineRule="auto"/>
              <w:jc w:val="center"/>
              <w:rPr>
                <w:b/>
                <w:color w:val="auto"/>
                <w:highlight w:val="none"/>
              </w:rPr>
            </w:pPr>
            <w:r>
              <w:rPr>
                <w:b/>
                <w:color w:val="auto"/>
                <w:highlight w:val="none"/>
              </w:rPr>
              <w:t>质量管理体系与措施</w:t>
            </w:r>
          </w:p>
          <w:p w14:paraId="7626648D">
            <w:pPr>
              <w:pStyle w:val="33"/>
              <w:rPr>
                <w:rFonts w:hint="eastAsia" w:ascii="宋体" w:hAnsi="宋体"/>
                <w:b/>
                <w:bCs/>
                <w:color w:val="auto"/>
                <w:highlight w:val="none"/>
              </w:rPr>
            </w:pPr>
            <w:r>
              <w:rPr>
                <w:rFonts w:hint="eastAsia" w:ascii="宋体" w:hAnsi="宋体"/>
                <w:b/>
                <w:bCs/>
                <w:color w:val="auto"/>
                <w:sz w:val="21"/>
                <w:szCs w:val="21"/>
                <w:highlight w:val="none"/>
              </w:rPr>
              <w:t>（满分9分）</w:t>
            </w:r>
          </w:p>
        </w:tc>
        <w:tc>
          <w:tcPr>
            <w:tcW w:w="5913" w:type="dxa"/>
            <w:vAlign w:val="center"/>
          </w:tcPr>
          <w:p w14:paraId="09119819">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根据供应商编制的针对本项目的质量管理体系与措施进行评审：</w:t>
            </w:r>
          </w:p>
          <w:p w14:paraId="0304AA0A">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①</w:t>
            </w:r>
            <w:r>
              <w:rPr>
                <w:rFonts w:hint="eastAsia" w:ascii="宋体" w:hAnsi="宋体"/>
                <w:color w:val="auto"/>
                <w:szCs w:val="22"/>
                <w:highlight w:val="none"/>
              </w:rPr>
              <w:t>质量控制和保证体系；</w:t>
            </w:r>
          </w:p>
          <w:p w14:paraId="64FBE286">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②</w:t>
            </w:r>
            <w:r>
              <w:rPr>
                <w:rFonts w:hint="eastAsia" w:ascii="宋体" w:hAnsi="宋体" w:cs="宋体"/>
                <w:color w:val="auto"/>
                <w:szCs w:val="20"/>
                <w:highlight w:val="none"/>
              </w:rPr>
              <w:t>质量</w:t>
            </w:r>
            <w:r>
              <w:rPr>
                <w:rFonts w:hint="eastAsia" w:ascii="宋体" w:hAnsi="宋体"/>
                <w:color w:val="auto"/>
                <w:szCs w:val="22"/>
                <w:highlight w:val="none"/>
              </w:rPr>
              <w:t>管理措施；</w:t>
            </w:r>
          </w:p>
          <w:p w14:paraId="3B4B2DFA">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③</w:t>
            </w:r>
            <w:r>
              <w:rPr>
                <w:rFonts w:hint="eastAsia" w:ascii="宋体" w:hAnsi="宋体"/>
                <w:color w:val="auto"/>
                <w:szCs w:val="22"/>
                <w:highlight w:val="none"/>
              </w:rPr>
              <w:t>质量违约承诺及具体的处罚措施。</w:t>
            </w:r>
          </w:p>
          <w:p w14:paraId="4E2FAB28">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注：1、</w:t>
            </w:r>
            <w:r>
              <w:rPr>
                <w:rFonts w:hint="eastAsia" w:ascii="宋体" w:hAnsi="宋体" w:cs="宋体"/>
                <w:color w:val="auto"/>
                <w:szCs w:val="20"/>
                <w:highlight w:val="none"/>
              </w:rPr>
              <w:t>供应商针对以上3项方案内容均有详细描述且符合项目需求的</w:t>
            </w:r>
            <w:r>
              <w:rPr>
                <w:rFonts w:hint="eastAsia" w:ascii="宋体" w:hAnsi="宋体" w:cs="宋体"/>
                <w:b/>
                <w:bCs/>
                <w:color w:val="auto"/>
                <w:szCs w:val="20"/>
                <w:highlight w:val="none"/>
              </w:rPr>
              <w:t>，得9分</w:t>
            </w:r>
            <w:r>
              <w:rPr>
                <w:rFonts w:hint="eastAsia" w:ascii="宋体" w:hAnsi="宋体" w:cs="宋体"/>
                <w:color w:val="auto"/>
                <w:szCs w:val="20"/>
                <w:highlight w:val="none"/>
              </w:rPr>
              <w:t>，每缺少一项要求的内容，</w:t>
            </w:r>
            <w:r>
              <w:rPr>
                <w:rFonts w:hint="eastAsia" w:ascii="宋体" w:hAnsi="宋体" w:cs="宋体"/>
                <w:b/>
                <w:bCs/>
                <w:color w:val="auto"/>
                <w:szCs w:val="20"/>
                <w:highlight w:val="none"/>
              </w:rPr>
              <w:t>扣3分，扣完为止。</w:t>
            </w:r>
          </w:p>
          <w:p w14:paraId="15C6077C">
            <w:pPr>
              <w:adjustRightInd w:val="0"/>
              <w:snapToGrid w:val="0"/>
              <w:spacing w:line="360" w:lineRule="auto"/>
              <w:rPr>
                <w:rFonts w:hint="eastAsia" w:ascii="宋体" w:hAnsi="宋体" w:cs="宋体"/>
                <w:color w:val="auto"/>
                <w:szCs w:val="20"/>
                <w:highlight w:val="none"/>
              </w:rPr>
            </w:pPr>
            <w:r>
              <w:rPr>
                <w:rFonts w:hint="eastAsia" w:ascii="宋体" w:hAnsi="宋体" w:cs="宋体"/>
                <w:b/>
                <w:bCs/>
                <w:color w:val="auto"/>
                <w:szCs w:val="20"/>
                <w:highlight w:val="none"/>
              </w:rPr>
              <w:t>2、</w:t>
            </w:r>
            <w:r>
              <w:rPr>
                <w:rFonts w:hint="eastAsia" w:ascii="宋体" w:hAnsi="宋体" w:cs="宋体"/>
                <w:color w:val="auto"/>
                <w:szCs w:val="20"/>
                <w:highlight w:val="none"/>
              </w:rPr>
              <w:t>每有一项要求的方案内容有错误或有逻辑错误的，</w:t>
            </w:r>
            <w:r>
              <w:rPr>
                <w:rFonts w:hint="eastAsia" w:ascii="宋体" w:hAnsi="宋体" w:cs="宋体"/>
                <w:b/>
                <w:bCs/>
                <w:color w:val="auto"/>
                <w:szCs w:val="20"/>
                <w:highlight w:val="none"/>
              </w:rPr>
              <w:t>扣1分；</w:t>
            </w:r>
            <w:r>
              <w:rPr>
                <w:rFonts w:hint="eastAsia" w:ascii="宋体" w:hAnsi="宋体" w:cs="宋体"/>
                <w:color w:val="auto"/>
                <w:szCs w:val="20"/>
                <w:highlight w:val="none"/>
              </w:rPr>
              <w:t>每有一项要求的方案内容有不切合实际或者与项目无关的描述，</w:t>
            </w:r>
            <w:r>
              <w:rPr>
                <w:rFonts w:hint="eastAsia" w:ascii="宋体" w:hAnsi="宋体" w:cs="宋体"/>
                <w:b/>
                <w:bCs/>
                <w:color w:val="auto"/>
                <w:szCs w:val="20"/>
                <w:highlight w:val="none"/>
              </w:rPr>
              <w:t>扣1分，</w:t>
            </w:r>
            <w:r>
              <w:rPr>
                <w:rFonts w:hint="eastAsia" w:ascii="宋体" w:hAnsi="宋体" w:cs="宋体"/>
                <w:color w:val="auto"/>
                <w:szCs w:val="20"/>
                <w:highlight w:val="none"/>
              </w:rPr>
              <w:t>每有一项要求的方案内容有缺漏的，</w:t>
            </w:r>
            <w:r>
              <w:rPr>
                <w:rFonts w:hint="eastAsia" w:ascii="宋体" w:hAnsi="宋体" w:cs="宋体"/>
                <w:b/>
                <w:bCs/>
                <w:color w:val="auto"/>
                <w:szCs w:val="20"/>
                <w:highlight w:val="none"/>
              </w:rPr>
              <w:t>扣1分。</w:t>
            </w:r>
          </w:p>
          <w:p w14:paraId="72B0715A">
            <w:pPr>
              <w:adjustRightInd w:val="0"/>
              <w:snapToGrid w:val="0"/>
              <w:spacing w:line="360" w:lineRule="auto"/>
              <w:rPr>
                <w:rFonts w:hint="eastAsia" w:ascii="宋体" w:hAnsi="宋体"/>
                <w:color w:val="auto"/>
                <w:sz w:val="20"/>
                <w:szCs w:val="21"/>
                <w:highlight w:val="none"/>
              </w:rPr>
            </w:pPr>
            <w:r>
              <w:rPr>
                <w:rFonts w:hint="eastAsia" w:ascii="宋体" w:hAnsi="宋体" w:cs="宋体"/>
                <w:b/>
                <w:bCs/>
                <w:color w:val="auto"/>
                <w:szCs w:val="20"/>
                <w:highlight w:val="none"/>
              </w:rPr>
              <w:t>3、不提供质量管理体系与措施的不得分。</w:t>
            </w:r>
          </w:p>
        </w:tc>
      </w:tr>
      <w:tr w14:paraId="70297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7" w:type="dxa"/>
            <w:vMerge w:val="continue"/>
            <w:vAlign w:val="center"/>
          </w:tcPr>
          <w:p w14:paraId="705143C4">
            <w:pPr>
              <w:overflowPunct w:val="0"/>
              <w:spacing w:before="100" w:after="100" w:line="360" w:lineRule="auto"/>
              <w:rPr>
                <w:rFonts w:hint="eastAsia" w:ascii="宋体" w:hAnsi="宋体" w:cs="宋体"/>
                <w:color w:val="auto"/>
                <w:szCs w:val="21"/>
                <w:highlight w:val="none"/>
              </w:rPr>
            </w:pPr>
          </w:p>
        </w:tc>
        <w:tc>
          <w:tcPr>
            <w:tcW w:w="1559" w:type="dxa"/>
            <w:vMerge w:val="continue"/>
            <w:vAlign w:val="center"/>
          </w:tcPr>
          <w:p w14:paraId="78A1A10C">
            <w:pPr>
              <w:overflowPunct w:val="0"/>
              <w:spacing w:before="100" w:after="100" w:line="360" w:lineRule="auto"/>
              <w:rPr>
                <w:rFonts w:hint="eastAsia" w:ascii="宋体" w:hAnsi="宋体" w:cs="宋体"/>
                <w:color w:val="auto"/>
                <w:szCs w:val="21"/>
                <w:highlight w:val="none"/>
              </w:rPr>
            </w:pPr>
          </w:p>
        </w:tc>
        <w:tc>
          <w:tcPr>
            <w:tcW w:w="1462" w:type="dxa"/>
            <w:vAlign w:val="center"/>
          </w:tcPr>
          <w:p w14:paraId="10659D2D">
            <w:pPr>
              <w:widowControl/>
              <w:adjustRightInd w:val="0"/>
              <w:snapToGrid w:val="0"/>
              <w:spacing w:line="360" w:lineRule="auto"/>
              <w:jc w:val="center"/>
              <w:rPr>
                <w:rFonts w:hint="eastAsia" w:ascii="宋体" w:hAnsi="宋体" w:cs="宋体"/>
                <w:b/>
                <w:bCs/>
                <w:color w:val="auto"/>
                <w:szCs w:val="20"/>
                <w:highlight w:val="none"/>
              </w:rPr>
            </w:pPr>
            <w:r>
              <w:rPr>
                <w:rFonts w:hint="eastAsia" w:ascii="宋体" w:hAnsi="宋体" w:cs="宋体"/>
                <w:b/>
                <w:bCs/>
                <w:color w:val="auto"/>
                <w:szCs w:val="20"/>
                <w:highlight w:val="none"/>
              </w:rPr>
              <w:t>安全管理体系与措施</w:t>
            </w:r>
          </w:p>
          <w:p w14:paraId="6BAC4A75">
            <w:pPr>
              <w:pStyle w:val="33"/>
              <w:jc w:val="center"/>
              <w:rPr>
                <w:color w:val="auto"/>
                <w:highlight w:val="none"/>
              </w:rPr>
            </w:pPr>
            <w:r>
              <w:rPr>
                <w:rFonts w:hint="eastAsia" w:ascii="宋体" w:hAnsi="宋体"/>
                <w:b/>
                <w:bCs/>
                <w:color w:val="auto"/>
                <w:sz w:val="21"/>
                <w:szCs w:val="21"/>
                <w:highlight w:val="none"/>
              </w:rPr>
              <w:t>（满分9分）</w:t>
            </w:r>
          </w:p>
        </w:tc>
        <w:tc>
          <w:tcPr>
            <w:tcW w:w="5913" w:type="dxa"/>
            <w:vAlign w:val="center"/>
          </w:tcPr>
          <w:p w14:paraId="2D81310C">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根据供应商编制的针对本项目的安全管理体系与措施进行评审：</w:t>
            </w:r>
          </w:p>
          <w:p w14:paraId="504366FD">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①</w:t>
            </w:r>
            <w:r>
              <w:rPr>
                <w:rFonts w:hint="eastAsia" w:ascii="宋体" w:hAnsi="宋体"/>
                <w:color w:val="auto"/>
                <w:szCs w:val="22"/>
                <w:highlight w:val="none"/>
              </w:rPr>
              <w:t>安全管理制度及</w:t>
            </w:r>
            <w:r>
              <w:rPr>
                <w:rFonts w:hint="eastAsia" w:ascii="宋体" w:hAnsi="宋体" w:cs="宋体"/>
                <w:color w:val="auto"/>
                <w:szCs w:val="20"/>
                <w:highlight w:val="none"/>
              </w:rPr>
              <w:t>安全技术措施</w:t>
            </w:r>
            <w:r>
              <w:rPr>
                <w:rFonts w:hint="eastAsia" w:ascii="宋体" w:hAnsi="宋体"/>
                <w:color w:val="auto"/>
                <w:szCs w:val="22"/>
                <w:highlight w:val="none"/>
              </w:rPr>
              <w:t>；</w:t>
            </w:r>
          </w:p>
          <w:p w14:paraId="44D2C948">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②</w:t>
            </w:r>
            <w:r>
              <w:rPr>
                <w:rFonts w:hint="eastAsia" w:ascii="宋体" w:hAnsi="宋体"/>
                <w:color w:val="auto"/>
                <w:szCs w:val="22"/>
                <w:highlight w:val="none"/>
              </w:rPr>
              <w:t>安全检查及隐患整改方案；</w:t>
            </w:r>
          </w:p>
          <w:p w14:paraId="15613EFB">
            <w:pPr>
              <w:adjustRightInd w:val="0"/>
              <w:snapToGrid w:val="0"/>
              <w:spacing w:line="360" w:lineRule="auto"/>
              <w:rPr>
                <w:rFonts w:hint="eastAsia" w:ascii="宋体" w:hAnsi="宋体" w:cs="宋体"/>
                <w:color w:val="auto"/>
                <w:szCs w:val="20"/>
                <w:highlight w:val="none"/>
              </w:rPr>
            </w:pPr>
            <w:r>
              <w:rPr>
                <w:rFonts w:hint="eastAsia" w:ascii="宋体" w:hAnsi="宋体" w:cs="宋体"/>
                <w:b/>
                <w:bCs/>
                <w:color w:val="auto"/>
                <w:szCs w:val="20"/>
                <w:highlight w:val="none"/>
              </w:rPr>
              <w:t>③</w:t>
            </w:r>
            <w:r>
              <w:rPr>
                <w:rFonts w:hint="eastAsia" w:ascii="宋体" w:hAnsi="宋体" w:cs="宋体"/>
                <w:color w:val="auto"/>
                <w:szCs w:val="20"/>
                <w:highlight w:val="none"/>
              </w:rPr>
              <w:t>安全施工</w:t>
            </w:r>
            <w:r>
              <w:rPr>
                <w:rFonts w:hint="eastAsia" w:ascii="宋体" w:hAnsi="宋体"/>
                <w:color w:val="auto"/>
                <w:szCs w:val="22"/>
                <w:highlight w:val="none"/>
              </w:rPr>
              <w:t>违约承诺及具体的处罚措施。</w:t>
            </w:r>
          </w:p>
          <w:p w14:paraId="4EB9ED70">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注：1、</w:t>
            </w:r>
            <w:r>
              <w:rPr>
                <w:rFonts w:hint="eastAsia" w:ascii="宋体" w:hAnsi="宋体" w:cs="宋体"/>
                <w:color w:val="auto"/>
                <w:szCs w:val="20"/>
                <w:highlight w:val="none"/>
              </w:rPr>
              <w:t>供应商针对以上3项方案内容均有详细描述且符合项目需求的</w:t>
            </w:r>
            <w:r>
              <w:rPr>
                <w:rFonts w:hint="eastAsia" w:ascii="宋体" w:hAnsi="宋体" w:cs="宋体"/>
                <w:b/>
                <w:bCs/>
                <w:color w:val="auto"/>
                <w:szCs w:val="20"/>
                <w:highlight w:val="none"/>
              </w:rPr>
              <w:t>，得9分</w:t>
            </w:r>
            <w:r>
              <w:rPr>
                <w:rFonts w:hint="eastAsia" w:ascii="宋体" w:hAnsi="宋体" w:cs="宋体"/>
                <w:color w:val="auto"/>
                <w:szCs w:val="20"/>
                <w:highlight w:val="none"/>
              </w:rPr>
              <w:t>，每缺少一项要求的内容，</w:t>
            </w:r>
            <w:r>
              <w:rPr>
                <w:rFonts w:hint="eastAsia" w:ascii="宋体" w:hAnsi="宋体" w:cs="宋体"/>
                <w:b/>
                <w:bCs/>
                <w:color w:val="auto"/>
                <w:szCs w:val="20"/>
                <w:highlight w:val="none"/>
              </w:rPr>
              <w:t>扣3分，扣完为止。</w:t>
            </w:r>
          </w:p>
          <w:p w14:paraId="4DD6BBC0">
            <w:pPr>
              <w:adjustRightInd w:val="0"/>
              <w:snapToGrid w:val="0"/>
              <w:spacing w:line="360" w:lineRule="auto"/>
              <w:rPr>
                <w:rFonts w:hint="eastAsia" w:ascii="宋体" w:hAnsi="宋体" w:cs="宋体"/>
                <w:color w:val="auto"/>
                <w:szCs w:val="20"/>
                <w:highlight w:val="none"/>
              </w:rPr>
            </w:pPr>
            <w:r>
              <w:rPr>
                <w:rFonts w:hint="eastAsia" w:ascii="宋体" w:hAnsi="宋体" w:cs="宋体"/>
                <w:b/>
                <w:bCs/>
                <w:color w:val="auto"/>
                <w:szCs w:val="20"/>
                <w:highlight w:val="none"/>
              </w:rPr>
              <w:t>2、</w:t>
            </w:r>
            <w:r>
              <w:rPr>
                <w:rFonts w:hint="eastAsia" w:ascii="宋体" w:hAnsi="宋体" w:cs="宋体"/>
                <w:color w:val="auto"/>
                <w:szCs w:val="20"/>
                <w:highlight w:val="none"/>
              </w:rPr>
              <w:t>每有一项要求的方案内容有错误或有逻辑错误的，</w:t>
            </w:r>
            <w:r>
              <w:rPr>
                <w:rFonts w:hint="eastAsia" w:ascii="宋体" w:hAnsi="宋体" w:cs="宋体"/>
                <w:b/>
                <w:bCs/>
                <w:color w:val="auto"/>
                <w:szCs w:val="20"/>
                <w:highlight w:val="none"/>
              </w:rPr>
              <w:t>扣1分；</w:t>
            </w:r>
            <w:r>
              <w:rPr>
                <w:rFonts w:hint="eastAsia" w:ascii="宋体" w:hAnsi="宋体" w:cs="宋体"/>
                <w:color w:val="auto"/>
                <w:szCs w:val="20"/>
                <w:highlight w:val="none"/>
              </w:rPr>
              <w:t>每有一项要求的方案内容有不切合实际或者与项目无关的描述，</w:t>
            </w:r>
            <w:r>
              <w:rPr>
                <w:rFonts w:hint="eastAsia" w:ascii="宋体" w:hAnsi="宋体" w:cs="宋体"/>
                <w:b/>
                <w:bCs/>
                <w:color w:val="auto"/>
                <w:szCs w:val="20"/>
                <w:highlight w:val="none"/>
              </w:rPr>
              <w:t>扣1分，</w:t>
            </w:r>
            <w:r>
              <w:rPr>
                <w:rFonts w:hint="eastAsia" w:ascii="宋体" w:hAnsi="宋体" w:cs="宋体"/>
                <w:color w:val="auto"/>
                <w:szCs w:val="20"/>
                <w:highlight w:val="none"/>
              </w:rPr>
              <w:t>每有一项要求的方案内容有缺漏的，</w:t>
            </w:r>
            <w:r>
              <w:rPr>
                <w:rFonts w:hint="eastAsia" w:ascii="宋体" w:hAnsi="宋体" w:cs="宋体"/>
                <w:b/>
                <w:bCs/>
                <w:color w:val="auto"/>
                <w:szCs w:val="20"/>
                <w:highlight w:val="none"/>
              </w:rPr>
              <w:t>扣1分。</w:t>
            </w:r>
          </w:p>
          <w:p w14:paraId="4BB16982">
            <w:pPr>
              <w:adjustRightInd w:val="0"/>
              <w:snapToGrid w:val="0"/>
              <w:spacing w:line="360" w:lineRule="auto"/>
              <w:rPr>
                <w:rFonts w:hint="eastAsia" w:ascii="宋体" w:hAnsi="宋体"/>
                <w:color w:val="auto"/>
                <w:sz w:val="20"/>
                <w:szCs w:val="21"/>
                <w:highlight w:val="none"/>
              </w:rPr>
            </w:pPr>
            <w:r>
              <w:rPr>
                <w:rFonts w:hint="eastAsia" w:ascii="宋体" w:hAnsi="宋体" w:cs="宋体"/>
                <w:b/>
                <w:bCs/>
                <w:color w:val="auto"/>
                <w:szCs w:val="20"/>
                <w:highlight w:val="none"/>
              </w:rPr>
              <w:t>3、不提供安全管理体系与措施的不得分。</w:t>
            </w:r>
          </w:p>
        </w:tc>
      </w:tr>
      <w:tr w14:paraId="3EF58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0" w:hRule="atLeast"/>
        </w:trPr>
        <w:tc>
          <w:tcPr>
            <w:tcW w:w="817" w:type="dxa"/>
            <w:vMerge w:val="continue"/>
            <w:vAlign w:val="center"/>
          </w:tcPr>
          <w:p w14:paraId="60B38CC5">
            <w:pPr>
              <w:overflowPunct w:val="0"/>
              <w:spacing w:before="100" w:after="100" w:line="360" w:lineRule="auto"/>
              <w:rPr>
                <w:rFonts w:hint="eastAsia" w:ascii="宋体" w:hAnsi="宋体" w:cs="宋体"/>
                <w:color w:val="auto"/>
                <w:szCs w:val="21"/>
                <w:highlight w:val="none"/>
              </w:rPr>
            </w:pPr>
          </w:p>
        </w:tc>
        <w:tc>
          <w:tcPr>
            <w:tcW w:w="1559" w:type="dxa"/>
            <w:vMerge w:val="continue"/>
            <w:vAlign w:val="center"/>
          </w:tcPr>
          <w:p w14:paraId="632C3BDA">
            <w:pPr>
              <w:overflowPunct w:val="0"/>
              <w:spacing w:before="100" w:after="100" w:line="360" w:lineRule="auto"/>
              <w:rPr>
                <w:rFonts w:hint="eastAsia" w:ascii="宋体" w:hAnsi="宋体" w:cs="宋体"/>
                <w:color w:val="auto"/>
                <w:szCs w:val="21"/>
                <w:highlight w:val="none"/>
              </w:rPr>
            </w:pPr>
          </w:p>
        </w:tc>
        <w:tc>
          <w:tcPr>
            <w:tcW w:w="1462" w:type="dxa"/>
            <w:vAlign w:val="center"/>
          </w:tcPr>
          <w:p w14:paraId="4A0B44E7">
            <w:pPr>
              <w:widowControl/>
              <w:adjustRightInd w:val="0"/>
              <w:snapToGrid w:val="0"/>
              <w:spacing w:line="360" w:lineRule="auto"/>
              <w:jc w:val="center"/>
              <w:rPr>
                <w:rFonts w:hint="eastAsia" w:ascii="宋体" w:hAnsi="宋体" w:cs="宋体"/>
                <w:b/>
                <w:bCs/>
                <w:color w:val="auto"/>
                <w:szCs w:val="20"/>
                <w:highlight w:val="none"/>
              </w:rPr>
            </w:pPr>
            <w:r>
              <w:rPr>
                <w:rFonts w:hint="eastAsia" w:ascii="宋体" w:hAnsi="宋体" w:cs="宋体"/>
                <w:b/>
                <w:bCs/>
                <w:color w:val="auto"/>
                <w:szCs w:val="20"/>
                <w:highlight w:val="none"/>
              </w:rPr>
              <w:t>文明施工及环境保护管理体系与措施</w:t>
            </w:r>
          </w:p>
          <w:p w14:paraId="330115AE">
            <w:pPr>
              <w:pStyle w:val="33"/>
              <w:jc w:val="center"/>
              <w:rPr>
                <w:color w:val="auto"/>
                <w:highlight w:val="none"/>
              </w:rPr>
            </w:pPr>
            <w:r>
              <w:rPr>
                <w:rFonts w:hint="eastAsia" w:ascii="宋体" w:hAnsi="宋体"/>
                <w:b/>
                <w:bCs/>
                <w:color w:val="auto"/>
                <w:sz w:val="21"/>
                <w:szCs w:val="21"/>
                <w:highlight w:val="none"/>
              </w:rPr>
              <w:t>（满分</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rPr>
              <w:t>分）</w:t>
            </w:r>
          </w:p>
        </w:tc>
        <w:tc>
          <w:tcPr>
            <w:tcW w:w="5913" w:type="dxa"/>
            <w:vAlign w:val="center"/>
          </w:tcPr>
          <w:p w14:paraId="3E401131">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根据供应商编制的针对本项目的文明施工及环境保护管理体系与措施进行评审：</w:t>
            </w:r>
          </w:p>
          <w:p w14:paraId="3AE06875">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①</w:t>
            </w:r>
            <w:r>
              <w:rPr>
                <w:rFonts w:hint="eastAsia" w:ascii="宋体" w:hAnsi="宋体"/>
                <w:color w:val="auto"/>
                <w:szCs w:val="22"/>
                <w:highlight w:val="none"/>
              </w:rPr>
              <w:t>文明施工及环境保护管理体系；</w:t>
            </w:r>
          </w:p>
          <w:p w14:paraId="4E141A4F">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②</w:t>
            </w:r>
            <w:r>
              <w:rPr>
                <w:rFonts w:hint="eastAsia" w:ascii="宋体" w:hAnsi="宋体" w:cs="宋体"/>
                <w:color w:val="auto"/>
                <w:szCs w:val="20"/>
                <w:highlight w:val="none"/>
              </w:rPr>
              <w:t>文明施工及环境保护管理措施</w:t>
            </w:r>
            <w:r>
              <w:rPr>
                <w:rFonts w:hint="eastAsia" w:ascii="宋体" w:hAnsi="宋体"/>
                <w:color w:val="auto"/>
                <w:szCs w:val="22"/>
                <w:highlight w:val="none"/>
              </w:rPr>
              <w:t>；</w:t>
            </w:r>
          </w:p>
          <w:p w14:paraId="74421F50">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③</w:t>
            </w:r>
            <w:r>
              <w:rPr>
                <w:rFonts w:hint="eastAsia" w:ascii="宋体" w:hAnsi="宋体" w:cs="宋体"/>
                <w:color w:val="auto"/>
                <w:szCs w:val="20"/>
                <w:highlight w:val="none"/>
              </w:rPr>
              <w:t>文明施工及环境保护</w:t>
            </w:r>
            <w:r>
              <w:rPr>
                <w:rFonts w:hint="eastAsia" w:ascii="宋体" w:hAnsi="宋体"/>
                <w:color w:val="auto"/>
                <w:szCs w:val="22"/>
                <w:highlight w:val="none"/>
              </w:rPr>
              <w:t>违约承诺及具体的处罚措施。</w:t>
            </w:r>
          </w:p>
          <w:p w14:paraId="27B83F5E">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注：1、</w:t>
            </w:r>
            <w:r>
              <w:rPr>
                <w:rFonts w:hint="eastAsia" w:ascii="宋体" w:hAnsi="宋体" w:cs="宋体"/>
                <w:color w:val="auto"/>
                <w:szCs w:val="20"/>
                <w:highlight w:val="none"/>
              </w:rPr>
              <w:t>供应商针对以上3项方案内容均有详细描述且符合项目需求的</w:t>
            </w:r>
            <w:r>
              <w:rPr>
                <w:rFonts w:hint="eastAsia" w:ascii="宋体" w:hAnsi="宋体" w:cs="宋体"/>
                <w:b/>
                <w:bCs/>
                <w:color w:val="auto"/>
                <w:szCs w:val="20"/>
                <w:highlight w:val="none"/>
              </w:rPr>
              <w:t>，得</w:t>
            </w:r>
            <w:r>
              <w:rPr>
                <w:rFonts w:hint="eastAsia" w:ascii="宋体" w:hAnsi="宋体" w:cs="宋体"/>
                <w:b/>
                <w:bCs/>
                <w:color w:val="auto"/>
                <w:szCs w:val="20"/>
                <w:highlight w:val="none"/>
                <w:lang w:val="en-US" w:eastAsia="zh-CN"/>
              </w:rPr>
              <w:t>3</w:t>
            </w:r>
            <w:r>
              <w:rPr>
                <w:rFonts w:hint="eastAsia" w:ascii="宋体" w:hAnsi="宋体" w:cs="宋体"/>
                <w:b/>
                <w:bCs/>
                <w:color w:val="auto"/>
                <w:szCs w:val="20"/>
                <w:highlight w:val="none"/>
              </w:rPr>
              <w:t>分</w:t>
            </w:r>
            <w:r>
              <w:rPr>
                <w:rFonts w:hint="eastAsia" w:ascii="宋体" w:hAnsi="宋体" w:cs="宋体"/>
                <w:color w:val="auto"/>
                <w:szCs w:val="20"/>
                <w:highlight w:val="none"/>
              </w:rPr>
              <w:t>，每缺少一项要求的内容，</w:t>
            </w:r>
            <w:r>
              <w:rPr>
                <w:rFonts w:hint="eastAsia" w:ascii="宋体" w:hAnsi="宋体" w:cs="宋体"/>
                <w:b/>
                <w:bCs/>
                <w:color w:val="auto"/>
                <w:szCs w:val="20"/>
                <w:highlight w:val="none"/>
              </w:rPr>
              <w:t>扣</w:t>
            </w:r>
            <w:r>
              <w:rPr>
                <w:rFonts w:hint="eastAsia" w:ascii="宋体" w:hAnsi="宋体" w:cs="宋体"/>
                <w:b/>
                <w:bCs/>
                <w:color w:val="auto"/>
                <w:szCs w:val="20"/>
                <w:highlight w:val="none"/>
                <w:lang w:val="en-US" w:eastAsia="zh-CN"/>
              </w:rPr>
              <w:t>1</w:t>
            </w:r>
            <w:r>
              <w:rPr>
                <w:rFonts w:hint="eastAsia" w:ascii="宋体" w:hAnsi="宋体" w:cs="宋体"/>
                <w:b/>
                <w:bCs/>
                <w:color w:val="auto"/>
                <w:szCs w:val="20"/>
                <w:highlight w:val="none"/>
              </w:rPr>
              <w:t>分，扣完为止。</w:t>
            </w:r>
          </w:p>
          <w:p w14:paraId="6263C400">
            <w:pPr>
              <w:adjustRightInd w:val="0"/>
              <w:snapToGrid w:val="0"/>
              <w:spacing w:line="360" w:lineRule="auto"/>
              <w:rPr>
                <w:rFonts w:hint="eastAsia" w:ascii="宋体" w:hAnsi="宋体" w:cs="宋体"/>
                <w:color w:val="auto"/>
                <w:szCs w:val="20"/>
                <w:highlight w:val="none"/>
              </w:rPr>
            </w:pPr>
            <w:r>
              <w:rPr>
                <w:rFonts w:hint="eastAsia" w:ascii="宋体" w:hAnsi="宋体" w:cs="宋体"/>
                <w:b/>
                <w:bCs/>
                <w:color w:val="auto"/>
                <w:szCs w:val="20"/>
                <w:highlight w:val="none"/>
              </w:rPr>
              <w:t>2、</w:t>
            </w:r>
            <w:r>
              <w:rPr>
                <w:rFonts w:hint="eastAsia" w:ascii="宋体" w:hAnsi="宋体" w:cs="宋体"/>
                <w:color w:val="auto"/>
                <w:szCs w:val="20"/>
                <w:highlight w:val="none"/>
              </w:rPr>
              <w:t>每有一项要求的方案内容有错误或有逻辑错误的，</w:t>
            </w:r>
            <w:r>
              <w:rPr>
                <w:rFonts w:hint="eastAsia" w:ascii="宋体" w:hAnsi="宋体" w:cs="宋体"/>
                <w:b/>
                <w:bCs/>
                <w:color w:val="auto"/>
                <w:szCs w:val="20"/>
                <w:highlight w:val="none"/>
              </w:rPr>
              <w:t>扣0.</w:t>
            </w:r>
            <w:r>
              <w:rPr>
                <w:rFonts w:hint="eastAsia" w:ascii="宋体" w:hAnsi="宋体" w:cs="宋体"/>
                <w:b/>
                <w:bCs/>
                <w:color w:val="auto"/>
                <w:szCs w:val="20"/>
                <w:highlight w:val="none"/>
                <w:lang w:val="en-US" w:eastAsia="zh-CN"/>
              </w:rPr>
              <w:t>3</w:t>
            </w:r>
            <w:r>
              <w:rPr>
                <w:rFonts w:hint="eastAsia" w:ascii="宋体" w:hAnsi="宋体" w:cs="宋体"/>
                <w:b/>
                <w:bCs/>
                <w:color w:val="auto"/>
                <w:szCs w:val="20"/>
                <w:highlight w:val="none"/>
              </w:rPr>
              <w:t>分；</w:t>
            </w:r>
            <w:r>
              <w:rPr>
                <w:rFonts w:hint="eastAsia" w:ascii="宋体" w:hAnsi="宋体" w:cs="宋体"/>
                <w:color w:val="auto"/>
                <w:szCs w:val="20"/>
                <w:highlight w:val="none"/>
              </w:rPr>
              <w:t>每有一项要求的方案内容有不切合实际或者与项目无关的描述，</w:t>
            </w:r>
            <w:r>
              <w:rPr>
                <w:rFonts w:hint="eastAsia" w:ascii="宋体" w:hAnsi="宋体" w:cs="宋体"/>
                <w:b/>
                <w:bCs/>
                <w:color w:val="auto"/>
                <w:szCs w:val="20"/>
                <w:highlight w:val="none"/>
              </w:rPr>
              <w:t>扣0.</w:t>
            </w:r>
            <w:r>
              <w:rPr>
                <w:rFonts w:hint="eastAsia" w:ascii="宋体" w:hAnsi="宋体" w:cs="宋体"/>
                <w:b/>
                <w:bCs/>
                <w:color w:val="auto"/>
                <w:szCs w:val="20"/>
                <w:highlight w:val="none"/>
                <w:lang w:val="en-US" w:eastAsia="zh-CN"/>
              </w:rPr>
              <w:t>3</w:t>
            </w:r>
            <w:r>
              <w:rPr>
                <w:rFonts w:hint="eastAsia" w:ascii="宋体" w:hAnsi="宋体" w:cs="宋体"/>
                <w:b/>
                <w:bCs/>
                <w:color w:val="auto"/>
                <w:szCs w:val="20"/>
                <w:highlight w:val="none"/>
              </w:rPr>
              <w:t>分，</w:t>
            </w:r>
            <w:r>
              <w:rPr>
                <w:rFonts w:hint="eastAsia" w:ascii="宋体" w:hAnsi="宋体" w:cs="宋体"/>
                <w:color w:val="auto"/>
                <w:szCs w:val="20"/>
                <w:highlight w:val="none"/>
              </w:rPr>
              <w:t>每有一项要求的方案内容有缺漏的，</w:t>
            </w:r>
            <w:r>
              <w:rPr>
                <w:rFonts w:hint="eastAsia" w:ascii="宋体" w:hAnsi="宋体" w:cs="宋体"/>
                <w:b/>
                <w:bCs/>
                <w:color w:val="auto"/>
                <w:szCs w:val="20"/>
                <w:highlight w:val="none"/>
              </w:rPr>
              <w:t>扣</w:t>
            </w:r>
            <w:r>
              <w:rPr>
                <w:rFonts w:hint="eastAsia" w:ascii="宋体" w:hAnsi="宋体" w:cs="宋体"/>
                <w:b/>
                <w:bCs/>
                <w:color w:val="auto"/>
                <w:szCs w:val="20"/>
                <w:highlight w:val="none"/>
                <w:lang w:val="en-US" w:eastAsia="zh-CN"/>
              </w:rPr>
              <w:t>0.4</w:t>
            </w:r>
            <w:r>
              <w:rPr>
                <w:rFonts w:hint="eastAsia" w:ascii="宋体" w:hAnsi="宋体" w:cs="宋体"/>
                <w:b/>
                <w:bCs/>
                <w:color w:val="auto"/>
                <w:szCs w:val="20"/>
                <w:highlight w:val="none"/>
              </w:rPr>
              <w:t>分。</w:t>
            </w:r>
          </w:p>
          <w:p w14:paraId="4BA974E0">
            <w:pPr>
              <w:adjustRightInd w:val="0"/>
              <w:snapToGrid w:val="0"/>
              <w:spacing w:line="360" w:lineRule="auto"/>
              <w:rPr>
                <w:rFonts w:hint="eastAsia" w:ascii="宋体" w:hAnsi="宋体"/>
                <w:color w:val="auto"/>
                <w:sz w:val="20"/>
                <w:szCs w:val="21"/>
                <w:highlight w:val="none"/>
              </w:rPr>
            </w:pPr>
            <w:r>
              <w:rPr>
                <w:rFonts w:hint="eastAsia" w:ascii="宋体" w:hAnsi="宋体" w:cs="宋体"/>
                <w:b/>
                <w:bCs/>
                <w:color w:val="auto"/>
                <w:szCs w:val="20"/>
                <w:highlight w:val="none"/>
              </w:rPr>
              <w:t>3、不提供文明施工及环境保护管理体系与措施的不得分。</w:t>
            </w:r>
          </w:p>
        </w:tc>
      </w:tr>
      <w:tr w14:paraId="73D45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7" w:type="dxa"/>
            <w:vMerge w:val="continue"/>
            <w:vAlign w:val="center"/>
          </w:tcPr>
          <w:p w14:paraId="1312456C">
            <w:pPr>
              <w:overflowPunct w:val="0"/>
              <w:spacing w:before="100" w:after="100" w:line="360" w:lineRule="auto"/>
              <w:rPr>
                <w:rFonts w:hint="eastAsia" w:ascii="宋体" w:hAnsi="宋体" w:cs="宋体"/>
                <w:color w:val="auto"/>
                <w:szCs w:val="21"/>
                <w:highlight w:val="none"/>
              </w:rPr>
            </w:pPr>
          </w:p>
        </w:tc>
        <w:tc>
          <w:tcPr>
            <w:tcW w:w="1559" w:type="dxa"/>
            <w:vMerge w:val="restart"/>
            <w:vAlign w:val="center"/>
          </w:tcPr>
          <w:p w14:paraId="3EFDEE04">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商务部分F3评审标准</w:t>
            </w:r>
          </w:p>
          <w:p w14:paraId="2EA0E89F">
            <w:pPr>
              <w:overflowPunct w:val="0"/>
              <w:spacing w:before="100" w:after="100" w:line="360" w:lineRule="auto"/>
              <w:rPr>
                <w:rFonts w:hint="eastAsia" w:ascii="宋体" w:hAnsi="宋体"/>
                <w:b/>
                <w:bCs/>
                <w:color w:val="auto"/>
                <w:szCs w:val="21"/>
                <w:highlight w:val="none"/>
              </w:rPr>
            </w:pPr>
            <w:r>
              <w:rPr>
                <w:rFonts w:hint="eastAsia" w:ascii="宋体" w:hAnsi="宋体" w:cs="宋体"/>
                <w:b/>
                <w:color w:val="auto"/>
                <w:szCs w:val="21"/>
                <w:highlight w:val="none"/>
              </w:rPr>
              <w:t>（满分</w:t>
            </w:r>
            <w:r>
              <w:rPr>
                <w:rFonts w:hint="eastAsia" w:ascii="宋体" w:hAnsi="宋体" w:cs="宋体"/>
                <w:b/>
                <w:color w:val="auto"/>
                <w:szCs w:val="21"/>
                <w:highlight w:val="none"/>
                <w:lang w:val="en-US" w:eastAsia="zh-CN"/>
              </w:rPr>
              <w:t>25</w:t>
            </w:r>
            <w:r>
              <w:rPr>
                <w:rFonts w:hint="eastAsia" w:ascii="宋体" w:hAnsi="宋体" w:cs="宋体"/>
                <w:b/>
                <w:color w:val="auto"/>
                <w:szCs w:val="21"/>
                <w:highlight w:val="none"/>
              </w:rPr>
              <w:t>分）</w:t>
            </w:r>
          </w:p>
        </w:tc>
        <w:tc>
          <w:tcPr>
            <w:tcW w:w="1462" w:type="dxa"/>
            <w:vAlign w:val="center"/>
          </w:tcPr>
          <w:p w14:paraId="002DFB45">
            <w:pPr>
              <w:snapToGrid w:val="0"/>
              <w:spacing w:line="360" w:lineRule="auto"/>
              <w:jc w:val="center"/>
              <w:rPr>
                <w:rFonts w:hint="eastAsia" w:ascii="宋体" w:hAnsi="宋体"/>
                <w:b/>
                <w:color w:val="auto"/>
                <w:sz w:val="22"/>
                <w:szCs w:val="21"/>
                <w:highlight w:val="none"/>
              </w:rPr>
            </w:pPr>
            <w:r>
              <w:rPr>
                <w:rFonts w:hint="eastAsia" w:ascii="宋体" w:hAnsi="宋体"/>
                <w:b/>
                <w:color w:val="auto"/>
                <w:sz w:val="22"/>
                <w:szCs w:val="21"/>
                <w:highlight w:val="none"/>
              </w:rPr>
              <w:t>工程进度计划与保证措施</w:t>
            </w:r>
          </w:p>
          <w:p w14:paraId="63E35EBE">
            <w:pPr>
              <w:pStyle w:val="33"/>
              <w:jc w:val="center"/>
              <w:rPr>
                <w:rFonts w:hint="eastAsia" w:ascii="宋体" w:hAnsi="宋体"/>
                <w:b/>
                <w:bCs/>
                <w:color w:val="auto"/>
                <w:highlight w:val="none"/>
              </w:rPr>
            </w:pPr>
            <w:r>
              <w:rPr>
                <w:rFonts w:hint="eastAsia" w:ascii="宋体" w:hAnsi="宋体"/>
                <w:b/>
                <w:bCs/>
                <w:color w:val="auto"/>
                <w:sz w:val="21"/>
                <w:szCs w:val="21"/>
                <w:highlight w:val="none"/>
              </w:rPr>
              <w:t>（满分</w:t>
            </w:r>
            <w:r>
              <w:rPr>
                <w:rFonts w:hint="eastAsia" w:ascii="宋体" w:hAnsi="宋体"/>
                <w:b/>
                <w:bCs/>
                <w:color w:val="auto"/>
                <w:sz w:val="21"/>
                <w:szCs w:val="21"/>
                <w:highlight w:val="none"/>
                <w:lang w:val="en-US" w:eastAsia="zh-CN"/>
              </w:rPr>
              <w:t>9</w:t>
            </w:r>
            <w:r>
              <w:rPr>
                <w:rFonts w:hint="eastAsia" w:ascii="宋体" w:hAnsi="宋体"/>
                <w:b/>
                <w:bCs/>
                <w:color w:val="auto"/>
                <w:sz w:val="21"/>
                <w:szCs w:val="21"/>
                <w:highlight w:val="none"/>
              </w:rPr>
              <w:t>分）</w:t>
            </w:r>
          </w:p>
        </w:tc>
        <w:tc>
          <w:tcPr>
            <w:tcW w:w="5913" w:type="dxa"/>
            <w:vAlign w:val="center"/>
          </w:tcPr>
          <w:p w14:paraId="48342E81">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根据供应商编制的针对本项目的</w:t>
            </w:r>
            <w:r>
              <w:rPr>
                <w:rFonts w:hint="eastAsia" w:ascii="宋体" w:hAnsi="宋体"/>
                <w:b/>
                <w:color w:val="auto"/>
                <w:sz w:val="22"/>
                <w:szCs w:val="21"/>
                <w:highlight w:val="none"/>
              </w:rPr>
              <w:t>工程进度计划与保证措施</w:t>
            </w:r>
            <w:r>
              <w:rPr>
                <w:rFonts w:hint="eastAsia" w:ascii="宋体" w:hAnsi="宋体" w:cs="宋体"/>
                <w:b/>
                <w:bCs/>
                <w:color w:val="auto"/>
                <w:szCs w:val="20"/>
                <w:highlight w:val="none"/>
              </w:rPr>
              <w:t>进行评审：</w:t>
            </w:r>
          </w:p>
          <w:p w14:paraId="14E8F963">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①</w:t>
            </w:r>
            <w:r>
              <w:rPr>
                <w:rFonts w:hint="eastAsia" w:ascii="宋体" w:hAnsi="宋体"/>
                <w:color w:val="auto"/>
                <w:szCs w:val="22"/>
                <w:highlight w:val="none"/>
              </w:rPr>
              <w:t>工程进度计划；</w:t>
            </w:r>
          </w:p>
          <w:p w14:paraId="48B3FB5E">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②</w:t>
            </w:r>
            <w:r>
              <w:rPr>
                <w:rFonts w:hint="eastAsia" w:ascii="宋体" w:hAnsi="宋体"/>
                <w:color w:val="auto"/>
                <w:szCs w:val="22"/>
                <w:highlight w:val="none"/>
              </w:rPr>
              <w:t>工程进度保证</w:t>
            </w:r>
            <w:r>
              <w:rPr>
                <w:rFonts w:hint="eastAsia" w:ascii="宋体" w:hAnsi="宋体" w:cs="宋体"/>
                <w:color w:val="auto"/>
                <w:szCs w:val="20"/>
                <w:highlight w:val="none"/>
              </w:rPr>
              <w:t>措施</w:t>
            </w:r>
            <w:r>
              <w:rPr>
                <w:rFonts w:hint="eastAsia" w:ascii="宋体" w:hAnsi="宋体"/>
                <w:color w:val="auto"/>
                <w:szCs w:val="22"/>
                <w:highlight w:val="none"/>
              </w:rPr>
              <w:t>；</w:t>
            </w:r>
          </w:p>
          <w:p w14:paraId="3BBF2C07">
            <w:pPr>
              <w:adjustRightInd w:val="0"/>
              <w:snapToGrid w:val="0"/>
              <w:spacing w:line="360" w:lineRule="auto"/>
              <w:rPr>
                <w:rFonts w:hint="eastAsia" w:ascii="宋体" w:hAnsi="宋体"/>
                <w:color w:val="auto"/>
                <w:szCs w:val="22"/>
                <w:highlight w:val="none"/>
              </w:rPr>
            </w:pPr>
            <w:r>
              <w:rPr>
                <w:rFonts w:hint="eastAsia" w:ascii="宋体" w:hAnsi="宋体" w:cs="宋体"/>
                <w:b/>
                <w:bCs/>
                <w:color w:val="auto"/>
                <w:szCs w:val="20"/>
                <w:highlight w:val="none"/>
              </w:rPr>
              <w:t>③</w:t>
            </w:r>
            <w:r>
              <w:rPr>
                <w:rFonts w:hint="eastAsia" w:ascii="宋体" w:hAnsi="宋体"/>
                <w:color w:val="auto"/>
                <w:szCs w:val="22"/>
                <w:highlight w:val="none"/>
              </w:rPr>
              <w:t>工程进度违约承诺及具体的处罚措施。</w:t>
            </w:r>
          </w:p>
          <w:p w14:paraId="3008CB15">
            <w:pPr>
              <w:adjustRightInd w:val="0"/>
              <w:snapToGrid w:val="0"/>
              <w:spacing w:line="360" w:lineRule="auto"/>
              <w:rPr>
                <w:rFonts w:hint="eastAsia" w:ascii="宋体" w:hAnsi="宋体" w:cs="宋体"/>
                <w:b/>
                <w:bCs/>
                <w:color w:val="auto"/>
                <w:szCs w:val="20"/>
                <w:highlight w:val="none"/>
              </w:rPr>
            </w:pPr>
            <w:r>
              <w:rPr>
                <w:rFonts w:hint="eastAsia" w:ascii="宋体" w:hAnsi="宋体" w:cs="宋体"/>
                <w:b/>
                <w:bCs/>
                <w:color w:val="auto"/>
                <w:szCs w:val="20"/>
                <w:highlight w:val="none"/>
              </w:rPr>
              <w:t>注：1、</w:t>
            </w:r>
            <w:r>
              <w:rPr>
                <w:rFonts w:hint="eastAsia" w:ascii="宋体" w:hAnsi="宋体" w:cs="宋体"/>
                <w:color w:val="auto"/>
                <w:szCs w:val="20"/>
                <w:highlight w:val="none"/>
              </w:rPr>
              <w:t>供应商针对以上3项方案内容均有详细描述且符合项目需求的</w:t>
            </w:r>
            <w:r>
              <w:rPr>
                <w:rFonts w:hint="eastAsia" w:ascii="宋体" w:hAnsi="宋体" w:cs="宋体"/>
                <w:b/>
                <w:bCs/>
                <w:color w:val="auto"/>
                <w:szCs w:val="20"/>
                <w:highlight w:val="none"/>
              </w:rPr>
              <w:t>，得</w:t>
            </w:r>
            <w:r>
              <w:rPr>
                <w:rFonts w:hint="eastAsia" w:ascii="宋体" w:hAnsi="宋体" w:cs="宋体"/>
                <w:b/>
                <w:bCs/>
                <w:color w:val="auto"/>
                <w:szCs w:val="20"/>
                <w:highlight w:val="none"/>
                <w:lang w:val="en-US" w:eastAsia="zh-CN"/>
              </w:rPr>
              <w:t>9</w:t>
            </w:r>
            <w:r>
              <w:rPr>
                <w:rFonts w:hint="eastAsia" w:ascii="宋体" w:hAnsi="宋体" w:cs="宋体"/>
                <w:b/>
                <w:bCs/>
                <w:color w:val="auto"/>
                <w:szCs w:val="20"/>
                <w:highlight w:val="none"/>
              </w:rPr>
              <w:t>分</w:t>
            </w:r>
            <w:r>
              <w:rPr>
                <w:rFonts w:hint="eastAsia" w:ascii="宋体" w:hAnsi="宋体" w:cs="宋体"/>
                <w:color w:val="auto"/>
                <w:szCs w:val="20"/>
                <w:highlight w:val="none"/>
              </w:rPr>
              <w:t>，每缺少一项要求的内容，</w:t>
            </w:r>
            <w:r>
              <w:rPr>
                <w:rFonts w:hint="eastAsia" w:ascii="宋体" w:hAnsi="宋体" w:cs="宋体"/>
                <w:b/>
                <w:bCs/>
                <w:color w:val="auto"/>
                <w:szCs w:val="20"/>
                <w:highlight w:val="none"/>
              </w:rPr>
              <w:t>扣</w:t>
            </w:r>
            <w:r>
              <w:rPr>
                <w:rFonts w:hint="eastAsia" w:ascii="宋体" w:hAnsi="宋体" w:cs="宋体"/>
                <w:b/>
                <w:bCs/>
                <w:color w:val="auto"/>
                <w:szCs w:val="20"/>
                <w:highlight w:val="none"/>
                <w:lang w:val="en-US" w:eastAsia="zh-CN"/>
              </w:rPr>
              <w:t>3</w:t>
            </w:r>
            <w:r>
              <w:rPr>
                <w:rFonts w:hint="eastAsia" w:ascii="宋体" w:hAnsi="宋体" w:cs="宋体"/>
                <w:b/>
                <w:bCs/>
                <w:color w:val="auto"/>
                <w:szCs w:val="20"/>
                <w:highlight w:val="none"/>
              </w:rPr>
              <w:t>分，扣完为止。</w:t>
            </w:r>
          </w:p>
          <w:p w14:paraId="5C63A37E">
            <w:pPr>
              <w:adjustRightInd w:val="0"/>
              <w:snapToGrid w:val="0"/>
              <w:spacing w:line="360" w:lineRule="auto"/>
              <w:rPr>
                <w:rFonts w:hint="eastAsia" w:ascii="宋体" w:hAnsi="宋体" w:cs="宋体"/>
                <w:color w:val="auto"/>
                <w:szCs w:val="20"/>
                <w:highlight w:val="none"/>
              </w:rPr>
            </w:pPr>
            <w:r>
              <w:rPr>
                <w:rFonts w:hint="eastAsia" w:ascii="宋体" w:hAnsi="宋体" w:cs="宋体"/>
                <w:b/>
                <w:bCs/>
                <w:color w:val="auto"/>
                <w:szCs w:val="20"/>
                <w:highlight w:val="none"/>
              </w:rPr>
              <w:t>2、</w:t>
            </w:r>
            <w:r>
              <w:rPr>
                <w:rFonts w:hint="eastAsia" w:ascii="宋体" w:hAnsi="宋体" w:cs="宋体"/>
                <w:color w:val="auto"/>
                <w:szCs w:val="20"/>
                <w:highlight w:val="none"/>
              </w:rPr>
              <w:t>每有一项要求的方案内容有错误或有逻辑错误的，</w:t>
            </w:r>
            <w:r>
              <w:rPr>
                <w:rFonts w:hint="eastAsia" w:ascii="宋体" w:hAnsi="宋体" w:cs="宋体"/>
                <w:b/>
                <w:bCs/>
                <w:color w:val="auto"/>
                <w:szCs w:val="20"/>
                <w:highlight w:val="none"/>
              </w:rPr>
              <w:t>扣</w:t>
            </w:r>
            <w:r>
              <w:rPr>
                <w:rFonts w:hint="eastAsia" w:ascii="宋体" w:hAnsi="宋体" w:cs="宋体"/>
                <w:b/>
                <w:bCs/>
                <w:color w:val="auto"/>
                <w:szCs w:val="20"/>
                <w:highlight w:val="none"/>
                <w:lang w:val="en-US" w:eastAsia="zh-CN"/>
              </w:rPr>
              <w:t>1</w:t>
            </w:r>
            <w:r>
              <w:rPr>
                <w:rFonts w:hint="eastAsia" w:ascii="宋体" w:hAnsi="宋体" w:cs="宋体"/>
                <w:b/>
                <w:bCs/>
                <w:color w:val="auto"/>
                <w:szCs w:val="20"/>
                <w:highlight w:val="none"/>
              </w:rPr>
              <w:t>分；</w:t>
            </w:r>
            <w:r>
              <w:rPr>
                <w:rFonts w:hint="eastAsia" w:ascii="宋体" w:hAnsi="宋体" w:cs="宋体"/>
                <w:color w:val="auto"/>
                <w:szCs w:val="20"/>
                <w:highlight w:val="none"/>
              </w:rPr>
              <w:t>每有一项要求的方案内容有不切合实际或者与项目无关的描述，</w:t>
            </w:r>
            <w:r>
              <w:rPr>
                <w:rFonts w:hint="eastAsia" w:ascii="宋体" w:hAnsi="宋体" w:cs="宋体"/>
                <w:b/>
                <w:bCs/>
                <w:color w:val="auto"/>
                <w:szCs w:val="20"/>
                <w:highlight w:val="none"/>
              </w:rPr>
              <w:t>扣</w:t>
            </w:r>
            <w:r>
              <w:rPr>
                <w:rFonts w:hint="eastAsia" w:ascii="宋体" w:hAnsi="宋体" w:cs="宋体"/>
                <w:b/>
                <w:bCs/>
                <w:color w:val="auto"/>
                <w:szCs w:val="20"/>
                <w:highlight w:val="none"/>
                <w:lang w:val="en-US" w:eastAsia="zh-CN"/>
              </w:rPr>
              <w:t>1</w:t>
            </w:r>
            <w:r>
              <w:rPr>
                <w:rFonts w:hint="eastAsia" w:ascii="宋体" w:hAnsi="宋体" w:cs="宋体"/>
                <w:b/>
                <w:bCs/>
                <w:color w:val="auto"/>
                <w:szCs w:val="20"/>
                <w:highlight w:val="none"/>
              </w:rPr>
              <w:t>分，</w:t>
            </w:r>
            <w:r>
              <w:rPr>
                <w:rFonts w:hint="eastAsia" w:ascii="宋体" w:hAnsi="宋体" w:cs="宋体"/>
                <w:color w:val="auto"/>
                <w:szCs w:val="20"/>
                <w:highlight w:val="none"/>
              </w:rPr>
              <w:t>每有一项要求的方案内容有缺漏的，</w:t>
            </w:r>
            <w:r>
              <w:rPr>
                <w:rFonts w:hint="eastAsia" w:ascii="宋体" w:hAnsi="宋体" w:cs="宋体"/>
                <w:b/>
                <w:bCs/>
                <w:color w:val="auto"/>
                <w:szCs w:val="20"/>
                <w:highlight w:val="none"/>
              </w:rPr>
              <w:t>扣1分。</w:t>
            </w:r>
          </w:p>
          <w:p w14:paraId="7ACF0A8A">
            <w:pPr>
              <w:adjustRightInd w:val="0"/>
              <w:snapToGrid w:val="0"/>
              <w:spacing w:line="360" w:lineRule="auto"/>
              <w:rPr>
                <w:rFonts w:hint="eastAsia" w:ascii="宋体" w:hAnsi="宋体"/>
                <w:color w:val="auto"/>
                <w:sz w:val="20"/>
                <w:szCs w:val="21"/>
                <w:highlight w:val="none"/>
              </w:rPr>
            </w:pPr>
            <w:r>
              <w:rPr>
                <w:rFonts w:hint="eastAsia" w:ascii="宋体" w:hAnsi="宋体" w:cs="宋体"/>
                <w:b/>
                <w:bCs/>
                <w:color w:val="auto"/>
                <w:szCs w:val="20"/>
                <w:highlight w:val="none"/>
              </w:rPr>
              <w:t>3、不提供</w:t>
            </w:r>
            <w:r>
              <w:rPr>
                <w:rFonts w:hint="eastAsia" w:ascii="宋体" w:hAnsi="宋体"/>
                <w:b/>
                <w:color w:val="auto"/>
                <w:sz w:val="22"/>
                <w:szCs w:val="21"/>
                <w:highlight w:val="none"/>
              </w:rPr>
              <w:t>工程进度计划与保证措施</w:t>
            </w:r>
            <w:r>
              <w:rPr>
                <w:rFonts w:hint="eastAsia" w:ascii="宋体" w:hAnsi="宋体" w:cs="宋体"/>
                <w:b/>
                <w:bCs/>
                <w:color w:val="auto"/>
                <w:szCs w:val="20"/>
                <w:highlight w:val="none"/>
              </w:rPr>
              <w:t>的不得分。</w:t>
            </w:r>
          </w:p>
        </w:tc>
      </w:tr>
      <w:tr w14:paraId="5F7D1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8" w:hRule="atLeast"/>
        </w:trPr>
        <w:tc>
          <w:tcPr>
            <w:tcW w:w="817" w:type="dxa"/>
            <w:vMerge w:val="continue"/>
            <w:vAlign w:val="center"/>
          </w:tcPr>
          <w:p w14:paraId="76E2CFD1">
            <w:pPr>
              <w:overflowPunct w:val="0"/>
              <w:spacing w:before="100" w:after="100" w:line="360" w:lineRule="auto"/>
              <w:rPr>
                <w:rFonts w:hint="eastAsia" w:ascii="宋体" w:hAnsi="宋体" w:cs="宋体"/>
                <w:color w:val="auto"/>
                <w:szCs w:val="21"/>
                <w:highlight w:val="none"/>
              </w:rPr>
            </w:pPr>
          </w:p>
        </w:tc>
        <w:tc>
          <w:tcPr>
            <w:tcW w:w="1559" w:type="dxa"/>
            <w:vMerge w:val="continue"/>
            <w:vAlign w:val="center"/>
          </w:tcPr>
          <w:p w14:paraId="764B7F6E">
            <w:pPr>
              <w:overflowPunct w:val="0"/>
              <w:spacing w:before="100" w:after="100" w:line="360" w:lineRule="auto"/>
              <w:rPr>
                <w:rFonts w:hint="eastAsia" w:ascii="宋体" w:hAnsi="宋体"/>
                <w:b/>
                <w:bCs/>
                <w:color w:val="auto"/>
                <w:szCs w:val="21"/>
                <w:highlight w:val="none"/>
              </w:rPr>
            </w:pPr>
          </w:p>
        </w:tc>
        <w:tc>
          <w:tcPr>
            <w:tcW w:w="1462" w:type="dxa"/>
            <w:vAlign w:val="center"/>
          </w:tcPr>
          <w:p w14:paraId="5839B9BB">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项目管理机构配置</w:t>
            </w:r>
          </w:p>
          <w:p w14:paraId="65B2A4F5">
            <w:pPr>
              <w:pStyle w:val="33"/>
              <w:jc w:val="center"/>
              <w:rPr>
                <w:color w:val="auto"/>
                <w:highlight w:val="none"/>
              </w:rPr>
            </w:pPr>
            <w:r>
              <w:rPr>
                <w:rFonts w:ascii="宋体" w:hAnsi="宋体"/>
                <w:b/>
                <w:color w:val="auto"/>
                <w:sz w:val="21"/>
                <w:szCs w:val="18"/>
                <w:highlight w:val="none"/>
              </w:rPr>
              <w:t>（满分</w:t>
            </w:r>
            <w:r>
              <w:rPr>
                <w:rFonts w:hint="eastAsia" w:ascii="宋体" w:hAnsi="宋体"/>
                <w:b/>
                <w:color w:val="auto"/>
                <w:sz w:val="21"/>
                <w:szCs w:val="18"/>
                <w:highlight w:val="none"/>
                <w:lang w:val="en-US" w:eastAsia="zh-CN"/>
              </w:rPr>
              <w:t>6</w:t>
            </w:r>
            <w:r>
              <w:rPr>
                <w:rFonts w:ascii="宋体" w:hAnsi="宋体"/>
                <w:b/>
                <w:color w:val="auto"/>
                <w:sz w:val="21"/>
                <w:szCs w:val="18"/>
                <w:highlight w:val="none"/>
              </w:rPr>
              <w:t>分）</w:t>
            </w:r>
          </w:p>
        </w:tc>
        <w:tc>
          <w:tcPr>
            <w:tcW w:w="5913" w:type="dxa"/>
            <w:vAlign w:val="center"/>
          </w:tcPr>
          <w:p w14:paraId="54E2E366">
            <w:pPr>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color w:val="auto"/>
                <w:highlight w:val="none"/>
              </w:rPr>
              <w:t>供应商拟派的本项目施工项目团队人员包括：项目经理、技术负责人、施工员、质量员、安全员、材料员、劳务员、资料员的，</w:t>
            </w:r>
            <w:r>
              <w:rPr>
                <w:rFonts w:hint="eastAsia" w:ascii="宋体" w:hAnsi="宋体" w:cs="宋体"/>
                <w:b/>
                <w:bCs/>
                <w:color w:val="auto"/>
                <w:highlight w:val="none"/>
              </w:rPr>
              <w:t>得</w:t>
            </w:r>
            <w:r>
              <w:rPr>
                <w:rFonts w:hint="eastAsia" w:ascii="宋体" w:hAnsi="宋体" w:cs="宋体"/>
                <w:b/>
                <w:bCs/>
                <w:color w:val="auto"/>
                <w:highlight w:val="none"/>
                <w:lang w:val="en-US" w:eastAsia="zh-CN"/>
              </w:rPr>
              <w:t>3</w:t>
            </w:r>
            <w:r>
              <w:rPr>
                <w:rFonts w:hint="eastAsia" w:ascii="宋体" w:hAnsi="宋体" w:cs="宋体"/>
                <w:b/>
                <w:bCs/>
                <w:color w:val="auto"/>
                <w:highlight w:val="none"/>
              </w:rPr>
              <w:t>分，否则不得分。</w:t>
            </w:r>
          </w:p>
          <w:p w14:paraId="74B932DE">
            <w:pPr>
              <w:pStyle w:val="33"/>
              <w:spacing w:after="0" w:line="360" w:lineRule="auto"/>
              <w:rPr>
                <w:rFonts w:hint="eastAsia" w:ascii="宋体" w:hAnsi="宋体" w:cs="宋体"/>
                <w:b/>
                <w:bCs/>
                <w:color w:val="auto"/>
                <w:sz w:val="21"/>
                <w:szCs w:val="21"/>
                <w:highlight w:val="none"/>
              </w:rPr>
            </w:pPr>
            <w:r>
              <w:rPr>
                <w:rFonts w:hint="eastAsia" w:ascii="宋体" w:hAnsi="宋体"/>
                <w:b/>
                <w:bCs/>
                <w:color w:val="auto"/>
                <w:sz w:val="21"/>
                <w:szCs w:val="21"/>
                <w:highlight w:val="none"/>
              </w:rPr>
              <w:t>2、</w:t>
            </w:r>
            <w:r>
              <w:rPr>
                <w:rFonts w:hint="eastAsia" w:ascii="宋体" w:hAnsi="宋体" w:cs="宋体"/>
                <w:color w:val="auto"/>
                <w:sz w:val="21"/>
                <w:szCs w:val="21"/>
                <w:highlight w:val="none"/>
              </w:rPr>
              <w:t>供应商对拟派的施工项目团队对岗位职责进行了明确说明（主要岗位包括：项目经理、技术负责人、施工员、质量员、安全员、材料员、劳务员、资料员），</w:t>
            </w:r>
            <w:r>
              <w:rPr>
                <w:rFonts w:hint="eastAsia" w:ascii="宋体" w:hAnsi="宋体" w:cs="宋体"/>
                <w:b/>
                <w:bCs/>
                <w:color w:val="auto"/>
                <w:sz w:val="21"/>
                <w:szCs w:val="21"/>
                <w:highlight w:val="none"/>
              </w:rPr>
              <w:t>得</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分，否则不得分。</w:t>
            </w:r>
          </w:p>
          <w:p w14:paraId="551ADE66">
            <w:pPr>
              <w:spacing w:line="360" w:lineRule="auto"/>
              <w:rPr>
                <w:b/>
                <w:bCs/>
                <w:color w:val="auto"/>
                <w:highlight w:val="none"/>
              </w:rPr>
            </w:pPr>
            <w:r>
              <w:rPr>
                <w:rFonts w:hint="eastAsia"/>
                <w:b/>
                <w:bCs/>
                <w:color w:val="auto"/>
                <w:highlight w:val="none"/>
              </w:rPr>
              <w:t>注：须提供人员身份证、资格证书等证明材料。</w:t>
            </w:r>
          </w:p>
        </w:tc>
      </w:tr>
      <w:tr w14:paraId="2CDEA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7" w:type="dxa"/>
            <w:vMerge w:val="continue"/>
            <w:vAlign w:val="center"/>
          </w:tcPr>
          <w:p w14:paraId="0FB3962E">
            <w:pPr>
              <w:overflowPunct w:val="0"/>
              <w:spacing w:before="100" w:after="100" w:line="360" w:lineRule="auto"/>
              <w:rPr>
                <w:rFonts w:hint="eastAsia" w:ascii="宋体" w:hAnsi="宋体" w:cs="宋体"/>
                <w:color w:val="auto"/>
                <w:szCs w:val="21"/>
                <w:highlight w:val="none"/>
              </w:rPr>
            </w:pPr>
          </w:p>
        </w:tc>
        <w:tc>
          <w:tcPr>
            <w:tcW w:w="1559" w:type="dxa"/>
            <w:vMerge w:val="continue"/>
            <w:vAlign w:val="center"/>
          </w:tcPr>
          <w:p w14:paraId="77950C25">
            <w:pPr>
              <w:overflowPunct w:val="0"/>
              <w:spacing w:before="100" w:after="100" w:line="360" w:lineRule="auto"/>
              <w:rPr>
                <w:rFonts w:hint="eastAsia" w:ascii="宋体" w:hAnsi="宋体"/>
                <w:b/>
                <w:bCs/>
                <w:color w:val="auto"/>
                <w:szCs w:val="21"/>
                <w:highlight w:val="none"/>
              </w:rPr>
            </w:pPr>
          </w:p>
        </w:tc>
        <w:tc>
          <w:tcPr>
            <w:tcW w:w="1462" w:type="dxa"/>
            <w:vAlign w:val="center"/>
          </w:tcPr>
          <w:p w14:paraId="76ACFD5B">
            <w:pPr>
              <w:snapToGrid w:val="0"/>
              <w:spacing w:line="360" w:lineRule="auto"/>
              <w:jc w:val="center"/>
              <w:rPr>
                <w:b/>
                <w:color w:val="auto"/>
                <w:highlight w:val="none"/>
              </w:rPr>
            </w:pPr>
            <w:r>
              <w:rPr>
                <w:b/>
                <w:color w:val="auto"/>
                <w:highlight w:val="none"/>
              </w:rPr>
              <w:t>施工总平面图</w:t>
            </w:r>
          </w:p>
          <w:p w14:paraId="1038FB37">
            <w:pPr>
              <w:pStyle w:val="33"/>
              <w:jc w:val="center"/>
              <w:rPr>
                <w:b/>
                <w:color w:val="auto"/>
                <w:highlight w:val="none"/>
              </w:rPr>
            </w:pPr>
            <w:r>
              <w:rPr>
                <w:rFonts w:ascii="宋体" w:hAnsi="宋体"/>
                <w:b/>
                <w:color w:val="auto"/>
                <w:sz w:val="21"/>
                <w:szCs w:val="18"/>
                <w:highlight w:val="none"/>
              </w:rPr>
              <w:t>（满分</w:t>
            </w:r>
            <w:r>
              <w:rPr>
                <w:rFonts w:hint="eastAsia" w:ascii="宋体" w:hAnsi="宋体"/>
                <w:b/>
                <w:color w:val="auto"/>
                <w:sz w:val="21"/>
                <w:szCs w:val="18"/>
                <w:highlight w:val="none"/>
                <w:lang w:val="en-US" w:eastAsia="zh-CN"/>
              </w:rPr>
              <w:t>4</w:t>
            </w:r>
            <w:r>
              <w:rPr>
                <w:rFonts w:ascii="宋体" w:hAnsi="宋体"/>
                <w:b/>
                <w:color w:val="auto"/>
                <w:sz w:val="21"/>
                <w:szCs w:val="18"/>
                <w:highlight w:val="none"/>
              </w:rPr>
              <w:t>分）</w:t>
            </w:r>
          </w:p>
        </w:tc>
        <w:tc>
          <w:tcPr>
            <w:tcW w:w="5913" w:type="dxa"/>
            <w:vAlign w:val="center"/>
          </w:tcPr>
          <w:p w14:paraId="20BA79C8">
            <w:pPr>
              <w:spacing w:line="360" w:lineRule="auto"/>
              <w:rPr>
                <w:rFonts w:hint="eastAsia" w:ascii="宋体" w:hAnsi="宋体"/>
                <w:color w:val="auto"/>
                <w:highlight w:val="none"/>
              </w:rPr>
            </w:pPr>
            <w:r>
              <w:rPr>
                <w:rFonts w:hint="eastAsia" w:ascii="宋体" w:hAnsi="宋体"/>
                <w:color w:val="auto"/>
                <w:highlight w:val="none"/>
              </w:rPr>
              <w:t>供应商针对本项目</w:t>
            </w:r>
            <w:r>
              <w:rPr>
                <w:rFonts w:ascii="宋体" w:hAnsi="宋体"/>
                <w:color w:val="auto"/>
                <w:highlight w:val="none"/>
              </w:rPr>
              <w:t>提供施工总平面图且布置完整的</w:t>
            </w:r>
            <w:r>
              <w:rPr>
                <w:rFonts w:hint="eastAsia" w:ascii="宋体" w:hAnsi="宋体"/>
                <w:color w:val="auto"/>
                <w:highlight w:val="none"/>
              </w:rPr>
              <w:t>，</w:t>
            </w:r>
            <w:r>
              <w:rPr>
                <w:rFonts w:ascii="宋体" w:hAnsi="宋体"/>
                <w:b/>
                <w:bCs/>
                <w:color w:val="auto"/>
                <w:highlight w:val="none"/>
              </w:rPr>
              <w:t>得</w:t>
            </w:r>
            <w:r>
              <w:rPr>
                <w:rFonts w:hint="eastAsia" w:ascii="宋体" w:hAnsi="宋体"/>
                <w:b/>
                <w:bCs/>
                <w:color w:val="auto"/>
                <w:highlight w:val="none"/>
                <w:lang w:val="en-US" w:eastAsia="zh-CN"/>
              </w:rPr>
              <w:t>2</w:t>
            </w:r>
            <w:r>
              <w:rPr>
                <w:rFonts w:ascii="宋体" w:hAnsi="宋体"/>
                <w:b/>
                <w:bCs/>
                <w:color w:val="auto"/>
                <w:highlight w:val="none"/>
              </w:rPr>
              <w:t>分；</w:t>
            </w:r>
            <w:r>
              <w:rPr>
                <w:rFonts w:ascii="宋体" w:hAnsi="宋体"/>
                <w:color w:val="auto"/>
                <w:highlight w:val="none"/>
              </w:rPr>
              <w:t>图示标识准确，符合工程实际需求</w:t>
            </w:r>
            <w:r>
              <w:rPr>
                <w:rFonts w:hint="eastAsia" w:ascii="宋体" w:hAnsi="宋体"/>
                <w:color w:val="auto"/>
                <w:highlight w:val="none"/>
              </w:rPr>
              <w:t>（与项目实际场地吻合）的，</w:t>
            </w:r>
            <w:r>
              <w:rPr>
                <w:rFonts w:ascii="宋体" w:hAnsi="宋体"/>
                <w:b/>
                <w:bCs/>
                <w:color w:val="auto"/>
                <w:highlight w:val="none"/>
              </w:rPr>
              <w:t>加</w:t>
            </w:r>
            <w:r>
              <w:rPr>
                <w:rFonts w:hint="eastAsia" w:ascii="宋体" w:hAnsi="宋体"/>
                <w:b/>
                <w:bCs/>
                <w:color w:val="auto"/>
                <w:highlight w:val="none"/>
                <w:lang w:val="en-US" w:eastAsia="zh-CN"/>
              </w:rPr>
              <w:t>2</w:t>
            </w:r>
            <w:r>
              <w:rPr>
                <w:rFonts w:ascii="宋体" w:hAnsi="宋体"/>
                <w:b/>
                <w:bCs/>
                <w:color w:val="auto"/>
                <w:highlight w:val="none"/>
              </w:rPr>
              <w:t>分。</w:t>
            </w:r>
          </w:p>
        </w:tc>
      </w:tr>
      <w:tr w14:paraId="1B4DA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trPr>
        <w:tc>
          <w:tcPr>
            <w:tcW w:w="817" w:type="dxa"/>
            <w:vMerge w:val="continue"/>
            <w:vAlign w:val="center"/>
          </w:tcPr>
          <w:p w14:paraId="73C447ED">
            <w:pPr>
              <w:overflowPunct w:val="0"/>
              <w:spacing w:before="100" w:after="100" w:line="360" w:lineRule="auto"/>
              <w:rPr>
                <w:rFonts w:hint="eastAsia" w:ascii="宋体" w:hAnsi="宋体" w:cs="宋体"/>
                <w:color w:val="auto"/>
                <w:szCs w:val="21"/>
                <w:highlight w:val="none"/>
              </w:rPr>
            </w:pPr>
          </w:p>
        </w:tc>
        <w:tc>
          <w:tcPr>
            <w:tcW w:w="1559" w:type="dxa"/>
            <w:vMerge w:val="continue"/>
            <w:vAlign w:val="center"/>
          </w:tcPr>
          <w:p w14:paraId="4C084556">
            <w:pPr>
              <w:overflowPunct w:val="0"/>
              <w:spacing w:before="100" w:after="100" w:line="360" w:lineRule="auto"/>
              <w:rPr>
                <w:rFonts w:hint="eastAsia" w:ascii="宋体" w:hAnsi="宋体" w:cs="宋体"/>
                <w:color w:val="auto"/>
                <w:szCs w:val="21"/>
                <w:highlight w:val="none"/>
              </w:rPr>
            </w:pPr>
          </w:p>
        </w:tc>
        <w:tc>
          <w:tcPr>
            <w:tcW w:w="1462" w:type="dxa"/>
            <w:vAlign w:val="center"/>
          </w:tcPr>
          <w:p w14:paraId="7458BFFE">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类似项目业绩</w:t>
            </w:r>
          </w:p>
          <w:p w14:paraId="0BCA659E">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分）</w:t>
            </w:r>
          </w:p>
        </w:tc>
        <w:tc>
          <w:tcPr>
            <w:tcW w:w="5913" w:type="dxa"/>
            <w:vAlign w:val="center"/>
          </w:tcPr>
          <w:p w14:paraId="6EA919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供应商每提供1项类似项目的有效业绩证明材料的</w:t>
            </w:r>
            <w:r>
              <w:rPr>
                <w:rFonts w:hint="eastAsia" w:ascii="宋体" w:hAnsi="宋体" w:cs="宋体"/>
                <w:b/>
                <w:bCs/>
                <w:color w:val="auto"/>
                <w:szCs w:val="21"/>
                <w:highlight w:val="none"/>
              </w:rPr>
              <w:t>得</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r>
              <w:rPr>
                <w:rFonts w:hint="eastAsia" w:ascii="宋体" w:hAnsi="宋体" w:cs="宋体"/>
                <w:color w:val="auto"/>
                <w:szCs w:val="21"/>
                <w:highlight w:val="none"/>
              </w:rPr>
              <w:t>，此项最多</w:t>
            </w:r>
            <w:r>
              <w:rPr>
                <w:rFonts w:hint="eastAsia" w:ascii="宋体" w:hAnsi="宋体" w:cs="宋体"/>
                <w:b/>
                <w:bCs/>
                <w:color w:val="auto"/>
                <w:szCs w:val="21"/>
                <w:highlight w:val="none"/>
              </w:rPr>
              <w:t>得</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分</w:t>
            </w:r>
            <w:r>
              <w:rPr>
                <w:rFonts w:hint="eastAsia" w:ascii="宋体" w:hAnsi="宋体" w:cs="宋体"/>
                <w:color w:val="auto"/>
                <w:szCs w:val="21"/>
                <w:highlight w:val="none"/>
              </w:rPr>
              <w:t>。</w:t>
            </w:r>
          </w:p>
          <w:p w14:paraId="683383A1">
            <w:pPr>
              <w:overflowPunct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有效业绩证明材料是指：供应商</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年至本项目响应文件提交截止时间前</w:t>
            </w:r>
            <w:r>
              <w:rPr>
                <w:rFonts w:hint="eastAsia" w:ascii="宋体" w:hAnsi="宋体" w:cs="宋体"/>
                <w:color w:val="auto"/>
                <w:szCs w:val="21"/>
                <w:highlight w:val="none"/>
              </w:rPr>
              <w:t>完成的类似项目业绩（中标/成交通知书复印件/扫描件或合同复印件/扫描件等有效证明文件，复印件/扫描件）；</w:t>
            </w:r>
            <w:r>
              <w:rPr>
                <w:rFonts w:hint="eastAsia" w:ascii="宋体" w:hAnsi="宋体" w:cs="宋体"/>
                <w:b/>
                <w:bCs/>
                <w:color w:val="auto"/>
                <w:szCs w:val="21"/>
                <w:highlight w:val="none"/>
              </w:rPr>
              <w:t>2.</w:t>
            </w:r>
            <w:r>
              <w:rPr>
                <w:rFonts w:hint="eastAsia" w:ascii="宋体" w:hAnsi="宋体" w:cs="宋体"/>
                <w:color w:val="auto"/>
                <w:szCs w:val="21"/>
                <w:highlight w:val="none"/>
              </w:rPr>
              <w:t>未提供类似项目业绩证明材料或提供的证明材料不能明确反映其为类似项目业绩的不得分。</w:t>
            </w:r>
          </w:p>
        </w:tc>
      </w:tr>
    </w:tbl>
    <w:p w14:paraId="0DB5682F">
      <w:pPr>
        <w:pStyle w:val="45"/>
        <w:tabs>
          <w:tab w:val="left" w:pos="2472"/>
        </w:tabs>
        <w:snapToGrid w:val="0"/>
        <w:spacing w:line="360" w:lineRule="auto"/>
        <w:rPr>
          <w:rFonts w:hint="eastAsia" w:hAnsi="宋体"/>
          <w:b/>
          <w:bCs/>
          <w:color w:val="auto"/>
          <w:sz w:val="24"/>
          <w:highlight w:val="none"/>
        </w:rPr>
      </w:pPr>
      <w:bookmarkStart w:id="1372" w:name="_Toc373844203"/>
      <w:bookmarkStart w:id="1373" w:name="_Toc86124094"/>
      <w:bookmarkStart w:id="1374" w:name="_Toc348011982"/>
      <w:bookmarkStart w:id="1375" w:name="_Toc347849269"/>
      <w:bookmarkStart w:id="1376" w:name="_Toc427306822"/>
      <w:r>
        <w:rPr>
          <w:rFonts w:hint="eastAsia" w:hAnsi="宋体" w:cs="宋体"/>
          <w:b/>
          <w:color w:val="auto"/>
          <w:highlight w:val="none"/>
        </w:rPr>
        <w:br w:type="page"/>
      </w:r>
      <w:r>
        <w:rPr>
          <w:rFonts w:hint="eastAsia" w:hAnsi="宋体" w:cs="宋体"/>
          <w:b/>
          <w:color w:val="auto"/>
          <w:highlight w:val="none"/>
        </w:rPr>
        <w:t>1.</w:t>
      </w:r>
      <w:bookmarkEnd w:id="1372"/>
      <w:bookmarkEnd w:id="1373"/>
      <w:bookmarkEnd w:id="1374"/>
      <w:bookmarkEnd w:id="1375"/>
      <w:bookmarkEnd w:id="1376"/>
      <w:r>
        <w:rPr>
          <w:rFonts w:hint="eastAsia" w:hAnsi="宋体"/>
          <w:b/>
          <w:bCs/>
          <w:color w:val="auto"/>
          <w:sz w:val="24"/>
          <w:highlight w:val="none"/>
        </w:rPr>
        <w:t>磋商方法：</w:t>
      </w:r>
    </w:p>
    <w:p w14:paraId="036A9DC8">
      <w:pPr>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highlight w:val="none"/>
        </w:rPr>
        <w:t>本次磋商采用综合评分法</w:t>
      </w:r>
      <w:r>
        <w:rPr>
          <w:rFonts w:hint="eastAsia" w:ascii="宋体" w:hAnsi="宋体"/>
          <w:b/>
          <w:bCs/>
          <w:color w:val="auto"/>
          <w:szCs w:val="21"/>
          <w:highlight w:val="none"/>
        </w:rPr>
        <w:t>。</w:t>
      </w:r>
      <w:r>
        <w:rPr>
          <w:rFonts w:hint="eastAsia" w:ascii="宋体" w:hAnsi="宋体"/>
          <w:bCs/>
          <w:color w:val="auto"/>
          <w:szCs w:val="21"/>
          <w:highlight w:val="none"/>
        </w:rPr>
        <w:t>磋商小组将根据评审办法计算出各供应商的综合得分，按总得分由高到低的顺序推荐3名成交候选人；评标总得分相等时，磋商小组将依次按价格部分得分高优先、技术部分得分高优先、商务部分得分高优先的顺序推荐；所有得分均相等的，按优先采购监狱企业、残疾人福利性单位的服务原则推荐成交候选人；所有得分均相等且政府采购政策条件也相等的，</w:t>
      </w:r>
      <w:r>
        <w:rPr>
          <w:rFonts w:hint="eastAsia" w:ascii="宋体" w:hAnsi="宋体" w:cs="宋体"/>
          <w:color w:val="auto"/>
          <w:szCs w:val="21"/>
          <w:highlight w:val="none"/>
        </w:rPr>
        <w:t>由磋商小组采用记名投票方式，以少数服从多数原则推荐成交候选人。</w:t>
      </w:r>
    </w:p>
    <w:p w14:paraId="2C33B8CE">
      <w:pPr>
        <w:pStyle w:val="51"/>
        <w:tabs>
          <w:tab w:val="left" w:pos="540"/>
        </w:tabs>
        <w:adjustRightInd w:val="0"/>
        <w:snapToGrid w:val="0"/>
        <w:spacing w:line="360" w:lineRule="auto"/>
        <w:ind w:firstLine="0" w:firstLineChars="0"/>
        <w:rPr>
          <w:rFonts w:hint="eastAsia" w:ascii="宋体" w:hAnsi="宋体" w:eastAsia="宋体"/>
          <w:b/>
          <w:color w:val="auto"/>
          <w:szCs w:val="21"/>
          <w:highlight w:val="none"/>
        </w:rPr>
      </w:pPr>
      <w:r>
        <w:rPr>
          <w:rFonts w:hint="eastAsia" w:ascii="宋体" w:hAnsi="宋体" w:eastAsia="宋体"/>
          <w:b/>
          <w:color w:val="auto"/>
          <w:szCs w:val="21"/>
          <w:highlight w:val="none"/>
        </w:rPr>
        <w:t>2</w:t>
      </w:r>
      <w:r>
        <w:rPr>
          <w:rFonts w:hint="eastAsia" w:ascii="宋体" w:hAnsi="宋体" w:eastAsia="宋体" w:cs="宋体"/>
          <w:b/>
          <w:color w:val="auto"/>
          <w:szCs w:val="21"/>
          <w:highlight w:val="none"/>
        </w:rPr>
        <w:t>.政府采购政策：</w:t>
      </w:r>
    </w:p>
    <w:p w14:paraId="574584AF">
      <w:pPr>
        <w:adjustRightInd w:val="0"/>
        <w:snapToGrid w:val="0"/>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t>2.1</w:t>
      </w:r>
      <w:r>
        <w:rPr>
          <w:rFonts w:hint="eastAsia" w:ascii="宋体" w:hAnsi="宋体"/>
          <w:b/>
          <w:color w:val="auto"/>
          <w:szCs w:val="21"/>
          <w:highlight w:val="none"/>
        </w:rPr>
        <w:t>中小企业扶持政策</w:t>
      </w:r>
    </w:p>
    <w:p w14:paraId="21002337">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Ansi="宋体"/>
          <w:color w:val="auto"/>
          <w:highlight w:val="none"/>
        </w:rPr>
        <w:t>2</w:t>
      </w:r>
      <w:r>
        <w:rPr>
          <w:rFonts w:hint="eastAsia" w:hAnsi="宋体"/>
          <w:color w:val="auto"/>
          <w:highlight w:val="none"/>
        </w:rPr>
        <w:t>.</w:t>
      </w:r>
      <w:r>
        <w:rPr>
          <w:rFonts w:hAnsi="宋体"/>
          <w:color w:val="auto"/>
          <w:highlight w:val="none"/>
        </w:rPr>
        <w:t>1</w:t>
      </w:r>
      <w:r>
        <w:rPr>
          <w:rFonts w:hint="eastAsia" w:hAnsi="宋体"/>
          <w:color w:val="auto"/>
          <w:highlight w:val="none"/>
        </w:rPr>
        <w:t>.1根据《关于进一步加大政府采购支持中小企业力度的通知》（财库【2022】19号）、《政府采购促进中小企业发展管理办法》（财库【2020】46号）的规定，供应商提供的货物、工程或者服务符合下列情形的，享受评标方法中小企业扶持政策：</w:t>
      </w:r>
    </w:p>
    <w:p w14:paraId="1D53AF34">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（一）在货物采购项目中，货物由中小企业制造，即货物由中小企业生产且使用该中小企业商号或者注册商标；</w:t>
      </w:r>
    </w:p>
    <w:p w14:paraId="2E75168A">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（二）在工程采购项目中，工程由中小企业承建，即工程施工单位为中小企业；</w:t>
      </w:r>
    </w:p>
    <w:p w14:paraId="5CEE6BE5">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（三）在服务采购项目中，服务由中小企业承接，即提供服务的人员为中小企业依照《中华人民共和国劳动合同法》订立劳动合同的从业人员。</w:t>
      </w:r>
    </w:p>
    <w:p w14:paraId="41AE2022">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在货物采购项目中，供应商提供的货物既有中小企业制造货物，也有大型企业制造货物的，不享受评标方法规定的中小企业扶持政策。</w:t>
      </w:r>
    </w:p>
    <w:p w14:paraId="5013A06D">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1BFE5AE7">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Ansi="宋体"/>
          <w:color w:val="auto"/>
          <w:highlight w:val="none"/>
        </w:rPr>
        <w:t>2.1.2</w:t>
      </w:r>
      <w:r>
        <w:rPr>
          <w:rFonts w:hint="eastAsia" w:hAnsi="宋体"/>
          <w:color w:val="auto"/>
          <w:highlight w:val="none"/>
        </w:rPr>
        <w:t>根据《云南省工业和信息化厅关于落实政府采购促进中小企业发展政策意见的通知》（云财采〔2022〕13号）的规定，供应商提供的货物既有中型企业制造，也有小微企业制造的，不享受《办法》规定的小微企业扶持政策。</w:t>
      </w:r>
    </w:p>
    <w:p w14:paraId="07F21994">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Ansi="宋体"/>
          <w:color w:val="auto"/>
          <w:highlight w:val="none"/>
        </w:rPr>
        <w:t>2</w:t>
      </w:r>
      <w:r>
        <w:rPr>
          <w:rFonts w:hint="eastAsia" w:hAnsi="宋体"/>
          <w:color w:val="auto"/>
          <w:highlight w:val="none"/>
        </w:rPr>
        <w:t>.</w:t>
      </w:r>
      <w:r>
        <w:rPr>
          <w:rFonts w:hAnsi="宋体"/>
          <w:color w:val="auto"/>
          <w:highlight w:val="none"/>
        </w:rPr>
        <w:t>1</w:t>
      </w:r>
      <w:r>
        <w:rPr>
          <w:rFonts w:hint="eastAsia" w:hAnsi="宋体"/>
          <w:color w:val="auto"/>
          <w:highlight w:val="none"/>
        </w:rPr>
        <w:t>.</w:t>
      </w:r>
      <w:r>
        <w:rPr>
          <w:rFonts w:hAnsi="宋体"/>
          <w:color w:val="auto"/>
          <w:highlight w:val="none"/>
        </w:rPr>
        <w:t>3</w:t>
      </w:r>
      <w:r>
        <w:rPr>
          <w:rFonts w:hint="eastAsia" w:hAnsi="宋体"/>
          <w:color w:val="auto"/>
          <w:highlight w:val="none"/>
        </w:rPr>
        <w:t>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DCBE515">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符合中小企业划分标准的个体工商户，在政府采购活动中视同中小企业。</w:t>
      </w:r>
    </w:p>
    <w:p w14:paraId="422037D0">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Ansi="宋体"/>
          <w:color w:val="auto"/>
          <w:highlight w:val="none"/>
        </w:rPr>
        <w:t>2</w:t>
      </w:r>
      <w:r>
        <w:rPr>
          <w:rFonts w:hint="eastAsia" w:hAnsi="宋体"/>
          <w:color w:val="auto"/>
          <w:highlight w:val="none"/>
        </w:rPr>
        <w:t>.</w:t>
      </w:r>
      <w:r>
        <w:rPr>
          <w:rFonts w:hAnsi="宋体"/>
          <w:color w:val="auto"/>
          <w:highlight w:val="none"/>
        </w:rPr>
        <w:t>1</w:t>
      </w:r>
      <w:r>
        <w:rPr>
          <w:rFonts w:hint="eastAsia" w:hAnsi="宋体"/>
          <w:color w:val="auto"/>
          <w:highlight w:val="none"/>
        </w:rPr>
        <w:t>.</w:t>
      </w:r>
      <w:r>
        <w:rPr>
          <w:rFonts w:hAnsi="宋体"/>
          <w:color w:val="auto"/>
          <w:highlight w:val="none"/>
        </w:rPr>
        <w:t>4</w:t>
      </w:r>
      <w:r>
        <w:rPr>
          <w:rFonts w:hint="eastAsia" w:hAnsi="宋体"/>
          <w:color w:val="auto"/>
          <w:highlight w:val="none"/>
        </w:rPr>
        <w:t>中小企业参加政府采购活动，应当出具《中小企业声明函》（详见《响应文件格式》），否则不得享受相关中小企业扶持政策。</w:t>
      </w:r>
    </w:p>
    <w:p w14:paraId="4630286E">
      <w:pPr>
        <w:adjustRightInd w:val="0"/>
        <w:snapToGrid w:val="0"/>
        <w:spacing w:line="360" w:lineRule="auto"/>
        <w:ind w:firstLine="413" w:firstLineChars="196"/>
        <w:rPr>
          <w:rFonts w:hint="eastAsia" w:ascii="宋体" w:hAnsi="宋体" w:cs="黑体"/>
          <w:b/>
          <w:bCs/>
          <w:color w:val="auto"/>
          <w:szCs w:val="21"/>
          <w:highlight w:val="none"/>
        </w:rPr>
      </w:pPr>
      <w:r>
        <w:rPr>
          <w:rFonts w:hint="eastAsia" w:ascii="宋体" w:hAnsi="宋体" w:cs="黑体"/>
          <w:b/>
          <w:bCs/>
          <w:color w:val="auto"/>
          <w:szCs w:val="21"/>
          <w:highlight w:val="none"/>
        </w:rPr>
        <w:t>2.1.5根据政府采购促进中小企业发展管理办法（财库【2020】46号）的规定，对符合条件的小型和微型供应商，在价格评分（商务评审）时给予最终报价3%的扣除，用扣除后的价格参与价格评分（磋商报价评审）。</w:t>
      </w:r>
    </w:p>
    <w:p w14:paraId="1F898B1C">
      <w:pPr>
        <w:adjustRightInd w:val="0"/>
        <w:snapToGrid w:val="0"/>
        <w:spacing w:line="360" w:lineRule="auto"/>
        <w:ind w:firstLine="413" w:firstLineChars="196"/>
        <w:rPr>
          <w:rFonts w:hint="eastAsia" w:ascii="宋体" w:hAnsi="宋体" w:cs="黑体"/>
          <w:b/>
          <w:bCs/>
          <w:color w:val="auto"/>
          <w:szCs w:val="21"/>
          <w:highlight w:val="none"/>
        </w:rPr>
      </w:pPr>
      <w:r>
        <w:rPr>
          <w:rFonts w:hint="eastAsia" w:ascii="宋体" w:hAnsi="宋体" w:cs="黑体"/>
          <w:b/>
          <w:bCs/>
          <w:color w:val="auto"/>
          <w:szCs w:val="21"/>
          <w:highlight w:val="none"/>
        </w:rPr>
        <w:t>注：①若本项目为非专门面向中小企业采购的项目，则须执行价格评审优惠的扶持政策。</w:t>
      </w:r>
    </w:p>
    <w:p w14:paraId="3D629C40">
      <w:pPr>
        <w:adjustRightInd w:val="0"/>
        <w:snapToGrid w:val="0"/>
        <w:spacing w:line="360" w:lineRule="auto"/>
        <w:ind w:firstLine="413" w:firstLineChars="196"/>
        <w:rPr>
          <w:rFonts w:hint="eastAsia" w:ascii="宋体" w:hAnsi="宋体" w:cs="黑体"/>
          <w:b/>
          <w:bCs/>
          <w:color w:val="auto"/>
          <w:szCs w:val="21"/>
          <w:highlight w:val="none"/>
        </w:rPr>
      </w:pPr>
      <w:r>
        <w:rPr>
          <w:rFonts w:hint="eastAsia" w:ascii="宋体" w:hAnsi="宋体" w:cs="黑体"/>
          <w:b/>
          <w:bCs/>
          <w:color w:val="auto"/>
          <w:szCs w:val="21"/>
          <w:highlight w:val="none"/>
        </w:rPr>
        <w:t>②若本项目为专门面向中小企业采购的项目，则不再执行价格评审优惠的扶持政策。</w:t>
      </w:r>
    </w:p>
    <w:p w14:paraId="0B110BB6">
      <w:pPr>
        <w:pStyle w:val="45"/>
        <w:tabs>
          <w:tab w:val="left" w:pos="2472"/>
        </w:tabs>
        <w:autoSpaceDE/>
        <w:autoSpaceDN/>
        <w:snapToGrid w:val="0"/>
        <w:spacing w:line="360" w:lineRule="auto"/>
        <w:ind w:firstLine="422" w:firstLineChars="200"/>
        <w:jc w:val="both"/>
        <w:rPr>
          <w:rFonts w:hint="eastAsia" w:hAnsi="宋体"/>
          <w:b/>
          <w:color w:val="auto"/>
          <w:highlight w:val="none"/>
        </w:rPr>
      </w:pPr>
      <w:r>
        <w:rPr>
          <w:rFonts w:hAnsi="宋体"/>
          <w:b/>
          <w:color w:val="auto"/>
          <w:highlight w:val="none"/>
        </w:rPr>
        <w:t>2</w:t>
      </w:r>
      <w:r>
        <w:rPr>
          <w:rFonts w:hint="eastAsia" w:hAnsi="宋体"/>
          <w:b/>
          <w:color w:val="auto"/>
          <w:highlight w:val="none"/>
        </w:rPr>
        <w:t>.</w:t>
      </w:r>
      <w:r>
        <w:rPr>
          <w:rFonts w:hAnsi="宋体"/>
          <w:b/>
          <w:color w:val="auto"/>
          <w:highlight w:val="none"/>
        </w:rPr>
        <w:t>2</w:t>
      </w:r>
      <w:r>
        <w:rPr>
          <w:rFonts w:hint="eastAsia" w:hAnsi="宋体"/>
          <w:b/>
          <w:color w:val="auto"/>
          <w:highlight w:val="none"/>
        </w:rPr>
        <w:t>监狱企业</w:t>
      </w:r>
    </w:p>
    <w:p w14:paraId="27FAEB08">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Ansi="宋体"/>
          <w:color w:val="auto"/>
          <w:highlight w:val="none"/>
        </w:rPr>
        <w:t>2</w:t>
      </w:r>
      <w:r>
        <w:rPr>
          <w:rFonts w:hint="eastAsia" w:hAnsi="宋体"/>
          <w:color w:val="auto"/>
          <w:highlight w:val="none"/>
        </w:rPr>
        <w:t>.</w:t>
      </w:r>
      <w:r>
        <w:rPr>
          <w:rFonts w:hAnsi="宋体"/>
          <w:color w:val="auto"/>
          <w:highlight w:val="none"/>
        </w:rPr>
        <w:t>2</w:t>
      </w:r>
      <w:r>
        <w:rPr>
          <w:rFonts w:hint="eastAsia" w:hAnsi="宋体"/>
          <w:color w:val="auto"/>
          <w:highlight w:val="none"/>
        </w:rPr>
        <w:t>.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017684C">
      <w:pPr>
        <w:pStyle w:val="45"/>
        <w:tabs>
          <w:tab w:val="left" w:pos="2472"/>
        </w:tabs>
        <w:autoSpaceDE/>
        <w:autoSpaceDN/>
        <w:snapToGrid w:val="0"/>
        <w:spacing w:line="360" w:lineRule="auto"/>
        <w:ind w:firstLine="422" w:firstLineChars="200"/>
        <w:jc w:val="both"/>
        <w:rPr>
          <w:rFonts w:hint="eastAsia" w:hAnsi="宋体"/>
          <w:b/>
          <w:color w:val="auto"/>
          <w:highlight w:val="none"/>
        </w:rPr>
      </w:pPr>
      <w:r>
        <w:rPr>
          <w:rFonts w:hint="eastAsia" w:hAnsi="宋体"/>
          <w:b/>
          <w:color w:val="auto"/>
          <w:highlight w:val="none"/>
        </w:rPr>
        <w:t>2.3残疾人福利性单位</w:t>
      </w:r>
    </w:p>
    <w:p w14:paraId="7D091601">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2.3</w:t>
      </w:r>
      <w:r>
        <w:rPr>
          <w:rFonts w:hAnsi="宋体"/>
          <w:color w:val="auto"/>
          <w:highlight w:val="none"/>
        </w:rPr>
        <w:t>.1根据</w:t>
      </w:r>
      <w:r>
        <w:rPr>
          <w:rFonts w:hint="eastAsia" w:hAnsi="宋体"/>
          <w:color w:val="auto"/>
          <w:highlight w:val="none"/>
        </w:rPr>
        <w:t>《财政部 民政部 中国残疾人联合会关于促进残疾人就业政府采购政策的通知》，享受政府采购支持政策的残疾人福利性单位应当同时满足以下条件：</w:t>
      </w:r>
    </w:p>
    <w:p w14:paraId="609E21DE">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（1）安置的残疾人占本单位在职职工人数的比例不低于25%（含25%），并且安置的残疾人人数不少于10人（含10人）；</w:t>
      </w:r>
    </w:p>
    <w:p w14:paraId="2D862514">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（2）依法与安置的每位残疾人签订了一年以上（含一年）的劳动合同或服务协议；</w:t>
      </w:r>
    </w:p>
    <w:p w14:paraId="0E494B88">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（3）为安置的每位残疾人按月足额缴纳了基本养老保险、基本医疗保险、失业保险、工伤保险和生育保险等社会保险费；</w:t>
      </w:r>
    </w:p>
    <w:p w14:paraId="2CE35D06">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（4）通过银行等金融机构向安置的每位残疾人，按月支付了不低于单位所在区县适用的经省级人民政府批准的月最低工资标准的工资；</w:t>
      </w:r>
    </w:p>
    <w:p w14:paraId="297486FF">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（5）提供本单位制造的货物、承担的工程或者服务（以下简称产品），或者提供其他残疾人福利性单位制造的货物（不包括使用非残疾人福利性单位注册商标的货物）。</w:t>
      </w:r>
    </w:p>
    <w:p w14:paraId="766BB9FA">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CAA7C1">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2.3.2符合条件的残疾人福利性单位在参加政府采购活动时，应当提供《残疾人福利性单位声明函》，并对声明的真实性负责。</w:t>
      </w:r>
    </w:p>
    <w:p w14:paraId="02925B61">
      <w:pPr>
        <w:pStyle w:val="45"/>
        <w:tabs>
          <w:tab w:val="left" w:pos="2472"/>
        </w:tabs>
        <w:autoSpaceDE/>
        <w:autoSpaceDN/>
        <w:snapToGrid w:val="0"/>
        <w:spacing w:line="360" w:lineRule="auto"/>
        <w:ind w:firstLine="422" w:firstLineChars="200"/>
        <w:jc w:val="both"/>
        <w:rPr>
          <w:rFonts w:hint="eastAsia" w:hAnsi="宋体"/>
          <w:b/>
          <w:color w:val="auto"/>
          <w:highlight w:val="none"/>
        </w:rPr>
      </w:pPr>
      <w:r>
        <w:rPr>
          <w:rFonts w:hint="eastAsia" w:hAnsi="宋体"/>
          <w:b/>
          <w:color w:val="auto"/>
          <w:highlight w:val="none"/>
        </w:rPr>
        <w:t>2.</w:t>
      </w:r>
      <w:r>
        <w:rPr>
          <w:rFonts w:hAnsi="宋体"/>
          <w:b/>
          <w:color w:val="auto"/>
          <w:highlight w:val="none"/>
        </w:rPr>
        <w:t>4</w:t>
      </w:r>
      <w:r>
        <w:rPr>
          <w:rFonts w:hint="eastAsia" w:hAnsi="宋体"/>
          <w:b/>
          <w:color w:val="auto"/>
          <w:highlight w:val="none"/>
        </w:rPr>
        <w:t>节能、环境标志产品</w:t>
      </w:r>
    </w:p>
    <w:p w14:paraId="43C8378F">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2.4.1节能产品是指列入财政部和国家发改委公布的《节能产品政府采购品目清单》中的货物。政府强制采购节能产品是指《节能产品政府采购品目清单》中以“★”标注类别的产品。</w:t>
      </w:r>
    </w:p>
    <w:p w14:paraId="73083FF1">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2.4.2环境标志产品是指列入财政部、生态环境部公布的《环境标志产品政府采购品目清单》中的货物。</w:t>
      </w:r>
    </w:p>
    <w:p w14:paraId="1E89ECF9">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2.4.3本项目采购清单中若有政府强制采购节能产品，只接受强制节能产品投标，供应商必须在响应文件中提供国家确定的认证机构出具的、处于有效期之内的节能产品认证证书。供应商必须选报，否则按不实质性响应竞争性磋商文件要求处理。</w:t>
      </w:r>
    </w:p>
    <w:p w14:paraId="2C54E001">
      <w:pPr>
        <w:pStyle w:val="45"/>
        <w:tabs>
          <w:tab w:val="left" w:pos="2472"/>
        </w:tabs>
        <w:autoSpaceDE/>
        <w:autoSpaceDN/>
        <w:snapToGrid w:val="0"/>
        <w:spacing w:line="360" w:lineRule="auto"/>
        <w:ind w:firstLine="420" w:firstLineChars="200"/>
        <w:jc w:val="both"/>
        <w:rPr>
          <w:rFonts w:hint="eastAsia" w:hAnsi="宋体"/>
          <w:color w:val="auto"/>
          <w:highlight w:val="none"/>
        </w:rPr>
      </w:pPr>
      <w:r>
        <w:rPr>
          <w:rFonts w:hint="eastAsia" w:hAnsi="宋体"/>
          <w:color w:val="auto"/>
          <w:highlight w:val="none"/>
        </w:rPr>
        <w:t>2.4.4供应商应在响应文件中提供所投标产品国家确定的认证机构出具的、处于有效期之内的节能产品、环境标志产品认证证书，否则不予认可。</w:t>
      </w:r>
    </w:p>
    <w:p w14:paraId="4F224E25">
      <w:pPr>
        <w:pStyle w:val="76"/>
        <w:adjustRightInd w:val="0"/>
        <w:snapToGrid w:val="0"/>
        <w:spacing w:line="360" w:lineRule="auto"/>
        <w:ind w:firstLine="420" w:firstLineChars="200"/>
        <w:rPr>
          <w:rFonts w:hint="eastAsia" w:hAnsi="宋体" w:cs="宋体"/>
          <w:b/>
          <w:color w:val="auto"/>
          <w:sz w:val="21"/>
          <w:szCs w:val="21"/>
          <w:highlight w:val="none"/>
        </w:rPr>
      </w:pPr>
      <w:r>
        <w:rPr>
          <w:rFonts w:hint="eastAsia" w:hAnsi="宋体"/>
          <w:color w:val="auto"/>
          <w:sz w:val="21"/>
          <w:szCs w:val="21"/>
          <w:highlight w:val="none"/>
        </w:rPr>
        <w:t>2.4.5《节能产品政府采购品目清单》及《环境标志产品政府采购品目清单》可通过中国政府采购网（http://www.ccgp.gov.cn/ ）查阅、下载。</w:t>
      </w:r>
    </w:p>
    <w:p w14:paraId="721CBBBA">
      <w:pPr>
        <w:pStyle w:val="51"/>
        <w:tabs>
          <w:tab w:val="left" w:pos="540"/>
        </w:tabs>
        <w:adjustRightInd w:val="0"/>
        <w:snapToGrid w:val="0"/>
        <w:spacing w:line="360" w:lineRule="auto"/>
        <w:ind w:firstLine="0" w:firstLineChars="0"/>
        <w:rPr>
          <w:rFonts w:hint="eastAsia" w:ascii="宋体" w:hAnsi="宋体" w:eastAsia="宋体"/>
          <w:b/>
          <w:color w:val="auto"/>
          <w:szCs w:val="21"/>
          <w:highlight w:val="none"/>
        </w:rPr>
      </w:pPr>
      <w:r>
        <w:rPr>
          <w:rFonts w:hint="eastAsia" w:ascii="宋体" w:hAnsi="宋体" w:eastAsia="宋体"/>
          <w:b/>
          <w:color w:val="auto"/>
          <w:szCs w:val="21"/>
          <w:highlight w:val="none"/>
        </w:rPr>
        <w:t>3. 评审标准</w:t>
      </w:r>
    </w:p>
    <w:p w14:paraId="535ACA0D">
      <w:p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3.1初步评审标准</w:t>
      </w:r>
    </w:p>
    <w:p w14:paraId="5D063BBF">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3.1.1资格评审标准：依据法律法规和磋商文件的规定，对响应文件中的资格证明文件等进行审查，见磋商程序和方法前附表。</w:t>
      </w:r>
    </w:p>
    <w:p w14:paraId="532F0539">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3.1.2符合性评审标准：依据磋商文件的规定，从响应文件的有效性、完整性和对磋商文件的响应程度进行审查，见磋商程序和方法前附表。</w:t>
      </w:r>
    </w:p>
    <w:p w14:paraId="4DE838B1">
      <w:pPr>
        <w:pStyle w:val="51"/>
        <w:tabs>
          <w:tab w:val="left" w:pos="540"/>
        </w:tabs>
        <w:adjustRightInd w:val="0"/>
        <w:snapToGrid w:val="0"/>
        <w:spacing w:line="360" w:lineRule="auto"/>
        <w:ind w:firstLine="0" w:firstLineChars="0"/>
        <w:rPr>
          <w:rFonts w:hint="eastAsia" w:ascii="宋体" w:hAnsi="宋体" w:eastAsia="宋体"/>
          <w:b/>
          <w:color w:val="auto"/>
          <w:szCs w:val="21"/>
          <w:highlight w:val="none"/>
        </w:rPr>
      </w:pPr>
      <w:r>
        <w:rPr>
          <w:rFonts w:hint="eastAsia" w:ascii="宋体" w:hAnsi="宋体" w:eastAsia="宋体"/>
          <w:b/>
          <w:color w:val="auto"/>
          <w:szCs w:val="21"/>
          <w:highlight w:val="none"/>
        </w:rPr>
        <w:t>4.磋商程序</w:t>
      </w:r>
    </w:p>
    <w:p w14:paraId="60D3C819">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4.1 初步评审</w:t>
      </w:r>
    </w:p>
    <w:p w14:paraId="37B05334">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4.1.1磋商小组依据本章第2.1.1项、第2.1.2项规定的标准对响应文件进行初步评审。有一项不符合磋商标准的，不通过初步评审，不再参与磋商。当响应磋商文件实质性要求的供应商少于3家时，将终止本次竞争性磋商采购活动。</w:t>
      </w:r>
    </w:p>
    <w:p w14:paraId="0274CFD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4.1.2磋商小组成员要依法独立审查，并对审查意见承担个人责任。磋商小组成员对需要共同认定的事项存在争议的，按照少数服从多数的原则做出结论。</w:t>
      </w:r>
    </w:p>
    <w:p w14:paraId="5656AF7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4.2磋商及最后报价</w:t>
      </w:r>
    </w:p>
    <w:p w14:paraId="569751B0">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4.2.1磋商小组所有成员集中与通过实质性审查的单一供应商分别进行磋商。在磋商中，磋商的任何一方不得透露与磋商有关的其他供应商的技术资料、价格、折扣和其他信息。</w:t>
      </w:r>
    </w:p>
    <w:p w14:paraId="0625A069">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4.2.2磋商文件有实质性变动的，磋商小组将经采购人代表确认后，以书面形式通知所有参加磋商的供应商。但不得对涉及竞争的公平、公正性内容进行修改、变动。</w:t>
      </w:r>
    </w:p>
    <w:p w14:paraId="6C879CF5">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4.2.3为有助于对响应文件的详细审查、评价和比较，磋商小组可要求对供应商分别进行技术询问、澄清，有关要求和答复均线上进行。</w:t>
      </w:r>
    </w:p>
    <w:p w14:paraId="299D416A">
      <w:pPr>
        <w:overflowPunct w:val="0"/>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0E3544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4.2.5磋商小组对供应商提交的澄清、说明有疑问的，可以要求供应商进一步澄清、说明。磋商小组要求供应商澄清、说明或者更正响应文件应当以书面形式作出。供应商的澄清、说明或者更正应当由法定代表人或其授权代表签字或者加盖公章。</w:t>
      </w:r>
    </w:p>
    <w:p w14:paraId="7C2405C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4.2.6磋商结束后，磋商小组将要求所有继续参加磋商的供应商在规定时间内在线上提交最后报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CFF483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4.3评分</w:t>
      </w:r>
    </w:p>
    <w:p w14:paraId="388134A0">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4.3.1 磋商小组按本章第2款规定的量化因素和分值进行打分，并计算出供应商的磋商总得分。对其他需要借助专业知识评判的主观评分项，应当严格按照评分细则公正评分。</w:t>
      </w:r>
    </w:p>
    <w:p w14:paraId="4FCCBA23">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（1）按本章前附表的规定对磋商报价计算出得分F1；</w:t>
      </w:r>
    </w:p>
    <w:p w14:paraId="7C0DACA6">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（2）按本章前附表的规定对技术部分评分，得分F2；</w:t>
      </w:r>
    </w:p>
    <w:p w14:paraId="33A557A3">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（3）按本章前附表的规定对商务部分评分，得分F3；</w:t>
      </w:r>
    </w:p>
    <w:p w14:paraId="691FE174">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（4）按本章前附表的规定计算总得分。</w:t>
      </w:r>
    </w:p>
    <w:p w14:paraId="071905CC">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4.3.2技术部分（F2）和商务部分（F3）得分由磋商小组成员独立评分，供应商各项评分因素得分为该项因素各评委评分的算术平均值（保留小数点后两位），小数点后第三位“四舍五入”。</w:t>
      </w:r>
    </w:p>
    <w:p w14:paraId="660010B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4.3.3磋商小组成员要依法独立评审，并对评审意见承担个人责任。磋商小组成员对需要共同认定的事项存在争议的，按照少数服从多数的原则做出结论。持不同意见的磋商小组成员应当在评标报告上签署不同意见并说明理由，否则视为同意。</w:t>
      </w:r>
    </w:p>
    <w:p w14:paraId="2B8F144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4.4 磋商结果</w:t>
      </w:r>
    </w:p>
    <w:p w14:paraId="2B08C32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4.4.1 磋商小组按最终得分由高到低顺序推荐成交候选人，并提出书面评标报告。</w:t>
      </w:r>
    </w:p>
    <w:p w14:paraId="0A346CB8">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4.4.2 采购人根据磋商小组提出的书面评标报告和推荐的成交候选人名单，确定成交人。</w:t>
      </w:r>
    </w:p>
    <w:p w14:paraId="183B7A61">
      <w:pPr>
        <w:pStyle w:val="76"/>
        <w:overflowPunct w:val="0"/>
        <w:adjustRightInd w:val="0"/>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4.4.3 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3CD2A32C">
      <w:pPr>
        <w:pStyle w:val="51"/>
        <w:tabs>
          <w:tab w:val="left" w:pos="540"/>
        </w:tabs>
        <w:adjustRightInd w:val="0"/>
        <w:snapToGrid w:val="0"/>
        <w:spacing w:line="360" w:lineRule="auto"/>
        <w:ind w:firstLine="0" w:firstLineChars="0"/>
        <w:rPr>
          <w:rFonts w:hint="eastAsia" w:ascii="宋体" w:hAnsi="宋体" w:eastAsia="宋体"/>
          <w:b/>
          <w:color w:val="auto"/>
          <w:szCs w:val="21"/>
          <w:highlight w:val="none"/>
        </w:rPr>
      </w:pPr>
      <w:r>
        <w:rPr>
          <w:rFonts w:hint="eastAsia" w:ascii="宋体" w:hAnsi="宋体" w:eastAsia="宋体"/>
          <w:b/>
          <w:color w:val="auto"/>
          <w:szCs w:val="21"/>
          <w:highlight w:val="none"/>
        </w:rPr>
        <w:t>5.响应文件如果出现计算或表达上的错误，修正错误的原则如下：</w:t>
      </w:r>
    </w:p>
    <w:p w14:paraId="77CA90D8">
      <w:pPr>
        <w:tabs>
          <w:tab w:val="center" w:pos="5181"/>
        </w:tabs>
        <w:overflowPunct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（1）公布第一次报价时，响应文件中报价一览表内容与响应文件中明细表内容不一致的，以报价一览表为准。</w:t>
      </w:r>
    </w:p>
    <w:p w14:paraId="3123A1B6">
      <w:pPr>
        <w:tabs>
          <w:tab w:val="center" w:pos="5181"/>
        </w:tabs>
        <w:overflowPunct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（2）响应文件的大写金额和小写金额不一致的，以大写金额为准；</w:t>
      </w:r>
    </w:p>
    <w:p w14:paraId="3EFF84AE">
      <w:pPr>
        <w:tabs>
          <w:tab w:val="center" w:pos="5181"/>
        </w:tabs>
        <w:overflowPunct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（3）总价金额与按单价汇总金额不一致的，以单价金额计算结果为准；</w:t>
      </w:r>
    </w:p>
    <w:p w14:paraId="6B91DE93">
      <w:pPr>
        <w:tabs>
          <w:tab w:val="center" w:pos="5181"/>
        </w:tabs>
        <w:overflowPunct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（4）单价金额小数点有明显错位的，应以总价为准，并修改单价；</w:t>
      </w:r>
    </w:p>
    <w:p w14:paraId="5614A5A9">
      <w:pPr>
        <w:tabs>
          <w:tab w:val="center" w:pos="5181"/>
        </w:tabs>
        <w:overflowPunct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（5）对不同文字文本响应文件的解释发生异议的，以中文文本为准。</w:t>
      </w:r>
    </w:p>
    <w:p w14:paraId="712432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（6）按上述修正错误的原则及方法调整或修正响应文件的报价，供应商同意后，调整后的报价对供应商起约束作用。如果供应商不接受修正后的报价，视为未实质性响应竞争性磋商文件的要求。</w:t>
      </w:r>
    </w:p>
    <w:p w14:paraId="14BC5209">
      <w:pPr>
        <w:pStyle w:val="76"/>
        <w:overflowPunct w:val="0"/>
        <w:adjustRightInd w:val="0"/>
        <w:snapToGrid w:val="0"/>
        <w:spacing w:line="360" w:lineRule="auto"/>
        <w:ind w:firstLine="420" w:firstLineChars="200"/>
        <w:rPr>
          <w:rFonts w:hint="eastAsia" w:hAnsi="宋体"/>
          <w:color w:val="auto"/>
          <w:sz w:val="21"/>
          <w:szCs w:val="21"/>
          <w:highlight w:val="none"/>
        </w:rPr>
      </w:pPr>
    </w:p>
    <w:sectPr>
      <w:pgSz w:w="11906" w:h="16838"/>
      <w:pgMar w:top="1440" w:right="1080" w:bottom="1440" w:left="1080" w:header="680" w:footer="850"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ˎ̥">
    <w:altName w:val="Noto Sans SC"/>
    <w:panose1 w:val="00000000000000000000"/>
    <w:charset w:val="00"/>
    <w:family w:val="roman"/>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仿宋_GBK">
    <w:panose1 w:val="02000000000000000000"/>
    <w:charset w:val="86"/>
    <w:family w:val="auto"/>
    <w:pitch w:val="default"/>
    <w:sig w:usb0="A00002BF" w:usb1="38CF7CFA" w:usb2="00082016" w:usb3="00000000" w:csb0="00040001" w:csb1="00000000"/>
  </w:font>
  <w:font w:name="汉仪大宋简">
    <w:panose1 w:val="02010600000101010101"/>
    <w:charset w:val="86"/>
    <w:family w:val="modern"/>
    <w:pitch w:val="default"/>
    <w:sig w:usb0="00000001" w:usb1="080E0800" w:usb2="00000002" w:usb3="00000000" w:csb0="00040000"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方正书宋简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0" w:csb1="00000000"/>
  </w:font>
  <w:font w:name="Plotter">
    <w:altName w:val="Segoe Print"/>
    <w:panose1 w:val="00000000000000000000"/>
    <w:charset w:val="00"/>
    <w:family w:val="roman"/>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方正小标宋_GBK">
    <w:altName w:val="Arial Unicode MS"/>
    <w:panose1 w:val="00000000000000000000"/>
    <w:charset w:val="86"/>
    <w:family w:val="script"/>
    <w:pitch w:val="default"/>
    <w:sig w:usb0="00000000" w:usb1="00000000" w:usb2="00000000" w:usb3="00000000" w:csb0="00040000" w:csb1="00000000"/>
  </w:font>
  <w:font w:name="Univers LT Std 45 Light">
    <w:altName w:val="宋体"/>
    <w:panose1 w:val="00000000000000000000"/>
    <w:charset w:val="86"/>
    <w:family w:val="swiss"/>
    <w:pitch w:val="default"/>
    <w:sig w:usb0="00000000" w:usb1="00000000" w:usb2="00000010" w:usb3="00000000" w:csb0="00040001" w:csb1="00000000"/>
  </w:font>
  <w:font w:name="五">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8500F">
    <w:pPr>
      <w:pStyle w:val="55"/>
      <w:rPr>
        <w:rFonts w:hint="eastAsia" w:ascii="宋体" w:hAnsi="宋体"/>
        <w:b/>
        <w:bCs/>
        <w:sz w:val="21"/>
        <w:szCs w:val="21"/>
      </w:rPr>
    </w:pPr>
    <w:r>
      <w:rPr>
        <w:rFonts w:hint="eastAsia"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24130</wp:posOffset>
          </wp:positionH>
          <wp:positionV relativeFrom="paragraph">
            <wp:posOffset>-194945</wp:posOffset>
          </wp:positionV>
          <wp:extent cx="414020" cy="369570"/>
          <wp:effectExtent l="0" t="0" r="17780" b="11430"/>
          <wp:wrapNone/>
          <wp:docPr id="2" name="图片 3" descr="公司标志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公司标志004"/>
                  <pic:cNvPicPr>
                    <a:picLocks noChangeAspect="1"/>
                  </pic:cNvPicPr>
                </pic:nvPicPr>
                <pic:blipFill>
                  <a:blip r:embed="rId1"/>
                  <a:stretch>
                    <a:fillRect/>
                  </a:stretch>
                </pic:blipFill>
                <pic:spPr>
                  <a:xfrm>
                    <a:off x="0" y="0"/>
                    <a:ext cx="414020" cy="369570"/>
                  </a:xfrm>
                  <a:prstGeom prst="rect">
                    <a:avLst/>
                  </a:prstGeom>
                  <a:noFill/>
                  <a:ln>
                    <a:noFill/>
                  </a:ln>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03724">
                          <w:pPr>
                            <w:pStyle w:val="55"/>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03E03724">
                    <w:pPr>
                      <w:pStyle w:val="5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6EF5">
    <w:pPr>
      <w:pStyle w:val="57"/>
      <w:pBdr>
        <w:bottom w:val="single" w:color="auto" w:sz="4" w:space="0"/>
      </w:pBdr>
      <w:jc w:val="both"/>
      <w:rPr>
        <w:rFonts w:hint="default"/>
        <w:lang w:val="en-US"/>
      </w:rPr>
    </w:pPr>
    <w:r>
      <w:rPr>
        <w:rFonts w:hint="eastAsia"/>
        <w:lang w:eastAsia="zh-CN"/>
      </w:rPr>
      <w:t>大理护理职业学院眼健康产业学院（一期）建设项目</w:t>
    </w:r>
    <w:r>
      <w:rPr>
        <w:rFonts w:hint="eastAsia"/>
      </w:rPr>
      <w:t>（一标段）</w:t>
    </w:r>
    <w:r>
      <w:rPr>
        <w:rFonts w:hint="eastAsia"/>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D2EC3"/>
    <w:multiLevelType w:val="singleLevel"/>
    <w:tmpl w:val="B41D2EC3"/>
    <w:lvl w:ilvl="0" w:tentative="0">
      <w:start w:val="1"/>
      <w:numFmt w:val="decimal"/>
      <w:lvlText w:val="%1."/>
      <w:lvlJc w:val="left"/>
      <w:pPr>
        <w:tabs>
          <w:tab w:val="left" w:pos="312"/>
        </w:tabs>
      </w:pPr>
    </w:lvl>
  </w:abstractNum>
  <w:abstractNum w:abstractNumId="1">
    <w:nsid w:val="FFFFFFFB"/>
    <w:multiLevelType w:val="multilevel"/>
    <w:tmpl w:val="FFFFFFFB"/>
    <w:lvl w:ilvl="0" w:tentative="0">
      <w:start w:val="1"/>
      <w:numFmt w:val="decimal"/>
      <w:lvlText w:val="%1."/>
      <w:legacy w:legacy="1" w:legacySpace="0" w:legacyIndent="425"/>
      <w:lvlJc w:val="left"/>
      <w:pPr>
        <w:ind w:left="425" w:hanging="425"/>
      </w:pPr>
      <w:rPr>
        <w:rFonts w:cs="Times New Roman"/>
      </w:rPr>
    </w:lvl>
    <w:lvl w:ilvl="1" w:tentative="0">
      <w:start w:val="1"/>
      <w:numFmt w:val="decimal"/>
      <w:lvlText w:val="%1.%2."/>
      <w:legacy w:legacy="1" w:legacySpace="0" w:legacyIndent="425"/>
      <w:lvlJc w:val="left"/>
      <w:pPr>
        <w:ind w:left="850" w:hanging="425"/>
      </w:pPr>
      <w:rPr>
        <w:rFonts w:cs="Times New Roman"/>
      </w:rPr>
    </w:lvl>
    <w:lvl w:ilvl="2" w:tentative="0">
      <w:start w:val="1"/>
      <w:numFmt w:val="decimal"/>
      <w:lvlText w:val="%1.%2.%3."/>
      <w:legacy w:legacy="1" w:legacySpace="0" w:legacyIndent="425"/>
      <w:lvlJc w:val="left"/>
      <w:pPr>
        <w:ind w:left="1275" w:hanging="425"/>
      </w:pPr>
      <w:rPr>
        <w:rFonts w:cs="Times New Roman"/>
      </w:rPr>
    </w:lvl>
    <w:lvl w:ilvl="3" w:tentative="0">
      <w:start w:val="1"/>
      <w:numFmt w:val="decimal"/>
      <w:lvlText w:val="%1.%2.%3.%4."/>
      <w:legacy w:legacy="1" w:legacySpace="0" w:legacyIndent="425"/>
      <w:lvlJc w:val="left"/>
      <w:pPr>
        <w:ind w:left="1700" w:hanging="425"/>
      </w:pPr>
      <w:rPr>
        <w:rFonts w:cs="Times New Roman"/>
      </w:rPr>
    </w:lvl>
    <w:lvl w:ilvl="4" w:tentative="0">
      <w:start w:val="1"/>
      <w:numFmt w:val="decimal"/>
      <w:pStyle w:val="7"/>
      <w:lvlText w:val="%1.%2.%3.%4.%5."/>
      <w:legacy w:legacy="1" w:legacySpace="0" w:legacyIndent="425"/>
      <w:lvlJc w:val="left"/>
      <w:pPr>
        <w:ind w:left="2125" w:hanging="425"/>
      </w:pPr>
      <w:rPr>
        <w:rFonts w:cs="Times New Roman"/>
      </w:rPr>
    </w:lvl>
    <w:lvl w:ilvl="5" w:tentative="0">
      <w:start w:val="1"/>
      <w:numFmt w:val="decimal"/>
      <w:lvlText w:val="%1.%2.%3.%4.%5.%6."/>
      <w:legacy w:legacy="1" w:legacySpace="0" w:legacyIndent="425"/>
      <w:lvlJc w:val="left"/>
      <w:pPr>
        <w:ind w:left="2550" w:hanging="425"/>
      </w:pPr>
      <w:rPr>
        <w:rFonts w:cs="Times New Roman"/>
      </w:rPr>
    </w:lvl>
    <w:lvl w:ilvl="6" w:tentative="0">
      <w:start w:val="1"/>
      <w:numFmt w:val="decimal"/>
      <w:lvlText w:val="%1.%2.%3.%4.%5.%6.%7."/>
      <w:legacy w:legacy="1" w:legacySpace="0" w:legacyIndent="425"/>
      <w:lvlJc w:val="left"/>
      <w:pPr>
        <w:ind w:left="2975" w:hanging="425"/>
      </w:pPr>
      <w:rPr>
        <w:rFonts w:cs="Times New Roman"/>
      </w:rPr>
    </w:lvl>
    <w:lvl w:ilvl="7" w:tentative="0">
      <w:start w:val="1"/>
      <w:numFmt w:val="decimal"/>
      <w:lvlText w:val="%1.%2.%3.%4.%5.%6.%7.%8."/>
      <w:legacy w:legacy="1" w:legacySpace="0" w:legacyIndent="425"/>
      <w:lvlJc w:val="left"/>
      <w:pPr>
        <w:ind w:left="3400" w:hanging="425"/>
      </w:pPr>
      <w:rPr>
        <w:rFonts w:cs="Times New Roman"/>
      </w:rPr>
    </w:lvl>
    <w:lvl w:ilvl="8" w:tentative="0">
      <w:start w:val="1"/>
      <w:numFmt w:val="decimal"/>
      <w:lvlText w:val="%1.%2.%3.%4.%5.%6.%7.%8.%9."/>
      <w:legacy w:legacy="1" w:legacySpace="0" w:legacyIndent="425"/>
      <w:lvlJc w:val="left"/>
      <w:pPr>
        <w:ind w:left="3825" w:hanging="425"/>
      </w:pPr>
      <w:rPr>
        <w:rFonts w:cs="Times New Roman"/>
      </w:rPr>
    </w:lvl>
  </w:abstractNum>
  <w:abstractNum w:abstractNumId="2">
    <w:nsid w:val="00000001"/>
    <w:multiLevelType w:val="multilevel"/>
    <w:tmpl w:val="00000001"/>
    <w:lvl w:ilvl="0" w:tentative="0">
      <w:start w:val="7"/>
      <w:numFmt w:val="none"/>
      <w:pStyle w:val="820"/>
      <w:lvlText w:val="第五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102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multilevel"/>
    <w:tmpl w:val="00000002"/>
    <w:lvl w:ilvl="0" w:tentative="0">
      <w:start w:val="1"/>
      <w:numFmt w:val="none"/>
      <w:pStyle w:val="92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640"/>
      <w:suff w:val="nothing"/>
      <w:lvlText w:val="%1%2.%3　"/>
      <w:lvlJc w:val="left"/>
      <w:pPr>
        <w:ind w:left="2160" w:firstLine="0"/>
      </w:pPr>
      <w:rPr>
        <w:rFonts w:hint="eastAsia" w:ascii="黑体" w:hAnsi="Times New Roman" w:eastAsia="黑体"/>
        <w:b w:val="0"/>
        <w:i w:val="0"/>
        <w:sz w:val="21"/>
      </w:rPr>
    </w:lvl>
    <w:lvl w:ilvl="3" w:tentative="0">
      <w:start w:val="1"/>
      <w:numFmt w:val="decimal"/>
      <w:pStyle w:val="641"/>
      <w:suff w:val="nothing"/>
      <w:lvlText w:val="%1%2.%3.%4　"/>
      <w:lvlJc w:val="left"/>
      <w:pPr>
        <w:ind w:left="440" w:firstLine="0"/>
      </w:pPr>
      <w:rPr>
        <w:rFonts w:hint="eastAsia" w:ascii="黑体" w:hAnsi="Times New Roman" w:eastAsia="黑体"/>
        <w:b w:val="0"/>
        <w:i w:val="0"/>
        <w:sz w:val="21"/>
      </w:rPr>
    </w:lvl>
    <w:lvl w:ilvl="4" w:tentative="0">
      <w:start w:val="1"/>
      <w:numFmt w:val="decimal"/>
      <w:pStyle w:val="778"/>
      <w:suff w:val="nothing"/>
      <w:lvlText w:val="%1%2.%3.%4.%5　"/>
      <w:lvlJc w:val="left"/>
      <w:pPr>
        <w:ind w:left="0" w:firstLine="0"/>
      </w:pPr>
      <w:rPr>
        <w:rFonts w:hint="eastAsia" w:ascii="黑体" w:hAnsi="Times New Roman" w:eastAsia="黑体"/>
        <w:b w:val="0"/>
        <w:i w:val="0"/>
        <w:sz w:val="21"/>
      </w:rPr>
    </w:lvl>
    <w:lvl w:ilvl="5" w:tentative="0">
      <w:start w:val="1"/>
      <w:numFmt w:val="decimal"/>
      <w:pStyle w:val="813"/>
      <w:suff w:val="nothing"/>
      <w:lvlText w:val="%1%2.%3.%4.%5.%6　"/>
      <w:lvlJc w:val="left"/>
      <w:pPr>
        <w:ind w:left="0" w:firstLine="0"/>
      </w:pPr>
      <w:rPr>
        <w:rFonts w:hint="eastAsia" w:ascii="黑体" w:hAnsi="Times New Roman" w:eastAsia="黑体"/>
        <w:b w:val="0"/>
        <w:i w:val="0"/>
        <w:sz w:val="21"/>
      </w:rPr>
    </w:lvl>
    <w:lvl w:ilvl="6" w:tentative="0">
      <w:start w:val="1"/>
      <w:numFmt w:val="decimal"/>
      <w:pStyle w:val="81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14"/>
    <w:multiLevelType w:val="multilevel"/>
    <w:tmpl w:val="00000014"/>
    <w:lvl w:ilvl="0" w:tentative="0">
      <w:start w:val="2"/>
      <w:numFmt w:val="lowerLetter"/>
      <w:pStyle w:val="14"/>
      <w:lvlText w:val="%1)"/>
      <w:lvlJc w:val="left"/>
      <w:pPr>
        <w:tabs>
          <w:tab w:val="left" w:pos="330"/>
        </w:tabs>
        <w:ind w:left="330" w:hanging="360"/>
      </w:pPr>
      <w:rPr>
        <w:rFonts w:hint="default"/>
      </w:rPr>
    </w:lvl>
    <w:lvl w:ilvl="1" w:tentative="0">
      <w:start w:val="1"/>
      <w:numFmt w:val="lowerLetter"/>
      <w:lvlText w:val="%2)"/>
      <w:lvlJc w:val="left"/>
      <w:pPr>
        <w:tabs>
          <w:tab w:val="left" w:pos="810"/>
        </w:tabs>
        <w:ind w:left="810" w:hanging="420"/>
      </w:pPr>
    </w:lvl>
    <w:lvl w:ilvl="2" w:tentative="0">
      <w:start w:val="1"/>
      <w:numFmt w:val="lowerRoman"/>
      <w:lvlText w:val="%3."/>
      <w:lvlJc w:val="right"/>
      <w:pPr>
        <w:tabs>
          <w:tab w:val="left" w:pos="1230"/>
        </w:tabs>
        <w:ind w:left="1230" w:hanging="420"/>
      </w:pPr>
    </w:lvl>
    <w:lvl w:ilvl="3" w:tentative="0">
      <w:start w:val="1"/>
      <w:numFmt w:val="decimal"/>
      <w:lvlText w:val="%4."/>
      <w:lvlJc w:val="left"/>
      <w:pPr>
        <w:tabs>
          <w:tab w:val="left" w:pos="1650"/>
        </w:tabs>
        <w:ind w:left="1650" w:hanging="420"/>
      </w:pPr>
    </w:lvl>
    <w:lvl w:ilvl="4" w:tentative="0">
      <w:start w:val="1"/>
      <w:numFmt w:val="lowerLetter"/>
      <w:lvlText w:val="%5)"/>
      <w:lvlJc w:val="left"/>
      <w:pPr>
        <w:tabs>
          <w:tab w:val="left" w:pos="2070"/>
        </w:tabs>
        <w:ind w:left="2070" w:hanging="420"/>
      </w:pPr>
    </w:lvl>
    <w:lvl w:ilvl="5" w:tentative="0">
      <w:start w:val="1"/>
      <w:numFmt w:val="lowerRoman"/>
      <w:lvlText w:val="%6."/>
      <w:lvlJc w:val="right"/>
      <w:pPr>
        <w:tabs>
          <w:tab w:val="left" w:pos="2490"/>
        </w:tabs>
        <w:ind w:left="2490" w:hanging="420"/>
      </w:pPr>
    </w:lvl>
    <w:lvl w:ilvl="6" w:tentative="0">
      <w:start w:val="1"/>
      <w:numFmt w:val="decimal"/>
      <w:lvlText w:val="%7."/>
      <w:lvlJc w:val="left"/>
      <w:pPr>
        <w:tabs>
          <w:tab w:val="left" w:pos="2910"/>
        </w:tabs>
        <w:ind w:left="2910" w:hanging="420"/>
      </w:pPr>
    </w:lvl>
    <w:lvl w:ilvl="7" w:tentative="0">
      <w:start w:val="1"/>
      <w:numFmt w:val="lowerLetter"/>
      <w:lvlText w:val="%8)"/>
      <w:lvlJc w:val="left"/>
      <w:pPr>
        <w:tabs>
          <w:tab w:val="left" w:pos="3330"/>
        </w:tabs>
        <w:ind w:left="3330" w:hanging="420"/>
      </w:pPr>
    </w:lvl>
    <w:lvl w:ilvl="8" w:tentative="0">
      <w:start w:val="1"/>
      <w:numFmt w:val="lowerRoman"/>
      <w:lvlText w:val="%9."/>
      <w:lvlJc w:val="right"/>
      <w:pPr>
        <w:tabs>
          <w:tab w:val="left" w:pos="3750"/>
        </w:tabs>
        <w:ind w:left="3750" w:hanging="420"/>
      </w:pPr>
    </w:lvl>
  </w:abstractNum>
  <w:abstractNum w:abstractNumId="5">
    <w:nsid w:val="00000016"/>
    <w:multiLevelType w:val="multilevel"/>
    <w:tmpl w:val="00000016"/>
    <w:lvl w:ilvl="0" w:tentative="0">
      <w:start w:val="1"/>
      <w:numFmt w:val="decimal"/>
      <w:pStyle w:val="32"/>
      <w:lvlText w:val="4.2.2.%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4DC1ADD"/>
    <w:multiLevelType w:val="multilevel"/>
    <w:tmpl w:val="04DC1ADD"/>
    <w:lvl w:ilvl="0" w:tentative="0">
      <w:start w:val="1"/>
      <w:numFmt w:val="decimal"/>
      <w:pStyle w:val="65"/>
      <w:lvlText w:val="（%1）"/>
      <w:lvlJc w:val="left"/>
      <w:pPr>
        <w:ind w:left="1620" w:hanging="108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7">
    <w:nsid w:val="097907D7"/>
    <w:multiLevelType w:val="multilevel"/>
    <w:tmpl w:val="097907D7"/>
    <w:lvl w:ilvl="0" w:tentative="0">
      <w:start w:val="1"/>
      <w:numFmt w:val="decimal"/>
      <w:pStyle w:val="1075"/>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1EF3BBC"/>
    <w:multiLevelType w:val="multilevel"/>
    <w:tmpl w:val="11EF3BBC"/>
    <w:lvl w:ilvl="0" w:tentative="0">
      <w:start w:val="1"/>
      <w:numFmt w:val="bullet"/>
      <w:pStyle w:val="530"/>
      <w:lvlText w:val="♦"/>
      <w:lvlJc w:val="left"/>
      <w:pPr>
        <w:tabs>
          <w:tab w:val="left" w:pos="814"/>
        </w:tabs>
        <w:ind w:left="794" w:hanging="340"/>
      </w:pPr>
      <w:rPr>
        <w:rFonts w:hint="default" w:ascii="Arial Narrow" w:hAnsi="Arial Narrow" w:eastAsia="宋体"/>
        <w:b w:val="0"/>
        <w:i w:val="0"/>
        <w:color w:val="000000"/>
        <w:spacing w:val="-2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236D44B6"/>
    <w:multiLevelType w:val="multilevel"/>
    <w:tmpl w:val="236D44B6"/>
    <w:lvl w:ilvl="0" w:tentative="0">
      <w:start w:val="1"/>
      <w:numFmt w:val="decimal"/>
      <w:pStyle w:val="1458"/>
      <w:lvlText w:val="1.%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D9F4B68"/>
    <w:multiLevelType w:val="multilevel"/>
    <w:tmpl w:val="3D9F4B68"/>
    <w:lvl w:ilvl="0" w:tentative="0">
      <w:start w:val="1"/>
      <w:numFmt w:val="japaneseCounting"/>
      <w:pStyle w:val="857"/>
      <w:lvlText w:val="（%1）"/>
      <w:lvlJc w:val="left"/>
      <w:pPr>
        <w:ind w:left="1425" w:hanging="720"/>
      </w:pPr>
      <w:rPr>
        <w:rFonts w:hint="default"/>
      </w:rPr>
    </w:lvl>
    <w:lvl w:ilvl="1" w:tentative="0">
      <w:start w:val="1"/>
      <w:numFmt w:val="lowerLetter"/>
      <w:lvlText w:val="%2)"/>
      <w:lvlJc w:val="left"/>
      <w:pPr>
        <w:ind w:left="1545" w:hanging="420"/>
      </w:pPr>
    </w:lvl>
    <w:lvl w:ilvl="2" w:tentative="0">
      <w:start w:val="1"/>
      <w:numFmt w:val="lowerRoman"/>
      <w:pStyle w:val="931"/>
      <w:lvlText w:val="%3."/>
      <w:lvlJc w:val="right"/>
      <w:pPr>
        <w:ind w:left="1965" w:hanging="420"/>
      </w:pPr>
    </w:lvl>
    <w:lvl w:ilvl="3" w:tentative="0">
      <w:start w:val="1"/>
      <w:numFmt w:val="decimal"/>
      <w:pStyle w:val="930"/>
      <w:lvlText w:val="%4."/>
      <w:lvlJc w:val="left"/>
      <w:pPr>
        <w:ind w:left="2385" w:hanging="420"/>
      </w:pPr>
    </w:lvl>
    <w:lvl w:ilvl="4" w:tentative="0">
      <w:start w:val="1"/>
      <w:numFmt w:val="lowerLetter"/>
      <w:pStyle w:val="942"/>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abstractNum w:abstractNumId="11">
    <w:nsid w:val="48BF79CD"/>
    <w:multiLevelType w:val="multilevel"/>
    <w:tmpl w:val="48BF79CD"/>
    <w:lvl w:ilvl="0" w:tentative="0">
      <w:start w:val="1"/>
      <w:numFmt w:val="bullet"/>
      <w:pStyle w:val="455"/>
      <w:lvlText w:val=""/>
      <w:lvlJc w:val="left"/>
      <w:pPr>
        <w:ind w:left="880" w:hanging="420"/>
      </w:pPr>
      <w:rPr>
        <w:rFonts w:hint="default" w:ascii="Wingdings" w:hAnsi="Wingdings"/>
      </w:rPr>
    </w:lvl>
    <w:lvl w:ilvl="1" w:tentative="0">
      <w:start w:val="1"/>
      <w:numFmt w:val="bullet"/>
      <w:lvlText w:val=""/>
      <w:lvlJc w:val="left"/>
      <w:pPr>
        <w:ind w:left="1300" w:hanging="420"/>
      </w:pPr>
      <w:rPr>
        <w:rFonts w:hint="default" w:ascii="Wingdings" w:hAnsi="Wingdings"/>
      </w:rPr>
    </w:lvl>
    <w:lvl w:ilvl="2" w:tentative="0">
      <w:start w:val="1"/>
      <w:numFmt w:val="bullet"/>
      <w:lvlText w:val=""/>
      <w:lvlJc w:val="left"/>
      <w:pPr>
        <w:ind w:left="1720" w:hanging="420"/>
      </w:pPr>
      <w:rPr>
        <w:rFonts w:hint="default" w:ascii="Wingdings" w:hAnsi="Wingdings"/>
      </w:rPr>
    </w:lvl>
    <w:lvl w:ilvl="3" w:tentative="0">
      <w:start w:val="1"/>
      <w:numFmt w:val="bullet"/>
      <w:lvlText w:val=""/>
      <w:lvlJc w:val="left"/>
      <w:pPr>
        <w:ind w:left="2140" w:hanging="420"/>
      </w:pPr>
      <w:rPr>
        <w:rFonts w:hint="default" w:ascii="Wingdings" w:hAnsi="Wingdings"/>
      </w:rPr>
    </w:lvl>
    <w:lvl w:ilvl="4" w:tentative="0">
      <w:start w:val="1"/>
      <w:numFmt w:val="bullet"/>
      <w:lvlText w:val=""/>
      <w:lvlJc w:val="left"/>
      <w:pPr>
        <w:ind w:left="2560" w:hanging="420"/>
      </w:pPr>
      <w:rPr>
        <w:rFonts w:hint="default" w:ascii="Wingdings" w:hAnsi="Wingdings"/>
      </w:rPr>
    </w:lvl>
    <w:lvl w:ilvl="5" w:tentative="0">
      <w:start w:val="1"/>
      <w:numFmt w:val="bullet"/>
      <w:lvlText w:val=""/>
      <w:lvlJc w:val="left"/>
      <w:pPr>
        <w:ind w:left="2980" w:hanging="420"/>
      </w:pPr>
      <w:rPr>
        <w:rFonts w:hint="default" w:ascii="Wingdings" w:hAnsi="Wingdings"/>
      </w:rPr>
    </w:lvl>
    <w:lvl w:ilvl="6" w:tentative="0">
      <w:start w:val="1"/>
      <w:numFmt w:val="bullet"/>
      <w:lvlText w:val=""/>
      <w:lvlJc w:val="left"/>
      <w:pPr>
        <w:ind w:left="3400" w:hanging="420"/>
      </w:pPr>
      <w:rPr>
        <w:rFonts w:hint="default" w:ascii="Wingdings" w:hAnsi="Wingdings"/>
      </w:rPr>
    </w:lvl>
    <w:lvl w:ilvl="7" w:tentative="0">
      <w:start w:val="1"/>
      <w:numFmt w:val="bullet"/>
      <w:lvlText w:val=""/>
      <w:lvlJc w:val="left"/>
      <w:pPr>
        <w:ind w:left="3820" w:hanging="420"/>
      </w:pPr>
      <w:rPr>
        <w:rFonts w:hint="default" w:ascii="Wingdings" w:hAnsi="Wingdings"/>
      </w:rPr>
    </w:lvl>
    <w:lvl w:ilvl="8" w:tentative="0">
      <w:start w:val="1"/>
      <w:numFmt w:val="bullet"/>
      <w:lvlText w:val=""/>
      <w:lvlJc w:val="left"/>
      <w:pPr>
        <w:ind w:left="4240" w:hanging="420"/>
      </w:pPr>
      <w:rPr>
        <w:rFonts w:hint="default" w:ascii="Wingdings" w:hAnsi="Wingdings"/>
      </w:rPr>
    </w:lvl>
  </w:abstractNum>
  <w:abstractNum w:abstractNumId="12">
    <w:nsid w:val="4D975516"/>
    <w:multiLevelType w:val="multilevel"/>
    <w:tmpl w:val="4D975516"/>
    <w:lvl w:ilvl="0" w:tentative="0">
      <w:start w:val="1"/>
      <w:numFmt w:val="decimal"/>
      <w:pStyle w:val="1412"/>
      <w:suff w:val="space"/>
      <w:lvlText w:val="%1、"/>
      <w:lvlJc w:val="left"/>
      <w:pPr>
        <w:ind w:left="0" w:firstLine="480"/>
      </w:pPr>
      <w:rPr>
        <w:rFonts w:hint="eastAsia" w:ascii="Times New Roman" w:hAnsi="Times New Roman" w:eastAsia="楷体_GB2312" w:cs="Times New Roman"/>
        <w:b w:val="0"/>
        <w:sz w:val="21"/>
        <w:szCs w:val="21"/>
      </w:rPr>
    </w:lvl>
    <w:lvl w:ilvl="1" w:tentative="0">
      <w:start w:val="1"/>
      <w:numFmt w:val="lowerLetter"/>
      <w:pStyle w:val="1448"/>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591B2F8F"/>
    <w:multiLevelType w:val="multilevel"/>
    <w:tmpl w:val="591B2F8F"/>
    <w:lvl w:ilvl="0" w:tentative="0">
      <w:start w:val="1"/>
      <w:numFmt w:val="decimal"/>
      <w:pStyle w:val="950"/>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4">
    <w:nsid w:val="63852405"/>
    <w:multiLevelType w:val="multilevel"/>
    <w:tmpl w:val="63852405"/>
    <w:lvl w:ilvl="0" w:tentative="0">
      <w:start w:val="1"/>
      <w:numFmt w:val="decimal"/>
      <w:pStyle w:val="1145"/>
      <w:lvlText w:val="%1."/>
      <w:lvlJc w:val="left"/>
      <w:pPr>
        <w:tabs>
          <w:tab w:val="left" w:pos="779"/>
        </w:tabs>
        <w:ind w:left="779" w:hanging="420"/>
      </w:p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5">
    <w:nsid w:val="646260FA"/>
    <w:multiLevelType w:val="multilevel"/>
    <w:tmpl w:val="646260FA"/>
    <w:lvl w:ilvl="0" w:tentative="0">
      <w:start w:val="1"/>
      <w:numFmt w:val="decimal"/>
      <w:pStyle w:val="949"/>
      <w:suff w:val="nothing"/>
      <w:lvlText w:val="表%1　"/>
      <w:lvlJc w:val="left"/>
      <w:pPr>
        <w:ind w:left="3465"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6C608D9"/>
    <w:multiLevelType w:val="multilevel"/>
    <w:tmpl w:val="66C608D9"/>
    <w:lvl w:ilvl="0" w:tentative="0">
      <w:start w:val="1"/>
      <w:numFmt w:val="japaneseCounting"/>
      <w:pStyle w:val="24"/>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pStyle w:val="745"/>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6B100095"/>
    <w:multiLevelType w:val="multilevel"/>
    <w:tmpl w:val="6B100095"/>
    <w:lvl w:ilvl="0" w:tentative="0">
      <w:start w:val="1"/>
      <w:numFmt w:val="japaneseCounting"/>
      <w:pStyle w:val="1056"/>
      <w:lvlText w:val="第%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E1737A5"/>
    <w:multiLevelType w:val="multilevel"/>
    <w:tmpl w:val="6E1737A5"/>
    <w:lvl w:ilvl="0" w:tentative="0">
      <w:start w:val="1"/>
      <w:numFmt w:val="decimal"/>
      <w:pStyle w:val="978"/>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984"/>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9">
    <w:nsid w:val="7315D3BD"/>
    <w:multiLevelType w:val="singleLevel"/>
    <w:tmpl w:val="7315D3BD"/>
    <w:lvl w:ilvl="0" w:tentative="0">
      <w:start w:val="1"/>
      <w:numFmt w:val="decimal"/>
      <w:suff w:val="space"/>
      <w:lvlText w:val="%1."/>
      <w:lvlJc w:val="left"/>
    </w:lvl>
  </w:abstractNum>
  <w:abstractNum w:abstractNumId="20">
    <w:nsid w:val="79B61A40"/>
    <w:multiLevelType w:val="multilevel"/>
    <w:tmpl w:val="79B61A40"/>
    <w:lvl w:ilvl="0" w:tentative="0">
      <w:start w:val="1"/>
      <w:numFmt w:val="japaneseCounting"/>
      <w:pStyle w:val="731"/>
      <w:lvlText w:val="第%1章"/>
      <w:lvlJc w:val="left"/>
      <w:pPr>
        <w:ind w:left="1035" w:hanging="10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909"/>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16"/>
  </w:num>
  <w:num w:numId="4">
    <w:abstractNumId w:val="5"/>
  </w:num>
  <w:num w:numId="5">
    <w:abstractNumId w:val="6"/>
  </w:num>
  <w:num w:numId="6">
    <w:abstractNumId w:val="11"/>
  </w:num>
  <w:num w:numId="7">
    <w:abstractNumId w:val="8"/>
  </w:num>
  <w:num w:numId="8">
    <w:abstractNumId w:val="0"/>
  </w:num>
  <w:num w:numId="9">
    <w:abstractNumId w:val="3"/>
  </w:num>
  <w:num w:numId="10">
    <w:abstractNumId w:val="20"/>
  </w:num>
  <w:num w:numId="11">
    <w:abstractNumId w:val="2"/>
  </w:num>
  <w:num w:numId="12">
    <w:abstractNumId w:val="10"/>
  </w:num>
  <w:num w:numId="13">
    <w:abstractNumId w:val="15"/>
  </w:num>
  <w:num w:numId="14">
    <w:abstractNumId w:val="13"/>
  </w:num>
  <w:num w:numId="15">
    <w:abstractNumId w:val="18"/>
  </w:num>
  <w:num w:numId="16">
    <w:abstractNumId w:val="17"/>
  </w:num>
  <w:num w:numId="17">
    <w:abstractNumId w:val="7"/>
  </w:num>
  <w:num w:numId="18">
    <w:abstractNumId w:val="14"/>
  </w:num>
  <w:num w:numId="19">
    <w:abstractNumId w:val="12"/>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ZTJmY2IzMjEyYjAwYTJjNTdmMDRiNTBhZjNmYzAifQ=="/>
  </w:docVars>
  <w:rsids>
    <w:rsidRoot w:val="001D0D46"/>
    <w:rsid w:val="000003D5"/>
    <w:rsid w:val="00004EF8"/>
    <w:rsid w:val="0000603F"/>
    <w:rsid w:val="00007040"/>
    <w:rsid w:val="00007386"/>
    <w:rsid w:val="00007FAA"/>
    <w:rsid w:val="00010EE3"/>
    <w:rsid w:val="000117D0"/>
    <w:rsid w:val="00012C95"/>
    <w:rsid w:val="00012DF4"/>
    <w:rsid w:val="00014169"/>
    <w:rsid w:val="00014E7D"/>
    <w:rsid w:val="00015DDD"/>
    <w:rsid w:val="000177C7"/>
    <w:rsid w:val="00020EF8"/>
    <w:rsid w:val="00020F07"/>
    <w:rsid w:val="00023B63"/>
    <w:rsid w:val="000254F6"/>
    <w:rsid w:val="000259BA"/>
    <w:rsid w:val="00025D70"/>
    <w:rsid w:val="00025E15"/>
    <w:rsid w:val="00025F05"/>
    <w:rsid w:val="00030A89"/>
    <w:rsid w:val="00035C64"/>
    <w:rsid w:val="000360BE"/>
    <w:rsid w:val="00036276"/>
    <w:rsid w:val="000371D2"/>
    <w:rsid w:val="000373A5"/>
    <w:rsid w:val="000373D1"/>
    <w:rsid w:val="00037460"/>
    <w:rsid w:val="00045167"/>
    <w:rsid w:val="00046E03"/>
    <w:rsid w:val="00050230"/>
    <w:rsid w:val="0005129D"/>
    <w:rsid w:val="00052A3E"/>
    <w:rsid w:val="000546BB"/>
    <w:rsid w:val="00055AFA"/>
    <w:rsid w:val="000565ED"/>
    <w:rsid w:val="00056D96"/>
    <w:rsid w:val="00057A64"/>
    <w:rsid w:val="00057AED"/>
    <w:rsid w:val="00060C25"/>
    <w:rsid w:val="000620EC"/>
    <w:rsid w:val="00063798"/>
    <w:rsid w:val="000654FB"/>
    <w:rsid w:val="000658E7"/>
    <w:rsid w:val="0006793D"/>
    <w:rsid w:val="00067FFB"/>
    <w:rsid w:val="00070547"/>
    <w:rsid w:val="000710B0"/>
    <w:rsid w:val="00071BCC"/>
    <w:rsid w:val="000731B6"/>
    <w:rsid w:val="000739E3"/>
    <w:rsid w:val="0007568D"/>
    <w:rsid w:val="00077266"/>
    <w:rsid w:val="000804B1"/>
    <w:rsid w:val="00080759"/>
    <w:rsid w:val="000810EB"/>
    <w:rsid w:val="00082387"/>
    <w:rsid w:val="00082888"/>
    <w:rsid w:val="0008427D"/>
    <w:rsid w:val="000846AB"/>
    <w:rsid w:val="00085A0F"/>
    <w:rsid w:val="00086A98"/>
    <w:rsid w:val="00086E23"/>
    <w:rsid w:val="00087783"/>
    <w:rsid w:val="000878A9"/>
    <w:rsid w:val="00091824"/>
    <w:rsid w:val="000939B8"/>
    <w:rsid w:val="000942E6"/>
    <w:rsid w:val="00095133"/>
    <w:rsid w:val="000960B4"/>
    <w:rsid w:val="00096DA8"/>
    <w:rsid w:val="00097175"/>
    <w:rsid w:val="000A0110"/>
    <w:rsid w:val="000A0366"/>
    <w:rsid w:val="000A110D"/>
    <w:rsid w:val="000A1504"/>
    <w:rsid w:val="000A1D1A"/>
    <w:rsid w:val="000A3FD5"/>
    <w:rsid w:val="000A49D4"/>
    <w:rsid w:val="000A535D"/>
    <w:rsid w:val="000A5C0C"/>
    <w:rsid w:val="000A6136"/>
    <w:rsid w:val="000A6382"/>
    <w:rsid w:val="000A7002"/>
    <w:rsid w:val="000B1E31"/>
    <w:rsid w:val="000B1F02"/>
    <w:rsid w:val="000B23B9"/>
    <w:rsid w:val="000B361B"/>
    <w:rsid w:val="000B3E97"/>
    <w:rsid w:val="000B46B5"/>
    <w:rsid w:val="000B5F7E"/>
    <w:rsid w:val="000B636E"/>
    <w:rsid w:val="000B7ACB"/>
    <w:rsid w:val="000C094E"/>
    <w:rsid w:val="000C1F55"/>
    <w:rsid w:val="000C3232"/>
    <w:rsid w:val="000C60FC"/>
    <w:rsid w:val="000C6A16"/>
    <w:rsid w:val="000D0342"/>
    <w:rsid w:val="000D0CBB"/>
    <w:rsid w:val="000D1326"/>
    <w:rsid w:val="000D1BDE"/>
    <w:rsid w:val="000D2573"/>
    <w:rsid w:val="000D6BA7"/>
    <w:rsid w:val="000D71E6"/>
    <w:rsid w:val="000D7B5B"/>
    <w:rsid w:val="000E0F1B"/>
    <w:rsid w:val="000E192F"/>
    <w:rsid w:val="000E1EEC"/>
    <w:rsid w:val="000E2231"/>
    <w:rsid w:val="000E2E58"/>
    <w:rsid w:val="000E3653"/>
    <w:rsid w:val="000E3F55"/>
    <w:rsid w:val="000E46A9"/>
    <w:rsid w:val="000E6F7C"/>
    <w:rsid w:val="000E74A6"/>
    <w:rsid w:val="000F1112"/>
    <w:rsid w:val="000F31E8"/>
    <w:rsid w:val="000F3C63"/>
    <w:rsid w:val="000F498A"/>
    <w:rsid w:val="000F54C0"/>
    <w:rsid w:val="000F59AB"/>
    <w:rsid w:val="000F6932"/>
    <w:rsid w:val="000F765E"/>
    <w:rsid w:val="000F7BD7"/>
    <w:rsid w:val="00101099"/>
    <w:rsid w:val="00101EE7"/>
    <w:rsid w:val="00102A40"/>
    <w:rsid w:val="00105D2C"/>
    <w:rsid w:val="00106094"/>
    <w:rsid w:val="00106193"/>
    <w:rsid w:val="00106C4D"/>
    <w:rsid w:val="0010774E"/>
    <w:rsid w:val="0010775B"/>
    <w:rsid w:val="00110262"/>
    <w:rsid w:val="00111B8A"/>
    <w:rsid w:val="001132D6"/>
    <w:rsid w:val="00113BF8"/>
    <w:rsid w:val="00113EDB"/>
    <w:rsid w:val="00113EF9"/>
    <w:rsid w:val="00116D2B"/>
    <w:rsid w:val="00117BE6"/>
    <w:rsid w:val="00120EC0"/>
    <w:rsid w:val="00121B7A"/>
    <w:rsid w:val="00121F35"/>
    <w:rsid w:val="00122128"/>
    <w:rsid w:val="00123376"/>
    <w:rsid w:val="0012340B"/>
    <w:rsid w:val="00125289"/>
    <w:rsid w:val="00125DD1"/>
    <w:rsid w:val="001266C9"/>
    <w:rsid w:val="001273E9"/>
    <w:rsid w:val="00127C36"/>
    <w:rsid w:val="00127F81"/>
    <w:rsid w:val="00130446"/>
    <w:rsid w:val="00130821"/>
    <w:rsid w:val="00130E1C"/>
    <w:rsid w:val="00131467"/>
    <w:rsid w:val="001318ED"/>
    <w:rsid w:val="00131EAD"/>
    <w:rsid w:val="00132D11"/>
    <w:rsid w:val="00135101"/>
    <w:rsid w:val="001361D6"/>
    <w:rsid w:val="001365BD"/>
    <w:rsid w:val="00141127"/>
    <w:rsid w:val="00141AB8"/>
    <w:rsid w:val="00142916"/>
    <w:rsid w:val="00143DCF"/>
    <w:rsid w:val="001459F4"/>
    <w:rsid w:val="00145B8D"/>
    <w:rsid w:val="00146470"/>
    <w:rsid w:val="00146D03"/>
    <w:rsid w:val="001476F9"/>
    <w:rsid w:val="00151E7F"/>
    <w:rsid w:val="001523F9"/>
    <w:rsid w:val="00155024"/>
    <w:rsid w:val="00157152"/>
    <w:rsid w:val="001604EE"/>
    <w:rsid w:val="0016143E"/>
    <w:rsid w:val="00162B72"/>
    <w:rsid w:val="00162E08"/>
    <w:rsid w:val="00163E49"/>
    <w:rsid w:val="0016401D"/>
    <w:rsid w:val="001645BB"/>
    <w:rsid w:val="00164EC6"/>
    <w:rsid w:val="00165064"/>
    <w:rsid w:val="00167AA0"/>
    <w:rsid w:val="001714A7"/>
    <w:rsid w:val="00171F22"/>
    <w:rsid w:val="0017224E"/>
    <w:rsid w:val="00175983"/>
    <w:rsid w:val="00176258"/>
    <w:rsid w:val="00176A47"/>
    <w:rsid w:val="00177316"/>
    <w:rsid w:val="00177495"/>
    <w:rsid w:val="00177E7A"/>
    <w:rsid w:val="00183964"/>
    <w:rsid w:val="00185818"/>
    <w:rsid w:val="00191043"/>
    <w:rsid w:val="001938DD"/>
    <w:rsid w:val="00193C67"/>
    <w:rsid w:val="00194616"/>
    <w:rsid w:val="001946D3"/>
    <w:rsid w:val="00194C54"/>
    <w:rsid w:val="00195A98"/>
    <w:rsid w:val="00196195"/>
    <w:rsid w:val="00196A4E"/>
    <w:rsid w:val="001975BF"/>
    <w:rsid w:val="001A14D9"/>
    <w:rsid w:val="001A1C9D"/>
    <w:rsid w:val="001A22EF"/>
    <w:rsid w:val="001A2C5C"/>
    <w:rsid w:val="001A2EE7"/>
    <w:rsid w:val="001A3449"/>
    <w:rsid w:val="001A41C8"/>
    <w:rsid w:val="001A49B7"/>
    <w:rsid w:val="001B287A"/>
    <w:rsid w:val="001B3CA2"/>
    <w:rsid w:val="001B5003"/>
    <w:rsid w:val="001B506D"/>
    <w:rsid w:val="001B50EA"/>
    <w:rsid w:val="001B7091"/>
    <w:rsid w:val="001B76CF"/>
    <w:rsid w:val="001C0267"/>
    <w:rsid w:val="001C0908"/>
    <w:rsid w:val="001C0BC9"/>
    <w:rsid w:val="001C2891"/>
    <w:rsid w:val="001C2DED"/>
    <w:rsid w:val="001C4EE7"/>
    <w:rsid w:val="001C7086"/>
    <w:rsid w:val="001D0D46"/>
    <w:rsid w:val="001D17E0"/>
    <w:rsid w:val="001D4328"/>
    <w:rsid w:val="001D436E"/>
    <w:rsid w:val="001D5182"/>
    <w:rsid w:val="001D5C6F"/>
    <w:rsid w:val="001D7400"/>
    <w:rsid w:val="001E011A"/>
    <w:rsid w:val="001E1E99"/>
    <w:rsid w:val="001E35E9"/>
    <w:rsid w:val="001E72E8"/>
    <w:rsid w:val="001E775C"/>
    <w:rsid w:val="001F01F0"/>
    <w:rsid w:val="001F1C7B"/>
    <w:rsid w:val="001F235E"/>
    <w:rsid w:val="001F3DD8"/>
    <w:rsid w:val="001F4D3C"/>
    <w:rsid w:val="001F7BD0"/>
    <w:rsid w:val="0020019F"/>
    <w:rsid w:val="002008B1"/>
    <w:rsid w:val="00201B8F"/>
    <w:rsid w:val="00202A69"/>
    <w:rsid w:val="00202E29"/>
    <w:rsid w:val="00203114"/>
    <w:rsid w:val="0020368E"/>
    <w:rsid w:val="002039A9"/>
    <w:rsid w:val="00203E6C"/>
    <w:rsid w:val="0020513B"/>
    <w:rsid w:val="0020609D"/>
    <w:rsid w:val="002060F9"/>
    <w:rsid w:val="00206C8E"/>
    <w:rsid w:val="002104F7"/>
    <w:rsid w:val="002119CC"/>
    <w:rsid w:val="00212709"/>
    <w:rsid w:val="002143EC"/>
    <w:rsid w:val="002147CE"/>
    <w:rsid w:val="002158DF"/>
    <w:rsid w:val="002164AB"/>
    <w:rsid w:val="002165FD"/>
    <w:rsid w:val="0022004A"/>
    <w:rsid w:val="00220AE6"/>
    <w:rsid w:val="00221E26"/>
    <w:rsid w:val="0022358E"/>
    <w:rsid w:val="00224669"/>
    <w:rsid w:val="00224CDD"/>
    <w:rsid w:val="00224DEC"/>
    <w:rsid w:val="002261DF"/>
    <w:rsid w:val="002278A1"/>
    <w:rsid w:val="00230094"/>
    <w:rsid w:val="00231693"/>
    <w:rsid w:val="0023313A"/>
    <w:rsid w:val="00233776"/>
    <w:rsid w:val="002340B4"/>
    <w:rsid w:val="00235E79"/>
    <w:rsid w:val="00236BF5"/>
    <w:rsid w:val="00236EDB"/>
    <w:rsid w:val="00241F03"/>
    <w:rsid w:val="00242883"/>
    <w:rsid w:val="00242C98"/>
    <w:rsid w:val="002432A2"/>
    <w:rsid w:val="002432AB"/>
    <w:rsid w:val="00245E0B"/>
    <w:rsid w:val="00245FB4"/>
    <w:rsid w:val="00251013"/>
    <w:rsid w:val="002534F5"/>
    <w:rsid w:val="00253B55"/>
    <w:rsid w:val="00254E58"/>
    <w:rsid w:val="002565E8"/>
    <w:rsid w:val="00257293"/>
    <w:rsid w:val="002644CC"/>
    <w:rsid w:val="00264C9E"/>
    <w:rsid w:val="00265213"/>
    <w:rsid w:val="00266303"/>
    <w:rsid w:val="00266F6D"/>
    <w:rsid w:val="00273490"/>
    <w:rsid w:val="002736A7"/>
    <w:rsid w:val="00273BA3"/>
    <w:rsid w:val="00275443"/>
    <w:rsid w:val="002758B4"/>
    <w:rsid w:val="00276612"/>
    <w:rsid w:val="002805ED"/>
    <w:rsid w:val="00281A2B"/>
    <w:rsid w:val="002822B7"/>
    <w:rsid w:val="00286620"/>
    <w:rsid w:val="00290ACD"/>
    <w:rsid w:val="00290C16"/>
    <w:rsid w:val="00291631"/>
    <w:rsid w:val="00292C3D"/>
    <w:rsid w:val="002936FE"/>
    <w:rsid w:val="00294544"/>
    <w:rsid w:val="00296E50"/>
    <w:rsid w:val="0029729D"/>
    <w:rsid w:val="00297CE2"/>
    <w:rsid w:val="002A04AA"/>
    <w:rsid w:val="002A1F59"/>
    <w:rsid w:val="002A2A91"/>
    <w:rsid w:val="002A3016"/>
    <w:rsid w:val="002A3AC2"/>
    <w:rsid w:val="002A40EE"/>
    <w:rsid w:val="002A78A5"/>
    <w:rsid w:val="002B1C0E"/>
    <w:rsid w:val="002B1C5C"/>
    <w:rsid w:val="002B2BA3"/>
    <w:rsid w:val="002B3240"/>
    <w:rsid w:val="002B3463"/>
    <w:rsid w:val="002B4FDB"/>
    <w:rsid w:val="002B63AE"/>
    <w:rsid w:val="002B77DE"/>
    <w:rsid w:val="002B78A1"/>
    <w:rsid w:val="002B7F55"/>
    <w:rsid w:val="002C1EB2"/>
    <w:rsid w:val="002C2587"/>
    <w:rsid w:val="002C2A07"/>
    <w:rsid w:val="002C3BEC"/>
    <w:rsid w:val="002C4E94"/>
    <w:rsid w:val="002C4F2E"/>
    <w:rsid w:val="002C5682"/>
    <w:rsid w:val="002C5C24"/>
    <w:rsid w:val="002D081E"/>
    <w:rsid w:val="002D11F6"/>
    <w:rsid w:val="002D1E00"/>
    <w:rsid w:val="002D37A5"/>
    <w:rsid w:val="002D4045"/>
    <w:rsid w:val="002D4E98"/>
    <w:rsid w:val="002D60B6"/>
    <w:rsid w:val="002D777E"/>
    <w:rsid w:val="002D7D88"/>
    <w:rsid w:val="002E0260"/>
    <w:rsid w:val="002E103C"/>
    <w:rsid w:val="002E135A"/>
    <w:rsid w:val="002E1D7C"/>
    <w:rsid w:val="002E2EC4"/>
    <w:rsid w:val="002E58A6"/>
    <w:rsid w:val="002E7895"/>
    <w:rsid w:val="002E7CB5"/>
    <w:rsid w:val="002F065B"/>
    <w:rsid w:val="002F1394"/>
    <w:rsid w:val="002F188B"/>
    <w:rsid w:val="002F1FEC"/>
    <w:rsid w:val="002F22B0"/>
    <w:rsid w:val="002F5A8D"/>
    <w:rsid w:val="002F7351"/>
    <w:rsid w:val="00301A21"/>
    <w:rsid w:val="0030418A"/>
    <w:rsid w:val="0030479D"/>
    <w:rsid w:val="00305117"/>
    <w:rsid w:val="00305DAC"/>
    <w:rsid w:val="00306DDA"/>
    <w:rsid w:val="00310D74"/>
    <w:rsid w:val="00312821"/>
    <w:rsid w:val="00313193"/>
    <w:rsid w:val="00313786"/>
    <w:rsid w:val="00315444"/>
    <w:rsid w:val="00316D38"/>
    <w:rsid w:val="00317A3E"/>
    <w:rsid w:val="00324CD1"/>
    <w:rsid w:val="003252D2"/>
    <w:rsid w:val="00327166"/>
    <w:rsid w:val="003273E3"/>
    <w:rsid w:val="00327671"/>
    <w:rsid w:val="00330AA0"/>
    <w:rsid w:val="003312AA"/>
    <w:rsid w:val="003316FF"/>
    <w:rsid w:val="00332ABB"/>
    <w:rsid w:val="003331E0"/>
    <w:rsid w:val="0033411C"/>
    <w:rsid w:val="00334B3E"/>
    <w:rsid w:val="00335A73"/>
    <w:rsid w:val="00335E0B"/>
    <w:rsid w:val="003373B2"/>
    <w:rsid w:val="00337929"/>
    <w:rsid w:val="00340369"/>
    <w:rsid w:val="00341ADD"/>
    <w:rsid w:val="0034268B"/>
    <w:rsid w:val="00342CA1"/>
    <w:rsid w:val="00343674"/>
    <w:rsid w:val="00343E23"/>
    <w:rsid w:val="00343E76"/>
    <w:rsid w:val="003453BC"/>
    <w:rsid w:val="00346D1F"/>
    <w:rsid w:val="00350112"/>
    <w:rsid w:val="003515A4"/>
    <w:rsid w:val="00352A80"/>
    <w:rsid w:val="00354231"/>
    <w:rsid w:val="00355A4A"/>
    <w:rsid w:val="003566D6"/>
    <w:rsid w:val="00357A26"/>
    <w:rsid w:val="00361C85"/>
    <w:rsid w:val="00362ABA"/>
    <w:rsid w:val="003648B5"/>
    <w:rsid w:val="00365C35"/>
    <w:rsid w:val="00366CC4"/>
    <w:rsid w:val="00367723"/>
    <w:rsid w:val="0036783A"/>
    <w:rsid w:val="0037150A"/>
    <w:rsid w:val="003718E0"/>
    <w:rsid w:val="00372112"/>
    <w:rsid w:val="00374103"/>
    <w:rsid w:val="00374848"/>
    <w:rsid w:val="00374A1D"/>
    <w:rsid w:val="00375665"/>
    <w:rsid w:val="00381541"/>
    <w:rsid w:val="00382FBE"/>
    <w:rsid w:val="00385292"/>
    <w:rsid w:val="00385B6A"/>
    <w:rsid w:val="00386186"/>
    <w:rsid w:val="00386722"/>
    <w:rsid w:val="0039073F"/>
    <w:rsid w:val="00390DA7"/>
    <w:rsid w:val="003920AF"/>
    <w:rsid w:val="00392E38"/>
    <w:rsid w:val="00393536"/>
    <w:rsid w:val="00393833"/>
    <w:rsid w:val="00393A16"/>
    <w:rsid w:val="0039475A"/>
    <w:rsid w:val="00396031"/>
    <w:rsid w:val="003969C3"/>
    <w:rsid w:val="00397AF4"/>
    <w:rsid w:val="003A0105"/>
    <w:rsid w:val="003A0BC4"/>
    <w:rsid w:val="003A129E"/>
    <w:rsid w:val="003A256C"/>
    <w:rsid w:val="003A31A1"/>
    <w:rsid w:val="003A31A5"/>
    <w:rsid w:val="003A513B"/>
    <w:rsid w:val="003A57EE"/>
    <w:rsid w:val="003A6DE8"/>
    <w:rsid w:val="003B03AF"/>
    <w:rsid w:val="003B23A0"/>
    <w:rsid w:val="003B43FC"/>
    <w:rsid w:val="003B45D3"/>
    <w:rsid w:val="003B57B3"/>
    <w:rsid w:val="003B64C5"/>
    <w:rsid w:val="003B7CD3"/>
    <w:rsid w:val="003C03D7"/>
    <w:rsid w:val="003C1C33"/>
    <w:rsid w:val="003C3A2A"/>
    <w:rsid w:val="003C3B69"/>
    <w:rsid w:val="003C421A"/>
    <w:rsid w:val="003C6ADB"/>
    <w:rsid w:val="003D14FE"/>
    <w:rsid w:val="003D2BDD"/>
    <w:rsid w:val="003D3228"/>
    <w:rsid w:val="003D33CE"/>
    <w:rsid w:val="003D3900"/>
    <w:rsid w:val="003D41ED"/>
    <w:rsid w:val="003D52C5"/>
    <w:rsid w:val="003D60FA"/>
    <w:rsid w:val="003D65D2"/>
    <w:rsid w:val="003D7E81"/>
    <w:rsid w:val="003D7F6F"/>
    <w:rsid w:val="003E3F84"/>
    <w:rsid w:val="003E43ED"/>
    <w:rsid w:val="003E446C"/>
    <w:rsid w:val="003E545C"/>
    <w:rsid w:val="003E5A19"/>
    <w:rsid w:val="003E60CC"/>
    <w:rsid w:val="003E6150"/>
    <w:rsid w:val="003E641E"/>
    <w:rsid w:val="003E67B8"/>
    <w:rsid w:val="003E73FE"/>
    <w:rsid w:val="003F14FB"/>
    <w:rsid w:val="003F154E"/>
    <w:rsid w:val="003F4E28"/>
    <w:rsid w:val="004004E0"/>
    <w:rsid w:val="004008D5"/>
    <w:rsid w:val="004021F9"/>
    <w:rsid w:val="0040236B"/>
    <w:rsid w:val="004027E4"/>
    <w:rsid w:val="00402B74"/>
    <w:rsid w:val="00402FD8"/>
    <w:rsid w:val="00402FDE"/>
    <w:rsid w:val="0040419B"/>
    <w:rsid w:val="00404B6E"/>
    <w:rsid w:val="00405D53"/>
    <w:rsid w:val="00405FE7"/>
    <w:rsid w:val="0040616D"/>
    <w:rsid w:val="00406EB3"/>
    <w:rsid w:val="00407450"/>
    <w:rsid w:val="00407F6A"/>
    <w:rsid w:val="00413A13"/>
    <w:rsid w:val="00415FE1"/>
    <w:rsid w:val="00420468"/>
    <w:rsid w:val="0042083E"/>
    <w:rsid w:val="00422B59"/>
    <w:rsid w:val="00422CCA"/>
    <w:rsid w:val="004252B2"/>
    <w:rsid w:val="00425D33"/>
    <w:rsid w:val="004269DF"/>
    <w:rsid w:val="00430358"/>
    <w:rsid w:val="00431F5D"/>
    <w:rsid w:val="00432FC3"/>
    <w:rsid w:val="004335B8"/>
    <w:rsid w:val="00433F56"/>
    <w:rsid w:val="0043400E"/>
    <w:rsid w:val="00435129"/>
    <w:rsid w:val="004410AC"/>
    <w:rsid w:val="004412CE"/>
    <w:rsid w:val="004417EF"/>
    <w:rsid w:val="0044225F"/>
    <w:rsid w:val="004435CF"/>
    <w:rsid w:val="0044441A"/>
    <w:rsid w:val="00445169"/>
    <w:rsid w:val="00446BF0"/>
    <w:rsid w:val="00451479"/>
    <w:rsid w:val="00452033"/>
    <w:rsid w:val="00452783"/>
    <w:rsid w:val="00452FC2"/>
    <w:rsid w:val="004536C0"/>
    <w:rsid w:val="00454A94"/>
    <w:rsid w:val="00457FAA"/>
    <w:rsid w:val="0046121C"/>
    <w:rsid w:val="00461667"/>
    <w:rsid w:val="00461AF1"/>
    <w:rsid w:val="00464898"/>
    <w:rsid w:val="00465552"/>
    <w:rsid w:val="00465B44"/>
    <w:rsid w:val="00467DA8"/>
    <w:rsid w:val="00470BBE"/>
    <w:rsid w:val="00473FFC"/>
    <w:rsid w:val="00474523"/>
    <w:rsid w:val="0047555E"/>
    <w:rsid w:val="0047735A"/>
    <w:rsid w:val="004775BA"/>
    <w:rsid w:val="00477810"/>
    <w:rsid w:val="00477D8E"/>
    <w:rsid w:val="00482808"/>
    <w:rsid w:val="00484847"/>
    <w:rsid w:val="004853E1"/>
    <w:rsid w:val="00486FB3"/>
    <w:rsid w:val="00487A30"/>
    <w:rsid w:val="00491589"/>
    <w:rsid w:val="00491DD6"/>
    <w:rsid w:val="00492D0F"/>
    <w:rsid w:val="004939D7"/>
    <w:rsid w:val="004954B6"/>
    <w:rsid w:val="00497400"/>
    <w:rsid w:val="004975A1"/>
    <w:rsid w:val="004A0A6E"/>
    <w:rsid w:val="004A0E1B"/>
    <w:rsid w:val="004A3FC0"/>
    <w:rsid w:val="004A46B1"/>
    <w:rsid w:val="004A4F28"/>
    <w:rsid w:val="004A5523"/>
    <w:rsid w:val="004A5784"/>
    <w:rsid w:val="004B074E"/>
    <w:rsid w:val="004B08C8"/>
    <w:rsid w:val="004B2777"/>
    <w:rsid w:val="004B3665"/>
    <w:rsid w:val="004B3859"/>
    <w:rsid w:val="004B3944"/>
    <w:rsid w:val="004B4385"/>
    <w:rsid w:val="004B4C97"/>
    <w:rsid w:val="004B5CE3"/>
    <w:rsid w:val="004C1D77"/>
    <w:rsid w:val="004C32AB"/>
    <w:rsid w:val="004C457A"/>
    <w:rsid w:val="004C649A"/>
    <w:rsid w:val="004D0B3E"/>
    <w:rsid w:val="004D25F5"/>
    <w:rsid w:val="004D3035"/>
    <w:rsid w:val="004D45B8"/>
    <w:rsid w:val="004D57B9"/>
    <w:rsid w:val="004D5E4B"/>
    <w:rsid w:val="004D6161"/>
    <w:rsid w:val="004D7692"/>
    <w:rsid w:val="004D7A5E"/>
    <w:rsid w:val="004E048E"/>
    <w:rsid w:val="004E0D5C"/>
    <w:rsid w:val="004E0DE7"/>
    <w:rsid w:val="004E290C"/>
    <w:rsid w:val="004E30FC"/>
    <w:rsid w:val="004E3E9A"/>
    <w:rsid w:val="004E50EC"/>
    <w:rsid w:val="004E7680"/>
    <w:rsid w:val="004E7822"/>
    <w:rsid w:val="004E7D23"/>
    <w:rsid w:val="004F00AD"/>
    <w:rsid w:val="004F3413"/>
    <w:rsid w:val="004F5012"/>
    <w:rsid w:val="004F585E"/>
    <w:rsid w:val="004F6716"/>
    <w:rsid w:val="005011E3"/>
    <w:rsid w:val="00502657"/>
    <w:rsid w:val="00503DE1"/>
    <w:rsid w:val="00506A63"/>
    <w:rsid w:val="005075BB"/>
    <w:rsid w:val="00510442"/>
    <w:rsid w:val="005111E5"/>
    <w:rsid w:val="00511409"/>
    <w:rsid w:val="00513A80"/>
    <w:rsid w:val="00514820"/>
    <w:rsid w:val="00514E97"/>
    <w:rsid w:val="00514E98"/>
    <w:rsid w:val="00515320"/>
    <w:rsid w:val="00515A58"/>
    <w:rsid w:val="005162AA"/>
    <w:rsid w:val="00516466"/>
    <w:rsid w:val="00516827"/>
    <w:rsid w:val="00520F4C"/>
    <w:rsid w:val="00521E7C"/>
    <w:rsid w:val="00521F36"/>
    <w:rsid w:val="00523717"/>
    <w:rsid w:val="00524179"/>
    <w:rsid w:val="0052597B"/>
    <w:rsid w:val="00525BB5"/>
    <w:rsid w:val="005276C4"/>
    <w:rsid w:val="00530ED4"/>
    <w:rsid w:val="005319B6"/>
    <w:rsid w:val="00533D21"/>
    <w:rsid w:val="00535148"/>
    <w:rsid w:val="00535486"/>
    <w:rsid w:val="00535B2F"/>
    <w:rsid w:val="0053656B"/>
    <w:rsid w:val="00536C6B"/>
    <w:rsid w:val="005376B7"/>
    <w:rsid w:val="0053793D"/>
    <w:rsid w:val="00537D41"/>
    <w:rsid w:val="005401BE"/>
    <w:rsid w:val="0054140A"/>
    <w:rsid w:val="0054149A"/>
    <w:rsid w:val="00543141"/>
    <w:rsid w:val="00544000"/>
    <w:rsid w:val="005445A5"/>
    <w:rsid w:val="00544B28"/>
    <w:rsid w:val="005501EB"/>
    <w:rsid w:val="005544F8"/>
    <w:rsid w:val="0055453F"/>
    <w:rsid w:val="005565DF"/>
    <w:rsid w:val="00556E1F"/>
    <w:rsid w:val="005572D1"/>
    <w:rsid w:val="005575FB"/>
    <w:rsid w:val="00560205"/>
    <w:rsid w:val="005606F5"/>
    <w:rsid w:val="00560EC6"/>
    <w:rsid w:val="00561B97"/>
    <w:rsid w:val="00561D3A"/>
    <w:rsid w:val="005627A8"/>
    <w:rsid w:val="00562F35"/>
    <w:rsid w:val="00564BAB"/>
    <w:rsid w:val="00565080"/>
    <w:rsid w:val="0056670E"/>
    <w:rsid w:val="00566E5A"/>
    <w:rsid w:val="00567C9F"/>
    <w:rsid w:val="0057006F"/>
    <w:rsid w:val="00572245"/>
    <w:rsid w:val="00574A77"/>
    <w:rsid w:val="00574F7D"/>
    <w:rsid w:val="00576833"/>
    <w:rsid w:val="005779D2"/>
    <w:rsid w:val="00581159"/>
    <w:rsid w:val="0058177F"/>
    <w:rsid w:val="0058356E"/>
    <w:rsid w:val="00583CDF"/>
    <w:rsid w:val="00585BC5"/>
    <w:rsid w:val="00586257"/>
    <w:rsid w:val="00586BAF"/>
    <w:rsid w:val="00587B9A"/>
    <w:rsid w:val="0059160D"/>
    <w:rsid w:val="00592C7D"/>
    <w:rsid w:val="00592F1E"/>
    <w:rsid w:val="00594D39"/>
    <w:rsid w:val="00595649"/>
    <w:rsid w:val="00595C45"/>
    <w:rsid w:val="005960EE"/>
    <w:rsid w:val="00596FA0"/>
    <w:rsid w:val="00597343"/>
    <w:rsid w:val="00597835"/>
    <w:rsid w:val="005A09F3"/>
    <w:rsid w:val="005A104A"/>
    <w:rsid w:val="005A12E3"/>
    <w:rsid w:val="005A192B"/>
    <w:rsid w:val="005A4997"/>
    <w:rsid w:val="005A60DE"/>
    <w:rsid w:val="005A724A"/>
    <w:rsid w:val="005A7264"/>
    <w:rsid w:val="005B080E"/>
    <w:rsid w:val="005B0953"/>
    <w:rsid w:val="005B33DD"/>
    <w:rsid w:val="005B5FFB"/>
    <w:rsid w:val="005B760C"/>
    <w:rsid w:val="005B7ED3"/>
    <w:rsid w:val="005C03B5"/>
    <w:rsid w:val="005C0CAF"/>
    <w:rsid w:val="005C0D0D"/>
    <w:rsid w:val="005C1B6C"/>
    <w:rsid w:val="005C1D9E"/>
    <w:rsid w:val="005C3002"/>
    <w:rsid w:val="005C4EF0"/>
    <w:rsid w:val="005C5C75"/>
    <w:rsid w:val="005D5BBA"/>
    <w:rsid w:val="005D6D90"/>
    <w:rsid w:val="005D7FCF"/>
    <w:rsid w:val="005E1460"/>
    <w:rsid w:val="005E1DF8"/>
    <w:rsid w:val="005E26AB"/>
    <w:rsid w:val="005E2ED3"/>
    <w:rsid w:val="005E464F"/>
    <w:rsid w:val="005E7452"/>
    <w:rsid w:val="005E7545"/>
    <w:rsid w:val="005E77E0"/>
    <w:rsid w:val="005F4ECC"/>
    <w:rsid w:val="005F4FFC"/>
    <w:rsid w:val="005F5681"/>
    <w:rsid w:val="005F64BF"/>
    <w:rsid w:val="00600869"/>
    <w:rsid w:val="00600E6E"/>
    <w:rsid w:val="00601DF2"/>
    <w:rsid w:val="006066CF"/>
    <w:rsid w:val="00611624"/>
    <w:rsid w:val="006118D7"/>
    <w:rsid w:val="00612543"/>
    <w:rsid w:val="0061275C"/>
    <w:rsid w:val="00614A4A"/>
    <w:rsid w:val="006153DE"/>
    <w:rsid w:val="00622220"/>
    <w:rsid w:val="0062293C"/>
    <w:rsid w:val="00622BA0"/>
    <w:rsid w:val="00623C03"/>
    <w:rsid w:val="00623D83"/>
    <w:rsid w:val="00624E0B"/>
    <w:rsid w:val="00624F14"/>
    <w:rsid w:val="0062543B"/>
    <w:rsid w:val="006276C1"/>
    <w:rsid w:val="00627C88"/>
    <w:rsid w:val="00627C89"/>
    <w:rsid w:val="00627EC7"/>
    <w:rsid w:val="006302BF"/>
    <w:rsid w:val="0063147B"/>
    <w:rsid w:val="006320FE"/>
    <w:rsid w:val="006330EB"/>
    <w:rsid w:val="00636A09"/>
    <w:rsid w:val="00637F6A"/>
    <w:rsid w:val="006401A9"/>
    <w:rsid w:val="00642631"/>
    <w:rsid w:val="006433D9"/>
    <w:rsid w:val="006449B0"/>
    <w:rsid w:val="006461DC"/>
    <w:rsid w:val="0064675D"/>
    <w:rsid w:val="00646CB1"/>
    <w:rsid w:val="00651E30"/>
    <w:rsid w:val="00651EE7"/>
    <w:rsid w:val="006545F5"/>
    <w:rsid w:val="006550C2"/>
    <w:rsid w:val="00655C69"/>
    <w:rsid w:val="00656144"/>
    <w:rsid w:val="0065672F"/>
    <w:rsid w:val="0066090B"/>
    <w:rsid w:val="00662FC5"/>
    <w:rsid w:val="006642A9"/>
    <w:rsid w:val="006645C0"/>
    <w:rsid w:val="00665597"/>
    <w:rsid w:val="0066583F"/>
    <w:rsid w:val="006670D5"/>
    <w:rsid w:val="00667260"/>
    <w:rsid w:val="0067035C"/>
    <w:rsid w:val="006713E0"/>
    <w:rsid w:val="00671E77"/>
    <w:rsid w:val="0067267D"/>
    <w:rsid w:val="00672CA5"/>
    <w:rsid w:val="00673609"/>
    <w:rsid w:val="00677E5F"/>
    <w:rsid w:val="00680F07"/>
    <w:rsid w:val="00681400"/>
    <w:rsid w:val="0068202B"/>
    <w:rsid w:val="00682106"/>
    <w:rsid w:val="00682875"/>
    <w:rsid w:val="00682E85"/>
    <w:rsid w:val="0068301A"/>
    <w:rsid w:val="00683B8F"/>
    <w:rsid w:val="00684C81"/>
    <w:rsid w:val="00687579"/>
    <w:rsid w:val="00691215"/>
    <w:rsid w:val="006947BA"/>
    <w:rsid w:val="006947E6"/>
    <w:rsid w:val="00694964"/>
    <w:rsid w:val="00695439"/>
    <w:rsid w:val="00695B9F"/>
    <w:rsid w:val="006972C5"/>
    <w:rsid w:val="006A082E"/>
    <w:rsid w:val="006A2D62"/>
    <w:rsid w:val="006A416F"/>
    <w:rsid w:val="006A42DD"/>
    <w:rsid w:val="006A5EE8"/>
    <w:rsid w:val="006A6528"/>
    <w:rsid w:val="006A687D"/>
    <w:rsid w:val="006A6F45"/>
    <w:rsid w:val="006B0578"/>
    <w:rsid w:val="006B07A1"/>
    <w:rsid w:val="006B119C"/>
    <w:rsid w:val="006B1D65"/>
    <w:rsid w:val="006B322A"/>
    <w:rsid w:val="006B3244"/>
    <w:rsid w:val="006B4552"/>
    <w:rsid w:val="006B4695"/>
    <w:rsid w:val="006B4E78"/>
    <w:rsid w:val="006C056F"/>
    <w:rsid w:val="006C3C03"/>
    <w:rsid w:val="006C6CA4"/>
    <w:rsid w:val="006C6F0E"/>
    <w:rsid w:val="006C7336"/>
    <w:rsid w:val="006C74F8"/>
    <w:rsid w:val="006C7897"/>
    <w:rsid w:val="006D1800"/>
    <w:rsid w:val="006D1B00"/>
    <w:rsid w:val="006D23BC"/>
    <w:rsid w:val="006D270D"/>
    <w:rsid w:val="006D4783"/>
    <w:rsid w:val="006D5A48"/>
    <w:rsid w:val="006D62AD"/>
    <w:rsid w:val="006D789B"/>
    <w:rsid w:val="006D7F53"/>
    <w:rsid w:val="006E018E"/>
    <w:rsid w:val="006E4AC6"/>
    <w:rsid w:val="006E5489"/>
    <w:rsid w:val="006E73CA"/>
    <w:rsid w:val="006F0051"/>
    <w:rsid w:val="006F07E9"/>
    <w:rsid w:val="006F1400"/>
    <w:rsid w:val="006F1912"/>
    <w:rsid w:val="006F2EDF"/>
    <w:rsid w:val="006F3877"/>
    <w:rsid w:val="006F6278"/>
    <w:rsid w:val="00701890"/>
    <w:rsid w:val="00702F32"/>
    <w:rsid w:val="00704C20"/>
    <w:rsid w:val="00705B08"/>
    <w:rsid w:val="00705C71"/>
    <w:rsid w:val="007065A8"/>
    <w:rsid w:val="00707035"/>
    <w:rsid w:val="0070731F"/>
    <w:rsid w:val="007108D1"/>
    <w:rsid w:val="00710B71"/>
    <w:rsid w:val="007152E7"/>
    <w:rsid w:val="00720097"/>
    <w:rsid w:val="00721175"/>
    <w:rsid w:val="00721265"/>
    <w:rsid w:val="00722D7D"/>
    <w:rsid w:val="0072304F"/>
    <w:rsid w:val="00723AA7"/>
    <w:rsid w:val="00723DF6"/>
    <w:rsid w:val="0072405F"/>
    <w:rsid w:val="007249AC"/>
    <w:rsid w:val="007253E9"/>
    <w:rsid w:val="00727194"/>
    <w:rsid w:val="007321D8"/>
    <w:rsid w:val="00732ECF"/>
    <w:rsid w:val="00732FD9"/>
    <w:rsid w:val="007331BF"/>
    <w:rsid w:val="00740FBE"/>
    <w:rsid w:val="00741479"/>
    <w:rsid w:val="0074248D"/>
    <w:rsid w:val="00742A42"/>
    <w:rsid w:val="00743AB7"/>
    <w:rsid w:val="0074418B"/>
    <w:rsid w:val="00744C5F"/>
    <w:rsid w:val="00747E58"/>
    <w:rsid w:val="007521DC"/>
    <w:rsid w:val="0075293D"/>
    <w:rsid w:val="00753BED"/>
    <w:rsid w:val="007542E2"/>
    <w:rsid w:val="00761FF5"/>
    <w:rsid w:val="007629C4"/>
    <w:rsid w:val="007631D3"/>
    <w:rsid w:val="007643DC"/>
    <w:rsid w:val="007654CA"/>
    <w:rsid w:val="0076562C"/>
    <w:rsid w:val="00765C23"/>
    <w:rsid w:val="00765F6D"/>
    <w:rsid w:val="00766070"/>
    <w:rsid w:val="00766DB0"/>
    <w:rsid w:val="00770A5E"/>
    <w:rsid w:val="00771C98"/>
    <w:rsid w:val="0077264E"/>
    <w:rsid w:val="007727AE"/>
    <w:rsid w:val="00773FDF"/>
    <w:rsid w:val="00774255"/>
    <w:rsid w:val="00775A2A"/>
    <w:rsid w:val="00775EA5"/>
    <w:rsid w:val="00775FDF"/>
    <w:rsid w:val="00777F30"/>
    <w:rsid w:val="007804A8"/>
    <w:rsid w:val="007835FC"/>
    <w:rsid w:val="0078472A"/>
    <w:rsid w:val="0078493D"/>
    <w:rsid w:val="007860BB"/>
    <w:rsid w:val="00786695"/>
    <w:rsid w:val="00786D0A"/>
    <w:rsid w:val="00786D93"/>
    <w:rsid w:val="00786FDE"/>
    <w:rsid w:val="00787025"/>
    <w:rsid w:val="00787679"/>
    <w:rsid w:val="00790BE2"/>
    <w:rsid w:val="007917E0"/>
    <w:rsid w:val="00791A56"/>
    <w:rsid w:val="00791BC8"/>
    <w:rsid w:val="00791C0B"/>
    <w:rsid w:val="0079215B"/>
    <w:rsid w:val="00792BA9"/>
    <w:rsid w:val="00793897"/>
    <w:rsid w:val="007938FA"/>
    <w:rsid w:val="007943FF"/>
    <w:rsid w:val="00794D8B"/>
    <w:rsid w:val="00795AF7"/>
    <w:rsid w:val="00796836"/>
    <w:rsid w:val="00797583"/>
    <w:rsid w:val="0079771A"/>
    <w:rsid w:val="007A1D32"/>
    <w:rsid w:val="007A261A"/>
    <w:rsid w:val="007A37C6"/>
    <w:rsid w:val="007A4F2B"/>
    <w:rsid w:val="007A5E7A"/>
    <w:rsid w:val="007A7907"/>
    <w:rsid w:val="007B0171"/>
    <w:rsid w:val="007B1E5A"/>
    <w:rsid w:val="007B244F"/>
    <w:rsid w:val="007B28D2"/>
    <w:rsid w:val="007B319B"/>
    <w:rsid w:val="007B3502"/>
    <w:rsid w:val="007B415B"/>
    <w:rsid w:val="007B59FE"/>
    <w:rsid w:val="007B5F22"/>
    <w:rsid w:val="007B7C63"/>
    <w:rsid w:val="007C2EF6"/>
    <w:rsid w:val="007C4EAB"/>
    <w:rsid w:val="007D0271"/>
    <w:rsid w:val="007D0F3C"/>
    <w:rsid w:val="007D1560"/>
    <w:rsid w:val="007D2367"/>
    <w:rsid w:val="007D3809"/>
    <w:rsid w:val="007E1D5D"/>
    <w:rsid w:val="007E23D8"/>
    <w:rsid w:val="007E32DC"/>
    <w:rsid w:val="007E419C"/>
    <w:rsid w:val="007E7E29"/>
    <w:rsid w:val="007F1E7C"/>
    <w:rsid w:val="007F263D"/>
    <w:rsid w:val="007F2BD2"/>
    <w:rsid w:val="007F30D3"/>
    <w:rsid w:val="007F50CB"/>
    <w:rsid w:val="007F73A0"/>
    <w:rsid w:val="00800C2E"/>
    <w:rsid w:val="008014DE"/>
    <w:rsid w:val="0080216F"/>
    <w:rsid w:val="008034A7"/>
    <w:rsid w:val="00803751"/>
    <w:rsid w:val="00803F11"/>
    <w:rsid w:val="00804452"/>
    <w:rsid w:val="0080475D"/>
    <w:rsid w:val="00804FD2"/>
    <w:rsid w:val="008055FD"/>
    <w:rsid w:val="008058D6"/>
    <w:rsid w:val="0080602C"/>
    <w:rsid w:val="0080709A"/>
    <w:rsid w:val="00807E0B"/>
    <w:rsid w:val="00807E28"/>
    <w:rsid w:val="00810750"/>
    <w:rsid w:val="0081113F"/>
    <w:rsid w:val="00812A3E"/>
    <w:rsid w:val="00812D53"/>
    <w:rsid w:val="00813888"/>
    <w:rsid w:val="0081523B"/>
    <w:rsid w:val="00815AEA"/>
    <w:rsid w:val="00817CDB"/>
    <w:rsid w:val="0082138A"/>
    <w:rsid w:val="00822A80"/>
    <w:rsid w:val="00823AED"/>
    <w:rsid w:val="00825A75"/>
    <w:rsid w:val="00825B75"/>
    <w:rsid w:val="008263DF"/>
    <w:rsid w:val="00832218"/>
    <w:rsid w:val="0083242F"/>
    <w:rsid w:val="00833022"/>
    <w:rsid w:val="00833EB8"/>
    <w:rsid w:val="008342ED"/>
    <w:rsid w:val="00834710"/>
    <w:rsid w:val="00835626"/>
    <w:rsid w:val="00835AF1"/>
    <w:rsid w:val="00837796"/>
    <w:rsid w:val="00837EE9"/>
    <w:rsid w:val="00840BEC"/>
    <w:rsid w:val="00840D69"/>
    <w:rsid w:val="00842516"/>
    <w:rsid w:val="00843FDD"/>
    <w:rsid w:val="008446D5"/>
    <w:rsid w:val="00844E44"/>
    <w:rsid w:val="00845367"/>
    <w:rsid w:val="008466D5"/>
    <w:rsid w:val="00846700"/>
    <w:rsid w:val="00851974"/>
    <w:rsid w:val="00851C06"/>
    <w:rsid w:val="008549DB"/>
    <w:rsid w:val="00855BF6"/>
    <w:rsid w:val="00855EF4"/>
    <w:rsid w:val="00857E0D"/>
    <w:rsid w:val="008616F4"/>
    <w:rsid w:val="0086247C"/>
    <w:rsid w:val="00862714"/>
    <w:rsid w:val="00862758"/>
    <w:rsid w:val="008634DE"/>
    <w:rsid w:val="00864111"/>
    <w:rsid w:val="0086445F"/>
    <w:rsid w:val="00864B29"/>
    <w:rsid w:val="00865D36"/>
    <w:rsid w:val="0086714E"/>
    <w:rsid w:val="00872324"/>
    <w:rsid w:val="00875812"/>
    <w:rsid w:val="00876404"/>
    <w:rsid w:val="00877E5A"/>
    <w:rsid w:val="00880596"/>
    <w:rsid w:val="0088061F"/>
    <w:rsid w:val="00880D21"/>
    <w:rsid w:val="00882C06"/>
    <w:rsid w:val="0088416E"/>
    <w:rsid w:val="00885730"/>
    <w:rsid w:val="00886F7B"/>
    <w:rsid w:val="008870B8"/>
    <w:rsid w:val="00887C72"/>
    <w:rsid w:val="00890C72"/>
    <w:rsid w:val="00890EB1"/>
    <w:rsid w:val="00891983"/>
    <w:rsid w:val="00893766"/>
    <w:rsid w:val="0089378B"/>
    <w:rsid w:val="0089464E"/>
    <w:rsid w:val="00895A6C"/>
    <w:rsid w:val="008965BC"/>
    <w:rsid w:val="00897BD3"/>
    <w:rsid w:val="00897F67"/>
    <w:rsid w:val="008A12C3"/>
    <w:rsid w:val="008A1F69"/>
    <w:rsid w:val="008A2DD1"/>
    <w:rsid w:val="008A3ED6"/>
    <w:rsid w:val="008A46EB"/>
    <w:rsid w:val="008A4A7C"/>
    <w:rsid w:val="008A65AB"/>
    <w:rsid w:val="008A6605"/>
    <w:rsid w:val="008A7AF8"/>
    <w:rsid w:val="008A7C85"/>
    <w:rsid w:val="008B10FA"/>
    <w:rsid w:val="008B3D56"/>
    <w:rsid w:val="008B4110"/>
    <w:rsid w:val="008B4939"/>
    <w:rsid w:val="008B622D"/>
    <w:rsid w:val="008B676D"/>
    <w:rsid w:val="008B7220"/>
    <w:rsid w:val="008B74A0"/>
    <w:rsid w:val="008C3505"/>
    <w:rsid w:val="008C5BCF"/>
    <w:rsid w:val="008C6B9C"/>
    <w:rsid w:val="008C7749"/>
    <w:rsid w:val="008D0412"/>
    <w:rsid w:val="008D0660"/>
    <w:rsid w:val="008D099F"/>
    <w:rsid w:val="008D17BE"/>
    <w:rsid w:val="008D1F50"/>
    <w:rsid w:val="008D1FC5"/>
    <w:rsid w:val="008D25FF"/>
    <w:rsid w:val="008D27F7"/>
    <w:rsid w:val="008D2C65"/>
    <w:rsid w:val="008D62E2"/>
    <w:rsid w:val="008D6631"/>
    <w:rsid w:val="008D67BD"/>
    <w:rsid w:val="008E14D2"/>
    <w:rsid w:val="008E2518"/>
    <w:rsid w:val="008E2E21"/>
    <w:rsid w:val="008E344A"/>
    <w:rsid w:val="008E3BBC"/>
    <w:rsid w:val="008E59A0"/>
    <w:rsid w:val="008E6C4B"/>
    <w:rsid w:val="008F01BA"/>
    <w:rsid w:val="008F0B49"/>
    <w:rsid w:val="008F19C5"/>
    <w:rsid w:val="008F1C98"/>
    <w:rsid w:val="008F2F77"/>
    <w:rsid w:val="008F319C"/>
    <w:rsid w:val="008F373E"/>
    <w:rsid w:val="008F6492"/>
    <w:rsid w:val="008F6A5F"/>
    <w:rsid w:val="008F7434"/>
    <w:rsid w:val="008F7793"/>
    <w:rsid w:val="00900DD9"/>
    <w:rsid w:val="00901108"/>
    <w:rsid w:val="00902BEC"/>
    <w:rsid w:val="00903A80"/>
    <w:rsid w:val="00904629"/>
    <w:rsid w:val="0090494A"/>
    <w:rsid w:val="00905375"/>
    <w:rsid w:val="00906C1E"/>
    <w:rsid w:val="0091606D"/>
    <w:rsid w:val="00917447"/>
    <w:rsid w:val="00917983"/>
    <w:rsid w:val="00921122"/>
    <w:rsid w:val="00922FEE"/>
    <w:rsid w:val="00924CB0"/>
    <w:rsid w:val="00924E63"/>
    <w:rsid w:val="00926068"/>
    <w:rsid w:val="009269D8"/>
    <w:rsid w:val="00926C73"/>
    <w:rsid w:val="00927AEB"/>
    <w:rsid w:val="00930E50"/>
    <w:rsid w:val="009311AB"/>
    <w:rsid w:val="00931758"/>
    <w:rsid w:val="00933290"/>
    <w:rsid w:val="00933994"/>
    <w:rsid w:val="00933CB6"/>
    <w:rsid w:val="0093522A"/>
    <w:rsid w:val="009352A5"/>
    <w:rsid w:val="009357A8"/>
    <w:rsid w:val="0093610C"/>
    <w:rsid w:val="009409D7"/>
    <w:rsid w:val="00940A76"/>
    <w:rsid w:val="00942B5C"/>
    <w:rsid w:val="009440B3"/>
    <w:rsid w:val="009442DD"/>
    <w:rsid w:val="00946304"/>
    <w:rsid w:val="00947A0A"/>
    <w:rsid w:val="00947B08"/>
    <w:rsid w:val="009505BB"/>
    <w:rsid w:val="009528DD"/>
    <w:rsid w:val="00952F4C"/>
    <w:rsid w:val="00953F8E"/>
    <w:rsid w:val="009540C5"/>
    <w:rsid w:val="009544E7"/>
    <w:rsid w:val="0095564D"/>
    <w:rsid w:val="0095617E"/>
    <w:rsid w:val="009569D7"/>
    <w:rsid w:val="009579D8"/>
    <w:rsid w:val="0096097A"/>
    <w:rsid w:val="00960BD4"/>
    <w:rsid w:val="00962E53"/>
    <w:rsid w:val="0096310A"/>
    <w:rsid w:val="009635C2"/>
    <w:rsid w:val="009640C3"/>
    <w:rsid w:val="00964AC7"/>
    <w:rsid w:val="00965271"/>
    <w:rsid w:val="00965724"/>
    <w:rsid w:val="00967899"/>
    <w:rsid w:val="00967AF5"/>
    <w:rsid w:val="0097366F"/>
    <w:rsid w:val="009744A2"/>
    <w:rsid w:val="00974915"/>
    <w:rsid w:val="009810AD"/>
    <w:rsid w:val="009811E8"/>
    <w:rsid w:val="00981958"/>
    <w:rsid w:val="00981B30"/>
    <w:rsid w:val="00982881"/>
    <w:rsid w:val="00982C66"/>
    <w:rsid w:val="0098376B"/>
    <w:rsid w:val="0098406D"/>
    <w:rsid w:val="00984F71"/>
    <w:rsid w:val="009854AB"/>
    <w:rsid w:val="00986B88"/>
    <w:rsid w:val="00991675"/>
    <w:rsid w:val="00991C51"/>
    <w:rsid w:val="00995978"/>
    <w:rsid w:val="00995AA5"/>
    <w:rsid w:val="00995B5B"/>
    <w:rsid w:val="00995F74"/>
    <w:rsid w:val="009968F2"/>
    <w:rsid w:val="00996DB4"/>
    <w:rsid w:val="009A0E6C"/>
    <w:rsid w:val="009A2B3A"/>
    <w:rsid w:val="009A4262"/>
    <w:rsid w:val="009A5F8B"/>
    <w:rsid w:val="009A608A"/>
    <w:rsid w:val="009A636C"/>
    <w:rsid w:val="009A7529"/>
    <w:rsid w:val="009B1AF8"/>
    <w:rsid w:val="009B26E7"/>
    <w:rsid w:val="009B3333"/>
    <w:rsid w:val="009B4894"/>
    <w:rsid w:val="009B588B"/>
    <w:rsid w:val="009B63F6"/>
    <w:rsid w:val="009B6832"/>
    <w:rsid w:val="009C0218"/>
    <w:rsid w:val="009C1B11"/>
    <w:rsid w:val="009C2E40"/>
    <w:rsid w:val="009C3368"/>
    <w:rsid w:val="009C6EC1"/>
    <w:rsid w:val="009D174A"/>
    <w:rsid w:val="009D1D7F"/>
    <w:rsid w:val="009D3E08"/>
    <w:rsid w:val="009D52C2"/>
    <w:rsid w:val="009D6D14"/>
    <w:rsid w:val="009E0397"/>
    <w:rsid w:val="009E0E12"/>
    <w:rsid w:val="009E1234"/>
    <w:rsid w:val="009E1B3D"/>
    <w:rsid w:val="009E2056"/>
    <w:rsid w:val="009E2648"/>
    <w:rsid w:val="009E33E3"/>
    <w:rsid w:val="009E3CE8"/>
    <w:rsid w:val="009E54BC"/>
    <w:rsid w:val="009E75E6"/>
    <w:rsid w:val="009F1ABF"/>
    <w:rsid w:val="009F4CB6"/>
    <w:rsid w:val="009F7277"/>
    <w:rsid w:val="00A00C81"/>
    <w:rsid w:val="00A020AA"/>
    <w:rsid w:val="00A05C93"/>
    <w:rsid w:val="00A0708E"/>
    <w:rsid w:val="00A073B3"/>
    <w:rsid w:val="00A10C16"/>
    <w:rsid w:val="00A12A2B"/>
    <w:rsid w:val="00A13829"/>
    <w:rsid w:val="00A1572E"/>
    <w:rsid w:val="00A15978"/>
    <w:rsid w:val="00A15EC5"/>
    <w:rsid w:val="00A161EA"/>
    <w:rsid w:val="00A174B5"/>
    <w:rsid w:val="00A2037E"/>
    <w:rsid w:val="00A21C40"/>
    <w:rsid w:val="00A22C8E"/>
    <w:rsid w:val="00A2371C"/>
    <w:rsid w:val="00A23B89"/>
    <w:rsid w:val="00A25822"/>
    <w:rsid w:val="00A26C8C"/>
    <w:rsid w:val="00A338B1"/>
    <w:rsid w:val="00A33CD2"/>
    <w:rsid w:val="00A36486"/>
    <w:rsid w:val="00A40DBA"/>
    <w:rsid w:val="00A4308B"/>
    <w:rsid w:val="00A437D8"/>
    <w:rsid w:val="00A440E7"/>
    <w:rsid w:val="00A4448A"/>
    <w:rsid w:val="00A449F7"/>
    <w:rsid w:val="00A46889"/>
    <w:rsid w:val="00A468BF"/>
    <w:rsid w:val="00A50248"/>
    <w:rsid w:val="00A5053D"/>
    <w:rsid w:val="00A5481A"/>
    <w:rsid w:val="00A55517"/>
    <w:rsid w:val="00A557DC"/>
    <w:rsid w:val="00A55DF0"/>
    <w:rsid w:val="00A62138"/>
    <w:rsid w:val="00A62765"/>
    <w:rsid w:val="00A6285A"/>
    <w:rsid w:val="00A639DC"/>
    <w:rsid w:val="00A6533E"/>
    <w:rsid w:val="00A67096"/>
    <w:rsid w:val="00A6740C"/>
    <w:rsid w:val="00A6747A"/>
    <w:rsid w:val="00A6762C"/>
    <w:rsid w:val="00A70E8B"/>
    <w:rsid w:val="00A710F8"/>
    <w:rsid w:val="00A7118D"/>
    <w:rsid w:val="00A71748"/>
    <w:rsid w:val="00A7213E"/>
    <w:rsid w:val="00A72471"/>
    <w:rsid w:val="00A732D4"/>
    <w:rsid w:val="00A73B66"/>
    <w:rsid w:val="00A77F90"/>
    <w:rsid w:val="00A8077C"/>
    <w:rsid w:val="00A80D88"/>
    <w:rsid w:val="00A827D8"/>
    <w:rsid w:val="00A83D4B"/>
    <w:rsid w:val="00A8490C"/>
    <w:rsid w:val="00A85634"/>
    <w:rsid w:val="00A864BA"/>
    <w:rsid w:val="00A87054"/>
    <w:rsid w:val="00A87E1F"/>
    <w:rsid w:val="00A906CF"/>
    <w:rsid w:val="00A922CF"/>
    <w:rsid w:val="00A92427"/>
    <w:rsid w:val="00A92599"/>
    <w:rsid w:val="00A92D14"/>
    <w:rsid w:val="00A94699"/>
    <w:rsid w:val="00A962EC"/>
    <w:rsid w:val="00AA0D86"/>
    <w:rsid w:val="00AA2A5F"/>
    <w:rsid w:val="00AA2AAB"/>
    <w:rsid w:val="00AA2DCE"/>
    <w:rsid w:val="00AA3C4E"/>
    <w:rsid w:val="00AA3E51"/>
    <w:rsid w:val="00AA5059"/>
    <w:rsid w:val="00AA549D"/>
    <w:rsid w:val="00AA5731"/>
    <w:rsid w:val="00AA66F0"/>
    <w:rsid w:val="00AB136B"/>
    <w:rsid w:val="00AB1761"/>
    <w:rsid w:val="00AB200B"/>
    <w:rsid w:val="00AB20F3"/>
    <w:rsid w:val="00AB235A"/>
    <w:rsid w:val="00AB277B"/>
    <w:rsid w:val="00AB4244"/>
    <w:rsid w:val="00AB458A"/>
    <w:rsid w:val="00AB4D58"/>
    <w:rsid w:val="00AB5753"/>
    <w:rsid w:val="00AB683C"/>
    <w:rsid w:val="00AB7A9E"/>
    <w:rsid w:val="00AC6073"/>
    <w:rsid w:val="00AC6EED"/>
    <w:rsid w:val="00AD248D"/>
    <w:rsid w:val="00AD5C64"/>
    <w:rsid w:val="00AD5D68"/>
    <w:rsid w:val="00AD6911"/>
    <w:rsid w:val="00AD6BE7"/>
    <w:rsid w:val="00AD7332"/>
    <w:rsid w:val="00AD76EB"/>
    <w:rsid w:val="00AE0B40"/>
    <w:rsid w:val="00AE1A89"/>
    <w:rsid w:val="00AE3AC4"/>
    <w:rsid w:val="00AE4503"/>
    <w:rsid w:val="00AE63A5"/>
    <w:rsid w:val="00AE7110"/>
    <w:rsid w:val="00AE796C"/>
    <w:rsid w:val="00AE7A37"/>
    <w:rsid w:val="00AF175E"/>
    <w:rsid w:val="00AF2003"/>
    <w:rsid w:val="00AF29F9"/>
    <w:rsid w:val="00AF3C44"/>
    <w:rsid w:val="00AF401C"/>
    <w:rsid w:val="00AF40C9"/>
    <w:rsid w:val="00AF48BE"/>
    <w:rsid w:val="00AF4E37"/>
    <w:rsid w:val="00AF59B4"/>
    <w:rsid w:val="00AF5B4E"/>
    <w:rsid w:val="00AF77D0"/>
    <w:rsid w:val="00AF79B8"/>
    <w:rsid w:val="00AF7B12"/>
    <w:rsid w:val="00AF7D2E"/>
    <w:rsid w:val="00B008B2"/>
    <w:rsid w:val="00B0109F"/>
    <w:rsid w:val="00B01307"/>
    <w:rsid w:val="00B01B41"/>
    <w:rsid w:val="00B029AF"/>
    <w:rsid w:val="00B02C5C"/>
    <w:rsid w:val="00B06164"/>
    <w:rsid w:val="00B071EB"/>
    <w:rsid w:val="00B07480"/>
    <w:rsid w:val="00B10C07"/>
    <w:rsid w:val="00B1112E"/>
    <w:rsid w:val="00B11982"/>
    <w:rsid w:val="00B119F6"/>
    <w:rsid w:val="00B129B2"/>
    <w:rsid w:val="00B12D04"/>
    <w:rsid w:val="00B1358C"/>
    <w:rsid w:val="00B13FB0"/>
    <w:rsid w:val="00B142B8"/>
    <w:rsid w:val="00B1550F"/>
    <w:rsid w:val="00B16363"/>
    <w:rsid w:val="00B20124"/>
    <w:rsid w:val="00B20642"/>
    <w:rsid w:val="00B208E1"/>
    <w:rsid w:val="00B20C01"/>
    <w:rsid w:val="00B21CBC"/>
    <w:rsid w:val="00B21ED6"/>
    <w:rsid w:val="00B22B2D"/>
    <w:rsid w:val="00B2468E"/>
    <w:rsid w:val="00B26E01"/>
    <w:rsid w:val="00B26FDD"/>
    <w:rsid w:val="00B30A0F"/>
    <w:rsid w:val="00B3169D"/>
    <w:rsid w:val="00B33565"/>
    <w:rsid w:val="00B339C6"/>
    <w:rsid w:val="00B33B3F"/>
    <w:rsid w:val="00B40765"/>
    <w:rsid w:val="00B427CF"/>
    <w:rsid w:val="00B44003"/>
    <w:rsid w:val="00B44FE7"/>
    <w:rsid w:val="00B454E1"/>
    <w:rsid w:val="00B454FD"/>
    <w:rsid w:val="00B45545"/>
    <w:rsid w:val="00B5017F"/>
    <w:rsid w:val="00B50B11"/>
    <w:rsid w:val="00B51E7D"/>
    <w:rsid w:val="00B536CD"/>
    <w:rsid w:val="00B55724"/>
    <w:rsid w:val="00B56C4C"/>
    <w:rsid w:val="00B61DA8"/>
    <w:rsid w:val="00B62724"/>
    <w:rsid w:val="00B6423F"/>
    <w:rsid w:val="00B649B3"/>
    <w:rsid w:val="00B65A02"/>
    <w:rsid w:val="00B65CBA"/>
    <w:rsid w:val="00B67F8E"/>
    <w:rsid w:val="00B702E4"/>
    <w:rsid w:val="00B7134A"/>
    <w:rsid w:val="00B7226C"/>
    <w:rsid w:val="00B7308D"/>
    <w:rsid w:val="00B734A8"/>
    <w:rsid w:val="00B7564D"/>
    <w:rsid w:val="00B7572C"/>
    <w:rsid w:val="00B761F7"/>
    <w:rsid w:val="00B7747B"/>
    <w:rsid w:val="00B801DF"/>
    <w:rsid w:val="00B802FE"/>
    <w:rsid w:val="00B83206"/>
    <w:rsid w:val="00B843E0"/>
    <w:rsid w:val="00B84924"/>
    <w:rsid w:val="00B8699C"/>
    <w:rsid w:val="00B87074"/>
    <w:rsid w:val="00B877D1"/>
    <w:rsid w:val="00B87985"/>
    <w:rsid w:val="00B91A1C"/>
    <w:rsid w:val="00B93667"/>
    <w:rsid w:val="00B93CB4"/>
    <w:rsid w:val="00BA041B"/>
    <w:rsid w:val="00BA1544"/>
    <w:rsid w:val="00BA3C71"/>
    <w:rsid w:val="00BA3D88"/>
    <w:rsid w:val="00BA4945"/>
    <w:rsid w:val="00BA51B5"/>
    <w:rsid w:val="00BA5F96"/>
    <w:rsid w:val="00BA69A5"/>
    <w:rsid w:val="00BA7F3B"/>
    <w:rsid w:val="00BB08E4"/>
    <w:rsid w:val="00BB2F90"/>
    <w:rsid w:val="00BB3302"/>
    <w:rsid w:val="00BB399E"/>
    <w:rsid w:val="00BB4310"/>
    <w:rsid w:val="00BB4D93"/>
    <w:rsid w:val="00BB6A72"/>
    <w:rsid w:val="00BB72E7"/>
    <w:rsid w:val="00BC1F25"/>
    <w:rsid w:val="00BC222C"/>
    <w:rsid w:val="00BC258F"/>
    <w:rsid w:val="00BC2F68"/>
    <w:rsid w:val="00BC4B9E"/>
    <w:rsid w:val="00BC5142"/>
    <w:rsid w:val="00BC62E8"/>
    <w:rsid w:val="00BC6B29"/>
    <w:rsid w:val="00BC79A2"/>
    <w:rsid w:val="00BD2043"/>
    <w:rsid w:val="00BD2888"/>
    <w:rsid w:val="00BD2981"/>
    <w:rsid w:val="00BD33BC"/>
    <w:rsid w:val="00BD4757"/>
    <w:rsid w:val="00BD4ECA"/>
    <w:rsid w:val="00BD55B1"/>
    <w:rsid w:val="00BD7DE8"/>
    <w:rsid w:val="00BE0044"/>
    <w:rsid w:val="00BE025E"/>
    <w:rsid w:val="00BE0C4F"/>
    <w:rsid w:val="00BE1566"/>
    <w:rsid w:val="00BE21E4"/>
    <w:rsid w:val="00BE2434"/>
    <w:rsid w:val="00BE46BD"/>
    <w:rsid w:val="00BE7A4F"/>
    <w:rsid w:val="00BF126B"/>
    <w:rsid w:val="00BF196E"/>
    <w:rsid w:val="00BF4FD4"/>
    <w:rsid w:val="00BF5DA8"/>
    <w:rsid w:val="00BF6BF5"/>
    <w:rsid w:val="00BF6E12"/>
    <w:rsid w:val="00BF760F"/>
    <w:rsid w:val="00BF78CF"/>
    <w:rsid w:val="00BF7A8F"/>
    <w:rsid w:val="00BF7DA2"/>
    <w:rsid w:val="00C00521"/>
    <w:rsid w:val="00C02789"/>
    <w:rsid w:val="00C02C59"/>
    <w:rsid w:val="00C03A2A"/>
    <w:rsid w:val="00C0446F"/>
    <w:rsid w:val="00C0498B"/>
    <w:rsid w:val="00C05EB6"/>
    <w:rsid w:val="00C05F69"/>
    <w:rsid w:val="00C10EE8"/>
    <w:rsid w:val="00C11107"/>
    <w:rsid w:val="00C132AE"/>
    <w:rsid w:val="00C14BC7"/>
    <w:rsid w:val="00C159C9"/>
    <w:rsid w:val="00C22C2B"/>
    <w:rsid w:val="00C25EC3"/>
    <w:rsid w:val="00C2748C"/>
    <w:rsid w:val="00C30E2C"/>
    <w:rsid w:val="00C31105"/>
    <w:rsid w:val="00C32894"/>
    <w:rsid w:val="00C33D43"/>
    <w:rsid w:val="00C344C0"/>
    <w:rsid w:val="00C35899"/>
    <w:rsid w:val="00C35E42"/>
    <w:rsid w:val="00C36041"/>
    <w:rsid w:val="00C36321"/>
    <w:rsid w:val="00C36A89"/>
    <w:rsid w:val="00C3758F"/>
    <w:rsid w:val="00C42D55"/>
    <w:rsid w:val="00C42FC7"/>
    <w:rsid w:val="00C4301F"/>
    <w:rsid w:val="00C433ED"/>
    <w:rsid w:val="00C43ED6"/>
    <w:rsid w:val="00C45BB1"/>
    <w:rsid w:val="00C460AC"/>
    <w:rsid w:val="00C46D30"/>
    <w:rsid w:val="00C5096A"/>
    <w:rsid w:val="00C5232E"/>
    <w:rsid w:val="00C52AE2"/>
    <w:rsid w:val="00C531DA"/>
    <w:rsid w:val="00C545B4"/>
    <w:rsid w:val="00C558D8"/>
    <w:rsid w:val="00C55EE5"/>
    <w:rsid w:val="00C56F81"/>
    <w:rsid w:val="00C607CB"/>
    <w:rsid w:val="00C611AF"/>
    <w:rsid w:val="00C61209"/>
    <w:rsid w:val="00C61378"/>
    <w:rsid w:val="00C61DB8"/>
    <w:rsid w:val="00C621A3"/>
    <w:rsid w:val="00C626EF"/>
    <w:rsid w:val="00C62B2A"/>
    <w:rsid w:val="00C62B69"/>
    <w:rsid w:val="00C6428E"/>
    <w:rsid w:val="00C64D27"/>
    <w:rsid w:val="00C677CE"/>
    <w:rsid w:val="00C67C58"/>
    <w:rsid w:val="00C67FAD"/>
    <w:rsid w:val="00C70B06"/>
    <w:rsid w:val="00C71A29"/>
    <w:rsid w:val="00C726E1"/>
    <w:rsid w:val="00C73E6D"/>
    <w:rsid w:val="00C74AF6"/>
    <w:rsid w:val="00C76110"/>
    <w:rsid w:val="00C774C9"/>
    <w:rsid w:val="00C8078E"/>
    <w:rsid w:val="00C81DB5"/>
    <w:rsid w:val="00C82BFB"/>
    <w:rsid w:val="00C85A91"/>
    <w:rsid w:val="00C85BB6"/>
    <w:rsid w:val="00C8671B"/>
    <w:rsid w:val="00C86B4F"/>
    <w:rsid w:val="00C91A05"/>
    <w:rsid w:val="00C92CA4"/>
    <w:rsid w:val="00C92CD3"/>
    <w:rsid w:val="00C948EC"/>
    <w:rsid w:val="00C95382"/>
    <w:rsid w:val="00CA0D77"/>
    <w:rsid w:val="00CA2AC3"/>
    <w:rsid w:val="00CA2C5F"/>
    <w:rsid w:val="00CA3828"/>
    <w:rsid w:val="00CA4838"/>
    <w:rsid w:val="00CA6803"/>
    <w:rsid w:val="00CA7130"/>
    <w:rsid w:val="00CB06F7"/>
    <w:rsid w:val="00CB1CDC"/>
    <w:rsid w:val="00CB29AA"/>
    <w:rsid w:val="00CB2ECA"/>
    <w:rsid w:val="00CB43F7"/>
    <w:rsid w:val="00CB475D"/>
    <w:rsid w:val="00CB6211"/>
    <w:rsid w:val="00CB719B"/>
    <w:rsid w:val="00CB7831"/>
    <w:rsid w:val="00CB7F8A"/>
    <w:rsid w:val="00CC1C92"/>
    <w:rsid w:val="00CC609E"/>
    <w:rsid w:val="00CC68B0"/>
    <w:rsid w:val="00CD2973"/>
    <w:rsid w:val="00CD2BCC"/>
    <w:rsid w:val="00CD360D"/>
    <w:rsid w:val="00CD477F"/>
    <w:rsid w:val="00CD4BF5"/>
    <w:rsid w:val="00CD562D"/>
    <w:rsid w:val="00CD6246"/>
    <w:rsid w:val="00CD6D35"/>
    <w:rsid w:val="00CD7357"/>
    <w:rsid w:val="00CE1485"/>
    <w:rsid w:val="00CE1E60"/>
    <w:rsid w:val="00CE24DD"/>
    <w:rsid w:val="00CE2F9B"/>
    <w:rsid w:val="00CE360A"/>
    <w:rsid w:val="00CE5546"/>
    <w:rsid w:val="00CF1662"/>
    <w:rsid w:val="00CF2718"/>
    <w:rsid w:val="00CF3C0A"/>
    <w:rsid w:val="00CF6534"/>
    <w:rsid w:val="00CF73D0"/>
    <w:rsid w:val="00CF7634"/>
    <w:rsid w:val="00D00727"/>
    <w:rsid w:val="00D00CBC"/>
    <w:rsid w:val="00D00D26"/>
    <w:rsid w:val="00D012D4"/>
    <w:rsid w:val="00D0133A"/>
    <w:rsid w:val="00D02991"/>
    <w:rsid w:val="00D02F5E"/>
    <w:rsid w:val="00D03A3A"/>
    <w:rsid w:val="00D0410C"/>
    <w:rsid w:val="00D053F4"/>
    <w:rsid w:val="00D06B6E"/>
    <w:rsid w:val="00D10572"/>
    <w:rsid w:val="00D1238E"/>
    <w:rsid w:val="00D14F7E"/>
    <w:rsid w:val="00D15988"/>
    <w:rsid w:val="00D15994"/>
    <w:rsid w:val="00D17119"/>
    <w:rsid w:val="00D17F18"/>
    <w:rsid w:val="00D2012E"/>
    <w:rsid w:val="00D20FCA"/>
    <w:rsid w:val="00D2116B"/>
    <w:rsid w:val="00D21743"/>
    <w:rsid w:val="00D230EE"/>
    <w:rsid w:val="00D267A4"/>
    <w:rsid w:val="00D27048"/>
    <w:rsid w:val="00D272B9"/>
    <w:rsid w:val="00D2797D"/>
    <w:rsid w:val="00D27A92"/>
    <w:rsid w:val="00D30740"/>
    <w:rsid w:val="00D31ECD"/>
    <w:rsid w:val="00D337C1"/>
    <w:rsid w:val="00D337FB"/>
    <w:rsid w:val="00D34419"/>
    <w:rsid w:val="00D359AB"/>
    <w:rsid w:val="00D35DD0"/>
    <w:rsid w:val="00D40281"/>
    <w:rsid w:val="00D42398"/>
    <w:rsid w:val="00D42849"/>
    <w:rsid w:val="00D43716"/>
    <w:rsid w:val="00D442AD"/>
    <w:rsid w:val="00D44FF4"/>
    <w:rsid w:val="00D4619D"/>
    <w:rsid w:val="00D4768E"/>
    <w:rsid w:val="00D516ED"/>
    <w:rsid w:val="00D51902"/>
    <w:rsid w:val="00D51D05"/>
    <w:rsid w:val="00D52354"/>
    <w:rsid w:val="00D542BE"/>
    <w:rsid w:val="00D55046"/>
    <w:rsid w:val="00D554BC"/>
    <w:rsid w:val="00D55EBF"/>
    <w:rsid w:val="00D5605B"/>
    <w:rsid w:val="00D56F25"/>
    <w:rsid w:val="00D5758D"/>
    <w:rsid w:val="00D57F4B"/>
    <w:rsid w:val="00D61C2E"/>
    <w:rsid w:val="00D625F6"/>
    <w:rsid w:val="00D6307F"/>
    <w:rsid w:val="00D70D73"/>
    <w:rsid w:val="00D70D9E"/>
    <w:rsid w:val="00D71227"/>
    <w:rsid w:val="00D722F9"/>
    <w:rsid w:val="00D7502D"/>
    <w:rsid w:val="00D75D8D"/>
    <w:rsid w:val="00D765F8"/>
    <w:rsid w:val="00D77A40"/>
    <w:rsid w:val="00D8044D"/>
    <w:rsid w:val="00D8072F"/>
    <w:rsid w:val="00D809D7"/>
    <w:rsid w:val="00D80BF8"/>
    <w:rsid w:val="00D80FA3"/>
    <w:rsid w:val="00D81105"/>
    <w:rsid w:val="00D818F8"/>
    <w:rsid w:val="00D81A5D"/>
    <w:rsid w:val="00D8301A"/>
    <w:rsid w:val="00D83187"/>
    <w:rsid w:val="00D84600"/>
    <w:rsid w:val="00D854B1"/>
    <w:rsid w:val="00D87673"/>
    <w:rsid w:val="00D90A54"/>
    <w:rsid w:val="00D90BFB"/>
    <w:rsid w:val="00D9103E"/>
    <w:rsid w:val="00D91611"/>
    <w:rsid w:val="00D92733"/>
    <w:rsid w:val="00D94397"/>
    <w:rsid w:val="00D944D0"/>
    <w:rsid w:val="00D96114"/>
    <w:rsid w:val="00D9637F"/>
    <w:rsid w:val="00D978FB"/>
    <w:rsid w:val="00DA103D"/>
    <w:rsid w:val="00DA14E8"/>
    <w:rsid w:val="00DA37EC"/>
    <w:rsid w:val="00DA3990"/>
    <w:rsid w:val="00DA3CF4"/>
    <w:rsid w:val="00DA3D85"/>
    <w:rsid w:val="00DA41CD"/>
    <w:rsid w:val="00DA53A8"/>
    <w:rsid w:val="00DA5981"/>
    <w:rsid w:val="00DB0DF6"/>
    <w:rsid w:val="00DB1F22"/>
    <w:rsid w:val="00DB201A"/>
    <w:rsid w:val="00DB2E88"/>
    <w:rsid w:val="00DB366A"/>
    <w:rsid w:val="00DB6E3B"/>
    <w:rsid w:val="00DB75E5"/>
    <w:rsid w:val="00DC0427"/>
    <w:rsid w:val="00DC1248"/>
    <w:rsid w:val="00DC1415"/>
    <w:rsid w:val="00DC2935"/>
    <w:rsid w:val="00DC2D5B"/>
    <w:rsid w:val="00DC2DD9"/>
    <w:rsid w:val="00DC37D1"/>
    <w:rsid w:val="00DD195D"/>
    <w:rsid w:val="00DD1A84"/>
    <w:rsid w:val="00DD386E"/>
    <w:rsid w:val="00DD5ED0"/>
    <w:rsid w:val="00DD7211"/>
    <w:rsid w:val="00DE3856"/>
    <w:rsid w:val="00DE57D4"/>
    <w:rsid w:val="00DE61C6"/>
    <w:rsid w:val="00DF0B7A"/>
    <w:rsid w:val="00DF4141"/>
    <w:rsid w:val="00DF4447"/>
    <w:rsid w:val="00DF471E"/>
    <w:rsid w:val="00DF5A9D"/>
    <w:rsid w:val="00DF5FC9"/>
    <w:rsid w:val="00DF6045"/>
    <w:rsid w:val="00E03050"/>
    <w:rsid w:val="00E0424A"/>
    <w:rsid w:val="00E05455"/>
    <w:rsid w:val="00E063F9"/>
    <w:rsid w:val="00E06C31"/>
    <w:rsid w:val="00E10B09"/>
    <w:rsid w:val="00E11C87"/>
    <w:rsid w:val="00E128EF"/>
    <w:rsid w:val="00E14901"/>
    <w:rsid w:val="00E14C74"/>
    <w:rsid w:val="00E14E62"/>
    <w:rsid w:val="00E15638"/>
    <w:rsid w:val="00E15866"/>
    <w:rsid w:val="00E16613"/>
    <w:rsid w:val="00E17C24"/>
    <w:rsid w:val="00E20004"/>
    <w:rsid w:val="00E200EA"/>
    <w:rsid w:val="00E20EBC"/>
    <w:rsid w:val="00E21FE0"/>
    <w:rsid w:val="00E220CE"/>
    <w:rsid w:val="00E24D4C"/>
    <w:rsid w:val="00E2633C"/>
    <w:rsid w:val="00E27196"/>
    <w:rsid w:val="00E3108D"/>
    <w:rsid w:val="00E318FD"/>
    <w:rsid w:val="00E3340A"/>
    <w:rsid w:val="00E3360F"/>
    <w:rsid w:val="00E33624"/>
    <w:rsid w:val="00E337B4"/>
    <w:rsid w:val="00E34049"/>
    <w:rsid w:val="00E34B63"/>
    <w:rsid w:val="00E350EA"/>
    <w:rsid w:val="00E35E01"/>
    <w:rsid w:val="00E36653"/>
    <w:rsid w:val="00E372E6"/>
    <w:rsid w:val="00E37B91"/>
    <w:rsid w:val="00E37BE3"/>
    <w:rsid w:val="00E4040D"/>
    <w:rsid w:val="00E41F75"/>
    <w:rsid w:val="00E43589"/>
    <w:rsid w:val="00E471CD"/>
    <w:rsid w:val="00E47711"/>
    <w:rsid w:val="00E50945"/>
    <w:rsid w:val="00E50BE8"/>
    <w:rsid w:val="00E545E0"/>
    <w:rsid w:val="00E555A7"/>
    <w:rsid w:val="00E60344"/>
    <w:rsid w:val="00E6051E"/>
    <w:rsid w:val="00E6152C"/>
    <w:rsid w:val="00E6167C"/>
    <w:rsid w:val="00E63834"/>
    <w:rsid w:val="00E6520C"/>
    <w:rsid w:val="00E655E8"/>
    <w:rsid w:val="00E65916"/>
    <w:rsid w:val="00E665A9"/>
    <w:rsid w:val="00E67C99"/>
    <w:rsid w:val="00E701CC"/>
    <w:rsid w:val="00E72B8C"/>
    <w:rsid w:val="00E73E35"/>
    <w:rsid w:val="00E73F13"/>
    <w:rsid w:val="00E73F28"/>
    <w:rsid w:val="00E7466B"/>
    <w:rsid w:val="00E7499C"/>
    <w:rsid w:val="00E74BF5"/>
    <w:rsid w:val="00E755E1"/>
    <w:rsid w:val="00E76512"/>
    <w:rsid w:val="00E76E30"/>
    <w:rsid w:val="00E7740F"/>
    <w:rsid w:val="00E802D1"/>
    <w:rsid w:val="00E815A2"/>
    <w:rsid w:val="00E82620"/>
    <w:rsid w:val="00E82C47"/>
    <w:rsid w:val="00E8680C"/>
    <w:rsid w:val="00E86E11"/>
    <w:rsid w:val="00E91580"/>
    <w:rsid w:val="00E916FB"/>
    <w:rsid w:val="00E921E6"/>
    <w:rsid w:val="00E930DB"/>
    <w:rsid w:val="00E93424"/>
    <w:rsid w:val="00E95AC1"/>
    <w:rsid w:val="00E97182"/>
    <w:rsid w:val="00EA1780"/>
    <w:rsid w:val="00EA257F"/>
    <w:rsid w:val="00EA2DB5"/>
    <w:rsid w:val="00EA59E3"/>
    <w:rsid w:val="00EA5CB6"/>
    <w:rsid w:val="00EA5E37"/>
    <w:rsid w:val="00EA6BA3"/>
    <w:rsid w:val="00EB4C76"/>
    <w:rsid w:val="00EB4EAC"/>
    <w:rsid w:val="00EB506D"/>
    <w:rsid w:val="00EB7420"/>
    <w:rsid w:val="00EB7DC0"/>
    <w:rsid w:val="00EC06A7"/>
    <w:rsid w:val="00EC1281"/>
    <w:rsid w:val="00EC1538"/>
    <w:rsid w:val="00EC1540"/>
    <w:rsid w:val="00EC2A28"/>
    <w:rsid w:val="00EC402D"/>
    <w:rsid w:val="00EC4457"/>
    <w:rsid w:val="00EC52B0"/>
    <w:rsid w:val="00EC55FC"/>
    <w:rsid w:val="00EC583F"/>
    <w:rsid w:val="00EC63B5"/>
    <w:rsid w:val="00EC6D56"/>
    <w:rsid w:val="00EC77CE"/>
    <w:rsid w:val="00EC7EB7"/>
    <w:rsid w:val="00ED1E60"/>
    <w:rsid w:val="00ED2835"/>
    <w:rsid w:val="00ED682B"/>
    <w:rsid w:val="00ED6CEB"/>
    <w:rsid w:val="00ED7594"/>
    <w:rsid w:val="00ED7E67"/>
    <w:rsid w:val="00EE0377"/>
    <w:rsid w:val="00EE18AD"/>
    <w:rsid w:val="00EE2A4D"/>
    <w:rsid w:val="00EE3746"/>
    <w:rsid w:val="00EE4E45"/>
    <w:rsid w:val="00EE5192"/>
    <w:rsid w:val="00EF1CA1"/>
    <w:rsid w:val="00EF266F"/>
    <w:rsid w:val="00EF390A"/>
    <w:rsid w:val="00EF3ACB"/>
    <w:rsid w:val="00EF42F1"/>
    <w:rsid w:val="00EF5529"/>
    <w:rsid w:val="00F0056B"/>
    <w:rsid w:val="00F0134B"/>
    <w:rsid w:val="00F02073"/>
    <w:rsid w:val="00F029A3"/>
    <w:rsid w:val="00F03706"/>
    <w:rsid w:val="00F04526"/>
    <w:rsid w:val="00F06CF5"/>
    <w:rsid w:val="00F06DFA"/>
    <w:rsid w:val="00F076D6"/>
    <w:rsid w:val="00F10393"/>
    <w:rsid w:val="00F112A2"/>
    <w:rsid w:val="00F13F71"/>
    <w:rsid w:val="00F149AB"/>
    <w:rsid w:val="00F14B9B"/>
    <w:rsid w:val="00F16E24"/>
    <w:rsid w:val="00F17CDA"/>
    <w:rsid w:val="00F17FE3"/>
    <w:rsid w:val="00F20A1D"/>
    <w:rsid w:val="00F20E51"/>
    <w:rsid w:val="00F21495"/>
    <w:rsid w:val="00F21ADD"/>
    <w:rsid w:val="00F22FDA"/>
    <w:rsid w:val="00F25A66"/>
    <w:rsid w:val="00F25F24"/>
    <w:rsid w:val="00F279D6"/>
    <w:rsid w:val="00F27AC9"/>
    <w:rsid w:val="00F27D42"/>
    <w:rsid w:val="00F301A3"/>
    <w:rsid w:val="00F31F49"/>
    <w:rsid w:val="00F32D14"/>
    <w:rsid w:val="00F333BC"/>
    <w:rsid w:val="00F36031"/>
    <w:rsid w:val="00F36523"/>
    <w:rsid w:val="00F40647"/>
    <w:rsid w:val="00F40703"/>
    <w:rsid w:val="00F41049"/>
    <w:rsid w:val="00F41BE4"/>
    <w:rsid w:val="00F423D8"/>
    <w:rsid w:val="00F42FB4"/>
    <w:rsid w:val="00F435B5"/>
    <w:rsid w:val="00F445AA"/>
    <w:rsid w:val="00F4575C"/>
    <w:rsid w:val="00F46ACC"/>
    <w:rsid w:val="00F5026A"/>
    <w:rsid w:val="00F5532C"/>
    <w:rsid w:val="00F566DD"/>
    <w:rsid w:val="00F57709"/>
    <w:rsid w:val="00F577AD"/>
    <w:rsid w:val="00F578AE"/>
    <w:rsid w:val="00F60394"/>
    <w:rsid w:val="00F61C82"/>
    <w:rsid w:val="00F626F6"/>
    <w:rsid w:val="00F64192"/>
    <w:rsid w:val="00F65B10"/>
    <w:rsid w:val="00F6685F"/>
    <w:rsid w:val="00F66B55"/>
    <w:rsid w:val="00F670C8"/>
    <w:rsid w:val="00F7165E"/>
    <w:rsid w:val="00F71AF5"/>
    <w:rsid w:val="00F725FE"/>
    <w:rsid w:val="00F741CD"/>
    <w:rsid w:val="00F75110"/>
    <w:rsid w:val="00F80E66"/>
    <w:rsid w:val="00F8149C"/>
    <w:rsid w:val="00F81663"/>
    <w:rsid w:val="00F81AD0"/>
    <w:rsid w:val="00F832A2"/>
    <w:rsid w:val="00F832FF"/>
    <w:rsid w:val="00F84977"/>
    <w:rsid w:val="00F84D60"/>
    <w:rsid w:val="00F85E4E"/>
    <w:rsid w:val="00F8617E"/>
    <w:rsid w:val="00F91123"/>
    <w:rsid w:val="00F91DD8"/>
    <w:rsid w:val="00F91F17"/>
    <w:rsid w:val="00F946CD"/>
    <w:rsid w:val="00F95D51"/>
    <w:rsid w:val="00F966B5"/>
    <w:rsid w:val="00F96BA7"/>
    <w:rsid w:val="00FA05DC"/>
    <w:rsid w:val="00FA07E7"/>
    <w:rsid w:val="00FA1814"/>
    <w:rsid w:val="00FA1C99"/>
    <w:rsid w:val="00FA2233"/>
    <w:rsid w:val="00FA386E"/>
    <w:rsid w:val="00FA3DED"/>
    <w:rsid w:val="00FA5219"/>
    <w:rsid w:val="00FA62F4"/>
    <w:rsid w:val="00FA652B"/>
    <w:rsid w:val="00FA6776"/>
    <w:rsid w:val="00FA6E62"/>
    <w:rsid w:val="00FA70D4"/>
    <w:rsid w:val="00FB0F85"/>
    <w:rsid w:val="00FB3968"/>
    <w:rsid w:val="00FB461D"/>
    <w:rsid w:val="00FB4E20"/>
    <w:rsid w:val="00FB605D"/>
    <w:rsid w:val="00FB72DC"/>
    <w:rsid w:val="00FB7657"/>
    <w:rsid w:val="00FC0929"/>
    <w:rsid w:val="00FC0D01"/>
    <w:rsid w:val="00FC1601"/>
    <w:rsid w:val="00FC1E5C"/>
    <w:rsid w:val="00FC3F73"/>
    <w:rsid w:val="00FC5747"/>
    <w:rsid w:val="00FC5FEC"/>
    <w:rsid w:val="00FD0AD9"/>
    <w:rsid w:val="00FD3311"/>
    <w:rsid w:val="00FD41AA"/>
    <w:rsid w:val="00FD4726"/>
    <w:rsid w:val="00FD57A6"/>
    <w:rsid w:val="00FD79E1"/>
    <w:rsid w:val="00FD7A24"/>
    <w:rsid w:val="00FE47B2"/>
    <w:rsid w:val="00FF0FAC"/>
    <w:rsid w:val="00FF3981"/>
    <w:rsid w:val="00FF4C2B"/>
    <w:rsid w:val="00FF4F5A"/>
    <w:rsid w:val="00FF5B7D"/>
    <w:rsid w:val="00FF69FE"/>
    <w:rsid w:val="00FF7123"/>
    <w:rsid w:val="011D2710"/>
    <w:rsid w:val="013E4E0D"/>
    <w:rsid w:val="01536978"/>
    <w:rsid w:val="01A3659A"/>
    <w:rsid w:val="01C77465"/>
    <w:rsid w:val="01ED4312"/>
    <w:rsid w:val="02186A33"/>
    <w:rsid w:val="02287D4B"/>
    <w:rsid w:val="02344890"/>
    <w:rsid w:val="02355837"/>
    <w:rsid w:val="0242305A"/>
    <w:rsid w:val="02535CBD"/>
    <w:rsid w:val="0270061D"/>
    <w:rsid w:val="02783976"/>
    <w:rsid w:val="02935DAF"/>
    <w:rsid w:val="02CE43A9"/>
    <w:rsid w:val="02D61CD2"/>
    <w:rsid w:val="033B6E7D"/>
    <w:rsid w:val="035612F1"/>
    <w:rsid w:val="03561F09"/>
    <w:rsid w:val="03596F5B"/>
    <w:rsid w:val="036B3C1F"/>
    <w:rsid w:val="037144D2"/>
    <w:rsid w:val="03970E8B"/>
    <w:rsid w:val="039F5D6E"/>
    <w:rsid w:val="03B92498"/>
    <w:rsid w:val="03B95FF4"/>
    <w:rsid w:val="03E27385"/>
    <w:rsid w:val="040A2CF3"/>
    <w:rsid w:val="041B16D3"/>
    <w:rsid w:val="0433577B"/>
    <w:rsid w:val="043D3509"/>
    <w:rsid w:val="043E1550"/>
    <w:rsid w:val="044B6370"/>
    <w:rsid w:val="044F0706"/>
    <w:rsid w:val="04544089"/>
    <w:rsid w:val="04CD61FB"/>
    <w:rsid w:val="04CE1F73"/>
    <w:rsid w:val="04F45324"/>
    <w:rsid w:val="051A6491"/>
    <w:rsid w:val="051C2CDE"/>
    <w:rsid w:val="052110D2"/>
    <w:rsid w:val="05330466"/>
    <w:rsid w:val="057E0E06"/>
    <w:rsid w:val="057F6DC9"/>
    <w:rsid w:val="05B253F0"/>
    <w:rsid w:val="05EC0902"/>
    <w:rsid w:val="05FF285F"/>
    <w:rsid w:val="06067602"/>
    <w:rsid w:val="06190FCC"/>
    <w:rsid w:val="069D2E58"/>
    <w:rsid w:val="06AE5BB8"/>
    <w:rsid w:val="06BD5DFB"/>
    <w:rsid w:val="06C158EB"/>
    <w:rsid w:val="06E15F8D"/>
    <w:rsid w:val="06FF4665"/>
    <w:rsid w:val="07442EA4"/>
    <w:rsid w:val="07465DF0"/>
    <w:rsid w:val="0778494E"/>
    <w:rsid w:val="07DC6755"/>
    <w:rsid w:val="07E35D35"/>
    <w:rsid w:val="07EC7625"/>
    <w:rsid w:val="082306BF"/>
    <w:rsid w:val="08377DD3"/>
    <w:rsid w:val="084F33CB"/>
    <w:rsid w:val="088005FA"/>
    <w:rsid w:val="08967768"/>
    <w:rsid w:val="08A41020"/>
    <w:rsid w:val="08AE6343"/>
    <w:rsid w:val="08D86F1C"/>
    <w:rsid w:val="092D370C"/>
    <w:rsid w:val="09356F1D"/>
    <w:rsid w:val="094A4B90"/>
    <w:rsid w:val="09734453"/>
    <w:rsid w:val="097D1872"/>
    <w:rsid w:val="098350DA"/>
    <w:rsid w:val="099A0675"/>
    <w:rsid w:val="0A087C6B"/>
    <w:rsid w:val="0A701077"/>
    <w:rsid w:val="0A917CCA"/>
    <w:rsid w:val="0AE0030A"/>
    <w:rsid w:val="0AEE0371"/>
    <w:rsid w:val="0B8769D7"/>
    <w:rsid w:val="0B957F70"/>
    <w:rsid w:val="0BA511D6"/>
    <w:rsid w:val="0BFA0BD3"/>
    <w:rsid w:val="0C151F5F"/>
    <w:rsid w:val="0C555716"/>
    <w:rsid w:val="0C6D051A"/>
    <w:rsid w:val="0CB4339A"/>
    <w:rsid w:val="0D004D2D"/>
    <w:rsid w:val="0D06659F"/>
    <w:rsid w:val="0D222E5C"/>
    <w:rsid w:val="0D4404E3"/>
    <w:rsid w:val="0D7511DD"/>
    <w:rsid w:val="0D7C7022"/>
    <w:rsid w:val="0D961154"/>
    <w:rsid w:val="0DC3019B"/>
    <w:rsid w:val="0DD028B8"/>
    <w:rsid w:val="0DD26630"/>
    <w:rsid w:val="0E556F6B"/>
    <w:rsid w:val="0E59465B"/>
    <w:rsid w:val="0E8F2A28"/>
    <w:rsid w:val="0EA71A58"/>
    <w:rsid w:val="0EAE1792"/>
    <w:rsid w:val="0EB421D9"/>
    <w:rsid w:val="0ECC4413"/>
    <w:rsid w:val="0ED168E7"/>
    <w:rsid w:val="0EF13E70"/>
    <w:rsid w:val="0F1666CF"/>
    <w:rsid w:val="0F3550C8"/>
    <w:rsid w:val="0F394876"/>
    <w:rsid w:val="0F655282"/>
    <w:rsid w:val="0FCF74EE"/>
    <w:rsid w:val="0FDF6DE2"/>
    <w:rsid w:val="10086339"/>
    <w:rsid w:val="100B4C07"/>
    <w:rsid w:val="106B0F19"/>
    <w:rsid w:val="1090632E"/>
    <w:rsid w:val="10AD5132"/>
    <w:rsid w:val="10C61D50"/>
    <w:rsid w:val="10D031C5"/>
    <w:rsid w:val="10D40911"/>
    <w:rsid w:val="10D95F27"/>
    <w:rsid w:val="10EC5C5A"/>
    <w:rsid w:val="113B0990"/>
    <w:rsid w:val="11AC5262"/>
    <w:rsid w:val="11AD4DCE"/>
    <w:rsid w:val="11C02F12"/>
    <w:rsid w:val="11C1243A"/>
    <w:rsid w:val="122136E2"/>
    <w:rsid w:val="124D44D7"/>
    <w:rsid w:val="12D836B7"/>
    <w:rsid w:val="12E27315"/>
    <w:rsid w:val="132401A7"/>
    <w:rsid w:val="13246E38"/>
    <w:rsid w:val="13EE5DDD"/>
    <w:rsid w:val="140F7C19"/>
    <w:rsid w:val="14321BD6"/>
    <w:rsid w:val="14327640"/>
    <w:rsid w:val="14515DD5"/>
    <w:rsid w:val="1461070D"/>
    <w:rsid w:val="14BC1DE8"/>
    <w:rsid w:val="14F45220"/>
    <w:rsid w:val="14FE6C9E"/>
    <w:rsid w:val="15424829"/>
    <w:rsid w:val="155913E5"/>
    <w:rsid w:val="158D16D2"/>
    <w:rsid w:val="159C237E"/>
    <w:rsid w:val="15A703A2"/>
    <w:rsid w:val="15DD471E"/>
    <w:rsid w:val="15F61F17"/>
    <w:rsid w:val="15FC41AA"/>
    <w:rsid w:val="1615747D"/>
    <w:rsid w:val="169D4D96"/>
    <w:rsid w:val="16AE5760"/>
    <w:rsid w:val="16B03286"/>
    <w:rsid w:val="16F84C37"/>
    <w:rsid w:val="17872239"/>
    <w:rsid w:val="17EE79EE"/>
    <w:rsid w:val="18267C8C"/>
    <w:rsid w:val="1850325E"/>
    <w:rsid w:val="18730EE8"/>
    <w:rsid w:val="187B7BD6"/>
    <w:rsid w:val="18B652AF"/>
    <w:rsid w:val="18E5190D"/>
    <w:rsid w:val="191044B0"/>
    <w:rsid w:val="192835A8"/>
    <w:rsid w:val="19A1335A"/>
    <w:rsid w:val="19DE635C"/>
    <w:rsid w:val="19E03E83"/>
    <w:rsid w:val="19F16090"/>
    <w:rsid w:val="1A56487D"/>
    <w:rsid w:val="1AD06F62"/>
    <w:rsid w:val="1AF41939"/>
    <w:rsid w:val="1B31668A"/>
    <w:rsid w:val="1B5D7254"/>
    <w:rsid w:val="1B707488"/>
    <w:rsid w:val="1BC537EA"/>
    <w:rsid w:val="1BD510E9"/>
    <w:rsid w:val="1BE739C3"/>
    <w:rsid w:val="1BF60FDE"/>
    <w:rsid w:val="1C054074"/>
    <w:rsid w:val="1C691521"/>
    <w:rsid w:val="1C874D46"/>
    <w:rsid w:val="1CAB2C18"/>
    <w:rsid w:val="1CB61BFF"/>
    <w:rsid w:val="1CCB2BC8"/>
    <w:rsid w:val="1CDF6673"/>
    <w:rsid w:val="1D121732"/>
    <w:rsid w:val="1D160D32"/>
    <w:rsid w:val="1D1A58FD"/>
    <w:rsid w:val="1D255A8F"/>
    <w:rsid w:val="1D4110DC"/>
    <w:rsid w:val="1D496AC7"/>
    <w:rsid w:val="1D773433"/>
    <w:rsid w:val="1D826EAA"/>
    <w:rsid w:val="1E026ABD"/>
    <w:rsid w:val="1E1D1202"/>
    <w:rsid w:val="1E3E386E"/>
    <w:rsid w:val="1E4C75DC"/>
    <w:rsid w:val="1E7352C5"/>
    <w:rsid w:val="1E8F7C25"/>
    <w:rsid w:val="1F243672"/>
    <w:rsid w:val="1F533349"/>
    <w:rsid w:val="1F6C2694"/>
    <w:rsid w:val="1F846D04"/>
    <w:rsid w:val="1F94689B"/>
    <w:rsid w:val="1F9D3F25"/>
    <w:rsid w:val="1FA83694"/>
    <w:rsid w:val="1FDD5317"/>
    <w:rsid w:val="20140D2A"/>
    <w:rsid w:val="2030548F"/>
    <w:rsid w:val="205C2FCF"/>
    <w:rsid w:val="20A74E29"/>
    <w:rsid w:val="20DA037C"/>
    <w:rsid w:val="21447C5E"/>
    <w:rsid w:val="21753C59"/>
    <w:rsid w:val="217947A3"/>
    <w:rsid w:val="2298179E"/>
    <w:rsid w:val="22E91FFA"/>
    <w:rsid w:val="231150AD"/>
    <w:rsid w:val="23244F1A"/>
    <w:rsid w:val="233B6064"/>
    <w:rsid w:val="233D54E8"/>
    <w:rsid w:val="236B6253"/>
    <w:rsid w:val="236D2C2B"/>
    <w:rsid w:val="237C10C0"/>
    <w:rsid w:val="238B1234"/>
    <w:rsid w:val="23A130F9"/>
    <w:rsid w:val="23B26890"/>
    <w:rsid w:val="23F70746"/>
    <w:rsid w:val="2409047A"/>
    <w:rsid w:val="241C01AD"/>
    <w:rsid w:val="24253506"/>
    <w:rsid w:val="243B4AD7"/>
    <w:rsid w:val="244B0A92"/>
    <w:rsid w:val="24504F56"/>
    <w:rsid w:val="246A53BC"/>
    <w:rsid w:val="24754123"/>
    <w:rsid w:val="24A0493A"/>
    <w:rsid w:val="24AD3DD7"/>
    <w:rsid w:val="250D6B57"/>
    <w:rsid w:val="25205137"/>
    <w:rsid w:val="253A4D8F"/>
    <w:rsid w:val="258D0476"/>
    <w:rsid w:val="25935399"/>
    <w:rsid w:val="25981FA7"/>
    <w:rsid w:val="25A62424"/>
    <w:rsid w:val="262D1D64"/>
    <w:rsid w:val="265E685B"/>
    <w:rsid w:val="26BB4E4E"/>
    <w:rsid w:val="26ED5783"/>
    <w:rsid w:val="270F5DA7"/>
    <w:rsid w:val="2749750B"/>
    <w:rsid w:val="27743273"/>
    <w:rsid w:val="28196E66"/>
    <w:rsid w:val="281A0EA7"/>
    <w:rsid w:val="286B274B"/>
    <w:rsid w:val="28B50903"/>
    <w:rsid w:val="28E55845"/>
    <w:rsid w:val="292F799B"/>
    <w:rsid w:val="299476AA"/>
    <w:rsid w:val="29B844D4"/>
    <w:rsid w:val="29E8151E"/>
    <w:rsid w:val="29EF4800"/>
    <w:rsid w:val="2A6B7798"/>
    <w:rsid w:val="2A711A36"/>
    <w:rsid w:val="2A7E2D38"/>
    <w:rsid w:val="2A8803DA"/>
    <w:rsid w:val="2A9E7B6E"/>
    <w:rsid w:val="2AA16F37"/>
    <w:rsid w:val="2AA34BD7"/>
    <w:rsid w:val="2AAE5162"/>
    <w:rsid w:val="2AD215C5"/>
    <w:rsid w:val="2AE95028"/>
    <w:rsid w:val="2AE9690F"/>
    <w:rsid w:val="2B035600"/>
    <w:rsid w:val="2B0C0268"/>
    <w:rsid w:val="2B0E5727"/>
    <w:rsid w:val="2B342280"/>
    <w:rsid w:val="2B4D3EA0"/>
    <w:rsid w:val="2B81281E"/>
    <w:rsid w:val="2BE07D12"/>
    <w:rsid w:val="2C1F083A"/>
    <w:rsid w:val="2C771BA9"/>
    <w:rsid w:val="2C8F4561"/>
    <w:rsid w:val="2CA24781"/>
    <w:rsid w:val="2CD17022"/>
    <w:rsid w:val="2CEE034D"/>
    <w:rsid w:val="2CFE48F4"/>
    <w:rsid w:val="2D074F39"/>
    <w:rsid w:val="2D0D3A3D"/>
    <w:rsid w:val="2D1C3023"/>
    <w:rsid w:val="2D721E06"/>
    <w:rsid w:val="2D7352E2"/>
    <w:rsid w:val="2D802FDB"/>
    <w:rsid w:val="2D8031C2"/>
    <w:rsid w:val="2DAA5FC0"/>
    <w:rsid w:val="2DC61207"/>
    <w:rsid w:val="2DC6668D"/>
    <w:rsid w:val="2DF61399"/>
    <w:rsid w:val="2DF64BA7"/>
    <w:rsid w:val="2E1C2F96"/>
    <w:rsid w:val="2E334A71"/>
    <w:rsid w:val="2E382087"/>
    <w:rsid w:val="2E7D01EF"/>
    <w:rsid w:val="2ED51FAA"/>
    <w:rsid w:val="2EF51D26"/>
    <w:rsid w:val="2F010410"/>
    <w:rsid w:val="2F0A3A24"/>
    <w:rsid w:val="2F302D5E"/>
    <w:rsid w:val="2F416D1A"/>
    <w:rsid w:val="2F5A1210"/>
    <w:rsid w:val="2F850CCF"/>
    <w:rsid w:val="2F871EDA"/>
    <w:rsid w:val="2F971D50"/>
    <w:rsid w:val="2F98086E"/>
    <w:rsid w:val="2F9E3968"/>
    <w:rsid w:val="2FE1398F"/>
    <w:rsid w:val="2FF3270A"/>
    <w:rsid w:val="2FF77AD7"/>
    <w:rsid w:val="301937F3"/>
    <w:rsid w:val="30350655"/>
    <w:rsid w:val="30752424"/>
    <w:rsid w:val="30D047F9"/>
    <w:rsid w:val="30D20571"/>
    <w:rsid w:val="31074A60"/>
    <w:rsid w:val="31280191"/>
    <w:rsid w:val="313308E4"/>
    <w:rsid w:val="315471D8"/>
    <w:rsid w:val="315D0EFE"/>
    <w:rsid w:val="317433D6"/>
    <w:rsid w:val="31AD4B3A"/>
    <w:rsid w:val="31BD71E5"/>
    <w:rsid w:val="321D3A6E"/>
    <w:rsid w:val="326A6587"/>
    <w:rsid w:val="326E096C"/>
    <w:rsid w:val="3328091C"/>
    <w:rsid w:val="334868C9"/>
    <w:rsid w:val="338C44B4"/>
    <w:rsid w:val="339733AC"/>
    <w:rsid w:val="33C82F2F"/>
    <w:rsid w:val="33F425AD"/>
    <w:rsid w:val="340903D1"/>
    <w:rsid w:val="34147713"/>
    <w:rsid w:val="344C063B"/>
    <w:rsid w:val="34627E5E"/>
    <w:rsid w:val="34AB584E"/>
    <w:rsid w:val="34D670AE"/>
    <w:rsid w:val="34E0160D"/>
    <w:rsid w:val="34FD7B87"/>
    <w:rsid w:val="350B0D43"/>
    <w:rsid w:val="350B68B7"/>
    <w:rsid w:val="35193501"/>
    <w:rsid w:val="352001C4"/>
    <w:rsid w:val="35392CC1"/>
    <w:rsid w:val="355F439E"/>
    <w:rsid w:val="35644266"/>
    <w:rsid w:val="35B00755"/>
    <w:rsid w:val="35E558CC"/>
    <w:rsid w:val="35F40F8A"/>
    <w:rsid w:val="36B67FED"/>
    <w:rsid w:val="36E20C0A"/>
    <w:rsid w:val="37152F66"/>
    <w:rsid w:val="37290130"/>
    <w:rsid w:val="372E04CB"/>
    <w:rsid w:val="377546B8"/>
    <w:rsid w:val="37A54EE3"/>
    <w:rsid w:val="37BA6C4E"/>
    <w:rsid w:val="37BC7885"/>
    <w:rsid w:val="37BF1123"/>
    <w:rsid w:val="37DC3FC1"/>
    <w:rsid w:val="37EC0259"/>
    <w:rsid w:val="37FC2378"/>
    <w:rsid w:val="3810197F"/>
    <w:rsid w:val="38527B64"/>
    <w:rsid w:val="385555E4"/>
    <w:rsid w:val="38745777"/>
    <w:rsid w:val="388968F9"/>
    <w:rsid w:val="388A407C"/>
    <w:rsid w:val="38A30A45"/>
    <w:rsid w:val="38B2765C"/>
    <w:rsid w:val="39087886"/>
    <w:rsid w:val="39194863"/>
    <w:rsid w:val="39253208"/>
    <w:rsid w:val="393E37FD"/>
    <w:rsid w:val="394A20CF"/>
    <w:rsid w:val="394C2E8B"/>
    <w:rsid w:val="395C0E4E"/>
    <w:rsid w:val="39AD3C09"/>
    <w:rsid w:val="39D32C64"/>
    <w:rsid w:val="3A086D13"/>
    <w:rsid w:val="3A384FBB"/>
    <w:rsid w:val="3A56753C"/>
    <w:rsid w:val="3A742699"/>
    <w:rsid w:val="3AAF36D1"/>
    <w:rsid w:val="3B005CDB"/>
    <w:rsid w:val="3B5F50F7"/>
    <w:rsid w:val="3B992848"/>
    <w:rsid w:val="3BC446DC"/>
    <w:rsid w:val="3BC856FE"/>
    <w:rsid w:val="3BC9431F"/>
    <w:rsid w:val="3BD01B51"/>
    <w:rsid w:val="3C243C4B"/>
    <w:rsid w:val="3CC62522"/>
    <w:rsid w:val="3D235CB1"/>
    <w:rsid w:val="3D3B2FFA"/>
    <w:rsid w:val="3D4A3FCC"/>
    <w:rsid w:val="3D4E0F7F"/>
    <w:rsid w:val="3D6D517E"/>
    <w:rsid w:val="3D8449A1"/>
    <w:rsid w:val="3D8D680B"/>
    <w:rsid w:val="3DBE3B00"/>
    <w:rsid w:val="3DE6740A"/>
    <w:rsid w:val="3E09134A"/>
    <w:rsid w:val="3E2C6956"/>
    <w:rsid w:val="3E341CCA"/>
    <w:rsid w:val="3E4405D4"/>
    <w:rsid w:val="3E47674D"/>
    <w:rsid w:val="3E5C0687"/>
    <w:rsid w:val="3E6B6CF8"/>
    <w:rsid w:val="3E734C72"/>
    <w:rsid w:val="3E9E5F37"/>
    <w:rsid w:val="3EB07A18"/>
    <w:rsid w:val="3EC3774B"/>
    <w:rsid w:val="3F081602"/>
    <w:rsid w:val="3F425A49"/>
    <w:rsid w:val="3F5D7BA0"/>
    <w:rsid w:val="3F794BDA"/>
    <w:rsid w:val="3FE200A5"/>
    <w:rsid w:val="3FF322B2"/>
    <w:rsid w:val="40161AFD"/>
    <w:rsid w:val="40703903"/>
    <w:rsid w:val="40A215BE"/>
    <w:rsid w:val="40C95E0B"/>
    <w:rsid w:val="40EA6104"/>
    <w:rsid w:val="42334D11"/>
    <w:rsid w:val="424F2F1B"/>
    <w:rsid w:val="42586CCE"/>
    <w:rsid w:val="425D19CE"/>
    <w:rsid w:val="42880EAC"/>
    <w:rsid w:val="42FB79B5"/>
    <w:rsid w:val="43156282"/>
    <w:rsid w:val="43613C66"/>
    <w:rsid w:val="437B44C4"/>
    <w:rsid w:val="443469F5"/>
    <w:rsid w:val="445350CD"/>
    <w:rsid w:val="445A0AA6"/>
    <w:rsid w:val="44853B5A"/>
    <w:rsid w:val="449753BF"/>
    <w:rsid w:val="44A8085C"/>
    <w:rsid w:val="44D46679"/>
    <w:rsid w:val="44DE708D"/>
    <w:rsid w:val="44FD366D"/>
    <w:rsid w:val="450F36EA"/>
    <w:rsid w:val="455A06DD"/>
    <w:rsid w:val="456252F6"/>
    <w:rsid w:val="459C7BAC"/>
    <w:rsid w:val="45E25EAD"/>
    <w:rsid w:val="45E9298F"/>
    <w:rsid w:val="4612476D"/>
    <w:rsid w:val="46180866"/>
    <w:rsid w:val="461B60BF"/>
    <w:rsid w:val="463E207E"/>
    <w:rsid w:val="463F7514"/>
    <w:rsid w:val="4664262E"/>
    <w:rsid w:val="466C691A"/>
    <w:rsid w:val="46D1677D"/>
    <w:rsid w:val="46D70238"/>
    <w:rsid w:val="46E2403B"/>
    <w:rsid w:val="46EB3CE3"/>
    <w:rsid w:val="46ED0EBC"/>
    <w:rsid w:val="47093059"/>
    <w:rsid w:val="47207437"/>
    <w:rsid w:val="472E3BD0"/>
    <w:rsid w:val="47613705"/>
    <w:rsid w:val="47635739"/>
    <w:rsid w:val="47694C08"/>
    <w:rsid w:val="479C441A"/>
    <w:rsid w:val="47D71C0C"/>
    <w:rsid w:val="47E26E94"/>
    <w:rsid w:val="481B7BD1"/>
    <w:rsid w:val="48702E73"/>
    <w:rsid w:val="48AD1A9B"/>
    <w:rsid w:val="48E72288"/>
    <w:rsid w:val="48E87BD2"/>
    <w:rsid w:val="495A6EFE"/>
    <w:rsid w:val="495F3884"/>
    <w:rsid w:val="49CF2931"/>
    <w:rsid w:val="49F555BD"/>
    <w:rsid w:val="4A023006"/>
    <w:rsid w:val="4A3C6604"/>
    <w:rsid w:val="4A75478F"/>
    <w:rsid w:val="4A7B35D0"/>
    <w:rsid w:val="4A8E3303"/>
    <w:rsid w:val="4AB443EC"/>
    <w:rsid w:val="4AD85CAA"/>
    <w:rsid w:val="4B1420FC"/>
    <w:rsid w:val="4B2D1E11"/>
    <w:rsid w:val="4B307F16"/>
    <w:rsid w:val="4B4E65EF"/>
    <w:rsid w:val="4B7720EC"/>
    <w:rsid w:val="4BAD1567"/>
    <w:rsid w:val="4C016F74"/>
    <w:rsid w:val="4C105378"/>
    <w:rsid w:val="4C155CC6"/>
    <w:rsid w:val="4C770947"/>
    <w:rsid w:val="4CC56D84"/>
    <w:rsid w:val="4D094EC3"/>
    <w:rsid w:val="4D685123"/>
    <w:rsid w:val="4D693B30"/>
    <w:rsid w:val="4D82638C"/>
    <w:rsid w:val="4D8C7EA8"/>
    <w:rsid w:val="4D981DA3"/>
    <w:rsid w:val="4DF34D21"/>
    <w:rsid w:val="4E255BCF"/>
    <w:rsid w:val="4EA330F5"/>
    <w:rsid w:val="4EB64BD7"/>
    <w:rsid w:val="4EC00D07"/>
    <w:rsid w:val="4F05185B"/>
    <w:rsid w:val="4F1821A7"/>
    <w:rsid w:val="4F347949"/>
    <w:rsid w:val="4F351F9F"/>
    <w:rsid w:val="4F7E7BB0"/>
    <w:rsid w:val="4FB05ACA"/>
    <w:rsid w:val="4FD75B8A"/>
    <w:rsid w:val="4FF66CA6"/>
    <w:rsid w:val="50102255"/>
    <w:rsid w:val="504F284A"/>
    <w:rsid w:val="5056391F"/>
    <w:rsid w:val="50660495"/>
    <w:rsid w:val="507737AA"/>
    <w:rsid w:val="50E35A2B"/>
    <w:rsid w:val="5123587F"/>
    <w:rsid w:val="515626A1"/>
    <w:rsid w:val="519F5DF6"/>
    <w:rsid w:val="51A751D9"/>
    <w:rsid w:val="51C257FD"/>
    <w:rsid w:val="51D6733E"/>
    <w:rsid w:val="51DE450B"/>
    <w:rsid w:val="51E95DC2"/>
    <w:rsid w:val="51FC30E1"/>
    <w:rsid w:val="52041D74"/>
    <w:rsid w:val="525E0D26"/>
    <w:rsid w:val="52765C90"/>
    <w:rsid w:val="527728CF"/>
    <w:rsid w:val="528706B1"/>
    <w:rsid w:val="528B1ED6"/>
    <w:rsid w:val="52A35472"/>
    <w:rsid w:val="52AB4E5D"/>
    <w:rsid w:val="52BE22AC"/>
    <w:rsid w:val="52FE6B4C"/>
    <w:rsid w:val="530C5FCB"/>
    <w:rsid w:val="532F4F57"/>
    <w:rsid w:val="535667C2"/>
    <w:rsid w:val="536E4F25"/>
    <w:rsid w:val="538C3845"/>
    <w:rsid w:val="53D53D51"/>
    <w:rsid w:val="53DD49B3"/>
    <w:rsid w:val="53EE2DB3"/>
    <w:rsid w:val="53F51CFD"/>
    <w:rsid w:val="54013DB6"/>
    <w:rsid w:val="54825DA0"/>
    <w:rsid w:val="54C340AD"/>
    <w:rsid w:val="5584073C"/>
    <w:rsid w:val="558F6181"/>
    <w:rsid w:val="55AA4D69"/>
    <w:rsid w:val="55F7481A"/>
    <w:rsid w:val="562A0981"/>
    <w:rsid w:val="562B7C58"/>
    <w:rsid w:val="56374FF8"/>
    <w:rsid w:val="568E6439"/>
    <w:rsid w:val="56BC3FBA"/>
    <w:rsid w:val="56F34B4A"/>
    <w:rsid w:val="56FB5DA7"/>
    <w:rsid w:val="56FE711B"/>
    <w:rsid w:val="570F2213"/>
    <w:rsid w:val="57522AF0"/>
    <w:rsid w:val="57855BEF"/>
    <w:rsid w:val="579932E7"/>
    <w:rsid w:val="584F07F6"/>
    <w:rsid w:val="586E207E"/>
    <w:rsid w:val="58B40D71"/>
    <w:rsid w:val="59381BAB"/>
    <w:rsid w:val="593B3E82"/>
    <w:rsid w:val="59AD4E28"/>
    <w:rsid w:val="59B240A8"/>
    <w:rsid w:val="5A113609"/>
    <w:rsid w:val="5A351295"/>
    <w:rsid w:val="5A7871E4"/>
    <w:rsid w:val="5A845A3D"/>
    <w:rsid w:val="5A8C2C8F"/>
    <w:rsid w:val="5A917D83"/>
    <w:rsid w:val="5A962A88"/>
    <w:rsid w:val="5AB508E4"/>
    <w:rsid w:val="5ACD39D4"/>
    <w:rsid w:val="5ADD173D"/>
    <w:rsid w:val="5AEE394A"/>
    <w:rsid w:val="5AF572D1"/>
    <w:rsid w:val="5B0D2022"/>
    <w:rsid w:val="5B6E28EE"/>
    <w:rsid w:val="5B77490A"/>
    <w:rsid w:val="5B9B13DC"/>
    <w:rsid w:val="5BC672C4"/>
    <w:rsid w:val="5BC964A9"/>
    <w:rsid w:val="5BDB5C7C"/>
    <w:rsid w:val="5C237623"/>
    <w:rsid w:val="5C3D6937"/>
    <w:rsid w:val="5C514191"/>
    <w:rsid w:val="5C871960"/>
    <w:rsid w:val="5CD438B6"/>
    <w:rsid w:val="5CDA4186"/>
    <w:rsid w:val="5CDB3A5A"/>
    <w:rsid w:val="5CDC1CAC"/>
    <w:rsid w:val="5D0D1C8A"/>
    <w:rsid w:val="5D156F6C"/>
    <w:rsid w:val="5D465377"/>
    <w:rsid w:val="5D6E0CD9"/>
    <w:rsid w:val="5DB53F0D"/>
    <w:rsid w:val="5DD15589"/>
    <w:rsid w:val="5DD41500"/>
    <w:rsid w:val="5E1615C6"/>
    <w:rsid w:val="5E48652E"/>
    <w:rsid w:val="5E510478"/>
    <w:rsid w:val="5E6B205F"/>
    <w:rsid w:val="5E6D4CA1"/>
    <w:rsid w:val="5E7B54F5"/>
    <w:rsid w:val="5E8E6FD6"/>
    <w:rsid w:val="5E9B5B97"/>
    <w:rsid w:val="5EA02520"/>
    <w:rsid w:val="5EE31A16"/>
    <w:rsid w:val="5EEC4996"/>
    <w:rsid w:val="5F1C6CD8"/>
    <w:rsid w:val="5F356D58"/>
    <w:rsid w:val="5F3758C0"/>
    <w:rsid w:val="5F467042"/>
    <w:rsid w:val="5FE62E42"/>
    <w:rsid w:val="5FF779BC"/>
    <w:rsid w:val="60427205"/>
    <w:rsid w:val="604F5528"/>
    <w:rsid w:val="605204D7"/>
    <w:rsid w:val="605C7AD1"/>
    <w:rsid w:val="60602BF4"/>
    <w:rsid w:val="6065645C"/>
    <w:rsid w:val="60B42F40"/>
    <w:rsid w:val="60D72B0F"/>
    <w:rsid w:val="60E05B84"/>
    <w:rsid w:val="60EA0710"/>
    <w:rsid w:val="611C2FBF"/>
    <w:rsid w:val="61211FC2"/>
    <w:rsid w:val="61461799"/>
    <w:rsid w:val="614B5652"/>
    <w:rsid w:val="616F788D"/>
    <w:rsid w:val="619D27E2"/>
    <w:rsid w:val="61AF6E62"/>
    <w:rsid w:val="61C36FD5"/>
    <w:rsid w:val="61C6750B"/>
    <w:rsid w:val="61CC2274"/>
    <w:rsid w:val="61CF7201"/>
    <w:rsid w:val="61DA565F"/>
    <w:rsid w:val="61F335F4"/>
    <w:rsid w:val="620852F1"/>
    <w:rsid w:val="62127F1E"/>
    <w:rsid w:val="62173786"/>
    <w:rsid w:val="6246246B"/>
    <w:rsid w:val="625C73EB"/>
    <w:rsid w:val="628D2083"/>
    <w:rsid w:val="62B72874"/>
    <w:rsid w:val="62BC4A90"/>
    <w:rsid w:val="62D33B51"/>
    <w:rsid w:val="63471DA5"/>
    <w:rsid w:val="63511766"/>
    <w:rsid w:val="63665BA5"/>
    <w:rsid w:val="638135AD"/>
    <w:rsid w:val="63A91640"/>
    <w:rsid w:val="63DA0DCA"/>
    <w:rsid w:val="63F0603D"/>
    <w:rsid w:val="63FE69AC"/>
    <w:rsid w:val="641F2151"/>
    <w:rsid w:val="643D3D60"/>
    <w:rsid w:val="644A6AF5"/>
    <w:rsid w:val="64947310"/>
    <w:rsid w:val="64983A7B"/>
    <w:rsid w:val="64992502"/>
    <w:rsid w:val="64A65D83"/>
    <w:rsid w:val="64E2007C"/>
    <w:rsid w:val="65825829"/>
    <w:rsid w:val="65953340"/>
    <w:rsid w:val="65B814A1"/>
    <w:rsid w:val="65CC10FB"/>
    <w:rsid w:val="65DA5B04"/>
    <w:rsid w:val="65DE3D13"/>
    <w:rsid w:val="66026658"/>
    <w:rsid w:val="661C2979"/>
    <w:rsid w:val="662A7F2C"/>
    <w:rsid w:val="662F0EC4"/>
    <w:rsid w:val="66707A3B"/>
    <w:rsid w:val="66AD46B9"/>
    <w:rsid w:val="66B93380"/>
    <w:rsid w:val="66CD39FC"/>
    <w:rsid w:val="66D6776C"/>
    <w:rsid w:val="66E001DE"/>
    <w:rsid w:val="67010561"/>
    <w:rsid w:val="67346024"/>
    <w:rsid w:val="67B81568"/>
    <w:rsid w:val="67DD4B2A"/>
    <w:rsid w:val="67EB204E"/>
    <w:rsid w:val="6803324C"/>
    <w:rsid w:val="687A05CB"/>
    <w:rsid w:val="68CB279B"/>
    <w:rsid w:val="68F465CF"/>
    <w:rsid w:val="694F7CAA"/>
    <w:rsid w:val="696A0640"/>
    <w:rsid w:val="697D4817"/>
    <w:rsid w:val="698F1A08"/>
    <w:rsid w:val="698F658C"/>
    <w:rsid w:val="69C70A96"/>
    <w:rsid w:val="6A3F7D1E"/>
    <w:rsid w:val="6A582B8E"/>
    <w:rsid w:val="6A941E18"/>
    <w:rsid w:val="6AC94A9E"/>
    <w:rsid w:val="6ACF4F4F"/>
    <w:rsid w:val="6B5670CE"/>
    <w:rsid w:val="6B8D716A"/>
    <w:rsid w:val="6BC01778"/>
    <w:rsid w:val="6BDB75D3"/>
    <w:rsid w:val="6C360CAD"/>
    <w:rsid w:val="6CBC77FD"/>
    <w:rsid w:val="6CE40709"/>
    <w:rsid w:val="6D5457DF"/>
    <w:rsid w:val="6D68117E"/>
    <w:rsid w:val="6D980BFE"/>
    <w:rsid w:val="6DA50B0D"/>
    <w:rsid w:val="6E3A0F28"/>
    <w:rsid w:val="6E687834"/>
    <w:rsid w:val="6E6F66C3"/>
    <w:rsid w:val="6E8C0E4D"/>
    <w:rsid w:val="6EA12D56"/>
    <w:rsid w:val="6F117598"/>
    <w:rsid w:val="6F352E36"/>
    <w:rsid w:val="6F3A0AB4"/>
    <w:rsid w:val="6F8F219E"/>
    <w:rsid w:val="6FC50CC6"/>
    <w:rsid w:val="6FE51A8A"/>
    <w:rsid w:val="6FF9271D"/>
    <w:rsid w:val="701337DF"/>
    <w:rsid w:val="704312BA"/>
    <w:rsid w:val="706C1141"/>
    <w:rsid w:val="70785D38"/>
    <w:rsid w:val="709545C8"/>
    <w:rsid w:val="70962660"/>
    <w:rsid w:val="70C42D2B"/>
    <w:rsid w:val="70CD6084"/>
    <w:rsid w:val="714D4ACF"/>
    <w:rsid w:val="71722787"/>
    <w:rsid w:val="717661CB"/>
    <w:rsid w:val="71E01DE7"/>
    <w:rsid w:val="71E74F23"/>
    <w:rsid w:val="72355642"/>
    <w:rsid w:val="724F40D6"/>
    <w:rsid w:val="726447C6"/>
    <w:rsid w:val="72F527F7"/>
    <w:rsid w:val="72F85FEB"/>
    <w:rsid w:val="73005B71"/>
    <w:rsid w:val="7306762B"/>
    <w:rsid w:val="730C4A23"/>
    <w:rsid w:val="735F45EF"/>
    <w:rsid w:val="7376239E"/>
    <w:rsid w:val="7379604F"/>
    <w:rsid w:val="738342CF"/>
    <w:rsid w:val="73B72E77"/>
    <w:rsid w:val="73E57241"/>
    <w:rsid w:val="73F75017"/>
    <w:rsid w:val="73F76E28"/>
    <w:rsid w:val="74387CB8"/>
    <w:rsid w:val="743C42AB"/>
    <w:rsid w:val="74760F22"/>
    <w:rsid w:val="74DC7FAF"/>
    <w:rsid w:val="74EE481B"/>
    <w:rsid w:val="757F5473"/>
    <w:rsid w:val="75A629FF"/>
    <w:rsid w:val="75AC283A"/>
    <w:rsid w:val="75FD7CE1"/>
    <w:rsid w:val="762514E2"/>
    <w:rsid w:val="762C6746"/>
    <w:rsid w:val="76315615"/>
    <w:rsid w:val="764C7A4B"/>
    <w:rsid w:val="76646B5A"/>
    <w:rsid w:val="7667024B"/>
    <w:rsid w:val="76701221"/>
    <w:rsid w:val="76783F68"/>
    <w:rsid w:val="769D3E02"/>
    <w:rsid w:val="76C21ABB"/>
    <w:rsid w:val="76C53DD8"/>
    <w:rsid w:val="76C83F1F"/>
    <w:rsid w:val="7722615A"/>
    <w:rsid w:val="7791148D"/>
    <w:rsid w:val="779A20D6"/>
    <w:rsid w:val="77A94A29"/>
    <w:rsid w:val="77BC1F58"/>
    <w:rsid w:val="77CA3CBD"/>
    <w:rsid w:val="781520DF"/>
    <w:rsid w:val="7819395D"/>
    <w:rsid w:val="783A2406"/>
    <w:rsid w:val="78483581"/>
    <w:rsid w:val="788E37B9"/>
    <w:rsid w:val="78EB6FA2"/>
    <w:rsid w:val="7904152F"/>
    <w:rsid w:val="792C5912"/>
    <w:rsid w:val="795C70AE"/>
    <w:rsid w:val="79894B12"/>
    <w:rsid w:val="79A100AE"/>
    <w:rsid w:val="79B3354A"/>
    <w:rsid w:val="79D85AF4"/>
    <w:rsid w:val="7A022801"/>
    <w:rsid w:val="7A0E5017"/>
    <w:rsid w:val="7A3251AA"/>
    <w:rsid w:val="7A3C7DD6"/>
    <w:rsid w:val="7A3E46B3"/>
    <w:rsid w:val="7A594333"/>
    <w:rsid w:val="7A65732D"/>
    <w:rsid w:val="7A7B26AD"/>
    <w:rsid w:val="7A9814B1"/>
    <w:rsid w:val="7B3D1A08"/>
    <w:rsid w:val="7B4707E1"/>
    <w:rsid w:val="7B4D0916"/>
    <w:rsid w:val="7B5F3EAA"/>
    <w:rsid w:val="7B660098"/>
    <w:rsid w:val="7B6E4D94"/>
    <w:rsid w:val="7B7A6D02"/>
    <w:rsid w:val="7B7B25BD"/>
    <w:rsid w:val="7B846F1B"/>
    <w:rsid w:val="7BBE22EB"/>
    <w:rsid w:val="7BD1454E"/>
    <w:rsid w:val="7BE20509"/>
    <w:rsid w:val="7BE350CF"/>
    <w:rsid w:val="7C030BAC"/>
    <w:rsid w:val="7CF91158"/>
    <w:rsid w:val="7CF97C1F"/>
    <w:rsid w:val="7D0C1B88"/>
    <w:rsid w:val="7DB8413A"/>
    <w:rsid w:val="7DC600E3"/>
    <w:rsid w:val="7DCE79D2"/>
    <w:rsid w:val="7DDC03C6"/>
    <w:rsid w:val="7DDC7906"/>
    <w:rsid w:val="7E1A3FDF"/>
    <w:rsid w:val="7E505BFE"/>
    <w:rsid w:val="7E6665BA"/>
    <w:rsid w:val="7E927FC5"/>
    <w:rsid w:val="7ECB797B"/>
    <w:rsid w:val="7F046F89"/>
    <w:rsid w:val="7F2C666B"/>
    <w:rsid w:val="7F2D7CEE"/>
    <w:rsid w:val="7F857B2A"/>
    <w:rsid w:val="7F8A15E4"/>
    <w:rsid w:val="7F967F89"/>
    <w:rsid w:val="7FB27298"/>
    <w:rsid w:val="7FC5261C"/>
    <w:rsid w:val="7FC620E9"/>
    <w:rsid w:val="7FFB603E"/>
    <w:rsid w:val="F9B7672D"/>
    <w:rsid w:val="FD7DE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qFormat="1" w:uiPriority="99"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99"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2"/>
    <w:qFormat/>
    <w:uiPriority w:val="0"/>
    <w:pPr>
      <w:keepNext/>
      <w:autoSpaceDE w:val="0"/>
      <w:autoSpaceDN w:val="0"/>
      <w:adjustRightInd w:val="0"/>
      <w:jc w:val="left"/>
      <w:outlineLvl w:val="0"/>
    </w:pPr>
    <w:rPr>
      <w:rFonts w:ascii="仿宋_GB2312" w:eastAsia="仿宋_GB2312"/>
      <w:b/>
      <w:bCs/>
      <w:color w:val="000000"/>
      <w:kern w:val="0"/>
      <w:sz w:val="20"/>
      <w:szCs w:val="20"/>
    </w:rPr>
  </w:style>
  <w:style w:type="paragraph" w:styleId="4">
    <w:name w:val="heading 2"/>
    <w:basedOn w:val="1"/>
    <w:next w:val="1"/>
    <w:link w:val="153"/>
    <w:qFormat/>
    <w:uiPriority w:val="0"/>
    <w:pPr>
      <w:keepNext/>
      <w:keepLines/>
      <w:spacing w:before="120" w:after="120" w:line="360" w:lineRule="auto"/>
      <w:jc w:val="center"/>
      <w:outlineLvl w:val="1"/>
    </w:pPr>
    <w:rPr>
      <w:rFonts w:ascii="Arial" w:hAnsi="Arial"/>
      <w:b/>
      <w:bCs/>
      <w:kern w:val="0"/>
      <w:sz w:val="32"/>
      <w:szCs w:val="32"/>
    </w:rPr>
  </w:style>
  <w:style w:type="paragraph" w:styleId="5">
    <w:name w:val="heading 3"/>
    <w:basedOn w:val="1"/>
    <w:next w:val="1"/>
    <w:link w:val="154"/>
    <w:qFormat/>
    <w:uiPriority w:val="0"/>
    <w:pPr>
      <w:keepNext/>
      <w:keepLines/>
      <w:spacing w:before="120" w:after="120" w:line="360" w:lineRule="auto"/>
      <w:ind w:firstLine="200" w:firstLineChars="200"/>
      <w:jc w:val="center"/>
      <w:outlineLvl w:val="2"/>
    </w:pPr>
    <w:rPr>
      <w:rFonts w:ascii="宋体"/>
      <w:b/>
      <w:bCs/>
      <w:kern w:val="0"/>
      <w:sz w:val="32"/>
      <w:szCs w:val="32"/>
    </w:rPr>
  </w:style>
  <w:style w:type="paragraph" w:styleId="6">
    <w:name w:val="heading 4"/>
    <w:basedOn w:val="1"/>
    <w:next w:val="1"/>
    <w:link w:val="1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56"/>
    <w:qFormat/>
    <w:uiPriority w:val="0"/>
    <w:pPr>
      <w:keepNext/>
      <w:keepLines/>
      <w:numPr>
        <w:ilvl w:val="4"/>
        <w:numId w:val="1"/>
      </w:numPr>
      <w:adjustRightInd w:val="0"/>
      <w:spacing w:before="280" w:after="290" w:line="376" w:lineRule="atLeast"/>
      <w:textAlignment w:val="baseline"/>
      <w:outlineLvl w:val="4"/>
    </w:pPr>
    <w:rPr>
      <w:b/>
      <w:kern w:val="0"/>
      <w:sz w:val="24"/>
    </w:rPr>
  </w:style>
  <w:style w:type="paragraph" w:styleId="8">
    <w:name w:val="heading 6"/>
    <w:basedOn w:val="4"/>
    <w:next w:val="1"/>
    <w:link w:val="157"/>
    <w:qFormat/>
    <w:uiPriority w:val="0"/>
    <w:pPr>
      <w:tabs>
        <w:tab w:val="left" w:pos="-735"/>
      </w:tabs>
      <w:adjustRightInd w:val="0"/>
      <w:spacing w:before="0" w:after="0" w:line="360" w:lineRule="atLeast"/>
      <w:jc w:val="both"/>
      <w:textAlignment w:val="baseline"/>
      <w:outlineLvl w:val="5"/>
    </w:pPr>
    <w:rPr>
      <w:rFonts w:ascii="Times New Roman" w:hAnsi="Times New Roman"/>
      <w:b w:val="0"/>
      <w:bCs w:val="0"/>
      <w:sz w:val="24"/>
      <w:szCs w:val="20"/>
    </w:rPr>
  </w:style>
  <w:style w:type="paragraph" w:styleId="9">
    <w:name w:val="heading 7"/>
    <w:basedOn w:val="1"/>
    <w:next w:val="1"/>
    <w:link w:val="158"/>
    <w:qFormat/>
    <w:uiPriority w:val="0"/>
    <w:pPr>
      <w:keepNext/>
      <w:keepLines/>
      <w:adjustRightInd w:val="0"/>
      <w:spacing w:line="360" w:lineRule="atLeast"/>
      <w:textAlignment w:val="baseline"/>
      <w:outlineLvl w:val="6"/>
    </w:pPr>
    <w:rPr>
      <w:kern w:val="0"/>
      <w:sz w:val="24"/>
      <w:szCs w:val="20"/>
    </w:rPr>
  </w:style>
  <w:style w:type="paragraph" w:styleId="10">
    <w:name w:val="heading 8"/>
    <w:basedOn w:val="9"/>
    <w:next w:val="1"/>
    <w:link w:val="159"/>
    <w:qFormat/>
    <w:uiPriority w:val="0"/>
    <w:pPr>
      <w:outlineLvl w:val="7"/>
    </w:pPr>
  </w:style>
  <w:style w:type="paragraph" w:styleId="11">
    <w:name w:val="heading 9"/>
    <w:basedOn w:val="1"/>
    <w:next w:val="1"/>
    <w:link w:val="160"/>
    <w:qFormat/>
    <w:uiPriority w:val="0"/>
    <w:pPr>
      <w:keepNext/>
      <w:keepLines/>
      <w:adjustRightInd w:val="0"/>
      <w:spacing w:line="360" w:lineRule="atLeast"/>
      <w:textAlignment w:val="baseline"/>
      <w:outlineLvl w:val="8"/>
    </w:pPr>
    <w:rPr>
      <w:kern w:val="0"/>
      <w:sz w:val="24"/>
      <w:szCs w:val="20"/>
    </w:rPr>
  </w:style>
  <w:style w:type="character" w:default="1" w:styleId="133">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1344"/>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spacing w:line="360" w:lineRule="auto"/>
      <w:ind w:left="1260" w:hanging="420"/>
    </w:pPr>
    <w:rPr>
      <w:szCs w:val="20"/>
    </w:rPr>
  </w:style>
  <w:style w:type="paragraph" w:styleId="13">
    <w:name w:val="toc 7"/>
    <w:basedOn w:val="1"/>
    <w:next w:val="1"/>
    <w:qFormat/>
    <w:uiPriority w:val="39"/>
    <w:pPr>
      <w:ind w:left="1200" w:leftChars="1200"/>
    </w:pPr>
  </w:style>
  <w:style w:type="paragraph" w:styleId="14">
    <w:name w:val="List Number 2"/>
    <w:basedOn w:val="1"/>
    <w:qFormat/>
    <w:uiPriority w:val="0"/>
    <w:pPr>
      <w:numPr>
        <w:ilvl w:val="0"/>
        <w:numId w:val="2"/>
      </w:numPr>
      <w:tabs>
        <w:tab w:val="left" w:pos="780"/>
      </w:tabs>
      <w:spacing w:line="360" w:lineRule="auto"/>
    </w:pPr>
    <w:rPr>
      <w:szCs w:val="20"/>
    </w:rPr>
  </w:style>
  <w:style w:type="paragraph" w:styleId="15">
    <w:name w:val="table of authorities"/>
    <w:basedOn w:val="1"/>
    <w:next w:val="1"/>
    <w:unhideWhenUsed/>
    <w:qFormat/>
    <w:uiPriority w:val="99"/>
    <w:pPr>
      <w:spacing w:line="360" w:lineRule="auto"/>
      <w:ind w:left="420" w:leftChars="200"/>
    </w:pPr>
  </w:style>
  <w:style w:type="paragraph" w:styleId="16">
    <w:name w:val="Note Heading"/>
    <w:basedOn w:val="1"/>
    <w:next w:val="1"/>
    <w:link w:val="588"/>
    <w:qFormat/>
    <w:uiPriority w:val="0"/>
    <w:pPr>
      <w:spacing w:line="360" w:lineRule="auto"/>
      <w:jc w:val="center"/>
    </w:pPr>
    <w:rPr>
      <w:szCs w:val="20"/>
    </w:rPr>
  </w:style>
  <w:style w:type="paragraph" w:styleId="17">
    <w:name w:val="List Bullet 4"/>
    <w:basedOn w:val="1"/>
    <w:qFormat/>
    <w:uiPriority w:val="0"/>
    <w:pPr>
      <w:tabs>
        <w:tab w:val="left" w:pos="420"/>
        <w:tab w:val="left" w:pos="1620"/>
      </w:tabs>
      <w:spacing w:line="360" w:lineRule="auto"/>
      <w:ind w:left="1425" w:hanging="720"/>
    </w:pPr>
    <w:rPr>
      <w:szCs w:val="20"/>
    </w:rPr>
  </w:style>
  <w:style w:type="paragraph" w:styleId="18">
    <w:name w:val="index 8"/>
    <w:basedOn w:val="1"/>
    <w:next w:val="1"/>
    <w:qFormat/>
    <w:uiPriority w:val="0"/>
    <w:pPr>
      <w:spacing w:line="360" w:lineRule="auto"/>
      <w:ind w:left="1400" w:leftChars="1400"/>
    </w:pPr>
    <w:rPr>
      <w:szCs w:val="20"/>
    </w:rPr>
  </w:style>
  <w:style w:type="paragraph" w:styleId="19">
    <w:name w:val="E-mail Signature"/>
    <w:basedOn w:val="1"/>
    <w:link w:val="589"/>
    <w:qFormat/>
    <w:uiPriority w:val="0"/>
    <w:pPr>
      <w:spacing w:line="360" w:lineRule="auto"/>
    </w:pPr>
    <w:rPr>
      <w:szCs w:val="20"/>
    </w:rPr>
  </w:style>
  <w:style w:type="paragraph" w:styleId="20">
    <w:name w:val="List Number"/>
    <w:basedOn w:val="1"/>
    <w:qFormat/>
    <w:uiPriority w:val="0"/>
    <w:pPr>
      <w:tabs>
        <w:tab w:val="left" w:pos="1140"/>
      </w:tabs>
      <w:spacing w:line="300" w:lineRule="auto"/>
      <w:ind w:left="1140" w:hanging="720"/>
    </w:pPr>
    <w:rPr>
      <w:b/>
      <w:sz w:val="28"/>
      <w:szCs w:val="20"/>
    </w:rPr>
  </w:style>
  <w:style w:type="paragraph" w:styleId="21">
    <w:name w:val="Normal Indent"/>
    <w:basedOn w:val="1"/>
    <w:next w:val="1"/>
    <w:link w:val="597"/>
    <w:qFormat/>
    <w:uiPriority w:val="0"/>
    <w:pPr>
      <w:tabs>
        <w:tab w:val="left" w:pos="750"/>
      </w:tabs>
      <w:spacing w:beforeLines="50" w:line="300" w:lineRule="auto"/>
      <w:ind w:firstLine="200" w:firstLineChars="200"/>
    </w:pPr>
    <w:rPr>
      <w:rFonts w:ascii="宋体"/>
      <w:szCs w:val="20"/>
    </w:rPr>
  </w:style>
  <w:style w:type="paragraph" w:styleId="22">
    <w:name w:val="caption"/>
    <w:basedOn w:val="1"/>
    <w:next w:val="1"/>
    <w:link w:val="161"/>
    <w:qFormat/>
    <w:uiPriority w:val="0"/>
    <w:pPr>
      <w:spacing w:line="300" w:lineRule="auto"/>
    </w:pPr>
    <w:rPr>
      <w:rFonts w:ascii="Cambria" w:hAnsi="Cambria" w:eastAsia="黑体"/>
      <w:kern w:val="0"/>
      <w:sz w:val="20"/>
      <w:szCs w:val="20"/>
    </w:rPr>
  </w:style>
  <w:style w:type="paragraph" w:styleId="23">
    <w:name w:val="index 5"/>
    <w:basedOn w:val="1"/>
    <w:next w:val="1"/>
    <w:qFormat/>
    <w:uiPriority w:val="0"/>
    <w:pPr>
      <w:spacing w:line="360" w:lineRule="auto"/>
      <w:ind w:left="800" w:leftChars="800"/>
    </w:pPr>
    <w:rPr>
      <w:szCs w:val="20"/>
    </w:rPr>
  </w:style>
  <w:style w:type="paragraph" w:styleId="24">
    <w:name w:val="List Bullet"/>
    <w:basedOn w:val="1"/>
    <w:qFormat/>
    <w:uiPriority w:val="0"/>
    <w:pPr>
      <w:numPr>
        <w:ilvl w:val="0"/>
        <w:numId w:val="3"/>
      </w:numPr>
      <w:tabs>
        <w:tab w:val="left" w:pos="360"/>
      </w:tabs>
      <w:spacing w:line="360" w:lineRule="auto"/>
    </w:pPr>
    <w:rPr>
      <w:szCs w:val="20"/>
    </w:rPr>
  </w:style>
  <w:style w:type="paragraph" w:styleId="25">
    <w:name w:val="envelope address"/>
    <w:basedOn w:val="1"/>
    <w:qFormat/>
    <w:uiPriority w:val="0"/>
    <w:pPr>
      <w:snapToGrid w:val="0"/>
      <w:spacing w:line="360" w:lineRule="auto"/>
      <w:ind w:left="2880"/>
    </w:pPr>
    <w:rPr>
      <w:rFonts w:ascii="Arial" w:hAnsi="Arial"/>
      <w:sz w:val="24"/>
      <w:szCs w:val="20"/>
    </w:rPr>
  </w:style>
  <w:style w:type="paragraph" w:styleId="26">
    <w:name w:val="Document Map"/>
    <w:basedOn w:val="1"/>
    <w:link w:val="162"/>
    <w:qFormat/>
    <w:uiPriority w:val="0"/>
    <w:pPr>
      <w:shd w:val="clear" w:color="auto" w:fill="000080"/>
    </w:pPr>
    <w:rPr>
      <w:kern w:val="0"/>
      <w:sz w:val="24"/>
    </w:rPr>
  </w:style>
  <w:style w:type="paragraph" w:styleId="27">
    <w:name w:val="annotation text"/>
    <w:basedOn w:val="1"/>
    <w:link w:val="163"/>
    <w:qFormat/>
    <w:uiPriority w:val="99"/>
    <w:pPr>
      <w:jc w:val="left"/>
    </w:pPr>
    <w:rPr>
      <w:kern w:val="0"/>
      <w:sz w:val="24"/>
    </w:rPr>
  </w:style>
  <w:style w:type="paragraph" w:styleId="28">
    <w:name w:val="index 6"/>
    <w:basedOn w:val="1"/>
    <w:next w:val="1"/>
    <w:qFormat/>
    <w:uiPriority w:val="0"/>
    <w:pPr>
      <w:spacing w:line="360" w:lineRule="auto"/>
      <w:ind w:left="1000" w:leftChars="1000"/>
    </w:pPr>
    <w:rPr>
      <w:szCs w:val="20"/>
    </w:rPr>
  </w:style>
  <w:style w:type="paragraph" w:styleId="29">
    <w:name w:val="Salutation"/>
    <w:basedOn w:val="1"/>
    <w:next w:val="1"/>
    <w:link w:val="587"/>
    <w:qFormat/>
    <w:uiPriority w:val="0"/>
    <w:pPr>
      <w:adjustRightInd w:val="0"/>
      <w:snapToGrid w:val="0"/>
      <w:spacing w:line="360" w:lineRule="auto"/>
      <w:ind w:firstLine="200" w:firstLineChars="200"/>
    </w:pPr>
    <w:rPr>
      <w:szCs w:val="20"/>
    </w:rPr>
  </w:style>
  <w:style w:type="paragraph" w:styleId="30">
    <w:name w:val="Body Text 3"/>
    <w:basedOn w:val="1"/>
    <w:link w:val="164"/>
    <w:qFormat/>
    <w:uiPriority w:val="0"/>
    <w:rPr>
      <w:rFonts w:ascii="宋体" w:hAnsi="宋体"/>
      <w:color w:val="0000FF"/>
      <w:sz w:val="20"/>
    </w:rPr>
  </w:style>
  <w:style w:type="paragraph" w:styleId="31">
    <w:name w:val="Closing"/>
    <w:basedOn w:val="1"/>
    <w:link w:val="590"/>
    <w:qFormat/>
    <w:uiPriority w:val="0"/>
    <w:pPr>
      <w:spacing w:line="360" w:lineRule="auto"/>
      <w:ind w:left="4320"/>
    </w:pPr>
    <w:rPr>
      <w:szCs w:val="20"/>
    </w:rPr>
  </w:style>
  <w:style w:type="paragraph" w:styleId="32">
    <w:name w:val="List Bullet 3"/>
    <w:basedOn w:val="1"/>
    <w:qFormat/>
    <w:uiPriority w:val="99"/>
    <w:pPr>
      <w:numPr>
        <w:ilvl w:val="0"/>
        <w:numId w:val="4"/>
      </w:numPr>
      <w:tabs>
        <w:tab w:val="left" w:pos="0"/>
        <w:tab w:val="left" w:pos="1200"/>
      </w:tabs>
      <w:spacing w:line="360" w:lineRule="auto"/>
    </w:pPr>
    <w:rPr>
      <w:szCs w:val="20"/>
    </w:rPr>
  </w:style>
  <w:style w:type="paragraph" w:styleId="33">
    <w:name w:val="Body Text"/>
    <w:basedOn w:val="1"/>
    <w:next w:val="1"/>
    <w:link w:val="151"/>
    <w:unhideWhenUsed/>
    <w:qFormat/>
    <w:uiPriority w:val="0"/>
    <w:pPr>
      <w:spacing w:after="120"/>
    </w:pPr>
    <w:rPr>
      <w:kern w:val="0"/>
      <w:sz w:val="24"/>
    </w:rPr>
  </w:style>
  <w:style w:type="paragraph" w:styleId="34">
    <w:name w:val="Body Text Indent"/>
    <w:basedOn w:val="1"/>
    <w:next w:val="35"/>
    <w:link w:val="165"/>
    <w:qFormat/>
    <w:uiPriority w:val="0"/>
    <w:pPr>
      <w:ind w:firstLine="200" w:firstLineChars="200"/>
      <w:jc w:val="left"/>
    </w:pPr>
    <w:rPr>
      <w:rFonts w:ascii="仿宋_GB2312" w:eastAsia="仿宋_GB2312"/>
      <w:kern w:val="0"/>
      <w:sz w:val="24"/>
    </w:rPr>
  </w:style>
  <w:style w:type="paragraph" w:styleId="35">
    <w:name w:val="annotation subject"/>
    <w:basedOn w:val="27"/>
    <w:next w:val="1"/>
    <w:link w:val="166"/>
    <w:qFormat/>
    <w:uiPriority w:val="0"/>
    <w:rPr>
      <w:b/>
      <w:bCs/>
    </w:rPr>
  </w:style>
  <w:style w:type="paragraph" w:styleId="36">
    <w:name w:val="List Number 3"/>
    <w:basedOn w:val="1"/>
    <w:qFormat/>
    <w:uiPriority w:val="0"/>
    <w:pPr>
      <w:widowControl/>
      <w:tabs>
        <w:tab w:val="left" w:pos="1200"/>
      </w:tabs>
      <w:spacing w:after="160" w:line="360" w:lineRule="auto"/>
      <w:ind w:left="1200" w:hanging="360"/>
    </w:pPr>
    <w:rPr>
      <w:rFonts w:ascii="Calibri" w:hAnsi="Calibri"/>
      <w:color w:val="5A5A5A"/>
      <w:spacing w:val="10"/>
      <w:szCs w:val="20"/>
      <w:lang w:eastAsia="en-US"/>
    </w:rPr>
  </w:style>
  <w:style w:type="paragraph" w:styleId="37">
    <w:name w:val="List 2"/>
    <w:basedOn w:val="1"/>
    <w:qFormat/>
    <w:uiPriority w:val="0"/>
    <w:pPr>
      <w:spacing w:line="360" w:lineRule="auto"/>
      <w:ind w:left="840" w:hanging="420"/>
    </w:pPr>
    <w:rPr>
      <w:szCs w:val="20"/>
    </w:rPr>
  </w:style>
  <w:style w:type="paragraph" w:styleId="38">
    <w:name w:val="List Continue"/>
    <w:basedOn w:val="1"/>
    <w:qFormat/>
    <w:uiPriority w:val="0"/>
    <w:pPr>
      <w:spacing w:after="120" w:line="360" w:lineRule="auto"/>
      <w:ind w:left="420"/>
    </w:pPr>
    <w:rPr>
      <w:szCs w:val="20"/>
    </w:rPr>
  </w:style>
  <w:style w:type="paragraph" w:styleId="39">
    <w:name w:val="Block Text"/>
    <w:basedOn w:val="1"/>
    <w:qFormat/>
    <w:uiPriority w:val="0"/>
    <w:pPr>
      <w:adjustRightInd w:val="0"/>
      <w:ind w:left="420" w:right="33"/>
      <w:jc w:val="left"/>
      <w:textAlignment w:val="baseline"/>
    </w:pPr>
    <w:rPr>
      <w:kern w:val="0"/>
      <w:sz w:val="24"/>
      <w:szCs w:val="20"/>
    </w:rPr>
  </w:style>
  <w:style w:type="paragraph" w:styleId="40">
    <w:name w:val="List Bullet 2"/>
    <w:basedOn w:val="1"/>
    <w:qFormat/>
    <w:uiPriority w:val="0"/>
    <w:pPr>
      <w:tabs>
        <w:tab w:val="left" w:pos="1275"/>
      </w:tabs>
      <w:spacing w:line="360" w:lineRule="auto"/>
      <w:ind w:left="1275" w:hanging="1275"/>
    </w:pPr>
    <w:rPr>
      <w:rFonts w:ascii="宋体"/>
      <w:sz w:val="24"/>
      <w:szCs w:val="20"/>
    </w:rPr>
  </w:style>
  <w:style w:type="paragraph" w:styleId="41">
    <w:name w:val="HTML Address"/>
    <w:basedOn w:val="1"/>
    <w:link w:val="591"/>
    <w:qFormat/>
    <w:uiPriority w:val="0"/>
    <w:pPr>
      <w:spacing w:line="360" w:lineRule="auto"/>
    </w:pPr>
    <w:rPr>
      <w:i/>
      <w:szCs w:val="20"/>
    </w:rPr>
  </w:style>
  <w:style w:type="paragraph" w:styleId="42">
    <w:name w:val="index 4"/>
    <w:basedOn w:val="1"/>
    <w:next w:val="1"/>
    <w:qFormat/>
    <w:uiPriority w:val="0"/>
    <w:pPr>
      <w:spacing w:line="360" w:lineRule="auto"/>
      <w:ind w:left="600" w:leftChars="600"/>
    </w:pPr>
    <w:rPr>
      <w:szCs w:val="20"/>
    </w:rPr>
  </w:style>
  <w:style w:type="paragraph" w:styleId="43">
    <w:name w:val="toc 5"/>
    <w:basedOn w:val="1"/>
    <w:next w:val="1"/>
    <w:qFormat/>
    <w:uiPriority w:val="39"/>
    <w:pPr>
      <w:ind w:left="800" w:leftChars="800"/>
    </w:pPr>
  </w:style>
  <w:style w:type="paragraph" w:styleId="44">
    <w:name w:val="toc 3"/>
    <w:basedOn w:val="1"/>
    <w:next w:val="1"/>
    <w:qFormat/>
    <w:uiPriority w:val="39"/>
    <w:pPr>
      <w:tabs>
        <w:tab w:val="right" w:leader="dot" w:pos="9515"/>
      </w:tabs>
      <w:ind w:left="400" w:leftChars="400"/>
    </w:pPr>
  </w:style>
  <w:style w:type="paragraph" w:styleId="45">
    <w:name w:val="Plain Text"/>
    <w:basedOn w:val="1"/>
    <w:next w:val="1"/>
    <w:link w:val="167"/>
    <w:qFormat/>
    <w:uiPriority w:val="0"/>
    <w:pPr>
      <w:autoSpaceDE w:val="0"/>
      <w:autoSpaceDN w:val="0"/>
      <w:adjustRightInd w:val="0"/>
      <w:jc w:val="left"/>
    </w:pPr>
    <w:rPr>
      <w:rFonts w:ascii="宋体" w:hAnsi="Courier New"/>
      <w:szCs w:val="21"/>
    </w:rPr>
  </w:style>
  <w:style w:type="paragraph" w:styleId="46">
    <w:name w:val="List Bullet 5"/>
    <w:basedOn w:val="1"/>
    <w:qFormat/>
    <w:uiPriority w:val="0"/>
    <w:pPr>
      <w:tabs>
        <w:tab w:val="left" w:pos="1275"/>
        <w:tab w:val="left" w:pos="2040"/>
      </w:tabs>
      <w:spacing w:line="360" w:lineRule="auto"/>
      <w:ind w:left="1275" w:hanging="1275"/>
    </w:pPr>
    <w:rPr>
      <w:szCs w:val="20"/>
    </w:rPr>
  </w:style>
  <w:style w:type="paragraph" w:styleId="47">
    <w:name w:val="List Number 4"/>
    <w:basedOn w:val="1"/>
    <w:qFormat/>
    <w:uiPriority w:val="0"/>
    <w:pPr>
      <w:tabs>
        <w:tab w:val="left" w:pos="700"/>
        <w:tab w:val="left" w:pos="1620"/>
      </w:tabs>
      <w:spacing w:line="360" w:lineRule="auto"/>
      <w:ind w:left="800" w:hanging="360"/>
    </w:pPr>
    <w:rPr>
      <w:szCs w:val="20"/>
    </w:rPr>
  </w:style>
  <w:style w:type="paragraph" w:styleId="48">
    <w:name w:val="toc 8"/>
    <w:basedOn w:val="1"/>
    <w:next w:val="1"/>
    <w:qFormat/>
    <w:uiPriority w:val="39"/>
    <w:pPr>
      <w:ind w:left="1400" w:leftChars="1400"/>
    </w:pPr>
  </w:style>
  <w:style w:type="paragraph" w:styleId="49">
    <w:name w:val="index 3"/>
    <w:basedOn w:val="1"/>
    <w:next w:val="1"/>
    <w:qFormat/>
    <w:uiPriority w:val="0"/>
    <w:pPr>
      <w:spacing w:line="360" w:lineRule="auto"/>
      <w:ind w:left="400" w:leftChars="400"/>
    </w:pPr>
    <w:rPr>
      <w:szCs w:val="20"/>
    </w:rPr>
  </w:style>
  <w:style w:type="paragraph" w:styleId="50">
    <w:name w:val="Date"/>
    <w:basedOn w:val="1"/>
    <w:next w:val="1"/>
    <w:link w:val="168"/>
    <w:qFormat/>
    <w:uiPriority w:val="0"/>
    <w:pPr>
      <w:ind w:left="2500" w:leftChars="2500"/>
    </w:pPr>
    <w:rPr>
      <w:rFonts w:ascii="仿宋_GB2312" w:eastAsia="仿宋_GB2312"/>
      <w:kern w:val="0"/>
      <w:sz w:val="24"/>
    </w:rPr>
  </w:style>
  <w:style w:type="paragraph" w:styleId="51">
    <w:name w:val="Body Text Indent 2"/>
    <w:basedOn w:val="1"/>
    <w:link w:val="169"/>
    <w:qFormat/>
    <w:uiPriority w:val="0"/>
    <w:pPr>
      <w:spacing w:line="60" w:lineRule="auto"/>
      <w:ind w:firstLine="128" w:firstLineChars="128"/>
    </w:pPr>
    <w:rPr>
      <w:rFonts w:ascii="仿宋_GB2312" w:eastAsia="仿宋_GB2312"/>
      <w:kern w:val="0"/>
      <w:sz w:val="24"/>
    </w:rPr>
  </w:style>
  <w:style w:type="paragraph" w:styleId="52">
    <w:name w:val="endnote text"/>
    <w:basedOn w:val="1"/>
    <w:link w:val="170"/>
    <w:qFormat/>
    <w:uiPriority w:val="0"/>
    <w:pPr>
      <w:widowControl/>
      <w:snapToGrid w:val="0"/>
      <w:jc w:val="left"/>
    </w:pPr>
    <w:rPr>
      <w:rFonts w:ascii="Calibri" w:hAnsi="Calibri"/>
      <w:kern w:val="0"/>
      <w:sz w:val="20"/>
      <w:szCs w:val="20"/>
    </w:rPr>
  </w:style>
  <w:style w:type="paragraph" w:styleId="53">
    <w:name w:val="List Continue 5"/>
    <w:basedOn w:val="1"/>
    <w:qFormat/>
    <w:uiPriority w:val="0"/>
    <w:pPr>
      <w:spacing w:after="120" w:line="360" w:lineRule="auto"/>
      <w:ind w:left="2100"/>
    </w:pPr>
    <w:rPr>
      <w:szCs w:val="20"/>
    </w:rPr>
  </w:style>
  <w:style w:type="paragraph" w:styleId="54">
    <w:name w:val="Balloon Text"/>
    <w:basedOn w:val="1"/>
    <w:link w:val="171"/>
    <w:qFormat/>
    <w:uiPriority w:val="0"/>
    <w:rPr>
      <w:kern w:val="0"/>
      <w:sz w:val="18"/>
      <w:szCs w:val="18"/>
    </w:rPr>
  </w:style>
  <w:style w:type="paragraph" w:styleId="55">
    <w:name w:val="footer"/>
    <w:basedOn w:val="1"/>
    <w:link w:val="172"/>
    <w:unhideWhenUsed/>
    <w:qFormat/>
    <w:uiPriority w:val="99"/>
    <w:pPr>
      <w:tabs>
        <w:tab w:val="center" w:pos="4153"/>
        <w:tab w:val="right" w:pos="8306"/>
      </w:tabs>
      <w:snapToGrid w:val="0"/>
      <w:jc w:val="left"/>
    </w:pPr>
    <w:rPr>
      <w:kern w:val="0"/>
      <w:sz w:val="18"/>
      <w:szCs w:val="18"/>
    </w:rPr>
  </w:style>
  <w:style w:type="paragraph" w:styleId="56">
    <w:name w:val="envelope return"/>
    <w:basedOn w:val="1"/>
    <w:qFormat/>
    <w:uiPriority w:val="0"/>
    <w:pPr>
      <w:snapToGrid w:val="0"/>
      <w:spacing w:line="360" w:lineRule="auto"/>
    </w:pPr>
    <w:rPr>
      <w:rFonts w:ascii="Arial" w:hAnsi="Arial"/>
      <w:szCs w:val="20"/>
    </w:rPr>
  </w:style>
  <w:style w:type="paragraph" w:styleId="57">
    <w:name w:val="header"/>
    <w:basedOn w:val="1"/>
    <w:link w:val="17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592"/>
    <w:qFormat/>
    <w:uiPriority w:val="0"/>
    <w:pPr>
      <w:spacing w:line="360" w:lineRule="auto"/>
      <w:ind w:left="4320"/>
    </w:pPr>
    <w:rPr>
      <w:szCs w:val="20"/>
    </w:rPr>
  </w:style>
  <w:style w:type="paragraph" w:styleId="59">
    <w:name w:val="toc 1"/>
    <w:basedOn w:val="1"/>
    <w:next w:val="1"/>
    <w:qFormat/>
    <w:uiPriority w:val="39"/>
    <w:pPr>
      <w:tabs>
        <w:tab w:val="right" w:leader="dot" w:pos="9628"/>
      </w:tabs>
      <w:spacing w:line="360" w:lineRule="auto"/>
    </w:pPr>
    <w:rPr>
      <w:rFonts w:hAnsi="宋体"/>
      <w:b/>
      <w:sz w:val="24"/>
    </w:rPr>
  </w:style>
  <w:style w:type="paragraph" w:styleId="60">
    <w:name w:val="List Continue 4"/>
    <w:basedOn w:val="1"/>
    <w:qFormat/>
    <w:uiPriority w:val="0"/>
    <w:pPr>
      <w:spacing w:after="120" w:line="360" w:lineRule="auto"/>
      <w:ind w:left="1680"/>
    </w:pPr>
    <w:rPr>
      <w:szCs w:val="20"/>
    </w:rPr>
  </w:style>
  <w:style w:type="paragraph" w:styleId="61">
    <w:name w:val="toc 4"/>
    <w:basedOn w:val="1"/>
    <w:next w:val="1"/>
    <w:qFormat/>
    <w:uiPriority w:val="39"/>
    <w:pPr>
      <w:ind w:left="600" w:leftChars="600"/>
    </w:pPr>
  </w:style>
  <w:style w:type="paragraph" w:styleId="62">
    <w:name w:val="index heading"/>
    <w:basedOn w:val="1"/>
    <w:next w:val="63"/>
    <w:qFormat/>
    <w:uiPriority w:val="0"/>
    <w:pPr>
      <w:adjustRightInd w:val="0"/>
      <w:spacing w:line="490" w:lineRule="exact"/>
      <w:ind w:firstLine="556"/>
      <w:textAlignment w:val="baseline"/>
    </w:pPr>
    <w:rPr>
      <w:rFonts w:eastAsia="仿宋_GB2312"/>
      <w:kern w:val="0"/>
      <w:sz w:val="28"/>
      <w:szCs w:val="20"/>
    </w:rPr>
  </w:style>
  <w:style w:type="paragraph" w:styleId="63">
    <w:name w:val="index 1"/>
    <w:basedOn w:val="1"/>
    <w:next w:val="1"/>
    <w:qFormat/>
    <w:uiPriority w:val="0"/>
    <w:pPr>
      <w:widowControl/>
      <w:spacing w:after="200" w:line="220" w:lineRule="exact"/>
      <w:jc w:val="center"/>
    </w:pPr>
    <w:rPr>
      <w:rFonts w:ascii="仿宋_GB2312" w:hAnsi="Calibri" w:eastAsia="仿宋_GB2312"/>
      <w:kern w:val="0"/>
      <w:sz w:val="22"/>
      <w:szCs w:val="21"/>
    </w:rPr>
  </w:style>
  <w:style w:type="paragraph" w:styleId="64">
    <w:name w:val="Subtitle"/>
    <w:basedOn w:val="1"/>
    <w:link w:val="174"/>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numPr>
        <w:ilvl w:val="0"/>
        <w:numId w:val="5"/>
      </w:numPr>
      <w:tabs>
        <w:tab w:val="left" w:pos="360"/>
        <w:tab w:val="left" w:pos="2040"/>
      </w:tabs>
      <w:spacing w:line="360" w:lineRule="auto"/>
    </w:pPr>
    <w:rPr>
      <w:szCs w:val="20"/>
    </w:rPr>
  </w:style>
  <w:style w:type="paragraph" w:styleId="66">
    <w:name w:val="List"/>
    <w:basedOn w:val="1"/>
    <w:qFormat/>
    <w:uiPriority w:val="0"/>
    <w:pPr>
      <w:spacing w:line="360" w:lineRule="auto"/>
      <w:ind w:left="420" w:hanging="420"/>
    </w:pPr>
    <w:rPr>
      <w:szCs w:val="20"/>
    </w:rPr>
  </w:style>
  <w:style w:type="paragraph" w:styleId="67">
    <w:name w:val="footnote text"/>
    <w:basedOn w:val="1"/>
    <w:link w:val="175"/>
    <w:qFormat/>
    <w:uiPriority w:val="0"/>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1000" w:leftChars="1000"/>
    </w:pPr>
  </w:style>
  <w:style w:type="paragraph" w:styleId="69">
    <w:name w:val="List 5"/>
    <w:basedOn w:val="1"/>
    <w:qFormat/>
    <w:uiPriority w:val="0"/>
    <w:pPr>
      <w:spacing w:line="360" w:lineRule="auto"/>
      <w:ind w:left="2100" w:hanging="420"/>
    </w:pPr>
    <w:rPr>
      <w:szCs w:val="20"/>
    </w:rPr>
  </w:style>
  <w:style w:type="paragraph" w:styleId="70">
    <w:name w:val="Body Text Indent 3"/>
    <w:basedOn w:val="1"/>
    <w:link w:val="176"/>
    <w:qFormat/>
    <w:uiPriority w:val="0"/>
    <w:pPr>
      <w:spacing w:line="360" w:lineRule="auto"/>
      <w:ind w:firstLine="192" w:firstLineChars="192"/>
    </w:pPr>
    <w:rPr>
      <w:rFonts w:ascii="仿宋_GB2312" w:eastAsia="仿宋_GB2312"/>
      <w:color w:val="3366FF"/>
      <w:kern w:val="0"/>
      <w:sz w:val="24"/>
    </w:rPr>
  </w:style>
  <w:style w:type="paragraph" w:styleId="71">
    <w:name w:val="index 7"/>
    <w:basedOn w:val="1"/>
    <w:next w:val="1"/>
    <w:qFormat/>
    <w:uiPriority w:val="0"/>
    <w:pPr>
      <w:spacing w:line="360" w:lineRule="auto"/>
      <w:ind w:left="1200" w:leftChars="1200"/>
    </w:pPr>
    <w:rPr>
      <w:szCs w:val="20"/>
    </w:rPr>
  </w:style>
  <w:style w:type="paragraph" w:styleId="72">
    <w:name w:val="index 9"/>
    <w:basedOn w:val="1"/>
    <w:next w:val="1"/>
    <w:qFormat/>
    <w:uiPriority w:val="0"/>
    <w:pPr>
      <w:spacing w:line="360" w:lineRule="auto"/>
      <w:ind w:left="1600" w:leftChars="1600"/>
    </w:pPr>
    <w:rPr>
      <w:szCs w:val="20"/>
    </w:rPr>
  </w:style>
  <w:style w:type="paragraph" w:styleId="73">
    <w:name w:val="table of figures"/>
    <w:basedOn w:val="1"/>
    <w:next w:val="1"/>
    <w:qFormat/>
    <w:uiPriority w:val="0"/>
    <w:pPr>
      <w:spacing w:line="360" w:lineRule="auto"/>
      <w:ind w:left="300" w:leftChars="100" w:hanging="200" w:hangingChars="200"/>
    </w:pPr>
    <w:rPr>
      <w:rFonts w:ascii="宋体"/>
      <w:sz w:val="24"/>
      <w:szCs w:val="20"/>
    </w:rPr>
  </w:style>
  <w:style w:type="paragraph" w:styleId="74">
    <w:name w:val="toc 2"/>
    <w:basedOn w:val="1"/>
    <w:next w:val="1"/>
    <w:qFormat/>
    <w:uiPriority w:val="39"/>
    <w:pPr>
      <w:tabs>
        <w:tab w:val="right" w:leader="dot" w:pos="9515"/>
      </w:tabs>
      <w:ind w:left="270" w:leftChars="100" w:right="100" w:rightChars="100" w:hanging="60"/>
    </w:pPr>
  </w:style>
  <w:style w:type="paragraph" w:styleId="75">
    <w:name w:val="toc 9"/>
    <w:basedOn w:val="1"/>
    <w:next w:val="1"/>
    <w:qFormat/>
    <w:uiPriority w:val="39"/>
    <w:pPr>
      <w:ind w:left="1600" w:leftChars="1600"/>
    </w:pPr>
  </w:style>
  <w:style w:type="paragraph" w:styleId="76">
    <w:name w:val="Body Text 2"/>
    <w:basedOn w:val="1"/>
    <w:link w:val="177"/>
    <w:qFormat/>
    <w:uiPriority w:val="0"/>
    <w:rPr>
      <w:rFonts w:ascii="宋体"/>
      <w:kern w:val="0"/>
      <w:sz w:val="20"/>
      <w:szCs w:val="20"/>
    </w:rPr>
  </w:style>
  <w:style w:type="paragraph" w:styleId="77">
    <w:name w:val="List 4"/>
    <w:basedOn w:val="1"/>
    <w:qFormat/>
    <w:uiPriority w:val="0"/>
    <w:pPr>
      <w:spacing w:line="360" w:lineRule="auto"/>
      <w:ind w:left="1680" w:hanging="420"/>
    </w:pPr>
    <w:rPr>
      <w:szCs w:val="20"/>
    </w:rPr>
  </w:style>
  <w:style w:type="paragraph" w:styleId="78">
    <w:name w:val="List Continue 2"/>
    <w:basedOn w:val="1"/>
    <w:qFormat/>
    <w:uiPriority w:val="0"/>
    <w:pPr>
      <w:spacing w:after="120" w:line="360" w:lineRule="auto"/>
      <w:ind w:left="840"/>
    </w:pPr>
    <w:rPr>
      <w:szCs w:val="20"/>
    </w:rPr>
  </w:style>
  <w:style w:type="paragraph" w:styleId="79">
    <w:name w:val="Message Header"/>
    <w:basedOn w:val="1"/>
    <w:link w:val="593"/>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hanging="1080"/>
    </w:pPr>
    <w:rPr>
      <w:rFonts w:ascii="Arial" w:hAnsi="Arial"/>
      <w:sz w:val="24"/>
      <w:szCs w:val="20"/>
      <w:shd w:val="pct20" w:color="auto" w:fill="auto"/>
    </w:rPr>
  </w:style>
  <w:style w:type="paragraph" w:styleId="80">
    <w:name w:val="HTML Preformatted"/>
    <w:basedOn w:val="1"/>
    <w:link w:val="594"/>
    <w:qFormat/>
    <w:uiPriority w:val="0"/>
    <w:pPr>
      <w:spacing w:line="360" w:lineRule="auto"/>
    </w:pPr>
    <w:rPr>
      <w:rFonts w:ascii="Courier New" w:hAnsi="Courier New"/>
      <w:sz w:val="20"/>
      <w:szCs w:val="20"/>
    </w:rPr>
  </w:style>
  <w:style w:type="paragraph" w:styleId="81">
    <w:name w:val="Normal (Web)"/>
    <w:basedOn w:val="1"/>
    <w:link w:val="1064"/>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pPr>
    <w:rPr>
      <w:szCs w:val="20"/>
    </w:rPr>
  </w:style>
  <w:style w:type="paragraph" w:styleId="83">
    <w:name w:val="index 2"/>
    <w:basedOn w:val="1"/>
    <w:next w:val="1"/>
    <w:qFormat/>
    <w:uiPriority w:val="0"/>
    <w:pPr>
      <w:spacing w:line="360" w:lineRule="auto"/>
      <w:ind w:left="200" w:leftChars="200"/>
    </w:pPr>
    <w:rPr>
      <w:szCs w:val="20"/>
    </w:rPr>
  </w:style>
  <w:style w:type="paragraph" w:styleId="84">
    <w:name w:val="Title"/>
    <w:basedOn w:val="1"/>
    <w:next w:val="1"/>
    <w:link w:val="178"/>
    <w:qFormat/>
    <w:uiPriority w:val="0"/>
    <w:pPr>
      <w:widowControl/>
      <w:pBdr>
        <w:bottom w:val="single" w:color="2DA2BF" w:sz="8" w:space="4"/>
      </w:pBdr>
      <w:spacing w:after="300"/>
      <w:contextualSpacing/>
      <w:jc w:val="left"/>
    </w:pPr>
    <w:rPr>
      <w:rFonts w:ascii="Cambria" w:hAnsi="Cambria"/>
      <w:color w:val="343434"/>
      <w:spacing w:val="5"/>
      <w:kern w:val="28"/>
      <w:sz w:val="52"/>
      <w:szCs w:val="52"/>
    </w:rPr>
  </w:style>
  <w:style w:type="paragraph" w:styleId="85">
    <w:name w:val="Body Text First Indent"/>
    <w:basedOn w:val="33"/>
    <w:next w:val="86"/>
    <w:link w:val="179"/>
    <w:qFormat/>
    <w:uiPriority w:val="99"/>
    <w:pPr>
      <w:tabs>
        <w:tab w:val="center" w:pos="2185"/>
      </w:tabs>
      <w:spacing w:beforeLines="50" w:after="0" w:line="300" w:lineRule="auto"/>
      <w:ind w:firstLine="200" w:firstLineChars="200"/>
    </w:pPr>
    <w:rPr>
      <w:rFonts w:ascii="楷体_GB2312" w:eastAsia="楷体_GB2312"/>
      <w:spacing w:val="4"/>
      <w:sz w:val="20"/>
      <w:szCs w:val="20"/>
    </w:rPr>
  </w:style>
  <w:style w:type="paragraph" w:styleId="86">
    <w:name w:val="Body Text First Indent 2"/>
    <w:basedOn w:val="34"/>
    <w:next w:val="1"/>
    <w:link w:val="180"/>
    <w:unhideWhenUsed/>
    <w:qFormat/>
    <w:uiPriority w:val="0"/>
    <w:pPr>
      <w:spacing w:after="120"/>
      <w:ind w:left="420" w:leftChars="200" w:firstLine="420"/>
      <w:jc w:val="both"/>
    </w:pPr>
    <w:rPr>
      <w:rFonts w:ascii="Calibri" w:eastAsia="宋体"/>
      <w:kern w:val="2"/>
      <w:sz w:val="21"/>
      <w:szCs w:val="20"/>
    </w:rPr>
  </w:style>
  <w:style w:type="table" w:styleId="88">
    <w:name w:val="Table Grid"/>
    <w:basedOn w:val="8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Theme"/>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olorful 1"/>
    <w:basedOn w:val="87"/>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0">
    <w:name w:val="Table List 5"/>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List 7"/>
    <w:basedOn w:val="87"/>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2"/>
    <w:basedOn w:val="87"/>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4"/>
    <w:basedOn w:val="87"/>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6"/>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7"/>
    <w:basedOn w:val="8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8"/>
    <w:basedOn w:val="87"/>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2">
    <w:name w:val="Medium Grid 1 Accent 2"/>
    <w:basedOn w:val="8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4">
    <w:name w:val="Strong"/>
    <w:qFormat/>
    <w:uiPriority w:val="0"/>
    <w:rPr>
      <w:b/>
      <w:bCs/>
    </w:rPr>
  </w:style>
  <w:style w:type="character" w:styleId="135">
    <w:name w:val="endnote reference"/>
    <w:qFormat/>
    <w:uiPriority w:val="0"/>
    <w:rPr>
      <w:vertAlign w:val="superscript"/>
    </w:rPr>
  </w:style>
  <w:style w:type="character" w:styleId="136">
    <w:name w:val="page number"/>
    <w:qFormat/>
    <w:uiPriority w:val="0"/>
    <w:rPr>
      <w:rFonts w:cs="Times New Roman"/>
    </w:rPr>
  </w:style>
  <w:style w:type="character" w:styleId="137">
    <w:name w:val="FollowedHyperlink"/>
    <w:qFormat/>
    <w:uiPriority w:val="0"/>
    <w:rPr>
      <w:color w:val="333333"/>
      <w:u w:val="none"/>
    </w:rPr>
  </w:style>
  <w:style w:type="character" w:styleId="138">
    <w:name w:val="Emphasis"/>
    <w:qFormat/>
    <w:uiPriority w:val="0"/>
    <w:rPr>
      <w:i/>
      <w:iCs/>
    </w:rPr>
  </w:style>
  <w:style w:type="character" w:styleId="139">
    <w:name w:val="line number"/>
    <w:qFormat/>
    <w:uiPriority w:val="0"/>
  </w:style>
  <w:style w:type="character" w:styleId="140">
    <w:name w:val="HTML Definition"/>
    <w:qFormat/>
    <w:uiPriority w:val="0"/>
    <w:rPr>
      <w:i/>
    </w:rPr>
  </w:style>
  <w:style w:type="character" w:styleId="141">
    <w:name w:val="HTML Typewriter"/>
    <w:qFormat/>
    <w:uiPriority w:val="0"/>
    <w:rPr>
      <w:rFonts w:ascii="Courier New" w:hAnsi="Courier New"/>
      <w:sz w:val="20"/>
    </w:rPr>
  </w:style>
  <w:style w:type="character" w:styleId="142">
    <w:name w:val="HTML Acronym"/>
    <w:qFormat/>
    <w:uiPriority w:val="0"/>
  </w:style>
  <w:style w:type="character" w:styleId="143">
    <w:name w:val="HTML Variable"/>
    <w:qFormat/>
    <w:uiPriority w:val="0"/>
    <w:rPr>
      <w:i/>
    </w:rPr>
  </w:style>
  <w:style w:type="character" w:styleId="144">
    <w:name w:val="Hyperlink"/>
    <w:qFormat/>
    <w:uiPriority w:val="99"/>
    <w:rPr>
      <w:color w:val="333333"/>
      <w:u w:val="none"/>
    </w:rPr>
  </w:style>
  <w:style w:type="character" w:styleId="145">
    <w:name w:val="HTML Code"/>
    <w:qFormat/>
    <w:uiPriority w:val="0"/>
    <w:rPr>
      <w:rFonts w:ascii="Courier New" w:hAnsi="Courier New"/>
      <w:sz w:val="20"/>
    </w:rPr>
  </w:style>
  <w:style w:type="character" w:styleId="146">
    <w:name w:val="annotation reference"/>
    <w:qFormat/>
    <w:uiPriority w:val="99"/>
    <w:rPr>
      <w:rFonts w:cs="Times New Roman"/>
      <w:sz w:val="21"/>
      <w:szCs w:val="21"/>
    </w:rPr>
  </w:style>
  <w:style w:type="character" w:styleId="147">
    <w:name w:val="HTML Cite"/>
    <w:qFormat/>
    <w:uiPriority w:val="0"/>
    <w:rPr>
      <w:i/>
    </w:rPr>
  </w:style>
  <w:style w:type="character" w:styleId="148">
    <w:name w:val="footnote reference"/>
    <w:qFormat/>
    <w:uiPriority w:val="0"/>
    <w:rPr>
      <w:vertAlign w:val="superscript"/>
    </w:rPr>
  </w:style>
  <w:style w:type="character" w:styleId="149">
    <w:name w:val="HTML Keyboard"/>
    <w:qFormat/>
    <w:uiPriority w:val="0"/>
    <w:rPr>
      <w:rFonts w:ascii="Courier New" w:hAnsi="Courier New"/>
      <w:sz w:val="20"/>
    </w:rPr>
  </w:style>
  <w:style w:type="character" w:styleId="150">
    <w:name w:val="HTML Sample"/>
    <w:qFormat/>
    <w:uiPriority w:val="0"/>
    <w:rPr>
      <w:rFonts w:ascii="Courier New" w:hAnsi="Courier New"/>
    </w:rPr>
  </w:style>
  <w:style w:type="character" w:customStyle="1" w:styleId="151">
    <w:name w:val="正文文本 字符"/>
    <w:link w:val="33"/>
    <w:qFormat/>
    <w:locked/>
    <w:uiPriority w:val="0"/>
    <w:rPr>
      <w:rFonts w:ascii="Times New Roman" w:hAnsi="Times New Roman" w:eastAsia="宋体" w:cs="Times New Roman"/>
      <w:sz w:val="24"/>
      <w:szCs w:val="24"/>
    </w:rPr>
  </w:style>
  <w:style w:type="character" w:customStyle="1" w:styleId="152">
    <w:name w:val="标题 1 字符"/>
    <w:link w:val="3"/>
    <w:qFormat/>
    <w:locked/>
    <w:uiPriority w:val="0"/>
    <w:rPr>
      <w:rFonts w:ascii="仿宋_GB2312" w:hAnsi="Times New Roman" w:eastAsia="仿宋_GB2312" w:cs="Times New Roman"/>
      <w:b/>
      <w:bCs/>
      <w:color w:val="000000"/>
      <w:kern w:val="0"/>
      <w:sz w:val="20"/>
      <w:szCs w:val="20"/>
    </w:rPr>
  </w:style>
  <w:style w:type="character" w:customStyle="1" w:styleId="153">
    <w:name w:val="标题 2 字符"/>
    <w:link w:val="4"/>
    <w:qFormat/>
    <w:locked/>
    <w:uiPriority w:val="0"/>
    <w:rPr>
      <w:rFonts w:ascii="Arial" w:hAnsi="Arial" w:eastAsia="宋体" w:cs="Times New Roman"/>
      <w:b/>
      <w:bCs/>
      <w:sz w:val="32"/>
      <w:szCs w:val="32"/>
    </w:rPr>
  </w:style>
  <w:style w:type="character" w:customStyle="1" w:styleId="154">
    <w:name w:val="标题 3 字符"/>
    <w:link w:val="5"/>
    <w:qFormat/>
    <w:locked/>
    <w:uiPriority w:val="0"/>
    <w:rPr>
      <w:rFonts w:ascii="宋体" w:hAnsi="Times New Roman" w:eastAsia="宋体" w:cs="Times New Roman"/>
      <w:b/>
      <w:bCs/>
      <w:sz w:val="32"/>
      <w:szCs w:val="32"/>
    </w:rPr>
  </w:style>
  <w:style w:type="character" w:customStyle="1" w:styleId="155">
    <w:name w:val="标题 4 字符"/>
    <w:link w:val="6"/>
    <w:qFormat/>
    <w:uiPriority w:val="0"/>
    <w:rPr>
      <w:rFonts w:ascii="Arial" w:hAnsi="Arial" w:eastAsia="黑体"/>
      <w:b/>
      <w:bCs/>
      <w:kern w:val="2"/>
      <w:sz w:val="28"/>
      <w:szCs w:val="28"/>
    </w:rPr>
  </w:style>
  <w:style w:type="character" w:customStyle="1" w:styleId="156">
    <w:name w:val="标题 5 字符"/>
    <w:link w:val="7"/>
    <w:qFormat/>
    <w:locked/>
    <w:uiPriority w:val="0"/>
    <w:rPr>
      <w:b/>
      <w:sz w:val="24"/>
      <w:szCs w:val="24"/>
    </w:rPr>
  </w:style>
  <w:style w:type="character" w:customStyle="1" w:styleId="157">
    <w:name w:val="标题 6 字符1"/>
    <w:link w:val="8"/>
    <w:qFormat/>
    <w:uiPriority w:val="99"/>
    <w:rPr>
      <w:rFonts w:ascii="Times New Roman" w:hAnsi="Times New Roman"/>
      <w:sz w:val="24"/>
    </w:rPr>
  </w:style>
  <w:style w:type="character" w:customStyle="1" w:styleId="158">
    <w:name w:val="标题 7 字符1"/>
    <w:link w:val="9"/>
    <w:qFormat/>
    <w:uiPriority w:val="99"/>
    <w:rPr>
      <w:rFonts w:ascii="Times New Roman" w:hAnsi="Times New Roman"/>
      <w:sz w:val="24"/>
    </w:rPr>
  </w:style>
  <w:style w:type="character" w:customStyle="1" w:styleId="159">
    <w:name w:val="标题 8 字符1"/>
    <w:link w:val="10"/>
    <w:qFormat/>
    <w:uiPriority w:val="99"/>
    <w:rPr>
      <w:rFonts w:ascii="Times New Roman" w:hAnsi="Times New Roman"/>
      <w:sz w:val="24"/>
    </w:rPr>
  </w:style>
  <w:style w:type="character" w:customStyle="1" w:styleId="160">
    <w:name w:val="标题 9 字符1"/>
    <w:link w:val="11"/>
    <w:qFormat/>
    <w:uiPriority w:val="99"/>
    <w:rPr>
      <w:rFonts w:ascii="Times New Roman" w:hAnsi="Times New Roman"/>
      <w:sz w:val="24"/>
    </w:rPr>
  </w:style>
  <w:style w:type="character" w:customStyle="1" w:styleId="161">
    <w:name w:val="题注 字符"/>
    <w:link w:val="22"/>
    <w:qFormat/>
    <w:uiPriority w:val="0"/>
    <w:rPr>
      <w:rFonts w:ascii="Cambria" w:hAnsi="Cambria" w:eastAsia="黑体"/>
    </w:rPr>
  </w:style>
  <w:style w:type="character" w:customStyle="1" w:styleId="162">
    <w:name w:val="文档结构图 字符"/>
    <w:link w:val="26"/>
    <w:qFormat/>
    <w:locked/>
    <w:uiPriority w:val="0"/>
    <w:rPr>
      <w:rFonts w:ascii="Times New Roman" w:hAnsi="Times New Roman" w:eastAsia="宋体" w:cs="Times New Roman"/>
      <w:sz w:val="24"/>
      <w:szCs w:val="24"/>
      <w:shd w:val="clear" w:color="auto" w:fill="000080"/>
    </w:rPr>
  </w:style>
  <w:style w:type="character" w:customStyle="1" w:styleId="163">
    <w:name w:val="批注文字 字符"/>
    <w:link w:val="27"/>
    <w:qFormat/>
    <w:locked/>
    <w:uiPriority w:val="99"/>
    <w:rPr>
      <w:rFonts w:ascii="Times New Roman" w:hAnsi="Times New Roman" w:eastAsia="宋体" w:cs="Times New Roman"/>
      <w:sz w:val="24"/>
      <w:szCs w:val="24"/>
    </w:rPr>
  </w:style>
  <w:style w:type="character" w:customStyle="1" w:styleId="164">
    <w:name w:val="正文文本 3 字符1"/>
    <w:link w:val="30"/>
    <w:qFormat/>
    <w:locked/>
    <w:uiPriority w:val="0"/>
    <w:rPr>
      <w:rFonts w:ascii="宋体" w:hAnsi="宋体"/>
      <w:color w:val="0000FF"/>
      <w:kern w:val="2"/>
      <w:szCs w:val="24"/>
    </w:rPr>
  </w:style>
  <w:style w:type="character" w:customStyle="1" w:styleId="165">
    <w:name w:val="正文文本缩进 字符"/>
    <w:link w:val="34"/>
    <w:qFormat/>
    <w:locked/>
    <w:uiPriority w:val="0"/>
    <w:rPr>
      <w:rFonts w:ascii="仿宋_GB2312" w:hAnsi="Times New Roman" w:eastAsia="仿宋_GB2312" w:cs="Times New Roman"/>
      <w:sz w:val="24"/>
      <w:szCs w:val="24"/>
    </w:rPr>
  </w:style>
  <w:style w:type="character" w:customStyle="1" w:styleId="166">
    <w:name w:val="批注主题 字符"/>
    <w:link w:val="35"/>
    <w:qFormat/>
    <w:locked/>
    <w:uiPriority w:val="0"/>
    <w:rPr>
      <w:rFonts w:ascii="Times New Roman" w:hAnsi="Times New Roman" w:eastAsia="宋体" w:cs="Times New Roman"/>
      <w:b/>
      <w:bCs/>
      <w:sz w:val="24"/>
      <w:szCs w:val="24"/>
    </w:rPr>
  </w:style>
  <w:style w:type="character" w:customStyle="1" w:styleId="167">
    <w:name w:val="纯文本 字符"/>
    <w:link w:val="45"/>
    <w:qFormat/>
    <w:uiPriority w:val="99"/>
    <w:rPr>
      <w:rFonts w:ascii="宋体" w:hAnsi="Courier New" w:cs="Courier New"/>
      <w:kern w:val="2"/>
      <w:sz w:val="21"/>
      <w:szCs w:val="21"/>
    </w:rPr>
  </w:style>
  <w:style w:type="character" w:customStyle="1" w:styleId="168">
    <w:name w:val="日期 字符"/>
    <w:link w:val="50"/>
    <w:qFormat/>
    <w:locked/>
    <w:uiPriority w:val="0"/>
    <w:rPr>
      <w:rFonts w:ascii="仿宋_GB2312" w:hAnsi="Times New Roman" w:eastAsia="仿宋_GB2312" w:cs="Times New Roman"/>
      <w:sz w:val="24"/>
      <w:szCs w:val="24"/>
    </w:rPr>
  </w:style>
  <w:style w:type="character" w:customStyle="1" w:styleId="169">
    <w:name w:val="正文文本缩进 2 字符"/>
    <w:link w:val="51"/>
    <w:qFormat/>
    <w:locked/>
    <w:uiPriority w:val="0"/>
    <w:rPr>
      <w:rFonts w:ascii="仿宋_GB2312" w:hAnsi="Times New Roman" w:eastAsia="仿宋_GB2312" w:cs="Times New Roman"/>
      <w:sz w:val="24"/>
      <w:szCs w:val="24"/>
    </w:rPr>
  </w:style>
  <w:style w:type="character" w:customStyle="1" w:styleId="170">
    <w:name w:val="尾注文本 字符1"/>
    <w:link w:val="52"/>
    <w:semiHidden/>
    <w:qFormat/>
    <w:locked/>
    <w:uiPriority w:val="99"/>
  </w:style>
  <w:style w:type="character" w:customStyle="1" w:styleId="171">
    <w:name w:val="批注框文本 字符"/>
    <w:link w:val="54"/>
    <w:qFormat/>
    <w:locked/>
    <w:uiPriority w:val="0"/>
    <w:rPr>
      <w:rFonts w:ascii="Times New Roman" w:hAnsi="Times New Roman" w:eastAsia="宋体" w:cs="Times New Roman"/>
      <w:sz w:val="18"/>
      <w:szCs w:val="18"/>
    </w:rPr>
  </w:style>
  <w:style w:type="character" w:customStyle="1" w:styleId="172">
    <w:name w:val="页脚 字符"/>
    <w:link w:val="55"/>
    <w:qFormat/>
    <w:locked/>
    <w:uiPriority w:val="99"/>
    <w:rPr>
      <w:rFonts w:cs="Times New Roman"/>
      <w:sz w:val="18"/>
      <w:szCs w:val="18"/>
    </w:rPr>
  </w:style>
  <w:style w:type="character" w:customStyle="1" w:styleId="173">
    <w:name w:val="页眉 字符"/>
    <w:link w:val="57"/>
    <w:qFormat/>
    <w:locked/>
    <w:uiPriority w:val="99"/>
    <w:rPr>
      <w:rFonts w:cs="Times New Roman"/>
      <w:sz w:val="18"/>
      <w:szCs w:val="18"/>
    </w:rPr>
  </w:style>
  <w:style w:type="character" w:customStyle="1" w:styleId="174">
    <w:name w:val="副标题 字符1"/>
    <w:link w:val="64"/>
    <w:qFormat/>
    <w:uiPriority w:val="99"/>
    <w:rPr>
      <w:rFonts w:ascii="Arial" w:hAnsi="Arial" w:cs="Arial"/>
      <w:b/>
      <w:bCs/>
      <w:kern w:val="28"/>
      <w:sz w:val="32"/>
      <w:szCs w:val="32"/>
    </w:rPr>
  </w:style>
  <w:style w:type="character" w:customStyle="1" w:styleId="175">
    <w:name w:val="脚注文本 字符1"/>
    <w:link w:val="67"/>
    <w:semiHidden/>
    <w:qFormat/>
    <w:locked/>
    <w:uiPriority w:val="99"/>
    <w:rPr>
      <w:sz w:val="18"/>
    </w:rPr>
  </w:style>
  <w:style w:type="character" w:customStyle="1" w:styleId="176">
    <w:name w:val="正文文本缩进 3 字符"/>
    <w:link w:val="70"/>
    <w:qFormat/>
    <w:locked/>
    <w:uiPriority w:val="0"/>
    <w:rPr>
      <w:rFonts w:ascii="仿宋_GB2312" w:hAnsi="Times New Roman" w:eastAsia="仿宋_GB2312" w:cs="Times New Roman"/>
      <w:color w:val="3366FF"/>
      <w:sz w:val="24"/>
      <w:szCs w:val="24"/>
    </w:rPr>
  </w:style>
  <w:style w:type="character" w:customStyle="1" w:styleId="177">
    <w:name w:val="正文文本 2 字符"/>
    <w:link w:val="76"/>
    <w:qFormat/>
    <w:locked/>
    <w:uiPriority w:val="0"/>
    <w:rPr>
      <w:rFonts w:ascii="宋体" w:hAnsi="Times New Roman" w:eastAsia="宋体" w:cs="Times New Roman"/>
      <w:sz w:val="20"/>
      <w:szCs w:val="20"/>
    </w:rPr>
  </w:style>
  <w:style w:type="character" w:customStyle="1" w:styleId="178">
    <w:name w:val="标题 字符1"/>
    <w:link w:val="84"/>
    <w:qFormat/>
    <w:uiPriority w:val="10"/>
    <w:rPr>
      <w:rFonts w:ascii="Cambria" w:hAnsi="Cambria"/>
      <w:color w:val="343434"/>
      <w:spacing w:val="5"/>
      <w:kern w:val="28"/>
      <w:sz w:val="52"/>
      <w:szCs w:val="52"/>
    </w:rPr>
  </w:style>
  <w:style w:type="character" w:customStyle="1" w:styleId="179">
    <w:name w:val="正文文本首行缩进 字符"/>
    <w:link w:val="85"/>
    <w:qFormat/>
    <w:locked/>
    <w:uiPriority w:val="99"/>
    <w:rPr>
      <w:rFonts w:ascii="楷体_GB2312" w:hAnsi="Times New Roman" w:eastAsia="楷体_GB2312" w:cs="Times New Roman"/>
      <w:spacing w:val="4"/>
      <w:sz w:val="20"/>
      <w:szCs w:val="20"/>
    </w:rPr>
  </w:style>
  <w:style w:type="character" w:customStyle="1" w:styleId="180">
    <w:name w:val="正文文本首行缩进 2 字符1"/>
    <w:link w:val="86"/>
    <w:qFormat/>
    <w:locked/>
    <w:uiPriority w:val="99"/>
    <w:rPr>
      <w:kern w:val="2"/>
      <w:sz w:val="21"/>
    </w:rPr>
  </w:style>
  <w:style w:type="paragraph" w:customStyle="1" w:styleId="181">
    <w:name w:val="style4"/>
    <w:basedOn w:val="182"/>
    <w:next w:val="183"/>
    <w:qFormat/>
    <w:uiPriority w:val="0"/>
    <w:pPr>
      <w:spacing w:before="100" w:beforeAutospacing="1" w:after="100" w:afterAutospacing="1"/>
    </w:pPr>
    <w:rPr>
      <w:rFonts w:hAnsi="宋体"/>
      <w:sz w:val="18"/>
      <w:szCs w:val="18"/>
    </w:rPr>
  </w:style>
  <w:style w:type="paragraph" w:customStyle="1" w:styleId="182">
    <w:name w:val="正文1"/>
    <w:basedOn w:val="1"/>
    <w:next w:val="85"/>
    <w:link w:val="769"/>
    <w:qFormat/>
    <w:uiPriority w:val="99"/>
    <w:pPr>
      <w:spacing w:line="360" w:lineRule="auto"/>
      <w:ind w:firstLine="200" w:firstLineChars="200"/>
    </w:pPr>
    <w:rPr>
      <w:rFonts w:ascii="宋体"/>
      <w:szCs w:val="21"/>
    </w:rPr>
  </w:style>
  <w:style w:type="paragraph" w:customStyle="1" w:styleId="183">
    <w:name w:val="2"/>
    <w:next w:val="1"/>
    <w:qFormat/>
    <w:uiPriority w:val="0"/>
    <w:pPr>
      <w:widowControl w:val="0"/>
      <w:spacing w:line="360" w:lineRule="auto"/>
      <w:jc w:val="both"/>
    </w:pPr>
    <w:rPr>
      <w:rFonts w:ascii="Times New Roman" w:hAnsi="Times New Roman" w:eastAsia="仿宋_GB2312" w:cs="Times New Roman"/>
      <w:kern w:val="2"/>
      <w:sz w:val="28"/>
      <w:szCs w:val="28"/>
      <w:lang w:val="en-US" w:eastAsia="zh-CN" w:bidi="ar-SA"/>
    </w:rPr>
  </w:style>
  <w:style w:type="character" w:customStyle="1" w:styleId="184">
    <w:name w:val="标题 3 Char"/>
    <w:qFormat/>
    <w:uiPriority w:val="0"/>
    <w:rPr>
      <w:rFonts w:ascii="仿宋_GB2312" w:eastAsia="仿宋_GB2312"/>
      <w:b/>
      <w:sz w:val="28"/>
      <w:szCs w:val="28"/>
      <w:lang w:val="en-US" w:eastAsia="zh-CN" w:bidi="ar-SA"/>
    </w:rPr>
  </w:style>
  <w:style w:type="paragraph" w:customStyle="1" w:styleId="185">
    <w:name w:val="正文首行缩进1"/>
    <w:basedOn w:val="33"/>
    <w:qFormat/>
    <w:uiPriority w:val="0"/>
  </w:style>
  <w:style w:type="character" w:customStyle="1" w:styleId="186">
    <w:name w:val="标题 1 Char"/>
    <w:qFormat/>
    <w:uiPriority w:val="0"/>
    <w:rPr>
      <w:rFonts w:ascii="宋体" w:eastAsia="宋体"/>
      <w:b/>
      <w:bCs/>
      <w:kern w:val="44"/>
      <w:sz w:val="30"/>
      <w:szCs w:val="30"/>
      <w:lang w:val="en-US" w:eastAsia="zh-CN" w:bidi="ar-SA"/>
    </w:rPr>
  </w:style>
  <w:style w:type="character" w:customStyle="1" w:styleId="187">
    <w:name w:val="标题 2 Char"/>
    <w:qFormat/>
    <w:uiPriority w:val="0"/>
    <w:rPr>
      <w:sz w:val="28"/>
    </w:rPr>
  </w:style>
  <w:style w:type="character" w:customStyle="1" w:styleId="188">
    <w:name w:val="标题 5 Char"/>
    <w:qFormat/>
    <w:uiPriority w:val="0"/>
    <w:rPr>
      <w:sz w:val="24"/>
    </w:rPr>
  </w:style>
  <w:style w:type="character" w:customStyle="1" w:styleId="189">
    <w:name w:val="标题 4 Char"/>
    <w:qFormat/>
    <w:uiPriority w:val="0"/>
    <w:rPr>
      <w:rFonts w:ascii="宋体" w:hAnsi="Arial" w:eastAsia="宋体"/>
      <w:b/>
      <w:bCs/>
      <w:kern w:val="2"/>
      <w:sz w:val="24"/>
      <w:szCs w:val="24"/>
      <w:lang w:val="en-US" w:eastAsia="zh-CN" w:bidi="ar-SA"/>
    </w:rPr>
  </w:style>
  <w:style w:type="character" w:customStyle="1" w:styleId="190">
    <w:name w:val="明显引用 字符"/>
    <w:qFormat/>
    <w:uiPriority w:val="0"/>
    <w:rPr>
      <w:rFonts w:ascii="Times New Roman" w:hAnsi="Times New Roman"/>
      <w:i/>
      <w:iCs/>
      <w:color w:val="4472C4"/>
      <w:kern w:val="2"/>
      <w:sz w:val="21"/>
      <w:szCs w:val="24"/>
    </w:rPr>
  </w:style>
  <w:style w:type="character" w:customStyle="1" w:styleId="191">
    <w:name w:val="样式3-1 Char Char"/>
    <w:qFormat/>
    <w:locked/>
    <w:uiPriority w:val="99"/>
    <w:rPr>
      <w:rFonts w:ascii="Arial" w:hAnsi="Arial" w:eastAsia="黑体"/>
      <w:b/>
      <w:color w:val="000000"/>
      <w:sz w:val="32"/>
      <w:lang w:val="en-US" w:eastAsia="zh-CN"/>
    </w:rPr>
  </w:style>
  <w:style w:type="character" w:customStyle="1" w:styleId="192">
    <w:name w:val="页脚 Char1"/>
    <w:qFormat/>
    <w:locked/>
    <w:uiPriority w:val="99"/>
    <w:rPr>
      <w:rFonts w:eastAsia="宋体"/>
      <w:kern w:val="2"/>
      <w:sz w:val="18"/>
      <w:lang w:val="en-US" w:eastAsia="zh-CN" w:bidi="ar-SA"/>
    </w:rPr>
  </w:style>
  <w:style w:type="character" w:customStyle="1" w:styleId="193">
    <w:name w:val="样式2-1 Char Char"/>
    <w:qFormat/>
    <w:locked/>
    <w:uiPriority w:val="99"/>
    <w:rPr>
      <w:rFonts w:ascii="华文中宋" w:hAnsi="华文中宋" w:eastAsia="华文中宋"/>
      <w:b/>
      <w:color w:val="000000"/>
      <w:kern w:val="2"/>
      <w:sz w:val="44"/>
      <w:lang w:val="en-US" w:eastAsia="zh-CN"/>
    </w:rPr>
  </w:style>
  <w:style w:type="character" w:customStyle="1" w:styleId="194">
    <w:name w:val="样式正文-2 Char Char"/>
    <w:qFormat/>
    <w:locked/>
    <w:uiPriority w:val="99"/>
    <w:rPr>
      <w:rFonts w:ascii="Arial" w:hAnsi="Arial" w:eastAsia="宋体"/>
      <w:color w:val="000000"/>
      <w:sz w:val="24"/>
      <w:lang w:val="en-US" w:eastAsia="zh-CN"/>
    </w:rPr>
  </w:style>
  <w:style w:type="character" w:customStyle="1" w:styleId="195">
    <w:name w:val="标题 9 字符"/>
    <w:qFormat/>
    <w:uiPriority w:val="0"/>
    <w:rPr>
      <w:rFonts w:ascii="等线 Light" w:hAnsi="等线 Light" w:eastAsia="等线 Light" w:cs="Times New Roman"/>
      <w:kern w:val="2"/>
      <w:sz w:val="21"/>
      <w:szCs w:val="21"/>
    </w:rPr>
  </w:style>
  <w:style w:type="character" w:customStyle="1" w:styleId="196">
    <w:name w:val="不明显强调1"/>
    <w:qFormat/>
    <w:uiPriority w:val="0"/>
    <w:rPr>
      <w:i/>
      <w:color w:val="808080"/>
    </w:rPr>
  </w:style>
  <w:style w:type="character" w:customStyle="1" w:styleId="197">
    <w:name w:val="grame"/>
    <w:qFormat/>
    <w:uiPriority w:val="0"/>
    <w:rPr>
      <w:rFonts w:cs="Times New Roman"/>
    </w:rPr>
  </w:style>
  <w:style w:type="character" w:customStyle="1" w:styleId="198">
    <w:name w:val="Char Char61"/>
    <w:qFormat/>
    <w:uiPriority w:val="99"/>
    <w:rPr>
      <w:rFonts w:ascii="黑体" w:hAnsi="宋体" w:eastAsia="黑体"/>
      <w:kern w:val="2"/>
      <w:sz w:val="28"/>
      <w:lang w:val="en-US" w:eastAsia="zh-CN"/>
    </w:rPr>
  </w:style>
  <w:style w:type="character" w:customStyle="1" w:styleId="199">
    <w:name w:val="正文文本 Char1"/>
    <w:qFormat/>
    <w:uiPriority w:val="0"/>
    <w:rPr>
      <w:rFonts w:eastAsia="宋体"/>
      <w:kern w:val="2"/>
      <w:sz w:val="28"/>
      <w:szCs w:val="24"/>
      <w:lang w:val="en-US" w:eastAsia="zh-CN" w:bidi="ar-SA"/>
    </w:rPr>
  </w:style>
  <w:style w:type="character" w:customStyle="1" w:styleId="200">
    <w:name w:val="副标题 字符"/>
    <w:qFormat/>
    <w:uiPriority w:val="0"/>
    <w:rPr>
      <w:rFonts w:ascii="等线 Light" w:hAnsi="等线 Light" w:cs="Times New Roman"/>
      <w:b/>
      <w:bCs/>
      <w:kern w:val="28"/>
      <w:sz w:val="32"/>
      <w:szCs w:val="32"/>
    </w:rPr>
  </w:style>
  <w:style w:type="character" w:customStyle="1" w:styleId="201">
    <w:name w:val="引用 字符"/>
    <w:qFormat/>
    <w:uiPriority w:val="0"/>
    <w:rPr>
      <w:rFonts w:ascii="Times New Roman" w:hAnsi="Times New Roman"/>
      <w:i/>
      <w:iCs/>
      <w:color w:val="404040"/>
      <w:kern w:val="2"/>
      <w:sz w:val="21"/>
      <w:szCs w:val="24"/>
    </w:rPr>
  </w:style>
  <w:style w:type="character" w:customStyle="1" w:styleId="202">
    <w:name w:val="标题 6 字符"/>
    <w:qFormat/>
    <w:uiPriority w:val="0"/>
    <w:rPr>
      <w:rFonts w:ascii="等线 Light" w:hAnsi="等线 Light" w:eastAsia="等线 Light" w:cs="Times New Roman"/>
      <w:b/>
      <w:bCs/>
      <w:kern w:val="2"/>
      <w:sz w:val="24"/>
      <w:szCs w:val="24"/>
    </w:rPr>
  </w:style>
  <w:style w:type="character" w:customStyle="1" w:styleId="203">
    <w:name w:val="Default Char Char"/>
    <w:qFormat/>
    <w:locked/>
    <w:uiPriority w:val="99"/>
    <w:rPr>
      <w:rFonts w:ascii="宋体" w:hAnsi="Calibri"/>
      <w:color w:val="000000"/>
      <w:sz w:val="24"/>
      <w:lang w:val="en-US" w:eastAsia="zh-CN"/>
    </w:rPr>
  </w:style>
  <w:style w:type="character" w:customStyle="1" w:styleId="204">
    <w:name w:val="文章正文 Char"/>
    <w:link w:val="205"/>
    <w:qFormat/>
    <w:uiPriority w:val="0"/>
    <w:rPr>
      <w:rFonts w:ascii="宋体" w:hAnsi="宋体"/>
      <w:kern w:val="2"/>
      <w:sz w:val="21"/>
      <w:szCs w:val="21"/>
    </w:rPr>
  </w:style>
  <w:style w:type="paragraph" w:customStyle="1" w:styleId="205">
    <w:name w:val="文章正文"/>
    <w:basedOn w:val="1"/>
    <w:link w:val="204"/>
    <w:qFormat/>
    <w:locked/>
    <w:uiPriority w:val="0"/>
    <w:pPr>
      <w:spacing w:line="360" w:lineRule="auto"/>
      <w:ind w:firstLine="420" w:firstLineChars="200"/>
    </w:pPr>
    <w:rPr>
      <w:rFonts w:ascii="宋体" w:hAnsi="宋体"/>
      <w:szCs w:val="21"/>
    </w:rPr>
  </w:style>
  <w:style w:type="character" w:customStyle="1" w:styleId="206">
    <w:name w:val="样式正文-1 Char"/>
    <w:link w:val="207"/>
    <w:qFormat/>
    <w:uiPriority w:val="99"/>
    <w:rPr>
      <w:kern w:val="2"/>
      <w:sz w:val="24"/>
      <w:szCs w:val="22"/>
    </w:rPr>
  </w:style>
  <w:style w:type="paragraph" w:customStyle="1" w:styleId="207">
    <w:name w:val="样式正文-1"/>
    <w:basedOn w:val="1"/>
    <w:link w:val="206"/>
    <w:qFormat/>
    <w:uiPriority w:val="99"/>
    <w:pPr>
      <w:adjustRightInd w:val="0"/>
      <w:snapToGrid w:val="0"/>
      <w:spacing w:beforeLines="100" w:afterLines="100"/>
    </w:pPr>
    <w:rPr>
      <w:sz w:val="24"/>
      <w:szCs w:val="22"/>
    </w:rPr>
  </w:style>
  <w:style w:type="character" w:customStyle="1" w:styleId="208">
    <w:name w:val="正文首行缩进 Char1"/>
    <w:qFormat/>
    <w:uiPriority w:val="99"/>
    <w:rPr>
      <w:rFonts w:eastAsia="宋体"/>
      <w:kern w:val="2"/>
      <w:sz w:val="24"/>
      <w:szCs w:val="24"/>
      <w:lang w:val="en-US" w:eastAsia="zh-CN" w:bidi="ar-SA"/>
    </w:rPr>
  </w:style>
  <w:style w:type="character" w:customStyle="1" w:styleId="209">
    <w:name w:val="CM104 Char Char"/>
    <w:qFormat/>
    <w:locked/>
    <w:uiPriority w:val="99"/>
    <w:rPr>
      <w:rFonts w:ascii="宋体" w:hAnsi="Calibri"/>
      <w:color w:val="000000"/>
      <w:sz w:val="24"/>
      <w:lang w:val="en-US" w:eastAsia="zh-CN"/>
    </w:rPr>
  </w:style>
  <w:style w:type="character" w:customStyle="1" w:styleId="210">
    <w:name w:val="正文首行缩进 Char"/>
    <w:qFormat/>
    <w:uiPriority w:val="0"/>
  </w:style>
  <w:style w:type="character" w:customStyle="1" w:styleId="211">
    <w:name w:val="纯文本 Char"/>
    <w:qFormat/>
    <w:uiPriority w:val="0"/>
    <w:rPr>
      <w:rFonts w:ascii="宋体" w:hAnsi="Courier New" w:eastAsia="宋体" w:cs="Courier New"/>
      <w:sz w:val="21"/>
      <w:szCs w:val="21"/>
    </w:rPr>
  </w:style>
  <w:style w:type="character" w:customStyle="1" w:styleId="212">
    <w:name w:val="样式5-2 Char"/>
    <w:link w:val="213"/>
    <w:qFormat/>
    <w:uiPriority w:val="99"/>
    <w:rPr>
      <w:b/>
      <w:kern w:val="2"/>
      <w:sz w:val="24"/>
      <w:szCs w:val="22"/>
    </w:rPr>
  </w:style>
  <w:style w:type="paragraph" w:customStyle="1" w:styleId="213">
    <w:name w:val="样式5-2"/>
    <w:basedOn w:val="214"/>
    <w:link w:val="212"/>
    <w:qFormat/>
    <w:uiPriority w:val="99"/>
    <w:pPr>
      <w:spacing w:before="312" w:after="312"/>
      <w:ind w:firstLine="482" w:firstLineChars="200"/>
    </w:pPr>
    <w:rPr>
      <w:sz w:val="24"/>
    </w:rPr>
  </w:style>
  <w:style w:type="paragraph" w:customStyle="1" w:styleId="214">
    <w:name w:val="样式5-1"/>
    <w:basedOn w:val="207"/>
    <w:link w:val="215"/>
    <w:qFormat/>
    <w:uiPriority w:val="99"/>
    <w:pPr>
      <w:spacing w:before="240" w:after="240"/>
      <w:outlineLvl w:val="4"/>
    </w:pPr>
    <w:rPr>
      <w:b/>
      <w:sz w:val="28"/>
    </w:rPr>
  </w:style>
  <w:style w:type="character" w:customStyle="1" w:styleId="215">
    <w:name w:val="样式5-1 Char"/>
    <w:link w:val="214"/>
    <w:qFormat/>
    <w:uiPriority w:val="99"/>
    <w:rPr>
      <w:b/>
      <w:kern w:val="2"/>
      <w:sz w:val="28"/>
      <w:szCs w:val="22"/>
    </w:rPr>
  </w:style>
  <w:style w:type="character" w:customStyle="1" w:styleId="216">
    <w:name w:val="样式1-1 Char"/>
    <w:link w:val="217"/>
    <w:qFormat/>
    <w:uiPriority w:val="99"/>
    <w:rPr>
      <w:rFonts w:ascii="华文中宋" w:hAnsi="华文中宋" w:eastAsia="华文中宋"/>
      <w:b/>
      <w:color w:val="000000"/>
      <w:sz w:val="48"/>
      <w:szCs w:val="52"/>
    </w:rPr>
  </w:style>
  <w:style w:type="paragraph" w:customStyle="1" w:styleId="217">
    <w:name w:val="样式1-1"/>
    <w:basedOn w:val="1"/>
    <w:link w:val="216"/>
    <w:qFormat/>
    <w:uiPriority w:val="99"/>
    <w:pPr>
      <w:jc w:val="center"/>
      <w:outlineLvl w:val="0"/>
    </w:pPr>
    <w:rPr>
      <w:rFonts w:ascii="华文中宋" w:hAnsi="华文中宋" w:eastAsia="华文中宋"/>
      <w:b/>
      <w:color w:val="000000"/>
      <w:kern w:val="0"/>
      <w:sz w:val="48"/>
      <w:szCs w:val="52"/>
    </w:rPr>
  </w:style>
  <w:style w:type="character" w:customStyle="1" w:styleId="218">
    <w:name w:val="明显引用 字符1"/>
    <w:link w:val="219"/>
    <w:qFormat/>
    <w:uiPriority w:val="99"/>
    <w:rPr>
      <w:b/>
      <w:bCs/>
      <w:i/>
      <w:iCs/>
      <w:color w:val="2DA2BF"/>
    </w:rPr>
  </w:style>
  <w:style w:type="paragraph" w:styleId="219">
    <w:name w:val="Intense Quote"/>
    <w:basedOn w:val="1"/>
    <w:next w:val="1"/>
    <w:link w:val="218"/>
    <w:qFormat/>
    <w:uiPriority w:val="0"/>
    <w:pPr>
      <w:widowControl/>
      <w:pBdr>
        <w:bottom w:val="single" w:color="2DA2BF" w:sz="4" w:space="4"/>
      </w:pBdr>
      <w:spacing w:before="200" w:after="280" w:line="276" w:lineRule="auto"/>
      <w:ind w:left="936" w:right="936"/>
      <w:jc w:val="left"/>
    </w:pPr>
    <w:rPr>
      <w:b/>
      <w:bCs/>
      <w:i/>
      <w:iCs/>
      <w:color w:val="2DA2BF"/>
      <w:kern w:val="0"/>
      <w:sz w:val="20"/>
      <w:szCs w:val="20"/>
    </w:rPr>
  </w:style>
  <w:style w:type="character" w:customStyle="1" w:styleId="220">
    <w:name w:val="Default Char"/>
    <w:link w:val="221"/>
    <w:qFormat/>
    <w:uiPriority w:val="0"/>
    <w:rPr>
      <w:rFonts w:ascii="......." w:hAnsi="......." w:eastAsia="......."/>
      <w:color w:val="000000"/>
      <w:sz w:val="24"/>
      <w:szCs w:val="24"/>
      <w:lang w:val="en-US" w:eastAsia="zh-CN" w:bidi="ar-SA"/>
    </w:rPr>
  </w:style>
  <w:style w:type="paragraph" w:customStyle="1" w:styleId="221">
    <w:name w:val="Default"/>
    <w:link w:val="220"/>
    <w:qFormat/>
    <w:uiPriority w:val="0"/>
    <w:pPr>
      <w:widowControl w:val="0"/>
      <w:autoSpaceDE w:val="0"/>
      <w:autoSpaceDN w:val="0"/>
      <w:adjustRightInd w:val="0"/>
    </w:pPr>
    <w:rPr>
      <w:rFonts w:ascii="......." w:hAnsi="......." w:eastAsia="......." w:cs="Times New Roman"/>
      <w:color w:val="000000"/>
      <w:sz w:val="24"/>
      <w:szCs w:val="24"/>
      <w:lang w:val="en-US" w:eastAsia="zh-CN" w:bidi="ar-SA"/>
    </w:rPr>
  </w:style>
  <w:style w:type="character" w:customStyle="1" w:styleId="222">
    <w:name w:val="标题 2 Char1"/>
    <w:qFormat/>
    <w:uiPriority w:val="0"/>
    <w:rPr>
      <w:rFonts w:ascii="宋体" w:hAnsi="Arial"/>
      <w:b/>
      <w:bCs/>
      <w:kern w:val="2"/>
      <w:sz w:val="24"/>
      <w:szCs w:val="24"/>
    </w:rPr>
  </w:style>
  <w:style w:type="character" w:customStyle="1" w:styleId="223">
    <w:name w:val="样式2-1 Char"/>
    <w:link w:val="224"/>
    <w:qFormat/>
    <w:uiPriority w:val="99"/>
    <w:rPr>
      <w:rFonts w:ascii="华文中宋" w:hAnsi="华文中宋" w:eastAsia="华文中宋"/>
      <w:b/>
      <w:color w:val="000000"/>
      <w:kern w:val="2"/>
      <w:sz w:val="36"/>
      <w:szCs w:val="44"/>
    </w:rPr>
  </w:style>
  <w:style w:type="paragraph" w:customStyle="1" w:styleId="224">
    <w:name w:val="样式2-1"/>
    <w:basedOn w:val="1"/>
    <w:link w:val="223"/>
    <w:qFormat/>
    <w:uiPriority w:val="99"/>
    <w:pPr>
      <w:adjustRightInd w:val="0"/>
      <w:snapToGrid w:val="0"/>
      <w:spacing w:beforeLines="100" w:afterLines="100"/>
      <w:jc w:val="center"/>
      <w:outlineLvl w:val="1"/>
    </w:pPr>
    <w:rPr>
      <w:rFonts w:ascii="华文中宋" w:hAnsi="华文中宋" w:eastAsia="华文中宋"/>
      <w:b/>
      <w:color w:val="000000"/>
      <w:sz w:val="36"/>
      <w:szCs w:val="44"/>
    </w:rPr>
  </w:style>
  <w:style w:type="character" w:customStyle="1" w:styleId="225">
    <w:name w:val="2级标题（前附表） Char Char"/>
    <w:qFormat/>
    <w:locked/>
    <w:uiPriority w:val="99"/>
    <w:rPr>
      <w:rFonts w:ascii="黑体" w:eastAsia="黑体"/>
      <w:color w:val="000000"/>
      <w:kern w:val="2"/>
      <w:sz w:val="28"/>
      <w:lang w:val="en-US" w:eastAsia="zh-CN"/>
    </w:rPr>
  </w:style>
  <w:style w:type="character" w:customStyle="1" w:styleId="226">
    <w:name w:val="Footer Char"/>
    <w:qFormat/>
    <w:locked/>
    <w:uiPriority w:val="99"/>
    <w:rPr>
      <w:rFonts w:cs="Times New Roman"/>
      <w:sz w:val="18"/>
    </w:rPr>
  </w:style>
  <w:style w:type="character" w:customStyle="1" w:styleId="227">
    <w:name w:val="1级标题（第一卷） Char"/>
    <w:link w:val="228"/>
    <w:qFormat/>
    <w:uiPriority w:val="99"/>
    <w:rPr>
      <w:rFonts w:ascii="黑体" w:hAnsi="华文中宋" w:eastAsia="黑体"/>
      <w:b/>
      <w:kern w:val="2"/>
      <w:sz w:val="48"/>
      <w:szCs w:val="48"/>
    </w:rPr>
  </w:style>
  <w:style w:type="paragraph" w:customStyle="1" w:styleId="228">
    <w:name w:val="1级标题（第一卷）"/>
    <w:basedOn w:val="1"/>
    <w:link w:val="227"/>
    <w:qFormat/>
    <w:locked/>
    <w:uiPriority w:val="99"/>
    <w:pPr>
      <w:adjustRightInd w:val="0"/>
      <w:snapToGrid w:val="0"/>
      <w:spacing w:before="312" w:beforeLines="100" w:after="312" w:afterLines="100"/>
      <w:jc w:val="center"/>
      <w:outlineLvl w:val="0"/>
    </w:pPr>
    <w:rPr>
      <w:rFonts w:ascii="黑体" w:hAnsi="华文中宋" w:eastAsia="黑体"/>
      <w:b/>
      <w:sz w:val="48"/>
      <w:szCs w:val="48"/>
    </w:rPr>
  </w:style>
  <w:style w:type="character" w:customStyle="1" w:styleId="229">
    <w:name w:val="标题 字符"/>
    <w:qFormat/>
    <w:uiPriority w:val="0"/>
    <w:rPr>
      <w:rFonts w:ascii="等线 Light" w:hAnsi="等线 Light" w:cs="Times New Roman"/>
      <w:b/>
      <w:bCs/>
      <w:kern w:val="2"/>
      <w:sz w:val="32"/>
      <w:szCs w:val="32"/>
    </w:rPr>
  </w:style>
  <w:style w:type="character" w:customStyle="1" w:styleId="230">
    <w:name w:val="尾注文本 字符"/>
    <w:qFormat/>
    <w:uiPriority w:val="0"/>
    <w:rPr>
      <w:rFonts w:ascii="Times New Roman" w:hAnsi="Times New Roman"/>
      <w:kern w:val="2"/>
      <w:sz w:val="21"/>
      <w:szCs w:val="24"/>
    </w:rPr>
  </w:style>
  <w:style w:type="character" w:customStyle="1" w:styleId="231">
    <w:name w:val="样式4 Char Char Char Char"/>
    <w:qFormat/>
    <w:uiPriority w:val="99"/>
    <w:rPr>
      <w:rFonts w:ascii="宋体" w:eastAsia="宋体"/>
      <w:b/>
      <w:kern w:val="2"/>
      <w:sz w:val="24"/>
      <w:lang w:val="en-US" w:eastAsia="zh-CN"/>
    </w:rPr>
  </w:style>
  <w:style w:type="character" w:customStyle="1" w:styleId="232">
    <w:name w:val="样式3-3 Char Char"/>
    <w:qFormat/>
    <w:locked/>
    <w:uiPriority w:val="99"/>
    <w:rPr>
      <w:rFonts w:ascii="黑体" w:hAnsi="华文中宋" w:eastAsia="黑体"/>
      <w:b/>
      <w:color w:val="000000"/>
      <w:sz w:val="32"/>
      <w:lang w:val="en-US" w:eastAsia="zh-CN"/>
    </w:rPr>
  </w:style>
  <w:style w:type="character" w:customStyle="1" w:styleId="233">
    <w:name w:val="标题 7 字符"/>
    <w:qFormat/>
    <w:uiPriority w:val="0"/>
    <w:rPr>
      <w:rFonts w:ascii="Times New Roman" w:hAnsi="Times New Roman"/>
      <w:b/>
      <w:bCs/>
      <w:kern w:val="2"/>
      <w:sz w:val="24"/>
      <w:szCs w:val="24"/>
    </w:rPr>
  </w:style>
  <w:style w:type="character" w:customStyle="1" w:styleId="234">
    <w:name w:val="4级标题（1.1项目概况) Char"/>
    <w:link w:val="235"/>
    <w:qFormat/>
    <w:uiPriority w:val="99"/>
    <w:rPr>
      <w:rFonts w:ascii="宋体" w:hAnsi="宋体"/>
      <w:b/>
      <w:kern w:val="2"/>
      <w:sz w:val="21"/>
      <w:szCs w:val="24"/>
    </w:rPr>
  </w:style>
  <w:style w:type="paragraph" w:customStyle="1" w:styleId="235">
    <w:name w:val="4级标题（1.1项目概况)"/>
    <w:basedOn w:val="1"/>
    <w:link w:val="234"/>
    <w:qFormat/>
    <w:locked/>
    <w:uiPriority w:val="99"/>
    <w:pPr>
      <w:spacing w:line="360" w:lineRule="auto"/>
      <w:outlineLvl w:val="3"/>
    </w:pPr>
    <w:rPr>
      <w:rFonts w:ascii="宋体" w:hAnsi="宋体"/>
      <w:b/>
    </w:rPr>
  </w:style>
  <w:style w:type="character" w:customStyle="1" w:styleId="236">
    <w:name w:val="样式3-2 Char"/>
    <w:link w:val="237"/>
    <w:qFormat/>
    <w:uiPriority w:val="99"/>
    <w:rPr>
      <w:rFonts w:ascii="黑体" w:eastAsia="黑体" w:cs="黑体"/>
      <w:b/>
      <w:bCs/>
      <w:sz w:val="32"/>
      <w:szCs w:val="32"/>
    </w:rPr>
  </w:style>
  <w:style w:type="paragraph" w:customStyle="1" w:styleId="237">
    <w:name w:val="样式3-2"/>
    <w:basedOn w:val="238"/>
    <w:link w:val="236"/>
    <w:qFormat/>
    <w:uiPriority w:val="99"/>
    <w:pPr>
      <w:spacing w:beforeLines="100" w:afterLines="100"/>
      <w:jc w:val="center"/>
    </w:pPr>
    <w:rPr>
      <w:rFonts w:ascii="黑体" w:hAnsi="Calibri"/>
      <w:color w:val="auto"/>
    </w:rPr>
  </w:style>
  <w:style w:type="paragraph" w:customStyle="1" w:styleId="238">
    <w:name w:val="样式3-1"/>
    <w:basedOn w:val="1"/>
    <w:link w:val="239"/>
    <w:qFormat/>
    <w:uiPriority w:val="99"/>
    <w:pPr>
      <w:autoSpaceDE w:val="0"/>
      <w:autoSpaceDN w:val="0"/>
      <w:adjustRightInd w:val="0"/>
      <w:snapToGrid w:val="0"/>
      <w:spacing w:beforeLines="50" w:afterLines="50"/>
      <w:jc w:val="left"/>
      <w:outlineLvl w:val="2"/>
    </w:pPr>
    <w:rPr>
      <w:rFonts w:ascii="Arial" w:hAnsi="Arial" w:eastAsia="黑体"/>
      <w:b/>
      <w:bCs/>
      <w:color w:val="000000"/>
      <w:kern w:val="0"/>
      <w:sz w:val="32"/>
      <w:szCs w:val="32"/>
    </w:rPr>
  </w:style>
  <w:style w:type="character" w:customStyle="1" w:styleId="239">
    <w:name w:val="样式3-1 Char"/>
    <w:link w:val="238"/>
    <w:qFormat/>
    <w:uiPriority w:val="99"/>
    <w:rPr>
      <w:rFonts w:ascii="Arial" w:hAnsi="Arial" w:eastAsia="黑体" w:cs="Arial"/>
      <w:b/>
      <w:bCs/>
      <w:color w:val="000000"/>
      <w:sz w:val="32"/>
      <w:szCs w:val="32"/>
    </w:rPr>
  </w:style>
  <w:style w:type="character" w:customStyle="1" w:styleId="240">
    <w:name w:val="Subtle Emphasis"/>
    <w:qFormat/>
    <w:uiPriority w:val="19"/>
    <w:rPr>
      <w:rFonts w:eastAsia="仿宋_GB2312"/>
      <w:iCs/>
      <w:color w:val="auto"/>
      <w:sz w:val="24"/>
    </w:rPr>
  </w:style>
  <w:style w:type="character" w:customStyle="1" w:styleId="241">
    <w:name w:val="Intense Reference"/>
    <w:qFormat/>
    <w:uiPriority w:val="32"/>
    <w:rPr>
      <w:b/>
      <w:bCs/>
      <w:smallCaps/>
      <w:color w:val="DA1F28"/>
      <w:spacing w:val="5"/>
      <w:u w:val="single"/>
    </w:rPr>
  </w:style>
  <w:style w:type="character" w:customStyle="1" w:styleId="242">
    <w:name w:val="1级标题（第一卷） Char Char"/>
    <w:qFormat/>
    <w:locked/>
    <w:uiPriority w:val="99"/>
    <w:rPr>
      <w:rFonts w:ascii="黑体" w:hAnsi="华文中宋" w:eastAsia="黑体"/>
      <w:b/>
      <w:kern w:val="2"/>
      <w:sz w:val="48"/>
      <w:lang w:val="en-US" w:eastAsia="zh-CN"/>
    </w:rPr>
  </w:style>
  <w:style w:type="character" w:customStyle="1" w:styleId="243">
    <w:name w:val="正文文本首行缩进 2 字符"/>
    <w:qFormat/>
    <w:uiPriority w:val="0"/>
    <w:rPr>
      <w:rFonts w:ascii="Times New Roman" w:hAnsi="Times New Roman" w:eastAsia="仿宋_GB2312" w:cs="Times New Roman"/>
      <w:kern w:val="2"/>
      <w:sz w:val="21"/>
      <w:szCs w:val="24"/>
    </w:rPr>
  </w:style>
  <w:style w:type="character" w:customStyle="1" w:styleId="244">
    <w:name w:val="样式 黑体 小四 自定义颜色(RGB(1500))"/>
    <w:qFormat/>
    <w:uiPriority w:val="99"/>
    <w:rPr>
      <w:rFonts w:ascii="Times New Roman" w:hAnsi="Times New Roman" w:eastAsia="黑体"/>
      <w:color w:val="0F0000"/>
      <w:kern w:val="0"/>
      <w:sz w:val="24"/>
      <w:szCs w:val="24"/>
    </w:rPr>
  </w:style>
  <w:style w:type="character" w:customStyle="1" w:styleId="245">
    <w:name w:val="样式5 Char Char Char Char"/>
    <w:qFormat/>
    <w:uiPriority w:val="99"/>
    <w:rPr>
      <w:rFonts w:ascii="黑体" w:eastAsia="黑体"/>
      <w:kern w:val="2"/>
      <w:sz w:val="32"/>
      <w:lang w:val="en-US" w:eastAsia="zh-CN"/>
    </w:rPr>
  </w:style>
  <w:style w:type="character" w:customStyle="1" w:styleId="246">
    <w:name w:val="日期 Char"/>
    <w:qFormat/>
    <w:locked/>
    <w:uiPriority w:val="0"/>
    <w:rPr>
      <w:kern w:val="2"/>
      <w:sz w:val="24"/>
    </w:rPr>
  </w:style>
  <w:style w:type="character" w:customStyle="1" w:styleId="247">
    <w:name w:val="Comment Subject Char"/>
    <w:qFormat/>
    <w:locked/>
    <w:uiPriority w:val="99"/>
    <w:rPr>
      <w:rFonts w:ascii="宋体" w:hAnsi="Times New Roman" w:eastAsia="宋体" w:cs="Times New Roman"/>
      <w:b/>
      <w:kern w:val="2"/>
      <w:sz w:val="24"/>
      <w:szCs w:val="24"/>
      <w:lang w:val="en-US" w:eastAsia="zh-CN"/>
    </w:rPr>
  </w:style>
  <w:style w:type="character" w:customStyle="1" w:styleId="248">
    <w:name w:val="普通文字 Char Char1"/>
    <w:qFormat/>
    <w:uiPriority w:val="0"/>
    <w:rPr>
      <w:rFonts w:ascii="宋体" w:eastAsia="宋体" w:cs="Times New Roman"/>
      <w:kern w:val="2"/>
      <w:sz w:val="21"/>
      <w:lang w:val="en-US" w:eastAsia="zh-CN" w:bidi="ar-SA"/>
    </w:rPr>
  </w:style>
  <w:style w:type="character" w:customStyle="1" w:styleId="249">
    <w:name w:val="Heading 1 Char"/>
    <w:qFormat/>
    <w:locked/>
    <w:uiPriority w:val="99"/>
    <w:rPr>
      <w:rFonts w:ascii="宋体" w:eastAsia="宋体" w:cs="Times New Roman"/>
      <w:b/>
      <w:kern w:val="44"/>
      <w:sz w:val="30"/>
      <w:lang w:val="en-US" w:eastAsia="zh-CN"/>
    </w:rPr>
  </w:style>
  <w:style w:type="character" w:customStyle="1" w:styleId="250">
    <w:name w:val="HTML Markup"/>
    <w:qFormat/>
    <w:uiPriority w:val="0"/>
    <w:rPr>
      <w:vanish/>
      <w:color w:val="FF0000"/>
    </w:rPr>
  </w:style>
  <w:style w:type="character" w:customStyle="1" w:styleId="251">
    <w:name w:val="样式 段落编号 + (中文) 黑体 两端对齐 Char Char Char Char Char"/>
    <w:link w:val="252"/>
    <w:qFormat/>
    <w:uiPriority w:val="99"/>
    <w:rPr>
      <w:rFonts w:ascii="宋体" w:hAnsi="宋体" w:eastAsia="黑体" w:cs="宋体"/>
      <w:kern w:val="2"/>
      <w:sz w:val="24"/>
      <w:szCs w:val="24"/>
    </w:rPr>
  </w:style>
  <w:style w:type="paragraph" w:customStyle="1" w:styleId="252">
    <w:name w:val="样式 段落编号 + (中文) 黑体 两端对齐 Char Char Char Char"/>
    <w:basedOn w:val="1"/>
    <w:link w:val="251"/>
    <w:qFormat/>
    <w:uiPriority w:val="99"/>
    <w:pPr>
      <w:adjustRightInd w:val="0"/>
      <w:snapToGrid w:val="0"/>
      <w:spacing w:before="60" w:after="240" w:line="400" w:lineRule="exact"/>
      <w:ind w:left="482"/>
      <w:jc w:val="left"/>
      <w:textAlignment w:val="baseline"/>
    </w:pPr>
    <w:rPr>
      <w:rFonts w:ascii="宋体" w:hAnsi="宋体" w:eastAsia="黑体"/>
      <w:sz w:val="24"/>
    </w:rPr>
  </w:style>
  <w:style w:type="character" w:customStyle="1" w:styleId="253">
    <w:name w:val="文章正文 Char Char"/>
    <w:qFormat/>
    <w:locked/>
    <w:uiPriority w:val="99"/>
    <w:rPr>
      <w:rFonts w:ascii="宋体" w:hAnsi="宋体" w:eastAsia="宋体"/>
      <w:kern w:val="2"/>
      <w:sz w:val="21"/>
      <w:lang w:val="en-US" w:eastAsia="zh-CN"/>
    </w:rPr>
  </w:style>
  <w:style w:type="character" w:customStyle="1" w:styleId="254">
    <w:name w:val="样式4-2 Char Char"/>
    <w:qFormat/>
    <w:locked/>
    <w:uiPriority w:val="99"/>
    <w:rPr>
      <w:rFonts w:ascii="Calibri" w:hAnsi="Calibri" w:eastAsia="宋体"/>
      <w:b/>
      <w:kern w:val="2"/>
      <w:sz w:val="22"/>
      <w:lang w:val="en-US" w:eastAsia="zh-CN"/>
    </w:rPr>
  </w:style>
  <w:style w:type="character" w:customStyle="1" w:styleId="255">
    <w:name w:val="样式正文-2 Char"/>
    <w:link w:val="256"/>
    <w:qFormat/>
    <w:uiPriority w:val="99"/>
    <w:rPr>
      <w:rFonts w:ascii="Arial" w:hAnsi="Arial" w:cs="宋体"/>
      <w:color w:val="000000"/>
      <w:sz w:val="24"/>
      <w:szCs w:val="24"/>
    </w:rPr>
  </w:style>
  <w:style w:type="paragraph" w:customStyle="1" w:styleId="256">
    <w:name w:val="样式正文-2"/>
    <w:basedOn w:val="221"/>
    <w:link w:val="255"/>
    <w:qFormat/>
    <w:uiPriority w:val="99"/>
    <w:pPr>
      <w:snapToGrid w:val="0"/>
      <w:spacing w:beforeLines="50" w:line="360" w:lineRule="auto"/>
      <w:ind w:firstLine="480" w:firstLineChars="200"/>
    </w:pPr>
    <w:rPr>
      <w:rFonts w:ascii="Arial" w:hAnsi="Arial" w:eastAsia="宋体"/>
    </w:rPr>
  </w:style>
  <w:style w:type="character" w:customStyle="1" w:styleId="257">
    <w:name w:val="样式 正文文本缩进 + 首行缩进:  2 字符 Char Char"/>
    <w:link w:val="258"/>
    <w:qFormat/>
    <w:uiPriority w:val="99"/>
    <w:rPr>
      <w:rFonts w:cs="宋体"/>
      <w:sz w:val="24"/>
      <w:szCs w:val="24"/>
    </w:rPr>
  </w:style>
  <w:style w:type="paragraph" w:customStyle="1" w:styleId="258">
    <w:name w:val="样式 正文文本缩进 + 首行缩进:  2 字符 Char"/>
    <w:basedOn w:val="34"/>
    <w:link w:val="257"/>
    <w:qFormat/>
    <w:uiPriority w:val="99"/>
    <w:pPr>
      <w:tabs>
        <w:tab w:val="left" w:pos="9016"/>
      </w:tabs>
      <w:spacing w:line="500" w:lineRule="exact"/>
      <w:ind w:firstLine="480"/>
    </w:pPr>
    <w:rPr>
      <w:rFonts w:ascii="Calibri" w:eastAsia="宋体"/>
    </w:rPr>
  </w:style>
  <w:style w:type="character" w:customStyle="1" w:styleId="259">
    <w:name w:val="批注文字 Char"/>
    <w:link w:val="260"/>
    <w:qFormat/>
    <w:uiPriority w:val="99"/>
    <w:rPr>
      <w:kern w:val="2"/>
      <w:sz w:val="21"/>
      <w:szCs w:val="24"/>
    </w:rPr>
  </w:style>
  <w:style w:type="paragraph" w:customStyle="1" w:styleId="260">
    <w:name w:val="批注文字1"/>
    <w:basedOn w:val="1"/>
    <w:link w:val="259"/>
    <w:qFormat/>
    <w:uiPriority w:val="99"/>
    <w:pPr>
      <w:spacing w:line="360" w:lineRule="auto"/>
      <w:jc w:val="left"/>
    </w:pPr>
  </w:style>
  <w:style w:type="character" w:customStyle="1" w:styleId="261">
    <w:name w:val="2级标题（前附表） Char"/>
    <w:link w:val="262"/>
    <w:qFormat/>
    <w:uiPriority w:val="99"/>
    <w:rPr>
      <w:rFonts w:ascii="黑体" w:eastAsia="黑体"/>
      <w:color w:val="000000"/>
      <w:kern w:val="2"/>
      <w:sz w:val="28"/>
      <w:szCs w:val="28"/>
    </w:rPr>
  </w:style>
  <w:style w:type="paragraph" w:customStyle="1" w:styleId="262">
    <w:name w:val="2级标题（前附表）"/>
    <w:basedOn w:val="1"/>
    <w:link w:val="261"/>
    <w:qFormat/>
    <w:locked/>
    <w:uiPriority w:val="99"/>
    <w:pPr>
      <w:outlineLvl w:val="1"/>
    </w:pPr>
    <w:rPr>
      <w:rFonts w:ascii="黑体" w:eastAsia="黑体"/>
      <w:color w:val="000000"/>
      <w:sz w:val="28"/>
      <w:szCs w:val="28"/>
    </w:rPr>
  </w:style>
  <w:style w:type="character" w:customStyle="1" w:styleId="263">
    <w:name w:val="Body Text Char"/>
    <w:qFormat/>
    <w:locked/>
    <w:uiPriority w:val="99"/>
    <w:rPr>
      <w:rFonts w:eastAsia="宋体" w:cs="Times New Roman"/>
      <w:kern w:val="2"/>
      <w:sz w:val="24"/>
      <w:lang w:val="en-US" w:eastAsia="zh-CN"/>
    </w:rPr>
  </w:style>
  <w:style w:type="character" w:customStyle="1" w:styleId="264">
    <w:name w:val="Char Char6"/>
    <w:qFormat/>
    <w:uiPriority w:val="0"/>
    <w:rPr>
      <w:rFonts w:ascii="黑体" w:hAnsi="宋体" w:eastAsia="黑体"/>
      <w:bCs/>
      <w:kern w:val="2"/>
      <w:sz w:val="28"/>
      <w:szCs w:val="28"/>
      <w:lang w:val="en-US" w:eastAsia="zh-CN" w:bidi="ar-SA"/>
    </w:rPr>
  </w:style>
  <w:style w:type="character" w:customStyle="1" w:styleId="265">
    <w:name w:val="Book Title"/>
    <w:qFormat/>
    <w:uiPriority w:val="33"/>
    <w:rPr>
      <w:b/>
      <w:bCs/>
      <w:smallCaps/>
      <w:spacing w:val="5"/>
    </w:rPr>
  </w:style>
  <w:style w:type="character" w:customStyle="1" w:styleId="266">
    <w:name w:val="样式 正文文本缩进 + 首行缩进:  2 字符 Char Char Char Char"/>
    <w:qFormat/>
    <w:uiPriority w:val="99"/>
    <w:rPr>
      <w:rFonts w:eastAsia="宋体"/>
      <w:sz w:val="24"/>
      <w:lang w:val="en-US" w:eastAsia="zh-CN"/>
    </w:rPr>
  </w:style>
  <w:style w:type="character" w:customStyle="1" w:styleId="267">
    <w:name w:val="正文文本缩进 3 Char"/>
    <w:qFormat/>
    <w:locked/>
    <w:uiPriority w:val="99"/>
    <w:rPr>
      <w:rFonts w:ascii="宋体"/>
      <w:kern w:val="2"/>
      <w:sz w:val="21"/>
      <w:szCs w:val="21"/>
    </w:rPr>
  </w:style>
  <w:style w:type="character" w:customStyle="1" w:styleId="268">
    <w:name w:val="CM104 Char"/>
    <w:link w:val="269"/>
    <w:qFormat/>
    <w:uiPriority w:val="99"/>
    <w:rPr>
      <w:rFonts w:ascii="宋体" w:hAnsi="......." w:eastAsia="......." w:cs="宋体"/>
      <w:color w:val="000000"/>
      <w:sz w:val="24"/>
      <w:szCs w:val="24"/>
    </w:rPr>
  </w:style>
  <w:style w:type="paragraph" w:customStyle="1" w:styleId="269">
    <w:name w:val="CM104"/>
    <w:basedOn w:val="221"/>
    <w:next w:val="221"/>
    <w:link w:val="268"/>
    <w:qFormat/>
    <w:uiPriority w:val="99"/>
    <w:rPr>
      <w:rFonts w:ascii="宋体"/>
    </w:rPr>
  </w:style>
  <w:style w:type="character" w:customStyle="1" w:styleId="270">
    <w:name w:val="脚注文本 字符"/>
    <w:qFormat/>
    <w:uiPriority w:val="0"/>
    <w:rPr>
      <w:rFonts w:ascii="Times New Roman" w:hAnsi="Times New Roman"/>
      <w:kern w:val="2"/>
      <w:sz w:val="18"/>
      <w:szCs w:val="18"/>
    </w:rPr>
  </w:style>
  <w:style w:type="character" w:customStyle="1" w:styleId="271">
    <w:name w:val="纯文本 字符1"/>
    <w:qFormat/>
    <w:uiPriority w:val="0"/>
    <w:rPr>
      <w:rFonts w:ascii="宋体" w:hAnsi="Courier New" w:cs="Courier New"/>
      <w:kern w:val="2"/>
      <w:sz w:val="21"/>
      <w:szCs w:val="21"/>
    </w:rPr>
  </w:style>
  <w:style w:type="character" w:customStyle="1" w:styleId="272">
    <w:name w:val="Mention"/>
    <w:unhideWhenUsed/>
    <w:qFormat/>
    <w:uiPriority w:val="99"/>
    <w:rPr>
      <w:color w:val="2B579A"/>
      <w:shd w:val="clear" w:color="auto" w:fill="E6E6E6"/>
    </w:rPr>
  </w:style>
  <w:style w:type="character" w:customStyle="1" w:styleId="273">
    <w:name w:val="样式正文-1 Char Char"/>
    <w:qFormat/>
    <w:locked/>
    <w:uiPriority w:val="99"/>
    <w:rPr>
      <w:rFonts w:ascii="Calibri" w:hAnsi="Calibri" w:eastAsia="宋体"/>
      <w:kern w:val="2"/>
      <w:sz w:val="22"/>
      <w:lang w:val="en-US" w:eastAsia="zh-CN"/>
    </w:rPr>
  </w:style>
  <w:style w:type="character" w:customStyle="1" w:styleId="274">
    <w:name w:val="3级标题（总则） Char Char"/>
    <w:qFormat/>
    <w:locked/>
    <w:uiPriority w:val="99"/>
    <w:rPr>
      <w:rFonts w:ascii="宋体" w:hAnsi="宋体" w:eastAsia="宋体"/>
      <w:b/>
      <w:kern w:val="2"/>
      <w:sz w:val="24"/>
      <w:lang w:val="en-US" w:eastAsia="zh-CN"/>
    </w:rPr>
  </w:style>
  <w:style w:type="character" w:customStyle="1" w:styleId="275">
    <w:name w:val="样式5 Char Char"/>
    <w:link w:val="276"/>
    <w:qFormat/>
    <w:uiPriority w:val="99"/>
    <w:rPr>
      <w:rFonts w:ascii="黑体" w:eastAsia="黑体"/>
      <w:b/>
      <w:bCs/>
      <w:kern w:val="2"/>
      <w:sz w:val="32"/>
      <w:szCs w:val="32"/>
    </w:rPr>
  </w:style>
  <w:style w:type="paragraph" w:customStyle="1" w:styleId="276">
    <w:name w:val="样式5 Char"/>
    <w:basedOn w:val="277"/>
    <w:link w:val="275"/>
    <w:qFormat/>
    <w:uiPriority w:val="99"/>
    <w:pPr>
      <w:spacing w:before="192" w:beforeLines="80" w:after="144" w:afterLines="60"/>
      <w:ind w:firstLine="0" w:firstLineChars="0"/>
      <w:jc w:val="center"/>
    </w:pPr>
    <w:rPr>
      <w:rFonts w:ascii="黑体" w:eastAsia="黑体"/>
      <w:sz w:val="32"/>
      <w:szCs w:val="32"/>
    </w:rPr>
  </w:style>
  <w:style w:type="paragraph" w:customStyle="1" w:styleId="277">
    <w:name w:val="样式4 Char"/>
    <w:basedOn w:val="33"/>
    <w:link w:val="278"/>
    <w:qFormat/>
    <w:uiPriority w:val="99"/>
    <w:pPr>
      <w:spacing w:after="0" w:line="500" w:lineRule="exact"/>
      <w:ind w:firstLine="480" w:firstLineChars="200"/>
    </w:pPr>
    <w:rPr>
      <w:rFonts w:ascii="宋体"/>
      <w:b/>
      <w:bCs/>
      <w:kern w:val="2"/>
    </w:rPr>
  </w:style>
  <w:style w:type="character" w:customStyle="1" w:styleId="278">
    <w:name w:val="样式4 Char Char"/>
    <w:link w:val="277"/>
    <w:qFormat/>
    <w:uiPriority w:val="99"/>
    <w:rPr>
      <w:rFonts w:ascii="宋体"/>
      <w:b/>
      <w:bCs/>
      <w:kern w:val="2"/>
      <w:sz w:val="24"/>
      <w:szCs w:val="24"/>
    </w:rPr>
  </w:style>
  <w:style w:type="character" w:customStyle="1" w:styleId="279">
    <w:name w:val="正文突出 字符"/>
    <w:link w:val="280"/>
    <w:qFormat/>
    <w:uiPriority w:val="0"/>
    <w:rPr>
      <w:rFonts w:ascii="Times New Roman" w:hAnsi="Times New Roman" w:eastAsia="华文中宋" w:cs="华文中宋"/>
      <w:b/>
      <w:sz w:val="24"/>
      <w:szCs w:val="24"/>
      <w:u w:val="single"/>
    </w:rPr>
  </w:style>
  <w:style w:type="paragraph" w:customStyle="1" w:styleId="280">
    <w:name w:val="正文突出"/>
    <w:basedOn w:val="33"/>
    <w:next w:val="185"/>
    <w:link w:val="279"/>
    <w:qFormat/>
    <w:uiPriority w:val="0"/>
    <w:rPr>
      <w:rFonts w:eastAsia="华文中宋"/>
      <w:b/>
      <w:u w:val="single"/>
    </w:rPr>
  </w:style>
  <w:style w:type="character" w:customStyle="1" w:styleId="281">
    <w:name w:val="样式3 Char"/>
    <w:link w:val="282"/>
    <w:qFormat/>
    <w:uiPriority w:val="0"/>
    <w:rPr>
      <w:rFonts w:eastAsia="黑体"/>
      <w:sz w:val="24"/>
      <w:szCs w:val="24"/>
    </w:rPr>
  </w:style>
  <w:style w:type="paragraph" w:customStyle="1" w:styleId="282">
    <w:name w:val="样式3"/>
    <w:basedOn w:val="4"/>
    <w:link w:val="281"/>
    <w:qFormat/>
    <w:uiPriority w:val="0"/>
    <w:pPr>
      <w:keepNext w:val="0"/>
      <w:keepLines w:val="0"/>
      <w:widowControl/>
      <w:tabs>
        <w:tab w:val="left" w:pos="-735"/>
        <w:tab w:val="left" w:pos="0"/>
      </w:tabs>
      <w:spacing w:line="500" w:lineRule="atLeast"/>
      <w:ind w:firstLine="720" w:firstLineChars="300"/>
      <w:contextualSpacing/>
      <w:jc w:val="left"/>
    </w:pPr>
    <w:rPr>
      <w:rFonts w:ascii="Calibri" w:hAnsi="Calibri" w:eastAsia="黑体"/>
      <w:b w:val="0"/>
      <w:bCs w:val="0"/>
      <w:sz w:val="24"/>
      <w:szCs w:val="24"/>
    </w:rPr>
  </w:style>
  <w:style w:type="character" w:customStyle="1" w:styleId="283">
    <w:name w:val="正文文本缩进 Char"/>
    <w:qFormat/>
    <w:locked/>
    <w:uiPriority w:val="0"/>
    <w:rPr>
      <w:rFonts w:ascii="宋体" w:hAnsi="MS Sans Serif"/>
      <w:spacing w:val="12"/>
      <w:sz w:val="24"/>
    </w:rPr>
  </w:style>
  <w:style w:type="character" w:customStyle="1" w:styleId="284">
    <w:name w:val="样式5-1 Char Char"/>
    <w:qFormat/>
    <w:locked/>
    <w:uiPriority w:val="99"/>
    <w:rPr>
      <w:rFonts w:ascii="Calibri" w:hAnsi="Calibri" w:eastAsia="宋体"/>
      <w:b/>
      <w:kern w:val="2"/>
      <w:sz w:val="22"/>
      <w:lang w:val="en-US" w:eastAsia="zh-CN"/>
    </w:rPr>
  </w:style>
  <w:style w:type="character" w:customStyle="1" w:styleId="285">
    <w:name w:val="样式4-2 Char"/>
    <w:link w:val="286"/>
    <w:qFormat/>
    <w:uiPriority w:val="99"/>
    <w:rPr>
      <w:b/>
      <w:kern w:val="2"/>
      <w:sz w:val="28"/>
      <w:szCs w:val="22"/>
    </w:rPr>
  </w:style>
  <w:style w:type="paragraph" w:customStyle="1" w:styleId="286">
    <w:name w:val="样式4-2"/>
    <w:basedOn w:val="287"/>
    <w:link w:val="285"/>
    <w:qFormat/>
    <w:uiPriority w:val="99"/>
    <w:pPr>
      <w:jc w:val="center"/>
    </w:pPr>
  </w:style>
  <w:style w:type="paragraph" w:customStyle="1" w:styleId="287">
    <w:name w:val="样式4-1"/>
    <w:basedOn w:val="207"/>
    <w:link w:val="288"/>
    <w:qFormat/>
    <w:uiPriority w:val="99"/>
    <w:pPr>
      <w:spacing w:before="240" w:after="240"/>
      <w:outlineLvl w:val="3"/>
    </w:pPr>
    <w:rPr>
      <w:b/>
      <w:sz w:val="28"/>
    </w:rPr>
  </w:style>
  <w:style w:type="character" w:customStyle="1" w:styleId="288">
    <w:name w:val="样式4-1 Char"/>
    <w:link w:val="287"/>
    <w:qFormat/>
    <w:uiPriority w:val="99"/>
    <w:rPr>
      <w:b/>
      <w:kern w:val="2"/>
      <w:sz w:val="28"/>
      <w:szCs w:val="22"/>
    </w:rPr>
  </w:style>
  <w:style w:type="character" w:customStyle="1" w:styleId="289">
    <w:name w:val="Heading 4 Char"/>
    <w:qFormat/>
    <w:locked/>
    <w:uiPriority w:val="99"/>
    <w:rPr>
      <w:rFonts w:ascii="宋体" w:hAnsi="Arial" w:eastAsia="宋体" w:cs="Times New Roman"/>
      <w:b/>
      <w:kern w:val="2"/>
      <w:sz w:val="24"/>
      <w:lang w:val="en-US" w:eastAsia="zh-CN"/>
    </w:rPr>
  </w:style>
  <w:style w:type="character" w:customStyle="1" w:styleId="290">
    <w:name w:val="样式3-2 Char Char"/>
    <w:qFormat/>
    <w:locked/>
    <w:uiPriority w:val="99"/>
    <w:rPr>
      <w:rFonts w:ascii="黑体" w:eastAsia="黑体"/>
      <w:b/>
      <w:sz w:val="32"/>
      <w:lang w:val="en-US" w:eastAsia="zh-CN"/>
    </w:rPr>
  </w:style>
  <w:style w:type="character" w:customStyle="1" w:styleId="291">
    <w:name w:val="标题 2 字符1"/>
    <w:qFormat/>
    <w:locked/>
    <w:uiPriority w:val="0"/>
    <w:rPr>
      <w:rFonts w:ascii="Arial" w:hAnsi="Arial" w:eastAsia="宋体" w:cs="Times New Roman"/>
      <w:b/>
      <w:bCs/>
      <w:sz w:val="32"/>
      <w:szCs w:val="32"/>
    </w:rPr>
  </w:style>
  <w:style w:type="character" w:customStyle="1" w:styleId="292">
    <w:name w:val="正文文本 Char"/>
    <w:qFormat/>
    <w:uiPriority w:val="0"/>
    <w:rPr>
      <w:rFonts w:eastAsia="宋体"/>
      <w:kern w:val="2"/>
      <w:sz w:val="21"/>
      <w:szCs w:val="24"/>
      <w:lang w:val="en-US" w:eastAsia="zh-CN" w:bidi="ar-SA"/>
    </w:rPr>
  </w:style>
  <w:style w:type="character" w:customStyle="1" w:styleId="293">
    <w:name w:val="列表段落 字符"/>
    <w:link w:val="294"/>
    <w:qFormat/>
    <w:uiPriority w:val="34"/>
    <w:rPr>
      <w:kern w:val="2"/>
      <w:sz w:val="21"/>
      <w:szCs w:val="22"/>
    </w:rPr>
  </w:style>
  <w:style w:type="paragraph" w:styleId="294">
    <w:name w:val="List Paragraph"/>
    <w:basedOn w:val="1"/>
    <w:link w:val="293"/>
    <w:qFormat/>
    <w:uiPriority w:val="34"/>
    <w:pPr>
      <w:ind w:firstLine="420" w:firstLineChars="200"/>
    </w:pPr>
    <w:rPr>
      <w:szCs w:val="22"/>
    </w:rPr>
  </w:style>
  <w:style w:type="character" w:customStyle="1" w:styleId="295">
    <w:name w:val="Document Map Char"/>
    <w:qFormat/>
    <w:locked/>
    <w:uiPriority w:val="99"/>
    <w:rPr>
      <w:rFonts w:eastAsia="宋体" w:cs="Times New Roman"/>
      <w:kern w:val="2"/>
      <w:sz w:val="24"/>
      <w:lang w:val="en-US" w:eastAsia="zh-CN"/>
    </w:rPr>
  </w:style>
  <w:style w:type="character" w:customStyle="1" w:styleId="296">
    <w:name w:val="p12"/>
    <w:qFormat/>
    <w:uiPriority w:val="0"/>
  </w:style>
  <w:style w:type="character" w:customStyle="1" w:styleId="297">
    <w:name w:val="3级标题（总则） Char"/>
    <w:link w:val="298"/>
    <w:qFormat/>
    <w:uiPriority w:val="99"/>
    <w:rPr>
      <w:rFonts w:ascii="宋体" w:hAnsi="宋体"/>
      <w:b/>
      <w:kern w:val="2"/>
      <w:sz w:val="24"/>
      <w:szCs w:val="24"/>
    </w:rPr>
  </w:style>
  <w:style w:type="paragraph" w:customStyle="1" w:styleId="298">
    <w:name w:val="3级标题（总则）"/>
    <w:basedOn w:val="299"/>
    <w:link w:val="297"/>
    <w:qFormat/>
    <w:locked/>
    <w:uiPriority w:val="99"/>
    <w:pPr>
      <w:jc w:val="both"/>
      <w:outlineLvl w:val="2"/>
    </w:pPr>
    <w:rPr>
      <w:rFonts w:cs="Times New Roman"/>
      <w:b/>
      <w:kern w:val="2"/>
    </w:rPr>
  </w:style>
  <w:style w:type="paragraph" w:customStyle="1" w:styleId="299">
    <w:name w:val="样式2"/>
    <w:basedOn w:val="1"/>
    <w:next w:val="59"/>
    <w:link w:val="742"/>
    <w:qFormat/>
    <w:uiPriority w:val="0"/>
    <w:pPr>
      <w:spacing w:line="360" w:lineRule="auto"/>
      <w:jc w:val="center"/>
    </w:pPr>
    <w:rPr>
      <w:rFonts w:ascii="宋体" w:hAnsi="宋体" w:cs="宋体"/>
      <w:kern w:val="0"/>
      <w:sz w:val="24"/>
    </w:rPr>
  </w:style>
  <w:style w:type="character" w:customStyle="1" w:styleId="300">
    <w:name w:val="Subtle Reference"/>
    <w:qFormat/>
    <w:uiPriority w:val="31"/>
    <w:rPr>
      <w:smallCaps/>
      <w:color w:val="DA1F28"/>
      <w:u w:val="single"/>
    </w:rPr>
  </w:style>
  <w:style w:type="character" w:customStyle="1" w:styleId="301">
    <w:name w:val="para1"/>
    <w:qFormat/>
    <w:uiPriority w:val="0"/>
    <w:rPr>
      <w:rFonts w:ascii="Arial" w:hAnsi="Arial"/>
      <w:sz w:val="18"/>
    </w:rPr>
  </w:style>
  <w:style w:type="character" w:customStyle="1" w:styleId="302">
    <w:name w:val="标题 2 Char Char"/>
    <w:qFormat/>
    <w:uiPriority w:val="0"/>
    <w:rPr>
      <w:sz w:val="28"/>
    </w:rPr>
  </w:style>
  <w:style w:type="character" w:customStyle="1" w:styleId="303">
    <w:name w:val="gyy正文 Char"/>
    <w:link w:val="304"/>
    <w:qFormat/>
    <w:uiPriority w:val="0"/>
    <w:rPr>
      <w:rFonts w:ascii="Verdana" w:hAnsi="Verdana"/>
      <w:kern w:val="2"/>
      <w:sz w:val="24"/>
      <w:szCs w:val="24"/>
    </w:rPr>
  </w:style>
  <w:style w:type="paragraph" w:customStyle="1" w:styleId="304">
    <w:name w:val="gyy正文"/>
    <w:basedOn w:val="1"/>
    <w:link w:val="303"/>
    <w:qFormat/>
    <w:uiPriority w:val="0"/>
    <w:pPr>
      <w:spacing w:line="360" w:lineRule="auto"/>
      <w:ind w:firstLine="480" w:firstLineChars="200"/>
    </w:pPr>
    <w:rPr>
      <w:rFonts w:ascii="Verdana" w:hAnsi="Verdana"/>
      <w:sz w:val="24"/>
    </w:rPr>
  </w:style>
  <w:style w:type="character" w:customStyle="1" w:styleId="305">
    <w:name w:val="Heading 3 Char"/>
    <w:qFormat/>
    <w:locked/>
    <w:uiPriority w:val="99"/>
    <w:rPr>
      <w:rFonts w:ascii="仿宋_GB2312" w:eastAsia="仿宋_GB2312" w:cs="Times New Roman"/>
      <w:b/>
      <w:sz w:val="28"/>
      <w:lang w:val="en-US" w:eastAsia="zh-CN"/>
    </w:rPr>
  </w:style>
  <w:style w:type="character" w:customStyle="1" w:styleId="306">
    <w:name w:val="样式3 Char Char"/>
    <w:qFormat/>
    <w:locked/>
    <w:uiPriority w:val="0"/>
    <w:rPr>
      <w:rFonts w:eastAsia="黑体"/>
      <w:sz w:val="24"/>
      <w:lang w:val="en-US" w:eastAsia="zh-CN"/>
    </w:rPr>
  </w:style>
  <w:style w:type="character" w:customStyle="1" w:styleId="307">
    <w:name w:val="正文文本 2 Char"/>
    <w:qFormat/>
    <w:locked/>
    <w:uiPriority w:val="99"/>
    <w:rPr>
      <w:rFonts w:ascii="宋体" w:hAnsi="宋体"/>
      <w:color w:val="000000"/>
      <w:kern w:val="2"/>
      <w:sz w:val="28"/>
      <w:szCs w:val="24"/>
    </w:rPr>
  </w:style>
  <w:style w:type="character" w:customStyle="1" w:styleId="308">
    <w:name w:val="style11"/>
    <w:qFormat/>
    <w:uiPriority w:val="0"/>
    <w:rPr>
      <w:b/>
      <w:bCs/>
    </w:rPr>
  </w:style>
  <w:style w:type="character" w:customStyle="1" w:styleId="309">
    <w:name w:val="样式4-3 Char Char"/>
    <w:qFormat/>
    <w:locked/>
    <w:uiPriority w:val="99"/>
    <w:rPr>
      <w:rFonts w:ascii="黑体" w:hAnsi="华文中宋" w:eastAsia="黑体"/>
      <w:b/>
      <w:color w:val="000000"/>
      <w:sz w:val="32"/>
      <w:lang w:val="en-US" w:eastAsia="zh-CN"/>
    </w:rPr>
  </w:style>
  <w:style w:type="character" w:customStyle="1" w:styleId="310">
    <w:name w:val="样式1-1 Char Char"/>
    <w:qFormat/>
    <w:locked/>
    <w:uiPriority w:val="99"/>
    <w:rPr>
      <w:rFonts w:ascii="华文中宋" w:hAnsi="华文中宋" w:eastAsia="华文中宋"/>
      <w:b/>
      <w:color w:val="000000"/>
      <w:sz w:val="52"/>
      <w:lang w:val="en-US" w:eastAsia="zh-CN"/>
    </w:rPr>
  </w:style>
  <w:style w:type="character" w:customStyle="1" w:styleId="311">
    <w:name w:val="font161"/>
    <w:qFormat/>
    <w:uiPriority w:val="0"/>
    <w:rPr>
      <w:b/>
      <w:bCs/>
      <w:sz w:val="32"/>
      <w:szCs w:val="32"/>
    </w:rPr>
  </w:style>
  <w:style w:type="character" w:customStyle="1" w:styleId="312">
    <w:name w:val="样式4-1 Char Char"/>
    <w:qFormat/>
    <w:locked/>
    <w:uiPriority w:val="99"/>
    <w:rPr>
      <w:rFonts w:ascii="Calibri" w:hAnsi="Calibri" w:eastAsia="宋体"/>
      <w:b/>
      <w:kern w:val="2"/>
      <w:sz w:val="22"/>
      <w:lang w:val="en-US" w:eastAsia="zh-CN"/>
    </w:rPr>
  </w:style>
  <w:style w:type="character" w:customStyle="1" w:styleId="313">
    <w:name w:val="页眉 Char"/>
    <w:qFormat/>
    <w:uiPriority w:val="0"/>
    <w:rPr>
      <w:rFonts w:ascii="宋体" w:eastAsia="宋体"/>
      <w:kern w:val="2"/>
      <w:sz w:val="18"/>
      <w:szCs w:val="18"/>
      <w:lang w:val="en-US" w:eastAsia="zh-CN" w:bidi="ar-SA"/>
    </w:rPr>
  </w:style>
  <w:style w:type="character" w:customStyle="1" w:styleId="314">
    <w:name w:val="引用 字符1"/>
    <w:link w:val="315"/>
    <w:qFormat/>
    <w:uiPriority w:val="99"/>
    <w:rPr>
      <w:i/>
      <w:iCs/>
      <w:color w:val="000000"/>
    </w:rPr>
  </w:style>
  <w:style w:type="paragraph" w:styleId="315">
    <w:name w:val="Quote"/>
    <w:basedOn w:val="1"/>
    <w:next w:val="1"/>
    <w:link w:val="314"/>
    <w:qFormat/>
    <w:uiPriority w:val="0"/>
    <w:pPr>
      <w:widowControl/>
      <w:spacing w:after="200" w:line="276" w:lineRule="auto"/>
      <w:jc w:val="left"/>
    </w:pPr>
    <w:rPr>
      <w:i/>
      <w:iCs/>
      <w:color w:val="000000"/>
      <w:kern w:val="0"/>
      <w:sz w:val="20"/>
      <w:szCs w:val="20"/>
    </w:rPr>
  </w:style>
  <w:style w:type="character" w:customStyle="1" w:styleId="316">
    <w:name w:val="4级标题（1.1项目概况) Char Char"/>
    <w:qFormat/>
    <w:locked/>
    <w:uiPriority w:val="99"/>
    <w:rPr>
      <w:rFonts w:ascii="宋体" w:hAnsi="宋体" w:eastAsia="宋体"/>
      <w:b/>
      <w:kern w:val="2"/>
      <w:sz w:val="24"/>
      <w:lang w:val="en-US" w:eastAsia="zh-CN"/>
    </w:rPr>
  </w:style>
  <w:style w:type="character" w:customStyle="1" w:styleId="317">
    <w:name w:val="Char Char62"/>
    <w:qFormat/>
    <w:uiPriority w:val="0"/>
    <w:rPr>
      <w:rFonts w:ascii="黑体" w:hAnsi="宋体" w:eastAsia="黑体"/>
      <w:kern w:val="2"/>
      <w:sz w:val="28"/>
      <w:lang w:val="en-US" w:eastAsia="zh-CN"/>
    </w:rPr>
  </w:style>
  <w:style w:type="character" w:customStyle="1" w:styleId="318">
    <w:name w:val="批注框文本 Char"/>
    <w:qFormat/>
    <w:locked/>
    <w:uiPriority w:val="0"/>
    <w:rPr>
      <w:sz w:val="18"/>
      <w:szCs w:val="18"/>
    </w:rPr>
  </w:style>
  <w:style w:type="character" w:customStyle="1" w:styleId="319">
    <w:name w:val="页脚 Char"/>
    <w:qFormat/>
    <w:uiPriority w:val="0"/>
    <w:rPr>
      <w:sz w:val="18"/>
    </w:rPr>
  </w:style>
  <w:style w:type="character" w:customStyle="1" w:styleId="320">
    <w:name w:val="样式 段落编号 + (中文) 黑体 两端对齐 Char Char Char Char Char Char Char"/>
    <w:qFormat/>
    <w:uiPriority w:val="99"/>
    <w:rPr>
      <w:rFonts w:ascii="宋体" w:hAnsi="宋体" w:eastAsia="黑体"/>
      <w:kern w:val="2"/>
      <w:sz w:val="24"/>
      <w:lang w:val="en-US" w:eastAsia="zh-CN"/>
    </w:rPr>
  </w:style>
  <w:style w:type="character" w:customStyle="1" w:styleId="321">
    <w:name w:val="样式4-3 Char"/>
    <w:link w:val="322"/>
    <w:qFormat/>
    <w:uiPriority w:val="99"/>
  </w:style>
  <w:style w:type="paragraph" w:customStyle="1" w:styleId="322">
    <w:name w:val="样式4-3"/>
    <w:basedOn w:val="323"/>
    <w:link w:val="321"/>
    <w:qFormat/>
    <w:uiPriority w:val="0"/>
    <w:pPr>
      <w:ind w:firstLine="482" w:firstLineChars="200"/>
      <w:outlineLvl w:val="3"/>
    </w:pPr>
  </w:style>
  <w:style w:type="paragraph" w:customStyle="1" w:styleId="323">
    <w:name w:val="样式3-3"/>
    <w:basedOn w:val="238"/>
    <w:link w:val="324"/>
    <w:qFormat/>
    <w:uiPriority w:val="99"/>
    <w:pPr>
      <w:spacing w:before="156" w:after="156"/>
    </w:pPr>
    <w:rPr>
      <w:rFonts w:ascii="黑体" w:hAnsi="华文中宋"/>
      <w:sz w:val="24"/>
    </w:rPr>
  </w:style>
  <w:style w:type="character" w:customStyle="1" w:styleId="324">
    <w:name w:val="样式3-3 Char"/>
    <w:link w:val="323"/>
    <w:qFormat/>
    <w:uiPriority w:val="99"/>
    <w:rPr>
      <w:rFonts w:ascii="黑体" w:hAnsi="华文中宋" w:eastAsia="黑体" w:cs="Arial"/>
      <w:b/>
      <w:bCs/>
      <w:color w:val="000000"/>
      <w:sz w:val="24"/>
      <w:szCs w:val="32"/>
    </w:rPr>
  </w:style>
  <w:style w:type="character" w:customStyle="1" w:styleId="325">
    <w:name w:val="标题 3 Char1"/>
    <w:qFormat/>
    <w:uiPriority w:val="0"/>
    <w:rPr>
      <w:rFonts w:eastAsia="宋体"/>
      <w:b/>
      <w:bCs/>
      <w:kern w:val="2"/>
      <w:sz w:val="21"/>
      <w:szCs w:val="21"/>
      <w:lang w:val="en-US" w:eastAsia="zh-CN" w:bidi="ar-SA"/>
    </w:rPr>
  </w:style>
  <w:style w:type="character" w:customStyle="1" w:styleId="326">
    <w:name w:val="Header Char"/>
    <w:qFormat/>
    <w:locked/>
    <w:uiPriority w:val="99"/>
    <w:rPr>
      <w:rFonts w:ascii="宋体" w:eastAsia="宋体" w:cs="Times New Roman"/>
      <w:kern w:val="2"/>
      <w:sz w:val="18"/>
      <w:lang w:val="en-US" w:eastAsia="zh-CN"/>
    </w:rPr>
  </w:style>
  <w:style w:type="character" w:customStyle="1" w:styleId="327">
    <w:name w:val="文档结构图 Char"/>
    <w:qFormat/>
    <w:locked/>
    <w:uiPriority w:val="0"/>
    <w:rPr>
      <w:rFonts w:eastAsia="宋体"/>
      <w:kern w:val="2"/>
      <w:sz w:val="21"/>
      <w:szCs w:val="24"/>
      <w:lang w:val="en-US" w:eastAsia="zh-CN" w:bidi="ar-SA"/>
    </w:rPr>
  </w:style>
  <w:style w:type="character" w:customStyle="1" w:styleId="328">
    <w:name w:val="ls"/>
    <w:semiHidden/>
    <w:qFormat/>
    <w:uiPriority w:val="0"/>
    <w:rPr>
      <w:rFonts w:ascii="Arial" w:hAnsi="Arial" w:eastAsia="宋体" w:cs="Arial"/>
      <w:color w:val="auto"/>
      <w:sz w:val="18"/>
      <w:szCs w:val="20"/>
    </w:rPr>
  </w:style>
  <w:style w:type="character" w:customStyle="1" w:styleId="329">
    <w:name w:val="Intense Emphasis"/>
    <w:qFormat/>
    <w:uiPriority w:val="21"/>
    <w:rPr>
      <w:b/>
      <w:bCs/>
      <w:i/>
      <w:iCs/>
      <w:color w:val="2DA2BF"/>
    </w:rPr>
  </w:style>
  <w:style w:type="character" w:customStyle="1" w:styleId="330">
    <w:name w:val="标题 8 字符"/>
    <w:qFormat/>
    <w:uiPriority w:val="0"/>
    <w:rPr>
      <w:rFonts w:ascii="等线 Light" w:hAnsi="等线 Light" w:eastAsia="等线 Light" w:cs="Times New Roman"/>
      <w:kern w:val="2"/>
      <w:sz w:val="24"/>
      <w:szCs w:val="24"/>
    </w:rPr>
  </w:style>
  <w:style w:type="character" w:customStyle="1" w:styleId="331">
    <w:name w:val="批注主题 Char"/>
    <w:qFormat/>
    <w:uiPriority w:val="0"/>
    <w:rPr>
      <w:rFonts w:ascii="宋体" w:eastAsia="宋体"/>
      <w:b/>
      <w:bCs/>
      <w:kern w:val="2"/>
      <w:sz w:val="24"/>
      <w:szCs w:val="24"/>
      <w:lang w:val="en-US" w:eastAsia="zh-CN" w:bidi="ar-SA"/>
    </w:rPr>
  </w:style>
  <w:style w:type="character" w:customStyle="1" w:styleId="332">
    <w:name w:val="正文文本缩进 2 Char"/>
    <w:qFormat/>
    <w:locked/>
    <w:uiPriority w:val="0"/>
    <w:rPr>
      <w:rFonts w:ascii="宋体"/>
      <w:kern w:val="2"/>
      <w:sz w:val="21"/>
      <w:szCs w:val="21"/>
    </w:rPr>
  </w:style>
  <w:style w:type="character" w:customStyle="1" w:styleId="333">
    <w:name w:val="正文文本 3 字符"/>
    <w:qFormat/>
    <w:uiPriority w:val="0"/>
    <w:rPr>
      <w:rFonts w:ascii="Times New Roman" w:hAnsi="Times New Roman"/>
      <w:kern w:val="2"/>
      <w:sz w:val="16"/>
      <w:szCs w:val="16"/>
    </w:rPr>
  </w:style>
  <w:style w:type="character" w:customStyle="1" w:styleId="334">
    <w:name w:val="样式5-2 Char Char"/>
    <w:qFormat/>
    <w:locked/>
    <w:uiPriority w:val="99"/>
    <w:rPr>
      <w:rFonts w:ascii="Calibri" w:hAnsi="Calibri" w:eastAsia="宋体"/>
      <w:b/>
      <w:kern w:val="2"/>
      <w:sz w:val="22"/>
      <w:lang w:val="en-US" w:eastAsia="zh-CN"/>
    </w:rPr>
  </w:style>
  <w:style w:type="character" w:customStyle="1" w:styleId="335">
    <w:name w:val="Heading 2 Char"/>
    <w:qFormat/>
    <w:locked/>
    <w:uiPriority w:val="99"/>
    <w:rPr>
      <w:rFonts w:ascii="宋体" w:hAnsi="Arial" w:cs="Times New Roman"/>
      <w:b/>
      <w:kern w:val="2"/>
      <w:sz w:val="24"/>
    </w:rPr>
  </w:style>
  <w:style w:type="paragraph" w:customStyle="1" w:styleId="336">
    <w:name w:val="样式5"/>
    <w:basedOn w:val="337"/>
    <w:qFormat/>
    <w:uiPriority w:val="0"/>
    <w:pPr>
      <w:spacing w:before="192" w:beforeLines="80" w:after="144" w:afterLines="60"/>
      <w:ind w:firstLine="0" w:firstLineChars="0"/>
      <w:jc w:val="center"/>
    </w:pPr>
    <w:rPr>
      <w:rFonts w:ascii="黑体" w:eastAsia="黑体"/>
      <w:sz w:val="32"/>
      <w:szCs w:val="32"/>
    </w:rPr>
  </w:style>
  <w:style w:type="paragraph" w:customStyle="1" w:styleId="337">
    <w:name w:val="样式4"/>
    <w:basedOn w:val="33"/>
    <w:qFormat/>
    <w:uiPriority w:val="0"/>
    <w:pPr>
      <w:spacing w:after="0" w:line="500" w:lineRule="exact"/>
      <w:ind w:firstLine="480" w:firstLineChars="200"/>
    </w:pPr>
    <w:rPr>
      <w:kern w:val="2"/>
    </w:rPr>
  </w:style>
  <w:style w:type="paragraph" w:customStyle="1" w:styleId="338">
    <w:name w:val="样式1-标题1"/>
    <w:basedOn w:val="1"/>
    <w:next w:val="1"/>
    <w:qFormat/>
    <w:uiPriority w:val="99"/>
    <w:pPr>
      <w:spacing w:before="312" w:beforeLines="100" w:after="312" w:afterLines="100"/>
      <w:jc w:val="center"/>
      <w:outlineLvl w:val="0"/>
    </w:pPr>
    <w:rPr>
      <w:rFonts w:ascii="华文中宋" w:hAnsi="华文中宋" w:eastAsia="华文中宋"/>
      <w:b/>
      <w:sz w:val="36"/>
    </w:rPr>
  </w:style>
  <w:style w:type="paragraph" w:customStyle="1" w:styleId="339">
    <w:name w:val="CM108"/>
    <w:basedOn w:val="221"/>
    <w:next w:val="221"/>
    <w:qFormat/>
    <w:uiPriority w:val="99"/>
    <w:rPr>
      <w:rFonts w:ascii="宋体" w:hAnsi="Times New Roman" w:eastAsia="宋体"/>
      <w:color w:val="auto"/>
    </w:rPr>
  </w:style>
  <w:style w:type="paragraph" w:customStyle="1" w:styleId="340">
    <w:name w:val="样式 样式 样式5 + 首行缩进:  2 字符 + 首行缩进:  2 字符 段前: 0.8 行 段后: 0.6 行"/>
    <w:basedOn w:val="341"/>
    <w:qFormat/>
    <w:uiPriority w:val="0"/>
    <w:pPr>
      <w:spacing w:before="0" w:beforeLines="0" w:after="0" w:afterLines="0"/>
      <w:ind w:firstLine="0" w:firstLineChars="0"/>
    </w:pPr>
    <w:rPr>
      <w:rFonts w:ascii="仿宋_GB2312" w:hAnsi="仿宋" w:eastAsia="仿宋_GB2312"/>
      <w:b w:val="0"/>
      <w:sz w:val="20"/>
      <w:szCs w:val="20"/>
    </w:rPr>
  </w:style>
  <w:style w:type="paragraph" w:customStyle="1" w:styleId="341">
    <w:name w:val="样式 样式5 + 首行缩进:  2 字符"/>
    <w:basedOn w:val="276"/>
    <w:qFormat/>
    <w:uiPriority w:val="99"/>
    <w:pPr>
      <w:ind w:firstLine="200" w:firstLineChars="200"/>
      <w:jc w:val="both"/>
    </w:pPr>
    <w:rPr>
      <w:rFonts w:ascii="Times New Roman" w:eastAsia="宋体" w:cs="宋体"/>
      <w:sz w:val="24"/>
      <w:szCs w:val="24"/>
    </w:rPr>
  </w:style>
  <w:style w:type="paragraph" w:customStyle="1" w:styleId="342">
    <w:name w:val="CM66"/>
    <w:basedOn w:val="221"/>
    <w:next w:val="221"/>
    <w:qFormat/>
    <w:uiPriority w:val="99"/>
    <w:rPr>
      <w:rFonts w:ascii="宋体" w:hAnsi="Times New Roman" w:eastAsia="宋体"/>
      <w:color w:val="auto"/>
    </w:rPr>
  </w:style>
  <w:style w:type="paragraph" w:styleId="343">
    <w:name w:val="No Spacing"/>
    <w:link w:val="611"/>
    <w:qFormat/>
    <w:uiPriority w:val="99"/>
    <w:rPr>
      <w:rFonts w:ascii="Times New Roman" w:hAnsi="Times New Roman" w:eastAsia="宋体" w:cs="Times New Roman"/>
      <w:sz w:val="22"/>
      <w:szCs w:val="22"/>
      <w:lang w:val="en-US" w:eastAsia="zh-CN" w:bidi="ar-SA"/>
    </w:rPr>
  </w:style>
  <w:style w:type="paragraph" w:customStyle="1" w:styleId="344">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345">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346">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347">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348">
    <w:name w:val="正文21"/>
    <w:basedOn w:val="1"/>
    <w:qFormat/>
    <w:uiPriority w:val="0"/>
    <w:pPr>
      <w:spacing w:line="360" w:lineRule="auto"/>
      <w:ind w:right="200" w:rightChars="200"/>
      <w:jc w:val="right"/>
    </w:pPr>
    <w:rPr>
      <w:rFonts w:ascii="宋体"/>
      <w:szCs w:val="21"/>
    </w:rPr>
  </w:style>
  <w:style w:type="paragraph" w:customStyle="1" w:styleId="349">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50">
    <w:name w:val="font8"/>
    <w:basedOn w:val="1"/>
    <w:qFormat/>
    <w:uiPriority w:val="0"/>
    <w:pPr>
      <w:widowControl/>
      <w:spacing w:before="100" w:beforeAutospacing="1" w:after="100" w:afterAutospacing="1"/>
      <w:jc w:val="left"/>
    </w:pPr>
    <w:rPr>
      <w:kern w:val="0"/>
      <w:sz w:val="20"/>
      <w:szCs w:val="20"/>
    </w:rPr>
  </w:style>
  <w:style w:type="paragraph" w:customStyle="1" w:styleId="351">
    <w:name w:val="样式8"/>
    <w:basedOn w:val="5"/>
    <w:link w:val="756"/>
    <w:qFormat/>
    <w:uiPriority w:val="0"/>
    <w:pPr>
      <w:widowControl/>
      <w:tabs>
        <w:tab w:val="left" w:pos="2160"/>
        <w:tab w:val="left" w:pos="3660"/>
      </w:tabs>
      <w:spacing w:before="160" w:after="240" w:line="500" w:lineRule="exact"/>
      <w:ind w:left="3660" w:hanging="720" w:firstLineChars="200"/>
      <w:jc w:val="left"/>
    </w:pPr>
    <w:rPr>
      <w:rFonts w:ascii="Times New Roman" w:eastAsia="黑体"/>
      <w:bCs w:val="0"/>
      <w:sz w:val="21"/>
      <w:szCs w:val="21"/>
    </w:rPr>
  </w:style>
  <w:style w:type="paragraph" w:customStyle="1" w:styleId="352">
    <w:name w:val="scc"/>
    <w:basedOn w:val="1"/>
    <w:qFormat/>
    <w:uiPriority w:val="0"/>
    <w:pPr>
      <w:adjustRightInd w:val="0"/>
      <w:spacing w:line="400" w:lineRule="atLeast"/>
      <w:jc w:val="center"/>
      <w:textAlignment w:val="baseline"/>
    </w:pPr>
    <w:rPr>
      <w:rFonts w:eastAsia="楷体_GB2312"/>
      <w:b/>
      <w:kern w:val="0"/>
      <w:sz w:val="24"/>
      <w:szCs w:val="20"/>
    </w:rPr>
  </w:style>
  <w:style w:type="paragraph" w:customStyle="1" w:styleId="353">
    <w:name w:val="CM85"/>
    <w:basedOn w:val="221"/>
    <w:next w:val="221"/>
    <w:qFormat/>
    <w:uiPriority w:val="99"/>
    <w:pPr>
      <w:spacing w:line="440" w:lineRule="atLeast"/>
    </w:pPr>
    <w:rPr>
      <w:rFonts w:ascii="宋体" w:hAnsi="Times New Roman" w:eastAsia="宋体"/>
      <w:color w:val="auto"/>
    </w:rPr>
  </w:style>
  <w:style w:type="paragraph" w:customStyle="1" w:styleId="354">
    <w:name w:val="CM47"/>
    <w:basedOn w:val="221"/>
    <w:next w:val="221"/>
    <w:qFormat/>
    <w:uiPriority w:val="99"/>
    <w:pPr>
      <w:spacing w:line="400" w:lineRule="atLeast"/>
    </w:pPr>
    <w:rPr>
      <w:rFonts w:ascii="宋体" w:hAnsi="Times New Roman" w:eastAsia="宋体"/>
      <w:color w:val="auto"/>
    </w:rPr>
  </w:style>
  <w:style w:type="paragraph" w:customStyle="1" w:styleId="355">
    <w:name w:val="CM1"/>
    <w:basedOn w:val="221"/>
    <w:next w:val="221"/>
    <w:qFormat/>
    <w:uiPriority w:val="99"/>
    <w:rPr>
      <w:rFonts w:ascii="宋体" w:hAnsi="Times New Roman" w:eastAsia="宋体"/>
      <w:color w:val="auto"/>
    </w:rPr>
  </w:style>
  <w:style w:type="paragraph" w:customStyle="1" w:styleId="356">
    <w:name w:val="第五行"/>
    <w:basedOn w:val="357"/>
    <w:qFormat/>
    <w:uiPriority w:val="0"/>
    <w:pPr>
      <w:ind w:left="-800" w:leftChars="-800"/>
    </w:pPr>
  </w:style>
  <w:style w:type="paragraph" w:customStyle="1" w:styleId="357">
    <w:name w:val="第四行"/>
    <w:basedOn w:val="1"/>
    <w:qFormat/>
    <w:uiPriority w:val="0"/>
    <w:pPr>
      <w:spacing w:before="200" w:beforeLines="200" w:line="360" w:lineRule="auto"/>
      <w:ind w:left="-400" w:leftChars="-400"/>
      <w:jc w:val="center"/>
    </w:pPr>
    <w:rPr>
      <w:rFonts w:ascii="宋体"/>
      <w:b/>
      <w:bCs/>
      <w:sz w:val="28"/>
      <w:szCs w:val="28"/>
    </w:rPr>
  </w:style>
  <w:style w:type="paragraph" w:customStyle="1" w:styleId="358">
    <w:name w:val="CM21"/>
    <w:basedOn w:val="221"/>
    <w:next w:val="221"/>
    <w:qFormat/>
    <w:uiPriority w:val="99"/>
    <w:pPr>
      <w:spacing w:line="400" w:lineRule="atLeast"/>
    </w:pPr>
    <w:rPr>
      <w:rFonts w:ascii="宋体" w:hAnsi="Times New Roman" w:eastAsia="宋体"/>
      <w:color w:val="auto"/>
    </w:rPr>
  </w:style>
  <w:style w:type="paragraph" w:customStyle="1" w:styleId="359">
    <w:name w:val="默认段落字体 Para Char"/>
    <w:basedOn w:val="1"/>
    <w:qFormat/>
    <w:uiPriority w:val="0"/>
    <w:rPr>
      <w:szCs w:val="20"/>
    </w:rPr>
  </w:style>
  <w:style w:type="paragraph" w:customStyle="1" w:styleId="360">
    <w:name w:val="Char Char Char Char Char Char Char1"/>
    <w:basedOn w:val="1"/>
    <w:qFormat/>
    <w:uiPriority w:val="0"/>
    <w:pPr>
      <w:widowControl/>
      <w:spacing w:after="160" w:line="240" w:lineRule="exact"/>
      <w:jc w:val="left"/>
    </w:pPr>
  </w:style>
  <w:style w:type="paragraph" w:customStyle="1" w:styleId="361">
    <w:name w:val="CM106"/>
    <w:basedOn w:val="221"/>
    <w:next w:val="221"/>
    <w:qFormat/>
    <w:uiPriority w:val="99"/>
    <w:rPr>
      <w:rFonts w:ascii="宋体" w:hAnsi="Times New Roman" w:eastAsia="宋体"/>
      <w:color w:val="auto"/>
    </w:rPr>
  </w:style>
  <w:style w:type="paragraph" w:customStyle="1" w:styleId="362">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363">
    <w:name w:val="样式 样式 样式 第五行 + 左侧:  -8 字符 段前: 2 行 + 左侧:  -6 字符 段前: 2 行 + 左侧:  -4..."/>
    <w:basedOn w:val="364"/>
    <w:qFormat/>
    <w:uiPriority w:val="0"/>
    <w:rPr>
      <w:szCs w:val="28"/>
    </w:rPr>
  </w:style>
  <w:style w:type="paragraph" w:customStyle="1" w:styleId="364">
    <w:name w:val="样式 样式 第五行 + 左侧:  -8 字符 段前: 2 行 + 左侧:  -6 字符 段前: 2 行"/>
    <w:basedOn w:val="365"/>
    <w:qFormat/>
    <w:uiPriority w:val="0"/>
    <w:pPr>
      <w:ind w:left="-400" w:leftChars="-400"/>
    </w:pPr>
  </w:style>
  <w:style w:type="paragraph" w:customStyle="1" w:styleId="365">
    <w:name w:val="样式 第五行 + 左侧:  -8 字符 段前: 2 行"/>
    <w:basedOn w:val="356"/>
    <w:qFormat/>
    <w:uiPriority w:val="0"/>
    <w:pPr>
      <w:ind w:left="-600" w:leftChars="-600"/>
    </w:pPr>
    <w:rPr>
      <w:szCs w:val="20"/>
    </w:rPr>
  </w:style>
  <w:style w:type="paragraph" w:customStyle="1" w:styleId="366">
    <w:name w:val="_Style 208"/>
    <w:next w:val="1"/>
    <w:qFormat/>
    <w:uiPriority w:val="0"/>
    <w:rPr>
      <w:rFonts w:ascii="Times New Roman" w:hAnsi="Times New Roman" w:eastAsia="宋体" w:cs="Times New Roman"/>
      <w:sz w:val="24"/>
      <w:szCs w:val="24"/>
      <w:lang w:val="en-US" w:eastAsia="zh-CN" w:bidi="ar-SA"/>
    </w:rPr>
  </w:style>
  <w:style w:type="paragraph" w:customStyle="1" w:styleId="367">
    <w:name w:val="CM102"/>
    <w:basedOn w:val="221"/>
    <w:next w:val="221"/>
    <w:qFormat/>
    <w:uiPriority w:val="99"/>
    <w:rPr>
      <w:rFonts w:ascii="宋体" w:hAnsi="Times New Roman" w:eastAsia="宋体"/>
      <w:color w:val="auto"/>
    </w:rPr>
  </w:style>
  <w:style w:type="paragraph" w:customStyle="1" w:styleId="36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9">
    <w:name w:val="Char2 Char Char Char Char Char Char"/>
    <w:basedOn w:val="26"/>
    <w:qFormat/>
    <w:uiPriority w:val="0"/>
    <w:rPr>
      <w:kern w:val="2"/>
      <w:sz w:val="21"/>
      <w:szCs w:val="20"/>
    </w:rPr>
  </w:style>
  <w:style w:type="paragraph" w:customStyle="1" w:styleId="370">
    <w:name w:val="样式 样式 样式 第四行 + 左侧:  -4 字符 段前: 2 行 + 左侧:  -3 字符 段前: 2 行 + 左侧:  -2..."/>
    <w:basedOn w:val="371"/>
    <w:qFormat/>
    <w:uiPriority w:val="0"/>
    <w:pPr>
      <w:ind w:left="0" w:leftChars="0"/>
    </w:pPr>
  </w:style>
  <w:style w:type="paragraph" w:customStyle="1" w:styleId="371">
    <w:name w:val="样式 样式 第四行 + 左侧:  -4 字符 段前: 2 行 + 左侧:  -3 字符 段前: 2 行"/>
    <w:basedOn w:val="372"/>
    <w:qFormat/>
    <w:uiPriority w:val="0"/>
    <w:pPr>
      <w:ind w:left="-200" w:leftChars="-200"/>
    </w:pPr>
  </w:style>
  <w:style w:type="paragraph" w:customStyle="1" w:styleId="372">
    <w:name w:val="样式 第四行 + 左侧:  -4 字符 段前: 2 行"/>
    <w:basedOn w:val="357"/>
    <w:qFormat/>
    <w:uiPriority w:val="0"/>
    <w:pPr>
      <w:ind w:left="-300" w:leftChars="-300"/>
    </w:pPr>
    <w:rPr>
      <w:szCs w:val="20"/>
    </w:rPr>
  </w:style>
  <w:style w:type="paragraph" w:customStyle="1" w:styleId="373">
    <w:name w:val="+标题1"/>
    <w:basedOn w:val="3"/>
    <w:qFormat/>
    <w:uiPriority w:val="0"/>
    <w:pPr>
      <w:keepLines/>
      <w:pageBreakBefore/>
      <w:tabs>
        <w:tab w:val="left" w:pos="927"/>
      </w:tabs>
      <w:autoSpaceDE/>
      <w:autoSpaceDN/>
      <w:adjustRightInd/>
      <w:spacing w:before="240" w:after="240" w:line="360" w:lineRule="auto"/>
      <w:ind w:firstLine="567"/>
      <w:jc w:val="center"/>
    </w:pPr>
    <w:rPr>
      <w:rFonts w:ascii="Times New Roman" w:eastAsia="黑体"/>
      <w:color w:val="auto"/>
      <w:kern w:val="32"/>
      <w:sz w:val="32"/>
      <w:szCs w:val="32"/>
    </w:rPr>
  </w:style>
  <w:style w:type="paragraph" w:customStyle="1" w:styleId="374">
    <w:name w:val="CM10"/>
    <w:basedOn w:val="221"/>
    <w:next w:val="221"/>
    <w:qFormat/>
    <w:uiPriority w:val="0"/>
    <w:rPr>
      <w:rFonts w:ascii="宋体" w:hAnsi="Times New Roman" w:eastAsia="宋体"/>
      <w:color w:val="auto"/>
    </w:rPr>
  </w:style>
  <w:style w:type="paragraph" w:customStyle="1" w:styleId="375">
    <w:name w:val="CM87"/>
    <w:basedOn w:val="221"/>
    <w:next w:val="221"/>
    <w:qFormat/>
    <w:uiPriority w:val="99"/>
    <w:pPr>
      <w:spacing w:line="440" w:lineRule="atLeast"/>
    </w:pPr>
    <w:rPr>
      <w:rFonts w:ascii="宋体" w:hAnsi="Times New Roman" w:eastAsia="宋体"/>
      <w:color w:val="auto"/>
    </w:rPr>
  </w:style>
  <w:style w:type="paragraph" w:customStyle="1" w:styleId="376">
    <w:name w:val="正文 A"/>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377">
    <w:name w:val="CM50"/>
    <w:basedOn w:val="221"/>
    <w:next w:val="221"/>
    <w:qFormat/>
    <w:uiPriority w:val="99"/>
    <w:rPr>
      <w:rFonts w:ascii="宋体" w:hAnsi="Times New Roman" w:eastAsia="宋体"/>
      <w:color w:val="auto"/>
    </w:rPr>
  </w:style>
  <w:style w:type="paragraph" w:customStyle="1" w:styleId="378">
    <w:name w:val="Char11"/>
    <w:basedOn w:val="1"/>
    <w:qFormat/>
    <w:uiPriority w:val="0"/>
  </w:style>
  <w:style w:type="paragraph" w:customStyle="1" w:styleId="379">
    <w:name w:val="CM52"/>
    <w:basedOn w:val="221"/>
    <w:next w:val="221"/>
    <w:qFormat/>
    <w:uiPriority w:val="99"/>
    <w:pPr>
      <w:spacing w:line="468" w:lineRule="atLeast"/>
    </w:pPr>
    <w:rPr>
      <w:rFonts w:ascii="宋体" w:hAnsi="Times New Roman" w:eastAsia="宋体"/>
      <w:color w:val="auto"/>
    </w:rPr>
  </w:style>
  <w:style w:type="paragraph" w:customStyle="1" w:styleId="380">
    <w:name w:val="1"/>
    <w:basedOn w:val="1"/>
    <w:next w:val="39"/>
    <w:link w:val="1435"/>
    <w:qFormat/>
    <w:uiPriority w:val="0"/>
    <w:pPr>
      <w:adjustRightInd w:val="0"/>
      <w:ind w:left="420" w:right="33"/>
      <w:jc w:val="left"/>
      <w:textAlignment w:val="baseline"/>
    </w:pPr>
    <w:rPr>
      <w:kern w:val="0"/>
      <w:sz w:val="24"/>
      <w:szCs w:val="20"/>
    </w:rPr>
  </w:style>
  <w:style w:type="paragraph" w:customStyle="1" w:styleId="381">
    <w:name w:val="+标题3"/>
    <w:basedOn w:val="5"/>
    <w:qFormat/>
    <w:uiPriority w:val="0"/>
    <w:pPr>
      <w:tabs>
        <w:tab w:val="left" w:pos="1260"/>
        <w:tab w:val="left" w:pos="2160"/>
      </w:tabs>
      <w:ind w:left="1260" w:hanging="420" w:firstLineChars="0"/>
      <w:jc w:val="both"/>
    </w:pPr>
    <w:rPr>
      <w:rFonts w:ascii="Times New Roman"/>
      <w:kern w:val="2"/>
      <w:sz w:val="21"/>
      <w:szCs w:val="28"/>
    </w:rPr>
  </w:style>
  <w:style w:type="paragraph" w:customStyle="1" w:styleId="382">
    <w:name w:val="第三行"/>
    <w:basedOn w:val="1"/>
    <w:qFormat/>
    <w:uiPriority w:val="0"/>
    <w:pPr>
      <w:spacing w:before="200" w:beforeLines="200" w:line="360" w:lineRule="auto"/>
      <w:jc w:val="center"/>
    </w:pPr>
    <w:rPr>
      <w:rFonts w:ascii="楷体_GB2312" w:eastAsia="楷体_GB2312"/>
      <w:b/>
      <w:bCs/>
      <w:sz w:val="48"/>
      <w:szCs w:val="48"/>
    </w:rPr>
  </w:style>
  <w:style w:type="paragraph" w:customStyle="1" w:styleId="38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84">
    <w:name w:val="CM86"/>
    <w:basedOn w:val="221"/>
    <w:next w:val="221"/>
    <w:qFormat/>
    <w:uiPriority w:val="99"/>
    <w:pPr>
      <w:spacing w:line="440" w:lineRule="atLeast"/>
    </w:pPr>
    <w:rPr>
      <w:rFonts w:ascii="宋体" w:hAnsi="Times New Roman" w:eastAsia="宋体"/>
      <w:color w:val="auto"/>
    </w:rPr>
  </w:style>
  <w:style w:type="paragraph" w:customStyle="1" w:styleId="385">
    <w:name w:val="样式 第五行 + 左侧:  -8 字符 段前: 2 行1"/>
    <w:basedOn w:val="356"/>
    <w:qFormat/>
    <w:uiPriority w:val="0"/>
    <w:pPr>
      <w:ind w:left="-300" w:leftChars="-300"/>
    </w:pPr>
    <w:rPr>
      <w:szCs w:val="20"/>
    </w:rPr>
  </w:style>
  <w:style w:type="paragraph" w:customStyle="1" w:styleId="386">
    <w:name w:val="CM11"/>
    <w:basedOn w:val="221"/>
    <w:next w:val="221"/>
    <w:qFormat/>
    <w:uiPriority w:val="99"/>
    <w:pPr>
      <w:spacing w:line="403" w:lineRule="atLeast"/>
    </w:pPr>
    <w:rPr>
      <w:rFonts w:ascii="宋体" w:hAnsi="Times New Roman" w:eastAsia="宋体"/>
      <w:color w:val="auto"/>
    </w:rPr>
  </w:style>
  <w:style w:type="paragraph" w:customStyle="1" w:styleId="387">
    <w:name w:val="Char Char1 Char Char Char"/>
    <w:basedOn w:val="1"/>
    <w:qFormat/>
    <w:uiPriority w:val="0"/>
    <w:rPr>
      <w:kern w:val="0"/>
      <w:sz w:val="20"/>
      <w:szCs w:val="20"/>
    </w:rPr>
  </w:style>
  <w:style w:type="paragraph" w:customStyle="1" w:styleId="388">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389">
    <w:name w:val="CM51"/>
    <w:basedOn w:val="221"/>
    <w:next w:val="221"/>
    <w:qFormat/>
    <w:uiPriority w:val="99"/>
    <w:rPr>
      <w:rFonts w:ascii="宋体" w:hAnsi="Times New Roman" w:eastAsia="宋体"/>
      <w:color w:val="auto"/>
    </w:rPr>
  </w:style>
  <w:style w:type="paragraph" w:customStyle="1" w:styleId="390">
    <w:name w:val="样式 第六行 + 左侧:  -2 字符 段前: 2 行"/>
    <w:basedOn w:val="391"/>
    <w:qFormat/>
    <w:uiPriority w:val="0"/>
    <w:pPr>
      <w:ind w:left="-1000" w:leftChars="-1000"/>
    </w:pPr>
    <w:rPr>
      <w:szCs w:val="20"/>
    </w:rPr>
  </w:style>
  <w:style w:type="paragraph" w:customStyle="1" w:styleId="391">
    <w:name w:val="第六行"/>
    <w:basedOn w:val="363"/>
    <w:qFormat/>
    <w:uiPriority w:val="0"/>
    <w:pPr>
      <w:ind w:left="-200" w:leftChars="-200"/>
    </w:pPr>
  </w:style>
  <w:style w:type="paragraph" w:customStyle="1" w:styleId="392">
    <w:name w:val="CM103"/>
    <w:basedOn w:val="221"/>
    <w:next w:val="221"/>
    <w:qFormat/>
    <w:uiPriority w:val="99"/>
    <w:rPr>
      <w:rFonts w:ascii="宋体" w:hAnsi="Times New Roman" w:eastAsia="宋体"/>
      <w:color w:val="auto"/>
    </w:rPr>
  </w:style>
  <w:style w:type="paragraph" w:customStyle="1" w:styleId="393">
    <w:name w:val="CM16"/>
    <w:basedOn w:val="221"/>
    <w:next w:val="221"/>
    <w:qFormat/>
    <w:uiPriority w:val="99"/>
    <w:pPr>
      <w:spacing w:line="440" w:lineRule="atLeast"/>
    </w:pPr>
    <w:rPr>
      <w:rFonts w:ascii="宋体" w:hAnsi="Times New Roman" w:eastAsia="宋体"/>
      <w:color w:val="auto"/>
    </w:rPr>
  </w:style>
  <w:style w:type="paragraph" w:customStyle="1" w:styleId="394">
    <w:name w:val="表格内容"/>
    <w:basedOn w:val="1"/>
    <w:link w:val="734"/>
    <w:qFormat/>
    <w:uiPriority w:val="0"/>
    <w:pPr>
      <w:widowControl/>
      <w:spacing w:line="260" w:lineRule="exact"/>
      <w:jc w:val="center"/>
    </w:pPr>
    <w:rPr>
      <w:kern w:val="0"/>
      <w:sz w:val="20"/>
      <w:szCs w:val="20"/>
    </w:rPr>
  </w:style>
  <w:style w:type="paragraph" w:customStyle="1" w:styleId="395">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396">
    <w:name w:val="CM3"/>
    <w:basedOn w:val="221"/>
    <w:next w:val="221"/>
    <w:qFormat/>
    <w:uiPriority w:val="0"/>
    <w:pPr>
      <w:spacing w:line="433" w:lineRule="atLeast"/>
    </w:pPr>
    <w:rPr>
      <w:rFonts w:ascii="宋体" w:hAnsi="Times New Roman" w:eastAsia="宋体"/>
      <w:color w:val="auto"/>
    </w:rPr>
  </w:style>
  <w:style w:type="paragraph" w:customStyle="1" w:styleId="397">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98">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399">
    <w:name w:val="第1行"/>
    <w:basedOn w:val="1"/>
    <w:qFormat/>
    <w:uiPriority w:val="0"/>
    <w:pPr>
      <w:tabs>
        <w:tab w:val="left" w:pos="927"/>
      </w:tabs>
      <w:snapToGrid w:val="0"/>
      <w:spacing w:line="460" w:lineRule="exact"/>
      <w:ind w:firstLine="567"/>
    </w:pPr>
    <w:rPr>
      <w:rFonts w:ascii="宋体" w:hAnsi="宋体"/>
      <w:szCs w:val="28"/>
    </w:rPr>
  </w:style>
  <w:style w:type="paragraph" w:customStyle="1" w:styleId="400">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401">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402">
    <w:name w:val="样式 样式 样式 第六行 + 左侧:  -2 字符 段前: 2 行 + 左侧:  -10 字符 段前: 2 行 + 左侧:  -..."/>
    <w:basedOn w:val="403"/>
    <w:qFormat/>
    <w:uiPriority w:val="0"/>
    <w:pPr>
      <w:ind w:left="-1200" w:leftChars="-1200"/>
    </w:pPr>
    <w:rPr>
      <w:szCs w:val="20"/>
    </w:rPr>
  </w:style>
  <w:style w:type="paragraph" w:customStyle="1" w:styleId="403">
    <w:name w:val="样式 样式 第六行 + 左侧:  -2 字符 段前: 2 行 + 左侧:  -10 字符 段前: 2 行"/>
    <w:basedOn w:val="390"/>
    <w:qFormat/>
    <w:uiPriority w:val="0"/>
    <w:pPr>
      <w:ind w:left="-1100" w:leftChars="-1100"/>
    </w:pPr>
    <w:rPr>
      <w:szCs w:val="28"/>
    </w:rPr>
  </w:style>
  <w:style w:type="paragraph" w:customStyle="1" w:styleId="404">
    <w:name w:val="CM6"/>
    <w:basedOn w:val="221"/>
    <w:next w:val="221"/>
    <w:qFormat/>
    <w:uiPriority w:val="99"/>
    <w:pPr>
      <w:spacing w:line="313" w:lineRule="atLeast"/>
    </w:pPr>
    <w:rPr>
      <w:rFonts w:ascii="宋体" w:hAnsi="Times New Roman" w:eastAsia="宋体"/>
      <w:color w:val="auto"/>
    </w:rPr>
  </w:style>
  <w:style w:type="paragraph" w:customStyle="1" w:styleId="405">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406">
    <w:name w:val="Char13"/>
    <w:basedOn w:val="1"/>
    <w:qFormat/>
    <w:uiPriority w:val="0"/>
  </w:style>
  <w:style w:type="paragraph" w:customStyle="1" w:styleId="407">
    <w:name w:val="样式 样式 样式 样式 第六行 + 左侧:  -2 字符 段前: 2 行 + 左侧:  -10 字符 段前: 2 行 + 左侧:..."/>
    <w:basedOn w:val="402"/>
    <w:qFormat/>
    <w:uiPriority w:val="0"/>
    <w:pPr>
      <w:ind w:left="-1000" w:leftChars="-1000"/>
    </w:pPr>
  </w:style>
  <w:style w:type="paragraph" w:customStyle="1" w:styleId="408">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09">
    <w:name w:val="Char2"/>
    <w:basedOn w:val="1"/>
    <w:qFormat/>
    <w:uiPriority w:val="0"/>
    <w:pPr>
      <w:ind w:left="432" w:hanging="432"/>
    </w:pPr>
    <w:rPr>
      <w:sz w:val="24"/>
    </w:rPr>
  </w:style>
  <w:style w:type="paragraph" w:customStyle="1" w:styleId="410">
    <w:name w:val="菲页2"/>
    <w:basedOn w:val="5"/>
    <w:qFormat/>
    <w:uiPriority w:val="0"/>
    <w:pPr>
      <w:widowControl/>
      <w:tabs>
        <w:tab w:val="left" w:pos="425"/>
        <w:tab w:val="left" w:pos="2160"/>
      </w:tabs>
      <w:spacing w:line="312" w:lineRule="auto"/>
      <w:ind w:left="425" w:hanging="425"/>
      <w:jc w:val="both"/>
    </w:pPr>
    <w:rPr>
      <w:rFonts w:ascii="黑体" w:eastAsia="黑体"/>
      <w:sz w:val="44"/>
      <w:szCs w:val="20"/>
    </w:rPr>
  </w:style>
  <w:style w:type="paragraph" w:customStyle="1" w:styleId="411">
    <w:name w:val="Char1"/>
    <w:basedOn w:val="1"/>
    <w:qFormat/>
    <w:uiPriority w:val="0"/>
  </w:style>
  <w:style w:type="paragraph" w:customStyle="1" w:styleId="412">
    <w:name w:val="Char Char Char"/>
    <w:basedOn w:val="1"/>
    <w:qFormat/>
    <w:uiPriority w:val="0"/>
    <w:pPr>
      <w:ind w:left="432" w:hanging="432"/>
    </w:pPr>
    <w:rPr>
      <w:sz w:val="24"/>
    </w:rPr>
  </w:style>
  <w:style w:type="paragraph" w:customStyle="1" w:styleId="413">
    <w:name w:val="CM97"/>
    <w:basedOn w:val="221"/>
    <w:next w:val="221"/>
    <w:qFormat/>
    <w:uiPriority w:val="99"/>
    <w:pPr>
      <w:spacing w:line="440" w:lineRule="atLeast"/>
    </w:pPr>
    <w:rPr>
      <w:rFonts w:ascii="宋体" w:hAnsi="Times New Roman" w:eastAsia="宋体"/>
      <w:color w:val="auto"/>
    </w:rPr>
  </w:style>
  <w:style w:type="paragraph" w:customStyle="1" w:styleId="414">
    <w:name w:val="CM99"/>
    <w:basedOn w:val="221"/>
    <w:next w:val="221"/>
    <w:qFormat/>
    <w:uiPriority w:val="0"/>
    <w:rPr>
      <w:rFonts w:ascii="宋体" w:hAnsi="Times New Roman" w:eastAsia="宋体"/>
      <w:color w:val="auto"/>
    </w:rPr>
  </w:style>
  <w:style w:type="paragraph" w:customStyle="1" w:styleId="415">
    <w:name w:val="+标题4"/>
    <w:basedOn w:val="6"/>
    <w:qFormat/>
    <w:uiPriority w:val="0"/>
    <w:pPr>
      <w:tabs>
        <w:tab w:val="left" w:pos="1680"/>
      </w:tabs>
      <w:spacing w:before="120" w:after="120" w:line="360" w:lineRule="auto"/>
      <w:ind w:left="1680" w:hanging="420"/>
    </w:pPr>
    <w:rPr>
      <w:rFonts w:ascii="Times New Roman" w:hAnsi="Times New Roman" w:eastAsia="宋体"/>
      <w:sz w:val="24"/>
    </w:rPr>
  </w:style>
  <w:style w:type="paragraph" w:customStyle="1" w:styleId="416">
    <w:name w:val="+正文"/>
    <w:basedOn w:val="1"/>
    <w:qFormat/>
    <w:uiPriority w:val="0"/>
    <w:pPr>
      <w:spacing w:line="360" w:lineRule="auto"/>
      <w:ind w:firstLine="200" w:firstLineChars="200"/>
    </w:pPr>
    <w:rPr>
      <w:sz w:val="24"/>
      <w:szCs w:val="28"/>
    </w:rPr>
  </w:style>
  <w:style w:type="paragraph" w:customStyle="1" w:styleId="417">
    <w:name w:val="CM23"/>
    <w:basedOn w:val="221"/>
    <w:next w:val="221"/>
    <w:qFormat/>
    <w:uiPriority w:val="0"/>
    <w:pPr>
      <w:spacing w:line="400" w:lineRule="atLeast"/>
    </w:pPr>
    <w:rPr>
      <w:rFonts w:ascii="宋体" w:hAnsi="Times New Roman" w:eastAsia="宋体"/>
      <w:color w:val="auto"/>
    </w:rPr>
  </w:style>
  <w:style w:type="paragraph" w:customStyle="1" w:styleId="418">
    <w:name w:val="修订1"/>
    <w:qFormat/>
    <w:uiPriority w:val="99"/>
    <w:rPr>
      <w:rFonts w:ascii="Times New Roman" w:hAnsi="Times New Roman" w:eastAsia="宋体" w:cs="Times New Roman"/>
      <w:sz w:val="24"/>
      <w:szCs w:val="24"/>
      <w:lang w:val="en-US" w:eastAsia="zh-CN" w:bidi="ar-SA"/>
    </w:rPr>
  </w:style>
  <w:style w:type="paragraph" w:customStyle="1" w:styleId="419">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420">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421">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422">
    <w:name w:val="横表格"/>
    <w:basedOn w:val="423"/>
    <w:qFormat/>
    <w:uiPriority w:val="0"/>
    <w:pPr>
      <w:spacing w:before="0" w:beforeLines="0" w:line="240" w:lineRule="auto"/>
    </w:pPr>
    <w:rPr>
      <w:b w:val="0"/>
    </w:rPr>
  </w:style>
  <w:style w:type="paragraph" w:customStyle="1" w:styleId="423">
    <w:name w:val="横表名"/>
    <w:basedOn w:val="1"/>
    <w:qFormat/>
    <w:uiPriority w:val="0"/>
    <w:pPr>
      <w:spacing w:before="50" w:beforeLines="50" w:line="360" w:lineRule="auto"/>
      <w:jc w:val="center"/>
    </w:pPr>
    <w:rPr>
      <w:rFonts w:ascii="宋体"/>
      <w:b/>
      <w:szCs w:val="21"/>
    </w:rPr>
  </w:style>
  <w:style w:type="paragraph" w:customStyle="1" w:styleId="424">
    <w:name w:val="目录"/>
    <w:basedOn w:val="1"/>
    <w:qFormat/>
    <w:uiPriority w:val="0"/>
    <w:pPr>
      <w:widowControl/>
      <w:jc w:val="center"/>
    </w:pPr>
    <w:rPr>
      <w:rFonts w:ascii="宋体"/>
      <w:b/>
      <w:kern w:val="0"/>
      <w:sz w:val="36"/>
      <w:szCs w:val="20"/>
    </w:rPr>
  </w:style>
  <w:style w:type="paragraph" w:customStyle="1" w:styleId="425">
    <w:name w:val="样式1-正文-缩进-加粗"/>
    <w:basedOn w:val="1"/>
    <w:qFormat/>
    <w:uiPriority w:val="0"/>
    <w:pPr>
      <w:spacing w:line="360" w:lineRule="auto"/>
      <w:ind w:firstLine="482"/>
    </w:pPr>
    <w:rPr>
      <w:b/>
      <w:bCs/>
      <w:sz w:val="24"/>
    </w:rPr>
  </w:style>
  <w:style w:type="paragraph" w:customStyle="1" w:styleId="426">
    <w:name w:val="样式1"/>
    <w:basedOn w:val="1"/>
    <w:link w:val="622"/>
    <w:qFormat/>
    <w:uiPriority w:val="0"/>
    <w:pPr>
      <w:spacing w:before="120" w:after="120" w:line="300" w:lineRule="auto"/>
    </w:pPr>
    <w:rPr>
      <w:rFonts w:ascii="宋体" w:hAnsi="宋体"/>
      <w:b/>
      <w:sz w:val="24"/>
      <w:szCs w:val="20"/>
    </w:rPr>
  </w:style>
  <w:style w:type="paragraph" w:customStyle="1" w:styleId="427">
    <w:name w:val="样式7"/>
    <w:basedOn w:val="394"/>
    <w:link w:val="657"/>
    <w:qFormat/>
    <w:uiPriority w:val="0"/>
  </w:style>
  <w:style w:type="paragraph" w:customStyle="1" w:styleId="428">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29">
    <w:name w:val="Char Char Char Char Char Char Char Char Char Char"/>
    <w:basedOn w:val="1"/>
    <w:qFormat/>
    <w:uiPriority w:val="0"/>
    <w:rPr>
      <w:rFonts w:ascii="Tahoma" w:hAnsi="Tahoma"/>
      <w:sz w:val="24"/>
      <w:szCs w:val="20"/>
    </w:rPr>
  </w:style>
  <w:style w:type="paragraph" w:customStyle="1" w:styleId="430">
    <w:name w:val="CM4"/>
    <w:basedOn w:val="221"/>
    <w:next w:val="221"/>
    <w:qFormat/>
    <w:uiPriority w:val="99"/>
    <w:pPr>
      <w:spacing w:line="433" w:lineRule="atLeast"/>
    </w:pPr>
    <w:rPr>
      <w:rFonts w:ascii="宋体" w:hAnsi="Times New Roman" w:eastAsia="宋体"/>
      <w:color w:val="auto"/>
    </w:rPr>
  </w:style>
  <w:style w:type="paragraph" w:customStyle="1" w:styleId="431">
    <w:name w:val="样式 标题 1 + 黑体 三号 非加粗 居中 段前: 6 磅 段后: 6 磅 行距: 固定值 20 磅"/>
    <w:basedOn w:val="3"/>
    <w:qFormat/>
    <w:uiPriority w:val="0"/>
    <w:pPr>
      <w:keepLines/>
      <w:widowControl/>
      <w:autoSpaceDE/>
      <w:autoSpaceDN/>
      <w:adjustRightInd/>
      <w:spacing w:before="120" w:after="120" w:line="400" w:lineRule="exact"/>
      <w:jc w:val="center"/>
    </w:pPr>
    <w:rPr>
      <w:rFonts w:ascii="黑体" w:hAnsi="黑体" w:eastAsia="黑体" w:cs="宋体"/>
      <w:b w:val="0"/>
      <w:bCs w:val="0"/>
      <w:color w:val="21798E"/>
      <w:sz w:val="32"/>
    </w:rPr>
  </w:style>
  <w:style w:type="paragraph" w:customStyle="1" w:styleId="432">
    <w:name w:val="标题1"/>
    <w:basedOn w:val="3"/>
    <w:qFormat/>
    <w:uiPriority w:val="0"/>
    <w:pPr>
      <w:keepLines/>
      <w:autoSpaceDE/>
      <w:autoSpaceDN/>
      <w:adjustRightInd/>
      <w:spacing w:before="100" w:beforeAutospacing="1" w:after="100" w:afterAutospacing="1" w:line="240" w:lineRule="atLeast"/>
      <w:jc w:val="center"/>
    </w:pPr>
    <w:rPr>
      <w:rFonts w:ascii="Times New Roman" w:eastAsia="宋体"/>
      <w:kern w:val="2"/>
      <w:sz w:val="30"/>
      <w:szCs w:val="30"/>
    </w:rPr>
  </w:style>
  <w:style w:type="paragraph" w:customStyle="1" w:styleId="433">
    <w:name w:val="CM89"/>
    <w:basedOn w:val="221"/>
    <w:next w:val="221"/>
    <w:qFormat/>
    <w:uiPriority w:val="99"/>
    <w:pPr>
      <w:spacing w:line="440" w:lineRule="atLeast"/>
    </w:pPr>
    <w:rPr>
      <w:rFonts w:ascii="宋体" w:hAnsi="Times New Roman" w:eastAsia="宋体"/>
      <w:color w:val="auto"/>
    </w:rPr>
  </w:style>
  <w:style w:type="paragraph" w:customStyle="1" w:styleId="434">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35">
    <w:name w:val="CM46"/>
    <w:basedOn w:val="221"/>
    <w:next w:val="221"/>
    <w:qFormat/>
    <w:uiPriority w:val="99"/>
    <w:pPr>
      <w:spacing w:line="440" w:lineRule="atLeast"/>
    </w:pPr>
    <w:rPr>
      <w:rFonts w:ascii="宋体" w:hAnsi="Times New Roman" w:eastAsia="宋体"/>
      <w:color w:val="auto"/>
    </w:rPr>
  </w:style>
  <w:style w:type="paragraph" w:customStyle="1" w:styleId="436">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437">
    <w:name w:val="Char Char2 Char Char Char Char Char Char Char Char Char Char Char Char Char"/>
    <w:basedOn w:val="1"/>
    <w:qFormat/>
    <w:uiPriority w:val="99"/>
    <w:pPr>
      <w:ind w:firstLine="360" w:firstLineChars="150"/>
    </w:pPr>
    <w:rPr>
      <w:rFonts w:ascii="Tahoma" w:hAnsi="Tahoma"/>
      <w:sz w:val="24"/>
      <w:szCs w:val="20"/>
    </w:rPr>
  </w:style>
  <w:style w:type="paragraph" w:customStyle="1" w:styleId="438">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39">
    <w:name w:val="无间隔1"/>
    <w:qFormat/>
    <w:uiPriority w:val="1"/>
    <w:pPr>
      <w:widowControl w:val="0"/>
      <w:jc w:val="both"/>
    </w:pPr>
    <w:rPr>
      <w:rFonts w:ascii="Cambria" w:hAnsi="Cambria" w:eastAsia="华文楷体" w:cs="Times New Roman"/>
      <w:kern w:val="2"/>
      <w:sz w:val="21"/>
      <w:szCs w:val="22"/>
      <w:lang w:val="en-US" w:eastAsia="zh-CN" w:bidi="ar-SA"/>
    </w:rPr>
  </w:style>
  <w:style w:type="paragraph" w:customStyle="1" w:styleId="440">
    <w:name w:val="Char Char"/>
    <w:basedOn w:val="1"/>
    <w:qFormat/>
    <w:uiPriority w:val="0"/>
    <w:rPr>
      <w:rFonts w:ascii="Tahoma" w:hAnsi="Tahoma"/>
      <w:sz w:val="24"/>
      <w:szCs w:val="20"/>
    </w:rPr>
  </w:style>
  <w:style w:type="paragraph" w:customStyle="1" w:styleId="441">
    <w:name w:val="CM96"/>
    <w:basedOn w:val="221"/>
    <w:next w:val="221"/>
    <w:qFormat/>
    <w:uiPriority w:val="99"/>
    <w:pPr>
      <w:spacing w:line="626" w:lineRule="atLeast"/>
    </w:pPr>
    <w:rPr>
      <w:rFonts w:ascii="宋体" w:hAnsi="Times New Roman" w:eastAsia="宋体"/>
      <w:color w:val="auto"/>
    </w:rPr>
  </w:style>
  <w:style w:type="paragraph" w:customStyle="1" w:styleId="442">
    <w:name w:val="CM27"/>
    <w:basedOn w:val="1"/>
    <w:next w:val="1"/>
    <w:qFormat/>
    <w:uiPriority w:val="0"/>
    <w:pPr>
      <w:autoSpaceDE w:val="0"/>
      <w:autoSpaceDN w:val="0"/>
      <w:adjustRightInd w:val="0"/>
      <w:spacing w:after="128"/>
      <w:jc w:val="left"/>
    </w:pPr>
    <w:rPr>
      <w:rFonts w:ascii="宋体" w:cs="宋体"/>
      <w:kern w:val="0"/>
      <w:sz w:val="24"/>
    </w:rPr>
  </w:style>
  <w:style w:type="paragraph" w:customStyle="1" w:styleId="443">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444">
    <w:name w:val="CM18"/>
    <w:basedOn w:val="221"/>
    <w:next w:val="221"/>
    <w:qFormat/>
    <w:uiPriority w:val="99"/>
    <w:pPr>
      <w:spacing w:line="400" w:lineRule="atLeast"/>
    </w:pPr>
    <w:rPr>
      <w:rFonts w:ascii="宋体" w:hAnsi="Times New Roman" w:eastAsia="宋体"/>
      <w:color w:val="auto"/>
    </w:rPr>
  </w:style>
  <w:style w:type="paragraph" w:customStyle="1" w:styleId="445">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446">
    <w:name w:val="TOC Heading"/>
    <w:basedOn w:val="3"/>
    <w:next w:val="1"/>
    <w:qFormat/>
    <w:uiPriority w:val="39"/>
    <w:pPr>
      <w:keepLines/>
      <w:widowControl/>
      <w:autoSpaceDE/>
      <w:autoSpaceDN/>
      <w:adjustRightInd/>
      <w:spacing w:before="480" w:line="276" w:lineRule="auto"/>
      <w:outlineLvl w:val="9"/>
    </w:pPr>
    <w:rPr>
      <w:rFonts w:ascii="Cambria" w:hAnsi="Cambria" w:eastAsia="宋体"/>
      <w:color w:val="365F91"/>
      <w:sz w:val="28"/>
      <w:szCs w:val="28"/>
    </w:rPr>
  </w:style>
  <w:style w:type="paragraph" w:customStyle="1" w:styleId="447">
    <w:name w:val="+列表1"/>
    <w:basedOn w:val="1"/>
    <w:qFormat/>
    <w:uiPriority w:val="0"/>
    <w:pPr>
      <w:jc w:val="center"/>
    </w:pPr>
  </w:style>
  <w:style w:type="paragraph" w:customStyle="1" w:styleId="448">
    <w:name w:val="样式6"/>
    <w:basedOn w:val="394"/>
    <w:link w:val="724"/>
    <w:qFormat/>
    <w:uiPriority w:val="0"/>
  </w:style>
  <w:style w:type="paragraph" w:customStyle="1" w:styleId="449">
    <w:name w:val="Char Char Char Char Char Char Char Char Char Char111"/>
    <w:basedOn w:val="1"/>
    <w:qFormat/>
    <w:uiPriority w:val="0"/>
    <w:pPr>
      <w:tabs>
        <w:tab w:val="left" w:pos="425"/>
      </w:tabs>
      <w:ind w:left="425" w:hanging="425"/>
    </w:pPr>
    <w:rPr>
      <w:rFonts w:ascii="Arial" w:hAnsi="Arial" w:eastAsia="黑体" w:cs="宋体"/>
      <w:b/>
      <w:bCs/>
      <w:sz w:val="32"/>
      <w:szCs w:val="32"/>
    </w:rPr>
  </w:style>
  <w:style w:type="paragraph" w:customStyle="1" w:styleId="450">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451">
    <w:name w:val="Char Char Char Char Char Char Char"/>
    <w:basedOn w:val="1"/>
    <w:qFormat/>
    <w:uiPriority w:val="0"/>
    <w:pPr>
      <w:widowControl/>
      <w:spacing w:after="160" w:line="240" w:lineRule="exact"/>
      <w:jc w:val="left"/>
    </w:pPr>
  </w:style>
  <w:style w:type="paragraph" w:customStyle="1" w:styleId="452">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453">
    <w:name w:val="TOC 标题11"/>
    <w:basedOn w:val="3"/>
    <w:next w:val="1"/>
    <w:qFormat/>
    <w:uiPriority w:val="0"/>
    <w:pPr>
      <w:keepLines/>
      <w:widowControl/>
      <w:autoSpaceDE/>
      <w:autoSpaceDN/>
      <w:adjustRightInd/>
      <w:spacing w:line="276" w:lineRule="auto"/>
      <w:outlineLvl w:val="9"/>
    </w:pPr>
    <w:rPr>
      <w:rFonts w:ascii="Cambria" w:hAnsi="Cambria" w:eastAsia="宋体"/>
      <w:color w:val="365F91"/>
      <w:sz w:val="28"/>
      <w:szCs w:val="28"/>
    </w:rPr>
  </w:style>
  <w:style w:type="paragraph" w:customStyle="1" w:styleId="454">
    <w:name w:val="样式9"/>
    <w:basedOn w:val="5"/>
    <w:link w:val="665"/>
    <w:qFormat/>
    <w:uiPriority w:val="0"/>
    <w:pPr>
      <w:widowControl/>
      <w:tabs>
        <w:tab w:val="left" w:pos="2160"/>
        <w:tab w:val="left" w:pos="3660"/>
      </w:tabs>
      <w:spacing w:before="160" w:line="500" w:lineRule="exact"/>
      <w:ind w:left="3660" w:hanging="720" w:firstLineChars="200"/>
      <w:jc w:val="left"/>
    </w:pPr>
    <w:rPr>
      <w:rFonts w:ascii="Times New Roman" w:eastAsia="黑体"/>
      <w:bCs w:val="0"/>
      <w:sz w:val="21"/>
      <w:szCs w:val="21"/>
    </w:rPr>
  </w:style>
  <w:style w:type="paragraph" w:customStyle="1" w:styleId="455">
    <w:name w:val="分点内容一级"/>
    <w:basedOn w:val="1"/>
    <w:qFormat/>
    <w:uiPriority w:val="0"/>
    <w:pPr>
      <w:numPr>
        <w:ilvl w:val="0"/>
        <w:numId w:val="6"/>
      </w:numPr>
      <w:spacing w:afterLines="50"/>
    </w:pPr>
    <w:rPr>
      <w:rFonts w:ascii="微软雅黑" w:hAnsi="微软雅黑" w:eastAsia="微软雅黑" w:cs="宋体"/>
      <w:spacing w:val="10"/>
      <w:szCs w:val="21"/>
    </w:rPr>
  </w:style>
  <w:style w:type="paragraph" w:customStyle="1" w:styleId="456">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57">
    <w:name w:val="CM54"/>
    <w:basedOn w:val="221"/>
    <w:next w:val="221"/>
    <w:qFormat/>
    <w:uiPriority w:val="99"/>
    <w:pPr>
      <w:spacing w:line="468" w:lineRule="atLeast"/>
    </w:pPr>
    <w:rPr>
      <w:rFonts w:ascii="宋体" w:hAnsi="Times New Roman" w:eastAsia="宋体"/>
      <w:color w:val="auto"/>
    </w:rPr>
  </w:style>
  <w:style w:type="paragraph" w:customStyle="1" w:styleId="458">
    <w:name w:val="Char"/>
    <w:basedOn w:val="1"/>
    <w:qFormat/>
    <w:uiPriority w:val="0"/>
  </w:style>
  <w:style w:type="paragraph" w:customStyle="1" w:styleId="459">
    <w:name w:val="CM43"/>
    <w:basedOn w:val="221"/>
    <w:next w:val="221"/>
    <w:qFormat/>
    <w:uiPriority w:val="99"/>
    <w:pPr>
      <w:spacing w:line="440" w:lineRule="atLeast"/>
    </w:pPr>
    <w:rPr>
      <w:rFonts w:ascii="宋体" w:hAnsi="Times New Roman" w:eastAsia="宋体"/>
      <w:color w:val="auto"/>
    </w:rPr>
  </w:style>
  <w:style w:type="paragraph" w:customStyle="1" w:styleId="460">
    <w:name w:val="+标题2"/>
    <w:basedOn w:val="4"/>
    <w:qFormat/>
    <w:uiPriority w:val="0"/>
    <w:pPr>
      <w:tabs>
        <w:tab w:val="left" w:pos="-735"/>
        <w:tab w:val="left" w:pos="840"/>
      </w:tabs>
      <w:ind w:left="840" w:hanging="420"/>
      <w:jc w:val="both"/>
    </w:pPr>
    <w:rPr>
      <w:rFonts w:ascii="Times New Roman" w:hAnsi="Times New Roman"/>
      <w:kern w:val="2"/>
      <w:sz w:val="24"/>
      <w:szCs w:val="28"/>
    </w:rPr>
  </w:style>
  <w:style w:type="paragraph" w:customStyle="1" w:styleId="461">
    <w:name w:val="样式 标题 2 + Times New Roman 四号 非加粗 段前: 5 磅 段后: 0 磅 行距: 固定值 20..."/>
    <w:basedOn w:val="4"/>
    <w:qFormat/>
    <w:uiPriority w:val="0"/>
    <w:pPr>
      <w:widowControl/>
      <w:tabs>
        <w:tab w:val="left" w:pos="-735"/>
      </w:tabs>
      <w:spacing w:before="100" w:after="0" w:line="400" w:lineRule="exact"/>
      <w:jc w:val="left"/>
    </w:pPr>
    <w:rPr>
      <w:rFonts w:ascii="Times New Roman" w:hAnsi="Times New Roman" w:cs="宋体"/>
      <w:b w:val="0"/>
      <w:bCs w:val="0"/>
      <w:color w:val="2DA2BF"/>
      <w:sz w:val="28"/>
      <w:szCs w:val="20"/>
    </w:rPr>
  </w:style>
  <w:style w:type="paragraph" w:customStyle="1" w:styleId="462">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463">
    <w:name w:val="无间隔1111"/>
    <w:qFormat/>
    <w:uiPriority w:val="1"/>
    <w:pPr>
      <w:widowControl w:val="0"/>
      <w:jc w:val="both"/>
    </w:pPr>
    <w:rPr>
      <w:rFonts w:ascii="Cambria" w:hAnsi="Cambria" w:eastAsia="华文楷体" w:cs="Times New Roman"/>
      <w:kern w:val="2"/>
      <w:sz w:val="21"/>
      <w:szCs w:val="22"/>
      <w:lang w:val="en-US" w:eastAsia="zh-CN" w:bidi="ar-SA"/>
    </w:rPr>
  </w:style>
  <w:style w:type="paragraph" w:customStyle="1" w:styleId="464">
    <w:name w:val="CM126"/>
    <w:basedOn w:val="221"/>
    <w:next w:val="221"/>
    <w:qFormat/>
    <w:uiPriority w:val="99"/>
    <w:rPr>
      <w:rFonts w:ascii="宋体" w:hAnsi="Times New Roman" w:eastAsia="宋体"/>
      <w:color w:val="auto"/>
    </w:rPr>
  </w:style>
  <w:style w:type="paragraph" w:customStyle="1" w:styleId="465">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66">
    <w:name w:val="CM63"/>
    <w:basedOn w:val="221"/>
    <w:next w:val="221"/>
    <w:qFormat/>
    <w:uiPriority w:val="99"/>
    <w:pPr>
      <w:spacing w:line="468" w:lineRule="atLeast"/>
    </w:pPr>
    <w:rPr>
      <w:rFonts w:ascii="宋体" w:hAnsi="Times New Roman" w:eastAsia="宋体"/>
      <w:color w:val="auto"/>
    </w:rPr>
  </w:style>
  <w:style w:type="paragraph" w:customStyle="1" w:styleId="467">
    <w:name w:val="Char Char Char Char Char Char Char21"/>
    <w:basedOn w:val="1"/>
    <w:qFormat/>
    <w:uiPriority w:val="0"/>
    <w:pPr>
      <w:widowControl/>
      <w:spacing w:after="160" w:line="240" w:lineRule="exact"/>
      <w:jc w:val="left"/>
    </w:pPr>
  </w:style>
  <w:style w:type="paragraph" w:customStyle="1" w:styleId="468">
    <w:name w:val="第一行"/>
    <w:basedOn w:val="1"/>
    <w:qFormat/>
    <w:uiPriority w:val="0"/>
    <w:pPr>
      <w:spacing w:before="100" w:beforeLines="100" w:line="360" w:lineRule="auto"/>
      <w:jc w:val="center"/>
    </w:pPr>
    <w:rPr>
      <w:rFonts w:ascii="宋体"/>
      <w:b/>
      <w:bCs/>
      <w:sz w:val="32"/>
      <w:szCs w:val="32"/>
    </w:rPr>
  </w:style>
  <w:style w:type="paragraph" w:customStyle="1" w:styleId="469">
    <w:name w:val="CM37"/>
    <w:basedOn w:val="221"/>
    <w:next w:val="221"/>
    <w:qFormat/>
    <w:uiPriority w:val="99"/>
    <w:rPr>
      <w:rFonts w:ascii="宋体" w:hAnsi="Times New Roman" w:eastAsia="宋体"/>
      <w:color w:val="auto"/>
    </w:rPr>
  </w:style>
  <w:style w:type="paragraph" w:customStyle="1" w:styleId="470">
    <w:name w:val="CM109"/>
    <w:basedOn w:val="221"/>
    <w:next w:val="221"/>
    <w:qFormat/>
    <w:uiPriority w:val="99"/>
    <w:rPr>
      <w:rFonts w:ascii="宋体" w:hAnsi="Times New Roman" w:eastAsia="宋体"/>
      <w:color w:val="auto"/>
    </w:rPr>
  </w:style>
  <w:style w:type="paragraph" w:customStyle="1" w:styleId="471">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472">
    <w:name w:val="Char Char2 Char Char Char Char Char Char Char Char Char Char Char Char Char11"/>
    <w:basedOn w:val="1"/>
    <w:qFormat/>
    <w:uiPriority w:val="0"/>
    <w:pPr>
      <w:ind w:firstLine="360" w:firstLineChars="150"/>
    </w:pPr>
    <w:rPr>
      <w:rFonts w:ascii="Tahoma" w:hAnsi="Tahoma"/>
      <w:sz w:val="24"/>
      <w:szCs w:val="20"/>
    </w:rPr>
  </w:style>
  <w:style w:type="paragraph" w:customStyle="1" w:styleId="473">
    <w:name w:val="列出段落1"/>
    <w:basedOn w:val="1"/>
    <w:link w:val="1365"/>
    <w:qFormat/>
    <w:uiPriority w:val="0"/>
    <w:pPr>
      <w:ind w:firstLine="420" w:firstLineChars="200"/>
    </w:pPr>
    <w:rPr>
      <w:rFonts w:ascii="Calibri" w:hAnsi="Calibri" w:cs="黑体"/>
      <w:szCs w:val="22"/>
    </w:rPr>
  </w:style>
  <w:style w:type="paragraph" w:customStyle="1" w:styleId="4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75">
    <w:name w:val="Char Char Char Char Char Char Char Char Char Char11"/>
    <w:basedOn w:val="1"/>
    <w:qFormat/>
    <w:uiPriority w:val="99"/>
    <w:pPr>
      <w:tabs>
        <w:tab w:val="left" w:pos="425"/>
      </w:tabs>
      <w:ind w:left="425" w:hanging="425"/>
    </w:pPr>
    <w:rPr>
      <w:rFonts w:ascii="Arial" w:hAnsi="Arial" w:eastAsia="黑体" w:cs="宋体"/>
      <w:b/>
      <w:bCs/>
      <w:sz w:val="32"/>
      <w:szCs w:val="32"/>
    </w:rPr>
  </w:style>
  <w:style w:type="paragraph" w:customStyle="1" w:styleId="476">
    <w:name w:val="Char121"/>
    <w:basedOn w:val="1"/>
    <w:qFormat/>
    <w:uiPriority w:val="0"/>
    <w:pPr>
      <w:widowControl/>
      <w:tabs>
        <w:tab w:val="left" w:pos="360"/>
      </w:tabs>
      <w:spacing w:after="200" w:line="276" w:lineRule="auto"/>
      <w:jc w:val="left"/>
    </w:pPr>
    <w:rPr>
      <w:rFonts w:ascii="Calibri" w:hAnsi="Calibri"/>
      <w:kern w:val="0"/>
      <w:sz w:val="24"/>
      <w:szCs w:val="22"/>
    </w:rPr>
  </w:style>
  <w:style w:type="paragraph" w:customStyle="1" w:styleId="4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78">
    <w:name w:val="CM92"/>
    <w:basedOn w:val="221"/>
    <w:next w:val="221"/>
    <w:qFormat/>
    <w:uiPriority w:val="0"/>
    <w:pPr>
      <w:spacing w:line="440" w:lineRule="atLeast"/>
    </w:pPr>
    <w:rPr>
      <w:rFonts w:ascii="宋体" w:hAnsi="Times New Roman" w:eastAsia="宋体"/>
      <w:color w:val="auto"/>
    </w:rPr>
  </w:style>
  <w:style w:type="paragraph" w:customStyle="1" w:styleId="479">
    <w:name w:val="菲页1"/>
    <w:basedOn w:val="4"/>
    <w:qFormat/>
    <w:uiPriority w:val="0"/>
    <w:pPr>
      <w:widowControl/>
      <w:tabs>
        <w:tab w:val="left" w:pos="-735"/>
      </w:tabs>
      <w:spacing w:before="260" w:after="260" w:line="416" w:lineRule="auto"/>
    </w:pPr>
    <w:rPr>
      <w:rFonts w:ascii="黑体" w:hAnsi="宋体" w:eastAsia="黑体"/>
      <w:b w:val="0"/>
      <w:bCs w:val="0"/>
      <w:sz w:val="52"/>
      <w:szCs w:val="20"/>
    </w:rPr>
  </w:style>
  <w:style w:type="paragraph" w:customStyle="1" w:styleId="480">
    <w:name w:val="CM44"/>
    <w:basedOn w:val="221"/>
    <w:next w:val="221"/>
    <w:qFormat/>
    <w:uiPriority w:val="0"/>
    <w:rPr>
      <w:rFonts w:ascii="宋体" w:hAnsi="Times New Roman" w:eastAsia="宋体"/>
      <w:color w:val="auto"/>
    </w:rPr>
  </w:style>
  <w:style w:type="paragraph" w:customStyle="1" w:styleId="481">
    <w:name w:val="Revision"/>
    <w:qFormat/>
    <w:uiPriority w:val="99"/>
    <w:rPr>
      <w:rFonts w:ascii="Times New Roman" w:hAnsi="Times New Roman" w:eastAsia="宋体" w:cs="Times New Roman"/>
      <w:kern w:val="2"/>
      <w:sz w:val="21"/>
      <w:szCs w:val="24"/>
      <w:lang w:val="en-US" w:eastAsia="zh-CN" w:bidi="ar-SA"/>
    </w:rPr>
  </w:style>
  <w:style w:type="paragraph" w:customStyle="1" w:styleId="482">
    <w:name w:val="CM105"/>
    <w:basedOn w:val="221"/>
    <w:next w:val="221"/>
    <w:qFormat/>
    <w:uiPriority w:val="99"/>
    <w:rPr>
      <w:rFonts w:ascii="宋体" w:hAnsi="Times New Roman" w:eastAsia="宋体"/>
      <w:color w:val="auto"/>
    </w:rPr>
  </w:style>
  <w:style w:type="paragraph" w:customStyle="1" w:styleId="483">
    <w:name w:val="2号标题-方正姚体"/>
    <w:basedOn w:val="1"/>
    <w:next w:val="185"/>
    <w:qFormat/>
    <w:uiPriority w:val="0"/>
    <w:pPr>
      <w:spacing w:line="440" w:lineRule="exact"/>
      <w:outlineLvl w:val="1"/>
    </w:pPr>
    <w:rPr>
      <w:rFonts w:eastAsia="方正姚体"/>
      <w:b/>
      <w:sz w:val="24"/>
    </w:rPr>
  </w:style>
  <w:style w:type="paragraph" w:customStyle="1" w:styleId="484">
    <w:name w:val="5"/>
    <w:basedOn w:val="1"/>
    <w:qFormat/>
    <w:uiPriority w:val="0"/>
    <w:pPr>
      <w:tabs>
        <w:tab w:val="right" w:pos="-2120"/>
      </w:tabs>
      <w:snapToGrid w:val="0"/>
    </w:pPr>
  </w:style>
  <w:style w:type="paragraph" w:customStyle="1" w:styleId="485">
    <w:name w:val="CM32"/>
    <w:basedOn w:val="221"/>
    <w:next w:val="221"/>
    <w:qFormat/>
    <w:uiPriority w:val="99"/>
    <w:pPr>
      <w:spacing w:line="400" w:lineRule="atLeast"/>
    </w:pPr>
    <w:rPr>
      <w:rFonts w:ascii="宋体" w:hAnsi="Times New Roman" w:eastAsia="宋体"/>
      <w:color w:val="auto"/>
    </w:rPr>
  </w:style>
  <w:style w:type="paragraph" w:customStyle="1" w:styleId="486">
    <w:name w:val="CM113"/>
    <w:basedOn w:val="221"/>
    <w:next w:val="221"/>
    <w:qFormat/>
    <w:uiPriority w:val="99"/>
    <w:rPr>
      <w:rFonts w:ascii="宋体" w:hAnsi="Times New Roman" w:eastAsia="宋体"/>
      <w:color w:val="auto"/>
    </w:rPr>
  </w:style>
  <w:style w:type="paragraph" w:customStyle="1" w:styleId="487">
    <w:name w:val="CM117"/>
    <w:basedOn w:val="221"/>
    <w:next w:val="221"/>
    <w:qFormat/>
    <w:uiPriority w:val="99"/>
    <w:rPr>
      <w:rFonts w:ascii="宋体" w:hAnsi="Times New Roman" w:eastAsia="宋体"/>
      <w:color w:val="auto"/>
    </w:rPr>
  </w:style>
  <w:style w:type="paragraph" w:customStyle="1" w:styleId="488">
    <w:name w:val="6'"/>
    <w:basedOn w:val="1"/>
    <w:qFormat/>
    <w:uiPriority w:val="0"/>
    <w:pPr>
      <w:widowControl/>
      <w:autoSpaceDE w:val="0"/>
      <w:autoSpaceDN w:val="0"/>
      <w:adjustRightInd w:val="0"/>
      <w:snapToGrid w:val="0"/>
      <w:spacing w:after="200" w:line="320" w:lineRule="exact"/>
      <w:jc w:val="center"/>
      <w:textAlignment w:val="baseline"/>
    </w:pPr>
    <w:rPr>
      <w:rFonts w:ascii="Calibri" w:hAnsi="Calibri"/>
      <w:spacing w:val="20"/>
      <w:kern w:val="28"/>
      <w:sz w:val="22"/>
      <w:szCs w:val="20"/>
    </w:rPr>
  </w:style>
  <w:style w:type="paragraph" w:customStyle="1" w:styleId="489">
    <w:name w:val="样式 表格内容 + 居中"/>
    <w:basedOn w:val="394"/>
    <w:qFormat/>
    <w:uiPriority w:val="99"/>
    <w:rPr>
      <w:rFonts w:cs="宋体"/>
    </w:rPr>
  </w:style>
  <w:style w:type="paragraph" w:customStyle="1" w:styleId="490">
    <w:name w:val="表格文字"/>
    <w:basedOn w:val="1"/>
    <w:qFormat/>
    <w:uiPriority w:val="0"/>
    <w:pPr>
      <w:widowControl/>
      <w:adjustRightInd w:val="0"/>
      <w:spacing w:after="200" w:line="420" w:lineRule="atLeast"/>
      <w:jc w:val="left"/>
      <w:textAlignment w:val="baseline"/>
    </w:pPr>
    <w:rPr>
      <w:rFonts w:ascii="Calibri" w:hAnsi="Calibri"/>
      <w:kern w:val="0"/>
      <w:sz w:val="22"/>
      <w:szCs w:val="20"/>
    </w:rPr>
  </w:style>
  <w:style w:type="paragraph" w:customStyle="1" w:styleId="491">
    <w:name w:val="_Style 102"/>
    <w:basedOn w:val="34"/>
    <w:next w:val="86"/>
    <w:qFormat/>
    <w:uiPriority w:val="99"/>
    <w:pPr>
      <w:spacing w:after="120"/>
      <w:ind w:left="420" w:leftChars="200" w:firstLine="420"/>
      <w:jc w:val="both"/>
    </w:pPr>
    <w:rPr>
      <w:rFonts w:ascii="Times New Roman" w:eastAsia="宋体"/>
      <w:kern w:val="2"/>
      <w:sz w:val="21"/>
      <w:szCs w:val="20"/>
    </w:rPr>
  </w:style>
  <w:style w:type="paragraph" w:customStyle="1" w:styleId="492">
    <w:name w:val="样式 标题 3 + (中文) 黑体 小四 非加粗 段前: 7.8 磅 段后: 0 磅 行距: 固定值 20 磅"/>
    <w:basedOn w:val="5"/>
    <w:qFormat/>
    <w:uiPriority w:val="0"/>
    <w:pPr>
      <w:widowControl/>
      <w:spacing w:before="0" w:after="0" w:line="400" w:lineRule="exact"/>
      <w:ind w:firstLine="0" w:firstLineChars="0"/>
      <w:jc w:val="left"/>
    </w:pPr>
    <w:rPr>
      <w:rFonts w:ascii="Cambria" w:hAnsi="Cambria" w:eastAsia="黑体" w:cs="宋体"/>
      <w:b w:val="0"/>
      <w:bCs w:val="0"/>
      <w:color w:val="2DA2BF"/>
      <w:sz w:val="24"/>
      <w:szCs w:val="20"/>
    </w:rPr>
  </w:style>
  <w:style w:type="paragraph" w:customStyle="1" w:styleId="493">
    <w:name w:val="Char Char2 Char Char Char Char Char Char Char Char Char Char Char Char Char1"/>
    <w:basedOn w:val="1"/>
    <w:qFormat/>
    <w:uiPriority w:val="99"/>
    <w:pPr>
      <w:ind w:firstLine="360" w:firstLineChars="150"/>
    </w:pPr>
    <w:rPr>
      <w:rFonts w:ascii="Tahoma" w:hAnsi="Tahoma"/>
      <w:sz w:val="24"/>
      <w:szCs w:val="20"/>
    </w:rPr>
  </w:style>
  <w:style w:type="paragraph" w:customStyle="1" w:styleId="494">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495">
    <w:name w:val="第二行"/>
    <w:basedOn w:val="1"/>
    <w:qFormat/>
    <w:uiPriority w:val="0"/>
    <w:pPr>
      <w:spacing w:before="100" w:beforeLines="100" w:line="360" w:lineRule="auto"/>
      <w:jc w:val="center"/>
    </w:pPr>
    <w:rPr>
      <w:rFonts w:ascii="宋体"/>
      <w:b/>
      <w:bCs/>
      <w:sz w:val="36"/>
      <w:szCs w:val="36"/>
    </w:rPr>
  </w:style>
  <w:style w:type="paragraph" w:customStyle="1" w:styleId="496">
    <w:name w:val="CM62"/>
    <w:basedOn w:val="221"/>
    <w:next w:val="221"/>
    <w:qFormat/>
    <w:uiPriority w:val="99"/>
    <w:pPr>
      <w:spacing w:line="468" w:lineRule="atLeast"/>
    </w:pPr>
    <w:rPr>
      <w:rFonts w:ascii="宋体" w:hAnsi="Times New Roman" w:eastAsia="宋体"/>
      <w:color w:val="auto"/>
    </w:rPr>
  </w:style>
  <w:style w:type="paragraph" w:customStyle="1" w:styleId="497">
    <w:name w:val="CM9"/>
    <w:basedOn w:val="221"/>
    <w:next w:val="221"/>
    <w:qFormat/>
    <w:uiPriority w:val="0"/>
    <w:pPr>
      <w:spacing w:line="400" w:lineRule="atLeast"/>
    </w:pPr>
    <w:rPr>
      <w:rFonts w:ascii="宋体" w:hAnsi="Times New Roman" w:eastAsia="宋体"/>
      <w:color w:val="auto"/>
    </w:rPr>
  </w:style>
  <w:style w:type="paragraph" w:customStyle="1" w:styleId="498">
    <w:name w:val="CM110"/>
    <w:basedOn w:val="221"/>
    <w:next w:val="221"/>
    <w:qFormat/>
    <w:uiPriority w:val="99"/>
    <w:rPr>
      <w:rFonts w:ascii="宋体" w:hAnsi="Times New Roman" w:eastAsia="宋体"/>
      <w:color w:val="auto"/>
    </w:rPr>
  </w:style>
  <w:style w:type="paragraph" w:customStyle="1" w:styleId="499">
    <w:name w:val="Char Char Char1"/>
    <w:basedOn w:val="1"/>
    <w:qFormat/>
    <w:uiPriority w:val="0"/>
    <w:pPr>
      <w:ind w:left="432" w:hanging="432"/>
    </w:pPr>
    <w:rPr>
      <w:sz w:val="24"/>
    </w:rPr>
  </w:style>
  <w:style w:type="paragraph" w:customStyle="1" w:styleId="500">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501">
    <w:name w:val="菲页(卷)"/>
    <w:basedOn w:val="3"/>
    <w:next w:val="383"/>
    <w:qFormat/>
    <w:uiPriority w:val="0"/>
    <w:pPr>
      <w:widowControl/>
      <w:tabs>
        <w:tab w:val="left" w:pos="425"/>
      </w:tabs>
      <w:autoSpaceDE/>
      <w:autoSpaceDN/>
      <w:adjustRightInd/>
      <w:ind w:left="425" w:hanging="425"/>
      <w:jc w:val="center"/>
      <w:outlineLvl w:val="1"/>
    </w:pPr>
    <w:rPr>
      <w:rFonts w:ascii="黑体" w:eastAsia="黑体"/>
      <w:b w:val="0"/>
      <w:bCs w:val="0"/>
      <w:color w:val="auto"/>
      <w:sz w:val="52"/>
    </w:rPr>
  </w:style>
  <w:style w:type="paragraph" w:customStyle="1" w:styleId="502">
    <w:name w:val="Normal_0_0_0"/>
    <w:qFormat/>
    <w:uiPriority w:val="99"/>
    <w:pPr>
      <w:widowControl w:val="0"/>
      <w:jc w:val="both"/>
    </w:pPr>
    <w:rPr>
      <w:rFonts w:ascii="Times New Roman" w:hAnsi="Times New Roman" w:eastAsia="宋体" w:cs="Times New Roman"/>
      <w:szCs w:val="21"/>
      <w:lang w:val="en-US" w:eastAsia="zh-CN" w:bidi="ar-SA"/>
    </w:rPr>
  </w:style>
  <w:style w:type="paragraph" w:customStyle="1" w:styleId="503">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504">
    <w:name w:val="CM45"/>
    <w:basedOn w:val="221"/>
    <w:next w:val="221"/>
    <w:qFormat/>
    <w:uiPriority w:val="99"/>
    <w:pPr>
      <w:spacing w:line="443" w:lineRule="atLeast"/>
    </w:pPr>
    <w:rPr>
      <w:rFonts w:ascii="宋体" w:hAnsi="Times New Roman" w:eastAsia="宋体"/>
      <w:color w:val="auto"/>
    </w:rPr>
  </w:style>
  <w:style w:type="paragraph" w:customStyle="1" w:styleId="505">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06">
    <w:name w:val="CM24"/>
    <w:basedOn w:val="221"/>
    <w:next w:val="221"/>
    <w:qFormat/>
    <w:uiPriority w:val="99"/>
    <w:pPr>
      <w:spacing w:line="400" w:lineRule="atLeast"/>
    </w:pPr>
    <w:rPr>
      <w:rFonts w:ascii="宋体" w:hAnsi="Times New Roman" w:eastAsia="宋体"/>
      <w:color w:val="auto"/>
    </w:rPr>
  </w:style>
  <w:style w:type="paragraph" w:customStyle="1" w:styleId="50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508">
    <w:name w:val="CM29"/>
    <w:basedOn w:val="221"/>
    <w:next w:val="221"/>
    <w:qFormat/>
    <w:uiPriority w:val="99"/>
    <w:rPr>
      <w:rFonts w:ascii="宋体" w:hAnsi="Times New Roman" w:eastAsia="宋体"/>
      <w:color w:val="auto"/>
    </w:rPr>
  </w:style>
  <w:style w:type="paragraph" w:customStyle="1" w:styleId="509">
    <w:name w:val="TOC 标题1"/>
    <w:basedOn w:val="3"/>
    <w:next w:val="1"/>
    <w:qFormat/>
    <w:uiPriority w:val="39"/>
    <w:pPr>
      <w:keepLines/>
      <w:widowControl/>
      <w:autoSpaceDE/>
      <w:autoSpaceDN/>
      <w:adjustRightInd/>
      <w:spacing w:line="276" w:lineRule="auto"/>
      <w:outlineLvl w:val="9"/>
    </w:pPr>
    <w:rPr>
      <w:rFonts w:ascii="Cambria" w:hAnsi="Cambria" w:eastAsia="宋体"/>
      <w:color w:val="365F91"/>
      <w:sz w:val="28"/>
      <w:szCs w:val="28"/>
    </w:rPr>
  </w:style>
  <w:style w:type="paragraph" w:customStyle="1" w:styleId="510">
    <w:name w:val="抬头"/>
    <w:basedOn w:val="1"/>
    <w:link w:val="607"/>
    <w:qFormat/>
    <w:uiPriority w:val="0"/>
    <w:pPr>
      <w:spacing w:line="360" w:lineRule="auto"/>
    </w:pPr>
    <w:rPr>
      <w:rFonts w:ascii="宋体"/>
      <w:szCs w:val="21"/>
    </w:rPr>
  </w:style>
  <w:style w:type="paragraph" w:customStyle="1" w:styleId="511">
    <w:name w:val="样式1-正文-缩进"/>
    <w:basedOn w:val="1"/>
    <w:qFormat/>
    <w:uiPriority w:val="99"/>
    <w:pPr>
      <w:spacing w:line="360" w:lineRule="auto"/>
      <w:ind w:firstLine="480" w:firstLineChars="200"/>
    </w:pPr>
    <w:rPr>
      <w:sz w:val="24"/>
    </w:rPr>
  </w:style>
  <w:style w:type="paragraph" w:customStyle="1" w:styleId="512">
    <w:name w:val="Normal_0_0"/>
    <w:qFormat/>
    <w:uiPriority w:val="0"/>
    <w:pPr>
      <w:widowControl w:val="0"/>
      <w:jc w:val="both"/>
    </w:pPr>
    <w:rPr>
      <w:rFonts w:ascii="Times New Roman" w:hAnsi="Times New Roman" w:eastAsia="宋体" w:cs="Times New Roman"/>
      <w:lang w:val="en-US" w:eastAsia="zh-CN" w:bidi="ar-SA"/>
    </w:rPr>
  </w:style>
  <w:style w:type="paragraph" w:customStyle="1" w:styleId="513">
    <w:name w:val="Char Char Char Char"/>
    <w:basedOn w:val="1"/>
    <w:link w:val="796"/>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4">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515">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516">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517">
    <w:name w:val="表格"/>
    <w:basedOn w:val="1"/>
    <w:qFormat/>
    <w:uiPriority w:val="0"/>
    <w:pPr>
      <w:widowControl/>
      <w:spacing w:after="200" w:line="276" w:lineRule="auto"/>
      <w:jc w:val="center"/>
      <w:textAlignment w:val="center"/>
    </w:pPr>
    <w:rPr>
      <w:rFonts w:ascii="华文细黑" w:hAnsi="华文细黑"/>
      <w:kern w:val="0"/>
      <w:sz w:val="22"/>
      <w:szCs w:val="20"/>
    </w:rPr>
  </w:style>
  <w:style w:type="paragraph" w:customStyle="1" w:styleId="518">
    <w:name w:val="xl23"/>
    <w:next w:val="346"/>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519">
    <w:name w:val="CM122"/>
    <w:basedOn w:val="221"/>
    <w:next w:val="221"/>
    <w:qFormat/>
    <w:uiPriority w:val="99"/>
    <w:rPr>
      <w:rFonts w:ascii="宋体" w:hAnsi="Times New Roman" w:eastAsia="宋体"/>
      <w:color w:val="auto"/>
    </w:rPr>
  </w:style>
  <w:style w:type="paragraph" w:customStyle="1" w:styleId="520">
    <w:name w:val="CM5"/>
    <w:basedOn w:val="221"/>
    <w:next w:val="221"/>
    <w:qFormat/>
    <w:uiPriority w:val="0"/>
    <w:pPr>
      <w:spacing w:line="313" w:lineRule="atLeast"/>
    </w:pPr>
    <w:rPr>
      <w:rFonts w:ascii="宋体" w:hAnsi="Times New Roman" w:eastAsia="宋体"/>
      <w:color w:val="auto"/>
    </w:rPr>
  </w:style>
  <w:style w:type="paragraph" w:customStyle="1" w:styleId="521">
    <w:name w:val="p0"/>
    <w:basedOn w:val="1"/>
    <w:qFormat/>
    <w:uiPriority w:val="0"/>
    <w:pPr>
      <w:widowControl/>
    </w:pPr>
    <w:rPr>
      <w:kern w:val="0"/>
      <w:szCs w:val="21"/>
    </w:rPr>
  </w:style>
  <w:style w:type="paragraph" w:customStyle="1" w:styleId="522">
    <w:name w:val="_Style 99"/>
    <w:qFormat/>
    <w:uiPriority w:val="99"/>
    <w:rPr>
      <w:rFonts w:ascii="Times New Roman" w:hAnsi="Times New Roman" w:eastAsia="宋体" w:cs="Times New Roman"/>
      <w:sz w:val="24"/>
      <w:szCs w:val="24"/>
      <w:lang w:val="en-US" w:eastAsia="zh-CN" w:bidi="ar-SA"/>
    </w:rPr>
  </w:style>
  <w:style w:type="paragraph" w:customStyle="1" w:styleId="523">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524">
    <w:name w:val="编号（1）"/>
    <w:basedOn w:val="1"/>
    <w:qFormat/>
    <w:uiPriority w:val="0"/>
    <w:pPr>
      <w:tabs>
        <w:tab w:val="left" w:pos="420"/>
      </w:tabs>
      <w:spacing w:line="360" w:lineRule="auto"/>
      <w:ind w:left="450" w:leftChars="200" w:hanging="200" w:hangingChars="200"/>
    </w:pPr>
    <w:rPr>
      <w:rFonts w:ascii="宋体"/>
      <w:szCs w:val="21"/>
    </w:rPr>
  </w:style>
  <w:style w:type="paragraph" w:customStyle="1" w:styleId="525">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2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527">
    <w:name w:val="样式 正文文本缩进 + 首行缩进:  2 字符"/>
    <w:basedOn w:val="34"/>
    <w:qFormat/>
    <w:uiPriority w:val="99"/>
    <w:pPr>
      <w:tabs>
        <w:tab w:val="left" w:pos="9016"/>
      </w:tabs>
      <w:spacing w:line="500" w:lineRule="exact"/>
      <w:ind w:firstLine="480"/>
    </w:pPr>
    <w:rPr>
      <w:rFonts w:ascii="Times New Roman" w:eastAsia="宋体" w:cs="宋体"/>
    </w:rPr>
  </w:style>
  <w:style w:type="paragraph" w:customStyle="1" w:styleId="528">
    <w:name w:val="CM107"/>
    <w:basedOn w:val="221"/>
    <w:next w:val="221"/>
    <w:qFormat/>
    <w:uiPriority w:val="99"/>
    <w:rPr>
      <w:rFonts w:ascii="宋体" w:hAnsi="Times New Roman" w:eastAsia="宋体"/>
      <w:color w:val="auto"/>
    </w:rPr>
  </w:style>
  <w:style w:type="paragraph" w:customStyle="1" w:styleId="529">
    <w:name w:val="Char3"/>
    <w:basedOn w:val="1"/>
    <w:qFormat/>
    <w:uiPriority w:val="0"/>
    <w:pPr>
      <w:ind w:left="432" w:hanging="432"/>
    </w:pPr>
    <w:rPr>
      <w:sz w:val="24"/>
    </w:rPr>
  </w:style>
  <w:style w:type="paragraph" w:customStyle="1" w:styleId="530">
    <w:name w:val="Bullet_Title"/>
    <w:basedOn w:val="1"/>
    <w:qFormat/>
    <w:uiPriority w:val="0"/>
    <w:pPr>
      <w:numPr>
        <w:ilvl w:val="0"/>
        <w:numId w:val="7"/>
      </w:numPr>
      <w:spacing w:after="78" w:line="300" w:lineRule="auto"/>
    </w:pPr>
    <w:rPr>
      <w:rFonts w:ascii="Arial Narrow" w:hAnsi="Arial Narrow"/>
      <w:sz w:val="24"/>
      <w:szCs w:val="20"/>
    </w:rPr>
  </w:style>
  <w:style w:type="paragraph" w:customStyle="1" w:styleId="531">
    <w:name w:val="CM116"/>
    <w:basedOn w:val="221"/>
    <w:next w:val="221"/>
    <w:qFormat/>
    <w:uiPriority w:val="99"/>
    <w:rPr>
      <w:rFonts w:ascii="宋体" w:hAnsi="Times New Roman" w:eastAsia="宋体"/>
      <w:color w:val="auto"/>
    </w:rPr>
  </w:style>
  <w:style w:type="paragraph" w:customStyle="1" w:styleId="532">
    <w:name w:val="默认段落字体 Para Char Char Char Char"/>
    <w:basedOn w:val="1"/>
    <w:link w:val="626"/>
    <w:qFormat/>
    <w:uiPriority w:val="0"/>
  </w:style>
  <w:style w:type="paragraph" w:customStyle="1" w:styleId="533">
    <w:name w:val="Char41"/>
    <w:basedOn w:val="1"/>
    <w:qFormat/>
    <w:uiPriority w:val="0"/>
    <w:pPr>
      <w:ind w:left="432" w:hanging="432"/>
    </w:pPr>
    <w:rPr>
      <w:sz w:val="24"/>
    </w:rPr>
  </w:style>
  <w:style w:type="paragraph" w:customStyle="1" w:styleId="534">
    <w:name w:val="CM36"/>
    <w:basedOn w:val="221"/>
    <w:next w:val="221"/>
    <w:qFormat/>
    <w:uiPriority w:val="99"/>
    <w:pPr>
      <w:spacing w:line="400" w:lineRule="atLeast"/>
    </w:pPr>
    <w:rPr>
      <w:rFonts w:ascii="宋体" w:hAnsi="Times New Roman" w:eastAsia="宋体"/>
      <w:color w:val="auto"/>
    </w:rPr>
  </w:style>
  <w:style w:type="paragraph" w:customStyle="1" w:styleId="535">
    <w:name w:val="CM121"/>
    <w:basedOn w:val="221"/>
    <w:next w:val="221"/>
    <w:qFormat/>
    <w:uiPriority w:val="99"/>
    <w:rPr>
      <w:rFonts w:ascii="宋体" w:hAnsi="Times New Roman" w:eastAsia="宋体"/>
      <w:color w:val="auto"/>
    </w:rPr>
  </w:style>
  <w:style w:type="paragraph" w:customStyle="1" w:styleId="536">
    <w:name w:val="样式 样式 样式 标题 3 + 首行缩进:  2 字符 + 首行缩进:  2 字符 + 首行缩进:  2 字符 Char"/>
    <w:basedOn w:val="1"/>
    <w:qFormat/>
    <w:uiPriority w:val="99"/>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宋体"/>
      <w:kern w:val="0"/>
      <w:sz w:val="24"/>
    </w:rPr>
  </w:style>
  <w:style w:type="paragraph" w:customStyle="1" w:styleId="537">
    <w:name w:val="样式 日期 + 黑体 三号"/>
    <w:basedOn w:val="50"/>
    <w:qFormat/>
    <w:uiPriority w:val="99"/>
    <w:pPr>
      <w:spacing w:line="600" w:lineRule="exact"/>
      <w:ind w:left="0" w:leftChars="0"/>
    </w:pPr>
    <w:rPr>
      <w:rFonts w:ascii="黑体" w:hAnsi="黑体" w:eastAsia="黑体"/>
      <w:kern w:val="2"/>
      <w:sz w:val="32"/>
    </w:rPr>
  </w:style>
  <w:style w:type="paragraph" w:customStyle="1" w:styleId="538">
    <w:name w:val="修订2"/>
    <w:qFormat/>
    <w:uiPriority w:val="0"/>
    <w:pPr>
      <w:spacing w:after="200" w:line="276" w:lineRule="auto"/>
    </w:pPr>
    <w:rPr>
      <w:rFonts w:ascii="Times New Roman" w:hAnsi="Times New Roman" w:eastAsia="宋体" w:cs="Times New Roman"/>
      <w:kern w:val="2"/>
      <w:sz w:val="21"/>
      <w:szCs w:val="24"/>
      <w:lang w:val="en-US" w:eastAsia="zh-CN" w:bidi="ar-SA"/>
    </w:rPr>
  </w:style>
  <w:style w:type="paragraph" w:customStyle="1" w:styleId="539">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40">
    <w:name w:val="Char Char Char Char1"/>
    <w:basedOn w:val="1"/>
    <w:semiHidden/>
    <w:qFormat/>
    <w:uiPriority w:val="0"/>
  </w:style>
  <w:style w:type="paragraph" w:customStyle="1" w:styleId="541">
    <w:name w:val="表标题"/>
    <w:basedOn w:val="1"/>
    <w:qFormat/>
    <w:uiPriority w:val="99"/>
    <w:pPr>
      <w:widowControl/>
      <w:spacing w:before="100" w:beforeLines="100" w:line="280" w:lineRule="exact"/>
      <w:ind w:firstLine="50" w:firstLineChars="50"/>
      <w:jc w:val="left"/>
    </w:pPr>
    <w:rPr>
      <w:rFonts w:eastAsia="黑体"/>
      <w:kern w:val="0"/>
      <w:sz w:val="24"/>
    </w:rPr>
  </w:style>
  <w:style w:type="paragraph" w:customStyle="1" w:styleId="542">
    <w:name w:val="CM112"/>
    <w:basedOn w:val="221"/>
    <w:next w:val="221"/>
    <w:qFormat/>
    <w:uiPriority w:val="99"/>
    <w:rPr>
      <w:rFonts w:ascii="宋体" w:hAnsi="Times New Roman" w:eastAsia="宋体"/>
      <w:color w:val="auto"/>
    </w:rPr>
  </w:style>
  <w:style w:type="paragraph" w:customStyle="1" w:styleId="543">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44">
    <w:name w:val="CM111"/>
    <w:basedOn w:val="221"/>
    <w:next w:val="221"/>
    <w:qFormat/>
    <w:uiPriority w:val="99"/>
    <w:rPr>
      <w:rFonts w:ascii="宋体" w:hAnsi="Times New Roman" w:eastAsia="宋体"/>
      <w:color w:val="auto"/>
    </w:rPr>
  </w:style>
  <w:style w:type="paragraph" w:customStyle="1" w:styleId="545">
    <w:name w:val="普通 (Web)"/>
    <w:basedOn w:val="1"/>
    <w:qFormat/>
    <w:uiPriority w:val="99"/>
    <w:pPr>
      <w:widowControl/>
      <w:spacing w:before="100" w:beforeAutospacing="1" w:after="100" w:afterAutospacing="1"/>
      <w:jc w:val="left"/>
    </w:pPr>
    <w:rPr>
      <w:rFonts w:ascii="宋体" w:hAnsi="宋体"/>
      <w:kern w:val="0"/>
      <w:sz w:val="24"/>
    </w:rPr>
  </w:style>
  <w:style w:type="paragraph" w:customStyle="1" w:styleId="546">
    <w:name w:val="样式 标题 2 + 左侧:  0 厘米 首行缩进:  0 厘米"/>
    <w:basedOn w:val="4"/>
    <w:qFormat/>
    <w:uiPriority w:val="0"/>
    <w:pPr>
      <w:tabs>
        <w:tab w:val="left" w:pos="-735"/>
        <w:tab w:val="left" w:pos="600"/>
      </w:tabs>
      <w:adjustRightInd w:val="0"/>
      <w:snapToGrid w:val="0"/>
      <w:spacing w:before="240" w:after="160" w:line="240" w:lineRule="auto"/>
      <w:ind w:left="707" w:hanging="707"/>
      <w:jc w:val="left"/>
      <w:textAlignment w:val="baseline"/>
    </w:pPr>
    <w:rPr>
      <w:rFonts w:ascii="宋体" w:hAnsi="宋体" w:eastAsia="黑体" w:cs="宋体"/>
      <w:bCs w:val="0"/>
      <w:spacing w:val="4"/>
      <w:sz w:val="28"/>
      <w:szCs w:val="28"/>
    </w:rPr>
  </w:style>
  <w:style w:type="paragraph" w:customStyle="1" w:styleId="547">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548">
    <w:name w:val="CM67"/>
    <w:basedOn w:val="221"/>
    <w:next w:val="221"/>
    <w:qFormat/>
    <w:uiPriority w:val="99"/>
    <w:pPr>
      <w:spacing w:line="471" w:lineRule="atLeast"/>
    </w:pPr>
    <w:rPr>
      <w:rFonts w:ascii="宋体" w:hAnsi="Times New Roman" w:eastAsia="宋体"/>
      <w:color w:val="auto"/>
    </w:rPr>
  </w:style>
  <w:style w:type="paragraph" w:customStyle="1" w:styleId="549">
    <w:name w:val="CM59"/>
    <w:basedOn w:val="221"/>
    <w:next w:val="221"/>
    <w:qFormat/>
    <w:uiPriority w:val="99"/>
    <w:rPr>
      <w:rFonts w:ascii="宋体" w:hAnsi="Times New Roman" w:eastAsia="宋体"/>
      <w:color w:val="auto"/>
    </w:rPr>
  </w:style>
  <w:style w:type="paragraph" w:customStyle="1" w:styleId="550">
    <w:name w:val="正文22"/>
    <w:basedOn w:val="1"/>
    <w:qFormat/>
    <w:uiPriority w:val="0"/>
    <w:pPr>
      <w:spacing w:line="360" w:lineRule="auto"/>
      <w:ind w:right="200" w:rightChars="200"/>
      <w:jc w:val="right"/>
    </w:pPr>
    <w:rPr>
      <w:rFonts w:ascii="宋体"/>
      <w:szCs w:val="21"/>
    </w:rPr>
  </w:style>
  <w:style w:type="paragraph" w:customStyle="1" w:styleId="551">
    <w:name w:val="CM91"/>
    <w:basedOn w:val="221"/>
    <w:next w:val="221"/>
    <w:qFormat/>
    <w:uiPriority w:val="0"/>
    <w:pPr>
      <w:spacing w:line="443" w:lineRule="atLeast"/>
    </w:pPr>
    <w:rPr>
      <w:rFonts w:ascii="宋体" w:hAnsi="Times New Roman" w:eastAsia="宋体"/>
      <w:color w:val="auto"/>
    </w:rPr>
  </w:style>
  <w:style w:type="paragraph" w:customStyle="1" w:styleId="552">
    <w:name w:val="CM2"/>
    <w:basedOn w:val="221"/>
    <w:next w:val="221"/>
    <w:qFormat/>
    <w:uiPriority w:val="99"/>
    <w:pPr>
      <w:spacing w:line="500" w:lineRule="atLeast"/>
    </w:pPr>
    <w:rPr>
      <w:rFonts w:ascii="宋体" w:hAnsi="Times New Roman" w:eastAsia="宋体"/>
      <w:color w:val="auto"/>
    </w:rPr>
  </w:style>
  <w:style w:type="paragraph" w:customStyle="1" w:styleId="553">
    <w:name w:val="CM15"/>
    <w:basedOn w:val="221"/>
    <w:next w:val="221"/>
    <w:qFormat/>
    <w:uiPriority w:val="99"/>
    <w:pPr>
      <w:spacing w:line="400" w:lineRule="atLeast"/>
    </w:pPr>
    <w:rPr>
      <w:rFonts w:ascii="宋体" w:hAnsi="Times New Roman" w:eastAsia="宋体"/>
      <w:color w:val="auto"/>
    </w:rPr>
  </w:style>
  <w:style w:type="paragraph" w:customStyle="1" w:styleId="554">
    <w:name w:val="Char Char Char21"/>
    <w:basedOn w:val="1"/>
    <w:qFormat/>
    <w:uiPriority w:val="0"/>
    <w:pPr>
      <w:ind w:left="432" w:hanging="432"/>
    </w:pPr>
    <w:rPr>
      <w:sz w:val="24"/>
    </w:rPr>
  </w:style>
  <w:style w:type="paragraph" w:customStyle="1" w:styleId="555">
    <w:name w:val="CM56"/>
    <w:basedOn w:val="221"/>
    <w:next w:val="221"/>
    <w:qFormat/>
    <w:uiPriority w:val="99"/>
    <w:pPr>
      <w:spacing w:line="468" w:lineRule="atLeast"/>
    </w:pPr>
    <w:rPr>
      <w:rFonts w:ascii="宋体" w:hAnsi="Times New Roman" w:eastAsia="宋体"/>
      <w:color w:val="auto"/>
    </w:rPr>
  </w:style>
  <w:style w:type="paragraph" w:customStyle="1" w:styleId="556">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557">
    <w:name w:val="目录文字"/>
    <w:basedOn w:val="1"/>
    <w:qFormat/>
    <w:uiPriority w:val="0"/>
    <w:pPr>
      <w:widowControl/>
      <w:spacing w:line="480" w:lineRule="auto"/>
      <w:jc w:val="left"/>
    </w:pPr>
    <w:rPr>
      <w:rFonts w:ascii="宋体" w:hAnsi="宋体"/>
      <w:kern w:val="0"/>
      <w:sz w:val="24"/>
      <w:szCs w:val="20"/>
    </w:rPr>
  </w:style>
  <w:style w:type="paragraph" w:customStyle="1" w:styleId="558">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559">
    <w:name w:val="1级标题（第一章）"/>
    <w:basedOn w:val="1"/>
    <w:qFormat/>
    <w:locked/>
    <w:uiPriority w:val="99"/>
    <w:pPr>
      <w:spacing w:before="156" w:beforeLines="50" w:after="156" w:afterLines="50"/>
      <w:jc w:val="center"/>
      <w:outlineLvl w:val="0"/>
    </w:pPr>
    <w:rPr>
      <w:rFonts w:ascii="黑体" w:hAnsi="宋体" w:eastAsia="黑体"/>
      <w:sz w:val="32"/>
      <w:szCs w:val="32"/>
    </w:rPr>
  </w:style>
  <w:style w:type="paragraph" w:customStyle="1" w:styleId="560">
    <w:name w:val="CM71"/>
    <w:basedOn w:val="221"/>
    <w:next w:val="221"/>
    <w:qFormat/>
    <w:uiPriority w:val="99"/>
    <w:pPr>
      <w:spacing w:line="468" w:lineRule="atLeast"/>
    </w:pPr>
    <w:rPr>
      <w:rFonts w:ascii="宋体" w:hAnsi="Times New Roman" w:eastAsia="宋体"/>
      <w:color w:val="auto"/>
    </w:rPr>
  </w:style>
  <w:style w:type="paragraph" w:customStyle="1" w:styleId="56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562">
    <w:name w:val="CM41"/>
    <w:basedOn w:val="221"/>
    <w:next w:val="221"/>
    <w:qFormat/>
    <w:uiPriority w:val="99"/>
    <w:pPr>
      <w:spacing w:line="400" w:lineRule="atLeast"/>
    </w:pPr>
    <w:rPr>
      <w:rFonts w:ascii="宋体" w:hAnsi="Times New Roman" w:eastAsia="宋体"/>
      <w:color w:val="auto"/>
    </w:rPr>
  </w:style>
  <w:style w:type="paragraph" w:customStyle="1" w:styleId="563">
    <w:name w:val="CM114"/>
    <w:basedOn w:val="221"/>
    <w:next w:val="221"/>
    <w:qFormat/>
    <w:uiPriority w:val="99"/>
    <w:rPr>
      <w:rFonts w:ascii="宋体" w:hAnsi="Times New Roman" w:eastAsia="宋体"/>
      <w:color w:val="auto"/>
    </w:rPr>
  </w:style>
  <w:style w:type="paragraph" w:customStyle="1" w:styleId="564">
    <w:name w:val="CM14"/>
    <w:basedOn w:val="221"/>
    <w:next w:val="221"/>
    <w:qFormat/>
    <w:uiPriority w:val="99"/>
    <w:pPr>
      <w:spacing w:line="400" w:lineRule="atLeast"/>
    </w:pPr>
    <w:rPr>
      <w:rFonts w:ascii="宋体" w:hAnsi="Times New Roman" w:eastAsia="宋体"/>
      <w:color w:val="auto"/>
    </w:rPr>
  </w:style>
  <w:style w:type="paragraph" w:customStyle="1" w:styleId="565">
    <w:name w:val="CM31"/>
    <w:basedOn w:val="221"/>
    <w:next w:val="221"/>
    <w:qFormat/>
    <w:uiPriority w:val="99"/>
    <w:rPr>
      <w:rFonts w:ascii="宋体" w:hAnsi="Times New Roman" w:eastAsia="宋体"/>
      <w:color w:val="auto"/>
    </w:rPr>
  </w:style>
  <w:style w:type="paragraph" w:customStyle="1" w:styleId="566">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567">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568">
    <w:name w:val="CM17"/>
    <w:basedOn w:val="221"/>
    <w:next w:val="221"/>
    <w:qFormat/>
    <w:uiPriority w:val="0"/>
    <w:rPr>
      <w:rFonts w:ascii="宋体" w:hAnsi="Times New Roman" w:eastAsia="宋体"/>
      <w:color w:val="auto"/>
    </w:rPr>
  </w:style>
  <w:style w:type="paragraph" w:customStyle="1" w:styleId="569">
    <w:name w:val="样式 段落编号 + (中文) 黑体 两端对齐 Char Char Char"/>
    <w:basedOn w:val="1"/>
    <w:qFormat/>
    <w:uiPriority w:val="99"/>
    <w:pPr>
      <w:adjustRightInd w:val="0"/>
      <w:snapToGrid w:val="0"/>
      <w:spacing w:before="60" w:after="240" w:line="400" w:lineRule="exact"/>
      <w:ind w:left="482"/>
      <w:jc w:val="left"/>
      <w:textAlignment w:val="baseline"/>
    </w:pPr>
    <w:rPr>
      <w:rFonts w:ascii="宋体" w:hAnsi="宋体" w:eastAsia="黑体" w:cs="宋体"/>
      <w:sz w:val="24"/>
    </w:rPr>
  </w:style>
  <w:style w:type="paragraph" w:customStyle="1" w:styleId="570">
    <w:name w:val="btn2"/>
    <w:basedOn w:val="1"/>
    <w:qFormat/>
    <w:uiPriority w:val="0"/>
    <w:pPr>
      <w:widowControl/>
      <w:jc w:val="left"/>
    </w:pPr>
    <w:rPr>
      <w:rFonts w:ascii="ˎ̥" w:hAnsi="ˎ̥" w:cs="宋体"/>
      <w:color w:val="FFFFFF"/>
      <w:kern w:val="0"/>
      <w:sz w:val="18"/>
      <w:szCs w:val="18"/>
    </w:rPr>
  </w:style>
  <w:style w:type="character" w:customStyle="1" w:styleId="571">
    <w:name w:val="批注文字 字符1"/>
    <w:qFormat/>
    <w:uiPriority w:val="99"/>
    <w:rPr>
      <w:kern w:val="2"/>
      <w:sz w:val="21"/>
      <w:szCs w:val="24"/>
    </w:rPr>
  </w:style>
  <w:style w:type="character" w:customStyle="1" w:styleId="572">
    <w:name w:val="正文文本缩进 字符1"/>
    <w:semiHidden/>
    <w:qFormat/>
    <w:uiPriority w:val="99"/>
    <w:rPr>
      <w:kern w:val="2"/>
      <w:sz w:val="21"/>
      <w:szCs w:val="24"/>
    </w:rPr>
  </w:style>
  <w:style w:type="character" w:customStyle="1" w:styleId="573">
    <w:name w:val="正文文本 字符1"/>
    <w:qFormat/>
    <w:uiPriority w:val="99"/>
    <w:rPr>
      <w:kern w:val="2"/>
      <w:sz w:val="21"/>
      <w:szCs w:val="24"/>
    </w:rPr>
  </w:style>
  <w:style w:type="character" w:customStyle="1" w:styleId="574">
    <w:name w:val="标题 字符2"/>
    <w:qFormat/>
    <w:uiPriority w:val="10"/>
    <w:rPr>
      <w:rFonts w:ascii="等线 Light" w:hAnsi="等线 Light" w:eastAsia="等线 Light" w:cs="Times New Roman"/>
      <w:b/>
      <w:bCs/>
      <w:kern w:val="2"/>
      <w:sz w:val="32"/>
      <w:szCs w:val="32"/>
    </w:rPr>
  </w:style>
  <w:style w:type="character" w:customStyle="1" w:styleId="575">
    <w:name w:val="副标题 字符2"/>
    <w:qFormat/>
    <w:uiPriority w:val="11"/>
    <w:rPr>
      <w:rFonts w:ascii="等线" w:hAnsi="等线" w:eastAsia="等线" w:cs="Times New Roman"/>
      <w:b/>
      <w:bCs/>
      <w:kern w:val="28"/>
      <w:sz w:val="32"/>
      <w:szCs w:val="32"/>
    </w:rPr>
  </w:style>
  <w:style w:type="character" w:customStyle="1" w:styleId="576">
    <w:name w:val="引用 字符2"/>
    <w:qFormat/>
    <w:uiPriority w:val="0"/>
    <w:rPr>
      <w:i/>
      <w:iCs/>
      <w:color w:val="404040"/>
      <w:kern w:val="2"/>
      <w:sz w:val="21"/>
      <w:szCs w:val="24"/>
    </w:rPr>
  </w:style>
  <w:style w:type="character" w:customStyle="1" w:styleId="577">
    <w:name w:val="明显引用 字符2"/>
    <w:qFormat/>
    <w:uiPriority w:val="0"/>
    <w:rPr>
      <w:i/>
      <w:iCs/>
      <w:color w:val="4472C4"/>
      <w:kern w:val="2"/>
      <w:sz w:val="21"/>
      <w:szCs w:val="24"/>
    </w:rPr>
  </w:style>
  <w:style w:type="character" w:customStyle="1" w:styleId="578">
    <w:name w:val="Unresolved Mention"/>
    <w:unhideWhenUsed/>
    <w:qFormat/>
    <w:uiPriority w:val="99"/>
    <w:rPr>
      <w:color w:val="605E5C"/>
      <w:shd w:val="clear" w:color="auto" w:fill="E1DFDD"/>
    </w:rPr>
  </w:style>
  <w:style w:type="paragraph" w:customStyle="1" w:styleId="579">
    <w:name w:val="bodyterm"/>
    <w:basedOn w:val="1"/>
    <w:qFormat/>
    <w:uiPriority w:val="0"/>
    <w:pPr>
      <w:suppressAutoHyphens/>
      <w:spacing w:after="120"/>
    </w:pPr>
    <w:rPr>
      <w:rFonts w:ascii="Calibri" w:hAnsi="Calibri"/>
      <w:kern w:val="1"/>
      <w:sz w:val="19"/>
      <w:lang w:eastAsia="ar-SA"/>
    </w:rPr>
  </w:style>
  <w:style w:type="paragraph" w:customStyle="1" w:styleId="580">
    <w:name w:val="terms2"/>
    <w:basedOn w:val="4"/>
    <w:qFormat/>
    <w:uiPriority w:val="0"/>
    <w:pPr>
      <w:suppressAutoHyphens/>
      <w:autoSpaceDE w:val="0"/>
      <w:spacing w:before="0" w:after="0" w:line="300" w:lineRule="auto"/>
      <w:jc w:val="left"/>
      <w:outlineLvl w:val="9"/>
    </w:pPr>
    <w:rPr>
      <w:rFonts w:eastAsia="PMingLiU"/>
      <w:kern w:val="1"/>
      <w:sz w:val="18"/>
      <w:szCs w:val="20"/>
      <w:lang w:val="en-GB" w:eastAsia="en-US"/>
    </w:rPr>
  </w:style>
  <w:style w:type="paragraph" w:customStyle="1" w:styleId="581">
    <w:name w:val="我的正文"/>
    <w:basedOn w:val="1"/>
    <w:qFormat/>
    <w:uiPriority w:val="0"/>
    <w:pPr>
      <w:spacing w:line="360" w:lineRule="auto"/>
      <w:ind w:firstLine="200" w:firstLineChars="200"/>
    </w:pPr>
    <w:rPr>
      <w:sz w:val="24"/>
    </w:rPr>
  </w:style>
  <w:style w:type="paragraph" w:customStyle="1" w:styleId="582">
    <w:name w:val="NormalIndent"/>
    <w:basedOn w:val="1"/>
    <w:next w:val="1"/>
    <w:qFormat/>
    <w:uiPriority w:val="99"/>
    <w:pPr>
      <w:spacing w:line="300" w:lineRule="auto"/>
      <w:ind w:firstLine="556"/>
    </w:pPr>
    <w:rPr>
      <w:rFonts w:ascii="仿宋_GB2312" w:hAnsi="宋体" w:eastAsia="仿宋_GB2312"/>
    </w:rPr>
  </w:style>
  <w:style w:type="character" w:customStyle="1" w:styleId="583">
    <w:name w:val="NormalCharacter"/>
    <w:qFormat/>
    <w:uiPriority w:val="0"/>
  </w:style>
  <w:style w:type="paragraph" w:customStyle="1" w:styleId="584">
    <w:name w:val="正文首行缩进 21"/>
    <w:basedOn w:val="585"/>
    <w:qFormat/>
    <w:uiPriority w:val="0"/>
    <w:pPr>
      <w:widowControl/>
      <w:adjustRightInd w:val="0"/>
      <w:snapToGrid w:val="0"/>
      <w:spacing w:line="300" w:lineRule="auto"/>
      <w:ind w:left="1680" w:firstLine="420" w:firstLineChars="200"/>
      <w:jc w:val="left"/>
      <w:textAlignment w:val="baseline"/>
    </w:pPr>
    <w:rPr>
      <w:rFonts w:ascii="Arial" w:hAnsi="Arial" w:eastAsia="方正仿宋_GBK" w:cs="仿宋_GB2312"/>
      <w:color w:val="000000"/>
      <w:spacing w:val="-4"/>
      <w:kern w:val="2"/>
      <w:sz w:val="22"/>
      <w:szCs w:val="32"/>
      <w:lang w:eastAsia="en-US"/>
    </w:rPr>
  </w:style>
  <w:style w:type="paragraph" w:customStyle="1" w:styleId="585">
    <w:name w:val="正文文本缩进1"/>
    <w:basedOn w:val="1"/>
    <w:link w:val="647"/>
    <w:qFormat/>
    <w:uiPriority w:val="0"/>
    <w:pPr>
      <w:spacing w:line="360" w:lineRule="auto"/>
      <w:ind w:left="1"/>
    </w:pPr>
    <w:rPr>
      <w:kern w:val="0"/>
      <w:sz w:val="20"/>
      <w:szCs w:val="20"/>
    </w:rPr>
  </w:style>
  <w:style w:type="character" w:customStyle="1" w:styleId="586">
    <w:name w:val="称呼 字符"/>
    <w:qFormat/>
    <w:uiPriority w:val="0"/>
    <w:rPr>
      <w:kern w:val="2"/>
      <w:sz w:val="21"/>
      <w:szCs w:val="24"/>
    </w:rPr>
  </w:style>
  <w:style w:type="character" w:customStyle="1" w:styleId="587">
    <w:name w:val="称呼 字符1"/>
    <w:link w:val="29"/>
    <w:qFormat/>
    <w:uiPriority w:val="0"/>
    <w:rPr>
      <w:kern w:val="2"/>
      <w:sz w:val="21"/>
    </w:rPr>
  </w:style>
  <w:style w:type="character" w:customStyle="1" w:styleId="588">
    <w:name w:val="注释标题 字符"/>
    <w:link w:val="16"/>
    <w:qFormat/>
    <w:uiPriority w:val="0"/>
    <w:rPr>
      <w:kern w:val="2"/>
      <w:sz w:val="21"/>
    </w:rPr>
  </w:style>
  <w:style w:type="character" w:customStyle="1" w:styleId="589">
    <w:name w:val="电子邮件签名 字符"/>
    <w:link w:val="19"/>
    <w:qFormat/>
    <w:uiPriority w:val="0"/>
    <w:rPr>
      <w:kern w:val="2"/>
      <w:sz w:val="21"/>
    </w:rPr>
  </w:style>
  <w:style w:type="character" w:customStyle="1" w:styleId="590">
    <w:name w:val="结束语 字符"/>
    <w:link w:val="31"/>
    <w:qFormat/>
    <w:uiPriority w:val="0"/>
    <w:rPr>
      <w:kern w:val="2"/>
      <w:sz w:val="21"/>
    </w:rPr>
  </w:style>
  <w:style w:type="character" w:customStyle="1" w:styleId="591">
    <w:name w:val="HTML 地址 字符"/>
    <w:link w:val="41"/>
    <w:qFormat/>
    <w:uiPriority w:val="0"/>
    <w:rPr>
      <w:i/>
      <w:kern w:val="2"/>
      <w:sz w:val="21"/>
    </w:rPr>
  </w:style>
  <w:style w:type="character" w:customStyle="1" w:styleId="592">
    <w:name w:val="签名 字符"/>
    <w:link w:val="58"/>
    <w:qFormat/>
    <w:uiPriority w:val="0"/>
    <w:rPr>
      <w:kern w:val="2"/>
      <w:sz w:val="21"/>
    </w:rPr>
  </w:style>
  <w:style w:type="character" w:customStyle="1" w:styleId="593">
    <w:name w:val="信息标题 字符"/>
    <w:link w:val="79"/>
    <w:qFormat/>
    <w:uiPriority w:val="0"/>
    <w:rPr>
      <w:rFonts w:ascii="Arial" w:hAnsi="Arial"/>
      <w:kern w:val="2"/>
      <w:sz w:val="24"/>
      <w:shd w:val="pct20" w:color="auto" w:fill="auto"/>
    </w:rPr>
  </w:style>
  <w:style w:type="character" w:customStyle="1" w:styleId="594">
    <w:name w:val="HTML 预设格式 字符"/>
    <w:link w:val="80"/>
    <w:qFormat/>
    <w:uiPriority w:val="0"/>
    <w:rPr>
      <w:rFonts w:ascii="Courier New" w:hAnsi="Courier New"/>
      <w:kern w:val="2"/>
    </w:rPr>
  </w:style>
  <w:style w:type="table" w:customStyle="1" w:styleId="595">
    <w:name w:val="网格型1"/>
    <w:basedOn w:val="8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96">
    <w:name w:val="正文4"/>
    <w:basedOn w:val="1"/>
    <w:qFormat/>
    <w:uiPriority w:val="0"/>
    <w:pPr>
      <w:spacing w:line="360" w:lineRule="auto"/>
      <w:ind w:left="400" w:leftChars="400"/>
    </w:pPr>
    <w:rPr>
      <w:rFonts w:ascii="宋体"/>
      <w:sz w:val="24"/>
      <w:szCs w:val="20"/>
    </w:rPr>
  </w:style>
  <w:style w:type="character" w:customStyle="1" w:styleId="597">
    <w:name w:val="正文缩进 字符"/>
    <w:link w:val="21"/>
    <w:qFormat/>
    <w:uiPriority w:val="0"/>
    <w:rPr>
      <w:rFonts w:ascii="宋体"/>
      <w:kern w:val="2"/>
      <w:sz w:val="21"/>
    </w:rPr>
  </w:style>
  <w:style w:type="character" w:customStyle="1" w:styleId="598">
    <w:name w:val="标题 1 Char1"/>
    <w:qFormat/>
    <w:uiPriority w:val="0"/>
    <w:rPr>
      <w:rFonts w:ascii="Times New Roman" w:hAnsi="Times New Roman"/>
      <w:b/>
      <w:kern w:val="44"/>
      <w:sz w:val="44"/>
    </w:rPr>
  </w:style>
  <w:style w:type="character" w:customStyle="1" w:styleId="599">
    <w:name w:val="red style3"/>
    <w:qFormat/>
    <w:uiPriority w:val="0"/>
  </w:style>
  <w:style w:type="character" w:customStyle="1" w:styleId="600">
    <w:name w:val="jl 正文 Char"/>
    <w:link w:val="601"/>
    <w:qFormat/>
    <w:uiPriority w:val="0"/>
    <w:rPr>
      <w:rFonts w:ascii="宋体"/>
      <w:sz w:val="24"/>
    </w:rPr>
  </w:style>
  <w:style w:type="paragraph" w:customStyle="1" w:styleId="601">
    <w:name w:val="jl 正文"/>
    <w:basedOn w:val="1"/>
    <w:link w:val="600"/>
    <w:qFormat/>
    <w:uiPriority w:val="0"/>
    <w:pPr>
      <w:autoSpaceDE w:val="0"/>
      <w:autoSpaceDN w:val="0"/>
      <w:adjustRightInd w:val="0"/>
      <w:spacing w:line="360" w:lineRule="auto"/>
      <w:ind w:firstLine="200" w:firstLineChars="200"/>
      <w:jc w:val="left"/>
      <w:textAlignment w:val="baseline"/>
    </w:pPr>
    <w:rPr>
      <w:rFonts w:ascii="宋体"/>
      <w:kern w:val="0"/>
      <w:sz w:val="24"/>
      <w:szCs w:val="20"/>
    </w:rPr>
  </w:style>
  <w:style w:type="character" w:customStyle="1" w:styleId="602">
    <w:name w:val="jl 正文 Char Char Char"/>
    <w:link w:val="603"/>
    <w:qFormat/>
    <w:uiPriority w:val="0"/>
    <w:rPr>
      <w:rFonts w:ascii="宋体"/>
      <w:sz w:val="24"/>
    </w:rPr>
  </w:style>
  <w:style w:type="paragraph" w:customStyle="1" w:styleId="603">
    <w:name w:val="jl 正文 Char Char"/>
    <w:basedOn w:val="1"/>
    <w:link w:val="602"/>
    <w:qFormat/>
    <w:uiPriority w:val="0"/>
    <w:pPr>
      <w:autoSpaceDE w:val="0"/>
      <w:autoSpaceDN w:val="0"/>
      <w:adjustRightInd w:val="0"/>
      <w:spacing w:line="360" w:lineRule="auto"/>
      <w:ind w:firstLine="200" w:firstLineChars="200"/>
      <w:jc w:val="left"/>
      <w:textAlignment w:val="baseline"/>
    </w:pPr>
    <w:rPr>
      <w:rFonts w:ascii="宋体"/>
      <w:kern w:val="0"/>
      <w:sz w:val="24"/>
      <w:szCs w:val="20"/>
    </w:rPr>
  </w:style>
  <w:style w:type="character" w:customStyle="1" w:styleId="604">
    <w:name w:val="style121"/>
    <w:qFormat/>
    <w:uiPriority w:val="0"/>
    <w:rPr>
      <w:b/>
      <w:sz w:val="18"/>
    </w:rPr>
  </w:style>
  <w:style w:type="character" w:customStyle="1" w:styleId="605">
    <w:name w:val="样式 标题 1 + 加粗 Char"/>
    <w:link w:val="606"/>
    <w:qFormat/>
    <w:uiPriority w:val="0"/>
    <w:rPr>
      <w:rFonts w:ascii="汉仪大宋简" w:eastAsia="黑体"/>
      <w:b/>
      <w:kern w:val="44"/>
      <w:sz w:val="28"/>
    </w:rPr>
  </w:style>
  <w:style w:type="paragraph" w:customStyle="1" w:styleId="606">
    <w:name w:val="样式 标题 1 + 加粗"/>
    <w:basedOn w:val="3"/>
    <w:link w:val="605"/>
    <w:qFormat/>
    <w:uiPriority w:val="0"/>
    <w:pPr>
      <w:keepLines/>
      <w:autoSpaceDE/>
      <w:autoSpaceDN/>
      <w:adjustRightInd/>
      <w:spacing w:before="312" w:beforeLines="100" w:after="312" w:afterLines="100"/>
      <w:jc w:val="both"/>
    </w:pPr>
    <w:rPr>
      <w:rFonts w:ascii="汉仪大宋简" w:eastAsia="黑体"/>
      <w:bCs w:val="0"/>
      <w:color w:val="auto"/>
      <w:kern w:val="44"/>
      <w:sz w:val="28"/>
    </w:rPr>
  </w:style>
  <w:style w:type="character" w:customStyle="1" w:styleId="607">
    <w:name w:val="抬头 Char"/>
    <w:link w:val="510"/>
    <w:qFormat/>
    <w:uiPriority w:val="0"/>
    <w:rPr>
      <w:rFonts w:ascii="宋体"/>
      <w:kern w:val="2"/>
      <w:sz w:val="21"/>
      <w:szCs w:val="21"/>
    </w:rPr>
  </w:style>
  <w:style w:type="character" w:customStyle="1" w:styleId="608">
    <w:name w:val="Normal1 Char"/>
    <w:link w:val="609"/>
    <w:qFormat/>
    <w:uiPriority w:val="0"/>
    <w:rPr>
      <w:rFonts w:ascii="宋体"/>
      <w:sz w:val="24"/>
    </w:rPr>
  </w:style>
  <w:style w:type="paragraph" w:customStyle="1" w:styleId="609">
    <w:name w:val="Normal1"/>
    <w:link w:val="608"/>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character" w:customStyle="1" w:styleId="610">
    <w:name w:val="EmailStyle1471"/>
    <w:qFormat/>
    <w:uiPriority w:val="0"/>
    <w:rPr>
      <w:rFonts w:ascii="Arial" w:hAnsi="Arial" w:eastAsia="宋体"/>
      <w:color w:val="auto"/>
      <w:sz w:val="20"/>
    </w:rPr>
  </w:style>
  <w:style w:type="character" w:customStyle="1" w:styleId="611">
    <w:name w:val="无间隔 字符"/>
    <w:link w:val="343"/>
    <w:qFormat/>
    <w:uiPriority w:val="99"/>
    <w:rPr>
      <w:sz w:val="22"/>
      <w:szCs w:val="22"/>
    </w:rPr>
  </w:style>
  <w:style w:type="character" w:customStyle="1" w:styleId="612">
    <w:name w:val="标题1.1.1.1.1 Char"/>
    <w:qFormat/>
    <w:uiPriority w:val="0"/>
    <w:rPr>
      <w:rFonts w:eastAsia="宋体"/>
      <w:b/>
      <w:kern w:val="2"/>
      <w:sz w:val="28"/>
      <w:lang w:val="en-US" w:eastAsia="zh-CN"/>
    </w:rPr>
  </w:style>
  <w:style w:type="character" w:customStyle="1" w:styleId="613">
    <w:name w:val="标题 21"/>
    <w:qFormat/>
    <w:uiPriority w:val="0"/>
    <w:rPr>
      <w:rFonts w:ascii="Arial" w:hAnsi="Arial" w:eastAsia="宋体"/>
      <w:b/>
      <w:sz w:val="28"/>
      <w:lang w:val="en-US" w:eastAsia="zh-CN"/>
    </w:rPr>
  </w:style>
  <w:style w:type="character" w:customStyle="1" w:styleId="614">
    <w:name w:val="Char Char4"/>
    <w:qFormat/>
    <w:uiPriority w:val="0"/>
    <w:rPr>
      <w:rFonts w:eastAsia="汉仪大宋简"/>
      <w:kern w:val="44"/>
      <w:sz w:val="22"/>
      <w:szCs w:val="22"/>
      <w:lang w:val="en-US" w:eastAsia="zh-CN" w:bidi="ar-SA"/>
    </w:rPr>
  </w:style>
  <w:style w:type="character" w:customStyle="1" w:styleId="615">
    <w:name w:val="附录二 Char"/>
    <w:link w:val="616"/>
    <w:qFormat/>
    <w:uiPriority w:val="0"/>
    <w:rPr>
      <w:rFonts w:ascii="EU-F1" w:eastAsia="黑体"/>
      <w:kern w:val="21"/>
    </w:rPr>
  </w:style>
  <w:style w:type="paragraph" w:customStyle="1" w:styleId="616">
    <w:name w:val="附录二"/>
    <w:basedOn w:val="45"/>
    <w:link w:val="615"/>
    <w:qFormat/>
    <w:uiPriority w:val="0"/>
    <w:pPr>
      <w:autoSpaceDE/>
      <w:autoSpaceDN/>
      <w:adjustRightInd/>
      <w:spacing w:line="312" w:lineRule="exact"/>
      <w:jc w:val="both"/>
    </w:pPr>
    <w:rPr>
      <w:rFonts w:ascii="EU-F1" w:hAnsi="Times New Roman" w:eastAsia="黑体"/>
      <w:kern w:val="21"/>
      <w:sz w:val="20"/>
      <w:szCs w:val="20"/>
    </w:rPr>
  </w:style>
  <w:style w:type="character" w:customStyle="1" w:styleId="617">
    <w:name w:val="style7 style3"/>
    <w:qFormat/>
    <w:uiPriority w:val="0"/>
  </w:style>
  <w:style w:type="character" w:customStyle="1" w:styleId="618">
    <w:name w:val="style31"/>
    <w:qFormat/>
    <w:uiPriority w:val="0"/>
    <w:rPr>
      <w:sz w:val="21"/>
    </w:rPr>
  </w:style>
  <w:style w:type="character" w:customStyle="1" w:styleId="619">
    <w:name w:val="一级条标题 Char Char"/>
    <w:qFormat/>
    <w:uiPriority w:val="0"/>
    <w:rPr>
      <w:rFonts w:ascii="黑体" w:hAnsi="Times New Roman" w:eastAsia="黑体" w:cs="Times New Roman"/>
      <w:kern w:val="0"/>
      <w:szCs w:val="20"/>
    </w:rPr>
  </w:style>
  <w:style w:type="character" w:customStyle="1" w:styleId="620">
    <w:name w:val="样式 样式1 + Char"/>
    <w:link w:val="621"/>
    <w:qFormat/>
    <w:uiPriority w:val="0"/>
    <w:rPr>
      <w:rFonts w:eastAsia="汉仪大宋简" w:cs="宋体"/>
      <w:b/>
      <w:bCs/>
    </w:rPr>
  </w:style>
  <w:style w:type="paragraph" w:customStyle="1" w:styleId="621">
    <w:name w:val="样式 样式1 +"/>
    <w:basedOn w:val="426"/>
    <w:link w:val="620"/>
    <w:qFormat/>
    <w:uiPriority w:val="0"/>
    <w:pPr>
      <w:keepNext/>
      <w:tabs>
        <w:tab w:val="right" w:pos="9000"/>
      </w:tabs>
      <w:spacing w:before="0" w:after="0" w:line="480" w:lineRule="auto"/>
      <w:ind w:firstLine="420"/>
      <w:outlineLvl w:val="0"/>
    </w:pPr>
    <w:rPr>
      <w:rFonts w:ascii="Times New Roman" w:hAnsi="Times New Roman" w:eastAsia="汉仪大宋简" w:cs="宋体"/>
      <w:bCs/>
      <w:kern w:val="0"/>
      <w:sz w:val="20"/>
    </w:rPr>
  </w:style>
  <w:style w:type="character" w:customStyle="1" w:styleId="622">
    <w:name w:val="样式1 Char"/>
    <w:link w:val="426"/>
    <w:qFormat/>
    <w:uiPriority w:val="0"/>
    <w:rPr>
      <w:rFonts w:ascii="宋体" w:hAnsi="宋体"/>
      <w:b/>
      <w:kern w:val="2"/>
      <w:sz w:val="24"/>
    </w:rPr>
  </w:style>
  <w:style w:type="character" w:customStyle="1" w:styleId="623">
    <w:name w:val="页码1"/>
    <w:qFormat/>
    <w:uiPriority w:val="0"/>
  </w:style>
  <w:style w:type="character" w:customStyle="1" w:styleId="624">
    <w:name w:val="EUF Char"/>
    <w:link w:val="625"/>
    <w:qFormat/>
    <w:uiPriority w:val="0"/>
    <w:rPr>
      <w:rFonts w:ascii="EU-F1" w:hAnsi="宋体" w:eastAsia="EU-F1"/>
      <w:b/>
      <w:color w:val="000000"/>
    </w:rPr>
  </w:style>
  <w:style w:type="paragraph" w:customStyle="1" w:styleId="625">
    <w:name w:val="EUF"/>
    <w:basedOn w:val="532"/>
    <w:link w:val="624"/>
    <w:qFormat/>
    <w:uiPriority w:val="0"/>
    <w:rPr>
      <w:rFonts w:ascii="EU-F1" w:hAnsi="宋体" w:eastAsia="EU-F1"/>
      <w:b/>
      <w:color w:val="000000"/>
      <w:kern w:val="0"/>
      <w:sz w:val="20"/>
      <w:szCs w:val="20"/>
    </w:rPr>
  </w:style>
  <w:style w:type="character" w:customStyle="1" w:styleId="626">
    <w:name w:val="默认段落字体 Para Char Char Char Char Char1"/>
    <w:link w:val="532"/>
    <w:qFormat/>
    <w:uiPriority w:val="0"/>
    <w:rPr>
      <w:kern w:val="2"/>
      <w:sz w:val="21"/>
      <w:szCs w:val="24"/>
    </w:rPr>
  </w:style>
  <w:style w:type="character" w:customStyle="1" w:styleId="627">
    <w:name w:val="HTML 样本1"/>
    <w:qFormat/>
    <w:uiPriority w:val="0"/>
    <w:rPr>
      <w:rFonts w:ascii="Courier New" w:hAnsi="Courier New"/>
    </w:rPr>
  </w:style>
  <w:style w:type="character" w:customStyle="1" w:styleId="628">
    <w:name w:val="gray white style21"/>
    <w:qFormat/>
    <w:uiPriority w:val="0"/>
  </w:style>
  <w:style w:type="character" w:customStyle="1" w:styleId="629">
    <w:name w:val="尾注文本 Char1"/>
    <w:qFormat/>
    <w:uiPriority w:val="0"/>
    <w:rPr>
      <w:kern w:val="2"/>
      <w:sz w:val="21"/>
      <w:szCs w:val="24"/>
    </w:rPr>
  </w:style>
  <w:style w:type="character" w:customStyle="1" w:styleId="630">
    <w:name w:val="页眉 Char1"/>
    <w:qFormat/>
    <w:uiPriority w:val="99"/>
    <w:rPr>
      <w:rFonts w:ascii="宋体"/>
      <w:kern w:val="2"/>
      <w:sz w:val="18"/>
      <w:szCs w:val="18"/>
    </w:rPr>
  </w:style>
  <w:style w:type="character" w:customStyle="1" w:styleId="631">
    <w:name w:val="h Char"/>
    <w:qFormat/>
    <w:uiPriority w:val="0"/>
    <w:rPr>
      <w:rFonts w:eastAsia="宋体"/>
      <w:kern w:val="2"/>
      <w:sz w:val="18"/>
      <w:lang w:val="en-US" w:eastAsia="zh-CN"/>
    </w:rPr>
  </w:style>
  <w:style w:type="character" w:customStyle="1" w:styleId="632">
    <w:name w:val="style101"/>
    <w:qFormat/>
    <w:uiPriority w:val="0"/>
    <w:rPr>
      <w:color w:val="D61008"/>
    </w:rPr>
  </w:style>
  <w:style w:type="character" w:customStyle="1" w:styleId="633">
    <w:name w:val="HTML 地址 Char1"/>
    <w:qFormat/>
    <w:uiPriority w:val="99"/>
    <w:rPr>
      <w:i/>
      <w:iCs/>
      <w:kern w:val="2"/>
      <w:sz w:val="21"/>
      <w:szCs w:val="24"/>
    </w:rPr>
  </w:style>
  <w:style w:type="character" w:customStyle="1" w:styleId="634">
    <w:name w:val="发布"/>
    <w:qFormat/>
    <w:uiPriority w:val="0"/>
    <w:rPr>
      <w:rFonts w:ascii="黑体" w:eastAsia="黑体"/>
      <w:spacing w:val="22"/>
      <w:w w:val="100"/>
      <w:position w:val="3"/>
      <w:sz w:val="28"/>
    </w:rPr>
  </w:style>
  <w:style w:type="character" w:customStyle="1" w:styleId="635">
    <w:name w:val="style251"/>
    <w:qFormat/>
    <w:uiPriority w:val="0"/>
    <w:rPr>
      <w:color w:val="564A4A"/>
      <w:sz w:val="21"/>
    </w:rPr>
  </w:style>
  <w:style w:type="character" w:customStyle="1" w:styleId="636">
    <w:name w:val="标题 3 + 四 段前: 0 磅 段后: 0 磅 行距: 1.5 倍行距 Char"/>
    <w:link w:val="637"/>
    <w:qFormat/>
    <w:uiPriority w:val="0"/>
    <w:rPr>
      <w:rFonts w:cs="宋体"/>
      <w:b/>
      <w:bCs/>
      <w:sz w:val="28"/>
      <w:szCs w:val="28"/>
    </w:rPr>
  </w:style>
  <w:style w:type="paragraph" w:customStyle="1" w:styleId="637">
    <w:name w:val="标题 3 + 四 段前: 0 磅 段后: 0 磅 行距: 1.5 倍行距"/>
    <w:basedOn w:val="5"/>
    <w:next w:val="5"/>
    <w:link w:val="636"/>
    <w:qFormat/>
    <w:uiPriority w:val="0"/>
    <w:pPr>
      <w:tabs>
        <w:tab w:val="left" w:pos="2126"/>
      </w:tabs>
      <w:spacing w:before="0" w:after="0"/>
      <w:ind w:firstLine="0" w:firstLineChars="0"/>
    </w:pPr>
    <w:rPr>
      <w:rFonts w:ascii="Times New Roman" w:cs="宋体"/>
      <w:sz w:val="28"/>
      <w:szCs w:val="28"/>
    </w:rPr>
  </w:style>
  <w:style w:type="character" w:customStyle="1" w:styleId="638">
    <w:name w:val="二级条标题 Char"/>
    <w:link w:val="639"/>
    <w:qFormat/>
    <w:uiPriority w:val="0"/>
  </w:style>
  <w:style w:type="paragraph" w:customStyle="1" w:styleId="639">
    <w:name w:val="二级条标题"/>
    <w:basedOn w:val="640"/>
    <w:next w:val="642"/>
    <w:link w:val="638"/>
    <w:qFormat/>
    <w:uiPriority w:val="0"/>
    <w:pPr>
      <w:numPr>
        <w:ilvl w:val="3"/>
        <w:numId w:val="8"/>
      </w:numPr>
      <w:tabs>
        <w:tab w:val="left" w:pos="312"/>
      </w:tabs>
      <w:outlineLvl w:val="3"/>
    </w:pPr>
    <w:rPr>
      <w:rFonts w:ascii="Times New Roman" w:eastAsia="宋体"/>
      <w:sz w:val="20"/>
    </w:rPr>
  </w:style>
  <w:style w:type="paragraph" w:customStyle="1" w:styleId="640">
    <w:name w:val="一级条标题"/>
    <w:basedOn w:val="641"/>
    <w:next w:val="642"/>
    <w:link w:val="645"/>
    <w:qFormat/>
    <w:uiPriority w:val="0"/>
    <w:pPr>
      <w:numPr>
        <w:ilvl w:val="2"/>
      </w:numPr>
      <w:outlineLvl w:val="2"/>
    </w:pPr>
  </w:style>
  <w:style w:type="paragraph" w:customStyle="1" w:styleId="641">
    <w:name w:val="章标题"/>
    <w:next w:val="642"/>
    <w:link w:val="643"/>
    <w:qFormat/>
    <w:uiPriority w:val="0"/>
    <w:pPr>
      <w:numPr>
        <w:ilvl w:val="3"/>
        <w:numId w:val="9"/>
      </w:numPr>
      <w:spacing w:before="156" w:beforeLines="50" w:after="156" w:afterLines="50"/>
      <w:ind w:left="0"/>
      <w:jc w:val="both"/>
      <w:outlineLvl w:val="1"/>
    </w:pPr>
    <w:rPr>
      <w:rFonts w:ascii="黑体" w:hAnsi="Times New Roman" w:eastAsia="黑体" w:cs="Times New Roman"/>
      <w:sz w:val="21"/>
      <w:lang w:val="en-US" w:eastAsia="zh-CN" w:bidi="ar-SA"/>
    </w:rPr>
  </w:style>
  <w:style w:type="paragraph" w:customStyle="1" w:styleId="642">
    <w:name w:val="段"/>
    <w:link w:val="644"/>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43">
    <w:name w:val="章标题 Char"/>
    <w:link w:val="641"/>
    <w:qFormat/>
    <w:uiPriority w:val="0"/>
    <w:rPr>
      <w:rFonts w:ascii="黑体" w:eastAsia="黑体"/>
      <w:sz w:val="21"/>
    </w:rPr>
  </w:style>
  <w:style w:type="character" w:customStyle="1" w:styleId="644">
    <w:name w:val="段 Char"/>
    <w:link w:val="642"/>
    <w:qFormat/>
    <w:uiPriority w:val="99"/>
    <w:rPr>
      <w:rFonts w:ascii="宋体"/>
      <w:sz w:val="21"/>
    </w:rPr>
  </w:style>
  <w:style w:type="character" w:customStyle="1" w:styleId="645">
    <w:name w:val="一级条标题 Char"/>
    <w:link w:val="640"/>
    <w:qFormat/>
    <w:uiPriority w:val="0"/>
    <w:rPr>
      <w:rFonts w:ascii="黑体" w:eastAsia="黑体"/>
      <w:sz w:val="21"/>
    </w:rPr>
  </w:style>
  <w:style w:type="character" w:customStyle="1" w:styleId="646">
    <w:name w:val="style111"/>
    <w:qFormat/>
    <w:uiPriority w:val="0"/>
    <w:rPr>
      <w:color w:val="006699"/>
    </w:rPr>
  </w:style>
  <w:style w:type="character" w:customStyle="1" w:styleId="647">
    <w:name w:val="正文文本缩进 Char1"/>
    <w:link w:val="585"/>
    <w:qFormat/>
    <w:uiPriority w:val="0"/>
  </w:style>
  <w:style w:type="character" w:customStyle="1" w:styleId="648">
    <w:name w:val="h1 Char"/>
    <w:qFormat/>
    <w:uiPriority w:val="0"/>
    <w:rPr>
      <w:rFonts w:eastAsia="黑体"/>
      <w:kern w:val="44"/>
      <w:sz w:val="28"/>
      <w:szCs w:val="28"/>
      <w:lang w:val="en-US" w:eastAsia="zh-CN" w:bidi="ar-SA"/>
    </w:rPr>
  </w:style>
  <w:style w:type="character" w:customStyle="1" w:styleId="649">
    <w:name w:val="Char Char14"/>
    <w:qFormat/>
    <w:uiPriority w:val="0"/>
    <w:rPr>
      <w:rFonts w:eastAsia="宋体"/>
      <w:kern w:val="2"/>
      <w:sz w:val="21"/>
      <w:lang w:val="en-US" w:eastAsia="zh-CN"/>
    </w:rPr>
  </w:style>
  <w:style w:type="character" w:customStyle="1" w:styleId="650">
    <w:name w:val="jl 三级 Char Char"/>
    <w:link w:val="651"/>
    <w:qFormat/>
    <w:uiPriority w:val="0"/>
    <w:rPr>
      <w:rFonts w:ascii="宋体" w:hAnsi="宋体"/>
      <w:b/>
      <w:color w:val="000000"/>
      <w:sz w:val="24"/>
    </w:rPr>
  </w:style>
  <w:style w:type="paragraph" w:customStyle="1" w:styleId="651">
    <w:name w:val="jl 三级 Char"/>
    <w:basedOn w:val="1"/>
    <w:link w:val="650"/>
    <w:qFormat/>
    <w:uiPriority w:val="0"/>
    <w:pPr>
      <w:autoSpaceDE w:val="0"/>
      <w:autoSpaceDN w:val="0"/>
      <w:adjustRightInd w:val="0"/>
      <w:spacing w:before="156" w:beforeLines="50" w:after="156" w:afterLines="50" w:line="360" w:lineRule="auto"/>
      <w:ind w:firstLine="480" w:firstLineChars="200"/>
      <w:jc w:val="left"/>
      <w:textAlignment w:val="baseline"/>
      <w:outlineLvl w:val="2"/>
    </w:pPr>
    <w:rPr>
      <w:rFonts w:ascii="宋体" w:hAnsi="宋体"/>
      <w:b/>
      <w:color w:val="000000"/>
      <w:kern w:val="0"/>
      <w:sz w:val="24"/>
      <w:szCs w:val="20"/>
    </w:rPr>
  </w:style>
  <w:style w:type="character" w:customStyle="1" w:styleId="652">
    <w:name w:val="日期 Char1"/>
    <w:qFormat/>
    <w:uiPriority w:val="0"/>
    <w:rPr>
      <w:rFonts w:ascii="宋体"/>
      <w:kern w:val="2"/>
      <w:sz w:val="24"/>
    </w:rPr>
  </w:style>
  <w:style w:type="character" w:customStyle="1" w:styleId="653">
    <w:name w:val="样式 标题 4 + (符号) 宋体 Char Char"/>
    <w:qFormat/>
    <w:uiPriority w:val="0"/>
    <w:rPr>
      <w:rFonts w:ascii="宋体" w:hAnsi="Times New Roman" w:eastAsia="宋体" w:cs="Times New Roman"/>
      <w:b/>
      <w:bCs/>
      <w:kern w:val="2"/>
      <w:sz w:val="24"/>
      <w:szCs w:val="21"/>
    </w:rPr>
  </w:style>
  <w:style w:type="character" w:customStyle="1" w:styleId="654">
    <w:name w:val="HTML 引文1"/>
    <w:qFormat/>
    <w:uiPriority w:val="0"/>
    <w:rPr>
      <w:i/>
    </w:rPr>
  </w:style>
  <w:style w:type="character" w:customStyle="1" w:styleId="655">
    <w:name w:val="宋体加粗"/>
    <w:qFormat/>
    <w:uiPriority w:val="0"/>
    <w:rPr>
      <w:rFonts w:ascii="宋体" w:hAnsi="宋体"/>
      <w:b/>
      <w:color w:val="000000"/>
    </w:rPr>
  </w:style>
  <w:style w:type="character" w:customStyle="1" w:styleId="656">
    <w:name w:val="批注框文本 Char1"/>
    <w:qFormat/>
    <w:uiPriority w:val="0"/>
    <w:rPr>
      <w:rFonts w:ascii="宋体"/>
      <w:kern w:val="2"/>
      <w:sz w:val="18"/>
      <w:szCs w:val="18"/>
    </w:rPr>
  </w:style>
  <w:style w:type="character" w:customStyle="1" w:styleId="657">
    <w:name w:val="样式7 Char"/>
    <w:link w:val="427"/>
    <w:qFormat/>
    <w:uiPriority w:val="0"/>
  </w:style>
  <w:style w:type="character" w:customStyle="1" w:styleId="658">
    <w:name w:val="表内居中小五 Char Char"/>
    <w:qFormat/>
    <w:uiPriority w:val="0"/>
    <w:rPr>
      <w:rFonts w:eastAsia="宋体" w:cs="宋体"/>
      <w:sz w:val="18"/>
      <w:szCs w:val="18"/>
    </w:rPr>
  </w:style>
  <w:style w:type="character" w:customStyle="1" w:styleId="659">
    <w:name w:val="附录 Char"/>
    <w:link w:val="660"/>
    <w:qFormat/>
    <w:uiPriority w:val="0"/>
    <w:rPr>
      <w:rFonts w:eastAsia="黑体"/>
      <w:sz w:val="28"/>
    </w:rPr>
  </w:style>
  <w:style w:type="paragraph" w:customStyle="1" w:styleId="660">
    <w:name w:val="附录"/>
    <w:basedOn w:val="3"/>
    <w:link w:val="659"/>
    <w:qFormat/>
    <w:uiPriority w:val="0"/>
    <w:pPr>
      <w:keepLines/>
      <w:topLinePunct/>
      <w:autoSpaceDE/>
      <w:autoSpaceDN/>
      <w:adjustRightInd/>
      <w:spacing w:line="960" w:lineRule="auto"/>
      <w:ind w:firstLine="420"/>
      <w:jc w:val="center"/>
      <w:textAlignment w:val="baseline"/>
    </w:pPr>
    <w:rPr>
      <w:rFonts w:ascii="Times New Roman" w:eastAsia="黑体"/>
      <w:b w:val="0"/>
      <w:bCs w:val="0"/>
      <w:color w:val="auto"/>
      <w:sz w:val="28"/>
    </w:rPr>
  </w:style>
  <w:style w:type="character" w:customStyle="1" w:styleId="661">
    <w:name w:val="B Char"/>
    <w:link w:val="662"/>
    <w:qFormat/>
    <w:uiPriority w:val="0"/>
    <w:rPr>
      <w:rFonts w:ascii="E-F1" w:eastAsia="黑体"/>
    </w:rPr>
  </w:style>
  <w:style w:type="paragraph" w:customStyle="1" w:styleId="662">
    <w:name w:val="B"/>
    <w:basedOn w:val="663"/>
    <w:link w:val="661"/>
    <w:qFormat/>
    <w:uiPriority w:val="0"/>
    <w:pPr>
      <w:widowControl w:val="0"/>
      <w:tabs>
        <w:tab w:val="left" w:pos="480"/>
        <w:tab w:val="center" w:pos="4706"/>
        <w:tab w:val="right" w:pos="9044"/>
      </w:tabs>
      <w:topLinePunct/>
      <w:autoSpaceDE/>
      <w:autoSpaceDN/>
      <w:adjustRightInd/>
      <w:spacing w:before="160" w:after="60" w:line="312" w:lineRule="exact"/>
      <w:textAlignment w:val="auto"/>
    </w:pPr>
    <w:rPr>
      <w:rFonts w:ascii="E-F1" w:eastAsia="黑体"/>
      <w:sz w:val="20"/>
    </w:rPr>
  </w:style>
  <w:style w:type="paragraph" w:customStyle="1" w:styleId="663">
    <w:name w:val="表头"/>
    <w:basedOn w:val="1"/>
    <w:link w:val="664"/>
    <w:qFormat/>
    <w:uiPriority w:val="0"/>
    <w:pPr>
      <w:widowControl/>
      <w:tabs>
        <w:tab w:val="left" w:pos="480"/>
      </w:tabs>
      <w:autoSpaceDE w:val="0"/>
      <w:autoSpaceDN w:val="0"/>
      <w:adjustRightInd w:val="0"/>
      <w:spacing w:line="360" w:lineRule="auto"/>
      <w:jc w:val="center"/>
      <w:textAlignment w:val="bottom"/>
    </w:pPr>
    <w:rPr>
      <w:kern w:val="0"/>
      <w:szCs w:val="20"/>
    </w:rPr>
  </w:style>
  <w:style w:type="character" w:customStyle="1" w:styleId="664">
    <w:name w:val="表头 Char"/>
    <w:link w:val="663"/>
    <w:qFormat/>
    <w:uiPriority w:val="0"/>
    <w:rPr>
      <w:sz w:val="21"/>
    </w:rPr>
  </w:style>
  <w:style w:type="character" w:customStyle="1" w:styleId="665">
    <w:name w:val="样式9 Char"/>
    <w:link w:val="454"/>
    <w:qFormat/>
    <w:uiPriority w:val="0"/>
    <w:rPr>
      <w:rFonts w:eastAsia="黑体"/>
      <w:b/>
      <w:sz w:val="21"/>
      <w:szCs w:val="21"/>
    </w:rPr>
  </w:style>
  <w:style w:type="character" w:customStyle="1" w:styleId="666">
    <w:name w:val="style211"/>
    <w:qFormat/>
    <w:uiPriority w:val="0"/>
    <w:rPr>
      <w:color w:val="564A4A"/>
    </w:rPr>
  </w:style>
  <w:style w:type="character" w:customStyle="1" w:styleId="667">
    <w:name w:val="数字EU Char"/>
    <w:link w:val="668"/>
    <w:qFormat/>
    <w:uiPriority w:val="0"/>
    <w:rPr>
      <w:rFonts w:ascii="EU-F1"/>
      <w:kern w:val="21"/>
    </w:rPr>
  </w:style>
  <w:style w:type="paragraph" w:customStyle="1" w:styleId="668">
    <w:name w:val="数字EU"/>
    <w:basedOn w:val="1"/>
    <w:link w:val="667"/>
    <w:qFormat/>
    <w:uiPriority w:val="0"/>
    <w:pPr>
      <w:wordWrap w:val="0"/>
      <w:overflowPunct w:val="0"/>
      <w:topLinePunct/>
      <w:spacing w:line="360" w:lineRule="auto"/>
    </w:pPr>
    <w:rPr>
      <w:rFonts w:ascii="EU-F1"/>
      <w:kern w:val="21"/>
      <w:sz w:val="20"/>
      <w:szCs w:val="20"/>
    </w:rPr>
  </w:style>
  <w:style w:type="character" w:customStyle="1" w:styleId="669">
    <w:name w:val="D3 Char Char"/>
    <w:link w:val="670"/>
    <w:qFormat/>
    <w:uiPriority w:val="0"/>
    <w:rPr>
      <w:rFonts w:ascii="黑体" w:hAnsi="宋体" w:eastAsia="黑体"/>
      <w:b/>
      <w:color w:val="000000"/>
    </w:rPr>
  </w:style>
  <w:style w:type="paragraph" w:customStyle="1" w:styleId="670">
    <w:name w:val="D3"/>
    <w:basedOn w:val="532"/>
    <w:link w:val="669"/>
    <w:qFormat/>
    <w:uiPriority w:val="0"/>
    <w:rPr>
      <w:rFonts w:ascii="黑体" w:hAnsi="宋体" w:eastAsia="黑体"/>
      <w:b/>
      <w:color w:val="000000"/>
      <w:kern w:val="0"/>
      <w:sz w:val="20"/>
      <w:szCs w:val="20"/>
    </w:rPr>
  </w:style>
  <w:style w:type="character" w:customStyle="1" w:styleId="671">
    <w:name w:val="样式11 Char"/>
    <w:link w:val="672"/>
    <w:qFormat/>
    <w:uiPriority w:val="0"/>
    <w:rPr>
      <w:rFonts w:ascii="宋体"/>
      <w:sz w:val="18"/>
      <w:szCs w:val="18"/>
    </w:rPr>
  </w:style>
  <w:style w:type="paragraph" w:customStyle="1" w:styleId="672">
    <w:name w:val="样式11"/>
    <w:basedOn w:val="57"/>
    <w:link w:val="671"/>
    <w:qFormat/>
    <w:uiPriority w:val="0"/>
    <w:rPr>
      <w:rFonts w:ascii="宋体"/>
    </w:rPr>
  </w:style>
  <w:style w:type="character" w:customStyle="1" w:styleId="673">
    <w:name w:val="批注引用1"/>
    <w:qFormat/>
    <w:uiPriority w:val="0"/>
    <w:rPr>
      <w:sz w:val="21"/>
    </w:rPr>
  </w:style>
  <w:style w:type="character" w:customStyle="1" w:styleId="674">
    <w:name w:val="Char Char11"/>
    <w:qFormat/>
    <w:uiPriority w:val="0"/>
    <w:rPr>
      <w:rFonts w:eastAsia="宋体"/>
      <w:kern w:val="2"/>
      <w:sz w:val="21"/>
      <w:lang w:val="en-US" w:eastAsia="zh-CN"/>
    </w:rPr>
  </w:style>
  <w:style w:type="character" w:customStyle="1" w:styleId="675">
    <w:name w:val="HTML 代码1"/>
    <w:qFormat/>
    <w:uiPriority w:val="0"/>
    <w:rPr>
      <w:rFonts w:ascii="Courier New" w:hAnsi="Courier New"/>
      <w:sz w:val="20"/>
    </w:rPr>
  </w:style>
  <w:style w:type="character" w:customStyle="1" w:styleId="676">
    <w:name w:val="Texte Char Char"/>
    <w:qFormat/>
    <w:uiPriority w:val="0"/>
    <w:rPr>
      <w:rFonts w:ascii="宋体"/>
      <w:kern w:val="2"/>
      <w:sz w:val="21"/>
    </w:rPr>
  </w:style>
  <w:style w:type="character" w:customStyle="1" w:styleId="677">
    <w:name w:val="H2 Char"/>
    <w:qFormat/>
    <w:uiPriority w:val="0"/>
    <w:rPr>
      <w:rFonts w:eastAsia="宋体"/>
      <w:b/>
      <w:kern w:val="2"/>
      <w:sz w:val="24"/>
      <w:lang w:val="en-US" w:eastAsia="zh-CN"/>
    </w:rPr>
  </w:style>
  <w:style w:type="character" w:customStyle="1" w:styleId="678">
    <w:name w:val="三级标题 Char"/>
    <w:link w:val="679"/>
    <w:qFormat/>
    <w:uiPriority w:val="0"/>
    <w:rPr>
      <w:b/>
      <w:sz w:val="24"/>
    </w:rPr>
  </w:style>
  <w:style w:type="paragraph" w:customStyle="1" w:styleId="679">
    <w:name w:val="三级标题"/>
    <w:basedOn w:val="5"/>
    <w:link w:val="678"/>
    <w:qFormat/>
    <w:uiPriority w:val="0"/>
    <w:pPr>
      <w:adjustRightInd w:val="0"/>
      <w:spacing w:before="156" w:beforeLines="50" w:after="156" w:afterLines="50" w:line="240" w:lineRule="auto"/>
      <w:jc w:val="left"/>
      <w:textAlignment w:val="baseline"/>
    </w:pPr>
    <w:rPr>
      <w:rFonts w:ascii="Times New Roman"/>
      <w:bCs w:val="0"/>
      <w:sz w:val="24"/>
      <w:szCs w:val="20"/>
    </w:rPr>
  </w:style>
  <w:style w:type="character" w:customStyle="1" w:styleId="680">
    <w:name w:val="正文 + 黑色 Char"/>
    <w:link w:val="681"/>
    <w:qFormat/>
    <w:uiPriority w:val="0"/>
    <w:rPr>
      <w:rFonts w:ascii="楷体_GB2312" w:hAnsi="宋体" w:eastAsia="楷体_GB2312"/>
      <w:i/>
      <w:color w:val="000000"/>
      <w:sz w:val="28"/>
    </w:rPr>
  </w:style>
  <w:style w:type="paragraph" w:customStyle="1" w:styleId="681">
    <w:name w:val="正文 + 黑色"/>
    <w:basedOn w:val="1"/>
    <w:link w:val="680"/>
    <w:qFormat/>
    <w:uiPriority w:val="0"/>
    <w:pPr>
      <w:spacing w:line="312" w:lineRule="auto"/>
    </w:pPr>
    <w:rPr>
      <w:rFonts w:ascii="楷体_GB2312" w:hAnsi="宋体" w:eastAsia="楷体_GB2312"/>
      <w:i/>
      <w:color w:val="000000"/>
      <w:kern w:val="0"/>
      <w:sz w:val="28"/>
      <w:szCs w:val="20"/>
    </w:rPr>
  </w:style>
  <w:style w:type="character" w:customStyle="1" w:styleId="682">
    <w:name w:val="样式12 Char"/>
    <w:link w:val="683"/>
    <w:qFormat/>
    <w:uiPriority w:val="0"/>
    <w:rPr>
      <w:rFonts w:ascii="宋体"/>
      <w:sz w:val="18"/>
      <w:szCs w:val="18"/>
    </w:rPr>
  </w:style>
  <w:style w:type="paragraph" w:customStyle="1" w:styleId="683">
    <w:name w:val="样式12"/>
    <w:basedOn w:val="57"/>
    <w:link w:val="682"/>
    <w:qFormat/>
    <w:uiPriority w:val="0"/>
    <w:rPr>
      <w:rFonts w:ascii="宋体"/>
    </w:rPr>
  </w:style>
  <w:style w:type="character" w:customStyle="1" w:styleId="684">
    <w:name w:val="批注主题 Char1"/>
    <w:qFormat/>
    <w:uiPriority w:val="0"/>
    <w:rPr>
      <w:lang w:val="en-US" w:eastAsia="zh-CN"/>
    </w:rPr>
  </w:style>
  <w:style w:type="character" w:customStyle="1" w:styleId="685">
    <w:name w:val="HTML 打字机1"/>
    <w:qFormat/>
    <w:uiPriority w:val="0"/>
    <w:rPr>
      <w:rFonts w:ascii="Courier New" w:hAnsi="Courier New"/>
      <w:sz w:val="20"/>
    </w:rPr>
  </w:style>
  <w:style w:type="character" w:customStyle="1" w:styleId="686">
    <w:name w:val="样式 标题 3 + 宋体 Char Char"/>
    <w:qFormat/>
    <w:uiPriority w:val="0"/>
    <w:rPr>
      <w:rFonts w:ascii="宋体" w:hAnsi="宋体"/>
      <w:kern w:val="2"/>
      <w:sz w:val="21"/>
      <w:szCs w:val="21"/>
    </w:rPr>
  </w:style>
  <w:style w:type="character" w:customStyle="1" w:styleId="687">
    <w:name w:val="jj Char"/>
    <w:link w:val="688"/>
    <w:qFormat/>
    <w:uiPriority w:val="0"/>
    <w:rPr>
      <w:rFonts w:hAnsi="宋体"/>
    </w:rPr>
  </w:style>
  <w:style w:type="paragraph" w:customStyle="1" w:styleId="688">
    <w:name w:val="jj"/>
    <w:basedOn w:val="1"/>
    <w:link w:val="687"/>
    <w:qFormat/>
    <w:uiPriority w:val="0"/>
    <w:pPr>
      <w:spacing w:line="312" w:lineRule="exact"/>
      <w:ind w:left="840" w:leftChars="400"/>
    </w:pPr>
    <w:rPr>
      <w:rFonts w:hAnsi="宋体"/>
      <w:kern w:val="0"/>
      <w:sz w:val="20"/>
      <w:szCs w:val="20"/>
    </w:rPr>
  </w:style>
  <w:style w:type="character" w:customStyle="1" w:styleId="689">
    <w:name w:val="样式 Arial"/>
    <w:qFormat/>
    <w:uiPriority w:val="0"/>
    <w:rPr>
      <w:rFonts w:hint="default" w:ascii="Times New Roman" w:hAnsi="Times New Roman" w:eastAsia="宋体"/>
      <w:sz w:val="21"/>
    </w:rPr>
  </w:style>
  <w:style w:type="character" w:customStyle="1" w:styleId="690">
    <w:name w:val="签名 Char1"/>
    <w:qFormat/>
    <w:uiPriority w:val="99"/>
    <w:rPr>
      <w:kern w:val="2"/>
      <w:sz w:val="21"/>
      <w:szCs w:val="24"/>
    </w:rPr>
  </w:style>
  <w:style w:type="character" w:customStyle="1" w:styleId="691">
    <w:name w:val="EmailStyle1391"/>
    <w:qFormat/>
    <w:uiPriority w:val="0"/>
    <w:rPr>
      <w:rFonts w:ascii="Arial" w:hAnsi="Arial" w:eastAsia="宋体" w:cs="Arial"/>
      <w:color w:val="auto"/>
      <w:sz w:val="20"/>
    </w:rPr>
  </w:style>
  <w:style w:type="character" w:customStyle="1" w:styleId="692">
    <w:name w:val="图说 Char"/>
    <w:link w:val="693"/>
    <w:qFormat/>
    <w:uiPriority w:val="0"/>
    <w:rPr>
      <w:sz w:val="18"/>
    </w:rPr>
  </w:style>
  <w:style w:type="paragraph" w:customStyle="1" w:styleId="693">
    <w:name w:val="图说"/>
    <w:basedOn w:val="1"/>
    <w:link w:val="692"/>
    <w:qFormat/>
    <w:uiPriority w:val="0"/>
    <w:pPr>
      <w:topLinePunct/>
      <w:spacing w:before="40" w:after="160" w:line="360" w:lineRule="auto"/>
      <w:jc w:val="center"/>
    </w:pPr>
    <w:rPr>
      <w:kern w:val="0"/>
      <w:sz w:val="18"/>
      <w:szCs w:val="20"/>
    </w:rPr>
  </w:style>
  <w:style w:type="character" w:customStyle="1" w:styleId="694">
    <w:name w:val="样式 样式1 + 非加粗 Char"/>
    <w:link w:val="695"/>
    <w:qFormat/>
    <w:uiPriority w:val="0"/>
    <w:rPr>
      <w:rFonts w:eastAsia="汉仪大宋简" w:cs="宋体"/>
      <w:b/>
    </w:rPr>
  </w:style>
  <w:style w:type="paragraph" w:customStyle="1" w:styleId="695">
    <w:name w:val="样式 样式1 + 非加粗"/>
    <w:basedOn w:val="426"/>
    <w:link w:val="694"/>
    <w:qFormat/>
    <w:uiPriority w:val="0"/>
    <w:pPr>
      <w:keepNext/>
      <w:spacing w:before="0" w:after="0" w:line="480" w:lineRule="auto"/>
      <w:ind w:firstLine="420"/>
      <w:outlineLvl w:val="0"/>
    </w:pPr>
    <w:rPr>
      <w:rFonts w:ascii="Times New Roman" w:hAnsi="Times New Roman" w:eastAsia="汉仪大宋简" w:cs="宋体"/>
      <w:kern w:val="0"/>
      <w:sz w:val="20"/>
    </w:rPr>
  </w:style>
  <w:style w:type="character" w:customStyle="1" w:styleId="696">
    <w:name w:val="style221"/>
    <w:qFormat/>
    <w:uiPriority w:val="0"/>
    <w:rPr>
      <w:color w:val="564A4A"/>
      <w:sz w:val="21"/>
    </w:rPr>
  </w:style>
  <w:style w:type="character" w:customStyle="1" w:styleId="697">
    <w:name w:val="unnamed13"/>
    <w:qFormat/>
    <w:uiPriority w:val="0"/>
    <w:rPr>
      <w:spacing w:val="12"/>
      <w:sz w:val="20"/>
      <w:szCs w:val="20"/>
    </w:rPr>
  </w:style>
  <w:style w:type="character" w:customStyle="1" w:styleId="698">
    <w:name w:val="HTML 预设格式 Char1"/>
    <w:qFormat/>
    <w:uiPriority w:val="99"/>
    <w:rPr>
      <w:rFonts w:ascii="Courier New" w:hAnsi="Courier New" w:cs="Courier New"/>
      <w:kern w:val="2"/>
    </w:rPr>
  </w:style>
  <w:style w:type="character" w:customStyle="1" w:styleId="699">
    <w:name w:val="样式10 Char"/>
    <w:link w:val="700"/>
    <w:qFormat/>
    <w:uiPriority w:val="0"/>
    <w:rPr>
      <w:rFonts w:ascii="宋体"/>
      <w:sz w:val="18"/>
      <w:szCs w:val="18"/>
    </w:rPr>
  </w:style>
  <w:style w:type="paragraph" w:customStyle="1" w:styleId="700">
    <w:name w:val="样式10"/>
    <w:basedOn w:val="57"/>
    <w:link w:val="699"/>
    <w:qFormat/>
    <w:uiPriority w:val="0"/>
    <w:rPr>
      <w:rFonts w:ascii="宋体"/>
    </w:rPr>
  </w:style>
  <w:style w:type="character" w:customStyle="1" w:styleId="701">
    <w:name w:val="style231"/>
    <w:qFormat/>
    <w:uiPriority w:val="0"/>
    <w:rPr>
      <w:b/>
      <w:color w:val="564A4A"/>
      <w:sz w:val="18"/>
    </w:rPr>
  </w:style>
  <w:style w:type="character" w:customStyle="1" w:styleId="702">
    <w:name w:val="正文首行缩进 2 Char1"/>
    <w:qFormat/>
    <w:uiPriority w:val="0"/>
    <w:rPr>
      <w:lang w:val="en-US" w:eastAsia="zh-CN" w:bidi="ar-SA"/>
    </w:rPr>
  </w:style>
  <w:style w:type="character" w:customStyle="1" w:styleId="703">
    <w:name w:val="Ｔ＋ Char"/>
    <w:link w:val="704"/>
    <w:qFormat/>
    <w:uiPriority w:val="0"/>
    <w:rPr>
      <w:rFonts w:ascii="EU-F1" w:eastAsia="黑体"/>
      <w:b/>
      <w:snapToGrid w:val="0"/>
      <w:kern w:val="21"/>
    </w:rPr>
  </w:style>
  <w:style w:type="paragraph" w:customStyle="1" w:styleId="704">
    <w:name w:val="Ｔ＋"/>
    <w:basedOn w:val="705"/>
    <w:link w:val="703"/>
    <w:qFormat/>
    <w:uiPriority w:val="0"/>
    <w:rPr>
      <w:b/>
      <w:snapToGrid w:val="0"/>
      <w:sz w:val="20"/>
    </w:rPr>
  </w:style>
  <w:style w:type="paragraph" w:customStyle="1" w:styleId="705">
    <w:name w:val="D2"/>
    <w:basedOn w:val="1"/>
    <w:link w:val="706"/>
    <w:qFormat/>
    <w:uiPriority w:val="0"/>
    <w:pPr>
      <w:spacing w:line="312" w:lineRule="exact"/>
    </w:pPr>
    <w:rPr>
      <w:rFonts w:ascii="EU-F1" w:eastAsia="黑体"/>
      <w:kern w:val="21"/>
      <w:szCs w:val="20"/>
    </w:rPr>
  </w:style>
  <w:style w:type="character" w:customStyle="1" w:styleId="706">
    <w:name w:val="D2 Char Char"/>
    <w:link w:val="705"/>
    <w:qFormat/>
    <w:uiPriority w:val="0"/>
    <w:rPr>
      <w:rFonts w:ascii="EU-F1" w:eastAsia="黑体"/>
      <w:kern w:val="21"/>
      <w:sz w:val="21"/>
    </w:rPr>
  </w:style>
  <w:style w:type="character" w:customStyle="1" w:styleId="707">
    <w:name w:val="批注文字 Char1"/>
    <w:qFormat/>
    <w:uiPriority w:val="99"/>
    <w:rPr>
      <w:rFonts w:ascii="宋体"/>
      <w:kern w:val="2"/>
      <w:sz w:val="24"/>
    </w:rPr>
  </w:style>
  <w:style w:type="character" w:customStyle="1" w:styleId="708">
    <w:name w:val="articlebody21"/>
    <w:qFormat/>
    <w:uiPriority w:val="0"/>
    <w:rPr>
      <w:rFonts w:hint="default"/>
      <w:sz w:val="21"/>
    </w:rPr>
  </w:style>
  <w:style w:type="character" w:customStyle="1" w:styleId="709">
    <w:name w:val="D1 Char"/>
    <w:link w:val="710"/>
    <w:qFormat/>
    <w:uiPriority w:val="0"/>
  </w:style>
  <w:style w:type="paragraph" w:customStyle="1" w:styleId="710">
    <w:name w:val="D1"/>
    <w:basedOn w:val="711"/>
    <w:link w:val="709"/>
    <w:qFormat/>
    <w:uiPriority w:val="0"/>
    <w:pPr>
      <w:spacing w:line="360" w:lineRule="auto"/>
    </w:pPr>
    <w:rPr>
      <w:rFonts w:ascii="Times New Roman" w:eastAsia="宋体"/>
      <w:kern w:val="0"/>
      <w:sz w:val="20"/>
    </w:rPr>
  </w:style>
  <w:style w:type="paragraph" w:customStyle="1" w:styleId="711">
    <w:name w:val="附录一"/>
    <w:basedOn w:val="45"/>
    <w:link w:val="712"/>
    <w:qFormat/>
    <w:uiPriority w:val="0"/>
    <w:pPr>
      <w:autoSpaceDE/>
      <w:autoSpaceDN/>
      <w:adjustRightInd/>
      <w:spacing w:line="480" w:lineRule="auto"/>
      <w:jc w:val="both"/>
    </w:pPr>
    <w:rPr>
      <w:rFonts w:ascii="EU-F1" w:hAnsi="Times New Roman" w:eastAsia="黑体"/>
      <w:szCs w:val="20"/>
    </w:rPr>
  </w:style>
  <w:style w:type="character" w:customStyle="1" w:styleId="712">
    <w:name w:val="附录一 Char"/>
    <w:link w:val="711"/>
    <w:qFormat/>
    <w:uiPriority w:val="0"/>
    <w:rPr>
      <w:rFonts w:ascii="EU-F1" w:eastAsia="黑体"/>
      <w:kern w:val="2"/>
      <w:sz w:val="21"/>
    </w:rPr>
  </w:style>
  <w:style w:type="character" w:customStyle="1" w:styleId="713">
    <w:name w:val="正文文字缩进 Char"/>
    <w:qFormat/>
    <w:uiPriority w:val="0"/>
    <w:rPr>
      <w:rFonts w:eastAsia="宋体"/>
      <w:sz w:val="24"/>
      <w:lang w:val="en-US" w:eastAsia="en-US"/>
    </w:rPr>
  </w:style>
  <w:style w:type="character" w:customStyle="1" w:styleId="714">
    <w:name w:val="Char Char8"/>
    <w:qFormat/>
    <w:uiPriority w:val="0"/>
    <w:rPr>
      <w:rFonts w:eastAsia="宋体"/>
      <w:kern w:val="2"/>
      <w:sz w:val="18"/>
      <w:szCs w:val="18"/>
      <w:lang w:val="en-US" w:eastAsia="zh-CN" w:bidi="ar-SA"/>
    </w:rPr>
  </w:style>
  <w:style w:type="character" w:customStyle="1" w:styleId="715">
    <w:name w:val="正文文本 2 Char1"/>
    <w:qFormat/>
    <w:uiPriority w:val="0"/>
    <w:rPr>
      <w:rFonts w:ascii="宋体"/>
      <w:kern w:val="2"/>
      <w:sz w:val="24"/>
    </w:rPr>
  </w:style>
  <w:style w:type="character" w:customStyle="1" w:styleId="716">
    <w:name w:val="sh141"/>
    <w:qFormat/>
    <w:uiPriority w:val="0"/>
    <w:rPr>
      <w:color w:val="2B2B2B"/>
      <w:sz w:val="21"/>
    </w:rPr>
  </w:style>
  <w:style w:type="character" w:customStyle="1" w:styleId="717">
    <w:name w:val="样式15 Char"/>
    <w:link w:val="718"/>
    <w:qFormat/>
    <w:uiPriority w:val="0"/>
    <w:rPr>
      <w:rFonts w:ascii="宋体"/>
      <w:sz w:val="18"/>
      <w:szCs w:val="18"/>
    </w:rPr>
  </w:style>
  <w:style w:type="paragraph" w:customStyle="1" w:styleId="718">
    <w:name w:val="样式15"/>
    <w:basedOn w:val="57"/>
    <w:link w:val="717"/>
    <w:qFormat/>
    <w:uiPriority w:val="0"/>
    <w:rPr>
      <w:rFonts w:ascii="宋体"/>
    </w:rPr>
  </w:style>
  <w:style w:type="character" w:customStyle="1" w:styleId="719">
    <w:name w:val="表内居中小五 Char"/>
    <w:link w:val="720"/>
    <w:qFormat/>
    <w:uiPriority w:val="0"/>
    <w:rPr>
      <w:rFonts w:cs="宋体"/>
      <w:sz w:val="18"/>
      <w:szCs w:val="18"/>
    </w:rPr>
  </w:style>
  <w:style w:type="paragraph" w:customStyle="1" w:styleId="720">
    <w:name w:val="表内居中小五"/>
    <w:basedOn w:val="1"/>
    <w:link w:val="719"/>
    <w:qFormat/>
    <w:uiPriority w:val="0"/>
    <w:pPr>
      <w:spacing w:line="360" w:lineRule="auto"/>
      <w:jc w:val="center"/>
    </w:pPr>
    <w:rPr>
      <w:rFonts w:cs="宋体"/>
      <w:kern w:val="0"/>
      <w:sz w:val="18"/>
      <w:szCs w:val="18"/>
    </w:rPr>
  </w:style>
  <w:style w:type="character" w:customStyle="1" w:styleId="721">
    <w:name w:val="Char Char5"/>
    <w:qFormat/>
    <w:uiPriority w:val="0"/>
    <w:rPr>
      <w:rFonts w:eastAsia="宋体"/>
      <w:b/>
      <w:kern w:val="44"/>
      <w:sz w:val="28"/>
      <w:szCs w:val="22"/>
      <w:lang w:val="en-US" w:eastAsia="zh-CN" w:bidi="ar-SA"/>
    </w:rPr>
  </w:style>
  <w:style w:type="character" w:customStyle="1" w:styleId="722">
    <w:name w:val="标题 1 Char Char"/>
    <w:qFormat/>
    <w:uiPriority w:val="0"/>
    <w:rPr>
      <w:rFonts w:eastAsia="宋体"/>
      <w:b/>
      <w:kern w:val="44"/>
      <w:sz w:val="44"/>
      <w:lang w:val="en-US" w:eastAsia="zh-CN"/>
    </w:rPr>
  </w:style>
  <w:style w:type="character" w:customStyle="1" w:styleId="723">
    <w:name w:val="结束语 Char1"/>
    <w:qFormat/>
    <w:uiPriority w:val="99"/>
    <w:rPr>
      <w:kern w:val="2"/>
      <w:sz w:val="21"/>
      <w:szCs w:val="24"/>
    </w:rPr>
  </w:style>
  <w:style w:type="character" w:customStyle="1" w:styleId="724">
    <w:name w:val="样式6 Char"/>
    <w:link w:val="448"/>
    <w:qFormat/>
    <w:uiPriority w:val="0"/>
  </w:style>
  <w:style w:type="character" w:customStyle="1" w:styleId="725">
    <w:name w:val="个人答复风格"/>
    <w:qFormat/>
    <w:uiPriority w:val="0"/>
    <w:rPr>
      <w:rFonts w:ascii="Arial" w:hAnsi="Arial" w:eastAsia="宋体"/>
      <w:color w:val="auto"/>
      <w:sz w:val="20"/>
    </w:rPr>
  </w:style>
  <w:style w:type="character" w:customStyle="1" w:styleId="726">
    <w:name w:val="首行缩进 Char"/>
    <w:link w:val="727"/>
    <w:qFormat/>
    <w:uiPriority w:val="0"/>
    <w:rPr>
      <w:rFonts w:eastAsia="方正书宋简体" w:cs="宋体"/>
    </w:rPr>
  </w:style>
  <w:style w:type="paragraph" w:customStyle="1" w:styleId="727">
    <w:name w:val="首行缩进"/>
    <w:basedOn w:val="1"/>
    <w:link w:val="726"/>
    <w:qFormat/>
    <w:uiPriority w:val="0"/>
    <w:pPr>
      <w:spacing w:line="300" w:lineRule="auto"/>
      <w:ind w:firstLine="420" w:firstLineChars="200"/>
    </w:pPr>
    <w:rPr>
      <w:rFonts w:eastAsia="方正书宋简体" w:cs="宋体"/>
      <w:kern w:val="0"/>
      <w:sz w:val="20"/>
      <w:szCs w:val="20"/>
    </w:rPr>
  </w:style>
  <w:style w:type="character" w:customStyle="1" w:styleId="728">
    <w:name w:val="脚注文本 Char1"/>
    <w:qFormat/>
    <w:uiPriority w:val="0"/>
    <w:rPr>
      <w:kern w:val="2"/>
      <w:sz w:val="18"/>
      <w:szCs w:val="18"/>
    </w:rPr>
  </w:style>
  <w:style w:type="character" w:customStyle="1" w:styleId="729">
    <w:name w:val="Char Char16"/>
    <w:qFormat/>
    <w:uiPriority w:val="0"/>
    <w:rPr>
      <w:rFonts w:ascii="Arial" w:hAnsi="Arial" w:eastAsia="黑体"/>
      <w:b/>
      <w:bCs/>
      <w:kern w:val="2"/>
      <w:sz w:val="32"/>
      <w:szCs w:val="32"/>
      <w:lang w:val="en-US" w:eastAsia="zh-CN" w:bidi="ar-SA"/>
    </w:rPr>
  </w:style>
  <w:style w:type="character" w:customStyle="1" w:styleId="730">
    <w:name w:val="Style List Bullet1 Char"/>
    <w:link w:val="731"/>
    <w:qFormat/>
    <w:uiPriority w:val="0"/>
    <w:rPr>
      <w:rFonts w:ascii="Arial" w:hAnsi="Arial"/>
      <w:b/>
      <w:sz w:val="24"/>
    </w:rPr>
  </w:style>
  <w:style w:type="paragraph" w:customStyle="1" w:styleId="731">
    <w:name w:val="Style List Bullet1"/>
    <w:basedOn w:val="40"/>
    <w:link w:val="730"/>
    <w:qFormat/>
    <w:uiPriority w:val="0"/>
    <w:pPr>
      <w:widowControl/>
      <w:numPr>
        <w:ilvl w:val="0"/>
        <w:numId w:val="10"/>
      </w:numPr>
      <w:tabs>
        <w:tab w:val="left" w:pos="900"/>
        <w:tab w:val="clear" w:pos="1275"/>
      </w:tabs>
    </w:pPr>
    <w:rPr>
      <w:rFonts w:ascii="Arial" w:hAnsi="Arial"/>
      <w:b/>
      <w:kern w:val="0"/>
    </w:rPr>
  </w:style>
  <w:style w:type="character" w:customStyle="1" w:styleId="732">
    <w:name w:val="个人撰写风格"/>
    <w:qFormat/>
    <w:uiPriority w:val="0"/>
    <w:rPr>
      <w:rFonts w:ascii="Arial" w:hAnsi="Arial" w:eastAsia="宋体"/>
      <w:color w:val="auto"/>
      <w:sz w:val="20"/>
    </w:rPr>
  </w:style>
  <w:style w:type="character" w:customStyle="1" w:styleId="733">
    <w:name w:val="HTML 键盘1"/>
    <w:qFormat/>
    <w:uiPriority w:val="0"/>
    <w:rPr>
      <w:rFonts w:ascii="Courier New" w:hAnsi="Courier New"/>
      <w:sz w:val="20"/>
    </w:rPr>
  </w:style>
  <w:style w:type="character" w:customStyle="1" w:styleId="734">
    <w:name w:val="表格内容 Char Char"/>
    <w:link w:val="394"/>
    <w:qFormat/>
    <w:uiPriority w:val="0"/>
  </w:style>
  <w:style w:type="character" w:customStyle="1" w:styleId="735">
    <w:name w:val="EmailStyle1461"/>
    <w:qFormat/>
    <w:uiPriority w:val="0"/>
    <w:rPr>
      <w:rFonts w:ascii="Arial" w:hAnsi="Arial" w:eastAsia="宋体"/>
      <w:color w:val="auto"/>
      <w:sz w:val="20"/>
    </w:rPr>
  </w:style>
  <w:style w:type="character" w:customStyle="1" w:styleId="736">
    <w:name w:val="首行缩进 Char Char"/>
    <w:qFormat/>
    <w:uiPriority w:val="0"/>
    <w:rPr>
      <w:rFonts w:eastAsia="方正书宋简体" w:cs="宋体"/>
    </w:rPr>
  </w:style>
  <w:style w:type="character" w:customStyle="1" w:styleId="737">
    <w:name w:val="一级标题 Char"/>
    <w:link w:val="738"/>
    <w:qFormat/>
    <w:uiPriority w:val="0"/>
    <w:rPr>
      <w:rFonts w:ascii="隶书" w:eastAsia="黑体"/>
      <w:b/>
      <w:sz w:val="30"/>
    </w:rPr>
  </w:style>
  <w:style w:type="paragraph" w:customStyle="1" w:styleId="738">
    <w:name w:val="一级标题"/>
    <w:basedOn w:val="3"/>
    <w:link w:val="737"/>
    <w:qFormat/>
    <w:uiPriority w:val="0"/>
    <w:pPr>
      <w:tabs>
        <w:tab w:val="left" w:pos="6840"/>
      </w:tabs>
      <w:autoSpaceDE/>
      <w:autoSpaceDN/>
      <w:adjustRightInd/>
      <w:spacing w:before="312" w:beforeLines="100" w:after="468" w:afterLines="150"/>
      <w:jc w:val="center"/>
    </w:pPr>
    <w:rPr>
      <w:rFonts w:ascii="隶书" w:eastAsia="黑体"/>
      <w:bCs w:val="0"/>
      <w:color w:val="auto"/>
      <w:sz w:val="30"/>
    </w:rPr>
  </w:style>
  <w:style w:type="character" w:customStyle="1" w:styleId="739">
    <w:name w:val="样式 标题 2 + 五号 Char"/>
    <w:link w:val="740"/>
    <w:qFormat/>
    <w:uiPriority w:val="0"/>
    <w:rPr>
      <w:rFonts w:eastAsia="黑体"/>
      <w:bCs/>
      <w:szCs w:val="21"/>
    </w:rPr>
  </w:style>
  <w:style w:type="paragraph" w:customStyle="1" w:styleId="740">
    <w:name w:val="样式 标题 2 + 五号"/>
    <w:basedOn w:val="4"/>
    <w:link w:val="739"/>
    <w:qFormat/>
    <w:uiPriority w:val="0"/>
    <w:pPr>
      <w:tabs>
        <w:tab w:val="left" w:pos="420"/>
        <w:tab w:val="left" w:pos="1276"/>
        <w:tab w:val="left" w:pos="6090"/>
      </w:tabs>
      <w:autoSpaceDE w:val="0"/>
      <w:autoSpaceDN w:val="0"/>
      <w:adjustRightInd w:val="0"/>
      <w:spacing w:before="0" w:after="0" w:line="240" w:lineRule="auto"/>
      <w:ind w:left="-2" w:leftChars="-1" w:firstLine="420"/>
      <w:jc w:val="both"/>
      <w:textAlignment w:val="baseline"/>
    </w:pPr>
    <w:rPr>
      <w:rFonts w:ascii="Times New Roman" w:hAnsi="Times New Roman" w:eastAsia="黑体"/>
      <w:b w:val="0"/>
      <w:sz w:val="20"/>
      <w:szCs w:val="21"/>
    </w:rPr>
  </w:style>
  <w:style w:type="character" w:customStyle="1" w:styleId="741">
    <w:name w:val="unnamed51"/>
    <w:qFormat/>
    <w:uiPriority w:val="0"/>
    <w:rPr>
      <w:spacing w:val="0"/>
      <w:sz w:val="20"/>
      <w:szCs w:val="20"/>
    </w:rPr>
  </w:style>
  <w:style w:type="character" w:customStyle="1" w:styleId="742">
    <w:name w:val="样式2 Char"/>
    <w:link w:val="299"/>
    <w:qFormat/>
    <w:uiPriority w:val="0"/>
    <w:rPr>
      <w:rFonts w:ascii="宋体" w:hAnsi="宋体" w:cs="宋体"/>
      <w:sz w:val="24"/>
      <w:szCs w:val="24"/>
    </w:rPr>
  </w:style>
  <w:style w:type="character" w:customStyle="1" w:styleId="743">
    <w:name w:val="font1"/>
    <w:qFormat/>
    <w:uiPriority w:val="0"/>
    <w:rPr>
      <w:color w:val="999999"/>
      <w:sz w:val="18"/>
      <w:u w:val="none"/>
    </w:rPr>
  </w:style>
  <w:style w:type="character" w:customStyle="1" w:styleId="744">
    <w:name w:val="样式 标题 4 + (符号) 宋体 Char"/>
    <w:link w:val="745"/>
    <w:qFormat/>
    <w:uiPriority w:val="0"/>
    <w:rPr>
      <w:rFonts w:ascii="宋体" w:hAnsi="宋体"/>
      <w:szCs w:val="21"/>
    </w:rPr>
  </w:style>
  <w:style w:type="paragraph" w:customStyle="1" w:styleId="745">
    <w:name w:val="样式 标题 4 + (符号) 宋体"/>
    <w:basedOn w:val="6"/>
    <w:link w:val="744"/>
    <w:qFormat/>
    <w:uiPriority w:val="0"/>
    <w:pPr>
      <w:keepNext w:val="0"/>
      <w:keepLines w:val="0"/>
      <w:numPr>
        <w:ilvl w:val="3"/>
        <w:numId w:val="3"/>
      </w:numPr>
      <w:tabs>
        <w:tab w:val="left" w:pos="2976"/>
      </w:tabs>
      <w:adjustRightInd w:val="0"/>
      <w:snapToGrid w:val="0"/>
      <w:spacing w:before="0" w:after="0" w:line="360" w:lineRule="auto"/>
      <w:ind w:left="2551" w:firstLine="0"/>
    </w:pPr>
    <w:rPr>
      <w:rFonts w:ascii="宋体" w:hAnsi="宋体" w:eastAsia="宋体"/>
      <w:b w:val="0"/>
      <w:bCs w:val="0"/>
      <w:kern w:val="0"/>
      <w:sz w:val="20"/>
      <w:szCs w:val="21"/>
    </w:rPr>
  </w:style>
  <w:style w:type="character" w:customStyle="1" w:styleId="746">
    <w:name w:val="样式 标题 2 + 黑体 小四 Char"/>
    <w:link w:val="747"/>
    <w:qFormat/>
    <w:uiPriority w:val="0"/>
    <w:rPr>
      <w:rFonts w:ascii="黑体" w:hAnsi="黑体" w:eastAsia="黑体"/>
      <w:b/>
      <w:sz w:val="24"/>
    </w:rPr>
  </w:style>
  <w:style w:type="paragraph" w:customStyle="1" w:styleId="747">
    <w:name w:val="样式 标题 2 + 黑体 小四"/>
    <w:basedOn w:val="4"/>
    <w:link w:val="746"/>
    <w:qFormat/>
    <w:uiPriority w:val="0"/>
    <w:pPr>
      <w:keepNext w:val="0"/>
      <w:tabs>
        <w:tab w:val="left" w:pos="420"/>
        <w:tab w:val="left" w:pos="501"/>
        <w:tab w:val="left" w:pos="576"/>
        <w:tab w:val="left" w:pos="6090"/>
      </w:tabs>
      <w:overflowPunct w:val="0"/>
      <w:autoSpaceDE w:val="0"/>
      <w:autoSpaceDN w:val="0"/>
      <w:adjustRightInd w:val="0"/>
      <w:spacing w:before="60" w:after="60" w:line="480" w:lineRule="auto"/>
      <w:ind w:left="576" w:leftChars="-1" w:hanging="576"/>
      <w:textAlignment w:val="baseline"/>
    </w:pPr>
    <w:rPr>
      <w:rFonts w:ascii="黑体" w:hAnsi="黑体" w:eastAsia="黑体"/>
      <w:bCs w:val="0"/>
      <w:sz w:val="24"/>
      <w:szCs w:val="20"/>
    </w:rPr>
  </w:style>
  <w:style w:type="character" w:customStyle="1" w:styleId="748">
    <w:name w:val="电子邮件签名 Char1"/>
    <w:qFormat/>
    <w:uiPriority w:val="99"/>
    <w:rPr>
      <w:kern w:val="2"/>
      <w:sz w:val="21"/>
      <w:szCs w:val="24"/>
    </w:rPr>
  </w:style>
  <w:style w:type="character" w:customStyle="1" w:styleId="749">
    <w:name w:val="HTML 定义1"/>
    <w:qFormat/>
    <w:uiPriority w:val="0"/>
    <w:rPr>
      <w:i/>
    </w:rPr>
  </w:style>
  <w:style w:type="character" w:customStyle="1" w:styleId="750">
    <w:name w:val="三级条标题 Char Char"/>
    <w:qFormat/>
    <w:uiPriority w:val="0"/>
  </w:style>
  <w:style w:type="character" w:customStyle="1" w:styleId="751">
    <w:name w:val="二级条标题 Char Char"/>
    <w:qFormat/>
    <w:uiPriority w:val="0"/>
    <w:rPr>
      <w:rFonts w:ascii="黑体" w:hAnsi="Times New Roman" w:eastAsia="黑体" w:cs="Times New Roman"/>
      <w:kern w:val="0"/>
      <w:szCs w:val="20"/>
    </w:rPr>
  </w:style>
  <w:style w:type="character" w:customStyle="1" w:styleId="752">
    <w:name w:val="信息标题 Char1"/>
    <w:qFormat/>
    <w:uiPriority w:val="99"/>
    <w:rPr>
      <w:rFonts w:ascii="Cambria" w:hAnsi="Cambria" w:eastAsia="宋体" w:cs="Times New Roman"/>
      <w:kern w:val="2"/>
      <w:sz w:val="24"/>
      <w:szCs w:val="24"/>
      <w:shd w:val="pct20" w:color="auto" w:fill="auto"/>
    </w:rPr>
  </w:style>
  <w:style w:type="character" w:customStyle="1" w:styleId="753">
    <w:name w:val="HTML 变量1"/>
    <w:qFormat/>
    <w:uiPriority w:val="0"/>
    <w:rPr>
      <w:i/>
    </w:rPr>
  </w:style>
  <w:style w:type="character" w:customStyle="1" w:styleId="754">
    <w:name w:val="章标题 1 Char Char"/>
    <w:qFormat/>
    <w:uiPriority w:val="0"/>
    <w:rPr>
      <w:rFonts w:eastAsia="黑体"/>
      <w:kern w:val="44"/>
      <w:sz w:val="28"/>
      <w:lang w:val="en-US" w:eastAsia="zh-CN"/>
    </w:rPr>
  </w:style>
  <w:style w:type="character" w:customStyle="1" w:styleId="755">
    <w:name w:val="booktitletextsy1"/>
    <w:qFormat/>
    <w:uiPriority w:val="0"/>
    <w:rPr>
      <w:b/>
      <w:bCs/>
      <w:color w:val="000000"/>
      <w:sz w:val="30"/>
      <w:szCs w:val="30"/>
    </w:rPr>
  </w:style>
  <w:style w:type="character" w:customStyle="1" w:styleId="756">
    <w:name w:val="样式8 Char"/>
    <w:link w:val="351"/>
    <w:qFormat/>
    <w:uiPriority w:val="0"/>
    <w:rPr>
      <w:rFonts w:eastAsia="黑体"/>
      <w:b/>
      <w:sz w:val="21"/>
      <w:szCs w:val="21"/>
    </w:rPr>
  </w:style>
  <w:style w:type="character" w:customStyle="1" w:styleId="757">
    <w:name w:val="F1 Char"/>
    <w:link w:val="758"/>
    <w:qFormat/>
    <w:uiPriority w:val="0"/>
    <w:rPr>
      <w:rFonts w:ascii="EU-F1" w:eastAsia="黑体"/>
    </w:rPr>
  </w:style>
  <w:style w:type="paragraph" w:customStyle="1" w:styleId="758">
    <w:name w:val="F1"/>
    <w:basedOn w:val="616"/>
    <w:link w:val="757"/>
    <w:qFormat/>
    <w:uiPriority w:val="0"/>
    <w:pPr>
      <w:topLinePunct/>
    </w:pPr>
    <w:rPr>
      <w:kern w:val="0"/>
    </w:rPr>
  </w:style>
  <w:style w:type="character" w:customStyle="1" w:styleId="759">
    <w:name w:val="标题 Char1"/>
    <w:qFormat/>
    <w:uiPriority w:val="0"/>
    <w:rPr>
      <w:rFonts w:ascii="Cambria" w:hAnsi="Cambria" w:cs="Times New Roman"/>
      <w:b/>
      <w:bCs/>
      <w:kern w:val="2"/>
      <w:sz w:val="32"/>
      <w:szCs w:val="32"/>
    </w:rPr>
  </w:style>
  <w:style w:type="character" w:customStyle="1" w:styleId="760">
    <w:name w:val="Char Char7"/>
    <w:qFormat/>
    <w:uiPriority w:val="0"/>
    <w:rPr>
      <w:rFonts w:ascii="方正小标宋简体" w:hAnsi="宋体" w:eastAsia="方正小标宋简体"/>
      <w:b/>
      <w:bCs/>
      <w:color w:val="000000"/>
      <w:kern w:val="2"/>
      <w:sz w:val="44"/>
      <w:szCs w:val="44"/>
      <w:lang w:val="en-US" w:eastAsia="zh-CN" w:bidi="ar-SA"/>
    </w:rPr>
  </w:style>
  <w:style w:type="character" w:customStyle="1" w:styleId="761">
    <w:name w:val="wbtr_mn"/>
    <w:qFormat/>
    <w:uiPriority w:val="0"/>
  </w:style>
  <w:style w:type="character" w:customStyle="1" w:styleId="762">
    <w:name w:val="表内居两端对齐 Char Char"/>
    <w:qFormat/>
    <w:uiPriority w:val="0"/>
  </w:style>
  <w:style w:type="character" w:customStyle="1" w:styleId="763">
    <w:name w:val="正文 Char"/>
    <w:qFormat/>
    <w:uiPriority w:val="0"/>
    <w:rPr>
      <w:rFonts w:eastAsia="宋体" w:cs="宋体"/>
      <w:kern w:val="2"/>
      <w:sz w:val="21"/>
      <w:lang w:val="en-US" w:eastAsia="zh-CN" w:bidi="ar-SA"/>
    </w:rPr>
  </w:style>
  <w:style w:type="character" w:customStyle="1" w:styleId="764">
    <w:name w:val="正文格式 Char"/>
    <w:link w:val="765"/>
    <w:qFormat/>
    <w:uiPriority w:val="0"/>
    <w:rPr>
      <w:rFonts w:ascii="宋体" w:hAnsi="宋体"/>
    </w:rPr>
  </w:style>
  <w:style w:type="paragraph" w:customStyle="1" w:styleId="765">
    <w:name w:val="正文格式"/>
    <w:basedOn w:val="1"/>
    <w:link w:val="764"/>
    <w:qFormat/>
    <w:uiPriority w:val="0"/>
    <w:pPr>
      <w:topLinePunct/>
      <w:spacing w:line="360" w:lineRule="auto"/>
      <w:ind w:firstLine="420" w:firstLineChars="200"/>
    </w:pPr>
    <w:rPr>
      <w:rFonts w:ascii="宋体" w:hAnsi="宋体"/>
      <w:kern w:val="0"/>
      <w:sz w:val="20"/>
      <w:szCs w:val="20"/>
    </w:rPr>
  </w:style>
  <w:style w:type="character" w:customStyle="1" w:styleId="766">
    <w:name w:val="Char Char3"/>
    <w:qFormat/>
    <w:uiPriority w:val="0"/>
    <w:rPr>
      <w:kern w:val="2"/>
      <w:sz w:val="18"/>
    </w:rPr>
  </w:style>
  <w:style w:type="character" w:customStyle="1" w:styleId="767">
    <w:name w:val="font121"/>
    <w:qFormat/>
    <w:uiPriority w:val="0"/>
    <w:rPr>
      <w:rFonts w:hint="default"/>
      <w:sz w:val="18"/>
      <w:szCs w:val="18"/>
      <w:u w:val="none"/>
    </w:rPr>
  </w:style>
  <w:style w:type="character" w:customStyle="1" w:styleId="768">
    <w:name w:val="标题 4 Char Char"/>
    <w:qFormat/>
    <w:uiPriority w:val="0"/>
    <w:rPr>
      <w:rFonts w:ascii="宋体" w:hAnsi="宋体" w:eastAsia="宋体"/>
      <w:kern w:val="2"/>
      <w:sz w:val="24"/>
      <w:lang w:val="en-US" w:eastAsia="zh-CN"/>
    </w:rPr>
  </w:style>
  <w:style w:type="character" w:customStyle="1" w:styleId="769">
    <w:name w:val="正文1 Char"/>
    <w:link w:val="182"/>
    <w:qFormat/>
    <w:uiPriority w:val="0"/>
    <w:rPr>
      <w:rFonts w:ascii="宋体"/>
      <w:kern w:val="2"/>
      <w:sz w:val="21"/>
      <w:szCs w:val="21"/>
    </w:rPr>
  </w:style>
  <w:style w:type="character" w:customStyle="1" w:styleId="770">
    <w:name w:val="wang正文 Char"/>
    <w:link w:val="771"/>
    <w:qFormat/>
    <w:uiPriority w:val="0"/>
  </w:style>
  <w:style w:type="paragraph" w:customStyle="1" w:styleId="771">
    <w:name w:val="wang正文"/>
    <w:basedOn w:val="1"/>
    <w:link w:val="770"/>
    <w:qFormat/>
    <w:uiPriority w:val="0"/>
    <w:pPr>
      <w:tabs>
        <w:tab w:val="left" w:pos="6840"/>
      </w:tabs>
      <w:topLinePunct/>
      <w:spacing w:line="360" w:lineRule="auto"/>
      <w:ind w:firstLine="420"/>
    </w:pPr>
    <w:rPr>
      <w:kern w:val="0"/>
      <w:sz w:val="20"/>
      <w:szCs w:val="20"/>
    </w:rPr>
  </w:style>
  <w:style w:type="character" w:customStyle="1" w:styleId="772">
    <w:name w:val="Char Char2"/>
    <w:qFormat/>
    <w:uiPriority w:val="0"/>
    <w:rPr>
      <w:rFonts w:eastAsia="宋体"/>
      <w:b/>
      <w:kern w:val="44"/>
      <w:sz w:val="21"/>
      <w:lang w:val="en-US" w:eastAsia="zh-CN"/>
    </w:rPr>
  </w:style>
  <w:style w:type="character" w:customStyle="1" w:styleId="773">
    <w:name w:val="章标题 Char Char"/>
    <w:qFormat/>
    <w:uiPriority w:val="0"/>
    <w:rPr>
      <w:rFonts w:ascii="黑体" w:hAnsi="Times New Roman" w:eastAsia="黑体"/>
      <w:sz w:val="21"/>
      <w:lang w:val="en-US" w:eastAsia="zh-CN" w:bidi="ar-SA"/>
    </w:rPr>
  </w:style>
  <w:style w:type="character" w:customStyle="1" w:styleId="774">
    <w:name w:val="style91"/>
    <w:qFormat/>
    <w:uiPriority w:val="0"/>
    <w:rPr>
      <w:color w:val="FFFFFF"/>
      <w:sz w:val="21"/>
    </w:rPr>
  </w:style>
  <w:style w:type="character" w:customStyle="1" w:styleId="775">
    <w:name w:val="unnamed11"/>
    <w:qFormat/>
    <w:uiPriority w:val="0"/>
    <w:rPr>
      <w:spacing w:val="12"/>
      <w:sz w:val="22"/>
      <w:szCs w:val="22"/>
    </w:rPr>
  </w:style>
  <w:style w:type="character" w:customStyle="1" w:styleId="776">
    <w:name w:val="titel style3"/>
    <w:qFormat/>
    <w:uiPriority w:val="0"/>
  </w:style>
  <w:style w:type="character" w:customStyle="1" w:styleId="777">
    <w:name w:val="三级条标题 Char"/>
    <w:link w:val="778"/>
    <w:qFormat/>
    <w:uiPriority w:val="0"/>
    <w:rPr>
      <w:rFonts w:ascii="黑体" w:eastAsia="黑体"/>
    </w:rPr>
  </w:style>
  <w:style w:type="paragraph" w:customStyle="1" w:styleId="778">
    <w:name w:val="三级条标题"/>
    <w:basedOn w:val="639"/>
    <w:next w:val="642"/>
    <w:link w:val="777"/>
    <w:qFormat/>
    <w:uiPriority w:val="0"/>
    <w:pPr>
      <w:numPr>
        <w:ilvl w:val="4"/>
        <w:numId w:val="9"/>
      </w:numPr>
      <w:ind w:left="440"/>
    </w:pPr>
    <w:rPr>
      <w:rFonts w:ascii="黑体" w:eastAsia="黑体"/>
    </w:rPr>
  </w:style>
  <w:style w:type="character" w:customStyle="1" w:styleId="779">
    <w:name w:val="标题 5 Char1"/>
    <w:qFormat/>
    <w:uiPriority w:val="0"/>
    <w:rPr>
      <w:rFonts w:eastAsia="黑体"/>
      <w:kern w:val="2"/>
      <w:sz w:val="21"/>
    </w:rPr>
  </w:style>
  <w:style w:type="character" w:customStyle="1" w:styleId="780">
    <w:name w:val="表内居两端对齐 Char"/>
    <w:link w:val="781"/>
    <w:qFormat/>
    <w:uiPriority w:val="0"/>
  </w:style>
  <w:style w:type="paragraph" w:customStyle="1" w:styleId="781">
    <w:name w:val="表内居两端对齐"/>
    <w:basedOn w:val="720"/>
    <w:link w:val="780"/>
    <w:qFormat/>
    <w:uiPriority w:val="0"/>
    <w:pPr>
      <w:jc w:val="both"/>
    </w:pPr>
    <w:rPr>
      <w:rFonts w:cs="Times New Roman"/>
      <w:sz w:val="20"/>
      <w:szCs w:val="20"/>
    </w:rPr>
  </w:style>
  <w:style w:type="character" w:customStyle="1" w:styleId="782">
    <w:name w:val="样式 标题 2 + 小四 Char"/>
    <w:link w:val="783"/>
    <w:qFormat/>
    <w:uiPriority w:val="0"/>
    <w:rPr>
      <w:rFonts w:ascii="Arial" w:hAnsi="Arial"/>
      <w:b/>
      <w:sz w:val="24"/>
    </w:rPr>
  </w:style>
  <w:style w:type="paragraph" w:customStyle="1" w:styleId="783">
    <w:name w:val="样式 标题 2 + 小四"/>
    <w:basedOn w:val="4"/>
    <w:link w:val="782"/>
    <w:qFormat/>
    <w:uiPriority w:val="0"/>
    <w:pPr>
      <w:keepNext w:val="0"/>
      <w:tabs>
        <w:tab w:val="left" w:pos="420"/>
        <w:tab w:val="left" w:pos="501"/>
        <w:tab w:val="left" w:pos="576"/>
        <w:tab w:val="left" w:pos="6090"/>
      </w:tabs>
      <w:overflowPunct w:val="0"/>
      <w:autoSpaceDE w:val="0"/>
      <w:autoSpaceDN w:val="0"/>
      <w:adjustRightInd w:val="0"/>
      <w:spacing w:before="40" w:after="624" w:afterLines="200" w:line="480" w:lineRule="auto"/>
      <w:ind w:left="576" w:leftChars="-1" w:hanging="576"/>
      <w:textAlignment w:val="baseline"/>
    </w:pPr>
    <w:rPr>
      <w:bCs w:val="0"/>
      <w:sz w:val="24"/>
      <w:szCs w:val="20"/>
    </w:rPr>
  </w:style>
  <w:style w:type="character" w:customStyle="1" w:styleId="784">
    <w:name w:val="f Char Char"/>
    <w:qFormat/>
    <w:uiPriority w:val="0"/>
    <w:rPr>
      <w:rFonts w:eastAsia="宋体"/>
      <w:kern w:val="2"/>
      <w:sz w:val="18"/>
      <w:szCs w:val="18"/>
      <w:lang w:val="en-US" w:eastAsia="zh-CN" w:bidi="ar-SA"/>
    </w:rPr>
  </w:style>
  <w:style w:type="character" w:customStyle="1" w:styleId="785">
    <w:name w:val="样式 标题 3 + 宋体 Char"/>
    <w:link w:val="786"/>
    <w:qFormat/>
    <w:uiPriority w:val="0"/>
    <w:rPr>
      <w:rFonts w:ascii="宋体" w:hAnsi="宋体"/>
      <w:szCs w:val="21"/>
    </w:rPr>
  </w:style>
  <w:style w:type="paragraph" w:customStyle="1" w:styleId="786">
    <w:name w:val="样式 标题 3 + 宋体"/>
    <w:basedOn w:val="5"/>
    <w:link w:val="785"/>
    <w:qFormat/>
    <w:uiPriority w:val="0"/>
    <w:pPr>
      <w:keepNext w:val="0"/>
      <w:keepLines w:val="0"/>
      <w:tabs>
        <w:tab w:val="left" w:pos="1560"/>
      </w:tabs>
      <w:snapToGrid w:val="0"/>
      <w:spacing w:before="0" w:after="0"/>
      <w:ind w:left="360" w:firstLine="0" w:firstLineChars="0"/>
    </w:pPr>
    <w:rPr>
      <w:rFonts w:hAnsi="宋体"/>
      <w:b w:val="0"/>
      <w:bCs w:val="0"/>
      <w:sz w:val="20"/>
      <w:szCs w:val="21"/>
    </w:rPr>
  </w:style>
  <w:style w:type="character" w:customStyle="1" w:styleId="787">
    <w:name w:val="正文 + 宋体 Char"/>
    <w:qFormat/>
    <w:uiPriority w:val="0"/>
    <w:rPr>
      <w:rFonts w:ascii="Arial" w:hAnsi="Arial" w:eastAsia="宋体"/>
      <w:color w:val="000000"/>
      <w:kern w:val="2"/>
      <w:sz w:val="21"/>
      <w:lang w:val="en-US" w:eastAsia="zh-CN"/>
    </w:rPr>
  </w:style>
  <w:style w:type="character" w:customStyle="1" w:styleId="788">
    <w:name w:val="样式13 Char"/>
    <w:link w:val="789"/>
    <w:qFormat/>
    <w:uiPriority w:val="0"/>
    <w:rPr>
      <w:rFonts w:ascii="宋体"/>
      <w:sz w:val="18"/>
      <w:szCs w:val="18"/>
    </w:rPr>
  </w:style>
  <w:style w:type="paragraph" w:customStyle="1" w:styleId="789">
    <w:name w:val="样式13"/>
    <w:basedOn w:val="57"/>
    <w:link w:val="788"/>
    <w:qFormat/>
    <w:uiPriority w:val="0"/>
    <w:rPr>
      <w:rFonts w:ascii="宋体"/>
    </w:rPr>
  </w:style>
  <w:style w:type="character" w:customStyle="1" w:styleId="790">
    <w:name w:val="注释标题 Char1"/>
    <w:qFormat/>
    <w:uiPriority w:val="99"/>
    <w:rPr>
      <w:kern w:val="2"/>
      <w:sz w:val="21"/>
      <w:szCs w:val="24"/>
    </w:rPr>
  </w:style>
  <w:style w:type="character" w:customStyle="1" w:styleId="791">
    <w:name w:val="style241"/>
    <w:qFormat/>
    <w:uiPriority w:val="0"/>
    <w:rPr>
      <w:b/>
      <w:color w:val="564A4A"/>
      <w:sz w:val="21"/>
    </w:rPr>
  </w:style>
  <w:style w:type="character" w:customStyle="1" w:styleId="792">
    <w:name w:val="页码11"/>
    <w:qFormat/>
    <w:uiPriority w:val="0"/>
    <w:rPr>
      <w:rFonts w:ascii="Times New Roman" w:hAnsi="Times New Roman" w:eastAsia="宋体" w:cs="Times New Roman"/>
      <w:sz w:val="18"/>
    </w:rPr>
  </w:style>
  <w:style w:type="character" w:customStyle="1" w:styleId="793">
    <w:name w:val="批注主题 Char2"/>
    <w:qFormat/>
    <w:uiPriority w:val="99"/>
  </w:style>
  <w:style w:type="character" w:customStyle="1" w:styleId="794">
    <w:name w:val="D4 Char"/>
    <w:link w:val="795"/>
    <w:qFormat/>
    <w:uiPriority w:val="0"/>
  </w:style>
  <w:style w:type="paragraph" w:customStyle="1" w:styleId="795">
    <w:name w:val="D4"/>
    <w:basedOn w:val="771"/>
    <w:link w:val="794"/>
    <w:qFormat/>
    <w:uiPriority w:val="0"/>
    <w:pPr>
      <w:tabs>
        <w:tab w:val="clear" w:pos="6840"/>
      </w:tabs>
      <w:overflowPunct w:val="0"/>
      <w:spacing w:line="312" w:lineRule="exact"/>
      <w:ind w:left="840" w:leftChars="200" w:hanging="420" w:hangingChars="200"/>
    </w:pPr>
  </w:style>
  <w:style w:type="character" w:customStyle="1" w:styleId="796">
    <w:name w:val="Char Char Char Char Char"/>
    <w:link w:val="513"/>
    <w:qFormat/>
    <w:uiPriority w:val="0"/>
    <w:rPr>
      <w:rFonts w:ascii="Verdana" w:hAnsi="Verdana" w:eastAsia="仿宋_GB2312"/>
      <w:sz w:val="24"/>
      <w:lang w:eastAsia="en-US"/>
    </w:rPr>
  </w:style>
  <w:style w:type="character" w:customStyle="1" w:styleId="797">
    <w:name w:val="HTML 缩写1"/>
    <w:qFormat/>
    <w:uiPriority w:val="0"/>
  </w:style>
  <w:style w:type="character" w:customStyle="1" w:styleId="798">
    <w:name w:val="副标题 Char1"/>
    <w:qFormat/>
    <w:uiPriority w:val="0"/>
    <w:rPr>
      <w:rFonts w:ascii="Cambria" w:hAnsi="Cambria" w:cs="Times New Roman"/>
      <w:b/>
      <w:bCs/>
      <w:kern w:val="28"/>
      <w:sz w:val="32"/>
      <w:szCs w:val="32"/>
    </w:rPr>
  </w:style>
  <w:style w:type="character" w:customStyle="1" w:styleId="799">
    <w:name w:val="纯文本 Char1"/>
    <w:qFormat/>
    <w:uiPriority w:val="0"/>
    <w:rPr>
      <w:rFonts w:ascii="宋体" w:hAnsi="Courier New" w:cs="Courier New"/>
      <w:kern w:val="2"/>
      <w:sz w:val="21"/>
      <w:szCs w:val="21"/>
    </w:rPr>
  </w:style>
  <w:style w:type="character" w:customStyle="1" w:styleId="800">
    <w:name w:val="样式14 Char"/>
    <w:link w:val="801"/>
    <w:qFormat/>
    <w:uiPriority w:val="0"/>
    <w:rPr>
      <w:rFonts w:ascii="宋体"/>
      <w:sz w:val="18"/>
      <w:szCs w:val="18"/>
    </w:rPr>
  </w:style>
  <w:style w:type="paragraph" w:customStyle="1" w:styleId="801">
    <w:name w:val="样式14"/>
    <w:basedOn w:val="57"/>
    <w:link w:val="800"/>
    <w:qFormat/>
    <w:uiPriority w:val="0"/>
    <w:rPr>
      <w:rFonts w:ascii="宋体"/>
    </w:rPr>
  </w:style>
  <w:style w:type="character" w:customStyle="1" w:styleId="802">
    <w:name w:val="正文缩进 Char1"/>
    <w:qFormat/>
    <w:uiPriority w:val="0"/>
    <w:rPr>
      <w:rFonts w:eastAsia="宋体"/>
      <w:kern w:val="2"/>
      <w:sz w:val="21"/>
      <w:lang w:val="en-US" w:eastAsia="zh-CN"/>
    </w:rPr>
  </w:style>
  <w:style w:type="character" w:customStyle="1" w:styleId="803">
    <w:name w:val="gray white style8 style21"/>
    <w:qFormat/>
    <w:uiPriority w:val="0"/>
  </w:style>
  <w:style w:type="character" w:customStyle="1" w:styleId="804">
    <w:name w:val="EmailStyle1381"/>
    <w:qFormat/>
    <w:uiPriority w:val="0"/>
    <w:rPr>
      <w:rFonts w:ascii="Arial" w:hAnsi="Arial" w:eastAsia="宋体" w:cs="Arial"/>
      <w:color w:val="auto"/>
      <w:sz w:val="20"/>
    </w:rPr>
  </w:style>
  <w:style w:type="paragraph" w:customStyle="1" w:styleId="805">
    <w:name w:val="表格空行_制度头表格"/>
    <w:basedOn w:val="806"/>
    <w:qFormat/>
    <w:uiPriority w:val="0"/>
    <w:pPr>
      <w:tabs>
        <w:tab w:val="left" w:pos="2960"/>
      </w:tabs>
      <w:jc w:val="both"/>
    </w:pPr>
    <w:rPr>
      <w:rFonts w:eastAsia="黑体"/>
      <w:sz w:val="11"/>
      <w:szCs w:val="30"/>
    </w:rPr>
  </w:style>
  <w:style w:type="paragraph" w:customStyle="1" w:styleId="806">
    <w:name w:val="表格标题正常_制度头表格"/>
    <w:qFormat/>
    <w:uiPriority w:val="0"/>
    <w:pPr>
      <w:jc w:val="center"/>
    </w:pPr>
    <w:rPr>
      <w:rFonts w:ascii="Times New Roman" w:hAnsi="Times New Roman" w:eastAsia="宋体" w:cs="Times New Roman"/>
      <w:sz w:val="21"/>
      <w:lang w:val="en-US" w:eastAsia="zh-CN" w:bidi="ar-SA"/>
    </w:rPr>
  </w:style>
  <w:style w:type="paragraph" w:customStyle="1" w:styleId="807">
    <w:name w:val="xl9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360" w:lineRule="auto"/>
      <w:jc w:val="center"/>
      <w:textAlignment w:val="center"/>
    </w:pPr>
    <w:rPr>
      <w:rFonts w:ascii="宋体" w:hAnsi="宋体"/>
      <w:b/>
      <w:kern w:val="0"/>
      <w:sz w:val="24"/>
      <w:szCs w:val="20"/>
    </w:rPr>
  </w:style>
  <w:style w:type="paragraph" w:customStyle="1" w:styleId="808">
    <w:name w:val="一级无标题条"/>
    <w:basedOn w:val="1"/>
    <w:qFormat/>
    <w:uiPriority w:val="0"/>
    <w:pPr>
      <w:tabs>
        <w:tab w:val="left" w:pos="420"/>
        <w:tab w:val="left" w:pos="900"/>
      </w:tabs>
      <w:spacing w:line="360" w:lineRule="auto"/>
      <w:ind w:left="1035" w:hanging="1035"/>
    </w:pPr>
    <w:rPr>
      <w:rFonts w:ascii="宋体" w:hAnsi="宋体"/>
      <w:szCs w:val="20"/>
    </w:rPr>
  </w:style>
  <w:style w:type="paragraph" w:customStyle="1" w:styleId="809">
    <w:name w:val="CM33"/>
    <w:basedOn w:val="221"/>
    <w:next w:val="221"/>
    <w:qFormat/>
    <w:uiPriority w:val="0"/>
  </w:style>
  <w:style w:type="paragraph" w:customStyle="1" w:styleId="810">
    <w:name w:val="Char Char Char Char Char Char Char Char Char Char Char Char"/>
    <w:basedOn w:val="1"/>
    <w:qFormat/>
    <w:uiPriority w:val="0"/>
    <w:pPr>
      <w:spacing w:line="360" w:lineRule="auto"/>
    </w:pPr>
    <w:rPr>
      <w:rFonts w:ascii="Tahoma" w:hAnsi="Tahoma"/>
      <w:sz w:val="24"/>
      <w:szCs w:val="20"/>
    </w:rPr>
  </w:style>
  <w:style w:type="paragraph" w:customStyle="1" w:styleId="81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12">
    <w:name w:val="五级条标题"/>
    <w:basedOn w:val="813"/>
    <w:next w:val="642"/>
    <w:qFormat/>
    <w:uiPriority w:val="0"/>
    <w:pPr>
      <w:numPr>
        <w:ilvl w:val="6"/>
      </w:numPr>
      <w:tabs>
        <w:tab w:val="left" w:pos="312"/>
      </w:tabs>
    </w:pPr>
  </w:style>
  <w:style w:type="paragraph" w:customStyle="1" w:styleId="813">
    <w:name w:val="四级条标题"/>
    <w:basedOn w:val="778"/>
    <w:next w:val="642"/>
    <w:qFormat/>
    <w:uiPriority w:val="0"/>
    <w:pPr>
      <w:numPr>
        <w:ilvl w:val="5"/>
      </w:numPr>
      <w:outlineLvl w:val="5"/>
    </w:pPr>
  </w:style>
  <w:style w:type="paragraph" w:customStyle="1" w:styleId="814">
    <w:name w:val="封面标题"/>
    <w:basedOn w:val="1"/>
    <w:qFormat/>
    <w:uiPriority w:val="0"/>
    <w:pPr>
      <w:spacing w:line="360" w:lineRule="auto"/>
      <w:jc w:val="center"/>
    </w:pPr>
    <w:rPr>
      <w:rFonts w:eastAsia="黑体"/>
      <w:sz w:val="48"/>
      <w:szCs w:val="20"/>
    </w:rPr>
  </w:style>
  <w:style w:type="paragraph" w:customStyle="1" w:styleId="815">
    <w:name w:val="标题1－前"/>
    <w:basedOn w:val="3"/>
    <w:qFormat/>
    <w:uiPriority w:val="0"/>
    <w:pPr>
      <w:keepNext w:val="0"/>
      <w:tabs>
        <w:tab w:val="left" w:pos="360"/>
      </w:tabs>
      <w:topLinePunct/>
      <w:autoSpaceDE/>
      <w:autoSpaceDN/>
      <w:adjustRightInd/>
      <w:snapToGrid w:val="0"/>
      <w:spacing w:line="360" w:lineRule="exact"/>
      <w:jc w:val="both"/>
    </w:pPr>
    <w:rPr>
      <w:rFonts w:ascii="Times New Roman" w:eastAsia="宋体"/>
      <w:color w:val="auto"/>
      <w:kern w:val="28"/>
      <w:sz w:val="28"/>
      <w:szCs w:val="28"/>
    </w:rPr>
  </w:style>
  <w:style w:type="paragraph" w:customStyle="1" w:styleId="816">
    <w:name w:val="缺省文本"/>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817">
    <w:name w:val="xl86"/>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宋体" w:hAnsi="宋体"/>
      <w:b/>
      <w:kern w:val="0"/>
      <w:sz w:val="24"/>
      <w:szCs w:val="20"/>
    </w:rPr>
  </w:style>
  <w:style w:type="paragraph" w:customStyle="1" w:styleId="818">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19">
    <w:name w:val="Char Char Char Char Char Char Char Char Char Char Char Char Char Char"/>
    <w:basedOn w:val="1"/>
    <w:qFormat/>
    <w:uiPriority w:val="0"/>
    <w:pPr>
      <w:spacing w:line="360" w:lineRule="auto"/>
    </w:pPr>
    <w:rPr>
      <w:szCs w:val="20"/>
    </w:rPr>
  </w:style>
  <w:style w:type="paragraph" w:customStyle="1" w:styleId="820">
    <w:name w:val="自定义标题1"/>
    <w:next w:val="1"/>
    <w:qFormat/>
    <w:uiPriority w:val="0"/>
    <w:pPr>
      <w:numPr>
        <w:ilvl w:val="0"/>
        <w:numId w:val="11"/>
      </w:numPr>
      <w:spacing w:line="360" w:lineRule="auto"/>
      <w:outlineLvl w:val="0"/>
    </w:pPr>
    <w:rPr>
      <w:rFonts w:ascii="宋体" w:hAnsi="宋体" w:eastAsia="宋体" w:cs="Times New Roman"/>
      <w:b/>
      <w:kern w:val="44"/>
      <w:sz w:val="24"/>
      <w:lang w:val="en-US" w:eastAsia="zh-CN" w:bidi="ar-SA"/>
    </w:rPr>
  </w:style>
  <w:style w:type="paragraph" w:customStyle="1" w:styleId="821">
    <w:name w:val="Fft"/>
    <w:basedOn w:val="1"/>
    <w:qFormat/>
    <w:uiPriority w:val="0"/>
    <w:pPr>
      <w:spacing w:before="500" w:after="180" w:line="360" w:lineRule="auto"/>
      <w:jc w:val="center"/>
    </w:pPr>
    <w:rPr>
      <w:rFonts w:eastAsia="黑体"/>
      <w:color w:val="000000"/>
      <w:szCs w:val="20"/>
    </w:rPr>
  </w:style>
  <w:style w:type="paragraph" w:customStyle="1" w:styleId="82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82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4">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left"/>
      <w:textAlignment w:val="center"/>
    </w:pPr>
    <w:rPr>
      <w:rFonts w:ascii="宋体" w:hAnsi="宋体"/>
      <w:kern w:val="0"/>
      <w:sz w:val="24"/>
      <w:szCs w:val="20"/>
    </w:rPr>
  </w:style>
  <w:style w:type="paragraph" w:customStyle="1" w:styleId="825">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pPr>
    <w:rPr>
      <w:rFonts w:ascii="宋体" w:hAnsi="宋体"/>
      <w:b/>
      <w:kern w:val="0"/>
      <w:sz w:val="24"/>
      <w:szCs w:val="20"/>
    </w:rPr>
  </w:style>
  <w:style w:type="paragraph" w:customStyle="1" w:styleId="826">
    <w:name w:val="正文 1"/>
    <w:basedOn w:val="1"/>
    <w:qFormat/>
    <w:uiPriority w:val="0"/>
    <w:pPr>
      <w:widowControl/>
      <w:adjustRightInd w:val="0"/>
      <w:snapToGrid w:val="0"/>
      <w:spacing w:before="30" w:after="30" w:line="300" w:lineRule="auto"/>
      <w:ind w:left="680"/>
    </w:pPr>
    <w:rPr>
      <w:sz w:val="18"/>
      <w:szCs w:val="20"/>
    </w:rPr>
  </w:style>
  <w:style w:type="paragraph" w:customStyle="1" w:styleId="827">
    <w:name w:val="123"/>
    <w:basedOn w:val="84"/>
    <w:qFormat/>
    <w:uiPriority w:val="0"/>
  </w:style>
  <w:style w:type="paragraph" w:customStyle="1" w:styleId="828">
    <w:name w:val="Знак Знак Знак"/>
    <w:basedOn w:val="33"/>
    <w:next w:val="33"/>
    <w:qFormat/>
    <w:uiPriority w:val="0"/>
  </w:style>
  <w:style w:type="paragraph" w:customStyle="1" w:styleId="829">
    <w:name w:val="xl70"/>
    <w:basedOn w:val="1"/>
    <w:qFormat/>
    <w:uiPriority w:val="0"/>
    <w:pPr>
      <w:widowControl/>
      <w:pBdr>
        <w:top w:val="single" w:color="auto" w:sz="4" w:space="0"/>
        <w:left w:val="single" w:color="auto" w:sz="4" w:space="0"/>
      </w:pBdr>
      <w:spacing w:before="100" w:beforeAutospacing="1" w:after="100" w:afterAutospacing="1" w:line="360" w:lineRule="auto"/>
      <w:jc w:val="left"/>
      <w:textAlignment w:val="center"/>
    </w:pPr>
    <w:rPr>
      <w:rFonts w:ascii="宋体" w:hAnsi="宋体"/>
      <w:kern w:val="0"/>
      <w:sz w:val="24"/>
      <w:szCs w:val="20"/>
    </w:rPr>
  </w:style>
  <w:style w:type="paragraph" w:customStyle="1" w:styleId="830">
    <w:name w:val="xl85"/>
    <w:basedOn w:val="1"/>
    <w:qFormat/>
    <w:uiPriority w:val="0"/>
    <w:pPr>
      <w:widowControl/>
      <w:pBdr>
        <w:left w:val="single" w:color="auto" w:sz="4" w:space="0"/>
        <w:bottom w:val="single" w:color="auto" w:sz="4" w:space="0"/>
      </w:pBdr>
      <w:spacing w:before="100" w:beforeAutospacing="1" w:after="100" w:afterAutospacing="1" w:line="360" w:lineRule="auto"/>
      <w:jc w:val="center"/>
    </w:pPr>
    <w:rPr>
      <w:rFonts w:ascii="宋体" w:hAnsi="宋体"/>
      <w:b/>
      <w:kern w:val="0"/>
      <w:sz w:val="24"/>
      <w:szCs w:val="20"/>
    </w:rPr>
  </w:style>
  <w:style w:type="paragraph" w:customStyle="1" w:styleId="831">
    <w:name w:val="xl139"/>
    <w:basedOn w:val="1"/>
    <w:qFormat/>
    <w:uiPriority w:val="0"/>
    <w:pPr>
      <w:widowControl/>
      <w:pBdr>
        <w:left w:val="single" w:color="auto" w:sz="8" w:space="0"/>
      </w:pBdr>
      <w:spacing w:before="100" w:beforeAutospacing="1" w:after="100" w:afterAutospacing="1" w:line="360" w:lineRule="auto"/>
      <w:jc w:val="center"/>
      <w:textAlignment w:val="center"/>
    </w:pPr>
    <w:rPr>
      <w:rFonts w:ascii="Arial" w:hAnsi="Arial"/>
      <w:b/>
      <w:kern w:val="0"/>
      <w:sz w:val="24"/>
      <w:szCs w:val="20"/>
    </w:rPr>
  </w:style>
  <w:style w:type="paragraph" w:customStyle="1" w:styleId="832">
    <w:name w:val="表格内字体字号"/>
    <w:basedOn w:val="1"/>
    <w:qFormat/>
    <w:uiPriority w:val="0"/>
    <w:pPr>
      <w:topLinePunct/>
      <w:snapToGrid w:val="0"/>
      <w:spacing w:before="62" w:beforeLines="20" w:after="62" w:afterLines="20" w:line="360" w:lineRule="auto"/>
      <w:ind w:left="30" w:leftChars="30" w:right="30" w:rightChars="30"/>
      <w:jc w:val="center"/>
    </w:pPr>
    <w:rPr>
      <w:sz w:val="18"/>
      <w:szCs w:val="20"/>
    </w:rPr>
  </w:style>
  <w:style w:type="paragraph" w:customStyle="1" w:styleId="833">
    <w:name w:val="case3"/>
    <w:basedOn w:val="1"/>
    <w:qFormat/>
    <w:uiPriority w:val="0"/>
    <w:pPr>
      <w:widowControl/>
      <w:spacing w:before="100" w:beforeAutospacing="1" w:after="100" w:afterAutospacing="1" w:line="390" w:lineRule="atLeast"/>
      <w:jc w:val="left"/>
    </w:pPr>
    <w:rPr>
      <w:rFonts w:hint="eastAsia" w:ascii="宋体" w:hAnsi="宋体"/>
      <w:color w:val="000000"/>
      <w:kern w:val="0"/>
      <w:szCs w:val="21"/>
    </w:rPr>
  </w:style>
  <w:style w:type="paragraph" w:customStyle="1" w:styleId="834">
    <w:name w:val="附录一级条标题"/>
    <w:basedOn w:val="835"/>
    <w:next w:val="1"/>
    <w:qFormat/>
    <w:uiPriority w:val="0"/>
    <w:pPr>
      <w:autoSpaceDN w:val="0"/>
      <w:spacing w:before="0" w:beforeLines="0" w:after="0" w:afterLines="0"/>
      <w:outlineLvl w:val="2"/>
    </w:pPr>
  </w:style>
  <w:style w:type="paragraph" w:customStyle="1" w:styleId="835">
    <w:name w:val="附录章标题"/>
    <w:next w:val="1"/>
    <w:qFormat/>
    <w:uiPriority w:val="0"/>
    <w:p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36">
    <w:name w:val="样式 标题 2 + 黑体 段前: 10.25 磅 段后: 10.25 磅 行距: 单倍行距"/>
    <w:basedOn w:val="4"/>
    <w:qFormat/>
    <w:uiPriority w:val="0"/>
    <w:pPr>
      <w:tabs>
        <w:tab w:val="left" w:pos="420"/>
        <w:tab w:val="left" w:pos="576"/>
        <w:tab w:val="left" w:pos="6090"/>
      </w:tabs>
      <w:adjustRightInd w:val="0"/>
      <w:spacing w:before="156" w:beforeLines="50" w:after="156" w:afterLines="50" w:line="240" w:lineRule="auto"/>
      <w:ind w:left="-2" w:leftChars="-1"/>
      <w:textAlignment w:val="baseline"/>
    </w:pPr>
    <w:rPr>
      <w:rFonts w:ascii="黑体" w:hAnsi="黑体" w:eastAsia="黑体"/>
      <w:b w:val="0"/>
      <w:bCs w:val="0"/>
      <w:snapToGrid w:val="0"/>
      <w:color w:val="000000"/>
      <w:sz w:val="21"/>
      <w:szCs w:val="20"/>
    </w:rPr>
  </w:style>
  <w:style w:type="paragraph" w:customStyle="1" w:styleId="837">
    <w:name w:val="l18"/>
    <w:basedOn w:val="1"/>
    <w:qFormat/>
    <w:uiPriority w:val="0"/>
    <w:pPr>
      <w:widowControl/>
      <w:spacing w:before="100" w:beforeAutospacing="1" w:after="100" w:afterAutospacing="1" w:line="408" w:lineRule="auto"/>
      <w:ind w:firstLine="400"/>
      <w:jc w:val="left"/>
    </w:pPr>
    <w:rPr>
      <w:rFonts w:ascii="宋体" w:hAnsi="宋体"/>
      <w:color w:val="000000"/>
      <w:kern w:val="0"/>
      <w:sz w:val="22"/>
      <w:szCs w:val="20"/>
    </w:rPr>
  </w:style>
  <w:style w:type="paragraph" w:customStyle="1" w:styleId="838">
    <w:name w:val="表格标题"/>
    <w:basedOn w:val="1"/>
    <w:qFormat/>
    <w:uiPriority w:val="0"/>
    <w:pPr>
      <w:widowControl/>
      <w:tabs>
        <w:tab w:val="left" w:pos="480"/>
      </w:tabs>
      <w:autoSpaceDE w:val="0"/>
      <w:autoSpaceDN w:val="0"/>
      <w:adjustRightInd w:val="0"/>
      <w:spacing w:before="156" w:beforeLines="50" w:line="360" w:lineRule="auto"/>
      <w:jc w:val="center"/>
    </w:pPr>
    <w:rPr>
      <w:rFonts w:eastAsia="楷体_GB2312"/>
      <w:b/>
      <w:sz w:val="24"/>
      <w:szCs w:val="20"/>
    </w:rPr>
  </w:style>
  <w:style w:type="paragraph" w:customStyle="1" w:styleId="839">
    <w:name w:val="Char Char Char Char Char Char Char Char Char Char Char Char1"/>
    <w:basedOn w:val="1"/>
    <w:qFormat/>
    <w:uiPriority w:val="0"/>
    <w:pPr>
      <w:spacing w:line="360" w:lineRule="auto"/>
    </w:pPr>
    <w:rPr>
      <w:rFonts w:ascii="Tahoma" w:hAnsi="Tahoma"/>
      <w:sz w:val="24"/>
      <w:szCs w:val="20"/>
    </w:rPr>
  </w:style>
  <w:style w:type="paragraph" w:customStyle="1" w:styleId="840">
    <w:name w:val="正文缩进1"/>
    <w:basedOn w:val="1"/>
    <w:qFormat/>
    <w:uiPriority w:val="0"/>
    <w:pPr>
      <w:spacing w:line="360" w:lineRule="auto"/>
      <w:ind w:firstLine="420" w:firstLineChars="200"/>
    </w:pPr>
    <w:rPr>
      <w:kern w:val="0"/>
      <w:sz w:val="20"/>
      <w:szCs w:val="20"/>
    </w:rPr>
  </w:style>
  <w:style w:type="paragraph" w:customStyle="1" w:styleId="841">
    <w:name w:val="标题2.2"/>
    <w:basedOn w:val="4"/>
    <w:qFormat/>
    <w:uiPriority w:val="0"/>
    <w:pPr>
      <w:keepNext w:val="0"/>
      <w:widowControl/>
      <w:tabs>
        <w:tab w:val="left" w:pos="425"/>
        <w:tab w:val="left" w:pos="6090"/>
      </w:tabs>
      <w:overflowPunct w:val="0"/>
      <w:autoSpaceDE w:val="0"/>
      <w:autoSpaceDN w:val="0"/>
      <w:adjustRightInd w:val="0"/>
      <w:spacing w:before="0" w:after="0" w:line="240" w:lineRule="auto"/>
      <w:ind w:left="425" w:leftChars="-1" w:hanging="425"/>
      <w:jc w:val="both"/>
      <w:textAlignment w:val="baseline"/>
    </w:pPr>
    <w:rPr>
      <w:bCs w:val="0"/>
      <w:snapToGrid w:val="0"/>
      <w:color w:val="0000FF"/>
      <w:szCs w:val="20"/>
    </w:rPr>
  </w:style>
  <w:style w:type="paragraph" w:customStyle="1" w:styleId="84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ascii="宋体" w:hAnsi="宋体"/>
      <w:kern w:val="0"/>
      <w:sz w:val="24"/>
      <w:szCs w:val="20"/>
    </w:rPr>
  </w:style>
  <w:style w:type="paragraph" w:customStyle="1" w:styleId="844">
    <w:name w:val="样式 标题 1 + (符号) 宋体 四号 段前: 0 磅 段后: 0 磅 行距: 1.5 倍行距"/>
    <w:basedOn w:val="3"/>
    <w:qFormat/>
    <w:uiPriority w:val="0"/>
    <w:pPr>
      <w:keepNext w:val="0"/>
      <w:keepLines/>
      <w:autoSpaceDE/>
      <w:autoSpaceDN/>
      <w:adjustRightInd/>
      <w:spacing w:line="360" w:lineRule="auto"/>
      <w:jc w:val="center"/>
    </w:pPr>
    <w:rPr>
      <w:rFonts w:ascii="宋体" w:hAnsi="宋体" w:eastAsia="宋体" w:cs="宋体"/>
      <w:kern w:val="44"/>
      <w:sz w:val="36"/>
    </w:rPr>
  </w:style>
  <w:style w:type="paragraph" w:customStyle="1" w:styleId="845">
    <w:name w:val="封面标准代替信息"/>
    <w:basedOn w:val="846"/>
    <w:qFormat/>
    <w:uiPriority w:val="0"/>
    <w:pPr>
      <w:spacing w:before="57"/>
    </w:pPr>
    <w:rPr>
      <w:rFonts w:ascii="宋体"/>
      <w:sz w:val="21"/>
    </w:rPr>
  </w:style>
  <w:style w:type="paragraph" w:customStyle="1" w:styleId="846">
    <w:name w:val="封面标准号2"/>
    <w:basedOn w:val="847"/>
    <w:qFormat/>
    <w:uiPriority w:val="0"/>
    <w:pPr>
      <w:adjustRightInd w:val="0"/>
      <w:spacing w:before="357" w:line="280" w:lineRule="exact"/>
    </w:pPr>
  </w:style>
  <w:style w:type="paragraph" w:customStyle="1" w:styleId="8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8">
    <w:name w:val="正文文本 21"/>
    <w:basedOn w:val="1"/>
    <w:qFormat/>
    <w:uiPriority w:val="0"/>
    <w:pPr>
      <w:adjustRightInd w:val="0"/>
      <w:spacing w:before="120" w:after="120" w:line="150" w:lineRule="atLeast"/>
      <w:ind w:firstLine="556"/>
      <w:jc w:val="left"/>
      <w:textAlignment w:val="baseline"/>
    </w:pPr>
    <w:rPr>
      <w:rFonts w:ascii="宋体"/>
      <w:kern w:val="0"/>
      <w:sz w:val="24"/>
      <w:szCs w:val="20"/>
    </w:rPr>
  </w:style>
  <w:style w:type="paragraph" w:customStyle="1" w:styleId="849">
    <w:name w:val="注"/>
    <w:basedOn w:val="1"/>
    <w:qFormat/>
    <w:uiPriority w:val="0"/>
    <w:pPr>
      <w:spacing w:line="360" w:lineRule="auto"/>
      <w:ind w:left="200" w:hanging="200" w:hangingChars="200"/>
    </w:pPr>
    <w:rPr>
      <w:rFonts w:ascii="宋体" w:hAnsi="宋体"/>
      <w:b/>
      <w:szCs w:val="20"/>
    </w:rPr>
  </w:style>
  <w:style w:type="paragraph" w:customStyle="1" w:styleId="85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851">
    <w:name w:val="范本使用说明"/>
    <w:basedOn w:val="1"/>
    <w:qFormat/>
    <w:uiPriority w:val="0"/>
    <w:pPr>
      <w:spacing w:line="360" w:lineRule="auto"/>
      <w:jc w:val="center"/>
    </w:pPr>
    <w:rPr>
      <w:rFonts w:ascii="黑体" w:eastAsia="黑体"/>
      <w:b/>
      <w:sz w:val="32"/>
      <w:szCs w:val="32"/>
    </w:rPr>
  </w:style>
  <w:style w:type="paragraph" w:customStyle="1" w:styleId="852">
    <w:name w:val="xl93"/>
    <w:basedOn w:val="1"/>
    <w:qFormat/>
    <w:uiPriority w:val="0"/>
    <w:pPr>
      <w:widowControl/>
      <w:pBdr>
        <w:top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2"/>
      <w:szCs w:val="20"/>
    </w:rPr>
  </w:style>
  <w:style w:type="paragraph" w:customStyle="1" w:styleId="853">
    <w:name w:val="术语定义二级条标题"/>
    <w:basedOn w:val="854"/>
    <w:next w:val="6"/>
    <w:qFormat/>
    <w:uiPriority w:val="0"/>
    <w:pPr>
      <w:widowControl w:val="0"/>
      <w:tabs>
        <w:tab w:val="left" w:pos="420"/>
        <w:tab w:val="left" w:pos="6090"/>
      </w:tabs>
      <w:ind w:left="0" w:firstLine="0"/>
      <w:jc w:val="both"/>
    </w:pPr>
    <w:rPr>
      <w:rFonts w:ascii="Times New Roman" w:eastAsia="宋体"/>
      <w:b w:val="0"/>
      <w:snapToGrid/>
      <w:color w:val="auto"/>
      <w:kern w:val="2"/>
      <w:szCs w:val="24"/>
    </w:rPr>
  </w:style>
  <w:style w:type="paragraph" w:customStyle="1" w:styleId="854">
    <w:name w:val="术语定义条标题"/>
    <w:basedOn w:val="4"/>
    <w:next w:val="6"/>
    <w:qFormat/>
    <w:uiPriority w:val="0"/>
    <w:pPr>
      <w:keepNext w:val="0"/>
      <w:keepLines w:val="0"/>
      <w:widowControl/>
      <w:tabs>
        <w:tab w:val="left" w:pos="420"/>
        <w:tab w:val="left" w:pos="6090"/>
      </w:tabs>
      <w:spacing w:before="0" w:after="0" w:line="240" w:lineRule="auto"/>
      <w:ind w:left="1425" w:leftChars="-1" w:hanging="720"/>
      <w:outlineLvl w:val="9"/>
    </w:pPr>
    <w:rPr>
      <w:rFonts w:ascii="黑体" w:hAnsi="Times New Roman" w:eastAsia="黑体"/>
      <w:bCs w:val="0"/>
      <w:snapToGrid w:val="0"/>
      <w:color w:val="000000"/>
      <w:sz w:val="21"/>
      <w:szCs w:val="20"/>
    </w:rPr>
  </w:style>
  <w:style w:type="paragraph" w:customStyle="1" w:styleId="855">
    <w:name w:val="文档结构图1"/>
    <w:basedOn w:val="1"/>
    <w:qFormat/>
    <w:uiPriority w:val="0"/>
    <w:pPr>
      <w:shd w:val="clear" w:color="auto" w:fill="000080"/>
      <w:adjustRightInd w:val="0"/>
      <w:spacing w:line="360" w:lineRule="auto"/>
      <w:jc w:val="left"/>
      <w:textAlignment w:val="baseline"/>
    </w:pPr>
    <w:rPr>
      <w:rFonts w:ascii="宋体"/>
      <w:kern w:val="0"/>
      <w:sz w:val="34"/>
      <w:szCs w:val="20"/>
    </w:rPr>
  </w:style>
  <w:style w:type="paragraph" w:customStyle="1" w:styleId="856">
    <w:name w:val="xl9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360" w:lineRule="auto"/>
      <w:jc w:val="center"/>
    </w:pPr>
    <w:rPr>
      <w:rFonts w:ascii="宋体" w:hAnsi="宋体"/>
      <w:kern w:val="0"/>
      <w:sz w:val="24"/>
      <w:szCs w:val="20"/>
    </w:rPr>
  </w:style>
  <w:style w:type="paragraph" w:customStyle="1" w:styleId="857">
    <w:name w:val="附件"/>
    <w:basedOn w:val="1"/>
    <w:qFormat/>
    <w:uiPriority w:val="0"/>
    <w:pPr>
      <w:numPr>
        <w:ilvl w:val="0"/>
        <w:numId w:val="12"/>
      </w:numPr>
      <w:tabs>
        <w:tab w:val="left" w:pos="420"/>
      </w:tabs>
      <w:spacing w:before="156" w:beforeLines="50" w:line="360" w:lineRule="auto"/>
    </w:pPr>
    <w:rPr>
      <w:rFonts w:ascii="宋体"/>
      <w:b/>
      <w:sz w:val="28"/>
      <w:szCs w:val="20"/>
    </w:rPr>
  </w:style>
  <w:style w:type="paragraph" w:customStyle="1" w:styleId="858">
    <w:name w:val="Char Char Char Char Char Char Char Char Char Char Char Char11"/>
    <w:basedOn w:val="1"/>
    <w:qFormat/>
    <w:uiPriority w:val="0"/>
    <w:pPr>
      <w:spacing w:line="360" w:lineRule="auto"/>
    </w:pPr>
    <w:rPr>
      <w:rFonts w:ascii="Tahoma" w:hAnsi="Tahoma"/>
      <w:sz w:val="24"/>
      <w:szCs w:val="20"/>
    </w:rPr>
  </w:style>
  <w:style w:type="paragraph" w:customStyle="1" w:styleId="859">
    <w:name w:val="注："/>
    <w:next w:val="6"/>
    <w:qFormat/>
    <w:uiPriority w:val="0"/>
    <w:pPr>
      <w:widowControl w:val="0"/>
      <w:tabs>
        <w:tab w:val="left" w:pos="432"/>
      </w:tabs>
      <w:autoSpaceDE w:val="0"/>
      <w:autoSpaceDN w:val="0"/>
      <w:ind w:left="432" w:hanging="432"/>
      <w:jc w:val="both"/>
    </w:pPr>
    <w:rPr>
      <w:rFonts w:ascii="宋体" w:hAnsi="Times New Roman" w:eastAsia="宋体" w:cs="Times New Roman"/>
      <w:sz w:val="18"/>
      <w:lang w:val="en-US" w:eastAsia="zh-CN" w:bidi="ar-SA"/>
    </w:rPr>
  </w:style>
  <w:style w:type="paragraph" w:customStyle="1" w:styleId="860">
    <w:name w:val="a"/>
    <w:basedOn w:val="1"/>
    <w:qFormat/>
    <w:uiPriority w:val="0"/>
    <w:pPr>
      <w:adjustRightInd w:val="0"/>
      <w:spacing w:before="60" w:after="60" w:line="315" w:lineRule="atLeast"/>
      <w:jc w:val="left"/>
      <w:textAlignment w:val="baseline"/>
    </w:pPr>
    <w:rPr>
      <w:rFonts w:ascii="宋体"/>
      <w:kern w:val="0"/>
      <w:sz w:val="24"/>
      <w:szCs w:val="20"/>
    </w:rPr>
  </w:style>
  <w:style w:type="paragraph" w:customStyle="1" w:styleId="861">
    <w:name w:val="jjj"/>
    <w:basedOn w:val="688"/>
    <w:qFormat/>
    <w:uiPriority w:val="0"/>
    <w:pPr>
      <w:spacing w:line="360" w:lineRule="auto"/>
      <w:ind w:left="0" w:leftChars="0"/>
    </w:pPr>
    <w:rPr>
      <w:rFonts w:ascii="宋体" w:hAnsi="Times New Roman" w:eastAsia="等线"/>
      <w:sz w:val="24"/>
    </w:rPr>
  </w:style>
  <w:style w:type="paragraph" w:customStyle="1" w:styleId="862">
    <w:name w:val="附录二级条标题"/>
    <w:basedOn w:val="834"/>
    <w:next w:val="1"/>
    <w:qFormat/>
    <w:uiPriority w:val="0"/>
  </w:style>
  <w:style w:type="paragraph" w:customStyle="1" w:styleId="863">
    <w:name w:val="正文0缩进"/>
    <w:basedOn w:val="1"/>
    <w:qFormat/>
    <w:uiPriority w:val="0"/>
    <w:pPr>
      <w:adjustRightInd w:val="0"/>
      <w:snapToGrid w:val="0"/>
      <w:spacing w:before="156" w:beforeLines="50" w:line="360" w:lineRule="auto"/>
      <w:ind w:left="420" w:leftChars="200" w:firstLine="420" w:firstLineChars="200"/>
      <w:jc w:val="left"/>
    </w:pPr>
    <w:rPr>
      <w:rFonts w:ascii="宋体"/>
      <w:szCs w:val="20"/>
    </w:rPr>
  </w:style>
  <w:style w:type="paragraph" w:customStyle="1" w:styleId="864">
    <w:name w:val="xl92"/>
    <w:basedOn w:val="1"/>
    <w:qFormat/>
    <w:uiPriority w:val="0"/>
    <w:pPr>
      <w:widowControl/>
      <w:pBdr>
        <w:top w:val="single" w:color="auto" w:sz="4" w:space="0"/>
        <w:left w:val="single" w:color="auto" w:sz="4" w:space="0"/>
      </w:pBdr>
      <w:spacing w:before="100" w:beforeAutospacing="1" w:after="100" w:afterAutospacing="1" w:line="360" w:lineRule="auto"/>
      <w:jc w:val="center"/>
      <w:textAlignment w:val="center"/>
    </w:pPr>
    <w:rPr>
      <w:rFonts w:ascii="宋体" w:hAnsi="宋体"/>
      <w:kern w:val="0"/>
      <w:sz w:val="22"/>
      <w:szCs w:val="20"/>
    </w:rPr>
  </w:style>
  <w:style w:type="paragraph" w:customStyle="1" w:styleId="865">
    <w:name w:val="三级无标题条"/>
    <w:basedOn w:val="1"/>
    <w:qFormat/>
    <w:uiPriority w:val="0"/>
    <w:pPr>
      <w:tabs>
        <w:tab w:val="left" w:pos="1008"/>
      </w:tabs>
      <w:spacing w:line="360" w:lineRule="auto"/>
      <w:ind w:left="1008" w:hanging="1008"/>
    </w:pPr>
    <w:rPr>
      <w:szCs w:val="20"/>
    </w:rPr>
  </w:style>
  <w:style w:type="paragraph" w:customStyle="1" w:styleId="866">
    <w:name w:val="附录三级条标题"/>
    <w:basedOn w:val="862"/>
    <w:next w:val="1"/>
    <w:qFormat/>
    <w:uiPriority w:val="0"/>
    <w:pPr>
      <w:outlineLvl w:val="4"/>
    </w:pPr>
  </w:style>
  <w:style w:type="paragraph" w:customStyle="1" w:styleId="867">
    <w:name w:val="正文5"/>
    <w:basedOn w:val="1"/>
    <w:qFormat/>
    <w:uiPriority w:val="0"/>
    <w:pPr>
      <w:tabs>
        <w:tab w:val="left" w:pos="1200"/>
      </w:tabs>
      <w:spacing w:line="360" w:lineRule="auto"/>
      <w:ind w:left="500" w:leftChars="500"/>
    </w:pPr>
    <w:rPr>
      <w:rFonts w:ascii="宋体" w:hAnsi="Arial Narrow"/>
      <w:sz w:val="24"/>
      <w:szCs w:val="20"/>
    </w:rPr>
  </w:style>
  <w:style w:type="paragraph" w:customStyle="1" w:styleId="868">
    <w:name w:val="WW-正文（首行缩进两字）"/>
    <w:basedOn w:val="1"/>
    <w:qFormat/>
    <w:uiPriority w:val="0"/>
    <w:pPr>
      <w:widowControl/>
      <w:suppressAutoHyphens/>
      <w:spacing w:line="360" w:lineRule="auto"/>
      <w:ind w:firstLine="420"/>
      <w:jc w:val="left"/>
    </w:pPr>
    <w:rPr>
      <w:kern w:val="1"/>
      <w:sz w:val="20"/>
      <w:szCs w:val="20"/>
    </w:rPr>
  </w:style>
  <w:style w:type="paragraph" w:customStyle="1" w:styleId="869">
    <w:name w:val="发布日期"/>
    <w:qFormat/>
    <w:uiPriority w:val="0"/>
    <w:rPr>
      <w:rFonts w:ascii="Times New Roman" w:hAnsi="Times New Roman" w:eastAsia="黑体" w:cs="Times New Roman"/>
      <w:sz w:val="28"/>
      <w:lang w:val="en-US" w:eastAsia="zh-CN" w:bidi="ar-SA"/>
    </w:rPr>
  </w:style>
  <w:style w:type="paragraph" w:customStyle="1" w:styleId="870">
    <w:name w:val="xl87"/>
    <w:basedOn w:val="1"/>
    <w:qFormat/>
    <w:uiPriority w:val="0"/>
    <w:pPr>
      <w:widowControl/>
      <w:pBdr>
        <w:left w:val="single" w:color="auto" w:sz="4" w:space="0"/>
        <w:right w:val="single" w:color="auto" w:sz="8" w:space="0"/>
      </w:pBdr>
      <w:spacing w:before="100" w:beforeAutospacing="1" w:after="100" w:afterAutospacing="1" w:line="360" w:lineRule="auto"/>
      <w:jc w:val="center"/>
    </w:pPr>
    <w:rPr>
      <w:rFonts w:ascii="宋体" w:hAnsi="宋体"/>
      <w:kern w:val="0"/>
      <w:sz w:val="24"/>
      <w:szCs w:val="20"/>
    </w:rPr>
  </w:style>
  <w:style w:type="paragraph" w:customStyle="1" w:styleId="871">
    <w:name w:val="索引 41"/>
    <w:basedOn w:val="1"/>
    <w:next w:val="1"/>
    <w:qFormat/>
    <w:uiPriority w:val="0"/>
    <w:pPr>
      <w:spacing w:line="360" w:lineRule="auto"/>
      <w:ind w:left="600" w:leftChars="600"/>
    </w:pPr>
    <w:rPr>
      <w:sz w:val="24"/>
    </w:rPr>
  </w:style>
  <w:style w:type="paragraph" w:customStyle="1" w:styleId="872">
    <w:name w:val="表格内容靠左粗体_制度头表格"/>
    <w:basedOn w:val="873"/>
    <w:qFormat/>
    <w:uiPriority w:val="0"/>
    <w:pPr>
      <w:jc w:val="both"/>
    </w:pPr>
    <w:rPr>
      <w:b/>
      <w:bCs/>
      <w:sz w:val="21"/>
    </w:rPr>
  </w:style>
  <w:style w:type="paragraph" w:customStyle="1" w:styleId="873">
    <w:name w:val="表格内容居中正常_制度头表格"/>
    <w:qFormat/>
    <w:uiPriority w:val="0"/>
    <w:pPr>
      <w:jc w:val="center"/>
    </w:pPr>
    <w:rPr>
      <w:rFonts w:ascii="Times New Roman" w:hAnsi="Times New Roman" w:eastAsia="宋体" w:cs="Times New Roman"/>
      <w:szCs w:val="21"/>
      <w:lang w:val="en-US" w:eastAsia="zh-CN" w:bidi="ar-SA"/>
    </w:rPr>
  </w:style>
  <w:style w:type="paragraph" w:customStyle="1" w:styleId="874">
    <w:name w:val="标准书眉_偶数页"/>
    <w:basedOn w:val="875"/>
    <w:next w:val="1"/>
    <w:qFormat/>
    <w:uiPriority w:val="0"/>
    <w:pPr>
      <w:tabs>
        <w:tab w:val="center" w:pos="4154"/>
        <w:tab w:val="right" w:pos="8306"/>
      </w:tabs>
      <w:jc w:val="left"/>
    </w:pPr>
  </w:style>
  <w:style w:type="paragraph" w:customStyle="1" w:styleId="87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76">
    <w:name w:val="列表段落1"/>
    <w:basedOn w:val="1"/>
    <w:qFormat/>
    <w:uiPriority w:val="0"/>
    <w:pPr>
      <w:spacing w:line="360" w:lineRule="auto"/>
      <w:ind w:firstLine="420" w:firstLineChars="200"/>
    </w:pPr>
    <w:rPr>
      <w:szCs w:val="20"/>
    </w:rPr>
  </w:style>
  <w:style w:type="paragraph" w:customStyle="1" w:styleId="877">
    <w:name w:val="demo-4"/>
    <w:basedOn w:val="6"/>
    <w:qFormat/>
    <w:uiPriority w:val="0"/>
    <w:pPr>
      <w:keepNext w:val="0"/>
      <w:keepLines w:val="0"/>
      <w:spacing w:before="0" w:after="0" w:line="360" w:lineRule="auto"/>
    </w:pPr>
    <w:rPr>
      <w:rFonts w:ascii="宋体" w:hAnsi="宋体" w:eastAsia="宋体"/>
      <w:b w:val="0"/>
      <w:sz w:val="21"/>
      <w:szCs w:val="24"/>
    </w:rPr>
  </w:style>
  <w:style w:type="paragraph" w:customStyle="1" w:styleId="878">
    <w:name w:val="样式 样式 标题 2 + 段前: 0.5 行 段后: 0.5 行 + 首行缩进:  2 字符 段前: 0.5 行 段后: 0..."/>
    <w:basedOn w:val="1"/>
    <w:qFormat/>
    <w:uiPriority w:val="0"/>
    <w:pPr>
      <w:keepNext/>
      <w:keepLines/>
      <w:topLinePunct/>
      <w:adjustRightInd w:val="0"/>
      <w:spacing w:before="156" w:beforeLines="50" w:after="156" w:afterLines="50" w:line="360" w:lineRule="auto"/>
      <w:jc w:val="left"/>
      <w:outlineLvl w:val="1"/>
    </w:pPr>
    <w:rPr>
      <w:rFonts w:eastAsia="黑体"/>
      <w:kern w:val="0"/>
      <w:szCs w:val="20"/>
    </w:rPr>
  </w:style>
  <w:style w:type="paragraph" w:customStyle="1" w:styleId="879">
    <w:name w:val="p82"/>
    <w:basedOn w:val="1"/>
    <w:qFormat/>
    <w:uiPriority w:val="0"/>
    <w:pPr>
      <w:widowControl/>
      <w:tabs>
        <w:tab w:val="left" w:pos="460"/>
      </w:tabs>
      <w:overflowPunct w:val="0"/>
      <w:autoSpaceDE w:val="0"/>
      <w:autoSpaceDN w:val="0"/>
      <w:adjustRightInd w:val="0"/>
      <w:spacing w:line="320" w:lineRule="atLeast"/>
      <w:textAlignment w:val="baseline"/>
    </w:pPr>
    <w:rPr>
      <w:kern w:val="0"/>
      <w:sz w:val="24"/>
      <w:szCs w:val="20"/>
      <w:lang w:val="en-GB"/>
    </w:rPr>
  </w:style>
  <w:style w:type="paragraph" w:customStyle="1" w:styleId="8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81">
    <w:name w:val="打印正文1"/>
    <w:basedOn w:val="1"/>
    <w:qFormat/>
    <w:uiPriority w:val="0"/>
    <w:pPr>
      <w:spacing w:before="240" w:line="240" w:lineRule="atLeast"/>
    </w:pPr>
    <w:rPr>
      <w:szCs w:val="20"/>
    </w:rPr>
  </w:style>
  <w:style w:type="paragraph" w:customStyle="1" w:styleId="882">
    <w:name w:val="默认段落字体 Para Char Char Char Char Char Char Char Char Char Char Char Char Char Char"/>
    <w:basedOn w:val="26"/>
    <w:qFormat/>
    <w:uiPriority w:val="0"/>
  </w:style>
  <w:style w:type="paragraph" w:customStyle="1" w:styleId="883">
    <w:name w:val="附录标题1"/>
    <w:basedOn w:val="1"/>
    <w:next w:val="1"/>
    <w:qFormat/>
    <w:uiPriority w:val="0"/>
    <w:pPr>
      <w:adjustRightInd w:val="0"/>
      <w:spacing w:line="360" w:lineRule="atLeast"/>
      <w:ind w:left="432" w:hanging="144"/>
      <w:jc w:val="center"/>
      <w:textAlignment w:val="baseline"/>
    </w:pPr>
    <w:rPr>
      <w:b/>
      <w:kern w:val="0"/>
      <w:szCs w:val="20"/>
    </w:rPr>
  </w:style>
  <w:style w:type="paragraph" w:customStyle="1" w:styleId="884">
    <w:name w:val="五级无标题条"/>
    <w:basedOn w:val="1"/>
    <w:qFormat/>
    <w:uiPriority w:val="0"/>
    <w:pPr>
      <w:tabs>
        <w:tab w:val="left" w:pos="780"/>
      </w:tabs>
      <w:spacing w:line="360" w:lineRule="auto"/>
      <w:ind w:left="780" w:leftChars="200" w:hanging="360" w:firstLineChars="200"/>
    </w:pPr>
    <w:rPr>
      <w:sz w:val="24"/>
      <w:szCs w:val="20"/>
    </w:rPr>
  </w:style>
  <w:style w:type="paragraph" w:customStyle="1" w:styleId="885">
    <w:name w:val="样式 标题 2 + 宋体 加粗"/>
    <w:basedOn w:val="4"/>
    <w:qFormat/>
    <w:uiPriority w:val="0"/>
    <w:pPr>
      <w:tabs>
        <w:tab w:val="left" w:pos="420"/>
        <w:tab w:val="left" w:pos="6090"/>
      </w:tabs>
      <w:spacing w:before="0" w:after="0" w:line="600" w:lineRule="exact"/>
      <w:ind w:left="-2" w:leftChars="-1"/>
      <w:jc w:val="both"/>
    </w:pPr>
    <w:rPr>
      <w:rFonts w:ascii="宋体" w:hAnsi="宋体"/>
      <w:bCs w:val="0"/>
      <w:kern w:val="2"/>
      <w:szCs w:val="20"/>
    </w:rPr>
  </w:style>
  <w:style w:type="paragraph" w:customStyle="1" w:styleId="886">
    <w:name w:val="工程建设条标题"/>
    <w:basedOn w:val="1"/>
    <w:next w:val="1"/>
    <w:qFormat/>
    <w:uiPriority w:val="0"/>
    <w:pPr>
      <w:widowControl/>
      <w:tabs>
        <w:tab w:val="left" w:pos="357"/>
      </w:tabs>
      <w:spacing w:line="360" w:lineRule="auto"/>
      <w:jc w:val="left"/>
      <w:outlineLvl w:val="3"/>
    </w:pPr>
    <w:rPr>
      <w:rFonts w:ascii="黑体" w:eastAsia="黑体"/>
      <w:kern w:val="0"/>
      <w:szCs w:val="20"/>
    </w:rPr>
  </w:style>
  <w:style w:type="paragraph" w:customStyle="1" w:styleId="887">
    <w:name w:val="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Char Char2 Char Char"/>
    <w:basedOn w:val="26"/>
    <w:qFormat/>
    <w:uiPriority w:val="0"/>
  </w:style>
  <w:style w:type="paragraph" w:customStyle="1" w:styleId="889">
    <w:name w:val="t"/>
    <w:basedOn w:val="45"/>
    <w:qFormat/>
    <w:uiPriority w:val="0"/>
    <w:pPr>
      <w:overflowPunct w:val="0"/>
      <w:topLinePunct/>
      <w:autoSpaceDE/>
      <w:autoSpaceDN/>
      <w:adjustRightInd/>
      <w:spacing w:before="156" w:beforeLines="50" w:after="156" w:afterLines="50" w:line="360" w:lineRule="auto"/>
      <w:jc w:val="center"/>
    </w:pPr>
    <w:rPr>
      <w:rFonts w:ascii="Times New Roman" w:hAnsi="Times New Roman"/>
      <w:color w:val="000000"/>
      <w:sz w:val="18"/>
      <w:szCs w:val="20"/>
    </w:rPr>
  </w:style>
  <w:style w:type="paragraph" w:customStyle="1" w:styleId="890">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pPr>
    <w:rPr>
      <w:rFonts w:ascii="宋体" w:hAnsi="宋体"/>
      <w:b/>
      <w:kern w:val="0"/>
      <w:sz w:val="24"/>
      <w:szCs w:val="20"/>
    </w:rPr>
  </w:style>
  <w:style w:type="paragraph" w:customStyle="1" w:styleId="891">
    <w:name w:val="正表头"/>
    <w:basedOn w:val="663"/>
    <w:qFormat/>
    <w:uiPriority w:val="0"/>
    <w:pPr>
      <w:widowControl w:val="0"/>
      <w:tabs>
        <w:tab w:val="clear" w:pos="480"/>
      </w:tabs>
      <w:autoSpaceDE/>
      <w:autoSpaceDN/>
      <w:adjustRightInd/>
      <w:ind w:left="480"/>
      <w:jc w:val="left"/>
      <w:textAlignment w:val="auto"/>
    </w:pPr>
    <w:rPr>
      <w:i/>
      <w:kern w:val="2"/>
      <w:sz w:val="20"/>
    </w:rPr>
  </w:style>
  <w:style w:type="paragraph" w:customStyle="1" w:styleId="892">
    <w:name w:val="页眉1"/>
    <w:basedOn w:val="1"/>
    <w:qFormat/>
    <w:uiPriority w:val="0"/>
    <w:pPr>
      <w:pBdr>
        <w:bottom w:val="single" w:color="auto" w:sz="6" w:space="1"/>
      </w:pBdr>
      <w:tabs>
        <w:tab w:val="center" w:pos="4153"/>
        <w:tab w:val="right" w:pos="8306"/>
      </w:tabs>
      <w:snapToGrid w:val="0"/>
      <w:spacing w:line="360" w:lineRule="auto"/>
      <w:jc w:val="center"/>
    </w:pPr>
    <w:rPr>
      <w:kern w:val="0"/>
      <w:sz w:val="18"/>
      <w:szCs w:val="20"/>
    </w:rPr>
  </w:style>
  <w:style w:type="paragraph" w:customStyle="1" w:styleId="893">
    <w:name w:val="xl8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360" w:lineRule="auto"/>
      <w:jc w:val="center"/>
    </w:pPr>
    <w:rPr>
      <w:rFonts w:ascii="宋体" w:hAnsi="宋体"/>
      <w:kern w:val="0"/>
      <w:sz w:val="24"/>
      <w:szCs w:val="20"/>
    </w:rPr>
  </w:style>
  <w:style w:type="paragraph" w:customStyle="1" w:styleId="894">
    <w:name w:val="节小标题"/>
    <w:basedOn w:val="10"/>
    <w:qFormat/>
    <w:uiPriority w:val="0"/>
    <w:pPr>
      <w:tabs>
        <w:tab w:val="left" w:pos="960"/>
      </w:tabs>
      <w:snapToGrid w:val="0"/>
      <w:spacing w:before="100" w:line="300" w:lineRule="auto"/>
      <w:ind w:firstLine="359"/>
      <w:textAlignment w:val="auto"/>
      <w:outlineLvl w:val="9"/>
    </w:pPr>
    <w:rPr>
      <w:rFonts w:eastAsia="仿宋_GB2312"/>
      <w:kern w:val="2"/>
      <w:sz w:val="30"/>
    </w:rPr>
  </w:style>
  <w:style w:type="paragraph" w:customStyle="1" w:styleId="895">
    <w:name w:val="条文脚注"/>
    <w:basedOn w:val="67"/>
    <w:qFormat/>
    <w:uiPriority w:val="0"/>
    <w:pPr>
      <w:adjustRightInd/>
      <w:snapToGrid w:val="0"/>
      <w:spacing w:line="360" w:lineRule="auto"/>
      <w:ind w:left="780" w:leftChars="200" w:hanging="360" w:hangingChars="200"/>
      <w:jc w:val="both"/>
      <w:textAlignment w:val="auto"/>
    </w:pPr>
    <w:rPr>
      <w:rFonts w:ascii="宋体"/>
      <w:kern w:val="2"/>
    </w:rPr>
  </w:style>
  <w:style w:type="paragraph" w:customStyle="1" w:styleId="896">
    <w:name w:val="图标题"/>
    <w:basedOn w:val="21"/>
    <w:qFormat/>
    <w:uiPriority w:val="0"/>
    <w:pPr>
      <w:tabs>
        <w:tab w:val="clear" w:pos="750"/>
      </w:tabs>
      <w:spacing w:beforeLines="0" w:line="360" w:lineRule="auto"/>
      <w:ind w:firstLine="0" w:firstLineChars="0"/>
    </w:pPr>
    <w:rPr>
      <w:rFonts w:ascii="Times New Roman"/>
      <w:szCs w:val="24"/>
    </w:rPr>
  </w:style>
  <w:style w:type="paragraph" w:customStyle="1" w:styleId="897">
    <w:name w:val="正文文本缩进 21"/>
    <w:basedOn w:val="1"/>
    <w:qFormat/>
    <w:uiPriority w:val="0"/>
    <w:pPr>
      <w:adjustRightInd w:val="0"/>
      <w:spacing w:before="120" w:line="300" w:lineRule="auto"/>
      <w:ind w:firstLine="480"/>
      <w:jc w:val="left"/>
      <w:textAlignment w:val="baseline"/>
    </w:pPr>
    <w:rPr>
      <w:rFonts w:eastAsia="仿宋_GB2312"/>
      <w:kern w:val="0"/>
      <w:sz w:val="28"/>
      <w:szCs w:val="20"/>
    </w:rPr>
  </w:style>
  <w:style w:type="paragraph" w:customStyle="1" w:styleId="898">
    <w:name w:val="Pa3"/>
    <w:basedOn w:val="1"/>
    <w:next w:val="1"/>
    <w:qFormat/>
    <w:uiPriority w:val="0"/>
    <w:pPr>
      <w:autoSpaceDE w:val="0"/>
      <w:autoSpaceDN w:val="0"/>
      <w:adjustRightInd w:val="0"/>
      <w:spacing w:line="241" w:lineRule="atLeast"/>
      <w:jc w:val="left"/>
    </w:pPr>
    <w:rPr>
      <w:rFonts w:ascii="微软雅黑" w:eastAsia="微软雅黑"/>
      <w:kern w:val="0"/>
      <w:sz w:val="24"/>
    </w:rPr>
  </w:style>
  <w:style w:type="paragraph" w:customStyle="1" w:styleId="899">
    <w:name w:val="reader-word-layer"/>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900">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kern w:val="0"/>
      <w:sz w:val="18"/>
      <w:szCs w:val="20"/>
    </w:rPr>
  </w:style>
  <w:style w:type="paragraph" w:customStyle="1" w:styleId="90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360" w:lineRule="auto"/>
      <w:jc w:val="center"/>
    </w:pPr>
    <w:rPr>
      <w:b/>
      <w:kern w:val="0"/>
      <w:sz w:val="22"/>
      <w:szCs w:val="20"/>
      <w:lang w:val="en-GB"/>
    </w:rPr>
  </w:style>
  <w:style w:type="paragraph" w:customStyle="1" w:styleId="902">
    <w:name w:val="Char Char1 Char"/>
    <w:basedOn w:val="1"/>
    <w:qFormat/>
    <w:uiPriority w:val="0"/>
    <w:pPr>
      <w:widowControl/>
      <w:spacing w:before="100" w:beforeAutospacing="1" w:after="100" w:afterAutospacing="1" w:line="330" w:lineRule="atLeast"/>
      <w:ind w:left="360"/>
      <w:jc w:val="left"/>
    </w:pPr>
    <w:rPr>
      <w:rFonts w:ascii="ˎ̥" w:hAnsi="ˎ̥"/>
      <w:color w:val="51585D"/>
      <w:kern w:val="0"/>
      <w:sz w:val="24"/>
      <w:szCs w:val="20"/>
    </w:rPr>
  </w:style>
  <w:style w:type="paragraph" w:customStyle="1" w:styleId="90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904">
    <w:name w:val="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905">
    <w:name w:val="参考文献、索引标题"/>
    <w:basedOn w:val="1"/>
    <w:next w:val="1"/>
    <w:qFormat/>
    <w:uiPriority w:val="0"/>
    <w:pPr>
      <w:widowControl/>
      <w:shd w:val="clear" w:color="FFFFFF" w:fill="FFFFFF"/>
      <w:spacing w:before="640" w:after="200" w:line="360" w:lineRule="auto"/>
      <w:jc w:val="center"/>
      <w:outlineLvl w:val="0"/>
    </w:pPr>
    <w:rPr>
      <w:rFonts w:ascii="黑体" w:eastAsia="黑体"/>
      <w:kern w:val="0"/>
      <w:szCs w:val="20"/>
    </w:rPr>
  </w:style>
  <w:style w:type="paragraph" w:customStyle="1" w:styleId="906">
    <w:name w:val="样式 标题 1 + 加粗1"/>
    <w:basedOn w:val="3"/>
    <w:qFormat/>
    <w:uiPriority w:val="0"/>
    <w:pPr>
      <w:keepLines/>
      <w:tabs>
        <w:tab w:val="left" w:pos="425"/>
      </w:tabs>
      <w:autoSpaceDE/>
      <w:autoSpaceDN/>
      <w:spacing w:before="312" w:beforeLines="100" w:after="312" w:afterLines="100"/>
      <w:jc w:val="both"/>
    </w:pPr>
    <w:rPr>
      <w:rFonts w:ascii="Times New Roman" w:eastAsia="黑体"/>
      <w:b w:val="0"/>
      <w:color w:val="auto"/>
      <w:kern w:val="44"/>
      <w:sz w:val="28"/>
      <w:szCs w:val="28"/>
    </w:rPr>
  </w:style>
  <w:style w:type="paragraph" w:customStyle="1" w:styleId="907">
    <w:name w:val="批注主题1"/>
    <w:basedOn w:val="260"/>
    <w:next w:val="260"/>
    <w:qFormat/>
    <w:uiPriority w:val="0"/>
  </w:style>
  <w:style w:type="paragraph" w:customStyle="1" w:styleId="908">
    <w:name w:val="样式 标题 5 + 右侧:  1 字符"/>
    <w:basedOn w:val="7"/>
    <w:qFormat/>
    <w:uiPriority w:val="0"/>
    <w:pPr>
      <w:numPr>
        <w:ilvl w:val="0"/>
        <w:numId w:val="0"/>
      </w:numPr>
      <w:tabs>
        <w:tab w:val="left" w:pos="851"/>
      </w:tabs>
      <w:spacing w:before="0" w:after="0" w:line="360" w:lineRule="auto"/>
      <w:ind w:right="210" w:rightChars="100" w:firstLine="200" w:firstLineChars="200"/>
    </w:pPr>
    <w:rPr>
      <w:rFonts w:cs="宋体"/>
      <w:b w:val="0"/>
      <w:sz w:val="21"/>
      <w:szCs w:val="20"/>
    </w:rPr>
  </w:style>
  <w:style w:type="paragraph" w:customStyle="1" w:styleId="909">
    <w:name w:val="四级无标题条"/>
    <w:basedOn w:val="1"/>
    <w:qFormat/>
    <w:uiPriority w:val="0"/>
    <w:pPr>
      <w:numPr>
        <w:ilvl w:val="5"/>
        <w:numId w:val="10"/>
      </w:numPr>
      <w:tabs>
        <w:tab w:val="left" w:pos="3000"/>
      </w:tabs>
      <w:spacing w:line="360" w:lineRule="auto"/>
    </w:pPr>
    <w:rPr>
      <w:rFonts w:eastAsia="黑体"/>
      <w:b/>
      <w:szCs w:val="20"/>
    </w:rPr>
  </w:style>
  <w:style w:type="paragraph" w:customStyle="1" w:styleId="910">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11">
    <w:name w:val="标题3"/>
    <w:basedOn w:val="1"/>
    <w:qFormat/>
    <w:uiPriority w:val="0"/>
    <w:pPr>
      <w:spacing w:line="360" w:lineRule="auto"/>
    </w:pPr>
    <w:rPr>
      <w:rFonts w:ascii="仿宋_GB2312" w:eastAsia="仿宋_GB2312"/>
      <w:sz w:val="28"/>
      <w:szCs w:val="20"/>
    </w:rPr>
  </w:style>
  <w:style w:type="paragraph" w:customStyle="1" w:styleId="912">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宋体" w:hAnsi="宋体"/>
      <w:b/>
      <w:kern w:val="0"/>
      <w:sz w:val="24"/>
      <w:szCs w:val="20"/>
    </w:rPr>
  </w:style>
  <w:style w:type="paragraph" w:customStyle="1" w:styleId="913">
    <w:name w:val="dot"/>
    <w:basedOn w:val="1"/>
    <w:qFormat/>
    <w:uiPriority w:val="0"/>
    <w:pPr>
      <w:tabs>
        <w:tab w:val="left" w:pos="1275"/>
      </w:tabs>
      <w:spacing w:line="400" w:lineRule="exact"/>
      <w:ind w:left="1275" w:hanging="1275"/>
    </w:pPr>
    <w:rPr>
      <w:sz w:val="24"/>
      <w:szCs w:val="20"/>
    </w:rPr>
  </w:style>
  <w:style w:type="paragraph" w:customStyle="1" w:styleId="914">
    <w:name w:val="名"/>
    <w:basedOn w:val="1"/>
    <w:next w:val="1"/>
    <w:qFormat/>
    <w:uiPriority w:val="0"/>
    <w:pPr>
      <w:spacing w:before="312" w:beforeLines="100" w:after="156" w:afterLines="50" w:line="360" w:lineRule="auto"/>
      <w:jc w:val="center"/>
    </w:pPr>
    <w:rPr>
      <w:rFonts w:ascii="黑体" w:eastAsia="黑体"/>
      <w:b/>
      <w:sz w:val="32"/>
      <w:szCs w:val="20"/>
    </w:rPr>
  </w:style>
  <w:style w:type="paragraph" w:customStyle="1" w:styleId="915">
    <w:name w:val="Char4"/>
    <w:basedOn w:val="1"/>
    <w:qFormat/>
    <w:uiPriority w:val="0"/>
    <w:pPr>
      <w:spacing w:line="360" w:lineRule="auto"/>
    </w:pPr>
  </w:style>
  <w:style w:type="paragraph" w:customStyle="1" w:styleId="91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17">
    <w:name w:val="Char Char1 Char Char Char1"/>
    <w:basedOn w:val="26"/>
    <w:qFormat/>
    <w:uiPriority w:val="0"/>
  </w:style>
  <w:style w:type="paragraph" w:customStyle="1" w:styleId="918">
    <w:name w:val="Char1 Char Char Char Char Char Char Char Char Char Char Char Char"/>
    <w:basedOn w:val="1"/>
    <w:qFormat/>
    <w:uiPriority w:val="0"/>
    <w:pPr>
      <w:pageBreakBefore/>
      <w:tabs>
        <w:tab w:val="left" w:pos="432"/>
      </w:tabs>
      <w:spacing w:line="360" w:lineRule="auto"/>
      <w:ind w:left="432" w:hanging="432"/>
    </w:pPr>
    <w:rPr>
      <w:rFonts w:ascii="Tahoma" w:hAnsi="Tahoma"/>
      <w:sz w:val="24"/>
      <w:szCs w:val="20"/>
    </w:rPr>
  </w:style>
  <w:style w:type="paragraph" w:customStyle="1" w:styleId="919">
    <w:name w:val="实施日期"/>
    <w:basedOn w:val="869"/>
    <w:qFormat/>
    <w:uiPriority w:val="0"/>
    <w:pPr>
      <w:jc w:val="right"/>
    </w:pPr>
  </w:style>
  <w:style w:type="paragraph" w:customStyle="1" w:styleId="920">
    <w:name w:val="a1"/>
    <w:basedOn w:val="4"/>
    <w:qFormat/>
    <w:uiPriority w:val="0"/>
    <w:pPr>
      <w:tabs>
        <w:tab w:val="left" w:pos="420"/>
        <w:tab w:val="left" w:pos="6090"/>
      </w:tabs>
      <w:spacing w:before="0" w:after="0" w:line="240" w:lineRule="auto"/>
      <w:ind w:left="-2" w:leftChars="-1"/>
      <w:jc w:val="both"/>
    </w:pPr>
    <w:rPr>
      <w:rFonts w:ascii="宋体" w:hAnsi="宋体"/>
      <w:b w:val="0"/>
      <w:bCs w:val="0"/>
      <w:snapToGrid w:val="0"/>
      <w:color w:val="000000"/>
      <w:sz w:val="21"/>
      <w:szCs w:val="20"/>
    </w:rPr>
  </w:style>
  <w:style w:type="paragraph" w:customStyle="1" w:styleId="921">
    <w:name w:val="xl96"/>
    <w:basedOn w:val="1"/>
    <w:qFormat/>
    <w:uiPriority w:val="0"/>
    <w:pPr>
      <w:widowControl/>
      <w:pBdr>
        <w:top w:val="single" w:color="auto" w:sz="8" w:space="0"/>
        <w:left w:val="single" w:color="auto" w:sz="4" w:space="0"/>
        <w:bottom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922">
    <w:name w:val="Char Char1 Char1"/>
    <w:basedOn w:val="1"/>
    <w:qFormat/>
    <w:uiPriority w:val="0"/>
    <w:pPr>
      <w:spacing w:line="360" w:lineRule="auto"/>
    </w:pPr>
  </w:style>
  <w:style w:type="paragraph" w:customStyle="1" w:styleId="923">
    <w:name w:val="目次、标准名称标题"/>
    <w:basedOn w:val="924"/>
    <w:next w:val="1"/>
    <w:qFormat/>
    <w:uiPriority w:val="0"/>
    <w:pPr>
      <w:numPr>
        <w:numId w:val="0"/>
      </w:numPr>
      <w:tabs>
        <w:tab w:val="left" w:pos="425"/>
      </w:tabs>
      <w:spacing w:line="460" w:lineRule="exact"/>
    </w:pPr>
  </w:style>
  <w:style w:type="paragraph" w:customStyle="1" w:styleId="924">
    <w:name w:val="前言、引言标题"/>
    <w:next w:val="1"/>
    <w:qFormat/>
    <w:uiPriority w:val="0"/>
    <w:pPr>
      <w:numPr>
        <w:ilvl w:val="0"/>
        <w:numId w:val="9"/>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2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26">
    <w:name w:val="列表yjma"/>
    <w:basedOn w:val="1"/>
    <w:next w:val="1"/>
    <w:qFormat/>
    <w:uiPriority w:val="0"/>
    <w:pPr>
      <w:tabs>
        <w:tab w:val="left" w:pos="840"/>
        <w:tab w:val="left" w:pos="1140"/>
      </w:tabs>
      <w:adjustRightInd w:val="0"/>
      <w:spacing w:line="360" w:lineRule="auto"/>
      <w:ind w:left="1140" w:hanging="720"/>
      <w:textAlignment w:val="baseline"/>
    </w:pPr>
    <w:rPr>
      <w:rFonts w:ascii="宋体"/>
      <w:w w:val="90"/>
      <w:kern w:val="0"/>
      <w:sz w:val="28"/>
      <w:szCs w:val="20"/>
    </w:rPr>
  </w:style>
  <w:style w:type="paragraph" w:customStyle="1" w:styleId="927">
    <w:name w:val="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8">
    <w:name w:val="标准书眉一"/>
    <w:qFormat/>
    <w:uiPriority w:val="0"/>
    <w:pPr>
      <w:jc w:val="both"/>
    </w:pPr>
    <w:rPr>
      <w:rFonts w:ascii="Times New Roman" w:hAnsi="Times New Roman" w:eastAsia="宋体" w:cs="Times New Roman"/>
      <w:lang w:val="en-US" w:eastAsia="zh-CN" w:bidi="ar-SA"/>
    </w:rPr>
  </w:style>
  <w:style w:type="paragraph" w:customStyle="1" w:styleId="929">
    <w:name w:val="列表 41"/>
    <w:basedOn w:val="1"/>
    <w:qFormat/>
    <w:uiPriority w:val="0"/>
    <w:pPr>
      <w:spacing w:line="360" w:lineRule="auto"/>
      <w:ind w:left="100" w:leftChars="600" w:hanging="200" w:hangingChars="200"/>
    </w:pPr>
    <w:rPr>
      <w:szCs w:val="20"/>
    </w:rPr>
  </w:style>
  <w:style w:type="paragraph" w:customStyle="1" w:styleId="930">
    <w:name w:val="术语定义四级条标题"/>
    <w:basedOn w:val="854"/>
    <w:next w:val="6"/>
    <w:qFormat/>
    <w:uiPriority w:val="0"/>
    <w:pPr>
      <w:numPr>
        <w:ilvl w:val="3"/>
        <w:numId w:val="12"/>
      </w:numPr>
    </w:pPr>
  </w:style>
  <w:style w:type="paragraph" w:customStyle="1" w:styleId="931">
    <w:name w:val="术语定义三级条标题"/>
    <w:basedOn w:val="854"/>
    <w:next w:val="6"/>
    <w:qFormat/>
    <w:uiPriority w:val="0"/>
    <w:pPr>
      <w:numPr>
        <w:ilvl w:val="2"/>
        <w:numId w:val="12"/>
      </w:numPr>
    </w:pPr>
  </w:style>
  <w:style w:type="paragraph" w:customStyle="1" w:styleId="932">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933">
    <w:name w:val="标题 3 + 小四 段前: 0 磅 段后: 0 磅 行距: 1.5 倍行距"/>
    <w:basedOn w:val="5"/>
    <w:next w:val="5"/>
    <w:qFormat/>
    <w:uiPriority w:val="0"/>
    <w:pPr>
      <w:spacing w:before="0" w:after="0"/>
      <w:ind w:firstLine="0" w:firstLineChars="0"/>
    </w:pPr>
    <w:rPr>
      <w:rFonts w:ascii="Times New Roman"/>
      <w:bCs w:val="0"/>
      <w:kern w:val="2"/>
      <w:sz w:val="24"/>
      <w:szCs w:val="20"/>
    </w:rPr>
  </w:style>
  <w:style w:type="paragraph" w:customStyle="1" w:styleId="934">
    <w:name w:val="注标题"/>
    <w:basedOn w:val="1"/>
    <w:qFormat/>
    <w:uiPriority w:val="0"/>
    <w:pPr>
      <w:topLinePunct/>
      <w:spacing w:line="360" w:lineRule="auto"/>
    </w:pPr>
    <w:rPr>
      <w:sz w:val="18"/>
      <w:szCs w:val="20"/>
    </w:rPr>
  </w:style>
  <w:style w:type="paragraph" w:customStyle="1" w:styleId="935">
    <w:name w:val="牛样式1"/>
    <w:basedOn w:val="1"/>
    <w:qFormat/>
    <w:uiPriority w:val="0"/>
    <w:pPr>
      <w:adjustRightInd w:val="0"/>
      <w:spacing w:line="315" w:lineRule="atLeast"/>
      <w:jc w:val="left"/>
      <w:textAlignment w:val="baseline"/>
    </w:pPr>
    <w:rPr>
      <w:rFonts w:ascii="Arial" w:eastAsia="黑体"/>
      <w:kern w:val="0"/>
      <w:szCs w:val="20"/>
    </w:rPr>
  </w:style>
  <w:style w:type="paragraph" w:customStyle="1" w:styleId="936">
    <w:name w:val="编号"/>
    <w:basedOn w:val="1"/>
    <w:next w:val="1"/>
    <w:qFormat/>
    <w:uiPriority w:val="0"/>
    <w:pPr>
      <w:tabs>
        <w:tab w:val="left" w:pos="480"/>
      </w:tabs>
      <w:spacing w:line="360" w:lineRule="auto"/>
      <w:ind w:left="200" w:hanging="200" w:hangingChars="200"/>
    </w:pPr>
    <w:rPr>
      <w:rFonts w:ascii="宋体"/>
      <w:sz w:val="24"/>
      <w:szCs w:val="20"/>
    </w:rPr>
  </w:style>
  <w:style w:type="paragraph" w:customStyle="1" w:styleId="937">
    <w:name w:val="font0"/>
    <w:basedOn w:val="1"/>
    <w:qFormat/>
    <w:uiPriority w:val="0"/>
    <w:pPr>
      <w:widowControl/>
      <w:spacing w:before="100" w:beforeAutospacing="1" w:after="100" w:afterAutospacing="1" w:line="360" w:lineRule="auto"/>
      <w:jc w:val="left"/>
    </w:pPr>
    <w:rPr>
      <w:kern w:val="0"/>
      <w:sz w:val="24"/>
      <w:szCs w:val="20"/>
    </w:rPr>
  </w:style>
  <w:style w:type="paragraph" w:customStyle="1" w:styleId="938">
    <w:name w:val="表格内容靠左正常_制度头表格"/>
    <w:qFormat/>
    <w:uiPriority w:val="0"/>
    <w:rPr>
      <w:rFonts w:ascii="Times New Roman" w:hAnsi="Times New Roman" w:eastAsia="宋体" w:cs="Times New Roman"/>
      <w:sz w:val="21"/>
      <w:szCs w:val="21"/>
      <w:lang w:val="en-US" w:eastAsia="zh-CN" w:bidi="ar-SA"/>
    </w:rPr>
  </w:style>
  <w:style w:type="paragraph" w:customStyle="1" w:styleId="939">
    <w:name w:val="xl97"/>
    <w:basedOn w:val="1"/>
    <w:qFormat/>
    <w:uiPriority w:val="0"/>
    <w:pPr>
      <w:widowControl/>
      <w:pBdr>
        <w:top w:val="single" w:color="auto" w:sz="8"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94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1">
    <w:name w:val="xl76"/>
    <w:basedOn w:val="1"/>
    <w:qFormat/>
    <w:uiPriority w:val="0"/>
    <w:pPr>
      <w:widowControl/>
      <w:pBdr>
        <w:left w:val="single" w:color="auto" w:sz="4" w:space="0"/>
        <w:right w:val="single" w:color="auto" w:sz="4" w:space="0"/>
      </w:pBdr>
      <w:spacing w:before="100" w:beforeAutospacing="1" w:after="100" w:afterAutospacing="1" w:line="360" w:lineRule="auto"/>
      <w:jc w:val="center"/>
      <w:textAlignment w:val="center"/>
    </w:pPr>
    <w:rPr>
      <w:rFonts w:ascii="宋体" w:hAnsi="宋体"/>
      <w:b/>
      <w:kern w:val="0"/>
      <w:sz w:val="24"/>
      <w:szCs w:val="20"/>
    </w:rPr>
  </w:style>
  <w:style w:type="paragraph" w:customStyle="1" w:styleId="942">
    <w:name w:val="术语定义五级条标题"/>
    <w:basedOn w:val="4"/>
    <w:next w:val="6"/>
    <w:qFormat/>
    <w:uiPriority w:val="0"/>
    <w:pPr>
      <w:keepNext w:val="0"/>
      <w:keepLines w:val="0"/>
      <w:widowControl/>
      <w:numPr>
        <w:ilvl w:val="4"/>
        <w:numId w:val="12"/>
      </w:numPr>
      <w:tabs>
        <w:tab w:val="left" w:pos="420"/>
        <w:tab w:val="left" w:pos="6090"/>
      </w:tabs>
      <w:spacing w:before="0" w:after="0" w:line="240" w:lineRule="auto"/>
      <w:ind w:left="-1" w:leftChars="-1"/>
      <w:jc w:val="both"/>
      <w:outlineLvl w:val="9"/>
    </w:pPr>
    <w:rPr>
      <w:rFonts w:ascii="黑体" w:hAnsi="Times New Roman" w:eastAsia="黑体"/>
      <w:bCs w:val="0"/>
      <w:snapToGrid w:val="0"/>
      <w:color w:val="000000"/>
      <w:sz w:val="21"/>
      <w:szCs w:val="20"/>
    </w:rPr>
  </w:style>
  <w:style w:type="paragraph" w:customStyle="1" w:styleId="943">
    <w:name w:val="TAC"/>
    <w:basedOn w:val="1"/>
    <w:qFormat/>
    <w:uiPriority w:val="0"/>
    <w:pPr>
      <w:keepNext/>
      <w:keepLines/>
      <w:widowControl/>
      <w:spacing w:line="360" w:lineRule="auto"/>
      <w:jc w:val="center"/>
    </w:pPr>
    <w:rPr>
      <w:rFonts w:ascii="Arial" w:hAnsi="Arial"/>
      <w:kern w:val="0"/>
      <w:sz w:val="18"/>
      <w:szCs w:val="20"/>
      <w:lang w:val="en-GB"/>
    </w:rPr>
  </w:style>
  <w:style w:type="paragraph" w:customStyle="1" w:styleId="944">
    <w:name w:val="标准"/>
    <w:basedOn w:val="1"/>
    <w:qFormat/>
    <w:uiPriority w:val="0"/>
    <w:pPr>
      <w:adjustRightInd w:val="0"/>
      <w:spacing w:line="288" w:lineRule="auto"/>
      <w:textAlignment w:val="baseline"/>
    </w:pPr>
    <w:rPr>
      <w:kern w:val="0"/>
      <w:sz w:val="24"/>
      <w:szCs w:val="20"/>
    </w:rPr>
  </w:style>
  <w:style w:type="paragraph" w:customStyle="1" w:styleId="945">
    <w:name w:val="Char1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946">
    <w:name w:val="合同标题"/>
    <w:basedOn w:val="1"/>
    <w:qFormat/>
    <w:uiPriority w:val="0"/>
    <w:pPr>
      <w:keepNext/>
      <w:keepLines/>
      <w:tabs>
        <w:tab w:val="left" w:pos="2244"/>
        <w:tab w:val="center" w:pos="4720"/>
      </w:tabs>
      <w:spacing w:line="360" w:lineRule="auto"/>
      <w:ind w:firstLine="200"/>
      <w:outlineLvl w:val="1"/>
    </w:pPr>
    <w:rPr>
      <w:rFonts w:ascii="仿宋_GB2312" w:eastAsia="仿宋_GB2312" w:cs="宋体"/>
      <w:b/>
      <w:kern w:val="0"/>
      <w:sz w:val="32"/>
      <w:szCs w:val="32"/>
    </w:rPr>
  </w:style>
  <w:style w:type="paragraph" w:customStyle="1" w:styleId="947">
    <w:name w:val="附录图标题"/>
    <w:next w:val="642"/>
    <w:qFormat/>
    <w:uiPriority w:val="0"/>
    <w:pPr>
      <w:jc w:val="center"/>
    </w:pPr>
    <w:rPr>
      <w:rFonts w:ascii="黑体" w:hAnsi="Times New Roman" w:eastAsia="黑体" w:cs="Times New Roman"/>
      <w:sz w:val="21"/>
      <w:lang w:val="en-US" w:eastAsia="zh-CN" w:bidi="ar-SA"/>
    </w:rPr>
  </w:style>
  <w:style w:type="paragraph" w:customStyle="1" w:styleId="948">
    <w:name w:val="附录四级条标题"/>
    <w:basedOn w:val="866"/>
    <w:next w:val="1"/>
    <w:qFormat/>
    <w:uiPriority w:val="0"/>
    <w:pPr>
      <w:outlineLvl w:val="5"/>
    </w:pPr>
  </w:style>
  <w:style w:type="paragraph" w:customStyle="1" w:styleId="949">
    <w:name w:val="正文表标题"/>
    <w:next w:val="642"/>
    <w:qFormat/>
    <w:uiPriority w:val="0"/>
    <w:pPr>
      <w:numPr>
        <w:ilvl w:val="0"/>
        <w:numId w:val="13"/>
      </w:numPr>
      <w:tabs>
        <w:tab w:val="left" w:pos="360"/>
      </w:tabs>
      <w:jc w:val="center"/>
    </w:pPr>
    <w:rPr>
      <w:rFonts w:ascii="黑体" w:hAnsi="Times New Roman" w:eastAsia="黑体" w:cs="Times New Roman"/>
      <w:sz w:val="21"/>
      <w:lang w:val="en-US" w:eastAsia="zh-CN" w:bidi="ar-SA"/>
    </w:rPr>
  </w:style>
  <w:style w:type="paragraph" w:customStyle="1" w:styleId="950">
    <w:name w:val="列表yjm1"/>
    <w:next w:val="1"/>
    <w:qFormat/>
    <w:uiPriority w:val="0"/>
    <w:pPr>
      <w:numPr>
        <w:ilvl w:val="0"/>
        <w:numId w:val="14"/>
      </w:numPr>
      <w:tabs>
        <w:tab w:val="left" w:pos="360"/>
      </w:tabs>
      <w:adjustRightInd w:val="0"/>
      <w:ind w:left="340" w:hanging="340"/>
      <w:jc w:val="both"/>
      <w:outlineLvl w:val="4"/>
    </w:pPr>
    <w:rPr>
      <w:rFonts w:ascii="Times New Roman" w:hAnsi="Times New Roman" w:eastAsia="宋体" w:cs="Times New Roman"/>
      <w:w w:val="90"/>
      <w:sz w:val="28"/>
      <w:lang w:val="en-US" w:eastAsia="zh-CN" w:bidi="ar-SA"/>
    </w:rPr>
  </w:style>
  <w:style w:type="paragraph" w:customStyle="1" w:styleId="951">
    <w:name w:val="xl9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360" w:lineRule="auto"/>
      <w:jc w:val="center"/>
    </w:pPr>
    <w:rPr>
      <w:rFonts w:ascii="宋体" w:hAnsi="宋体"/>
      <w:kern w:val="0"/>
      <w:sz w:val="24"/>
      <w:szCs w:val="20"/>
    </w:rPr>
  </w:style>
  <w:style w:type="paragraph" w:customStyle="1" w:styleId="952">
    <w:name w:val="Char Char Char Char Char2 Char2"/>
    <w:basedOn w:val="1"/>
    <w:qFormat/>
    <w:uiPriority w:val="0"/>
    <w:pPr>
      <w:spacing w:line="360" w:lineRule="auto"/>
    </w:pPr>
    <w:rPr>
      <w:szCs w:val="20"/>
    </w:rPr>
  </w:style>
  <w:style w:type="paragraph" w:customStyle="1" w:styleId="953">
    <w:name w:val="_Style 43"/>
    <w:basedOn w:val="1"/>
    <w:next w:val="34"/>
    <w:qFormat/>
    <w:uiPriority w:val="0"/>
    <w:pPr>
      <w:autoSpaceDE w:val="0"/>
      <w:autoSpaceDN w:val="0"/>
      <w:adjustRightInd w:val="0"/>
      <w:spacing w:line="360" w:lineRule="auto"/>
      <w:ind w:firstLine="480"/>
      <w:textAlignment w:val="baseline"/>
    </w:pPr>
    <w:rPr>
      <w:rFonts w:ascii="宋体" w:hAnsi="宋体"/>
      <w:kern w:val="0"/>
      <w:sz w:val="24"/>
      <w:szCs w:val="20"/>
    </w:rPr>
  </w:style>
  <w:style w:type="paragraph" w:customStyle="1" w:styleId="954">
    <w:name w:val="HTML 预设格式1"/>
    <w:basedOn w:val="1"/>
    <w:qFormat/>
    <w:uiPriority w:val="0"/>
    <w:pPr>
      <w:spacing w:line="360" w:lineRule="auto"/>
    </w:pPr>
    <w:rPr>
      <w:rFonts w:ascii="Courier New" w:hAnsi="Courier New"/>
      <w:kern w:val="0"/>
      <w:sz w:val="20"/>
      <w:szCs w:val="20"/>
    </w:rPr>
  </w:style>
  <w:style w:type="paragraph" w:customStyle="1" w:styleId="955">
    <w:name w:val="xl84"/>
    <w:basedOn w:val="1"/>
    <w:qFormat/>
    <w:uiPriority w:val="0"/>
    <w:pPr>
      <w:widowControl/>
      <w:pBdr>
        <w:left w:val="single" w:color="auto" w:sz="8" w:space="0"/>
        <w:right w:val="single" w:color="auto" w:sz="4" w:space="0"/>
      </w:pBdr>
      <w:spacing w:before="100" w:beforeAutospacing="1" w:after="100" w:afterAutospacing="1" w:line="360" w:lineRule="auto"/>
      <w:jc w:val="center"/>
    </w:pPr>
    <w:rPr>
      <w:rFonts w:ascii="宋体" w:hAnsi="宋体"/>
      <w:kern w:val="0"/>
      <w:sz w:val="24"/>
      <w:szCs w:val="20"/>
    </w:rPr>
  </w:style>
  <w:style w:type="paragraph" w:customStyle="1" w:styleId="956">
    <w:name w:val="Header 2 Text"/>
    <w:basedOn w:val="1"/>
    <w:qFormat/>
    <w:uiPriority w:val="0"/>
    <w:pPr>
      <w:widowControl/>
      <w:tabs>
        <w:tab w:val="left" w:pos="567"/>
        <w:tab w:val="left" w:pos="1134"/>
        <w:tab w:val="left" w:pos="1701"/>
        <w:tab w:val="left" w:pos="2268"/>
        <w:tab w:val="left" w:pos="2835"/>
        <w:tab w:val="left" w:pos="3402"/>
        <w:tab w:val="left" w:pos="3969"/>
        <w:tab w:val="left" w:pos="4536"/>
        <w:tab w:val="left" w:pos="5103"/>
      </w:tabs>
      <w:spacing w:before="120" w:line="320" w:lineRule="exact"/>
      <w:ind w:left="567"/>
    </w:pPr>
    <w:rPr>
      <w:rFonts w:ascii="Arial" w:hAnsi="Arial"/>
      <w:kern w:val="0"/>
      <w:sz w:val="22"/>
      <w:szCs w:val="20"/>
    </w:rPr>
  </w:style>
  <w:style w:type="paragraph" w:customStyle="1" w:styleId="957">
    <w:name w:val="正文文本缩进 31"/>
    <w:basedOn w:val="1"/>
    <w:qFormat/>
    <w:uiPriority w:val="0"/>
    <w:pPr>
      <w:adjustRightInd w:val="0"/>
      <w:spacing w:line="360" w:lineRule="auto"/>
      <w:ind w:firstLine="562"/>
      <w:textAlignment w:val="baseline"/>
    </w:pPr>
    <w:rPr>
      <w:rFonts w:ascii="宋体" w:hAnsi="宋体"/>
      <w:b/>
      <w:sz w:val="28"/>
      <w:szCs w:val="20"/>
    </w:rPr>
  </w:style>
  <w:style w:type="paragraph" w:customStyle="1" w:styleId="958">
    <w:name w:val="封面正文"/>
    <w:qFormat/>
    <w:uiPriority w:val="0"/>
    <w:pPr>
      <w:jc w:val="both"/>
    </w:pPr>
    <w:rPr>
      <w:rFonts w:ascii="Times New Roman" w:hAnsi="Times New Roman" w:eastAsia="宋体" w:cs="Times New Roman"/>
      <w:lang w:val="en-US" w:eastAsia="zh-CN" w:bidi="ar-SA"/>
    </w:rPr>
  </w:style>
  <w:style w:type="paragraph" w:customStyle="1" w:styleId="959">
    <w:name w:val="FIGURE-title"/>
    <w:basedOn w:val="1"/>
    <w:next w:val="1"/>
    <w:qFormat/>
    <w:uiPriority w:val="0"/>
    <w:pPr>
      <w:widowControl/>
      <w:snapToGrid w:val="0"/>
      <w:spacing w:before="100" w:after="200" w:line="360" w:lineRule="auto"/>
      <w:jc w:val="center"/>
    </w:pPr>
    <w:rPr>
      <w:rFonts w:ascii="Arial" w:hAnsi="Arial"/>
      <w:b/>
      <w:spacing w:val="8"/>
      <w:kern w:val="0"/>
      <w:sz w:val="20"/>
      <w:szCs w:val="20"/>
      <w:lang w:val="en-GB"/>
    </w:rPr>
  </w:style>
  <w:style w:type="paragraph" w:customStyle="1" w:styleId="960">
    <w:name w:val="标题4"/>
    <w:basedOn w:val="1"/>
    <w:link w:val="1230"/>
    <w:qFormat/>
    <w:uiPriority w:val="0"/>
    <w:pPr>
      <w:adjustRightInd w:val="0"/>
      <w:spacing w:line="360" w:lineRule="auto"/>
      <w:jc w:val="left"/>
      <w:textAlignment w:val="baseline"/>
    </w:pPr>
    <w:rPr>
      <w:rFonts w:ascii="宋体"/>
      <w:b/>
      <w:kern w:val="0"/>
      <w:sz w:val="28"/>
      <w:szCs w:val="20"/>
    </w:rPr>
  </w:style>
  <w:style w:type="paragraph" w:customStyle="1" w:styleId="961">
    <w:name w:val="样式 wang正文 + 首行缩进:  2 字符1"/>
    <w:basedOn w:val="771"/>
    <w:qFormat/>
    <w:uiPriority w:val="0"/>
    <w:pPr>
      <w:topLinePunct w:val="0"/>
      <w:autoSpaceDE w:val="0"/>
      <w:autoSpaceDN w:val="0"/>
      <w:adjustRightInd w:val="0"/>
      <w:ind w:firstLine="640" w:firstLineChars="200"/>
      <w:jc w:val="left"/>
      <w:textAlignment w:val="baseline"/>
    </w:pPr>
    <w:rPr>
      <w:rFonts w:ascii="等线" w:hAnsi="等线" w:eastAsia="等线"/>
      <w:sz w:val="24"/>
    </w:rPr>
  </w:style>
  <w:style w:type="paragraph" w:customStyle="1" w:styleId="962">
    <w:name w:val="样式 样式 标题 2 + 小四 + 段后: 2 行"/>
    <w:basedOn w:val="783"/>
    <w:qFormat/>
    <w:uiPriority w:val="0"/>
  </w:style>
  <w:style w:type="paragraph" w:customStyle="1" w:styleId="963">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4"/>
      <w:szCs w:val="20"/>
    </w:rPr>
  </w:style>
  <w:style w:type="paragraph" w:customStyle="1" w:styleId="964">
    <w:name w:val="英文标号正文"/>
    <w:basedOn w:val="1"/>
    <w:qFormat/>
    <w:uiPriority w:val="0"/>
    <w:pPr>
      <w:widowControl/>
      <w:tabs>
        <w:tab w:val="left" w:pos="425"/>
      </w:tabs>
      <w:autoSpaceDE w:val="0"/>
      <w:autoSpaceDN w:val="0"/>
      <w:spacing w:line="530" w:lineRule="exact"/>
      <w:ind w:left="1425" w:hanging="720"/>
    </w:pPr>
    <w:rPr>
      <w:rFonts w:eastAsia="仿宋_GB2312"/>
      <w:kern w:val="0"/>
      <w:sz w:val="24"/>
      <w:szCs w:val="20"/>
    </w:rPr>
  </w:style>
  <w:style w:type="paragraph" w:customStyle="1" w:styleId="965">
    <w:name w:val="注×："/>
    <w:qFormat/>
    <w:uiPriority w:val="0"/>
    <w:pPr>
      <w:widowControl w:val="0"/>
      <w:tabs>
        <w:tab w:val="left" w:pos="360"/>
        <w:tab w:val="left" w:pos="630"/>
        <w:tab w:val="left" w:pos="2040"/>
      </w:tabs>
      <w:autoSpaceDE w:val="0"/>
      <w:autoSpaceDN w:val="0"/>
      <w:ind w:left="800" w:leftChars="800" w:hanging="200" w:hangingChars="200"/>
      <w:jc w:val="both"/>
    </w:pPr>
    <w:rPr>
      <w:rFonts w:ascii="宋体" w:hAnsi="Times New Roman" w:eastAsia="宋体" w:cs="Times New Roman"/>
      <w:sz w:val="18"/>
      <w:lang w:val="en-US" w:eastAsia="zh-CN" w:bidi="ar-SA"/>
    </w:rPr>
  </w:style>
  <w:style w:type="paragraph" w:customStyle="1" w:styleId="966">
    <w:name w:val="默认段落字体 Para Char Char Char Char Char"/>
    <w:basedOn w:val="1"/>
    <w:qFormat/>
    <w:uiPriority w:val="0"/>
    <w:pPr>
      <w:spacing w:line="360" w:lineRule="auto"/>
    </w:pPr>
    <w:rPr>
      <w:rFonts w:ascii="宋体" w:hAnsi="宋体"/>
      <w:b/>
      <w:color w:val="000000"/>
      <w:sz w:val="24"/>
    </w:rPr>
  </w:style>
  <w:style w:type="paragraph" w:customStyle="1" w:styleId="96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8">
    <w:name w:val="图片"/>
    <w:basedOn w:val="1"/>
    <w:qFormat/>
    <w:uiPriority w:val="0"/>
    <w:pPr>
      <w:topLinePunct/>
      <w:snapToGrid w:val="0"/>
      <w:spacing w:before="160" w:after="160" w:line="360" w:lineRule="auto"/>
      <w:jc w:val="center"/>
    </w:pPr>
    <w:rPr>
      <w:szCs w:val="21"/>
    </w:rPr>
  </w:style>
  <w:style w:type="paragraph" w:customStyle="1" w:styleId="969">
    <w:name w:val="二级无标题条"/>
    <w:basedOn w:val="1"/>
    <w:qFormat/>
    <w:uiPriority w:val="0"/>
    <w:pPr>
      <w:spacing w:line="360" w:lineRule="auto"/>
    </w:pPr>
    <w:rPr>
      <w:szCs w:val="20"/>
    </w:rPr>
  </w:style>
  <w:style w:type="paragraph" w:customStyle="1" w:styleId="970">
    <w:name w:val="Char Char Char Char Char1 Char Char Char Char Char Char Char"/>
    <w:basedOn w:val="1"/>
    <w:qFormat/>
    <w:uiPriority w:val="0"/>
    <w:pPr>
      <w:spacing w:line="360" w:lineRule="auto"/>
    </w:pPr>
    <w:rPr>
      <w:szCs w:val="20"/>
    </w:rPr>
  </w:style>
  <w:style w:type="paragraph" w:customStyle="1" w:styleId="971">
    <w:name w:val="表文"/>
    <w:basedOn w:val="1"/>
    <w:qFormat/>
    <w:uiPriority w:val="0"/>
    <w:pPr>
      <w:topLinePunct/>
      <w:spacing w:before="40" w:after="40" w:line="360" w:lineRule="auto"/>
    </w:pPr>
    <w:rPr>
      <w:sz w:val="18"/>
      <w:szCs w:val="20"/>
    </w:rPr>
  </w:style>
  <w:style w:type="paragraph" w:customStyle="1" w:styleId="972">
    <w:name w:val="样式 标题 3 + 小四"/>
    <w:basedOn w:val="5"/>
    <w:qFormat/>
    <w:uiPriority w:val="0"/>
    <w:pPr>
      <w:autoSpaceDE w:val="0"/>
      <w:autoSpaceDN w:val="0"/>
      <w:adjustRightInd w:val="0"/>
      <w:spacing w:before="20" w:after="20"/>
      <w:ind w:firstLine="0" w:firstLineChars="0"/>
      <w:jc w:val="left"/>
    </w:pPr>
    <w:rPr>
      <w:bCs w:val="0"/>
      <w:sz w:val="24"/>
      <w:szCs w:val="20"/>
    </w:rPr>
  </w:style>
  <w:style w:type="paragraph" w:customStyle="1" w:styleId="973">
    <w:name w:val="字元 Char Char Char Char Char Char"/>
    <w:basedOn w:val="1"/>
    <w:qFormat/>
    <w:uiPriority w:val="0"/>
    <w:pPr>
      <w:spacing w:line="360" w:lineRule="auto"/>
    </w:pPr>
    <w:rPr>
      <w:rFonts w:ascii="Tahoma" w:hAnsi="Tahoma"/>
      <w:sz w:val="24"/>
      <w:szCs w:val="20"/>
    </w:rPr>
  </w:style>
  <w:style w:type="paragraph" w:customStyle="1" w:styleId="974">
    <w:name w:val="Char Char1 Char Char Char Char Char Char Char"/>
    <w:basedOn w:val="1"/>
    <w:qFormat/>
    <w:uiPriority w:val="0"/>
    <w:pPr>
      <w:tabs>
        <w:tab w:val="left" w:pos="360"/>
      </w:tabs>
      <w:spacing w:line="360" w:lineRule="auto"/>
      <w:ind w:firstLine="420" w:firstLineChars="150"/>
    </w:pPr>
    <w:rPr>
      <w:rFonts w:ascii="Arial" w:hAnsi="Arial"/>
      <w:sz w:val="20"/>
      <w:szCs w:val="20"/>
    </w:rPr>
  </w:style>
  <w:style w:type="paragraph" w:customStyle="1" w:styleId="975">
    <w:name w:val="CM22"/>
    <w:basedOn w:val="221"/>
    <w:next w:val="221"/>
    <w:qFormat/>
    <w:uiPriority w:val="0"/>
  </w:style>
  <w:style w:type="paragraph" w:customStyle="1" w:styleId="976">
    <w:name w:val="xl89"/>
    <w:basedOn w:val="1"/>
    <w:qFormat/>
    <w:uiPriority w:val="0"/>
    <w:pPr>
      <w:widowControl/>
      <w:pBdr>
        <w:top w:val="single" w:color="auto" w:sz="4" w:space="0"/>
        <w:left w:val="single" w:color="auto" w:sz="4" w:space="0"/>
        <w:bottom w:val="single" w:color="auto" w:sz="8" w:space="0"/>
      </w:pBdr>
      <w:spacing w:before="100" w:beforeAutospacing="1" w:after="100" w:afterAutospacing="1" w:line="360" w:lineRule="auto"/>
      <w:jc w:val="center"/>
    </w:pPr>
    <w:rPr>
      <w:rFonts w:ascii="宋体" w:hAnsi="宋体"/>
      <w:b/>
      <w:kern w:val="0"/>
      <w:sz w:val="24"/>
      <w:szCs w:val="20"/>
    </w:rPr>
  </w:style>
  <w:style w:type="paragraph" w:customStyle="1" w:styleId="977">
    <w:name w:val="附录 1"/>
    <w:basedOn w:val="59"/>
    <w:qFormat/>
    <w:uiPriority w:val="0"/>
    <w:pPr>
      <w:widowControl/>
      <w:tabs>
        <w:tab w:val="left" w:pos="840"/>
        <w:tab w:val="left" w:pos="1140"/>
        <w:tab w:val="clear" w:pos="9628"/>
      </w:tabs>
      <w:spacing w:before="120" w:after="120" w:line="530" w:lineRule="exact"/>
      <w:ind w:left="1140" w:hanging="720"/>
      <w:jc w:val="center"/>
      <w:outlineLvl w:val="0"/>
    </w:pPr>
    <w:rPr>
      <w:rFonts w:hAnsi="Times New Roman"/>
      <w:caps/>
      <w:sz w:val="36"/>
      <w:szCs w:val="20"/>
    </w:rPr>
  </w:style>
  <w:style w:type="paragraph" w:customStyle="1" w:styleId="978">
    <w:name w:val="样式 标题 2标题 2 Char + 宋体"/>
    <w:basedOn w:val="4"/>
    <w:qFormat/>
    <w:uiPriority w:val="0"/>
    <w:pPr>
      <w:keepNext w:val="0"/>
      <w:numPr>
        <w:ilvl w:val="0"/>
        <w:numId w:val="15"/>
      </w:numPr>
      <w:tabs>
        <w:tab w:val="left" w:pos="420"/>
        <w:tab w:val="left" w:pos="1260"/>
        <w:tab w:val="left" w:pos="6090"/>
      </w:tabs>
      <w:adjustRightInd w:val="0"/>
      <w:snapToGrid w:val="0"/>
      <w:spacing w:before="0" w:after="0"/>
      <w:ind w:left="-1" w:leftChars="-1"/>
      <w:jc w:val="both"/>
    </w:pPr>
    <w:rPr>
      <w:rFonts w:ascii="宋体" w:hAnsi="Times New Roman"/>
      <w:b w:val="0"/>
      <w:bCs w:val="0"/>
      <w:kern w:val="2"/>
      <w:sz w:val="21"/>
      <w:szCs w:val="21"/>
    </w:rPr>
  </w:style>
  <w:style w:type="paragraph" w:customStyle="1" w:styleId="979">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980">
    <w:name w:val="Table_Legend"/>
    <w:basedOn w:val="1"/>
    <w:next w:val="1"/>
    <w:qFormat/>
    <w:uiPriority w:val="0"/>
    <w:pPr>
      <w:keepNext/>
      <w:tabs>
        <w:tab w:val="left" w:pos="454"/>
      </w:tabs>
      <w:autoSpaceDE w:val="0"/>
      <w:autoSpaceDN w:val="0"/>
      <w:adjustRightInd w:val="0"/>
      <w:spacing w:before="86" w:line="199" w:lineRule="exact"/>
      <w:textAlignment w:val="baseline"/>
    </w:pPr>
    <w:rPr>
      <w:kern w:val="0"/>
      <w:sz w:val="18"/>
      <w:szCs w:val="20"/>
    </w:rPr>
  </w:style>
  <w:style w:type="paragraph" w:customStyle="1" w:styleId="98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82">
    <w:name w:val="纯文本1"/>
    <w:basedOn w:val="1"/>
    <w:qFormat/>
    <w:uiPriority w:val="0"/>
    <w:pPr>
      <w:spacing w:line="360" w:lineRule="auto"/>
    </w:pPr>
    <w:rPr>
      <w:rFonts w:ascii="宋体" w:hAnsi="Courier New"/>
      <w:kern w:val="0"/>
      <w:sz w:val="20"/>
      <w:szCs w:val="20"/>
    </w:rPr>
  </w:style>
  <w:style w:type="paragraph" w:customStyle="1" w:styleId="983">
    <w:name w:val="列项·"/>
    <w:qFormat/>
    <w:uiPriority w:val="0"/>
    <w:pPr>
      <w:tabs>
        <w:tab w:val="left" w:pos="360"/>
        <w:tab w:val="left" w:pos="425"/>
        <w:tab w:val="left" w:pos="840"/>
      </w:tabs>
      <w:ind w:left="425" w:hanging="425"/>
      <w:jc w:val="both"/>
    </w:pPr>
    <w:rPr>
      <w:rFonts w:ascii="宋体" w:hAnsi="Times New Roman" w:eastAsia="宋体" w:cs="Times New Roman"/>
      <w:sz w:val="21"/>
      <w:lang w:val="en-US" w:eastAsia="zh-CN" w:bidi="ar-SA"/>
    </w:rPr>
  </w:style>
  <w:style w:type="paragraph" w:customStyle="1" w:styleId="984">
    <w:name w:val="样式 标题 3 + 宋体 段前: 7.8 磅"/>
    <w:basedOn w:val="5"/>
    <w:qFormat/>
    <w:uiPriority w:val="0"/>
    <w:pPr>
      <w:keepNext w:val="0"/>
      <w:keepLines w:val="0"/>
      <w:numPr>
        <w:ilvl w:val="2"/>
        <w:numId w:val="15"/>
      </w:numPr>
      <w:tabs>
        <w:tab w:val="left" w:pos="1560"/>
      </w:tabs>
      <w:adjustRightInd w:val="0"/>
      <w:snapToGrid w:val="0"/>
      <w:spacing w:before="156" w:after="0"/>
      <w:ind w:firstLine="0" w:firstLineChars="0"/>
    </w:pPr>
    <w:rPr>
      <w:rFonts w:hAnsi="宋体" w:cs="宋体"/>
      <w:b w:val="0"/>
      <w:bCs w:val="0"/>
      <w:kern w:val="2"/>
      <w:sz w:val="21"/>
      <w:szCs w:val="20"/>
    </w:rPr>
  </w:style>
  <w:style w:type="paragraph" w:customStyle="1" w:styleId="985">
    <w:name w:val="样式 标题 1 + 非加粗"/>
    <w:basedOn w:val="3"/>
    <w:qFormat/>
    <w:uiPriority w:val="0"/>
    <w:pPr>
      <w:keepLines/>
      <w:tabs>
        <w:tab w:val="left" w:pos="425"/>
      </w:tabs>
      <w:topLinePunct/>
      <w:autoSpaceDE/>
      <w:autoSpaceDN/>
      <w:adjustRightInd/>
      <w:spacing w:line="480" w:lineRule="auto"/>
      <w:ind w:firstLine="420"/>
      <w:jc w:val="both"/>
      <w:textAlignment w:val="baseline"/>
    </w:pPr>
    <w:rPr>
      <w:rFonts w:ascii="Times New Roman" w:eastAsia="宋体"/>
      <w:bCs w:val="0"/>
      <w:color w:val="auto"/>
      <w:kern w:val="44"/>
      <w:sz w:val="28"/>
      <w:szCs w:val="22"/>
    </w:rPr>
  </w:style>
  <w:style w:type="paragraph" w:customStyle="1" w:styleId="986">
    <w:name w:val="Figure_#"/>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480" w:after="120" w:line="360" w:lineRule="auto"/>
      <w:ind w:firstLine="200" w:firstLineChars="200"/>
      <w:jc w:val="center"/>
      <w:textAlignment w:val="baseline"/>
    </w:pPr>
    <w:rPr>
      <w:kern w:val="0"/>
      <w:sz w:val="24"/>
      <w:szCs w:val="20"/>
      <w:lang w:val="en-GB" w:eastAsia="en-US"/>
    </w:rPr>
  </w:style>
  <w:style w:type="paragraph" w:customStyle="1" w:styleId="987">
    <w:name w:val="someconten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988">
    <w:name w:val="A4页面"/>
    <w:basedOn w:val="1"/>
    <w:qFormat/>
    <w:uiPriority w:val="0"/>
    <w:pPr>
      <w:spacing w:line="560" w:lineRule="exact"/>
      <w:ind w:firstLine="640" w:firstLineChars="200"/>
    </w:pPr>
    <w:rPr>
      <w:rFonts w:eastAsia="仿宋_GB2312"/>
      <w:sz w:val="32"/>
      <w:szCs w:val="20"/>
    </w:rPr>
  </w:style>
  <w:style w:type="paragraph" w:customStyle="1" w:styleId="989">
    <w:name w:val="Char1 Char Char Char Char Char Char"/>
    <w:basedOn w:val="1"/>
    <w:qFormat/>
    <w:uiPriority w:val="0"/>
    <w:pPr>
      <w:spacing w:line="360" w:lineRule="auto"/>
    </w:pPr>
    <w:rPr>
      <w:rFonts w:ascii="Tahoma" w:hAnsi="Tahoma"/>
      <w:sz w:val="24"/>
      <w:szCs w:val="20"/>
    </w:rPr>
  </w:style>
  <w:style w:type="paragraph" w:customStyle="1" w:styleId="990">
    <w:name w:val="xl73"/>
    <w:basedOn w:val="1"/>
    <w:qFormat/>
    <w:uiPriority w:val="0"/>
    <w:pPr>
      <w:widowControl/>
      <w:pBdr>
        <w:left w:val="single" w:color="auto" w:sz="4" w:space="0"/>
        <w:right w:val="single" w:color="auto" w:sz="4" w:space="0"/>
      </w:pBdr>
      <w:spacing w:before="100" w:beforeAutospacing="1" w:after="100" w:afterAutospacing="1" w:line="360" w:lineRule="auto"/>
      <w:jc w:val="left"/>
      <w:textAlignment w:val="center"/>
    </w:pPr>
    <w:rPr>
      <w:rFonts w:ascii="宋体" w:hAnsi="宋体"/>
      <w:kern w:val="0"/>
      <w:sz w:val="24"/>
      <w:szCs w:val="20"/>
    </w:rPr>
  </w:style>
  <w:style w:type="paragraph" w:customStyle="1" w:styleId="991">
    <w:name w:val="附录五级条标题"/>
    <w:basedOn w:val="948"/>
    <w:next w:val="1"/>
    <w:qFormat/>
    <w:uiPriority w:val="0"/>
    <w:pPr>
      <w:outlineLvl w:val="6"/>
    </w:pPr>
  </w:style>
  <w:style w:type="paragraph" w:customStyle="1" w:styleId="992">
    <w:name w:val="xl80"/>
    <w:basedOn w:val="1"/>
    <w:qFormat/>
    <w:uiPriority w:val="0"/>
    <w:pPr>
      <w:widowControl/>
      <w:pBdr>
        <w:top w:val="single" w:color="auto" w:sz="4" w:space="0"/>
        <w:left w:val="single" w:color="auto" w:sz="4" w:space="0"/>
      </w:pBdr>
      <w:spacing w:before="100" w:beforeAutospacing="1" w:after="100" w:afterAutospacing="1" w:line="360" w:lineRule="auto"/>
      <w:jc w:val="center"/>
      <w:textAlignment w:val="center"/>
    </w:pPr>
    <w:rPr>
      <w:rFonts w:ascii="宋体" w:hAnsi="宋体"/>
      <w:kern w:val="0"/>
      <w:sz w:val="24"/>
      <w:szCs w:val="20"/>
    </w:rPr>
  </w:style>
  <w:style w:type="paragraph" w:customStyle="1" w:styleId="993">
    <w:name w:val="Z"/>
    <w:basedOn w:val="1"/>
    <w:qFormat/>
    <w:uiPriority w:val="0"/>
    <w:pPr>
      <w:topLinePunct/>
      <w:spacing w:line="360" w:lineRule="auto"/>
      <w:ind w:right="100" w:rightChars="100" w:firstLine="360" w:firstLineChars="200"/>
    </w:pPr>
    <w:rPr>
      <w:rFonts w:hAnsi="宋体"/>
      <w:color w:val="000000"/>
      <w:sz w:val="18"/>
      <w:szCs w:val="20"/>
    </w:rPr>
  </w:style>
  <w:style w:type="paragraph" w:customStyle="1" w:styleId="99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b/>
      <w:kern w:val="0"/>
      <w:sz w:val="24"/>
      <w:szCs w:val="20"/>
    </w:rPr>
  </w:style>
  <w:style w:type="paragraph" w:customStyle="1" w:styleId="995">
    <w:name w:val="Char Char Char Char Char1 Char Char Char"/>
    <w:basedOn w:val="1"/>
    <w:qFormat/>
    <w:uiPriority w:val="0"/>
    <w:pPr>
      <w:spacing w:line="360" w:lineRule="auto"/>
    </w:pPr>
    <w:rPr>
      <w:rFonts w:ascii="Tahoma" w:hAnsi="Tahoma"/>
      <w:sz w:val="24"/>
      <w:szCs w:val="20"/>
    </w:rPr>
  </w:style>
  <w:style w:type="paragraph" w:customStyle="1" w:styleId="996">
    <w:name w:val="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997">
    <w:name w:val="xl8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360" w:lineRule="auto"/>
      <w:jc w:val="center"/>
    </w:pPr>
    <w:rPr>
      <w:rFonts w:ascii="宋体" w:hAnsi="宋体"/>
      <w:kern w:val="0"/>
      <w:sz w:val="24"/>
      <w:szCs w:val="20"/>
    </w:rPr>
  </w:style>
  <w:style w:type="paragraph" w:customStyle="1" w:styleId="998">
    <w:name w:val="样式 标题 2 + 段前: 0.5 行 段后: 0.5 行"/>
    <w:basedOn w:val="4"/>
    <w:qFormat/>
    <w:uiPriority w:val="0"/>
    <w:pPr>
      <w:tabs>
        <w:tab w:val="left" w:pos="420"/>
        <w:tab w:val="left" w:pos="576"/>
        <w:tab w:val="left" w:pos="6090"/>
      </w:tabs>
      <w:adjustRightInd w:val="0"/>
      <w:spacing w:before="156" w:beforeLines="50" w:after="156" w:afterLines="50" w:line="240" w:lineRule="auto"/>
      <w:ind w:left="-2" w:leftChars="-1" w:firstLine="200" w:firstLineChars="200"/>
      <w:textAlignment w:val="baseline"/>
    </w:pPr>
    <w:rPr>
      <w:rFonts w:ascii="Times New Roman" w:hAnsi="Times New Roman" w:eastAsia="黑体"/>
      <w:b w:val="0"/>
      <w:bCs w:val="0"/>
      <w:snapToGrid w:val="0"/>
      <w:color w:val="000000"/>
      <w:sz w:val="21"/>
      <w:szCs w:val="20"/>
    </w:rPr>
  </w:style>
  <w:style w:type="paragraph" w:customStyle="1" w:styleId="999">
    <w:name w:val="表文22"/>
    <w:basedOn w:val="1"/>
    <w:qFormat/>
    <w:uiPriority w:val="0"/>
    <w:pPr>
      <w:topLinePunct/>
      <w:snapToGrid w:val="0"/>
      <w:spacing w:before="60" w:after="60" w:line="360" w:lineRule="auto"/>
      <w:jc w:val="center"/>
    </w:pPr>
    <w:rPr>
      <w:rFonts w:hAnsi="宋体"/>
      <w:kern w:val="21"/>
      <w:sz w:val="18"/>
      <w:szCs w:val="18"/>
    </w:rPr>
  </w:style>
  <w:style w:type="paragraph" w:customStyle="1" w:styleId="1000">
    <w:name w:val="列项——"/>
    <w:qFormat/>
    <w:uiPriority w:val="0"/>
    <w:pPr>
      <w:widowControl w:val="0"/>
      <w:tabs>
        <w:tab w:val="left" w:pos="432"/>
        <w:tab w:val="left" w:pos="854"/>
      </w:tabs>
      <w:ind w:left="432" w:leftChars="200" w:hanging="432" w:hangingChars="200"/>
      <w:jc w:val="both"/>
    </w:pPr>
    <w:rPr>
      <w:rFonts w:ascii="宋体" w:hAnsi="Times New Roman" w:eastAsia="宋体" w:cs="Times New Roman"/>
      <w:sz w:val="21"/>
      <w:lang w:val="en-US" w:eastAsia="zh-CN" w:bidi="ar-SA"/>
    </w:rPr>
  </w:style>
  <w:style w:type="paragraph" w:customStyle="1" w:styleId="1001">
    <w:name w:val="脚注文本1"/>
    <w:basedOn w:val="1"/>
    <w:qFormat/>
    <w:uiPriority w:val="0"/>
    <w:pPr>
      <w:snapToGrid w:val="0"/>
      <w:spacing w:line="360" w:lineRule="auto"/>
      <w:jc w:val="left"/>
    </w:pPr>
    <w:rPr>
      <w:kern w:val="0"/>
      <w:sz w:val="18"/>
      <w:szCs w:val="20"/>
    </w:rPr>
  </w:style>
  <w:style w:type="paragraph" w:customStyle="1" w:styleId="1002">
    <w:name w:val="普通(网站)1"/>
    <w:basedOn w:val="1"/>
    <w:qFormat/>
    <w:uiPriority w:val="0"/>
    <w:pPr>
      <w:widowControl/>
      <w:spacing w:before="100" w:beforeAutospacing="1" w:after="100" w:afterAutospacing="1" w:line="360" w:lineRule="auto"/>
      <w:jc w:val="left"/>
    </w:pPr>
    <w:rPr>
      <w:rFonts w:ascii="宋体" w:hAnsi="宋体"/>
      <w:kern w:val="0"/>
      <w:sz w:val="24"/>
      <w:szCs w:val="20"/>
    </w:rPr>
  </w:style>
  <w:style w:type="paragraph" w:customStyle="1" w:styleId="1003">
    <w:name w:val="HTML 地址1"/>
    <w:basedOn w:val="1"/>
    <w:qFormat/>
    <w:uiPriority w:val="0"/>
    <w:pPr>
      <w:spacing w:line="360" w:lineRule="auto"/>
    </w:pPr>
    <w:rPr>
      <w:i/>
      <w:kern w:val="0"/>
      <w:sz w:val="20"/>
      <w:szCs w:val="20"/>
    </w:rPr>
  </w:style>
  <w:style w:type="paragraph" w:customStyle="1" w:styleId="1004">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ascii="宋体" w:hAnsi="宋体"/>
      <w:kern w:val="0"/>
      <w:sz w:val="24"/>
      <w:szCs w:val="20"/>
    </w:rPr>
  </w:style>
  <w:style w:type="paragraph" w:customStyle="1" w:styleId="1005">
    <w:name w:val="表格标题粗体_制度头表格"/>
    <w:qFormat/>
    <w:uiPriority w:val="0"/>
    <w:pPr>
      <w:jc w:val="center"/>
    </w:pPr>
    <w:rPr>
      <w:rFonts w:ascii="Times New Roman" w:hAnsi="Times New Roman" w:eastAsia="宋体" w:cs="Times New Roman"/>
      <w:b/>
      <w:sz w:val="21"/>
      <w:szCs w:val="21"/>
      <w:lang w:val="en-US" w:eastAsia="zh-CN" w:bidi="ar-SA"/>
    </w:rPr>
  </w:style>
  <w:style w:type="paragraph" w:customStyle="1" w:styleId="1006">
    <w:name w:val="前言首行"/>
    <w:basedOn w:val="1"/>
    <w:qFormat/>
    <w:uiPriority w:val="0"/>
    <w:pPr>
      <w:spacing w:after="120" w:line="360" w:lineRule="auto"/>
      <w:jc w:val="center"/>
    </w:pPr>
    <w:rPr>
      <w:rFonts w:eastAsia="黑体" w:cs="宋体"/>
      <w:b/>
      <w:bCs/>
      <w:sz w:val="32"/>
      <w:szCs w:val="20"/>
    </w:rPr>
  </w:style>
  <w:style w:type="paragraph" w:customStyle="1" w:styleId="1007">
    <w:name w:val="二级标题"/>
    <w:basedOn w:val="4"/>
    <w:qFormat/>
    <w:uiPriority w:val="0"/>
    <w:pPr>
      <w:tabs>
        <w:tab w:val="left" w:pos="420"/>
        <w:tab w:val="left" w:pos="6090"/>
        <w:tab w:val="left" w:pos="6840"/>
      </w:tabs>
      <w:autoSpaceDE w:val="0"/>
      <w:autoSpaceDN w:val="0"/>
      <w:adjustRightInd w:val="0"/>
      <w:spacing w:before="312" w:beforeLines="100" w:after="156" w:afterLines="50" w:line="240" w:lineRule="auto"/>
      <w:ind w:left="-2" w:leftChars="-1" w:firstLine="200" w:firstLineChars="200"/>
      <w:jc w:val="both"/>
      <w:textAlignment w:val="baseline"/>
    </w:pPr>
    <w:rPr>
      <w:rFonts w:eastAsia="黑体"/>
      <w:bCs w:val="0"/>
      <w:snapToGrid w:val="0"/>
      <w:color w:val="000000"/>
      <w:sz w:val="24"/>
      <w:szCs w:val="20"/>
    </w:rPr>
  </w:style>
  <w:style w:type="paragraph" w:customStyle="1" w:styleId="1008">
    <w:name w:val="union"/>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1009">
    <w:name w:val="xl94"/>
    <w:basedOn w:val="1"/>
    <w:qFormat/>
    <w:uiPriority w:val="0"/>
    <w:pPr>
      <w:widowControl/>
      <w:pBdr>
        <w:top w:val="single" w:color="auto" w:sz="4" w:space="0"/>
        <w:left w:val="single" w:color="auto" w:sz="4" w:space="0"/>
        <w:right w:val="single" w:color="auto" w:sz="8" w:space="0"/>
      </w:pBdr>
      <w:spacing w:before="100" w:beforeAutospacing="1" w:after="100" w:afterAutospacing="1" w:line="360" w:lineRule="auto"/>
      <w:jc w:val="center"/>
    </w:pPr>
    <w:rPr>
      <w:rFonts w:ascii="宋体" w:hAnsi="宋体"/>
      <w:kern w:val="0"/>
      <w:sz w:val="24"/>
      <w:szCs w:val="20"/>
    </w:rPr>
  </w:style>
  <w:style w:type="paragraph" w:customStyle="1" w:styleId="1010">
    <w:name w:val="文件内容"/>
    <w:basedOn w:val="1"/>
    <w:qFormat/>
    <w:uiPriority w:val="0"/>
    <w:pPr>
      <w:tabs>
        <w:tab w:val="left" w:pos="800"/>
      </w:tabs>
      <w:spacing w:line="580" w:lineRule="exact"/>
      <w:ind w:firstLine="624"/>
    </w:pPr>
    <w:rPr>
      <w:rFonts w:eastAsia="仿宋_GB2312"/>
      <w:sz w:val="32"/>
      <w:szCs w:val="20"/>
    </w:rPr>
  </w:style>
  <w:style w:type="paragraph" w:customStyle="1" w:styleId="1011">
    <w:name w:val="框下空行"/>
    <w:basedOn w:val="826"/>
    <w:next w:val="826"/>
    <w:qFormat/>
    <w:uiPriority w:val="0"/>
  </w:style>
  <w:style w:type="paragraph" w:customStyle="1" w:styleId="1012">
    <w:name w:val="10"/>
    <w:basedOn w:val="1"/>
    <w:next w:val="51"/>
    <w:qFormat/>
    <w:uiPriority w:val="0"/>
    <w:pPr>
      <w:spacing w:after="120" w:line="360" w:lineRule="auto"/>
      <w:ind w:firstLine="480" w:firstLineChars="200"/>
    </w:pPr>
    <w:rPr>
      <w:sz w:val="24"/>
      <w:szCs w:val="20"/>
    </w:rPr>
  </w:style>
  <w:style w:type="paragraph" w:customStyle="1" w:styleId="1013">
    <w:name w:val="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4">
    <w:name w:val="a2"/>
    <w:basedOn w:val="1"/>
    <w:qFormat/>
    <w:uiPriority w:val="0"/>
    <w:pPr>
      <w:widowControl/>
      <w:spacing w:before="100" w:beforeAutospacing="1" w:after="100" w:afterAutospacing="1" w:line="360" w:lineRule="auto"/>
      <w:jc w:val="left"/>
    </w:pPr>
    <w:rPr>
      <w:rFonts w:ascii="宋体" w:hAnsi="宋体"/>
      <w:kern w:val="0"/>
      <w:sz w:val="24"/>
      <w:szCs w:val="20"/>
    </w:rPr>
  </w:style>
  <w:style w:type="paragraph" w:customStyle="1" w:styleId="1015">
    <w:name w:val="正表格内容"/>
    <w:basedOn w:val="1"/>
    <w:qFormat/>
    <w:uiPriority w:val="0"/>
    <w:pPr>
      <w:widowControl/>
      <w:tabs>
        <w:tab w:val="left" w:pos="480"/>
      </w:tabs>
      <w:autoSpaceDE w:val="0"/>
      <w:autoSpaceDN w:val="0"/>
      <w:adjustRightInd w:val="0"/>
      <w:spacing w:line="360" w:lineRule="auto"/>
      <w:jc w:val="center"/>
      <w:textAlignment w:val="bottom"/>
    </w:pPr>
    <w:rPr>
      <w:kern w:val="0"/>
      <w:sz w:val="18"/>
      <w:szCs w:val="20"/>
    </w:rPr>
  </w:style>
  <w:style w:type="paragraph" w:customStyle="1" w:styleId="1016">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17">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1018">
    <w:name w:val="样式 标题 1 + 首行缩进:  2 字符 段前: 1 行 段后: 1 行"/>
    <w:basedOn w:val="3"/>
    <w:qFormat/>
    <w:uiPriority w:val="0"/>
    <w:pPr>
      <w:keepLines/>
      <w:topLinePunct/>
      <w:autoSpaceDE/>
      <w:autoSpaceDN/>
      <w:adjustRightInd/>
      <w:spacing w:before="312" w:beforeLines="100" w:after="312" w:afterLines="100"/>
      <w:jc w:val="both"/>
    </w:pPr>
    <w:rPr>
      <w:rFonts w:ascii="Times New Roman" w:eastAsia="黑体"/>
      <w:b w:val="0"/>
      <w:bCs w:val="0"/>
      <w:color w:val="auto"/>
      <w:kern w:val="44"/>
      <w:sz w:val="21"/>
    </w:rPr>
  </w:style>
  <w:style w:type="paragraph" w:customStyle="1" w:styleId="1019">
    <w:name w:val="正文缩进0.75"/>
    <w:basedOn w:val="1"/>
    <w:qFormat/>
    <w:uiPriority w:val="0"/>
    <w:pPr>
      <w:adjustRightInd w:val="0"/>
      <w:spacing w:line="360" w:lineRule="auto"/>
      <w:ind w:left="425"/>
      <w:textAlignment w:val="baseline"/>
    </w:pPr>
    <w:rPr>
      <w:rFonts w:ascii="宋体"/>
      <w:w w:val="90"/>
      <w:kern w:val="0"/>
      <w:sz w:val="24"/>
      <w:szCs w:val="20"/>
    </w:rPr>
  </w:style>
  <w:style w:type="paragraph" w:customStyle="1" w:styleId="1020">
    <w:name w:val="xl71"/>
    <w:basedOn w:val="1"/>
    <w:qFormat/>
    <w:uiPriority w:val="0"/>
    <w:pPr>
      <w:widowControl/>
      <w:pBdr>
        <w:left w:val="single" w:color="auto" w:sz="4" w:space="0"/>
        <w:bottom w:val="single" w:color="auto" w:sz="4" w:space="0"/>
      </w:pBdr>
      <w:spacing w:before="100" w:beforeAutospacing="1" w:after="100" w:afterAutospacing="1" w:line="360" w:lineRule="auto"/>
      <w:jc w:val="left"/>
      <w:textAlignment w:val="center"/>
    </w:pPr>
    <w:rPr>
      <w:rFonts w:ascii="宋体" w:hAnsi="宋体"/>
      <w:kern w:val="0"/>
      <w:sz w:val="24"/>
      <w:szCs w:val="20"/>
    </w:rPr>
  </w:style>
  <w:style w:type="paragraph" w:customStyle="1" w:styleId="1021">
    <w:name w:val="Char Char Char1 Char Char Char Char"/>
    <w:basedOn w:val="1"/>
    <w:qFormat/>
    <w:uiPriority w:val="0"/>
    <w:pPr>
      <w:spacing w:line="360" w:lineRule="auto"/>
    </w:pPr>
    <w:rPr>
      <w:rFonts w:ascii="Tahoma" w:hAnsi="Tahoma"/>
      <w:sz w:val="24"/>
      <w:szCs w:val="20"/>
    </w:rPr>
  </w:style>
  <w:style w:type="paragraph" w:customStyle="1" w:styleId="1022">
    <w:name w:val="无标题条"/>
    <w:next w:val="642"/>
    <w:qFormat/>
    <w:uiPriority w:val="0"/>
    <w:pPr>
      <w:jc w:val="both"/>
    </w:pPr>
    <w:rPr>
      <w:rFonts w:ascii="Times New Roman" w:hAnsi="Times New Roman" w:eastAsia="宋体" w:cs="Times New Roman"/>
      <w:sz w:val="21"/>
      <w:lang w:val="en-US" w:eastAsia="zh-CN" w:bidi="ar-SA"/>
    </w:rPr>
  </w:style>
  <w:style w:type="paragraph" w:customStyle="1" w:styleId="1023">
    <w:name w:val="正文标题1"/>
    <w:basedOn w:val="1"/>
    <w:next w:val="1"/>
    <w:qFormat/>
    <w:uiPriority w:val="0"/>
    <w:pPr>
      <w:tabs>
        <w:tab w:val="left" w:pos="360"/>
      </w:tabs>
      <w:spacing w:before="120" w:after="120" w:line="360" w:lineRule="auto"/>
    </w:pPr>
    <w:rPr>
      <w:b/>
      <w:sz w:val="32"/>
      <w:szCs w:val="20"/>
    </w:rPr>
  </w:style>
  <w:style w:type="paragraph" w:customStyle="1" w:styleId="1024">
    <w:name w:val="名称"/>
    <w:basedOn w:val="1"/>
    <w:next w:val="6"/>
    <w:qFormat/>
    <w:uiPriority w:val="0"/>
    <w:pPr>
      <w:widowControl/>
      <w:shd w:val="clear" w:color="FFFFFF" w:fill="FFFFFF"/>
      <w:spacing w:before="640" w:after="560" w:line="460" w:lineRule="exact"/>
      <w:jc w:val="center"/>
    </w:pPr>
    <w:rPr>
      <w:rFonts w:ascii="黑体" w:eastAsia="黑体"/>
      <w:b/>
      <w:kern w:val="0"/>
      <w:sz w:val="32"/>
      <w:szCs w:val="20"/>
    </w:rPr>
  </w:style>
  <w:style w:type="paragraph" w:customStyle="1" w:styleId="1025">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pPr>
    <w:rPr>
      <w:rFonts w:ascii="宋体" w:hAnsi="宋体"/>
      <w:b/>
      <w:kern w:val="0"/>
      <w:sz w:val="24"/>
      <w:szCs w:val="20"/>
    </w:rPr>
  </w:style>
  <w:style w:type="paragraph" w:customStyle="1" w:styleId="1026">
    <w:name w:val="titre page niveau 1"/>
    <w:qFormat/>
    <w:uiPriority w:val="0"/>
    <w:pPr>
      <w:widowControl w:val="0"/>
      <w:spacing w:before="1" w:after="1"/>
      <w:ind w:left="1" w:right="1" w:firstLine="1"/>
    </w:pPr>
    <w:rPr>
      <w:rFonts w:ascii="Helvetica" w:hAnsi="Helvetica" w:eastAsia="宋体" w:cs="Times New Roman"/>
      <w:b/>
      <w:color w:val="000000"/>
      <w:sz w:val="24"/>
      <w:lang w:val="fr-FR" w:eastAsia="zh-CN" w:bidi="ar-SA"/>
    </w:rPr>
  </w:style>
  <w:style w:type="paragraph" w:customStyle="1" w:styleId="1027">
    <w:name w:val="样式 Arial 首行缩进:  2 字符"/>
    <w:basedOn w:val="1"/>
    <w:qFormat/>
    <w:uiPriority w:val="0"/>
    <w:pPr>
      <w:topLinePunct/>
      <w:spacing w:line="360" w:lineRule="auto"/>
      <w:ind w:firstLine="403" w:firstLineChars="200"/>
    </w:pPr>
    <w:rPr>
      <w:szCs w:val="20"/>
    </w:rPr>
  </w:style>
  <w:style w:type="paragraph" w:customStyle="1" w:styleId="1028">
    <w:name w:val="自定义标题3"/>
    <w:basedOn w:val="1"/>
    <w:next w:val="1"/>
    <w:qFormat/>
    <w:uiPriority w:val="0"/>
    <w:pPr>
      <w:keepNext/>
      <w:keepLines/>
      <w:widowControl/>
      <w:numPr>
        <w:ilvl w:val="2"/>
        <w:numId w:val="11"/>
      </w:numPr>
      <w:spacing w:line="360" w:lineRule="auto"/>
      <w:jc w:val="left"/>
      <w:outlineLvl w:val="2"/>
    </w:pPr>
    <w:rPr>
      <w:b/>
      <w:sz w:val="28"/>
      <w:szCs w:val="20"/>
    </w:rPr>
  </w:style>
  <w:style w:type="paragraph" w:customStyle="1" w:styleId="1029">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left"/>
      <w:textAlignment w:val="center"/>
    </w:pPr>
    <w:rPr>
      <w:rFonts w:ascii="宋体" w:hAnsi="宋体"/>
      <w:kern w:val="0"/>
      <w:sz w:val="24"/>
      <w:szCs w:val="20"/>
    </w:rPr>
  </w:style>
  <w:style w:type="paragraph" w:customStyle="1" w:styleId="1030">
    <w:name w:val="日期1"/>
    <w:basedOn w:val="1"/>
    <w:next w:val="1"/>
    <w:link w:val="1205"/>
    <w:qFormat/>
    <w:uiPriority w:val="0"/>
    <w:pPr>
      <w:adjustRightInd w:val="0"/>
      <w:spacing w:line="360" w:lineRule="auto"/>
      <w:textAlignment w:val="baseline"/>
    </w:pPr>
    <w:rPr>
      <w:rFonts w:ascii="宋体"/>
      <w:kern w:val="0"/>
      <w:sz w:val="24"/>
      <w:szCs w:val="20"/>
    </w:rPr>
  </w:style>
  <w:style w:type="paragraph" w:customStyle="1" w:styleId="1031">
    <w:name w:val="注1"/>
    <w:basedOn w:val="1"/>
    <w:qFormat/>
    <w:uiPriority w:val="0"/>
    <w:pPr>
      <w:spacing w:line="360" w:lineRule="auto"/>
      <w:ind w:left="400" w:leftChars="200" w:hanging="200" w:hangingChars="200"/>
    </w:pPr>
    <w:rPr>
      <w:rFonts w:ascii="宋体"/>
      <w:b/>
      <w:szCs w:val="20"/>
    </w:rPr>
  </w:style>
  <w:style w:type="paragraph" w:customStyle="1" w:styleId="103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4"/>
      <w:szCs w:val="20"/>
      <w:lang w:eastAsia="en-US"/>
    </w:rPr>
  </w:style>
  <w:style w:type="paragraph" w:customStyle="1" w:styleId="1033">
    <w:name w:val="Char Char Char1 Char Char Char Char Char Char Char"/>
    <w:basedOn w:val="1"/>
    <w:qFormat/>
    <w:uiPriority w:val="0"/>
    <w:pPr>
      <w:spacing w:line="360" w:lineRule="auto"/>
    </w:pPr>
    <w:rPr>
      <w:szCs w:val="20"/>
    </w:rPr>
  </w:style>
  <w:style w:type="paragraph" w:customStyle="1" w:styleId="1034">
    <w:name w:val="图表脚注"/>
    <w:next w:val="64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35">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1036">
    <w:name w:val="Char Char Char Char Char Char Char Char Char Char Char Char Char Char Char"/>
    <w:basedOn w:val="1"/>
    <w:qFormat/>
    <w:uiPriority w:val="0"/>
    <w:pPr>
      <w:spacing w:line="360" w:lineRule="auto"/>
    </w:pPr>
    <w:rPr>
      <w:rFonts w:ascii="Tahoma" w:hAnsi="Tahoma"/>
      <w:sz w:val="24"/>
      <w:szCs w:val="20"/>
    </w:rPr>
  </w:style>
  <w:style w:type="paragraph" w:customStyle="1" w:styleId="1037">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038">
    <w:name w:val="xl90"/>
    <w:basedOn w:val="1"/>
    <w:qFormat/>
    <w:uiPriority w:val="0"/>
    <w:pPr>
      <w:widowControl/>
      <w:pBdr>
        <w:top w:val="single" w:color="auto" w:sz="4" w:space="0"/>
        <w:bottom w:val="single" w:color="auto" w:sz="8" w:space="0"/>
        <w:right w:val="single" w:color="auto" w:sz="4" w:space="0"/>
      </w:pBdr>
      <w:spacing w:before="100" w:beforeAutospacing="1" w:after="100" w:afterAutospacing="1" w:line="360" w:lineRule="auto"/>
      <w:jc w:val="center"/>
    </w:pPr>
    <w:rPr>
      <w:rFonts w:ascii="宋体" w:hAnsi="宋体"/>
      <w:b/>
      <w:kern w:val="0"/>
      <w:sz w:val="24"/>
      <w:szCs w:val="20"/>
    </w:rPr>
  </w:style>
  <w:style w:type="paragraph" w:customStyle="1" w:styleId="1039">
    <w:name w:val="示例"/>
    <w:next w:val="642"/>
    <w:qFormat/>
    <w:uiPriority w:val="0"/>
    <w:pPr>
      <w:tabs>
        <w:tab w:val="left" w:pos="360"/>
      </w:tabs>
      <w:ind w:left="360"/>
      <w:jc w:val="both"/>
    </w:pPr>
    <w:rPr>
      <w:rFonts w:ascii="宋体" w:hAnsi="Times New Roman" w:eastAsia="宋体" w:cs="Times New Roman"/>
      <w:sz w:val="18"/>
      <w:lang w:val="en-US" w:eastAsia="zh-CN" w:bidi="ar-SA"/>
    </w:rPr>
  </w:style>
  <w:style w:type="paragraph" w:customStyle="1" w:styleId="1040">
    <w:name w:val="3级"/>
    <w:basedOn w:val="5"/>
    <w:qFormat/>
    <w:uiPriority w:val="0"/>
    <w:pPr>
      <w:spacing w:before="0" w:after="0"/>
      <w:ind w:left="720" w:firstLine="0" w:firstLineChars="0"/>
    </w:pPr>
    <w:rPr>
      <w:rFonts w:hAnsi="宋体" w:cs="宋体"/>
      <w:b w:val="0"/>
      <w:bCs w:val="0"/>
      <w:kern w:val="2"/>
      <w:sz w:val="21"/>
      <w:szCs w:val="20"/>
    </w:rPr>
  </w:style>
  <w:style w:type="paragraph" w:customStyle="1" w:styleId="104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42">
    <w:name w:val="默认段落字体 Para Char Char Char Char Char Char Char Char"/>
    <w:basedOn w:val="1"/>
    <w:qFormat/>
    <w:uiPriority w:val="0"/>
    <w:pPr>
      <w:spacing w:line="360" w:lineRule="auto"/>
    </w:pPr>
    <w:rPr>
      <w:rFonts w:ascii="Tahoma" w:hAnsi="Tahoma"/>
      <w:sz w:val="24"/>
      <w:szCs w:val="20"/>
    </w:rPr>
  </w:style>
  <w:style w:type="paragraph" w:customStyle="1" w:styleId="104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44">
    <w:name w:val="Char Char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045">
    <w:name w:val="xl81"/>
    <w:basedOn w:val="1"/>
    <w:qFormat/>
    <w:uiPriority w:val="0"/>
    <w:pPr>
      <w:widowControl/>
      <w:pBdr>
        <w:top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4"/>
      <w:szCs w:val="20"/>
    </w:rPr>
  </w:style>
  <w:style w:type="paragraph" w:customStyle="1" w:styleId="1046">
    <w:name w:val="样式 首行缩进:  0 厘米 行距: 单倍行距 Char"/>
    <w:basedOn w:val="1"/>
    <w:qFormat/>
    <w:uiPriority w:val="0"/>
    <w:pPr>
      <w:topLinePunct/>
      <w:adjustRightInd w:val="0"/>
      <w:spacing w:line="360" w:lineRule="auto"/>
      <w:textAlignment w:val="baseline"/>
    </w:pPr>
    <w:rPr>
      <w:kern w:val="0"/>
      <w:szCs w:val="20"/>
    </w:rPr>
  </w:style>
  <w:style w:type="paragraph" w:customStyle="1" w:styleId="1047">
    <w:name w:val="样式 首行缩进:  0 厘米 行距: 单倍行距"/>
    <w:basedOn w:val="1"/>
    <w:qFormat/>
    <w:uiPriority w:val="0"/>
    <w:pPr>
      <w:adjustRightInd w:val="0"/>
      <w:spacing w:line="360" w:lineRule="auto"/>
      <w:textAlignment w:val="baseline"/>
    </w:pPr>
    <w:rPr>
      <w:kern w:val="0"/>
      <w:szCs w:val="20"/>
    </w:rPr>
  </w:style>
  <w:style w:type="paragraph" w:customStyle="1" w:styleId="1048">
    <w:name w:val="批注框文本1"/>
    <w:basedOn w:val="1"/>
    <w:qFormat/>
    <w:uiPriority w:val="0"/>
    <w:pPr>
      <w:spacing w:line="360" w:lineRule="auto"/>
    </w:pPr>
    <w:rPr>
      <w:kern w:val="0"/>
      <w:sz w:val="18"/>
      <w:szCs w:val="20"/>
    </w:rPr>
  </w:style>
  <w:style w:type="paragraph" w:customStyle="1" w:styleId="1049">
    <w:name w:val="Char31"/>
    <w:basedOn w:val="1"/>
    <w:qFormat/>
    <w:uiPriority w:val="0"/>
    <w:pPr>
      <w:spacing w:line="360" w:lineRule="auto"/>
    </w:pPr>
    <w:rPr>
      <w:rFonts w:ascii="宋体"/>
      <w:color w:val="000000"/>
      <w:szCs w:val="20"/>
    </w:rPr>
  </w:style>
  <w:style w:type="paragraph" w:customStyle="1" w:styleId="1050">
    <w:name w:val="Char Char Char Char Char Char Char Char Char Char Char Char2"/>
    <w:basedOn w:val="1"/>
    <w:qFormat/>
    <w:uiPriority w:val="0"/>
    <w:pPr>
      <w:spacing w:line="360" w:lineRule="auto"/>
    </w:pPr>
    <w:rPr>
      <w:rFonts w:ascii="Tahoma" w:hAnsi="Tahoma"/>
      <w:sz w:val="24"/>
      <w:szCs w:val="20"/>
    </w:rPr>
  </w:style>
  <w:style w:type="paragraph" w:customStyle="1" w:styleId="1051">
    <w:name w:val="j"/>
    <w:basedOn w:val="1"/>
    <w:qFormat/>
    <w:uiPriority w:val="0"/>
    <w:pPr>
      <w:spacing w:line="312" w:lineRule="exact"/>
      <w:ind w:left="840" w:leftChars="200" w:hanging="420" w:hangingChars="200"/>
    </w:pPr>
    <w:rPr>
      <w:szCs w:val="20"/>
    </w:rPr>
  </w:style>
  <w:style w:type="paragraph" w:customStyle="1" w:styleId="1052">
    <w:name w:val="附录表标题"/>
    <w:next w:val="642"/>
    <w:qFormat/>
    <w:uiPriority w:val="0"/>
    <w:pPr>
      <w:ind w:left="440"/>
      <w:jc w:val="center"/>
      <w:textAlignment w:val="baseline"/>
    </w:pPr>
    <w:rPr>
      <w:rFonts w:ascii="黑体" w:hAnsi="Times New Roman" w:eastAsia="黑体" w:cs="Times New Roman"/>
      <w:kern w:val="21"/>
      <w:sz w:val="21"/>
      <w:lang w:val="en-US" w:eastAsia="zh-CN" w:bidi="ar-SA"/>
    </w:rPr>
  </w:style>
  <w:style w:type="paragraph" w:customStyle="1" w:styleId="1053">
    <w:name w:val="页脚1"/>
    <w:basedOn w:val="1"/>
    <w:qFormat/>
    <w:uiPriority w:val="0"/>
    <w:pPr>
      <w:tabs>
        <w:tab w:val="center" w:pos="4153"/>
        <w:tab w:val="right" w:pos="8306"/>
      </w:tabs>
      <w:snapToGrid w:val="0"/>
      <w:spacing w:line="360" w:lineRule="auto"/>
      <w:jc w:val="center"/>
    </w:pPr>
    <w:rPr>
      <w:kern w:val="0"/>
      <w:sz w:val="18"/>
      <w:szCs w:val="20"/>
    </w:rPr>
  </w:style>
  <w:style w:type="paragraph" w:customStyle="1" w:styleId="1054">
    <w:name w:val="正文图标题"/>
    <w:next w:val="1"/>
    <w:qFormat/>
    <w:uiPriority w:val="0"/>
    <w:pPr>
      <w:tabs>
        <w:tab w:val="left" w:pos="360"/>
        <w:tab w:val="left" w:pos="1200"/>
      </w:tabs>
      <w:ind w:left="1200" w:leftChars="400" w:hanging="360" w:hangingChars="200"/>
      <w:jc w:val="center"/>
    </w:pPr>
    <w:rPr>
      <w:rFonts w:ascii="黑体" w:hAnsi="Times New Roman" w:eastAsia="黑体" w:cs="Times New Roman"/>
      <w:sz w:val="21"/>
      <w:lang w:val="en-US" w:eastAsia="zh-CN" w:bidi="ar-SA"/>
    </w:rPr>
  </w:style>
  <w:style w:type="paragraph" w:customStyle="1" w:styleId="1055">
    <w:name w:val="图形标题"/>
    <w:basedOn w:val="22"/>
    <w:qFormat/>
    <w:uiPriority w:val="0"/>
    <w:pPr>
      <w:spacing w:line="360" w:lineRule="auto"/>
      <w:jc w:val="center"/>
    </w:pPr>
    <w:rPr>
      <w:rFonts w:ascii="宋体" w:hAnsi="Plotter" w:eastAsia="宋体"/>
      <w:kern w:val="2"/>
      <w:sz w:val="21"/>
    </w:rPr>
  </w:style>
  <w:style w:type="paragraph" w:customStyle="1" w:styleId="1056">
    <w:name w:val="附录标识"/>
    <w:basedOn w:val="1"/>
    <w:qFormat/>
    <w:uiPriority w:val="0"/>
    <w:pPr>
      <w:widowControl/>
      <w:numPr>
        <w:ilvl w:val="0"/>
        <w:numId w:val="16"/>
      </w:numPr>
      <w:shd w:val="clear" w:color="FFFFFF" w:fill="FFFFFF"/>
      <w:tabs>
        <w:tab w:val="left" w:pos="420"/>
        <w:tab w:val="left" w:pos="6405"/>
      </w:tabs>
      <w:spacing w:before="640" w:after="200" w:line="360" w:lineRule="auto"/>
      <w:jc w:val="center"/>
      <w:outlineLvl w:val="0"/>
    </w:pPr>
    <w:rPr>
      <w:rFonts w:ascii="黑体" w:eastAsia="黑体"/>
      <w:kern w:val="0"/>
      <w:szCs w:val="20"/>
    </w:rPr>
  </w:style>
  <w:style w:type="paragraph" w:customStyle="1" w:styleId="1057">
    <w:name w:val="正文不缩（YZ）"/>
    <w:link w:val="1058"/>
    <w:qFormat/>
    <w:uiPriority w:val="0"/>
    <w:pPr>
      <w:spacing w:line="360" w:lineRule="auto"/>
    </w:pPr>
    <w:rPr>
      <w:rFonts w:ascii="Times New Roman" w:hAnsi="Times New Roman" w:eastAsia="宋体" w:cs="Times New Roman"/>
      <w:kern w:val="2"/>
      <w:sz w:val="21"/>
      <w:szCs w:val="24"/>
      <w:lang w:val="en-US" w:eastAsia="zh-CN" w:bidi="ar-SA"/>
    </w:rPr>
  </w:style>
  <w:style w:type="character" w:customStyle="1" w:styleId="1058">
    <w:name w:val="正文不缩（YZ） 字符"/>
    <w:link w:val="1057"/>
    <w:qFormat/>
    <w:uiPriority w:val="0"/>
    <w:rPr>
      <w:kern w:val="2"/>
      <w:sz w:val="21"/>
      <w:szCs w:val="24"/>
    </w:rPr>
  </w:style>
  <w:style w:type="character" w:customStyle="1" w:styleId="1059">
    <w:name w:val="标题 3 字符1"/>
    <w:qFormat/>
    <w:uiPriority w:val="0"/>
    <w:rPr>
      <w:rFonts w:ascii="Times New Roman" w:hAnsi="Times New Roman" w:eastAsia="宋体" w:cs="Times New Roman"/>
      <w:b/>
      <w:bCs/>
      <w:kern w:val="0"/>
      <w:sz w:val="24"/>
      <w:szCs w:val="32"/>
      <w:lang w:val="zh-CN" w:eastAsia="zh-CN"/>
    </w:rPr>
  </w:style>
  <w:style w:type="character" w:customStyle="1" w:styleId="1060">
    <w:name w:val="标题 4 字符1"/>
    <w:qFormat/>
    <w:uiPriority w:val="9"/>
    <w:rPr>
      <w:rFonts w:ascii="等线 Light" w:hAnsi="等线 Light" w:eastAsia="等线 Light" w:cs="Times New Roman"/>
      <w:b/>
      <w:bCs/>
      <w:sz w:val="28"/>
      <w:szCs w:val="28"/>
    </w:rPr>
  </w:style>
  <w:style w:type="character" w:customStyle="1" w:styleId="1061">
    <w:name w:val="11 Char"/>
    <w:link w:val="1062"/>
    <w:qFormat/>
    <w:uiPriority w:val="0"/>
    <w:rPr>
      <w:rFonts w:hAnsi="宋体"/>
      <w:b/>
      <w:szCs w:val="21"/>
    </w:rPr>
  </w:style>
  <w:style w:type="paragraph" w:customStyle="1" w:styleId="1062">
    <w:name w:val="11"/>
    <w:basedOn w:val="34"/>
    <w:link w:val="1061"/>
    <w:qFormat/>
    <w:uiPriority w:val="0"/>
    <w:pPr>
      <w:spacing w:after="120" w:line="360" w:lineRule="auto"/>
      <w:ind w:left="420" w:leftChars="200" w:firstLine="0" w:firstLineChars="0"/>
      <w:jc w:val="both"/>
    </w:pPr>
    <w:rPr>
      <w:rFonts w:ascii="Times New Roman" w:hAnsi="宋体" w:eastAsia="宋体"/>
      <w:b/>
      <w:sz w:val="20"/>
      <w:szCs w:val="21"/>
    </w:rPr>
  </w:style>
  <w:style w:type="paragraph" w:customStyle="1" w:styleId="1063">
    <w:name w:val="bn"/>
    <w:basedOn w:val="1"/>
    <w:qFormat/>
    <w:uiPriority w:val="0"/>
    <w:pPr>
      <w:topLinePunct/>
      <w:snapToGrid w:val="0"/>
      <w:ind w:left="20" w:leftChars="20" w:right="20" w:rightChars="20"/>
      <w:jc w:val="center"/>
    </w:pPr>
    <w:rPr>
      <w:color w:val="000000"/>
      <w:kern w:val="18"/>
      <w:sz w:val="18"/>
      <w:szCs w:val="18"/>
    </w:rPr>
  </w:style>
  <w:style w:type="character" w:customStyle="1" w:styleId="1064">
    <w:name w:val="普通(网站) 字符"/>
    <w:link w:val="81"/>
    <w:qFormat/>
    <w:uiPriority w:val="99"/>
    <w:rPr>
      <w:rFonts w:ascii="宋体" w:hAnsi="宋体" w:cs="宋体"/>
      <w:sz w:val="24"/>
      <w:szCs w:val="24"/>
    </w:rPr>
  </w:style>
  <w:style w:type="character" w:customStyle="1" w:styleId="1065">
    <w:name w:val="未处理的提及1"/>
    <w:semiHidden/>
    <w:unhideWhenUsed/>
    <w:qFormat/>
    <w:uiPriority w:val="99"/>
    <w:rPr>
      <w:color w:val="605E5C"/>
      <w:shd w:val="clear" w:color="auto" w:fill="E1DFDD"/>
    </w:rPr>
  </w:style>
  <w:style w:type="paragraph" w:customStyle="1" w:styleId="1066">
    <w:name w:val="标题  3"/>
    <w:basedOn w:val="5"/>
    <w:qFormat/>
    <w:uiPriority w:val="0"/>
    <w:pPr>
      <w:widowControl/>
      <w:adjustRightInd w:val="0"/>
      <w:snapToGrid w:val="0"/>
      <w:spacing w:before="0" w:beforeLines="50" w:after="0" w:afterLines="50" w:line="240" w:lineRule="auto"/>
      <w:ind w:firstLine="0" w:firstLineChars="0"/>
      <w:textAlignment w:val="center"/>
    </w:pPr>
    <w:rPr>
      <w:rFonts w:ascii="等线" w:hAnsi="等线" w:eastAsia="等线"/>
      <w:b w:val="0"/>
      <w:sz w:val="30"/>
      <w:szCs w:val="30"/>
    </w:rPr>
  </w:style>
  <w:style w:type="character" w:customStyle="1" w:styleId="1067">
    <w:name w:val="15"/>
    <w:qFormat/>
    <w:uiPriority w:val="0"/>
    <w:rPr>
      <w:rFonts w:hint="eastAsia" w:ascii="等线" w:hAnsi="等线" w:eastAsia="等线"/>
      <w:b/>
      <w:bCs/>
      <w:kern w:val="2"/>
      <w:sz w:val="32"/>
      <w:szCs w:val="32"/>
    </w:rPr>
  </w:style>
  <w:style w:type="paragraph" w:customStyle="1" w:styleId="1068">
    <w:name w:val="Table Paragraph"/>
    <w:basedOn w:val="1"/>
    <w:qFormat/>
    <w:uiPriority w:val="1"/>
    <w:rPr>
      <w:szCs w:val="22"/>
    </w:rPr>
  </w:style>
  <w:style w:type="character" w:customStyle="1" w:styleId="1069">
    <w:name w:val="apple-style-span"/>
    <w:qFormat/>
    <w:uiPriority w:val="0"/>
  </w:style>
  <w:style w:type="character" w:customStyle="1" w:styleId="1070">
    <w:name w:val="未处理的提及2"/>
    <w:unhideWhenUsed/>
    <w:qFormat/>
    <w:uiPriority w:val="99"/>
    <w:rPr>
      <w:color w:val="605E5C"/>
      <w:shd w:val="clear" w:color="auto" w:fill="E1DFDD"/>
    </w:rPr>
  </w:style>
  <w:style w:type="paragraph" w:customStyle="1" w:styleId="1071">
    <w:name w:val="正文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072">
    <w:name w:val="xl140"/>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1073">
    <w:name w:val="正文 New New New New New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074">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075">
    <w:name w:val="副标题 New"/>
    <w:basedOn w:val="1"/>
    <w:next w:val="1"/>
    <w:qFormat/>
    <w:uiPriority w:val="0"/>
    <w:pPr>
      <w:numPr>
        <w:ilvl w:val="0"/>
        <w:numId w:val="17"/>
      </w:numPr>
      <w:jc w:val="left"/>
      <w:outlineLvl w:val="1"/>
    </w:pPr>
    <w:rPr>
      <w:rFonts w:ascii="Century Gothic" w:hAnsi="Century Gothic" w:cs="Century Gothic"/>
      <w:kern w:val="28"/>
      <w:szCs w:val="21"/>
    </w:rPr>
  </w:style>
  <w:style w:type="paragraph" w:customStyle="1" w:styleId="1076">
    <w:name w:val="纯文本 New"/>
    <w:basedOn w:val="1077"/>
    <w:qFormat/>
    <w:uiPriority w:val="0"/>
    <w:pPr>
      <w:widowControl/>
      <w:spacing w:before="100" w:beforeAutospacing="1" w:after="100" w:afterAutospacing="1"/>
      <w:jc w:val="left"/>
    </w:pPr>
    <w:rPr>
      <w:rFonts w:cs="宋体"/>
      <w:sz w:val="24"/>
      <w:szCs w:val="24"/>
    </w:rPr>
  </w:style>
  <w:style w:type="paragraph" w:customStyle="1" w:styleId="1077">
    <w:name w:val="正文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078">
    <w:name w:val="正文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079">
    <w:name w:val="普通(网站) New"/>
    <w:basedOn w:val="1073"/>
    <w:qFormat/>
    <w:uiPriority w:val="0"/>
    <w:pPr>
      <w:widowControl/>
      <w:spacing w:before="100" w:beforeAutospacing="1" w:after="100" w:afterAutospacing="1"/>
      <w:jc w:val="left"/>
    </w:pPr>
    <w:rPr>
      <w:kern w:val="0"/>
      <w:sz w:val="24"/>
      <w:szCs w:val="24"/>
    </w:rPr>
  </w:style>
  <w:style w:type="paragraph" w:customStyle="1" w:styleId="1080">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1">
    <w:name w:val="xl141"/>
    <w:basedOn w:val="1"/>
    <w:qFormat/>
    <w:uiPriority w:val="0"/>
    <w:pPr>
      <w:widowControl/>
      <w:shd w:val="clear" w:color="000000" w:fill="FFFFFF"/>
      <w:spacing w:before="100" w:beforeAutospacing="1" w:after="100" w:afterAutospacing="1"/>
      <w:jc w:val="center"/>
    </w:pPr>
    <w:rPr>
      <w:rFonts w:ascii="宋体" w:hAnsi="宋体" w:cs="宋体"/>
      <w:kern w:val="0"/>
      <w:sz w:val="22"/>
      <w:szCs w:val="22"/>
    </w:rPr>
  </w:style>
  <w:style w:type="paragraph" w:customStyle="1" w:styleId="1082">
    <w:name w:val="正文 New New New New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083">
    <w:name w:val="xl138"/>
    <w:basedOn w:val="1"/>
    <w:qFormat/>
    <w:uiPriority w:val="0"/>
    <w:pPr>
      <w:widowControl/>
      <w:spacing w:before="100" w:beforeAutospacing="1" w:after="100" w:afterAutospacing="1"/>
      <w:jc w:val="center"/>
    </w:pPr>
    <w:rPr>
      <w:rFonts w:ascii="宋体" w:hAnsi="宋体" w:cs="宋体"/>
      <w:b/>
      <w:bCs/>
      <w:kern w:val="0"/>
      <w:sz w:val="22"/>
      <w:szCs w:val="22"/>
    </w:rPr>
  </w:style>
  <w:style w:type="paragraph" w:customStyle="1" w:styleId="1084">
    <w:name w:val="xl1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085">
    <w:name w:val="正文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086">
    <w:name w:val="xl1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087">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8">
    <w:name w:val="正文 New New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089">
    <w:name w:val="xl143"/>
    <w:basedOn w:val="1"/>
    <w:qFormat/>
    <w:uiPriority w:val="0"/>
    <w:pPr>
      <w:widowControl/>
      <w:spacing w:before="100" w:beforeAutospacing="1" w:after="100" w:afterAutospacing="1"/>
      <w:jc w:val="center"/>
    </w:pPr>
    <w:rPr>
      <w:rFonts w:ascii="宋体" w:hAnsi="宋体" w:cs="宋体"/>
      <w:color w:val="FF0000"/>
      <w:kern w:val="0"/>
      <w:sz w:val="22"/>
      <w:szCs w:val="22"/>
    </w:rPr>
  </w:style>
  <w:style w:type="paragraph" w:customStyle="1" w:styleId="1090">
    <w:name w:val="正文 New New New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091">
    <w:name w:val="样式 黑体 居中 首行缩进:  0.35 厘米 行距: 1.5 倍行距"/>
    <w:basedOn w:val="1"/>
    <w:qFormat/>
    <w:uiPriority w:val="0"/>
    <w:pPr>
      <w:widowControl/>
      <w:jc w:val="center"/>
    </w:pPr>
    <w:rPr>
      <w:rFonts w:ascii="黑体" w:hAnsi="黑体" w:eastAsia="黑体"/>
      <w:kern w:val="0"/>
      <w:sz w:val="24"/>
      <w:szCs w:val="20"/>
    </w:rPr>
  </w:style>
  <w:style w:type="paragraph" w:customStyle="1" w:styleId="1092">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3">
    <w:name w:val="附件正文"/>
    <w:qFormat/>
    <w:uiPriority w:val="0"/>
    <w:pPr>
      <w:snapToGrid w:val="0"/>
      <w:spacing w:line="500" w:lineRule="exact"/>
      <w:ind w:firstLine="540" w:firstLineChars="225"/>
    </w:pPr>
    <w:rPr>
      <w:rFonts w:ascii="宋体" w:hAnsi="宋体" w:eastAsia="宋体" w:cs="Times New Roman"/>
      <w:kern w:val="2"/>
      <w:sz w:val="24"/>
      <w:szCs w:val="21"/>
      <w:lang w:val="en-US" w:eastAsia="zh-CN" w:bidi="ar-SA"/>
    </w:rPr>
  </w:style>
  <w:style w:type="paragraph" w:customStyle="1" w:styleId="109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g3"/>
    <w:basedOn w:val="1"/>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1096">
    <w:name w:val="Absatz2AL"/>
    <w:basedOn w:val="33"/>
    <w:next w:val="1"/>
    <w:qFormat/>
    <w:uiPriority w:val="0"/>
  </w:style>
  <w:style w:type="paragraph" w:customStyle="1" w:styleId="1097">
    <w:name w:val="正文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098">
    <w:name w:val="Char Char3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9">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00">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102">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1103">
    <w:name w:val="正文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04">
    <w:name w:val="正文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05">
    <w:name w:val="正文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06">
    <w:name w:val="para"/>
    <w:basedOn w:val="1"/>
    <w:qFormat/>
    <w:uiPriority w:val="0"/>
    <w:pPr>
      <w:widowControl/>
      <w:adjustRightInd w:val="0"/>
      <w:spacing w:before="160" w:line="360" w:lineRule="auto"/>
      <w:ind w:firstLine="425"/>
      <w:textAlignment w:val="baseline"/>
    </w:pPr>
    <w:rPr>
      <w:rFonts w:ascii="宋体" w:hAnsi="宋体"/>
      <w:kern w:val="0"/>
      <w:sz w:val="24"/>
      <w:szCs w:val="20"/>
      <w:lang w:eastAsia="en-US"/>
    </w:rPr>
  </w:style>
  <w:style w:type="paragraph" w:customStyle="1" w:styleId="1107">
    <w:name w:val="xl1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8">
    <w:name w:val="正文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09">
    <w:name w:val="题目"/>
    <w:basedOn w:val="1"/>
    <w:qFormat/>
    <w:uiPriority w:val="0"/>
    <w:pPr>
      <w:snapToGrid w:val="0"/>
      <w:spacing w:line="480" w:lineRule="auto"/>
      <w:jc w:val="center"/>
    </w:pPr>
    <w:rPr>
      <w:rFonts w:ascii="方正小标宋_GBK" w:hAnsi="宋体" w:eastAsia="方正小标宋_GBK"/>
      <w:sz w:val="44"/>
      <w:szCs w:val="44"/>
    </w:rPr>
  </w:style>
  <w:style w:type="paragraph" w:customStyle="1" w:styleId="1110">
    <w:name w:val="正文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11">
    <w:name w:val="正文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12">
    <w:name w:val="xl14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13">
    <w:name w:val="正文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14">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15">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1116">
    <w:name w:val="正文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17">
    <w:name w:val="正文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18">
    <w:name w:val="xl159"/>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9">
    <w:name w:val="正文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2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121">
    <w:name w:val="正文 New New New New New New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22">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23">
    <w:name w:val="正文 New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2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125">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32"/>
      <w:szCs w:val="32"/>
    </w:rPr>
  </w:style>
  <w:style w:type="paragraph" w:customStyle="1" w:styleId="1126">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112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29">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130">
    <w:name w:val="正文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31">
    <w:name w:val="正文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3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13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4">
    <w:name w:val="正文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35">
    <w:name w:val="正文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36">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37">
    <w:name w:val="xl142"/>
    <w:basedOn w:val="1"/>
    <w:qFormat/>
    <w:uiPriority w:val="0"/>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1138">
    <w:name w:val="正文五号"/>
    <w:basedOn w:val="1"/>
    <w:qFormat/>
    <w:uiPriority w:val="0"/>
    <w:rPr>
      <w:rFonts w:hint="eastAsia" w:ascii="宋体" w:hAnsi="宋体" w:eastAsia="仿宋_GB2312"/>
      <w:szCs w:val="20"/>
    </w:rPr>
  </w:style>
  <w:style w:type="paragraph" w:customStyle="1" w:styleId="1139">
    <w:name w:val="xl144"/>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1140">
    <w:name w:val="正文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41">
    <w:name w:val="正文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42">
    <w:name w:val="说明"/>
    <w:basedOn w:val="1"/>
    <w:qFormat/>
    <w:uiPriority w:val="0"/>
    <w:pPr>
      <w:ind w:left="1" w:leftChars="-52" w:hanging="110" w:hangingChars="61"/>
      <w:jc w:val="center"/>
    </w:pPr>
    <w:rPr>
      <w:rFonts w:ascii="宋体" w:hAnsi="宋体"/>
      <w:szCs w:val="20"/>
    </w:rPr>
  </w:style>
  <w:style w:type="paragraph" w:customStyle="1" w:styleId="1143">
    <w:name w:val="副标题 New New"/>
    <w:basedOn w:val="1"/>
    <w:next w:val="1"/>
    <w:qFormat/>
    <w:uiPriority w:val="0"/>
    <w:pPr>
      <w:tabs>
        <w:tab w:val="left" w:pos="840"/>
      </w:tabs>
      <w:ind w:left="840" w:hanging="420"/>
      <w:jc w:val="left"/>
      <w:outlineLvl w:val="1"/>
    </w:pPr>
    <w:rPr>
      <w:rFonts w:ascii="Century Gothic" w:hAnsi="Century Gothic" w:cs="Century Gothic"/>
      <w:kern w:val="28"/>
      <w:szCs w:val="21"/>
    </w:rPr>
  </w:style>
  <w:style w:type="paragraph" w:customStyle="1" w:styleId="1144">
    <w:name w:val="正文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45">
    <w:name w:val="副标题 New New New"/>
    <w:basedOn w:val="1146"/>
    <w:next w:val="1146"/>
    <w:qFormat/>
    <w:uiPriority w:val="0"/>
    <w:pPr>
      <w:numPr>
        <w:ilvl w:val="0"/>
        <w:numId w:val="18"/>
      </w:numPr>
      <w:jc w:val="left"/>
      <w:outlineLvl w:val="1"/>
    </w:pPr>
    <w:rPr>
      <w:rFonts w:ascii="Century Gothic" w:hAnsi="Century Gothic"/>
      <w:bCs/>
      <w:kern w:val="28"/>
      <w:szCs w:val="32"/>
    </w:rPr>
  </w:style>
  <w:style w:type="paragraph" w:customStyle="1" w:styleId="1146">
    <w:name w:val="正文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47">
    <w:name w:val="xl14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8">
    <w:name w:val="正文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49">
    <w:name w:val="xl1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150">
    <w:name w:val="xl1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151">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52">
    <w:name w:val="正文 New New New New New New New New New New New New New New New New New New New New New New New New New New New New New New New New New New New New New New New New"/>
    <w:qFormat/>
    <w:uiPriority w:val="0"/>
    <w:pPr>
      <w:widowControl w:val="0"/>
      <w:spacing w:line="460" w:lineRule="exact"/>
      <w:jc w:val="both"/>
    </w:pPr>
    <w:rPr>
      <w:rFonts w:ascii="宋体" w:hAnsi="宋体" w:eastAsia="宋体" w:cs="Times New Roman"/>
      <w:spacing w:val="6"/>
      <w:kern w:val="2"/>
      <w:sz w:val="24"/>
      <w:szCs w:val="24"/>
      <w:lang w:val="en-US" w:eastAsia="zh-CN" w:bidi="ar-SA"/>
    </w:rPr>
  </w:style>
  <w:style w:type="paragraph" w:customStyle="1" w:styleId="1153">
    <w:name w:val="xl1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54">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55">
    <w:name w:val="纯文本 New New New"/>
    <w:basedOn w:val="1123"/>
    <w:qFormat/>
    <w:uiPriority w:val="0"/>
  </w:style>
  <w:style w:type="paragraph" w:customStyle="1" w:styleId="1156">
    <w:name w:val="纯文本 New New"/>
    <w:basedOn w:val="1157"/>
    <w:qFormat/>
    <w:uiPriority w:val="0"/>
    <w:pPr>
      <w:widowControl/>
      <w:spacing w:before="100" w:beforeAutospacing="1" w:after="100" w:afterAutospacing="1"/>
      <w:jc w:val="left"/>
    </w:pPr>
    <w:rPr>
      <w:rFonts w:cs="宋体"/>
      <w:sz w:val="24"/>
      <w:szCs w:val="24"/>
    </w:rPr>
  </w:style>
  <w:style w:type="paragraph" w:customStyle="1" w:styleId="1157">
    <w:name w:val="正文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58">
    <w:name w:val="正文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59">
    <w:name w:val="正文 New New New New New New New New New New New New New New New New New New New New New New New New New New New New New New New New New New New New New New New"/>
    <w:qFormat/>
    <w:uiPriority w:val="0"/>
    <w:pPr>
      <w:widowControl w:val="0"/>
      <w:spacing w:line="460" w:lineRule="exact"/>
      <w:jc w:val="both"/>
    </w:pPr>
    <w:rPr>
      <w:rFonts w:ascii="宋体" w:hAnsi="宋体" w:eastAsia="宋体" w:cs="Times New Roman"/>
      <w:spacing w:val="6"/>
      <w:kern w:val="2"/>
      <w:sz w:val="24"/>
      <w:szCs w:val="24"/>
      <w:lang w:val="en-US" w:eastAsia="zh-CN" w:bidi="ar-SA"/>
    </w:rPr>
  </w:style>
  <w:style w:type="paragraph" w:customStyle="1" w:styleId="116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161">
    <w:name w:val="正文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3">
    <w:name w:val="正文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64">
    <w:name w:val="正文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65">
    <w:name w:val="正文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1"/>
      <w:lang w:val="en-US" w:eastAsia="zh-CN" w:bidi="ar-SA"/>
    </w:rPr>
  </w:style>
  <w:style w:type="paragraph" w:customStyle="1" w:styleId="1166">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67">
    <w:name w:val="正文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16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116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ascii="宋体" w:hAnsi="宋体" w:cs="宋体"/>
      <w:b/>
      <w:bCs/>
      <w:kern w:val="0"/>
      <w:sz w:val="20"/>
      <w:szCs w:val="20"/>
    </w:rPr>
  </w:style>
  <w:style w:type="paragraph" w:customStyle="1" w:styleId="117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117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117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73">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117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1175">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1176">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1177">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1178">
    <w:name w:val="xl109"/>
    <w:basedOn w:val="1"/>
    <w:qFormat/>
    <w:uiPriority w:val="0"/>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1179">
    <w:name w:val="Char Char1 Char Char"/>
    <w:basedOn w:val="1"/>
    <w:qFormat/>
    <w:uiPriority w:val="0"/>
    <w:pPr>
      <w:tabs>
        <w:tab w:val="left" w:pos="360"/>
      </w:tabs>
    </w:pPr>
    <w:rPr>
      <w:rFonts w:ascii="宋体" w:hAnsi="宋体"/>
      <w:szCs w:val="20"/>
    </w:rPr>
  </w:style>
  <w:style w:type="paragraph" w:customStyle="1" w:styleId="1180">
    <w:name w:val="列出段落11"/>
    <w:basedOn w:val="1"/>
    <w:qFormat/>
    <w:uiPriority w:val="0"/>
    <w:pPr>
      <w:ind w:firstLine="420" w:firstLineChars="200"/>
    </w:pPr>
    <w:rPr>
      <w:rFonts w:ascii="宋体" w:hAnsi="宋体"/>
      <w:szCs w:val="21"/>
    </w:rPr>
  </w:style>
  <w:style w:type="paragraph" w:customStyle="1" w:styleId="1181">
    <w:name w:val="Char Char Char Char Char Char"/>
    <w:basedOn w:val="1"/>
    <w:qFormat/>
    <w:uiPriority w:val="0"/>
    <w:rPr>
      <w:rFonts w:ascii="Tahoma" w:hAnsi="Tahoma"/>
      <w:sz w:val="24"/>
      <w:szCs w:val="20"/>
    </w:rPr>
  </w:style>
  <w:style w:type="paragraph" w:customStyle="1" w:styleId="1182">
    <w:name w:val="承康医疗"/>
    <w:basedOn w:val="1"/>
    <w:link w:val="1207"/>
    <w:qFormat/>
    <w:uiPriority w:val="0"/>
    <w:pPr>
      <w:widowControl/>
      <w:jc w:val="left"/>
    </w:pPr>
    <w:rPr>
      <w:rFonts w:ascii="微软雅黑" w:hAnsi="微软雅黑" w:eastAsia="微软雅黑"/>
      <w:kern w:val="0"/>
      <w:szCs w:val="21"/>
    </w:rPr>
  </w:style>
  <w:style w:type="paragraph" w:customStyle="1" w:styleId="1183">
    <w:name w:val="无间隔11"/>
    <w:basedOn w:val="1"/>
    <w:qFormat/>
    <w:uiPriority w:val="0"/>
    <w:pPr>
      <w:widowControl/>
      <w:jc w:val="left"/>
    </w:pPr>
    <w:rPr>
      <w:rFonts w:ascii="宋体" w:hAnsi="宋体"/>
      <w:kern w:val="0"/>
      <w:sz w:val="22"/>
      <w:szCs w:val="20"/>
      <w:lang w:eastAsia="en-US" w:bidi="en-US"/>
    </w:rPr>
  </w:style>
  <w:style w:type="paragraph" w:customStyle="1" w:styleId="1184">
    <w:name w:val="彩色列表 - 强调文字颜色 11"/>
    <w:basedOn w:val="1"/>
    <w:qFormat/>
    <w:uiPriority w:val="34"/>
    <w:pPr>
      <w:ind w:firstLine="420" w:firstLineChars="200"/>
    </w:pPr>
    <w:rPr>
      <w:rFonts w:ascii="Cambria" w:hAnsi="Cambria"/>
      <w:sz w:val="24"/>
    </w:rPr>
  </w:style>
  <w:style w:type="paragraph" w:customStyle="1" w:styleId="1185">
    <w:name w:val="清單段落"/>
    <w:basedOn w:val="1"/>
    <w:qFormat/>
    <w:uiPriority w:val="99"/>
    <w:pPr>
      <w:ind w:left="480" w:leftChars="200"/>
    </w:pPr>
    <w:rPr>
      <w:rFonts w:ascii="宋体" w:hAnsi="宋体"/>
    </w:rPr>
  </w:style>
  <w:style w:type="paragraph" w:customStyle="1" w:styleId="1186">
    <w:name w:val="清單段落1"/>
    <w:basedOn w:val="1"/>
    <w:qFormat/>
    <w:uiPriority w:val="34"/>
    <w:pPr>
      <w:ind w:left="720"/>
      <w:contextualSpacing/>
    </w:pPr>
    <w:rPr>
      <w:rFonts w:ascii="宋体" w:hAnsi="宋体"/>
    </w:rPr>
  </w:style>
  <w:style w:type="paragraph" w:customStyle="1" w:styleId="1187">
    <w:name w:val="列出段落2"/>
    <w:basedOn w:val="1"/>
    <w:qFormat/>
    <w:uiPriority w:val="0"/>
    <w:pPr>
      <w:ind w:firstLine="420" w:firstLineChars="200"/>
    </w:pPr>
    <w:rPr>
      <w:rFonts w:ascii="Calibri" w:hAnsi="Calibri"/>
      <w:szCs w:val="22"/>
    </w:rPr>
  </w:style>
  <w:style w:type="paragraph" w:customStyle="1" w:styleId="1188">
    <w:name w:val="列表段落2"/>
    <w:basedOn w:val="1"/>
    <w:qFormat/>
    <w:uiPriority w:val="0"/>
    <w:pPr>
      <w:ind w:firstLine="420" w:firstLineChars="200"/>
    </w:pPr>
    <w:rPr>
      <w:rFonts w:ascii="Calibri" w:hAnsi="Calibri"/>
      <w:szCs w:val="22"/>
    </w:rPr>
  </w:style>
  <w:style w:type="character" w:customStyle="1" w:styleId="1189">
    <w:name w:val="font51"/>
    <w:qFormat/>
    <w:uiPriority w:val="0"/>
    <w:rPr>
      <w:rFonts w:hint="eastAsia" w:ascii="宋体" w:hAnsi="宋体" w:eastAsia="宋体"/>
      <w:b/>
      <w:bCs/>
      <w:color w:val="000000"/>
      <w:sz w:val="20"/>
      <w:szCs w:val="20"/>
      <w:u w:val="none"/>
    </w:rPr>
  </w:style>
  <w:style w:type="character" w:customStyle="1" w:styleId="1190">
    <w:name w:val="font21"/>
    <w:qFormat/>
    <w:uiPriority w:val="0"/>
    <w:rPr>
      <w:rFonts w:hint="default" w:ascii="Times New Roman" w:hAnsi="Times New Roman" w:cs="Times New Roman"/>
      <w:color w:val="000000"/>
      <w:sz w:val="20"/>
      <w:szCs w:val="20"/>
      <w:u w:val="none"/>
    </w:rPr>
  </w:style>
  <w:style w:type="character" w:customStyle="1" w:styleId="1191">
    <w:name w:val="纯文本 字符2"/>
    <w:qFormat/>
    <w:uiPriority w:val="0"/>
    <w:rPr>
      <w:rFonts w:ascii="宋体"/>
      <w:kern w:val="2"/>
      <w:sz w:val="21"/>
    </w:rPr>
  </w:style>
  <w:style w:type="character" w:customStyle="1" w:styleId="1192">
    <w:name w:val="font61"/>
    <w:qFormat/>
    <w:uiPriority w:val="0"/>
    <w:rPr>
      <w:rFonts w:hint="default" w:ascii="宋体" w:hAnsi="宋体"/>
      <w:color w:val="000000"/>
      <w:sz w:val="18"/>
      <w:szCs w:val="18"/>
      <w:u w:val="none"/>
    </w:rPr>
  </w:style>
  <w:style w:type="character" w:customStyle="1" w:styleId="1193">
    <w:name w:val="font81"/>
    <w:qFormat/>
    <w:uiPriority w:val="0"/>
    <w:rPr>
      <w:rFonts w:hint="default" w:ascii="宋体" w:hAnsi="宋体"/>
      <w:color w:val="000000"/>
      <w:sz w:val="24"/>
      <w:szCs w:val="24"/>
      <w:u w:val="none"/>
    </w:rPr>
  </w:style>
  <w:style w:type="character" w:customStyle="1" w:styleId="1194">
    <w:name w:val="font01"/>
    <w:qFormat/>
    <w:uiPriority w:val="0"/>
    <w:rPr>
      <w:rFonts w:hint="eastAsia" w:ascii="宋体" w:hAnsi="宋体" w:eastAsia="宋体"/>
      <w:color w:val="000000"/>
      <w:sz w:val="20"/>
      <w:szCs w:val="20"/>
      <w:u w:val="none"/>
    </w:rPr>
  </w:style>
  <w:style w:type="character" w:customStyle="1" w:styleId="1195">
    <w:name w:val="font91"/>
    <w:qFormat/>
    <w:uiPriority w:val="0"/>
    <w:rPr>
      <w:rFonts w:hint="eastAsia" w:ascii="华文楷体" w:eastAsia="华文楷体"/>
      <w:color w:val="000000"/>
      <w:sz w:val="20"/>
      <w:szCs w:val="20"/>
      <w:u w:val="none"/>
    </w:rPr>
  </w:style>
  <w:style w:type="character" w:customStyle="1" w:styleId="1196">
    <w:name w:val="px12h161"/>
    <w:qFormat/>
    <w:uiPriority w:val="0"/>
    <w:rPr>
      <w:sz w:val="14"/>
      <w:szCs w:val="14"/>
    </w:rPr>
  </w:style>
  <w:style w:type="character" w:customStyle="1" w:styleId="1197">
    <w:name w:val="font41"/>
    <w:qFormat/>
    <w:uiPriority w:val="0"/>
    <w:rPr>
      <w:rFonts w:hint="default" w:ascii="Times New Roman" w:hAnsi="Times New Roman" w:cs="Times New Roman"/>
      <w:b/>
      <w:bCs/>
      <w:color w:val="000000"/>
      <w:sz w:val="20"/>
      <w:szCs w:val="20"/>
      <w:u w:val="none"/>
    </w:rPr>
  </w:style>
  <w:style w:type="character" w:customStyle="1" w:styleId="1198">
    <w:name w:val="font71"/>
    <w:qFormat/>
    <w:uiPriority w:val="0"/>
    <w:rPr>
      <w:rFonts w:hint="eastAsia" w:ascii="宋体" w:hAnsi="宋体" w:eastAsia="宋体"/>
      <w:b/>
      <w:bCs/>
      <w:color w:val="000000"/>
      <w:sz w:val="24"/>
      <w:szCs w:val="24"/>
      <w:u w:val="none"/>
    </w:rPr>
  </w:style>
  <w:style w:type="character" w:customStyle="1" w:styleId="1199">
    <w:name w:val="页脚 字符1"/>
    <w:qFormat/>
    <w:uiPriority w:val="99"/>
    <w:rPr>
      <w:rFonts w:ascii="宋体"/>
      <w:kern w:val="2"/>
      <w:sz w:val="18"/>
    </w:rPr>
  </w:style>
  <w:style w:type="character" w:customStyle="1" w:styleId="1200">
    <w:name w:val="_Style 273"/>
    <w:qFormat/>
    <w:uiPriority w:val="32"/>
    <w:rPr>
      <w:b/>
      <w:bCs/>
      <w:smallCaps/>
      <w:color w:val="C0504D"/>
      <w:spacing w:val="5"/>
      <w:u w:val="single"/>
    </w:rPr>
  </w:style>
  <w:style w:type="character" w:customStyle="1" w:styleId="1201">
    <w:name w:val="纯文本 Char2"/>
    <w:qFormat/>
    <w:uiPriority w:val="0"/>
    <w:rPr>
      <w:rFonts w:ascii="宋体" w:hAnsi="Times New Roman" w:eastAsia="宋体" w:cs="Times New Roman"/>
      <w:kern w:val="2"/>
      <w:sz w:val="21"/>
      <w:lang w:val="en-US" w:eastAsia="zh-CN" w:bidi="ar-SA"/>
    </w:rPr>
  </w:style>
  <w:style w:type="character" w:customStyle="1" w:styleId="1202">
    <w:name w:val="标题 3 Char2"/>
    <w:qFormat/>
    <w:uiPriority w:val="0"/>
    <w:rPr>
      <w:rFonts w:eastAsia="黑体"/>
      <w:b/>
      <w:sz w:val="28"/>
    </w:rPr>
  </w:style>
  <w:style w:type="character" w:customStyle="1" w:styleId="1203">
    <w:name w:val="标题 5 字符1"/>
    <w:qFormat/>
    <w:uiPriority w:val="0"/>
    <w:rPr>
      <w:b/>
      <w:sz w:val="28"/>
      <w:szCs w:val="24"/>
    </w:rPr>
  </w:style>
  <w:style w:type="character" w:customStyle="1" w:styleId="1204">
    <w:name w:val="dy_biao_content1"/>
    <w:qFormat/>
    <w:uiPriority w:val="0"/>
    <w:rPr>
      <w:rFonts w:hint="eastAsia" w:ascii="宋体" w:hAnsi="宋体" w:eastAsia="宋体"/>
      <w:sz w:val="24"/>
      <w:szCs w:val="24"/>
    </w:rPr>
  </w:style>
  <w:style w:type="character" w:customStyle="1" w:styleId="1205">
    <w:name w:val="Date Char Char"/>
    <w:link w:val="1030"/>
    <w:qFormat/>
    <w:uiPriority w:val="0"/>
    <w:rPr>
      <w:rFonts w:ascii="宋体"/>
      <w:sz w:val="24"/>
    </w:rPr>
  </w:style>
  <w:style w:type="character" w:customStyle="1" w:styleId="1206">
    <w:name w:val="正文文本 2 字符1"/>
    <w:qFormat/>
    <w:uiPriority w:val="0"/>
    <w:rPr>
      <w:rFonts w:ascii="宋体"/>
      <w:kern w:val="2"/>
      <w:sz w:val="13"/>
    </w:rPr>
  </w:style>
  <w:style w:type="character" w:customStyle="1" w:styleId="1207">
    <w:name w:val="承康医疗 Char"/>
    <w:link w:val="1182"/>
    <w:qFormat/>
    <w:uiPriority w:val="0"/>
    <w:rPr>
      <w:rFonts w:ascii="微软雅黑" w:hAnsi="微软雅黑" w:eastAsia="微软雅黑"/>
      <w:sz w:val="21"/>
      <w:szCs w:val="21"/>
    </w:rPr>
  </w:style>
  <w:style w:type="character" w:customStyle="1" w:styleId="1208">
    <w:name w:val="列出段落 字符"/>
    <w:qFormat/>
    <w:uiPriority w:val="0"/>
    <w:rPr>
      <w:rFonts w:ascii="Times New Roman" w:hAnsi="Times New Roman" w:eastAsia="宋体" w:cs="Times New Roman"/>
      <w:kern w:val="2"/>
      <w:sz w:val="21"/>
      <w:szCs w:val="24"/>
    </w:rPr>
  </w:style>
  <w:style w:type="character" w:customStyle="1" w:styleId="1209">
    <w:name w:val="纯文本 字符4"/>
    <w:qFormat/>
    <w:uiPriority w:val="99"/>
    <w:rPr>
      <w:rFonts w:ascii="宋体"/>
      <w:kern w:val="2"/>
      <w:sz w:val="21"/>
    </w:rPr>
  </w:style>
  <w:style w:type="character" w:customStyle="1" w:styleId="1210">
    <w:name w:val="textcontents"/>
    <w:qFormat/>
    <w:uiPriority w:val="0"/>
    <w:rPr>
      <w:rFonts w:cs="Times New Roman"/>
    </w:rPr>
  </w:style>
  <w:style w:type="character" w:customStyle="1" w:styleId="1211">
    <w:name w:val="不明显参考2"/>
    <w:qFormat/>
    <w:uiPriority w:val="0"/>
    <w:rPr>
      <w:smallCaps/>
      <w:color w:val="C0504D"/>
      <w:u w:val="single"/>
    </w:rPr>
  </w:style>
  <w:style w:type="character" w:customStyle="1" w:styleId="1212">
    <w:name w:val="引用 Char2"/>
    <w:qFormat/>
    <w:uiPriority w:val="29"/>
    <w:rPr>
      <w:i/>
      <w:iCs/>
      <w:color w:val="000000"/>
      <w:kern w:val="2"/>
      <w:sz w:val="21"/>
      <w:szCs w:val="24"/>
    </w:rPr>
  </w:style>
  <w:style w:type="character" w:customStyle="1" w:styleId="1213">
    <w:name w:val="MM Topic 3 Char Char"/>
    <w:qFormat/>
    <w:uiPriority w:val="0"/>
    <w:rPr>
      <w:rFonts w:eastAsia="宋体"/>
      <w:b/>
      <w:bCs/>
      <w:kern w:val="2"/>
      <w:sz w:val="32"/>
      <w:szCs w:val="32"/>
      <w:lang w:val="en-US" w:eastAsia="zh-CN" w:bidi="ar-SA"/>
    </w:rPr>
  </w:style>
  <w:style w:type="character" w:customStyle="1" w:styleId="1214">
    <w:name w:val="ca-31"/>
    <w:qFormat/>
    <w:uiPriority w:val="0"/>
    <w:rPr>
      <w:rFonts w:hint="eastAsia" w:ascii="宋体" w:hAnsi="宋体" w:eastAsia="宋体"/>
      <w:sz w:val="24"/>
      <w:szCs w:val="24"/>
    </w:rPr>
  </w:style>
  <w:style w:type="character" w:customStyle="1" w:styleId="1215">
    <w:name w:val="A. Char"/>
    <w:link w:val="1216"/>
    <w:qFormat/>
    <w:uiPriority w:val="0"/>
    <w:rPr>
      <w:sz w:val="24"/>
    </w:rPr>
  </w:style>
  <w:style w:type="paragraph" w:customStyle="1" w:styleId="1216">
    <w:name w:val="A."/>
    <w:basedOn w:val="1"/>
    <w:link w:val="1215"/>
    <w:qFormat/>
    <w:uiPriority w:val="0"/>
    <w:pPr>
      <w:tabs>
        <w:tab w:val="left" w:pos="454"/>
      </w:tabs>
      <w:spacing w:before="120" w:after="120"/>
      <w:ind w:left="454" w:hanging="454"/>
    </w:pPr>
    <w:rPr>
      <w:kern w:val="0"/>
      <w:sz w:val="24"/>
      <w:szCs w:val="20"/>
    </w:rPr>
  </w:style>
  <w:style w:type="character" w:customStyle="1" w:styleId="1217">
    <w:name w:val="正文文本缩进 3 Char1"/>
    <w:qFormat/>
    <w:uiPriority w:val="0"/>
    <w:rPr>
      <w:kern w:val="2"/>
      <w:sz w:val="16"/>
      <w:szCs w:val="16"/>
    </w:rPr>
  </w:style>
  <w:style w:type="paragraph" w:customStyle="1" w:styleId="1218">
    <w:name w:val="引用1"/>
    <w:basedOn w:val="1"/>
    <w:next w:val="1"/>
    <w:qFormat/>
    <w:uiPriority w:val="0"/>
    <w:rPr>
      <w:rFonts w:ascii="等线" w:hAnsi="等线" w:eastAsia="等线"/>
      <w:i/>
      <w:iCs/>
      <w:color w:val="000000"/>
      <w:szCs w:val="22"/>
    </w:rPr>
  </w:style>
  <w:style w:type="character" w:customStyle="1" w:styleId="1219">
    <w:name w:val="标题 6 Char"/>
    <w:qFormat/>
    <w:uiPriority w:val="0"/>
    <w:rPr>
      <w:rFonts w:ascii="Cambria" w:hAnsi="Cambria" w:eastAsia="宋体" w:cs="Times New Roman"/>
      <w:b/>
      <w:bCs/>
      <w:kern w:val="2"/>
      <w:sz w:val="24"/>
      <w:szCs w:val="24"/>
    </w:rPr>
  </w:style>
  <w:style w:type="character" w:customStyle="1" w:styleId="1220">
    <w:name w:val="书籍标题1"/>
    <w:qFormat/>
    <w:uiPriority w:val="0"/>
    <w:rPr>
      <w:b/>
      <w:bCs/>
      <w:smallCaps/>
      <w:spacing w:val="5"/>
    </w:rPr>
  </w:style>
  <w:style w:type="character" w:customStyle="1" w:styleId="1221">
    <w:name w:val="副标题 Char2"/>
    <w:qFormat/>
    <w:uiPriority w:val="11"/>
    <w:rPr>
      <w:rFonts w:ascii="Cambria" w:hAnsi="Cambria" w:cs="Times New Roman"/>
      <w:b/>
      <w:bCs/>
      <w:kern w:val="28"/>
      <w:sz w:val="32"/>
      <w:szCs w:val="32"/>
    </w:rPr>
  </w:style>
  <w:style w:type="character" w:customStyle="1" w:styleId="1222">
    <w:name w:val="书籍标题2"/>
    <w:qFormat/>
    <w:uiPriority w:val="0"/>
    <w:rPr>
      <w:b/>
      <w:bCs/>
      <w:smallCaps/>
      <w:spacing w:val="5"/>
    </w:rPr>
  </w:style>
  <w:style w:type="character" w:customStyle="1" w:styleId="1223">
    <w:name w:val="明显强调2"/>
    <w:qFormat/>
    <w:uiPriority w:val="0"/>
    <w:rPr>
      <w:b/>
      <w:bCs/>
      <w:i/>
      <w:iCs/>
      <w:color w:val="4F81BD"/>
    </w:rPr>
  </w:style>
  <w:style w:type="character" w:customStyle="1" w:styleId="1224">
    <w:name w:val="标题 8 Char"/>
    <w:qFormat/>
    <w:uiPriority w:val="0"/>
    <w:rPr>
      <w:rFonts w:ascii="Cambria" w:hAnsi="Cambria" w:eastAsia="宋体" w:cs="Times New Roman"/>
      <w:kern w:val="2"/>
      <w:sz w:val="24"/>
      <w:szCs w:val="24"/>
    </w:rPr>
  </w:style>
  <w:style w:type="character" w:customStyle="1" w:styleId="1225">
    <w:name w:val="+正文 Char Char1"/>
    <w:qFormat/>
    <w:uiPriority w:val="0"/>
    <w:rPr>
      <w:rFonts w:eastAsia="宋体"/>
      <w:kern w:val="2"/>
      <w:sz w:val="24"/>
      <w:szCs w:val="28"/>
      <w:lang w:val="en-US" w:eastAsia="zh-CN" w:bidi="ar-SA"/>
    </w:rPr>
  </w:style>
  <w:style w:type="character" w:customStyle="1" w:styleId="1226">
    <w:name w:val="标题 Char2"/>
    <w:qFormat/>
    <w:uiPriority w:val="10"/>
    <w:rPr>
      <w:rFonts w:ascii="Cambria" w:hAnsi="Cambria" w:cs="Times New Roman"/>
      <w:b/>
      <w:bCs/>
      <w:kern w:val="2"/>
      <w:sz w:val="32"/>
      <w:szCs w:val="32"/>
    </w:rPr>
  </w:style>
  <w:style w:type="character" w:customStyle="1" w:styleId="1227">
    <w:name w:val="引用 Char"/>
    <w:qFormat/>
    <w:uiPriority w:val="0"/>
    <w:rPr>
      <w:i/>
      <w:iCs/>
      <w:color w:val="000000"/>
      <w:kern w:val="2"/>
      <w:sz w:val="21"/>
      <w:szCs w:val="22"/>
    </w:rPr>
  </w:style>
  <w:style w:type="character" w:customStyle="1" w:styleId="1228">
    <w:name w:val="不明显参考1"/>
    <w:qFormat/>
    <w:uiPriority w:val="0"/>
    <w:rPr>
      <w:smallCaps/>
      <w:color w:val="C0504D"/>
      <w:u w:val="single"/>
    </w:rPr>
  </w:style>
  <w:style w:type="character" w:customStyle="1" w:styleId="1229">
    <w:name w:val="明显引用 Char1"/>
    <w:qFormat/>
    <w:uiPriority w:val="30"/>
    <w:rPr>
      <w:rFonts w:ascii="Times New Roman" w:hAnsi="Times New Roman"/>
      <w:b/>
      <w:bCs/>
      <w:i/>
      <w:iCs/>
      <w:color w:val="4F81BD"/>
      <w:kern w:val="2"/>
      <w:sz w:val="21"/>
      <w:szCs w:val="24"/>
    </w:rPr>
  </w:style>
  <w:style w:type="character" w:customStyle="1" w:styleId="1230">
    <w:name w:val="标题4 Char Char"/>
    <w:link w:val="960"/>
    <w:qFormat/>
    <w:uiPriority w:val="0"/>
    <w:rPr>
      <w:rFonts w:ascii="宋体"/>
      <w:b/>
      <w:sz w:val="28"/>
    </w:rPr>
  </w:style>
  <w:style w:type="character" w:customStyle="1" w:styleId="1231">
    <w:name w:val="标题 Char"/>
    <w:qFormat/>
    <w:uiPriority w:val="0"/>
    <w:rPr>
      <w:rFonts w:ascii="Cambria" w:hAnsi="Cambria" w:cs="Times New Roman"/>
      <w:b/>
      <w:bCs/>
      <w:kern w:val="2"/>
      <w:sz w:val="32"/>
      <w:szCs w:val="32"/>
    </w:rPr>
  </w:style>
  <w:style w:type="character" w:customStyle="1" w:styleId="1232">
    <w:name w:val="引用 Char3"/>
    <w:qFormat/>
    <w:uiPriority w:val="29"/>
    <w:rPr>
      <w:i/>
      <w:iCs/>
      <w:color w:val="000000"/>
      <w:kern w:val="2"/>
      <w:sz w:val="21"/>
      <w:szCs w:val="24"/>
    </w:rPr>
  </w:style>
  <w:style w:type="character" w:customStyle="1" w:styleId="1233">
    <w:name w:val="副标题 Char"/>
    <w:qFormat/>
    <w:uiPriority w:val="0"/>
    <w:rPr>
      <w:rFonts w:ascii="Cambria" w:hAnsi="Cambria" w:cs="Times New Roman"/>
      <w:b/>
      <w:bCs/>
      <w:kern w:val="28"/>
      <w:sz w:val="32"/>
      <w:szCs w:val="32"/>
    </w:rPr>
  </w:style>
  <w:style w:type="character" w:customStyle="1" w:styleId="1234">
    <w:name w:val="Char Char10"/>
    <w:qFormat/>
    <w:uiPriority w:val="0"/>
    <w:rPr>
      <w:kern w:val="2"/>
      <w:sz w:val="21"/>
      <w:szCs w:val="22"/>
    </w:rPr>
  </w:style>
  <w:style w:type="character" w:customStyle="1" w:styleId="1235">
    <w:name w:val="不明显强调2"/>
    <w:qFormat/>
    <w:uiPriority w:val="0"/>
    <w:rPr>
      <w:i/>
      <w:iCs/>
      <w:color w:val="808080"/>
    </w:rPr>
  </w:style>
  <w:style w:type="character" w:customStyle="1" w:styleId="1236">
    <w:name w:val="明显参考1"/>
    <w:qFormat/>
    <w:uiPriority w:val="32"/>
    <w:rPr>
      <w:b/>
      <w:bCs/>
      <w:smallCaps/>
      <w:color w:val="C0504D"/>
      <w:spacing w:val="5"/>
      <w:u w:val="single"/>
    </w:rPr>
  </w:style>
  <w:style w:type="character" w:customStyle="1" w:styleId="1237">
    <w:name w:val="Char Char18"/>
    <w:qFormat/>
    <w:uiPriority w:val="0"/>
    <w:rPr>
      <w:rFonts w:ascii="Cambria" w:hAnsi="Cambria" w:eastAsia="宋体" w:cs="Times New Roman"/>
      <w:b/>
      <w:bCs/>
      <w:kern w:val="2"/>
      <w:sz w:val="32"/>
      <w:szCs w:val="32"/>
    </w:rPr>
  </w:style>
  <w:style w:type="character" w:customStyle="1" w:styleId="1238">
    <w:name w:val="副标题 Char3"/>
    <w:qFormat/>
    <w:uiPriority w:val="0"/>
    <w:rPr>
      <w:rFonts w:ascii="Cambria" w:hAnsi="Cambria" w:cs="Times New Roman"/>
      <w:b/>
      <w:bCs/>
      <w:kern w:val="28"/>
      <w:sz w:val="32"/>
      <w:szCs w:val="32"/>
    </w:rPr>
  </w:style>
  <w:style w:type="character" w:customStyle="1" w:styleId="1239">
    <w:name w:val="标题5 Char Char"/>
    <w:link w:val="1240"/>
    <w:qFormat/>
    <w:uiPriority w:val="0"/>
    <w:rPr>
      <w:rFonts w:ascii="Arial" w:hAnsi="Arial"/>
      <w:b/>
      <w:bCs/>
      <w:sz w:val="24"/>
      <w:szCs w:val="32"/>
    </w:rPr>
  </w:style>
  <w:style w:type="paragraph" w:customStyle="1" w:styleId="1240">
    <w:name w:val="标题5"/>
    <w:basedOn w:val="5"/>
    <w:link w:val="1239"/>
    <w:qFormat/>
    <w:uiPriority w:val="0"/>
    <w:pPr>
      <w:spacing w:before="260" w:after="260" w:line="413" w:lineRule="auto"/>
      <w:jc w:val="both"/>
    </w:pPr>
    <w:rPr>
      <w:rFonts w:ascii="Arial" w:hAnsi="Arial"/>
      <w:sz w:val="24"/>
    </w:rPr>
  </w:style>
  <w:style w:type="character" w:customStyle="1" w:styleId="1241">
    <w:name w:val="正文文本 3 Char1"/>
    <w:qFormat/>
    <w:uiPriority w:val="0"/>
    <w:rPr>
      <w:rFonts w:ascii="Times New Roman" w:hAnsi="Times New Roman"/>
      <w:kern w:val="2"/>
      <w:sz w:val="16"/>
      <w:szCs w:val="16"/>
    </w:rPr>
  </w:style>
  <w:style w:type="character" w:customStyle="1" w:styleId="1242">
    <w:name w:val="ca-2"/>
    <w:qFormat/>
    <w:uiPriority w:val="0"/>
  </w:style>
  <w:style w:type="character" w:customStyle="1" w:styleId="1243">
    <w:name w:val="批注文字 Char Char"/>
    <w:qFormat/>
    <w:uiPriority w:val="0"/>
    <w:rPr>
      <w:rFonts w:ascii="宋体" w:hAnsi="Times New Roman" w:eastAsia="宋体" w:cs="Times New Roman"/>
      <w:sz w:val="28"/>
      <w:szCs w:val="20"/>
    </w:rPr>
  </w:style>
  <w:style w:type="character" w:customStyle="1" w:styleId="1244">
    <w:name w:val="明显强调1"/>
    <w:qFormat/>
    <w:uiPriority w:val="0"/>
    <w:rPr>
      <w:b/>
      <w:bCs/>
      <w:i/>
      <w:iCs/>
      <w:color w:val="4F81BD"/>
    </w:rPr>
  </w:style>
  <w:style w:type="character" w:customStyle="1" w:styleId="1245">
    <w:name w:val="+正文 Char Char"/>
    <w:qFormat/>
    <w:uiPriority w:val="0"/>
    <w:rPr>
      <w:rFonts w:eastAsia="宋体"/>
      <w:kern w:val="2"/>
      <w:sz w:val="24"/>
      <w:szCs w:val="28"/>
      <w:lang w:val="en-US" w:eastAsia="zh-CN" w:bidi="ar-SA"/>
    </w:rPr>
  </w:style>
  <w:style w:type="character" w:customStyle="1" w:styleId="1246">
    <w:name w:val="明显引用 Char2"/>
    <w:qFormat/>
    <w:uiPriority w:val="30"/>
    <w:rPr>
      <w:b/>
      <w:bCs/>
      <w:i/>
      <w:iCs/>
      <w:color w:val="4F81BD"/>
      <w:kern w:val="2"/>
      <w:sz w:val="21"/>
      <w:szCs w:val="24"/>
    </w:rPr>
  </w:style>
  <w:style w:type="character" w:customStyle="1" w:styleId="1247">
    <w:name w:val="标题 9 Char"/>
    <w:qFormat/>
    <w:uiPriority w:val="0"/>
    <w:rPr>
      <w:rFonts w:ascii="Cambria" w:hAnsi="Cambria" w:eastAsia="宋体" w:cs="Times New Roman"/>
      <w:kern w:val="2"/>
      <w:sz w:val="21"/>
      <w:szCs w:val="21"/>
    </w:rPr>
  </w:style>
  <w:style w:type="character" w:customStyle="1" w:styleId="1248">
    <w:name w:val="明显参考2"/>
    <w:qFormat/>
    <w:uiPriority w:val="0"/>
    <w:rPr>
      <w:b/>
      <w:bCs/>
      <w:smallCaps/>
      <w:color w:val="C0504D"/>
      <w:spacing w:val="5"/>
      <w:u w:val="single"/>
    </w:rPr>
  </w:style>
  <w:style w:type="character" w:customStyle="1" w:styleId="1249">
    <w:name w:val="明显引用 Char"/>
    <w:qFormat/>
    <w:uiPriority w:val="0"/>
    <w:rPr>
      <w:b/>
      <w:bCs/>
      <w:i/>
      <w:iCs/>
      <w:color w:val="4F81BD"/>
      <w:kern w:val="2"/>
      <w:sz w:val="21"/>
      <w:szCs w:val="22"/>
    </w:rPr>
  </w:style>
  <w:style w:type="character" w:customStyle="1" w:styleId="1250">
    <w:name w:val="标题 7 Char"/>
    <w:qFormat/>
    <w:uiPriority w:val="0"/>
    <w:rPr>
      <w:b/>
      <w:bCs/>
      <w:kern w:val="2"/>
      <w:sz w:val="24"/>
      <w:szCs w:val="24"/>
    </w:rPr>
  </w:style>
  <w:style w:type="character" w:customStyle="1" w:styleId="1251">
    <w:name w:val="javascript"/>
    <w:qFormat/>
    <w:uiPriority w:val="0"/>
  </w:style>
  <w:style w:type="character" w:customStyle="1" w:styleId="1252">
    <w:name w:val="文档结构图 Char2"/>
    <w:semiHidden/>
    <w:qFormat/>
    <w:uiPriority w:val="99"/>
    <w:rPr>
      <w:rFonts w:ascii="宋体"/>
      <w:sz w:val="18"/>
      <w:szCs w:val="18"/>
    </w:rPr>
  </w:style>
  <w:style w:type="paragraph" w:customStyle="1" w:styleId="1253">
    <w:name w:val="明显引用1"/>
    <w:basedOn w:val="1"/>
    <w:next w:val="1"/>
    <w:qFormat/>
    <w:uiPriority w:val="0"/>
    <w:pPr>
      <w:pBdr>
        <w:bottom w:val="single" w:color="4F81BD" w:sz="4" w:space="4"/>
      </w:pBdr>
      <w:spacing w:before="200" w:after="280"/>
      <w:ind w:left="936" w:right="936"/>
    </w:pPr>
    <w:rPr>
      <w:rFonts w:ascii="等线" w:hAnsi="等线" w:eastAsia="等线"/>
      <w:b/>
      <w:bCs/>
      <w:i/>
      <w:iCs/>
      <w:color w:val="4F81BD"/>
      <w:szCs w:val="22"/>
    </w:rPr>
  </w:style>
  <w:style w:type="character" w:customStyle="1" w:styleId="1254">
    <w:name w:val="标题 Char3"/>
    <w:qFormat/>
    <w:uiPriority w:val="0"/>
    <w:rPr>
      <w:rFonts w:ascii="Cambria" w:hAnsi="Cambria" w:cs="Times New Roman"/>
      <w:b/>
      <w:bCs/>
      <w:kern w:val="2"/>
      <w:sz w:val="32"/>
      <w:szCs w:val="32"/>
    </w:rPr>
  </w:style>
  <w:style w:type="character" w:customStyle="1" w:styleId="1255">
    <w:name w:val="文档结构图 Char1"/>
    <w:qFormat/>
    <w:uiPriority w:val="0"/>
    <w:rPr>
      <w:rFonts w:ascii="宋体"/>
      <w:kern w:val="2"/>
      <w:sz w:val="18"/>
      <w:szCs w:val="18"/>
    </w:rPr>
  </w:style>
  <w:style w:type="character" w:customStyle="1" w:styleId="1256">
    <w:name w:val="正文文本 Char2"/>
    <w:semiHidden/>
    <w:qFormat/>
    <w:uiPriority w:val="99"/>
    <w:rPr>
      <w:sz w:val="24"/>
      <w:szCs w:val="24"/>
    </w:rPr>
  </w:style>
  <w:style w:type="character" w:customStyle="1" w:styleId="1257">
    <w:name w:val="明显引用 Char3"/>
    <w:qFormat/>
    <w:uiPriority w:val="30"/>
    <w:rPr>
      <w:b/>
      <w:bCs/>
      <w:i/>
      <w:iCs/>
      <w:color w:val="4F81BD"/>
      <w:kern w:val="2"/>
      <w:sz w:val="21"/>
      <w:szCs w:val="24"/>
    </w:rPr>
  </w:style>
  <w:style w:type="character" w:customStyle="1" w:styleId="1258">
    <w:name w:val="访问过的超链接1"/>
    <w:qFormat/>
    <w:uiPriority w:val="0"/>
    <w:rPr>
      <w:color w:val="800080"/>
      <w:u w:val="single"/>
    </w:rPr>
  </w:style>
  <w:style w:type="character" w:customStyle="1" w:styleId="1259">
    <w:name w:val="引用 Char1"/>
    <w:qFormat/>
    <w:uiPriority w:val="29"/>
    <w:rPr>
      <w:rFonts w:ascii="Times New Roman" w:hAnsi="Times New Roman"/>
      <w:i/>
      <w:iCs/>
      <w:color w:val="000000"/>
      <w:kern w:val="2"/>
      <w:sz w:val="21"/>
      <w:szCs w:val="24"/>
    </w:rPr>
  </w:style>
  <w:style w:type="paragraph" w:customStyle="1" w:styleId="1260">
    <w:name w:val="样式 样式 样式 正文文本缩进 + 首行缩进:  2 字符 + 首行缩进:  2 字符 + 首行缩进:  2 字符"/>
    <w:basedOn w:val="1"/>
    <w:qFormat/>
    <w:uiPriority w:val="0"/>
    <w:pPr>
      <w:tabs>
        <w:tab w:val="left" w:pos="9016"/>
      </w:tabs>
      <w:spacing w:line="460" w:lineRule="exact"/>
      <w:ind w:firstLine="480" w:firstLineChars="200"/>
      <w:jc w:val="left"/>
    </w:pPr>
    <w:rPr>
      <w:rFonts w:cs="宋体"/>
      <w:color w:val="FF6600"/>
      <w:kern w:val="0"/>
      <w:sz w:val="24"/>
      <w:szCs w:val="20"/>
    </w:rPr>
  </w:style>
  <w:style w:type="paragraph" w:customStyle="1" w:styleId="126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62">
    <w:name w:val="Char Char Char Char1 Char Char Char"/>
    <w:basedOn w:val="1"/>
    <w:qFormat/>
    <w:uiPriority w:val="0"/>
    <w:pPr>
      <w:spacing w:line="240" w:lineRule="atLeast"/>
      <w:ind w:left="420" w:firstLine="420"/>
    </w:pPr>
    <w:rPr>
      <w:kern w:val="0"/>
      <w:szCs w:val="21"/>
    </w:rPr>
  </w:style>
  <w:style w:type="paragraph" w:customStyle="1" w:styleId="12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64">
    <w:name w:val="正文1111"/>
    <w:basedOn w:val="1"/>
    <w:next w:val="343"/>
    <w:qFormat/>
    <w:uiPriority w:val="0"/>
    <w:pPr>
      <w:spacing w:line="360" w:lineRule="auto"/>
      <w:ind w:firstLine="200" w:firstLineChars="200"/>
    </w:pPr>
    <w:rPr>
      <w:sz w:val="24"/>
      <w:szCs w:val="28"/>
    </w:rPr>
  </w:style>
  <w:style w:type="paragraph" w:customStyle="1" w:styleId="1265">
    <w:name w:val="pa-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6">
    <w:name w:val="_Style 7"/>
    <w:basedOn w:val="1"/>
    <w:next w:val="45"/>
    <w:qFormat/>
    <w:uiPriority w:val="0"/>
    <w:rPr>
      <w:rFonts w:ascii="宋体" w:hAnsi="Courier New"/>
      <w:szCs w:val="20"/>
    </w:rPr>
  </w:style>
  <w:style w:type="paragraph" w:customStyle="1" w:styleId="1267">
    <w:name w:val="+▲"/>
    <w:basedOn w:val="1264"/>
    <w:qFormat/>
    <w:uiPriority w:val="0"/>
    <w:pPr>
      <w:tabs>
        <w:tab w:val="left" w:pos="360"/>
        <w:tab w:val="left" w:pos="425"/>
        <w:tab w:val="left" w:pos="840"/>
        <w:tab w:val="left" w:pos="1620"/>
      </w:tabs>
      <w:ind w:left="360" w:firstLine="0" w:firstLineChars="0"/>
    </w:pPr>
  </w:style>
  <w:style w:type="paragraph" w:customStyle="1" w:styleId="1268">
    <w:name w:val="无间隔111"/>
    <w:qFormat/>
    <w:uiPriority w:val="1"/>
    <w:pPr>
      <w:widowControl w:val="0"/>
      <w:jc w:val="both"/>
    </w:pPr>
    <w:rPr>
      <w:rFonts w:ascii="Calibri" w:hAnsi="Calibri" w:eastAsia="宋体" w:cs="黑体"/>
      <w:kern w:val="2"/>
      <w:sz w:val="21"/>
      <w:szCs w:val="22"/>
      <w:lang w:val="en-US" w:eastAsia="zh-CN" w:bidi="ar-SA"/>
    </w:rPr>
  </w:style>
  <w:style w:type="paragraph" w:customStyle="1" w:styleId="1269">
    <w:name w:val="正文文本1"/>
    <w:basedOn w:val="1"/>
    <w:next w:val="33"/>
    <w:qFormat/>
    <w:uiPriority w:val="0"/>
    <w:pPr>
      <w:adjustRightInd w:val="0"/>
      <w:spacing w:after="60" w:line="360" w:lineRule="atLeast"/>
      <w:ind w:left="72" w:leftChars="30" w:right="30" w:rightChars="30"/>
      <w:jc w:val="center"/>
      <w:textAlignment w:val="baseline"/>
    </w:pPr>
    <w:rPr>
      <w:rFonts w:eastAsia="等线"/>
      <w:szCs w:val="22"/>
    </w:rPr>
  </w:style>
  <w:style w:type="paragraph" w:customStyle="1" w:styleId="1270">
    <w:name w:val="XW正文"/>
    <w:basedOn w:val="34"/>
    <w:qFormat/>
    <w:uiPriority w:val="0"/>
    <w:pPr>
      <w:adjustRightInd w:val="0"/>
      <w:spacing w:line="360" w:lineRule="auto"/>
      <w:ind w:firstLine="0" w:firstLineChars="0"/>
      <w:textAlignment w:val="baseline"/>
    </w:pPr>
    <w:rPr>
      <w:rFonts w:ascii="Times New Roman" w:eastAsia="宋体"/>
      <w:szCs w:val="20"/>
      <w:lang w:val="zh-CN"/>
    </w:rPr>
  </w:style>
  <w:style w:type="paragraph" w:customStyle="1" w:styleId="1271">
    <w:name w:val="样式 样式 样式 宋体 小四 黑色 两端对齐 + 首行缩进:  2 字符 + 五号 首行缩进:  2 字符"/>
    <w:basedOn w:val="1"/>
    <w:qFormat/>
    <w:uiPriority w:val="0"/>
    <w:pPr>
      <w:widowControl/>
      <w:spacing w:line="340" w:lineRule="exact"/>
      <w:ind w:firstLine="200" w:firstLineChars="200"/>
    </w:pPr>
    <w:rPr>
      <w:rFonts w:ascii="宋体" w:hAnsi="宋体"/>
      <w:color w:val="000000"/>
      <w:kern w:val="0"/>
      <w:szCs w:val="20"/>
    </w:rPr>
  </w:style>
  <w:style w:type="paragraph" w:customStyle="1" w:styleId="1272">
    <w:name w:val="opening2"/>
    <w:basedOn w:val="1"/>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1273">
    <w:name w:val="样式 标题 2"/>
    <w:basedOn w:val="1"/>
    <w:next w:val="5"/>
    <w:qFormat/>
    <w:uiPriority w:val="0"/>
    <w:pPr>
      <w:snapToGrid w:val="0"/>
      <w:spacing w:line="360" w:lineRule="auto"/>
      <w:ind w:firstLine="200" w:firstLineChars="200"/>
    </w:pPr>
    <w:rPr>
      <w:rFonts w:eastAsia="仿宋_GB2312"/>
      <w:sz w:val="32"/>
      <w:szCs w:val="32"/>
    </w:rPr>
  </w:style>
  <w:style w:type="paragraph" w:customStyle="1" w:styleId="1274">
    <w:name w:val="Zchn Zchn1 Char Char Zchn Zchn Char Char Zchn Zchn Char Char Zchn Zchn Char Char Zchn Zchn"/>
    <w:basedOn w:val="1"/>
    <w:qFormat/>
    <w:uiPriority w:val="0"/>
    <w:pPr>
      <w:tabs>
        <w:tab w:val="left" w:pos="360"/>
      </w:tabs>
      <w:ind w:left="360" w:hanging="360" w:hangingChars="200"/>
    </w:pPr>
    <w:rPr>
      <w:sz w:val="24"/>
    </w:rPr>
  </w:style>
  <w:style w:type="paragraph" w:customStyle="1" w:styleId="1275">
    <w:name w:val="Char6 Char Char Char"/>
    <w:basedOn w:val="1"/>
    <w:qFormat/>
    <w:uiPriority w:val="0"/>
    <w:pPr>
      <w:tabs>
        <w:tab w:val="left" w:pos="794"/>
        <w:tab w:val="left" w:pos="1191"/>
        <w:tab w:val="left" w:pos="1588"/>
        <w:tab w:val="left" w:pos="1985"/>
      </w:tabs>
      <w:autoSpaceDE w:val="0"/>
      <w:autoSpaceDN w:val="0"/>
      <w:adjustRightInd w:val="0"/>
      <w:spacing w:before="136"/>
    </w:pPr>
    <w:rPr>
      <w:kern w:val="0"/>
      <w:sz w:val="24"/>
    </w:rPr>
  </w:style>
  <w:style w:type="paragraph" w:customStyle="1" w:styleId="1276">
    <w:name w:val="pa-3"/>
    <w:qFormat/>
    <w:uiPriority w:val="0"/>
    <w:pPr>
      <w:spacing w:before="150" w:after="150" w:line="280" w:lineRule="atLeast"/>
    </w:pPr>
    <w:rPr>
      <w:rFonts w:ascii="Times New Roman" w:hAnsi="Times New Roman" w:eastAsia="宋体" w:cs="宋体"/>
      <w:bCs/>
      <w:sz w:val="24"/>
      <w:szCs w:val="24"/>
      <w:lang w:val="en-US" w:eastAsia="zh-CN" w:bidi="ar-SA"/>
    </w:rPr>
  </w:style>
  <w:style w:type="paragraph" w:customStyle="1" w:styleId="1277">
    <w:name w:val="Char131"/>
    <w:basedOn w:val="1"/>
    <w:qFormat/>
    <w:uiPriority w:val="0"/>
  </w:style>
  <w:style w:type="paragraph" w:customStyle="1" w:styleId="1278">
    <w:name w:val="7"/>
    <w:basedOn w:val="1"/>
    <w:qFormat/>
    <w:uiPriority w:val="0"/>
    <w:pPr>
      <w:widowControl/>
      <w:tabs>
        <w:tab w:val="left" w:pos="425"/>
      </w:tabs>
      <w:spacing w:beforeLines="100" w:after="160" w:line="240" w:lineRule="exact"/>
      <w:ind w:left="425" w:hanging="425"/>
      <w:jc w:val="left"/>
    </w:pPr>
    <w:rPr>
      <w:rFonts w:ascii="Verdana" w:hAnsi="Verdana" w:eastAsia="黑体"/>
      <w:kern w:val="0"/>
      <w:sz w:val="20"/>
      <w:szCs w:val="20"/>
      <w:lang w:eastAsia="en-US"/>
    </w:rPr>
  </w:style>
  <w:style w:type="paragraph" w:customStyle="1" w:styleId="1279">
    <w:name w:val="列出段落21"/>
    <w:basedOn w:val="1"/>
    <w:qFormat/>
    <w:uiPriority w:val="0"/>
    <w:pPr>
      <w:ind w:firstLine="420" w:firstLineChars="200"/>
    </w:pPr>
    <w:rPr>
      <w:szCs w:val="21"/>
    </w:rPr>
  </w:style>
  <w:style w:type="paragraph" w:customStyle="1" w:styleId="1280">
    <w:name w:val="CM49"/>
    <w:basedOn w:val="221"/>
    <w:next w:val="221"/>
    <w:qFormat/>
    <w:uiPriority w:val="0"/>
  </w:style>
  <w:style w:type="paragraph" w:customStyle="1" w:styleId="1281">
    <w:name w:val="CM93"/>
    <w:basedOn w:val="221"/>
    <w:next w:val="221"/>
    <w:qFormat/>
    <w:uiPriority w:val="0"/>
  </w:style>
  <w:style w:type="paragraph" w:customStyle="1" w:styleId="1282">
    <w:name w:val="CM95"/>
    <w:basedOn w:val="1"/>
    <w:next w:val="1"/>
    <w:qFormat/>
    <w:uiPriority w:val="0"/>
    <w:pPr>
      <w:autoSpaceDE w:val="0"/>
      <w:autoSpaceDN w:val="0"/>
      <w:adjustRightInd w:val="0"/>
      <w:spacing w:after="115"/>
      <w:jc w:val="left"/>
    </w:pPr>
    <w:rPr>
      <w:rFonts w:ascii="宋体"/>
      <w:kern w:val="0"/>
      <w:sz w:val="24"/>
    </w:rPr>
  </w:style>
  <w:style w:type="paragraph" w:customStyle="1" w:styleId="1283">
    <w:name w:val="TOC 标题2"/>
    <w:basedOn w:val="3"/>
    <w:next w:val="1"/>
    <w:qFormat/>
    <w:uiPriority w:val="0"/>
    <w:pPr>
      <w:keepLines/>
      <w:autoSpaceDE/>
      <w:autoSpaceDN/>
      <w:adjustRightInd/>
      <w:spacing w:before="340" w:after="330" w:line="576" w:lineRule="auto"/>
      <w:jc w:val="both"/>
      <w:outlineLvl w:val="9"/>
    </w:pPr>
    <w:rPr>
      <w:rFonts w:ascii="Calibri" w:hAnsi="Calibri" w:eastAsia="宋体"/>
      <w:color w:val="auto"/>
      <w:kern w:val="44"/>
      <w:sz w:val="44"/>
      <w:szCs w:val="44"/>
      <w:lang w:val="zh-CN"/>
    </w:rPr>
  </w:style>
  <w:style w:type="paragraph" w:customStyle="1" w:styleId="1284">
    <w:name w:val="p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5">
    <w:name w:val="修订21"/>
    <w:qFormat/>
    <w:uiPriority w:val="0"/>
    <w:rPr>
      <w:rFonts w:ascii="Times New Roman" w:hAnsi="Times New Roman" w:eastAsia="宋体" w:cs="Times New Roman"/>
      <w:kern w:val="2"/>
      <w:sz w:val="21"/>
      <w:szCs w:val="24"/>
      <w:lang w:val="en-US" w:eastAsia="zh-CN" w:bidi="ar-SA"/>
    </w:rPr>
  </w:style>
  <w:style w:type="paragraph" w:customStyle="1" w:styleId="1286">
    <w:name w:val="_Style 65"/>
    <w:next w:val="1"/>
    <w:qFormat/>
    <w:uiPriority w:val="0"/>
    <w:rPr>
      <w:rFonts w:ascii="Times New Roman" w:hAnsi="Times New Roman" w:eastAsia="宋体" w:cs="Times New Roman"/>
      <w:sz w:val="24"/>
      <w:szCs w:val="24"/>
      <w:lang w:val="en-US" w:eastAsia="zh-CN" w:bidi="ar-SA"/>
    </w:rPr>
  </w:style>
  <w:style w:type="paragraph" w:customStyle="1" w:styleId="1287">
    <w:name w:val="Char12"/>
    <w:basedOn w:val="1"/>
    <w:qFormat/>
    <w:uiPriority w:val="0"/>
    <w:rPr>
      <w:szCs w:val="20"/>
    </w:rPr>
  </w:style>
  <w:style w:type="paragraph" w:customStyle="1" w:styleId="1288">
    <w:name w:val="+正文 Char5"/>
    <w:basedOn w:val="1"/>
    <w:qFormat/>
    <w:uiPriority w:val="0"/>
    <w:pPr>
      <w:spacing w:line="360" w:lineRule="auto"/>
      <w:ind w:firstLine="200" w:firstLineChars="200"/>
    </w:pPr>
    <w:rPr>
      <w:sz w:val="24"/>
      <w:szCs w:val="28"/>
    </w:rPr>
  </w:style>
  <w:style w:type="paragraph" w:customStyle="1" w:styleId="1289">
    <w:name w:val="A标题3"/>
    <w:basedOn w:val="5"/>
    <w:next w:val="1"/>
    <w:qFormat/>
    <w:uiPriority w:val="0"/>
    <w:pPr>
      <w:keepNext w:val="0"/>
      <w:keepLines w:val="0"/>
      <w:tabs>
        <w:tab w:val="left" w:pos="851"/>
      </w:tabs>
      <w:adjustRightInd w:val="0"/>
      <w:spacing w:before="0" w:after="0"/>
      <w:ind w:left="851" w:hanging="851"/>
      <w:jc w:val="both"/>
      <w:textAlignment w:val="baseline"/>
    </w:pPr>
    <w:rPr>
      <w:rFonts w:ascii="Times New Roman"/>
      <w:b w:val="0"/>
      <w:bCs w:val="0"/>
      <w:sz w:val="24"/>
      <w:szCs w:val="20"/>
      <w:lang w:val="zh-CN"/>
    </w:rPr>
  </w:style>
  <w:style w:type="paragraph" w:customStyle="1" w:styleId="1290">
    <w:name w:val="A标题5"/>
    <w:basedOn w:val="1"/>
    <w:next w:val="1"/>
    <w:qFormat/>
    <w:uiPriority w:val="0"/>
    <w:pPr>
      <w:tabs>
        <w:tab w:val="left" w:pos="1021"/>
      </w:tabs>
      <w:spacing w:line="360" w:lineRule="auto"/>
      <w:ind w:left="340" w:firstLine="511"/>
      <w:outlineLvl w:val="4"/>
    </w:pPr>
    <w:rPr>
      <w:kern w:val="0"/>
      <w:sz w:val="24"/>
    </w:rPr>
  </w:style>
  <w:style w:type="paragraph" w:customStyle="1" w:styleId="1291">
    <w:name w:val="Normal_0"/>
    <w:qFormat/>
    <w:uiPriority w:val="0"/>
    <w:pPr>
      <w:widowControl w:val="0"/>
      <w:jc w:val="both"/>
    </w:pPr>
    <w:rPr>
      <w:rFonts w:ascii="Calibri" w:hAnsi="Calibri" w:eastAsia="宋体" w:cs="Times New Roman"/>
      <w:szCs w:val="24"/>
      <w:lang w:val="en-US" w:eastAsia="zh-CN" w:bidi="ar-SA"/>
    </w:rPr>
  </w:style>
  <w:style w:type="paragraph" w:customStyle="1" w:styleId="1292">
    <w:name w:val="Normal_1_0"/>
    <w:qFormat/>
    <w:uiPriority w:val="0"/>
    <w:pPr>
      <w:widowControl w:val="0"/>
      <w:jc w:val="both"/>
    </w:pPr>
    <w:rPr>
      <w:rFonts w:ascii="Calibri" w:hAnsi="Calibri" w:eastAsia="宋体" w:cs="Times New Roman"/>
      <w:szCs w:val="24"/>
      <w:lang w:val="en-US" w:eastAsia="zh-CN" w:bidi="ar-SA"/>
    </w:rPr>
  </w:style>
  <w:style w:type="table" w:customStyle="1" w:styleId="1293">
    <w:name w:val="网格型2"/>
    <w:basedOn w:val="87"/>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网格型11"/>
    <w:basedOn w:val="8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5">
    <w:name w:val="不明显强调3"/>
    <w:qFormat/>
    <w:uiPriority w:val="0"/>
    <w:rPr>
      <w:i/>
      <w:iCs/>
      <w:color w:val="808080"/>
    </w:rPr>
  </w:style>
  <w:style w:type="character" w:customStyle="1" w:styleId="1296">
    <w:name w:val="明显参考3"/>
    <w:qFormat/>
    <w:uiPriority w:val="0"/>
    <w:rPr>
      <w:b/>
      <w:bCs/>
      <w:smallCaps/>
      <w:color w:val="C0504D"/>
      <w:spacing w:val="5"/>
      <w:u w:val="single"/>
    </w:rPr>
  </w:style>
  <w:style w:type="character" w:customStyle="1" w:styleId="1297">
    <w:name w:val="书籍标题3"/>
    <w:qFormat/>
    <w:uiPriority w:val="0"/>
    <w:rPr>
      <w:b/>
      <w:bCs/>
      <w:smallCaps/>
      <w:spacing w:val="5"/>
    </w:rPr>
  </w:style>
  <w:style w:type="character" w:customStyle="1" w:styleId="1298">
    <w:name w:val="明显强调3"/>
    <w:qFormat/>
    <w:uiPriority w:val="0"/>
    <w:rPr>
      <w:b/>
      <w:bCs/>
      <w:i/>
      <w:iCs/>
      <w:color w:val="4F81BD"/>
    </w:rPr>
  </w:style>
  <w:style w:type="character" w:customStyle="1" w:styleId="1299">
    <w:name w:val="不明显参考3"/>
    <w:qFormat/>
    <w:uiPriority w:val="0"/>
    <w:rPr>
      <w:smallCaps/>
      <w:color w:val="C0504D"/>
      <w:u w:val="single"/>
    </w:rPr>
  </w:style>
  <w:style w:type="paragraph" w:customStyle="1" w:styleId="1300">
    <w:name w:val="p2"/>
    <w:basedOn w:val="1"/>
    <w:qFormat/>
    <w:uiPriority w:val="0"/>
    <w:pPr>
      <w:widowControl/>
      <w:spacing w:line="480" w:lineRule="auto"/>
      <w:ind w:firstLine="420"/>
      <w:jc w:val="left"/>
    </w:pPr>
    <w:rPr>
      <w:rFonts w:ascii="宋体" w:hAnsi="宋体" w:cs="宋体"/>
      <w:kern w:val="0"/>
      <w:szCs w:val="21"/>
    </w:rPr>
  </w:style>
  <w:style w:type="character" w:customStyle="1" w:styleId="1301">
    <w:name w:val="纯文本 字符3"/>
    <w:qFormat/>
    <w:uiPriority w:val="0"/>
    <w:rPr>
      <w:rFonts w:ascii="宋体" w:hAnsi="Times New Roman" w:eastAsia="宋体" w:cs="Times New Roman"/>
      <w:kern w:val="2"/>
      <w:sz w:val="21"/>
      <w:lang w:val="en-US" w:eastAsia="zh-CN" w:bidi="ar-SA"/>
    </w:rPr>
  </w:style>
  <w:style w:type="character" w:customStyle="1" w:styleId="1302">
    <w:name w:val="font31"/>
    <w:qFormat/>
    <w:uiPriority w:val="0"/>
    <w:rPr>
      <w:rFonts w:hint="eastAsia" w:ascii="微软雅黑" w:hAnsi="微软雅黑" w:eastAsia="微软雅黑" w:cs="微软雅黑"/>
      <w:color w:val="000000"/>
      <w:sz w:val="18"/>
      <w:szCs w:val="18"/>
      <w:u w:val="none"/>
    </w:rPr>
  </w:style>
  <w:style w:type="character" w:customStyle="1" w:styleId="1303">
    <w:name w:val="A13"/>
    <w:qFormat/>
    <w:uiPriority w:val="0"/>
    <w:rPr>
      <w:rFonts w:ascii="Univers LT Std 45 Light" w:eastAsia="Univers LT Std 45 Light" w:cs="Univers LT Std 45 Light"/>
      <w:color w:val="221E1F"/>
      <w:sz w:val="10"/>
      <w:szCs w:val="10"/>
    </w:rPr>
  </w:style>
  <w:style w:type="paragraph" w:customStyle="1" w:styleId="1304">
    <w:name w:val="样式 正文文字缩进 + 小四 首行缩进:  2 字符"/>
    <w:basedOn w:val="1"/>
    <w:qFormat/>
    <w:uiPriority w:val="0"/>
    <w:pPr>
      <w:spacing w:line="600" w:lineRule="exact"/>
      <w:jc w:val="center"/>
    </w:pPr>
    <w:rPr>
      <w:rFonts w:ascii="宋体"/>
      <w:b/>
      <w:u w:val="double"/>
    </w:rPr>
  </w:style>
  <w:style w:type="character" w:customStyle="1" w:styleId="1305">
    <w:name w:val="font11"/>
    <w:qFormat/>
    <w:uiPriority w:val="0"/>
    <w:rPr>
      <w:rFonts w:hint="default" w:ascii="Arial Narrow" w:hAnsi="Arial Narrow" w:eastAsia="Arial Narrow" w:cs="Arial Narrow"/>
      <w:color w:val="000000"/>
      <w:sz w:val="24"/>
      <w:szCs w:val="24"/>
      <w:u w:val="none"/>
    </w:rPr>
  </w:style>
  <w:style w:type="character" w:customStyle="1" w:styleId="1306">
    <w:name w:val="页眉 字符1"/>
    <w:qFormat/>
    <w:uiPriority w:val="99"/>
    <w:rPr>
      <w:kern w:val="2"/>
      <w:sz w:val="18"/>
      <w:szCs w:val="18"/>
    </w:rPr>
  </w:style>
  <w:style w:type="character" w:customStyle="1" w:styleId="1307">
    <w:name w:val="apple-converted-space"/>
    <w:qFormat/>
    <w:uiPriority w:val="0"/>
  </w:style>
  <w:style w:type="character" w:customStyle="1" w:styleId="1308">
    <w:name w:val="Font Style21"/>
    <w:qFormat/>
    <w:uiPriority w:val="0"/>
    <w:rPr>
      <w:rFonts w:ascii="宋体" w:eastAsia="宋体" w:cs="宋体"/>
      <w:sz w:val="22"/>
      <w:szCs w:val="22"/>
    </w:rPr>
  </w:style>
  <w:style w:type="character" w:customStyle="1" w:styleId="1309">
    <w:name w:val="unnamed21"/>
    <w:qFormat/>
    <w:uiPriority w:val="0"/>
  </w:style>
  <w:style w:type="character" w:customStyle="1" w:styleId="1310">
    <w:name w:val="Char14"/>
    <w:qFormat/>
    <w:uiPriority w:val="0"/>
    <w:rPr>
      <w:rFonts w:ascii="宋体" w:hAnsi="Courier New" w:eastAsia="宋体"/>
      <w:kern w:val="2"/>
      <w:sz w:val="21"/>
      <w:lang w:val="en-US" w:eastAsia="zh-CN" w:bidi="ar-SA"/>
    </w:rPr>
  </w:style>
  <w:style w:type="character" w:customStyle="1" w:styleId="1311">
    <w:name w:val="contents1"/>
    <w:qFormat/>
    <w:uiPriority w:val="0"/>
    <w:rPr>
      <w:rFonts w:hint="default" w:ascii="Times New Roman" w:hAnsi="Times New Roman" w:cs="Times New Roman"/>
      <w:sz w:val="23"/>
      <w:szCs w:val="23"/>
    </w:rPr>
  </w:style>
  <w:style w:type="character" w:customStyle="1" w:styleId="1312">
    <w:name w:val="black1"/>
    <w:qFormat/>
    <w:uiPriority w:val="0"/>
    <w:rPr>
      <w:rFonts w:hint="default" w:ascii="ˎ̥" w:hAnsi="ˎ̥"/>
      <w:color w:val="333333"/>
      <w:sz w:val="18"/>
      <w:szCs w:val="18"/>
      <w:u w:val="none"/>
    </w:rPr>
  </w:style>
  <w:style w:type="character" w:customStyle="1" w:styleId="1313">
    <w:name w:val="正文文本 Char Char"/>
    <w:qFormat/>
    <w:uiPriority w:val="0"/>
    <w:rPr>
      <w:rFonts w:eastAsia="宋体"/>
      <w:kern w:val="2"/>
      <w:sz w:val="24"/>
      <w:lang w:val="en-US" w:eastAsia="zh-CN" w:bidi="ar-SA"/>
    </w:rPr>
  </w:style>
  <w:style w:type="paragraph" w:customStyle="1" w:styleId="1314">
    <w:name w:val="标题11"/>
    <w:basedOn w:val="1"/>
    <w:qFormat/>
    <w:uiPriority w:val="0"/>
    <w:pPr>
      <w:tabs>
        <w:tab w:val="left" w:pos="0"/>
      </w:tabs>
      <w:spacing w:line="360" w:lineRule="auto"/>
      <w:ind w:left="722" w:firstLine="116" w:firstLineChars="48"/>
      <w:textAlignment w:val="bottom"/>
    </w:pPr>
    <w:rPr>
      <w:rFonts w:ascii="宋体" w:hAnsi="宋体"/>
      <w:b/>
      <w:kern w:val="0"/>
      <w:sz w:val="24"/>
    </w:rPr>
  </w:style>
  <w:style w:type="paragraph" w:customStyle="1" w:styleId="1315">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316">
    <w:name w:val="Char5"/>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31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318">
    <w:name w:val="正文 2"/>
    <w:basedOn w:val="1"/>
    <w:qFormat/>
    <w:uiPriority w:val="0"/>
    <w:pPr>
      <w:tabs>
        <w:tab w:val="left" w:pos="1140"/>
      </w:tabs>
      <w:autoSpaceDE w:val="0"/>
      <w:autoSpaceDN w:val="0"/>
      <w:adjustRightInd w:val="0"/>
      <w:snapToGrid w:val="0"/>
      <w:spacing w:before="80" w:after="40" w:line="360" w:lineRule="auto"/>
      <w:ind w:left="1134"/>
      <w:jc w:val="left"/>
    </w:pPr>
    <w:rPr>
      <w:rFonts w:ascii="Calibri" w:hAnsi="Calibri"/>
      <w:kern w:val="0"/>
      <w:sz w:val="24"/>
      <w:szCs w:val="20"/>
    </w:rPr>
  </w:style>
  <w:style w:type="paragraph" w:customStyle="1" w:styleId="131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320">
    <w:name w:val="小标题"/>
    <w:basedOn w:val="1"/>
    <w:qFormat/>
    <w:uiPriority w:val="0"/>
    <w:pPr>
      <w:tabs>
        <w:tab w:val="left" w:pos="1404"/>
      </w:tabs>
      <w:ind w:left="1404" w:hanging="420"/>
    </w:pPr>
    <w:rPr>
      <w:rFonts w:ascii="Calibri" w:hAnsi="Calibri"/>
    </w:rPr>
  </w:style>
  <w:style w:type="paragraph" w:customStyle="1" w:styleId="1321">
    <w:name w:val="Char Char Char Char Char Char Char2"/>
    <w:basedOn w:val="1"/>
    <w:qFormat/>
    <w:uiPriority w:val="0"/>
    <w:pPr>
      <w:widowControl/>
      <w:tabs>
        <w:tab w:val="left" w:pos="360"/>
      </w:tabs>
      <w:snapToGrid w:val="0"/>
      <w:spacing w:after="160" w:line="360" w:lineRule="auto"/>
      <w:ind w:firstLine="200" w:firstLineChars="200"/>
      <w:jc w:val="left"/>
    </w:pPr>
    <w:rPr>
      <w:rFonts w:ascii="Calibri" w:hAnsi="Calibri"/>
      <w:kern w:val="0"/>
      <w:sz w:val="24"/>
      <w:lang w:eastAsia="en-US"/>
    </w:rPr>
  </w:style>
  <w:style w:type="paragraph" w:customStyle="1" w:styleId="1322">
    <w:name w:val="Definition Term"/>
    <w:basedOn w:val="1"/>
    <w:next w:val="1"/>
    <w:qFormat/>
    <w:uiPriority w:val="0"/>
    <w:pPr>
      <w:autoSpaceDE w:val="0"/>
      <w:autoSpaceDN w:val="0"/>
      <w:adjustRightInd w:val="0"/>
      <w:jc w:val="left"/>
    </w:pPr>
    <w:rPr>
      <w:rFonts w:ascii="Calibri" w:hAnsi="Calibri"/>
      <w:kern w:val="0"/>
      <w:sz w:val="24"/>
      <w:szCs w:val="20"/>
    </w:rPr>
  </w:style>
  <w:style w:type="paragraph" w:customStyle="1" w:styleId="1323">
    <w:name w:val="Char Char Char1 Char Char Char Char Char Char Char Char Char Char Char Char Char"/>
    <w:basedOn w:val="26"/>
    <w:qFormat/>
    <w:uiPriority w:val="0"/>
  </w:style>
  <w:style w:type="paragraph" w:customStyle="1" w:styleId="132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5">
    <w:name w:val="Char Char Char2"/>
    <w:basedOn w:val="1"/>
    <w:qFormat/>
    <w:uiPriority w:val="0"/>
    <w:rPr>
      <w:rFonts w:ascii="Tahoma" w:hAnsi="Tahoma"/>
      <w:sz w:val="24"/>
      <w:szCs w:val="20"/>
    </w:rPr>
  </w:style>
  <w:style w:type="paragraph" w:customStyle="1" w:styleId="1326">
    <w:name w:val="Char Char1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327">
    <w:name w:val="纯文本2"/>
    <w:basedOn w:val="1"/>
    <w:qFormat/>
    <w:uiPriority w:val="0"/>
    <w:pPr>
      <w:adjustRightInd w:val="0"/>
      <w:textAlignment w:val="baseline"/>
    </w:pPr>
    <w:rPr>
      <w:rFonts w:ascii="宋体" w:hAnsi="Courier New"/>
      <w:szCs w:val="20"/>
    </w:rPr>
  </w:style>
  <w:style w:type="paragraph" w:customStyle="1" w:styleId="1328">
    <w:name w:val="Table Heading"/>
    <w:basedOn w:val="1"/>
    <w:qFormat/>
    <w:uiPriority w:val="0"/>
    <w:pPr>
      <w:widowControl/>
      <w:jc w:val="center"/>
    </w:pPr>
    <w:rPr>
      <w:rFonts w:ascii="Arial" w:hAnsi="Arial"/>
      <w:b/>
      <w:kern w:val="0"/>
      <w:sz w:val="18"/>
      <w:szCs w:val="20"/>
    </w:rPr>
  </w:style>
  <w:style w:type="paragraph" w:customStyle="1" w:styleId="1329">
    <w:name w:val="Char6"/>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330">
    <w:name w:val="Char132"/>
    <w:basedOn w:val="1"/>
    <w:qFormat/>
    <w:uiPriority w:val="0"/>
    <w:rPr>
      <w:rFonts w:ascii="Calibri" w:hAnsi="Calibri"/>
    </w:rPr>
  </w:style>
  <w:style w:type="paragraph" w:customStyle="1" w:styleId="1331">
    <w:name w:val="Char Char Char Char Char Char1 Char"/>
    <w:basedOn w:val="1"/>
    <w:qFormat/>
    <w:uiPriority w:val="0"/>
    <w:pPr>
      <w:widowControl/>
      <w:spacing w:after="160" w:line="240" w:lineRule="exact"/>
      <w:jc w:val="left"/>
    </w:pPr>
    <w:rPr>
      <w:rFonts w:ascii="宋体" w:hAnsi="宋体"/>
      <w:kern w:val="0"/>
      <w:sz w:val="24"/>
      <w:szCs w:val="20"/>
      <w:lang w:eastAsia="en-US"/>
    </w:rPr>
  </w:style>
  <w:style w:type="paragraph" w:customStyle="1" w:styleId="1332">
    <w:name w:val="Char2 Char Char Char Char Char Char1"/>
    <w:basedOn w:val="26"/>
    <w:qFormat/>
    <w:uiPriority w:val="0"/>
  </w:style>
  <w:style w:type="paragraph" w:customStyle="1" w:styleId="1333">
    <w:name w:val="Body text|2"/>
    <w:basedOn w:val="1"/>
    <w:qFormat/>
    <w:uiPriority w:val="0"/>
    <w:pPr>
      <w:spacing w:line="396" w:lineRule="auto"/>
      <w:ind w:firstLine="400"/>
    </w:pPr>
    <w:rPr>
      <w:rFonts w:ascii="宋体" w:hAnsi="宋体" w:cs="宋体"/>
      <w:sz w:val="20"/>
      <w:szCs w:val="20"/>
      <w:lang w:val="zh-TW" w:eastAsia="zh-TW" w:bidi="zh-TW"/>
    </w:rPr>
  </w:style>
  <w:style w:type="paragraph" w:customStyle="1" w:styleId="13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1335">
    <w:name w:val="网格型3"/>
    <w:basedOn w:val="8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36">
    <w:name w:val="Normal_1"/>
    <w:qFormat/>
    <w:uiPriority w:val="0"/>
    <w:rPr>
      <w:rFonts w:ascii="Times New Roman" w:hAnsi="Times New Roman" w:eastAsia="Times New Roman" w:cs="Times New Roman"/>
      <w:sz w:val="24"/>
      <w:szCs w:val="24"/>
      <w:lang w:val="en-US" w:eastAsia="zh-CN" w:bidi="ar-SA"/>
    </w:rPr>
  </w:style>
  <w:style w:type="character" w:customStyle="1" w:styleId="1337">
    <w:name w:val="_Style 265"/>
    <w:qFormat/>
    <w:uiPriority w:val="0"/>
    <w:rPr>
      <w:rFonts w:eastAsia="仿宋_GB2312"/>
      <w:iCs/>
      <w:color w:val="auto"/>
      <w:sz w:val="24"/>
    </w:rPr>
  </w:style>
  <w:style w:type="paragraph" w:customStyle="1" w:styleId="1338">
    <w:name w:val="_Style 329"/>
    <w:basedOn w:val="1"/>
    <w:next w:val="1187"/>
    <w:qFormat/>
    <w:uiPriority w:val="0"/>
    <w:pPr>
      <w:ind w:firstLine="420" w:firstLineChars="200"/>
    </w:pPr>
    <w:rPr>
      <w:rFonts w:ascii="Calibri" w:hAnsi="Calibri"/>
      <w:szCs w:val="22"/>
    </w:rPr>
  </w:style>
  <w:style w:type="paragraph" w:customStyle="1" w:styleId="1339">
    <w:name w:val="_Style 27"/>
    <w:basedOn w:val="1"/>
    <w:next w:val="39"/>
    <w:qFormat/>
    <w:uiPriority w:val="0"/>
    <w:pPr>
      <w:adjustRightInd w:val="0"/>
      <w:ind w:left="420" w:right="33"/>
      <w:jc w:val="left"/>
      <w:textAlignment w:val="baseline"/>
    </w:pPr>
    <w:rPr>
      <w:kern w:val="0"/>
      <w:sz w:val="24"/>
      <w:szCs w:val="20"/>
    </w:rPr>
  </w:style>
  <w:style w:type="paragraph" w:customStyle="1" w:styleId="1340">
    <w:name w:val="修订11"/>
    <w:qFormat/>
    <w:uiPriority w:val="0"/>
    <w:rPr>
      <w:rFonts w:ascii="Times New Roman" w:hAnsi="Times New Roman" w:eastAsia="宋体" w:cs="Times New Roman"/>
      <w:kern w:val="2"/>
      <w:sz w:val="21"/>
      <w:szCs w:val="24"/>
      <w:lang w:val="en-US" w:eastAsia="zh-CN" w:bidi="ar-SA"/>
    </w:rPr>
  </w:style>
  <w:style w:type="paragraph" w:customStyle="1" w:styleId="1341">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2">
    <w:name w:val="Normal_2_0"/>
    <w:qFormat/>
    <w:uiPriority w:val="0"/>
    <w:rPr>
      <w:rFonts w:ascii="Times New Roman" w:hAnsi="Times New Roman" w:eastAsia="宋体" w:cs="Times New Roman"/>
      <w:sz w:val="24"/>
      <w:szCs w:val="24"/>
      <w:lang w:val="en-US" w:eastAsia="zh-CN" w:bidi="ar-SA"/>
    </w:rPr>
  </w:style>
  <w:style w:type="paragraph" w:customStyle="1" w:styleId="1343">
    <w:name w:val="TOC 标题3"/>
    <w:basedOn w:val="3"/>
    <w:next w:val="1"/>
    <w:unhideWhenUsed/>
    <w:qFormat/>
    <w:uiPriority w:val="39"/>
    <w:pPr>
      <w:keepLines/>
      <w:widowControl/>
      <w:autoSpaceDE/>
      <w:autoSpaceDN/>
      <w:adjustRightInd/>
      <w:spacing w:before="240" w:line="259" w:lineRule="auto"/>
      <w:outlineLvl w:val="9"/>
    </w:pPr>
    <w:rPr>
      <w:rFonts w:ascii="等线 Light" w:hAnsi="等线 Light" w:eastAsia="等线 Light"/>
      <w:b w:val="0"/>
      <w:bCs w:val="0"/>
      <w:color w:val="0F4761"/>
      <w:sz w:val="32"/>
      <w:szCs w:val="32"/>
    </w:rPr>
  </w:style>
  <w:style w:type="character" w:customStyle="1" w:styleId="1344">
    <w:name w:val="宏文本 字符"/>
    <w:link w:val="2"/>
    <w:qFormat/>
    <w:uiPriority w:val="99"/>
    <w:rPr>
      <w:rFonts w:ascii="Courier New" w:hAnsi="Courier New" w:cs="Courier New"/>
      <w:kern w:val="2"/>
      <w:sz w:val="24"/>
      <w:szCs w:val="24"/>
    </w:rPr>
  </w:style>
  <w:style w:type="paragraph" w:customStyle="1" w:styleId="1345">
    <w:name w:val="Bibliography"/>
    <w:basedOn w:val="1"/>
    <w:next w:val="1"/>
    <w:semiHidden/>
    <w:unhideWhenUsed/>
    <w:qFormat/>
    <w:uiPriority w:val="37"/>
    <w:pPr>
      <w:spacing w:line="360" w:lineRule="auto"/>
    </w:pPr>
  </w:style>
  <w:style w:type="paragraph" w:customStyle="1" w:styleId="1346">
    <w:name w:val="引文目录标题1"/>
    <w:basedOn w:val="1"/>
    <w:next w:val="1"/>
    <w:unhideWhenUsed/>
    <w:qFormat/>
    <w:uiPriority w:val="99"/>
    <w:pPr>
      <w:spacing w:before="120" w:line="360" w:lineRule="auto"/>
    </w:pPr>
    <w:rPr>
      <w:rFonts w:ascii="等线 Light" w:hAnsi="等线 Light" w:eastAsia="等线 Light"/>
      <w:sz w:val="24"/>
    </w:rPr>
  </w:style>
  <w:style w:type="character" w:customStyle="1" w:styleId="1347">
    <w:name w:val="标题 2 字符2"/>
    <w:qFormat/>
    <w:uiPriority w:val="9"/>
    <w:rPr>
      <w:rFonts w:ascii="Arial" w:hAnsi="Arial"/>
      <w:b/>
      <w:bCs/>
      <w:kern w:val="2"/>
      <w:sz w:val="28"/>
      <w:szCs w:val="32"/>
    </w:rPr>
  </w:style>
  <w:style w:type="character" w:customStyle="1" w:styleId="1348">
    <w:name w:val="正文缩进 字符1"/>
    <w:qFormat/>
    <w:uiPriority w:val="0"/>
    <w:rPr>
      <w:rFonts w:ascii="宋体"/>
      <w:kern w:val="2"/>
      <w:sz w:val="21"/>
    </w:rPr>
  </w:style>
  <w:style w:type="paragraph" w:customStyle="1" w:styleId="1349">
    <w:name w:val="_Style 2"/>
    <w:basedOn w:val="1"/>
    <w:qFormat/>
    <w:uiPriority w:val="0"/>
  </w:style>
  <w:style w:type="paragraph" w:customStyle="1" w:styleId="1350">
    <w:name w:val="_Style 36"/>
    <w:basedOn w:val="1"/>
    <w:qFormat/>
    <w:uiPriority w:val="0"/>
    <w:pPr>
      <w:widowControl/>
      <w:spacing w:after="160" w:line="240" w:lineRule="exact"/>
      <w:jc w:val="left"/>
    </w:pPr>
  </w:style>
  <w:style w:type="character" w:customStyle="1" w:styleId="1351">
    <w:name w:val="无"/>
    <w:qFormat/>
    <w:uiPriority w:val="0"/>
  </w:style>
  <w:style w:type="character" w:customStyle="1" w:styleId="1352">
    <w:name w:val="标题 2 Char2"/>
    <w:qFormat/>
    <w:uiPriority w:val="9"/>
    <w:rPr>
      <w:rFonts w:ascii="Arial" w:hAnsi="Arial"/>
      <w:b/>
      <w:bCs/>
      <w:kern w:val="2"/>
      <w:sz w:val="28"/>
      <w:szCs w:val="32"/>
    </w:rPr>
  </w:style>
  <w:style w:type="paragraph" w:customStyle="1" w:styleId="1353">
    <w:name w:val="_Style 138"/>
    <w:basedOn w:val="1"/>
    <w:next w:val="294"/>
    <w:qFormat/>
    <w:uiPriority w:val="0"/>
    <w:pPr>
      <w:ind w:firstLine="420" w:firstLineChars="200"/>
    </w:pPr>
    <w:rPr>
      <w:rFonts w:ascii="楷体_GB2312" w:eastAsia="楷体_GB2312"/>
      <w:spacing w:val="4"/>
      <w:szCs w:val="20"/>
    </w:rPr>
  </w:style>
  <w:style w:type="paragraph" w:customStyle="1" w:styleId="1354">
    <w:name w:val="_Style 55"/>
    <w:basedOn w:val="1"/>
    <w:qFormat/>
    <w:uiPriority w:val="0"/>
    <w:pPr>
      <w:widowControl/>
      <w:spacing w:after="160" w:line="240" w:lineRule="exact"/>
      <w:jc w:val="left"/>
    </w:pPr>
    <w:rPr>
      <w:rFonts w:ascii="Verdana" w:hAnsi="Verdana" w:eastAsia="Times New Roman"/>
      <w:kern w:val="0"/>
      <w:sz w:val="24"/>
      <w:lang w:eastAsia="en-US"/>
    </w:rPr>
  </w:style>
  <w:style w:type="paragraph" w:customStyle="1" w:styleId="1355">
    <w:name w:val="列出段落4"/>
    <w:basedOn w:val="1"/>
    <w:unhideWhenUsed/>
    <w:qFormat/>
    <w:uiPriority w:val="34"/>
    <w:pPr>
      <w:widowControl/>
      <w:adjustRightInd w:val="0"/>
      <w:snapToGrid w:val="0"/>
      <w:spacing w:line="440" w:lineRule="exact"/>
      <w:ind w:firstLine="420" w:firstLineChars="200"/>
      <w:jc w:val="left"/>
    </w:pPr>
    <w:rPr>
      <w:rFonts w:ascii="Calibri" w:hAnsi="Calibri"/>
      <w:kern w:val="0"/>
      <w:sz w:val="24"/>
      <w:szCs w:val="21"/>
      <w:lang w:eastAsia="en-US" w:bidi="en-US"/>
    </w:rPr>
  </w:style>
  <w:style w:type="character" w:customStyle="1" w:styleId="1356">
    <w:name w:val="正文(编号) Char"/>
    <w:link w:val="1357"/>
    <w:qFormat/>
    <w:uiPriority w:val="0"/>
  </w:style>
  <w:style w:type="paragraph" w:customStyle="1" w:styleId="1357">
    <w:name w:val="正文(编号)"/>
    <w:basedOn w:val="1"/>
    <w:link w:val="1356"/>
    <w:qFormat/>
    <w:uiPriority w:val="0"/>
    <w:pPr>
      <w:widowControl/>
      <w:autoSpaceDE w:val="0"/>
      <w:autoSpaceDN w:val="0"/>
      <w:ind w:firstLine="480"/>
      <w:jc w:val="left"/>
      <w:outlineLvl w:val="5"/>
    </w:pPr>
    <w:rPr>
      <w:kern w:val="0"/>
      <w:sz w:val="20"/>
      <w:szCs w:val="20"/>
    </w:rPr>
  </w:style>
  <w:style w:type="character" w:customStyle="1" w:styleId="1358">
    <w:name w:val="正文(编号)小项 Char"/>
    <w:link w:val="1359"/>
    <w:qFormat/>
    <w:uiPriority w:val="0"/>
  </w:style>
  <w:style w:type="paragraph" w:customStyle="1" w:styleId="1359">
    <w:name w:val="正文(编号)小项"/>
    <w:basedOn w:val="1"/>
    <w:link w:val="1358"/>
    <w:qFormat/>
    <w:uiPriority w:val="0"/>
    <w:pPr>
      <w:widowControl/>
      <w:autoSpaceDE w:val="0"/>
      <w:autoSpaceDN w:val="0"/>
      <w:ind w:firstLine="480"/>
      <w:jc w:val="left"/>
      <w:outlineLvl w:val="6"/>
    </w:pPr>
    <w:rPr>
      <w:kern w:val="0"/>
      <w:sz w:val="20"/>
      <w:szCs w:val="20"/>
    </w:rPr>
  </w:style>
  <w:style w:type="character" w:customStyle="1" w:styleId="1360">
    <w:name w:val="lemmatitleh11"/>
    <w:qFormat/>
    <w:uiPriority w:val="0"/>
  </w:style>
  <w:style w:type="character" w:customStyle="1" w:styleId="1361">
    <w:name w:val="南网格式 Char"/>
    <w:link w:val="1362"/>
    <w:qFormat/>
    <w:locked/>
    <w:uiPriority w:val="0"/>
    <w:rPr>
      <w:rFonts w:ascii="宋体" w:hAnsi="宋体"/>
      <w:sz w:val="24"/>
      <w:szCs w:val="28"/>
    </w:rPr>
  </w:style>
  <w:style w:type="paragraph" w:customStyle="1" w:styleId="1362">
    <w:name w:val="南网格式"/>
    <w:basedOn w:val="1"/>
    <w:link w:val="1361"/>
    <w:qFormat/>
    <w:uiPriority w:val="0"/>
    <w:pPr>
      <w:widowControl/>
      <w:spacing w:before="120" w:line="360" w:lineRule="auto"/>
      <w:jc w:val="left"/>
    </w:pPr>
    <w:rPr>
      <w:rFonts w:ascii="宋体" w:hAnsi="宋体"/>
      <w:kern w:val="0"/>
      <w:sz w:val="24"/>
      <w:szCs w:val="28"/>
    </w:rPr>
  </w:style>
  <w:style w:type="character" w:customStyle="1" w:styleId="1363">
    <w:name w:val="招标公告正文 Char"/>
    <w:link w:val="1364"/>
    <w:qFormat/>
    <w:uiPriority w:val="0"/>
    <w:rPr>
      <w:rFonts w:cs="宋体"/>
      <w:sz w:val="24"/>
    </w:rPr>
  </w:style>
  <w:style w:type="paragraph" w:customStyle="1" w:styleId="1364">
    <w:name w:val="招标公告正文"/>
    <w:basedOn w:val="1"/>
    <w:link w:val="1363"/>
    <w:qFormat/>
    <w:uiPriority w:val="0"/>
    <w:pPr>
      <w:widowControl/>
      <w:autoSpaceDE w:val="0"/>
      <w:autoSpaceDN w:val="0"/>
      <w:spacing w:line="360" w:lineRule="auto"/>
      <w:ind w:firstLine="200" w:firstLineChars="200"/>
    </w:pPr>
    <w:rPr>
      <w:rFonts w:cs="宋体"/>
      <w:kern w:val="0"/>
      <w:sz w:val="24"/>
      <w:szCs w:val="20"/>
    </w:rPr>
  </w:style>
  <w:style w:type="character" w:customStyle="1" w:styleId="1365">
    <w:name w:val="列出段落 Char"/>
    <w:link w:val="473"/>
    <w:qFormat/>
    <w:uiPriority w:val="0"/>
    <w:rPr>
      <w:rFonts w:ascii="Calibri" w:hAnsi="Calibri" w:cs="黑体"/>
      <w:kern w:val="2"/>
      <w:sz w:val="21"/>
      <w:szCs w:val="22"/>
    </w:rPr>
  </w:style>
  <w:style w:type="paragraph" w:customStyle="1" w:styleId="1366">
    <w:name w:val="font23"/>
    <w:basedOn w:val="1"/>
    <w:qFormat/>
    <w:uiPriority w:val="0"/>
    <w:pPr>
      <w:widowControl/>
      <w:autoSpaceDE w:val="0"/>
      <w:autoSpaceDN w:val="0"/>
      <w:spacing w:before="100" w:beforeAutospacing="1" w:after="100" w:afterAutospacing="1"/>
      <w:jc w:val="left"/>
    </w:pPr>
    <w:rPr>
      <w:rFonts w:hint="eastAsia" w:ascii="宋体" w:hAnsi="宋体" w:cs="Arial Unicode MS"/>
      <w:color w:val="FF0000"/>
      <w:kern w:val="0"/>
      <w:sz w:val="22"/>
      <w:szCs w:val="22"/>
    </w:rPr>
  </w:style>
  <w:style w:type="paragraph" w:customStyle="1" w:styleId="1367">
    <w:name w:val="font25"/>
    <w:basedOn w:val="1"/>
    <w:qFormat/>
    <w:uiPriority w:val="0"/>
    <w:pPr>
      <w:widowControl/>
      <w:autoSpaceDE w:val="0"/>
      <w:autoSpaceDN w:val="0"/>
      <w:spacing w:before="100" w:beforeAutospacing="1" w:after="100" w:afterAutospacing="1"/>
      <w:jc w:val="left"/>
    </w:pPr>
    <w:rPr>
      <w:rFonts w:hint="eastAsia" w:ascii="宋体" w:hAnsi="宋体" w:cs="Arial Unicode MS"/>
      <w:b/>
      <w:bCs/>
      <w:color w:val="000000"/>
      <w:kern w:val="0"/>
      <w:sz w:val="22"/>
      <w:szCs w:val="22"/>
    </w:rPr>
  </w:style>
  <w:style w:type="paragraph" w:customStyle="1" w:styleId="1368">
    <w:name w:val="合同标题2"/>
    <w:basedOn w:val="4"/>
    <w:qFormat/>
    <w:uiPriority w:val="0"/>
    <w:pPr>
      <w:tabs>
        <w:tab w:val="left" w:pos="2244"/>
        <w:tab w:val="center" w:pos="4720"/>
      </w:tabs>
      <w:autoSpaceDE w:val="0"/>
      <w:autoSpaceDN w:val="0"/>
      <w:snapToGrid w:val="0"/>
      <w:spacing w:before="0" w:after="0" w:line="540" w:lineRule="exact"/>
      <w:ind w:firstLine="200"/>
    </w:pPr>
    <w:rPr>
      <w:rFonts w:ascii="仿宋_GB2312" w:hAnsi="Times New Roman" w:eastAsia="仿宋_GB2312"/>
      <w:color w:val="000000"/>
      <w:szCs w:val="24"/>
    </w:rPr>
  </w:style>
  <w:style w:type="paragraph" w:customStyle="1" w:styleId="1369">
    <w:name w:val="font15"/>
    <w:basedOn w:val="1"/>
    <w:qFormat/>
    <w:uiPriority w:val="0"/>
    <w:pPr>
      <w:widowControl/>
      <w:autoSpaceDE w:val="0"/>
      <w:autoSpaceDN w:val="0"/>
      <w:spacing w:before="100" w:beforeAutospacing="1" w:after="100" w:afterAutospacing="1"/>
      <w:jc w:val="left"/>
    </w:pPr>
    <w:rPr>
      <w:rFonts w:eastAsia="Arial Unicode MS"/>
      <w:color w:val="000000"/>
      <w:kern w:val="0"/>
      <w:sz w:val="22"/>
      <w:szCs w:val="22"/>
    </w:rPr>
  </w:style>
  <w:style w:type="paragraph" w:customStyle="1" w:styleId="1370">
    <w:name w:val="表格一"/>
    <w:basedOn w:val="57"/>
    <w:qFormat/>
    <w:uiPriority w:val="0"/>
  </w:style>
  <w:style w:type="paragraph" w:customStyle="1" w:styleId="1371">
    <w:name w:val="正文博"/>
    <w:basedOn w:val="1"/>
    <w:qFormat/>
    <w:uiPriority w:val="0"/>
    <w:pPr>
      <w:tabs>
        <w:tab w:val="left" w:pos="0"/>
      </w:tabs>
      <w:autoSpaceDE w:val="0"/>
      <w:autoSpaceDN w:val="0"/>
      <w:adjustRightInd w:val="0"/>
      <w:ind w:firstLine="600" w:firstLineChars="200"/>
      <w:textAlignment w:val="baseline"/>
    </w:pPr>
    <w:rPr>
      <w:rFonts w:eastAsia="仿宋_GB2312"/>
      <w:kern w:val="0"/>
      <w:sz w:val="32"/>
    </w:rPr>
  </w:style>
  <w:style w:type="paragraph" w:customStyle="1" w:styleId="1372">
    <w:name w:val="font17"/>
    <w:basedOn w:val="1"/>
    <w:qFormat/>
    <w:uiPriority w:val="0"/>
    <w:pPr>
      <w:widowControl/>
      <w:autoSpaceDE w:val="0"/>
      <w:autoSpaceDN w:val="0"/>
      <w:spacing w:before="100" w:beforeAutospacing="1" w:after="100" w:afterAutospacing="1"/>
      <w:jc w:val="left"/>
    </w:pPr>
    <w:rPr>
      <w:rFonts w:hint="eastAsia" w:ascii="宋体" w:hAnsi="宋体" w:cs="Arial Unicode MS"/>
      <w:color w:val="0000FF"/>
      <w:kern w:val="0"/>
      <w:sz w:val="22"/>
      <w:szCs w:val="22"/>
    </w:rPr>
  </w:style>
  <w:style w:type="paragraph" w:customStyle="1" w:styleId="1373">
    <w:name w:val="Char Char Char Char Char Char Char Char Char1 Char Char Char Char"/>
    <w:basedOn w:val="1"/>
    <w:qFormat/>
    <w:uiPriority w:val="0"/>
    <w:pPr>
      <w:autoSpaceDE w:val="0"/>
      <w:autoSpaceDN w:val="0"/>
    </w:pPr>
    <w:rPr>
      <w:rFonts w:ascii="Tahoma" w:hAnsi="Tahoma"/>
      <w:sz w:val="24"/>
      <w:szCs w:val="20"/>
    </w:rPr>
  </w:style>
  <w:style w:type="paragraph" w:customStyle="1" w:styleId="1374">
    <w:name w:val="Char1 Char Char Char1"/>
    <w:basedOn w:val="1"/>
    <w:qFormat/>
    <w:uiPriority w:val="0"/>
    <w:pPr>
      <w:widowControl/>
      <w:autoSpaceDE w:val="0"/>
      <w:autoSpaceDN w:val="0"/>
      <w:spacing w:before="100" w:beforeAutospacing="1" w:after="100" w:afterAutospacing="1" w:line="330" w:lineRule="atLeast"/>
      <w:ind w:left="360"/>
      <w:jc w:val="left"/>
    </w:pPr>
    <w:rPr>
      <w:rFonts w:ascii="ˎ̥" w:hAnsi="ˎ̥" w:cs="宋体"/>
      <w:color w:val="51585D"/>
      <w:kern w:val="0"/>
      <w:szCs w:val="18"/>
    </w:rPr>
  </w:style>
  <w:style w:type="paragraph" w:customStyle="1" w:styleId="1375">
    <w:name w:val="正文段落"/>
    <w:basedOn w:val="85"/>
    <w:qFormat/>
    <w:uiPriority w:val="0"/>
  </w:style>
  <w:style w:type="paragraph" w:customStyle="1" w:styleId="1376">
    <w:name w:val="Char Char Char Char Char Char Char Char Char1 Char"/>
    <w:basedOn w:val="1"/>
    <w:qFormat/>
    <w:uiPriority w:val="0"/>
    <w:pPr>
      <w:autoSpaceDE w:val="0"/>
      <w:autoSpaceDN w:val="0"/>
    </w:pPr>
    <w:rPr>
      <w:rFonts w:ascii="Tahoma" w:hAnsi="Tahoma"/>
      <w:sz w:val="24"/>
      <w:szCs w:val="20"/>
    </w:rPr>
  </w:style>
  <w:style w:type="paragraph" w:customStyle="1" w:styleId="1377">
    <w:name w:val="章"/>
    <w:basedOn w:val="1"/>
    <w:next w:val="3"/>
    <w:qFormat/>
    <w:uiPriority w:val="0"/>
    <w:pPr>
      <w:autoSpaceDE w:val="0"/>
      <w:autoSpaceDN w:val="0"/>
      <w:adjustRightInd w:val="0"/>
      <w:spacing w:line="400" w:lineRule="exact"/>
      <w:ind w:firstLine="454"/>
      <w:jc w:val="left"/>
      <w:textAlignment w:val="baseline"/>
    </w:pPr>
    <w:rPr>
      <w:kern w:val="0"/>
      <w:sz w:val="24"/>
      <w:szCs w:val="20"/>
    </w:rPr>
  </w:style>
  <w:style w:type="paragraph" w:customStyle="1" w:styleId="1378">
    <w:name w:val="样式 样式 标题 2 + (西文) Arial Unicode MS (中文) 仿宋_GB2312 加粗 自动设置 + 段前: ..."/>
    <w:basedOn w:val="1"/>
    <w:qFormat/>
    <w:uiPriority w:val="0"/>
    <w:pPr>
      <w:autoSpaceDE w:val="0"/>
      <w:autoSpaceDN w:val="0"/>
      <w:adjustRightInd w:val="0"/>
      <w:spacing w:line="360" w:lineRule="auto"/>
      <w:ind w:left="272" w:hanging="272"/>
      <w:jc w:val="left"/>
      <w:outlineLvl w:val="1"/>
    </w:pPr>
    <w:rPr>
      <w:rFonts w:ascii="Arial Unicode MS" w:hAnsi="Arial Unicode MS" w:eastAsia="仿宋_GB2312" w:cs="宋体"/>
      <w:b/>
      <w:bCs/>
      <w:kern w:val="0"/>
      <w:sz w:val="32"/>
      <w:szCs w:val="20"/>
      <w:lang w:val="zh-CN"/>
    </w:rPr>
  </w:style>
  <w:style w:type="paragraph" w:customStyle="1" w:styleId="1379">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380">
    <w:name w:val="列项●（二级）"/>
    <w:qFormat/>
    <w:uiPriority w:val="0"/>
    <w:pPr>
      <w:tabs>
        <w:tab w:val="left" w:pos="840"/>
      </w:tabs>
      <w:jc w:val="both"/>
    </w:pPr>
    <w:rPr>
      <w:rFonts w:ascii="宋体" w:hAnsi="Times New Roman" w:eastAsia="宋体" w:cs="Times New Roman"/>
      <w:sz w:val="21"/>
      <w:lang w:val="en-US" w:eastAsia="zh-CN" w:bidi="ar-SA"/>
    </w:rPr>
  </w:style>
  <w:style w:type="paragraph" w:customStyle="1" w:styleId="1381">
    <w:name w:val="ANNEX-heading2"/>
    <w:basedOn w:val="4"/>
    <w:next w:val="1"/>
    <w:qFormat/>
    <w:uiPriority w:val="0"/>
    <w:pPr>
      <w:keepLines w:val="0"/>
      <w:widowControl/>
      <w:tabs>
        <w:tab w:val="left" w:pos="907"/>
      </w:tabs>
      <w:suppressAutoHyphens/>
      <w:autoSpaceDE w:val="0"/>
      <w:autoSpaceDN w:val="0"/>
      <w:snapToGrid w:val="0"/>
      <w:spacing w:before="100" w:after="100" w:line="240" w:lineRule="auto"/>
      <w:ind w:left="907" w:hanging="907"/>
      <w:jc w:val="left"/>
      <w:outlineLvl w:val="2"/>
    </w:pPr>
    <w:rPr>
      <w:rFonts w:cs="Arial"/>
      <w:spacing w:val="8"/>
      <w:sz w:val="20"/>
      <w:szCs w:val="20"/>
      <w:lang w:val="zh-CN"/>
    </w:rPr>
  </w:style>
  <w:style w:type="paragraph" w:customStyle="1" w:styleId="1382">
    <w:name w:val="招标文件正文"/>
    <w:basedOn w:val="1"/>
    <w:qFormat/>
    <w:uiPriority w:val="0"/>
    <w:pPr>
      <w:autoSpaceDE w:val="0"/>
      <w:autoSpaceDN w:val="0"/>
      <w:spacing w:line="360" w:lineRule="auto"/>
    </w:pPr>
    <w:rPr>
      <w:rFonts w:cs="宋体"/>
      <w:szCs w:val="20"/>
    </w:rPr>
  </w:style>
  <w:style w:type="paragraph" w:customStyle="1" w:styleId="1383">
    <w:name w:val="列项◆（三级）"/>
    <w:basedOn w:val="1"/>
    <w:qFormat/>
    <w:uiPriority w:val="0"/>
    <w:pPr>
      <w:tabs>
        <w:tab w:val="left" w:pos="1394"/>
      </w:tabs>
    </w:pPr>
    <w:rPr>
      <w:rFonts w:ascii="宋体"/>
      <w:szCs w:val="21"/>
    </w:rPr>
  </w:style>
  <w:style w:type="paragraph" w:customStyle="1" w:styleId="1384">
    <w:name w:val="Char Char Char1 Char"/>
    <w:basedOn w:val="1"/>
    <w:qFormat/>
    <w:uiPriority w:val="0"/>
    <w:pPr>
      <w:widowControl/>
      <w:autoSpaceDE w:val="0"/>
      <w:autoSpaceDN w:val="0"/>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1385">
    <w:name w:val="font24"/>
    <w:basedOn w:val="1"/>
    <w:qFormat/>
    <w:uiPriority w:val="0"/>
    <w:pPr>
      <w:widowControl/>
      <w:autoSpaceDE w:val="0"/>
      <w:autoSpaceDN w:val="0"/>
      <w:spacing w:before="100" w:beforeAutospacing="1" w:after="100" w:afterAutospacing="1"/>
      <w:jc w:val="left"/>
    </w:pPr>
    <w:rPr>
      <w:rFonts w:eastAsia="Arial Unicode MS"/>
      <w:b/>
      <w:bCs/>
      <w:color w:val="000000"/>
      <w:kern w:val="0"/>
      <w:sz w:val="22"/>
      <w:szCs w:val="22"/>
    </w:rPr>
  </w:style>
  <w:style w:type="paragraph" w:customStyle="1" w:styleId="1386">
    <w:name w:val="font22"/>
    <w:basedOn w:val="1"/>
    <w:qFormat/>
    <w:uiPriority w:val="0"/>
    <w:pPr>
      <w:widowControl/>
      <w:autoSpaceDE w:val="0"/>
      <w:autoSpaceDN w:val="0"/>
      <w:spacing w:before="100" w:beforeAutospacing="1" w:after="100" w:afterAutospacing="1"/>
      <w:jc w:val="left"/>
    </w:pPr>
    <w:rPr>
      <w:rFonts w:hint="eastAsia" w:ascii="宋体" w:hAnsi="宋体" w:cs="Arial Unicode MS"/>
      <w:kern w:val="0"/>
      <w:sz w:val="22"/>
      <w:szCs w:val="22"/>
    </w:rPr>
  </w:style>
  <w:style w:type="paragraph" w:customStyle="1" w:styleId="1387">
    <w:name w:val="标题一"/>
    <w:basedOn w:val="1"/>
    <w:qFormat/>
    <w:uiPriority w:val="0"/>
    <w:pPr>
      <w:pageBreakBefore/>
      <w:autoSpaceDE w:val="0"/>
      <w:autoSpaceDN w:val="0"/>
      <w:adjustRightInd w:val="0"/>
      <w:spacing w:beforeLines="100" w:line="360" w:lineRule="auto"/>
      <w:jc w:val="center"/>
    </w:pPr>
    <w:rPr>
      <w:rFonts w:ascii="黑体" w:hAnsi="Arial" w:eastAsia="黑体"/>
      <w:kern w:val="0"/>
      <w:sz w:val="32"/>
      <w:szCs w:val="32"/>
    </w:rPr>
  </w:style>
  <w:style w:type="paragraph" w:customStyle="1" w:styleId="1388">
    <w:name w:val="font26"/>
    <w:basedOn w:val="1"/>
    <w:qFormat/>
    <w:uiPriority w:val="0"/>
    <w:pPr>
      <w:widowControl/>
      <w:autoSpaceDE w:val="0"/>
      <w:autoSpaceDN w:val="0"/>
      <w:spacing w:before="100" w:beforeAutospacing="1" w:after="100" w:afterAutospacing="1"/>
      <w:jc w:val="left"/>
    </w:pPr>
    <w:rPr>
      <w:rFonts w:eastAsia="Arial Unicode MS"/>
      <w:color w:val="000000"/>
      <w:kern w:val="0"/>
      <w:sz w:val="22"/>
      <w:szCs w:val="22"/>
    </w:rPr>
  </w:style>
  <w:style w:type="paragraph" w:customStyle="1" w:styleId="1389">
    <w:name w:val="保留正文"/>
    <w:basedOn w:val="33"/>
    <w:qFormat/>
    <w:uiPriority w:val="0"/>
  </w:style>
  <w:style w:type="paragraph" w:customStyle="1" w:styleId="1390">
    <w:name w:val="样式 样式 (西文) 宋体 (符号) Arial 首行缩进:  2 字符 行距: 1.5 倍行距 + 首行缩进:  2 字符"/>
    <w:basedOn w:val="1"/>
    <w:qFormat/>
    <w:uiPriority w:val="0"/>
    <w:pPr>
      <w:wordWrap w:val="0"/>
      <w:autoSpaceDE w:val="0"/>
      <w:autoSpaceDN w:val="0"/>
      <w:adjustRightInd w:val="0"/>
      <w:snapToGrid w:val="0"/>
      <w:spacing w:line="360" w:lineRule="auto"/>
      <w:ind w:firstLine="200" w:firstLineChars="200"/>
    </w:pPr>
    <w:rPr>
      <w:rFonts w:ascii="宋体" w:hAnsi="Arial" w:cs="宋体"/>
      <w:sz w:val="28"/>
      <w:szCs w:val="20"/>
    </w:rPr>
  </w:style>
  <w:style w:type="paragraph" w:customStyle="1" w:styleId="1391">
    <w:name w:val="font12"/>
    <w:basedOn w:val="1"/>
    <w:qFormat/>
    <w:uiPriority w:val="0"/>
    <w:pPr>
      <w:widowControl/>
      <w:autoSpaceDE w:val="0"/>
      <w:autoSpaceDN w:val="0"/>
      <w:spacing w:before="100" w:beforeAutospacing="1" w:after="100" w:afterAutospacing="1"/>
      <w:jc w:val="left"/>
    </w:pPr>
    <w:rPr>
      <w:rFonts w:eastAsia="Arial Unicode MS"/>
      <w:kern w:val="0"/>
      <w:sz w:val="22"/>
      <w:szCs w:val="22"/>
    </w:rPr>
  </w:style>
  <w:style w:type="paragraph" w:customStyle="1" w:styleId="1392">
    <w:name w:val="ANNEX-heading1"/>
    <w:basedOn w:val="3"/>
    <w:next w:val="1"/>
    <w:qFormat/>
    <w:uiPriority w:val="0"/>
    <w:pPr>
      <w:pageBreakBefore/>
      <w:widowControl/>
      <w:tabs>
        <w:tab w:val="left" w:pos="680"/>
      </w:tabs>
      <w:suppressAutoHyphens/>
      <w:adjustRightInd/>
      <w:snapToGrid w:val="0"/>
      <w:spacing w:before="200" w:after="200"/>
      <w:ind w:left="680" w:hanging="680"/>
      <w:outlineLvl w:val="1"/>
    </w:pPr>
    <w:rPr>
      <w:rFonts w:ascii="Arial" w:hAnsi="Arial" w:eastAsia="宋体" w:cs="Arial"/>
      <w:color w:val="auto"/>
      <w:spacing w:val="8"/>
      <w:sz w:val="22"/>
      <w:szCs w:val="22"/>
    </w:rPr>
  </w:style>
  <w:style w:type="paragraph" w:customStyle="1" w:styleId="1393">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4">
    <w:name w:val="正文四号"/>
    <w:basedOn w:val="1"/>
    <w:qFormat/>
    <w:uiPriority w:val="0"/>
    <w:pPr>
      <w:autoSpaceDE w:val="0"/>
      <w:autoSpaceDN w:val="0"/>
      <w:spacing w:line="360" w:lineRule="auto"/>
      <w:textAlignment w:val="top"/>
    </w:pPr>
    <w:rPr>
      <w:rFonts w:ascii="宋体" w:hAnsi="宋体"/>
      <w:sz w:val="28"/>
      <w:szCs w:val="20"/>
    </w:rPr>
  </w:style>
  <w:style w:type="paragraph" w:customStyle="1" w:styleId="1395">
    <w:name w:val="正文一"/>
    <w:basedOn w:val="1"/>
    <w:qFormat/>
    <w:uiPriority w:val="0"/>
    <w:pPr>
      <w:autoSpaceDE w:val="0"/>
      <w:autoSpaceDN w:val="0"/>
      <w:adjustRightInd w:val="0"/>
      <w:snapToGrid w:val="0"/>
      <w:spacing w:line="360" w:lineRule="auto"/>
      <w:ind w:firstLine="200" w:firstLineChars="200"/>
      <w:jc w:val="left"/>
    </w:pPr>
    <w:rPr>
      <w:rFonts w:ascii="楷体_GB2312" w:hAnsi="华文楷体" w:eastAsia="楷体_GB2312"/>
      <w:kern w:val="0"/>
      <w:sz w:val="24"/>
    </w:rPr>
  </w:style>
  <w:style w:type="paragraph" w:customStyle="1" w:styleId="1396">
    <w:name w:val="font19"/>
    <w:basedOn w:val="1"/>
    <w:qFormat/>
    <w:uiPriority w:val="0"/>
    <w:pPr>
      <w:widowControl/>
      <w:autoSpaceDE w:val="0"/>
      <w:autoSpaceDN w:val="0"/>
      <w:spacing w:before="100" w:beforeAutospacing="1" w:after="100" w:afterAutospacing="1"/>
      <w:jc w:val="left"/>
    </w:pPr>
    <w:rPr>
      <w:rFonts w:eastAsia="Arial Unicode MS"/>
      <w:color w:val="0000FF"/>
      <w:kern w:val="0"/>
      <w:sz w:val="22"/>
      <w:szCs w:val="22"/>
    </w:rPr>
  </w:style>
  <w:style w:type="paragraph" w:customStyle="1" w:styleId="1397">
    <w:name w:val="xl111"/>
    <w:basedOn w:val="1"/>
    <w:qFormat/>
    <w:uiPriority w:val="0"/>
    <w:pPr>
      <w:widowControl/>
      <w:pBdr>
        <w:top w:val="single" w:color="auto" w:sz="4" w:space="0"/>
        <w:left w:val="single" w:color="auto" w:sz="4" w:space="0"/>
        <w:right w:val="single" w:color="auto" w:sz="4" w:space="0"/>
      </w:pBdr>
      <w:shd w:val="clear" w:color="000000" w:fill="FFFFFF"/>
      <w:autoSpaceDE w:val="0"/>
      <w:autoSpaceDN w:val="0"/>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1398">
    <w:name w:val="4 Char"/>
    <w:basedOn w:val="1"/>
    <w:qFormat/>
    <w:uiPriority w:val="0"/>
    <w:pPr>
      <w:autoSpaceDE w:val="0"/>
      <w:autoSpaceDN w:val="0"/>
      <w:spacing w:line="360" w:lineRule="auto"/>
      <w:ind w:firstLine="200" w:firstLineChars="200"/>
    </w:pPr>
    <w:rPr>
      <w:rFonts w:ascii="宋体" w:hAnsi="宋体" w:cs="宋体"/>
      <w:sz w:val="24"/>
    </w:rPr>
  </w:style>
  <w:style w:type="paragraph" w:customStyle="1" w:styleId="1399">
    <w:name w:val="font13"/>
    <w:basedOn w:val="1"/>
    <w:qFormat/>
    <w:uiPriority w:val="0"/>
    <w:pPr>
      <w:widowControl/>
      <w:autoSpaceDE w:val="0"/>
      <w:autoSpaceDN w:val="0"/>
      <w:spacing w:before="100" w:beforeAutospacing="1" w:after="100" w:afterAutospacing="1"/>
      <w:jc w:val="left"/>
    </w:pPr>
    <w:rPr>
      <w:rFonts w:eastAsia="Arial Unicode MS"/>
      <w:kern w:val="0"/>
      <w:sz w:val="22"/>
      <w:szCs w:val="22"/>
    </w:rPr>
  </w:style>
  <w:style w:type="paragraph" w:customStyle="1" w:styleId="1400">
    <w:name w:val="xl110"/>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仿宋" w:hAnsi="仿宋" w:eastAsia="仿宋" w:cs="宋体"/>
      <w:kern w:val="0"/>
      <w:sz w:val="20"/>
      <w:szCs w:val="20"/>
    </w:rPr>
  </w:style>
  <w:style w:type="paragraph" w:customStyle="1" w:styleId="1401">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1402">
    <w:name w:val="ANNEX-heading3"/>
    <w:basedOn w:val="5"/>
    <w:next w:val="1"/>
    <w:qFormat/>
    <w:uiPriority w:val="0"/>
    <w:pPr>
      <w:keepLines w:val="0"/>
      <w:widowControl/>
      <w:tabs>
        <w:tab w:val="left" w:pos="1134"/>
      </w:tabs>
      <w:suppressAutoHyphens/>
      <w:autoSpaceDE w:val="0"/>
      <w:autoSpaceDN w:val="0"/>
      <w:snapToGrid w:val="0"/>
      <w:spacing w:before="0" w:after="100" w:line="240" w:lineRule="auto"/>
      <w:ind w:left="1134" w:hanging="1134" w:firstLineChars="0"/>
      <w:jc w:val="left"/>
      <w:outlineLvl w:val="3"/>
    </w:pPr>
    <w:rPr>
      <w:rFonts w:ascii="Arial" w:hAnsi="Arial" w:cs="Arial"/>
      <w:spacing w:val="8"/>
      <w:sz w:val="20"/>
      <w:szCs w:val="20"/>
    </w:rPr>
  </w:style>
  <w:style w:type="paragraph" w:customStyle="1" w:styleId="1403">
    <w:name w:val="font16"/>
    <w:basedOn w:val="1"/>
    <w:qFormat/>
    <w:uiPriority w:val="0"/>
    <w:pPr>
      <w:widowControl/>
      <w:autoSpaceDE w:val="0"/>
      <w:autoSpaceDN w:val="0"/>
      <w:spacing w:before="100" w:beforeAutospacing="1" w:after="100" w:afterAutospacing="1"/>
      <w:jc w:val="left"/>
    </w:pPr>
    <w:rPr>
      <w:rFonts w:eastAsia="Arial Unicode MS"/>
      <w:color w:val="000000"/>
      <w:kern w:val="0"/>
      <w:sz w:val="22"/>
      <w:szCs w:val="22"/>
    </w:rPr>
  </w:style>
  <w:style w:type="paragraph" w:customStyle="1" w:styleId="1404">
    <w:name w:val="样式 标题 2 + 居中"/>
    <w:basedOn w:val="4"/>
    <w:qFormat/>
    <w:uiPriority w:val="0"/>
    <w:pPr>
      <w:tabs>
        <w:tab w:val="left" w:pos="0"/>
        <w:tab w:val="left" w:pos="6090"/>
      </w:tabs>
      <w:autoSpaceDE w:val="0"/>
      <w:autoSpaceDN w:val="0"/>
      <w:adjustRightInd w:val="0"/>
      <w:snapToGrid w:val="0"/>
      <w:spacing w:before="0" w:after="0"/>
      <w:ind w:firstLine="720"/>
    </w:pPr>
    <w:rPr>
      <w:rFonts w:ascii="Times New Roman" w:hAnsi="Times New Roman" w:eastAsia="黑体" w:cs="宋体"/>
      <w:b w:val="0"/>
      <w:spacing w:val="20"/>
      <w:sz w:val="30"/>
      <w:szCs w:val="30"/>
    </w:rPr>
  </w:style>
  <w:style w:type="paragraph" w:customStyle="1" w:styleId="1405">
    <w:name w:val="标书正文"/>
    <w:basedOn w:val="1"/>
    <w:qFormat/>
    <w:uiPriority w:val="0"/>
    <w:pPr>
      <w:autoSpaceDE w:val="0"/>
      <w:autoSpaceDN w:val="0"/>
      <w:spacing w:before="100" w:after="100" w:line="360" w:lineRule="auto"/>
    </w:pPr>
    <w:rPr>
      <w:sz w:val="24"/>
      <w:szCs w:val="20"/>
    </w:rPr>
  </w:style>
  <w:style w:type="paragraph" w:customStyle="1" w:styleId="1406">
    <w:name w:val="font20"/>
    <w:basedOn w:val="1"/>
    <w:qFormat/>
    <w:uiPriority w:val="0"/>
    <w:pPr>
      <w:widowControl/>
      <w:autoSpaceDE w:val="0"/>
      <w:autoSpaceDN w:val="0"/>
      <w:spacing w:before="100" w:beforeAutospacing="1" w:after="100" w:afterAutospacing="1"/>
      <w:jc w:val="left"/>
    </w:pPr>
    <w:rPr>
      <w:rFonts w:eastAsia="Arial Unicode MS"/>
      <w:kern w:val="0"/>
      <w:sz w:val="22"/>
      <w:szCs w:val="22"/>
    </w:rPr>
  </w:style>
  <w:style w:type="paragraph" w:customStyle="1" w:styleId="1407">
    <w:name w:val="编号列项（三级）"/>
    <w:qFormat/>
    <w:uiPriority w:val="0"/>
    <w:pPr>
      <w:tabs>
        <w:tab w:val="left" w:pos="0"/>
        <w:tab w:val="left" w:pos="1260"/>
      </w:tabs>
      <w:ind w:left="1260" w:hanging="420"/>
    </w:pPr>
    <w:rPr>
      <w:rFonts w:ascii="宋体" w:hAnsi="Times New Roman" w:eastAsia="宋体" w:cs="Times New Roman"/>
      <w:sz w:val="21"/>
      <w:lang w:val="en-US" w:eastAsia="zh-CN" w:bidi="ar-SA"/>
    </w:rPr>
  </w:style>
  <w:style w:type="paragraph" w:customStyle="1" w:styleId="1408">
    <w:name w:val="font18"/>
    <w:basedOn w:val="1"/>
    <w:qFormat/>
    <w:uiPriority w:val="0"/>
    <w:pPr>
      <w:widowControl/>
      <w:autoSpaceDE w:val="0"/>
      <w:autoSpaceDN w:val="0"/>
      <w:spacing w:before="100" w:beforeAutospacing="1" w:after="100" w:afterAutospacing="1"/>
      <w:jc w:val="left"/>
    </w:pPr>
    <w:rPr>
      <w:rFonts w:eastAsia="Arial Unicode MS"/>
      <w:color w:val="0000FF"/>
      <w:kern w:val="0"/>
      <w:sz w:val="22"/>
      <w:szCs w:val="22"/>
    </w:rPr>
  </w:style>
  <w:style w:type="paragraph" w:customStyle="1" w:styleId="1409">
    <w:name w:val="ANNEX_title"/>
    <w:basedOn w:val="1"/>
    <w:next w:val="1392"/>
    <w:qFormat/>
    <w:uiPriority w:val="0"/>
    <w:pPr>
      <w:pageBreakBefore/>
      <w:widowControl/>
      <w:autoSpaceDE w:val="0"/>
      <w:autoSpaceDN w:val="0"/>
      <w:snapToGrid w:val="0"/>
      <w:spacing w:after="200"/>
      <w:jc w:val="center"/>
      <w:outlineLvl w:val="0"/>
    </w:pPr>
    <w:rPr>
      <w:rFonts w:ascii="Arial" w:hAnsi="Arial" w:cs="Arial"/>
      <w:b/>
      <w:bCs/>
      <w:spacing w:val="8"/>
      <w:kern w:val="0"/>
      <w:sz w:val="24"/>
    </w:rPr>
  </w:style>
  <w:style w:type="paragraph" w:customStyle="1" w:styleId="1410">
    <w:name w:val="font14"/>
    <w:basedOn w:val="1"/>
    <w:qFormat/>
    <w:uiPriority w:val="0"/>
    <w:pPr>
      <w:widowControl/>
      <w:autoSpaceDE w:val="0"/>
      <w:autoSpaceDN w:val="0"/>
      <w:spacing w:before="100" w:beforeAutospacing="1" w:after="100" w:afterAutospacing="1"/>
      <w:jc w:val="left"/>
    </w:pPr>
    <w:rPr>
      <w:rFonts w:hint="eastAsia" w:ascii="宋体" w:hAnsi="宋体" w:cs="Arial Unicode MS"/>
      <w:color w:val="000000"/>
      <w:kern w:val="0"/>
      <w:sz w:val="22"/>
      <w:szCs w:val="22"/>
    </w:rPr>
  </w:style>
  <w:style w:type="table" w:customStyle="1" w:styleId="1411">
    <w:name w:val="网格型1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2">
    <w:name w:val="b2"/>
    <w:basedOn w:val="1"/>
    <w:qFormat/>
    <w:uiPriority w:val="0"/>
    <w:pPr>
      <w:numPr>
        <w:ilvl w:val="0"/>
        <w:numId w:val="19"/>
      </w:numPr>
      <w:tabs>
        <w:tab w:val="left" w:pos="794"/>
      </w:tabs>
      <w:spacing w:line="360" w:lineRule="auto"/>
    </w:pPr>
    <w:rPr>
      <w:rFonts w:ascii="宋体" w:hAnsi="宋体" w:eastAsia="仿宋_GB2312"/>
      <w:sz w:val="24"/>
      <w:szCs w:val="20"/>
    </w:rPr>
  </w:style>
  <w:style w:type="paragraph" w:customStyle="1" w:styleId="1413">
    <w:name w:val="样式 宋体 首行缩进:  2.18 字符"/>
    <w:basedOn w:val="1"/>
    <w:next w:val="1"/>
    <w:qFormat/>
    <w:uiPriority w:val="0"/>
    <w:pPr>
      <w:autoSpaceDE w:val="0"/>
      <w:autoSpaceDN w:val="0"/>
      <w:adjustRightInd w:val="0"/>
      <w:spacing w:line="360" w:lineRule="auto"/>
      <w:ind w:firstLine="458" w:firstLineChars="218"/>
      <w:jc w:val="left"/>
    </w:pPr>
    <w:rPr>
      <w:rFonts w:ascii="宋体" w:hAnsi="宋体" w:cs="宋体"/>
      <w:kern w:val="0"/>
      <w:szCs w:val="20"/>
    </w:rPr>
  </w:style>
  <w:style w:type="paragraph" w:customStyle="1" w:styleId="1414">
    <w:name w:val="正文_0"/>
    <w:qFormat/>
    <w:uiPriority w:val="5"/>
    <w:pPr>
      <w:widowControl w:val="0"/>
      <w:jc w:val="both"/>
    </w:pPr>
    <w:rPr>
      <w:rFonts w:ascii="Times New Roman" w:hAnsi="Times New Roman" w:eastAsia="宋体" w:cs="Times New Roman"/>
      <w:kern w:val="2"/>
      <w:sz w:val="21"/>
      <w:lang w:val="en-US" w:eastAsia="zh-CN" w:bidi="ar-SA"/>
    </w:rPr>
  </w:style>
  <w:style w:type="paragraph" w:customStyle="1" w:styleId="1415">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6">
    <w:name w:val="正文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7">
    <w:name w:val="样式 正文 +"/>
    <w:basedOn w:val="1"/>
    <w:qFormat/>
    <w:uiPriority w:val="0"/>
    <w:pPr>
      <w:autoSpaceDE w:val="0"/>
      <w:autoSpaceDN w:val="0"/>
      <w:adjustRightInd w:val="0"/>
      <w:spacing w:line="360" w:lineRule="auto"/>
      <w:jc w:val="left"/>
    </w:pPr>
    <w:rPr>
      <w:rFonts w:ascii="Arial" w:hAnsi="Arial" w:cs="宋体"/>
      <w:kern w:val="0"/>
      <w:szCs w:val="20"/>
    </w:rPr>
  </w:style>
  <w:style w:type="paragraph" w:customStyle="1" w:styleId="1418">
    <w:name w:val="正文_3"/>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19">
    <w:name w:val="*正文"/>
    <w:basedOn w:val="1"/>
    <w:qFormat/>
    <w:uiPriority w:val="0"/>
    <w:pPr>
      <w:spacing w:line="360" w:lineRule="auto"/>
      <w:ind w:firstLine="200" w:firstLineChars="200"/>
    </w:pPr>
    <w:rPr>
      <w:rFonts w:ascii="Calibri" w:hAnsi="Calibri"/>
      <w:sz w:val="24"/>
      <w:lang w:val="zh-CN"/>
    </w:rPr>
  </w:style>
  <w:style w:type="paragraph" w:customStyle="1" w:styleId="1420">
    <w:name w:val="Normal_4_0"/>
    <w:basedOn w:val="1"/>
    <w:qFormat/>
    <w:uiPriority w:val="0"/>
    <w:rPr>
      <w:szCs w:val="21"/>
    </w:rPr>
  </w:style>
  <w:style w:type="table" w:customStyle="1" w:styleId="1421">
    <w:name w:val="网格型21"/>
    <w:basedOn w:val="8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网格型12"/>
    <w:basedOn w:val="8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网格型31"/>
    <w:basedOn w:val="8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24">
    <w:name w:val="网格型4"/>
    <w:basedOn w:val="8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25">
    <w:name w:val="Char Char111"/>
    <w:qFormat/>
    <w:uiPriority w:val="0"/>
    <w:rPr>
      <w:rFonts w:ascii="宋体" w:eastAsia="宋体"/>
      <w:b/>
      <w:sz w:val="24"/>
      <w:u w:val="single"/>
      <w:lang w:val="en-US" w:eastAsia="zh-CN" w:bidi="ar-SA"/>
    </w:rPr>
  </w:style>
  <w:style w:type="character" w:customStyle="1" w:styleId="1426">
    <w:name w:val="txt"/>
    <w:basedOn w:val="133"/>
    <w:qFormat/>
    <w:uiPriority w:val="0"/>
  </w:style>
  <w:style w:type="character" w:customStyle="1" w:styleId="1427">
    <w:name w:val="正文表格 Char"/>
    <w:link w:val="1428"/>
    <w:qFormat/>
    <w:uiPriority w:val="0"/>
    <w:rPr>
      <w:rFonts w:ascii="宋体" w:hAnsi="宋体"/>
      <w:color w:val="000000"/>
      <w:sz w:val="21"/>
      <w:szCs w:val="21"/>
    </w:rPr>
  </w:style>
  <w:style w:type="paragraph" w:customStyle="1" w:styleId="1428">
    <w:name w:val="正文表格"/>
    <w:basedOn w:val="1"/>
    <w:link w:val="1427"/>
    <w:qFormat/>
    <w:uiPriority w:val="0"/>
    <w:pPr>
      <w:adjustRightInd w:val="0"/>
      <w:snapToGrid w:val="0"/>
      <w:jc w:val="left"/>
    </w:pPr>
    <w:rPr>
      <w:rFonts w:ascii="宋体" w:hAnsi="宋体"/>
      <w:color w:val="000000"/>
      <w:kern w:val="0"/>
      <w:szCs w:val="21"/>
    </w:rPr>
  </w:style>
  <w:style w:type="character" w:customStyle="1" w:styleId="1429">
    <w:name w:val="chanpin拷贝"/>
    <w:basedOn w:val="133"/>
    <w:qFormat/>
    <w:uiPriority w:val="0"/>
  </w:style>
  <w:style w:type="character" w:customStyle="1" w:styleId="1430">
    <w:name w:val="正文缩进 Char Char"/>
    <w:qFormat/>
    <w:uiPriority w:val="0"/>
    <w:rPr>
      <w:rFonts w:ascii="宋体" w:eastAsia="宋体"/>
      <w:snapToGrid w:val="0"/>
      <w:color w:val="000000"/>
      <w:kern w:val="28"/>
      <w:sz w:val="28"/>
      <w:lang w:bidi="ar-SA"/>
    </w:rPr>
  </w:style>
  <w:style w:type="character" w:customStyle="1" w:styleId="1431">
    <w:name w:val="street-address"/>
    <w:basedOn w:val="133"/>
    <w:qFormat/>
    <w:uiPriority w:val="0"/>
  </w:style>
  <w:style w:type="character" w:customStyle="1" w:styleId="1432">
    <w:name w:val="title4"/>
    <w:qFormat/>
    <w:uiPriority w:val="0"/>
    <w:rPr>
      <w:b/>
      <w:bCs/>
      <w:color w:val="1D87B3"/>
      <w:sz w:val="15"/>
      <w:szCs w:val="15"/>
    </w:rPr>
  </w:style>
  <w:style w:type="character" w:customStyle="1" w:styleId="1433">
    <w:name w:val="正文重点 Char"/>
    <w:link w:val="1434"/>
    <w:qFormat/>
    <w:uiPriority w:val="0"/>
    <w:rPr>
      <w:b/>
      <w:sz w:val="24"/>
    </w:rPr>
  </w:style>
  <w:style w:type="paragraph" w:customStyle="1" w:styleId="1434">
    <w:name w:val="正文重点"/>
    <w:basedOn w:val="1"/>
    <w:link w:val="1433"/>
    <w:qFormat/>
    <w:uiPriority w:val="0"/>
    <w:pPr>
      <w:adjustRightInd w:val="0"/>
      <w:spacing w:line="360" w:lineRule="auto"/>
      <w:ind w:firstLine="482" w:firstLineChars="200"/>
      <w:jc w:val="left"/>
      <w:textAlignment w:val="baseline"/>
    </w:pPr>
    <w:rPr>
      <w:b/>
      <w:kern w:val="0"/>
      <w:sz w:val="24"/>
      <w:szCs w:val="20"/>
    </w:rPr>
  </w:style>
  <w:style w:type="character" w:customStyle="1" w:styleId="1435">
    <w:name w:val="中等深浅网格 1 - 强调文字颜色 2 Char"/>
    <w:link w:val="380"/>
    <w:qFormat/>
    <w:uiPriority w:val="0"/>
    <w:rPr>
      <w:sz w:val="24"/>
    </w:rPr>
  </w:style>
  <w:style w:type="character" w:customStyle="1" w:styleId="1436">
    <w:name w:val="chanpin1"/>
    <w:qFormat/>
    <w:uiPriority w:val="0"/>
    <w:rPr>
      <w:rFonts w:hint="default" w:ascii="ˎ̥" w:hAnsi="ˎ̥"/>
      <w:color w:val="000000"/>
      <w:sz w:val="20"/>
      <w:szCs w:val="20"/>
      <w:u w:val="none"/>
    </w:rPr>
  </w:style>
  <w:style w:type="character" w:customStyle="1" w:styleId="1437">
    <w:name w:val="标题 3 Char Char"/>
    <w:qFormat/>
    <w:uiPriority w:val="0"/>
    <w:rPr>
      <w:rFonts w:eastAsia="宋体"/>
      <w:b/>
      <w:bCs/>
      <w:kern w:val="2"/>
      <w:sz w:val="32"/>
      <w:szCs w:val="32"/>
      <w:lang w:val="en-US" w:eastAsia="zh-CN" w:bidi="ar-SA"/>
    </w:rPr>
  </w:style>
  <w:style w:type="character" w:customStyle="1" w:styleId="1438">
    <w:name w:val="正文大标题 Char"/>
    <w:link w:val="1439"/>
    <w:qFormat/>
    <w:uiPriority w:val="0"/>
    <w:rPr>
      <w:rFonts w:ascii="宋体" w:hAnsi="宋体"/>
      <w:b/>
      <w:color w:val="000000"/>
      <w:sz w:val="28"/>
      <w:szCs w:val="21"/>
    </w:rPr>
  </w:style>
  <w:style w:type="paragraph" w:customStyle="1" w:styleId="1439">
    <w:name w:val="正文大标题"/>
    <w:basedOn w:val="1440"/>
    <w:next w:val="21"/>
    <w:link w:val="1438"/>
    <w:qFormat/>
    <w:uiPriority w:val="0"/>
    <w:pPr>
      <w:jc w:val="center"/>
    </w:pPr>
    <w:rPr>
      <w:i w:val="0"/>
      <w:color w:val="000000"/>
      <w:kern w:val="0"/>
      <w:sz w:val="28"/>
      <w:szCs w:val="21"/>
    </w:rPr>
  </w:style>
  <w:style w:type="paragraph" w:customStyle="1" w:styleId="1440">
    <w:name w:val="正文小标题"/>
    <w:basedOn w:val="1"/>
    <w:next w:val="21"/>
    <w:link w:val="144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441">
    <w:name w:val="正文小标题 Char"/>
    <w:link w:val="1440"/>
    <w:qFormat/>
    <w:uiPriority w:val="0"/>
    <w:rPr>
      <w:rFonts w:ascii="宋体" w:hAnsi="宋体"/>
      <w:b/>
      <w:i/>
      <w:color w:val="FF0000"/>
      <w:kern w:val="2"/>
      <w:sz w:val="24"/>
    </w:rPr>
  </w:style>
  <w:style w:type="character" w:customStyle="1" w:styleId="1442">
    <w:name w:val="注释 Char"/>
    <w:link w:val="1443"/>
    <w:qFormat/>
    <w:uiPriority w:val="0"/>
    <w:rPr>
      <w:rFonts w:ascii="宋体" w:hAnsi="宋体"/>
      <w:sz w:val="21"/>
      <w:szCs w:val="21"/>
    </w:rPr>
  </w:style>
  <w:style w:type="paragraph" w:customStyle="1" w:styleId="1443">
    <w:name w:val="注释"/>
    <w:basedOn w:val="1"/>
    <w:link w:val="1442"/>
    <w:qFormat/>
    <w:uiPriority w:val="0"/>
    <w:pPr>
      <w:adjustRightInd w:val="0"/>
      <w:snapToGrid w:val="0"/>
      <w:ind w:left="420" w:hanging="420" w:hangingChars="200"/>
      <w:jc w:val="left"/>
    </w:pPr>
    <w:rPr>
      <w:rFonts w:ascii="宋体" w:hAnsi="宋体"/>
      <w:kern w:val="0"/>
      <w:szCs w:val="21"/>
    </w:rPr>
  </w:style>
  <w:style w:type="character" w:customStyle="1" w:styleId="1444">
    <w:name w:val="c21"/>
    <w:qFormat/>
    <w:uiPriority w:val="0"/>
    <w:rPr>
      <w:rFonts w:hint="default" w:ascii="ˎ̥" w:hAnsi="ˎ̥"/>
      <w:color w:val="000000"/>
      <w:sz w:val="20"/>
      <w:szCs w:val="20"/>
      <w:u w:val="none"/>
    </w:rPr>
  </w:style>
  <w:style w:type="character" w:customStyle="1" w:styleId="1445">
    <w:name w:val="bjh-p"/>
    <w:qFormat/>
    <w:uiPriority w:val="0"/>
  </w:style>
  <w:style w:type="character" w:customStyle="1" w:styleId="1446">
    <w:name w:val="locality"/>
    <w:basedOn w:val="133"/>
    <w:qFormat/>
    <w:uiPriority w:val="0"/>
  </w:style>
  <w:style w:type="paragraph" w:customStyle="1" w:styleId="1447">
    <w:name w:val="字元 字元"/>
    <w:basedOn w:val="1"/>
    <w:qFormat/>
    <w:uiPriority w:val="0"/>
    <w:rPr>
      <w:rFonts w:ascii="Tahoma" w:hAnsi="Tahoma"/>
      <w:sz w:val="24"/>
      <w:szCs w:val="20"/>
    </w:rPr>
  </w:style>
  <w:style w:type="paragraph" w:customStyle="1" w:styleId="1448">
    <w:name w:val="样式 标题 2 + 宋体 五号 行距: 单倍行距"/>
    <w:basedOn w:val="4"/>
    <w:qFormat/>
    <w:uiPriority w:val="0"/>
    <w:pPr>
      <w:numPr>
        <w:ilvl w:val="1"/>
        <w:numId w:val="19"/>
      </w:numPr>
      <w:tabs>
        <w:tab w:val="left" w:pos="1188"/>
      </w:tabs>
      <w:adjustRightInd w:val="0"/>
      <w:spacing w:before="260" w:after="260" w:line="240" w:lineRule="auto"/>
      <w:ind w:left="0"/>
      <w:jc w:val="left"/>
      <w:textAlignment w:val="baseline"/>
    </w:pPr>
    <w:rPr>
      <w:rFonts w:ascii="宋体" w:hAnsi="宋体"/>
      <w:sz w:val="21"/>
      <w:szCs w:val="20"/>
    </w:rPr>
  </w:style>
  <w:style w:type="paragraph" w:customStyle="1" w:styleId="1449">
    <w:name w:val="图中文字"/>
    <w:basedOn w:val="1"/>
    <w:qFormat/>
    <w:uiPriority w:val="0"/>
    <w:pPr>
      <w:adjustRightInd w:val="0"/>
      <w:snapToGrid w:val="0"/>
      <w:spacing w:line="0" w:lineRule="atLeast"/>
      <w:jc w:val="center"/>
    </w:pPr>
    <w:rPr>
      <w:sz w:val="24"/>
      <w:szCs w:val="20"/>
    </w:rPr>
  </w:style>
  <w:style w:type="paragraph" w:customStyle="1" w:styleId="1450">
    <w:name w:val="图例"/>
    <w:basedOn w:val="1"/>
    <w:qFormat/>
    <w:uiPriority w:val="0"/>
    <w:pPr>
      <w:spacing w:before="120" w:after="120" w:line="360" w:lineRule="auto"/>
      <w:jc w:val="center"/>
    </w:pPr>
    <w:rPr>
      <w:rFonts w:eastAsia="仿宋_GB2312"/>
      <w:b/>
      <w:sz w:val="24"/>
      <w:szCs w:val="20"/>
    </w:rPr>
  </w:style>
  <w:style w:type="paragraph" w:customStyle="1" w:styleId="1451">
    <w:name w:val="修订3"/>
    <w:qFormat/>
    <w:uiPriority w:val="0"/>
    <w:rPr>
      <w:rFonts w:ascii="Times New Roman" w:hAnsi="Times New Roman" w:eastAsia="宋体" w:cs="Times New Roman"/>
      <w:kern w:val="2"/>
      <w:sz w:val="21"/>
      <w:szCs w:val="24"/>
      <w:lang w:val="en-US" w:eastAsia="zh-CN" w:bidi="ar-SA"/>
    </w:rPr>
  </w:style>
  <w:style w:type="paragraph" w:customStyle="1" w:styleId="1452">
    <w:name w:val="1名"/>
    <w:basedOn w:val="1"/>
    <w:qFormat/>
    <w:uiPriority w:val="0"/>
    <w:pPr>
      <w:tabs>
        <w:tab w:val="left" w:pos="360"/>
        <w:tab w:val="left" w:pos="779"/>
      </w:tabs>
      <w:spacing w:before="120"/>
      <w:ind w:left="779" w:hanging="420"/>
    </w:pPr>
    <w:rPr>
      <w:rFonts w:ascii="宋体"/>
      <w:sz w:val="28"/>
      <w:szCs w:val="20"/>
    </w:rPr>
  </w:style>
  <w:style w:type="paragraph" w:customStyle="1" w:styleId="145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54">
    <w:name w:val="Char3 Char Char Char"/>
    <w:basedOn w:val="1"/>
    <w:qFormat/>
    <w:uiPriority w:val="0"/>
    <w:rPr>
      <w:rFonts w:ascii="Tahoma" w:hAnsi="Tahoma"/>
      <w:sz w:val="24"/>
      <w:szCs w:val="20"/>
    </w:rPr>
  </w:style>
  <w:style w:type="paragraph" w:customStyle="1" w:styleId="145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56">
    <w:name w:val="正文列项_字母"/>
    <w:basedOn w:val="1"/>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4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58">
    <w:name w:val="项目编号1"/>
    <w:basedOn w:val="1"/>
    <w:qFormat/>
    <w:uiPriority w:val="0"/>
    <w:pPr>
      <w:numPr>
        <w:ilvl w:val="0"/>
        <w:numId w:val="20"/>
      </w:numPr>
      <w:spacing w:before="100" w:beforeAutospacing="1" w:after="100" w:afterAutospacing="1" w:line="360" w:lineRule="auto"/>
    </w:pPr>
    <w:rPr>
      <w:sz w:val="24"/>
    </w:rPr>
  </w:style>
  <w:style w:type="paragraph" w:customStyle="1" w:styleId="1459">
    <w:name w:val="Char Char Char Char Char Char Char Char Char Char2"/>
    <w:basedOn w:val="1"/>
    <w:qFormat/>
    <w:uiPriority w:val="0"/>
    <w:rPr>
      <w:rFonts w:ascii="宋体" w:hAnsi="宋体" w:cs="Courier New"/>
      <w:sz w:val="32"/>
      <w:szCs w:val="32"/>
    </w:rPr>
  </w:style>
  <w:style w:type="paragraph" w:customStyle="1" w:styleId="14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46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2">
    <w:name w:val="项目编号2"/>
    <w:basedOn w:val="1458"/>
    <w:qFormat/>
    <w:uiPriority w:val="0"/>
    <w:pPr>
      <w:numPr>
        <w:numId w:val="0"/>
      </w:numPr>
      <w:tabs>
        <w:tab w:val="left" w:pos="330"/>
      </w:tabs>
      <w:ind w:left="330" w:hanging="360"/>
    </w:pPr>
  </w:style>
  <w:style w:type="paragraph" w:customStyle="1" w:styleId="1463">
    <w:name w:val="正文须知-3级"/>
    <w:basedOn w:val="1"/>
    <w:qFormat/>
    <w:uiPriority w:val="0"/>
    <w:pPr>
      <w:tabs>
        <w:tab w:val="left" w:pos="1680"/>
      </w:tabs>
      <w:adjustRightInd w:val="0"/>
      <w:snapToGrid w:val="0"/>
      <w:spacing w:line="300" w:lineRule="auto"/>
      <w:ind w:left="1680" w:hanging="355" w:hangingChars="355"/>
    </w:pPr>
    <w:rPr>
      <w:rFonts w:ascii="宋体" w:hAnsi="Calibri"/>
      <w:sz w:val="24"/>
      <w:szCs w:val="21"/>
    </w:rPr>
  </w:style>
  <w:style w:type="paragraph" w:customStyle="1" w:styleId="146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465">
    <w:name w:val="正文列项_数字"/>
    <w:basedOn w:val="1"/>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466">
    <w:name w:val="字元 字元1"/>
    <w:basedOn w:val="1"/>
    <w:qFormat/>
    <w:uiPriority w:val="0"/>
    <w:rPr>
      <w:rFonts w:ascii="Tahoma" w:hAnsi="Tahoma"/>
      <w:sz w:val="24"/>
      <w:szCs w:val="20"/>
    </w:rPr>
  </w:style>
  <w:style w:type="paragraph" w:customStyle="1" w:styleId="146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68">
    <w:name w:val="Char21"/>
    <w:basedOn w:val="1"/>
    <w:qFormat/>
    <w:uiPriority w:val="0"/>
    <w:rPr>
      <w:rFonts w:ascii="Tahoma" w:hAnsi="Tahoma"/>
      <w:sz w:val="24"/>
      <w:szCs w:val="20"/>
    </w:rPr>
  </w:style>
  <w:style w:type="paragraph" w:customStyle="1" w:styleId="1469">
    <w:name w:val="Char Char Char1 Char1"/>
    <w:basedOn w:val="1"/>
    <w:qFormat/>
    <w:uiPriority w:val="0"/>
    <w:rPr>
      <w:rFonts w:ascii="Tahoma" w:hAnsi="Tahoma"/>
      <w:sz w:val="24"/>
      <w:szCs w:val="20"/>
    </w:rPr>
  </w:style>
  <w:style w:type="paragraph" w:customStyle="1" w:styleId="1470">
    <w:name w:val="正文文本样式"/>
    <w:basedOn w:val="1"/>
    <w:qFormat/>
    <w:uiPriority w:val="0"/>
    <w:pPr>
      <w:spacing w:line="360" w:lineRule="auto"/>
      <w:ind w:firstLine="482"/>
    </w:pPr>
    <w:rPr>
      <w:rFonts w:cs="宋体"/>
      <w:sz w:val="24"/>
      <w:szCs w:val="20"/>
    </w:rPr>
  </w:style>
  <w:style w:type="paragraph" w:customStyle="1" w:styleId="1471">
    <w:name w:val="项目符号1"/>
    <w:basedOn w:val="1470"/>
    <w:qFormat/>
    <w:uiPriority w:val="0"/>
    <w:pPr>
      <w:ind w:left="-25" w:firstLine="0"/>
    </w:pPr>
  </w:style>
  <w:style w:type="paragraph" w:customStyle="1" w:styleId="14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74">
    <w:name w:val="正文须知-2级"/>
    <w:basedOn w:val="1"/>
    <w:qFormat/>
    <w:uiPriority w:val="0"/>
    <w:pPr>
      <w:tabs>
        <w:tab w:val="left" w:pos="1260"/>
      </w:tabs>
      <w:adjustRightInd w:val="0"/>
      <w:snapToGrid w:val="0"/>
      <w:spacing w:line="300" w:lineRule="auto"/>
      <w:ind w:left="1260" w:hanging="420"/>
    </w:pPr>
    <w:rPr>
      <w:rFonts w:ascii="宋体" w:hAnsi="Calibri"/>
      <w:sz w:val="24"/>
      <w:szCs w:val="21"/>
    </w:rPr>
  </w:style>
  <w:style w:type="paragraph" w:customStyle="1" w:styleId="1475">
    <w:name w:val="表格1"/>
    <w:basedOn w:val="1"/>
    <w:qFormat/>
    <w:uiPriority w:val="0"/>
    <w:pPr>
      <w:ind w:firstLine="480" w:firstLineChars="200"/>
      <w:jc w:val="center"/>
    </w:pPr>
    <w:rPr>
      <w:sz w:val="24"/>
      <w:szCs w:val="20"/>
    </w:rPr>
  </w:style>
  <w:style w:type="paragraph" w:customStyle="1" w:styleId="1476">
    <w:name w:val="Char3 Char Char Char2"/>
    <w:basedOn w:val="1"/>
    <w:qFormat/>
    <w:uiPriority w:val="0"/>
    <w:rPr>
      <w:rFonts w:ascii="Tahoma" w:hAnsi="Tahoma"/>
      <w:sz w:val="24"/>
      <w:szCs w:val="20"/>
    </w:rPr>
  </w:style>
  <w:style w:type="paragraph" w:customStyle="1" w:styleId="147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478">
    <w:name w:val="正文须知-1级"/>
    <w:basedOn w:val="1"/>
    <w:next w:val="1"/>
    <w:qFormat/>
    <w:uiPriority w:val="0"/>
    <w:pPr>
      <w:tabs>
        <w:tab w:val="left" w:pos="1140"/>
      </w:tabs>
      <w:adjustRightInd w:val="0"/>
      <w:snapToGrid w:val="0"/>
      <w:spacing w:line="300" w:lineRule="auto"/>
      <w:ind w:left="1140" w:hanging="720"/>
    </w:pPr>
    <w:rPr>
      <w:rFonts w:ascii="宋体" w:hAnsi="Calibri"/>
      <w:sz w:val="24"/>
      <w:szCs w:val="21"/>
    </w:rPr>
  </w:style>
  <w:style w:type="paragraph" w:customStyle="1" w:styleId="1479">
    <w:name w:val="正文文本样式 加粗"/>
    <w:basedOn w:val="1470"/>
    <w:qFormat/>
    <w:uiPriority w:val="0"/>
    <w:rPr>
      <w:b/>
    </w:rPr>
  </w:style>
  <w:style w:type="paragraph" w:customStyle="1" w:styleId="1480">
    <w:name w:val="Char3 Char Char Char1"/>
    <w:basedOn w:val="1"/>
    <w:qFormat/>
    <w:uiPriority w:val="0"/>
    <w:rPr>
      <w:rFonts w:ascii="Tahoma" w:hAnsi="Tahoma"/>
      <w:sz w:val="24"/>
      <w:szCs w:val="20"/>
    </w:rPr>
  </w:style>
  <w:style w:type="paragraph" w:customStyle="1" w:styleId="1481">
    <w:name w:val="图文"/>
    <w:basedOn w:val="1"/>
    <w:qFormat/>
    <w:uiPriority w:val="0"/>
    <w:pPr>
      <w:adjustRightInd w:val="0"/>
      <w:snapToGrid w:val="0"/>
      <w:spacing w:after="50" w:line="360" w:lineRule="auto"/>
    </w:pPr>
    <w:rPr>
      <w:sz w:val="24"/>
    </w:rPr>
  </w:style>
  <w:style w:type="paragraph" w:customStyle="1" w:styleId="148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3">
    <w:name w:val="项目编号3"/>
    <w:basedOn w:val="1470"/>
    <w:qFormat/>
    <w:uiPriority w:val="0"/>
    <w:pPr>
      <w:ind w:left="1320" w:hanging="720"/>
    </w:pPr>
  </w:style>
  <w:style w:type="paragraph" w:customStyle="1" w:styleId="1484">
    <w:name w:val="List Paragraph1"/>
    <w:basedOn w:val="1"/>
    <w:qFormat/>
    <w:uiPriority w:val="0"/>
    <w:pPr>
      <w:ind w:firstLine="420" w:firstLineChars="200"/>
    </w:pPr>
    <w:rPr>
      <w:rFonts w:ascii="Calibri" w:hAnsi="Calibri"/>
      <w:szCs w:val="22"/>
    </w:rPr>
  </w:style>
  <w:style w:type="paragraph" w:customStyle="1" w:styleId="1485">
    <w:name w:val="正文 + 楷体_GB2312"/>
    <w:basedOn w:val="1"/>
    <w:qFormat/>
    <w:uiPriority w:val="0"/>
    <w:pPr>
      <w:widowControl/>
      <w:jc w:val="left"/>
    </w:pPr>
    <w:rPr>
      <w:rFonts w:ascii="楷体_GB2312" w:eastAsia="楷体_GB2312" w:cs="Arial"/>
      <w:kern w:val="0"/>
      <w:sz w:val="24"/>
    </w:rPr>
  </w:style>
  <w:style w:type="paragraph" w:customStyle="1" w:styleId="1486">
    <w:name w:val="1 Char Char Char Char"/>
    <w:basedOn w:val="1"/>
    <w:qFormat/>
    <w:uiPriority w:val="0"/>
    <w:rPr>
      <w:rFonts w:ascii="Tahoma" w:hAnsi="Tahoma"/>
      <w:sz w:val="24"/>
      <w:szCs w:val="20"/>
    </w:rPr>
  </w:style>
  <w:style w:type="paragraph" w:customStyle="1" w:styleId="1487">
    <w:name w:val="标题1-附件"/>
    <w:basedOn w:val="3"/>
    <w:qFormat/>
    <w:uiPriority w:val="0"/>
    <w:pPr>
      <w:keepLines/>
      <w:spacing w:before="240" w:after="120" w:line="300" w:lineRule="auto"/>
    </w:pPr>
    <w:rPr>
      <w:rFonts w:ascii="宋体" w:eastAsia="宋体"/>
      <w:bCs w:val="0"/>
      <w:color w:val="auto"/>
      <w:kern w:val="44"/>
      <w:sz w:val="24"/>
      <w:szCs w:val="24"/>
    </w:rPr>
  </w:style>
  <w:style w:type="paragraph" w:customStyle="1" w:styleId="1488">
    <w:name w:val="字元 字元2"/>
    <w:basedOn w:val="1"/>
    <w:qFormat/>
    <w:uiPriority w:val="0"/>
    <w:rPr>
      <w:rFonts w:ascii="Tahoma" w:hAnsi="Tahoma"/>
      <w:sz w:val="24"/>
      <w:szCs w:val="20"/>
    </w:rPr>
  </w:style>
  <w:style w:type="paragraph" w:customStyle="1" w:styleId="1489">
    <w:name w:val="_Style 160"/>
    <w:qFormat/>
    <w:uiPriority w:val="0"/>
    <w:rPr>
      <w:rFonts w:ascii="Times New Roman" w:hAnsi="Times New Roman" w:eastAsia="宋体" w:cs="Times New Roman"/>
      <w:kern w:val="2"/>
      <w:sz w:val="21"/>
      <w:szCs w:val="24"/>
      <w:lang w:val="en-US" w:eastAsia="zh-CN" w:bidi="ar-SA"/>
    </w:rPr>
  </w:style>
  <w:style w:type="paragraph" w:customStyle="1" w:styleId="1490">
    <w:name w:val="Char Char Char1 Char2"/>
    <w:basedOn w:val="1"/>
    <w:qFormat/>
    <w:uiPriority w:val="0"/>
    <w:rPr>
      <w:rFonts w:ascii="Tahoma" w:hAnsi="Tahoma"/>
      <w:sz w:val="24"/>
      <w:szCs w:val="20"/>
    </w:rPr>
  </w:style>
  <w:style w:type="paragraph" w:customStyle="1" w:styleId="1491">
    <w:name w:val="Char22"/>
    <w:basedOn w:val="1"/>
    <w:qFormat/>
    <w:uiPriority w:val="0"/>
    <w:rPr>
      <w:rFonts w:ascii="Tahoma" w:hAnsi="Tahoma"/>
      <w:sz w:val="24"/>
      <w:szCs w:val="20"/>
    </w:rPr>
  </w:style>
  <w:style w:type="paragraph" w:customStyle="1" w:styleId="1492">
    <w:name w:val="Char Char41"/>
    <w:basedOn w:val="1"/>
    <w:qFormat/>
    <w:uiPriority w:val="0"/>
    <w:pPr>
      <w:widowControl/>
      <w:spacing w:line="400" w:lineRule="exact"/>
      <w:jc w:val="center"/>
    </w:pPr>
  </w:style>
  <w:style w:type="table" w:customStyle="1" w:styleId="1493">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94">
    <w:name w:val="标题 1_0"/>
    <w:basedOn w:val="1414"/>
    <w:next w:val="1414"/>
    <w:qFormat/>
    <w:uiPriority w:val="2"/>
    <w:pPr>
      <w:keepNext/>
      <w:keepLines/>
      <w:widowControl/>
      <w:spacing w:before="340" w:after="330" w:line="576" w:lineRule="auto"/>
      <w:jc w:val="left"/>
      <w:outlineLvl w:val="0"/>
    </w:pPr>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CB459-2177-4A06-A341-DFA2AB3713C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90</Pages>
  <Words>8741</Words>
  <Characters>9815</Characters>
  <Lines>480</Lines>
  <Paragraphs>135</Paragraphs>
  <TotalTime>38</TotalTime>
  <ScaleCrop>false</ScaleCrop>
  <LinksUpToDate>false</LinksUpToDate>
  <CharactersWithSpaces>9885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2025-01-13T20:52:00Z</dcterms:created>
  <dc:creator>YY</dc:creator>
  <cp:lastModifiedBy>™ 粥✨✨</cp:lastModifiedBy>
  <cp:lastPrinted>2020-08-12T00:38:00Z</cp:lastPrinted>
  <dcterms:modified xsi:type="dcterms:W3CDTF">2026-05-11T08:25:53Z</dcterms:modified>
  <dc:title>谈判文件</dc:title>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282116E94A9C20C0AB99006A8F4BCEA4_43</vt:lpwstr>
  </property>
  <property fmtid="{D5CDD505-2E9C-101B-9397-08002B2CF9AE}" pid="4" name="KSOTemplateDocerSaveRecord">
    <vt:lpwstr>eyJoZGlkIjoiYzhiZTRjZGU2ODExYTUxNzQ1YjM1ODMwYTczMDRiYTkiLCJ1c2VySWQiOiI3NzQxMDAxNDYifQ==</vt:lpwstr>
  </property>
</Properties>
</file>