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highlight w:val="none"/>
        </w:rPr>
      </w:pPr>
      <w:bookmarkStart w:id="0" w:name="_Toc278543496"/>
    </w:p>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val="0"/>
          <w:sz w:val="44"/>
          <w:szCs w:val="44"/>
          <w:highlight w:val="none"/>
          <w:lang w:eastAsia="zh-CN"/>
        </w:rPr>
      </w:pPr>
      <w:r>
        <w:rPr>
          <w:rFonts w:hint="eastAsia" w:ascii="宋体" w:hAnsi="宋体" w:cs="宋体"/>
          <w:b/>
          <w:bCs w:val="0"/>
          <w:sz w:val="48"/>
          <w:szCs w:val="48"/>
          <w:highlight w:val="none"/>
          <w:lang w:eastAsia="zh-CN"/>
        </w:rPr>
        <w:t>富力城玖院项目北侧规划路建设工程设计</w:t>
      </w:r>
    </w:p>
    <w:p>
      <w:pPr>
        <w:bidi w:val="0"/>
        <w:rPr>
          <w:rFonts w:hint="eastAsia"/>
          <w:highlight w:val="none"/>
        </w:rPr>
      </w:pPr>
    </w:p>
    <w:p>
      <w:pPr>
        <w:bidi w:val="0"/>
        <w:rPr>
          <w:rFonts w:hint="eastAsia"/>
          <w:highlight w:val="none"/>
        </w:rPr>
      </w:pPr>
    </w:p>
    <w:p>
      <w:pPr>
        <w:bidi w:val="0"/>
        <w:rPr>
          <w:rFonts w:hint="eastAsia"/>
          <w:highlight w:val="none"/>
        </w:rPr>
      </w:pPr>
    </w:p>
    <w:p>
      <w:pPr>
        <w:tabs>
          <w:tab w:val="left" w:pos="2070"/>
          <w:tab w:val="center" w:pos="4365"/>
        </w:tabs>
        <w:snapToGrid w:val="0"/>
        <w:spacing w:line="1100" w:lineRule="exact"/>
        <w:jc w:val="center"/>
        <w:rPr>
          <w:rFonts w:hint="eastAsia" w:ascii="宋体" w:hAnsi="宋体" w:eastAsia="宋体" w:cs="宋体"/>
          <w:b/>
          <w:bCs/>
          <w:sz w:val="84"/>
          <w:highlight w:val="none"/>
        </w:rPr>
      </w:pPr>
    </w:p>
    <w:p>
      <w:pPr>
        <w:tabs>
          <w:tab w:val="left" w:pos="2070"/>
          <w:tab w:val="center" w:pos="4365"/>
        </w:tabs>
        <w:snapToGrid w:val="0"/>
        <w:spacing w:line="1100" w:lineRule="exact"/>
        <w:jc w:val="center"/>
        <w:rPr>
          <w:rFonts w:hint="eastAsia" w:ascii="宋体" w:hAnsi="宋体" w:eastAsia="宋体" w:cs="宋体"/>
          <w:b/>
          <w:bCs/>
          <w:sz w:val="84"/>
          <w:highlight w:val="none"/>
        </w:rPr>
      </w:pPr>
    </w:p>
    <w:p>
      <w:pPr>
        <w:tabs>
          <w:tab w:val="left" w:pos="2070"/>
          <w:tab w:val="center" w:pos="4365"/>
        </w:tabs>
        <w:snapToGrid w:val="0"/>
        <w:spacing w:line="1100" w:lineRule="exact"/>
        <w:jc w:val="center"/>
        <w:rPr>
          <w:rFonts w:hint="eastAsia" w:ascii="宋体" w:hAnsi="宋体" w:cs="宋体"/>
          <w:b/>
          <w:kern w:val="0"/>
          <w:sz w:val="84"/>
          <w:szCs w:val="84"/>
          <w:highlight w:val="none"/>
        </w:rPr>
      </w:pPr>
      <w:r>
        <w:rPr>
          <w:rFonts w:hint="eastAsia" w:ascii="宋体" w:hAnsi="宋体" w:eastAsia="宋体" w:cs="宋体"/>
          <w:b/>
          <w:bCs/>
          <w:sz w:val="84"/>
          <w:highlight w:val="none"/>
        </w:rPr>
        <w:t>竞争性磋商文件</w:t>
      </w:r>
    </w:p>
    <w:p>
      <w:pPr>
        <w:widowControl/>
        <w:snapToGrid w:val="0"/>
        <w:spacing w:line="360" w:lineRule="auto"/>
        <w:ind w:firstLine="840" w:firstLineChars="300"/>
        <w:jc w:val="left"/>
        <w:rPr>
          <w:rFonts w:hint="eastAsia" w:ascii="宋体" w:hAnsi="宋体" w:cs="宋体"/>
          <w:bCs/>
          <w:sz w:val="28"/>
          <w:szCs w:val="28"/>
          <w:highlight w:val="none"/>
        </w:rPr>
      </w:pPr>
    </w:p>
    <w:p>
      <w:pPr>
        <w:widowControl/>
        <w:snapToGrid w:val="0"/>
        <w:spacing w:line="360" w:lineRule="auto"/>
        <w:jc w:val="center"/>
        <w:rPr>
          <w:rFonts w:hint="eastAsia" w:ascii="宋体" w:hAnsi="宋体" w:eastAsia="宋体" w:cs="宋体"/>
          <w:bCs/>
          <w:color w:val="FF0000"/>
          <w:sz w:val="28"/>
          <w:szCs w:val="28"/>
          <w:highlight w:val="none"/>
          <w:lang w:val="en-US" w:eastAsia="zh-CN"/>
        </w:rPr>
      </w:pPr>
      <w:r>
        <w:rPr>
          <w:rFonts w:hint="eastAsia" w:ascii="宋体" w:hAnsi="宋体" w:cs="宋体"/>
          <w:bCs/>
          <w:color w:val="auto"/>
          <w:sz w:val="28"/>
          <w:szCs w:val="28"/>
          <w:highlight w:val="none"/>
        </w:rPr>
        <w:t>项目编号：</w:t>
      </w:r>
      <w:r>
        <w:rPr>
          <w:rFonts w:hint="eastAsia" w:ascii="宋体" w:hAnsi="宋体" w:cs="宋体"/>
          <w:bCs/>
          <w:color w:val="auto"/>
          <w:sz w:val="28"/>
          <w:szCs w:val="28"/>
          <w:highlight w:val="none"/>
          <w:lang w:val="en-US" w:eastAsia="zh-CN"/>
        </w:rPr>
        <w:t xml:space="preserve"> 1401992026CCS00271</w:t>
      </w:r>
    </w:p>
    <w:p>
      <w:pPr>
        <w:widowControl/>
        <w:snapToGrid w:val="0"/>
        <w:spacing w:line="300" w:lineRule="auto"/>
        <w:jc w:val="left"/>
        <w:rPr>
          <w:rFonts w:hint="eastAsia" w:ascii="宋体" w:hAnsi="宋体" w:cs="宋体"/>
          <w:bCs/>
          <w:kern w:val="0"/>
          <w:sz w:val="28"/>
          <w:highlight w:val="none"/>
        </w:rPr>
      </w:pPr>
    </w:p>
    <w:p>
      <w:pPr>
        <w:pStyle w:val="14"/>
        <w:rPr>
          <w:rFonts w:hint="eastAsia" w:ascii="宋体" w:hAnsi="宋体" w:eastAsia="宋体" w:cs="宋体"/>
          <w:bCs/>
          <w:kern w:val="0"/>
          <w:sz w:val="28"/>
          <w:highlight w:val="none"/>
          <w:lang w:eastAsia="zh-CN"/>
        </w:rPr>
      </w:pPr>
    </w:p>
    <w:p>
      <w:pPr>
        <w:rPr>
          <w:rFonts w:hint="eastAsia" w:ascii="宋体" w:hAnsi="宋体" w:eastAsia="宋体" w:cs="宋体"/>
          <w:bCs/>
          <w:kern w:val="0"/>
          <w:sz w:val="28"/>
          <w:highlight w:val="none"/>
          <w:lang w:eastAsia="zh-CN"/>
        </w:rPr>
      </w:pPr>
    </w:p>
    <w:p>
      <w:pPr>
        <w:rPr>
          <w:rFonts w:hint="eastAsia" w:ascii="宋体" w:hAnsi="宋体" w:eastAsia="宋体" w:cs="宋体"/>
          <w:bCs/>
          <w:kern w:val="0"/>
          <w:sz w:val="28"/>
          <w:highlight w:val="none"/>
          <w:lang w:eastAsia="zh-CN"/>
        </w:rPr>
      </w:pPr>
    </w:p>
    <w:p>
      <w:pPr>
        <w:pStyle w:val="14"/>
        <w:rPr>
          <w:rFonts w:hint="eastAsia" w:ascii="宋体" w:hAnsi="宋体" w:cs="宋体"/>
          <w:bCs/>
          <w:kern w:val="0"/>
          <w:sz w:val="28"/>
          <w:highlight w:val="none"/>
        </w:rPr>
      </w:pPr>
    </w:p>
    <w:p>
      <w:pPr>
        <w:rPr>
          <w:rFonts w:hint="eastAsia"/>
          <w:highlight w:val="none"/>
        </w:rPr>
      </w:pPr>
    </w:p>
    <w:p>
      <w:pPr>
        <w:pStyle w:val="131"/>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1263" w:firstLineChars="393"/>
        <w:textAlignment w:val="auto"/>
        <w:rPr>
          <w:rFonts w:hint="eastAsia" w:ascii="宋体" w:hAnsi="宋体" w:eastAsia="宋体" w:cs="宋体"/>
          <w:b/>
          <w:sz w:val="32"/>
          <w:szCs w:val="32"/>
          <w:highlight w:val="none"/>
          <w:lang w:eastAsia="zh-CN"/>
        </w:rPr>
      </w:pPr>
      <w:r>
        <w:rPr>
          <w:rFonts w:hint="eastAsia" w:ascii="宋体" w:hAnsi="宋体" w:cs="宋体"/>
          <w:b/>
          <w:sz w:val="32"/>
          <w:szCs w:val="32"/>
          <w:highlight w:val="none"/>
        </w:rPr>
        <w:t>采   购   人：</w:t>
      </w:r>
      <w:r>
        <w:rPr>
          <w:rFonts w:hint="eastAsia" w:ascii="宋体" w:hAnsi="宋体" w:cs="宋体"/>
          <w:b/>
          <w:sz w:val="32"/>
          <w:szCs w:val="32"/>
          <w:highlight w:val="none"/>
          <w:lang w:eastAsia="zh-CN"/>
        </w:rPr>
        <w:t xml:space="preserve">太原市城市建设管理中心 </w:t>
      </w:r>
    </w:p>
    <w:p>
      <w:pPr>
        <w:pStyle w:val="131"/>
        <w:keepNext w:val="0"/>
        <w:keepLines w:val="0"/>
        <w:pageBreakBefore w:val="0"/>
        <w:widowControl w:val="0"/>
        <w:kinsoku w:val="0"/>
        <w:wordWrap/>
        <w:overflowPunct w:val="0"/>
        <w:topLinePunct w:val="0"/>
        <w:autoSpaceDE w:val="0"/>
        <w:autoSpaceDN w:val="0"/>
        <w:bidi w:val="0"/>
        <w:adjustRightInd w:val="0"/>
        <w:snapToGrid/>
        <w:spacing w:line="360" w:lineRule="auto"/>
        <w:ind w:firstLine="1285" w:firstLineChars="400"/>
        <w:textAlignment w:val="auto"/>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采购代理机构：</w:t>
      </w:r>
      <w:r>
        <w:rPr>
          <w:rFonts w:hint="eastAsia" w:ascii="宋体" w:hAnsi="宋体" w:cs="宋体"/>
          <w:b/>
          <w:sz w:val="32"/>
          <w:szCs w:val="32"/>
          <w:highlight w:val="none"/>
          <w:lang w:val="en-US" w:eastAsia="zh-CN"/>
        </w:rPr>
        <w:t>山西宏昇伟业工程咨询有限公司</w:t>
      </w:r>
    </w:p>
    <w:p>
      <w:pPr>
        <w:pStyle w:val="131"/>
        <w:keepNext w:val="0"/>
        <w:keepLines w:val="0"/>
        <w:pageBreakBefore w:val="0"/>
        <w:widowControl w:val="0"/>
        <w:kinsoku w:val="0"/>
        <w:wordWrap/>
        <w:overflowPunct w:val="0"/>
        <w:topLinePunct w:val="0"/>
        <w:autoSpaceDE w:val="0"/>
        <w:autoSpaceDN w:val="0"/>
        <w:bidi w:val="0"/>
        <w:adjustRightInd w:val="0"/>
        <w:snapToGrid/>
        <w:spacing w:line="360" w:lineRule="auto"/>
        <w:ind w:firstLine="1285" w:firstLineChars="400"/>
        <w:textAlignment w:val="auto"/>
        <w:rPr>
          <w:rFonts w:hint="eastAsia" w:ascii="宋体" w:hAnsi="宋体" w:eastAsia="宋体" w:cs="宋体"/>
          <w:szCs w:val="21"/>
          <w:highlight w:val="none"/>
        </w:rPr>
      </w:pPr>
      <w:r>
        <w:rPr>
          <w:rFonts w:hint="eastAsia" w:ascii="宋体" w:hAnsi="宋体" w:eastAsia="宋体" w:cs="宋体"/>
          <w:b/>
          <w:sz w:val="32"/>
          <w:szCs w:val="32"/>
          <w:highlight w:val="none"/>
        </w:rPr>
        <w:t xml:space="preserve">日        </w:t>
      </w:r>
      <w:r>
        <w:rPr>
          <w:rFonts w:hint="eastAsia" w:ascii="宋体" w:hAnsi="宋体" w:cs="宋体"/>
          <w:b/>
          <w:sz w:val="32"/>
          <w:szCs w:val="32"/>
          <w:highlight w:val="none"/>
        </w:rPr>
        <w:t>期：二〇二</w:t>
      </w:r>
      <w:r>
        <w:rPr>
          <w:rFonts w:hint="eastAsia" w:ascii="宋体" w:hAnsi="宋体" w:cs="宋体"/>
          <w:b/>
          <w:sz w:val="32"/>
          <w:szCs w:val="32"/>
          <w:highlight w:val="none"/>
          <w:lang w:val="en-US" w:eastAsia="zh-CN"/>
        </w:rPr>
        <w:t>六</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五</w:t>
      </w:r>
      <w:r>
        <w:rPr>
          <w:rFonts w:hint="eastAsia" w:ascii="宋体" w:hAnsi="宋体" w:cs="宋体"/>
          <w:b/>
          <w:sz w:val="32"/>
          <w:szCs w:val="32"/>
          <w:highlight w:val="none"/>
          <w:lang w:eastAsia="zh-CN"/>
        </w:rPr>
        <w:t>月</w:t>
      </w:r>
    </w:p>
    <w:p>
      <w:pPr>
        <w:bidi w:val="0"/>
        <w:rPr>
          <w:rFonts w:hint="eastAsia"/>
          <w:highlight w:val="none"/>
        </w:rPr>
      </w:pPr>
    </w:p>
    <w:p>
      <w:pPr>
        <w:widowControl/>
        <w:snapToGrid w:val="0"/>
        <w:spacing w:after="468" w:afterLines="150" w:line="360" w:lineRule="auto"/>
        <w:jc w:val="center"/>
        <w:outlineLvl w:val="2"/>
        <w:rPr>
          <w:rFonts w:hint="eastAsia" w:ascii="宋体" w:hAnsi="宋体" w:eastAsia="宋体" w:cs="宋体"/>
          <w:b/>
          <w:bCs/>
          <w:kern w:val="0"/>
          <w:sz w:val="36"/>
          <w:szCs w:val="36"/>
          <w:highlight w:val="none"/>
        </w:rPr>
        <w:sectPr>
          <w:headerReference r:id="rId4" w:type="first"/>
          <w:headerReference r:id="rId3" w:type="default"/>
          <w:pgSz w:w="11906" w:h="16838"/>
          <w:pgMar w:top="1440" w:right="1247" w:bottom="1440" w:left="1247" w:header="851" w:footer="992" w:gutter="0"/>
          <w:pgNumType w:start="1"/>
          <w:cols w:space="720" w:num="1"/>
          <w:rtlGutter w:val="0"/>
          <w:docGrid w:type="lines" w:linePitch="312" w:charSpace="0"/>
        </w:sectPr>
      </w:pPr>
      <w:bookmarkStart w:id="1" w:name="_Toc15105"/>
    </w:p>
    <w:p>
      <w:pPr>
        <w:widowControl/>
        <w:snapToGrid w:val="0"/>
        <w:spacing w:line="360" w:lineRule="auto"/>
        <w:jc w:val="center"/>
        <w:rPr>
          <w:rFonts w:hint="eastAsia" w:ascii="宋体" w:hAnsi="宋体" w:eastAsia="宋体" w:cs="宋体"/>
          <w:b/>
          <w:bCs/>
          <w:kern w:val="0"/>
          <w:sz w:val="40"/>
          <w:szCs w:val="40"/>
          <w:highlight w:val="none"/>
        </w:rPr>
      </w:pPr>
      <w:r>
        <w:rPr>
          <w:rFonts w:hint="eastAsia" w:ascii="宋体" w:hAnsi="宋体" w:eastAsia="宋体" w:cs="宋体"/>
          <w:b/>
          <w:bCs/>
          <w:kern w:val="0"/>
          <w:sz w:val="40"/>
          <w:szCs w:val="40"/>
          <w:highlight w:val="none"/>
        </w:rPr>
        <w:t>目    录</w:t>
      </w:r>
      <w:bookmarkEnd w:id="1"/>
    </w:p>
    <w:p>
      <w:pPr>
        <w:pStyle w:val="31"/>
        <w:tabs>
          <w:tab w:val="right" w:leader="dot" w:pos="9412"/>
        </w:tabs>
        <w:rPr>
          <w:rFonts w:hint="eastAsia" w:ascii="宋体" w:hAnsi="宋体" w:eastAsia="宋体" w:cs="宋体"/>
          <w:b/>
          <w:bCs/>
        </w:rPr>
      </w:pPr>
      <w:r>
        <w:rPr>
          <w:rFonts w:hint="eastAsia" w:ascii="宋体" w:hAnsi="宋体" w:eastAsia="宋体" w:cs="宋体"/>
          <w:b/>
          <w:bCs w:val="0"/>
          <w:kern w:val="0"/>
          <w:sz w:val="24"/>
          <w:szCs w:val="24"/>
          <w:highlight w:val="none"/>
        </w:rPr>
        <w:fldChar w:fldCharType="begin"/>
      </w:r>
      <w:r>
        <w:rPr>
          <w:rFonts w:hint="eastAsia" w:ascii="宋体" w:hAnsi="宋体" w:eastAsia="宋体" w:cs="宋体"/>
          <w:b/>
          <w:bCs w:val="0"/>
          <w:kern w:val="0"/>
          <w:sz w:val="24"/>
          <w:szCs w:val="24"/>
          <w:highlight w:val="none"/>
        </w:rPr>
        <w:instrText xml:space="preserve"> TOC \o "1-3" \h \z \u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_Toc1092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第一部分  磋商公告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_Toc1092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_Toc4802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第二部分  供应商须知前附表</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_Toc4802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_Toc8422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第三部分  供应商须知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_Toc8422 \h </w:instrText>
      </w:r>
      <w:r>
        <w:rPr>
          <w:rFonts w:hint="eastAsia" w:ascii="宋体" w:hAnsi="宋体" w:eastAsia="宋体" w:cs="宋体"/>
          <w:b/>
          <w:bCs/>
        </w:rPr>
        <w:fldChar w:fldCharType="separate"/>
      </w:r>
      <w:r>
        <w:rPr>
          <w:rFonts w:hint="eastAsia" w:ascii="宋体" w:hAnsi="宋体" w:eastAsia="宋体" w:cs="宋体"/>
          <w:b/>
          <w:bCs/>
        </w:rPr>
        <w:t>12</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_Toc29132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第四部分  评审标准和评定</w:t>
      </w:r>
      <w:bookmarkStart w:id="72" w:name="_GoBack"/>
      <w:bookmarkEnd w:id="72"/>
      <w:r>
        <w:rPr>
          <w:rFonts w:hint="eastAsia" w:ascii="宋体" w:hAnsi="宋体" w:eastAsia="宋体" w:cs="宋体"/>
          <w:b/>
          <w:bCs/>
          <w:snapToGrid w:val="0"/>
          <w:kern w:val="0"/>
          <w:szCs w:val="30"/>
          <w:highlight w:val="none"/>
        </w:rPr>
        <w:t>方法</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_Toc29132 \h </w:instrText>
      </w:r>
      <w:r>
        <w:rPr>
          <w:rFonts w:hint="eastAsia" w:ascii="宋体" w:hAnsi="宋体" w:eastAsia="宋体" w:cs="宋体"/>
          <w:b/>
          <w:bCs/>
        </w:rPr>
        <w:fldChar w:fldCharType="separate"/>
      </w:r>
      <w:r>
        <w:rPr>
          <w:rFonts w:hint="eastAsia" w:ascii="宋体" w:hAnsi="宋体" w:eastAsia="宋体" w:cs="宋体"/>
          <w:b/>
          <w:bCs/>
        </w:rPr>
        <w:t>35</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_Toc6724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第五部分  商务、技术要求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_Toc6724 \h </w:instrText>
      </w:r>
      <w:r>
        <w:rPr>
          <w:rFonts w:hint="eastAsia" w:ascii="宋体" w:hAnsi="宋体" w:eastAsia="宋体" w:cs="宋体"/>
          <w:b/>
          <w:bCs/>
        </w:rPr>
        <w:fldChar w:fldCharType="separate"/>
      </w:r>
      <w:r>
        <w:rPr>
          <w:rFonts w:hint="eastAsia" w:ascii="宋体" w:hAnsi="宋体" w:eastAsia="宋体" w:cs="宋体"/>
          <w:b/>
          <w:bCs/>
        </w:rPr>
        <w:t>41</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_Toc24626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第六部分  合同范本</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_Toc24626 \h </w:instrText>
      </w:r>
      <w:r>
        <w:rPr>
          <w:rFonts w:hint="eastAsia" w:ascii="宋体" w:hAnsi="宋体" w:eastAsia="宋体" w:cs="宋体"/>
          <w:b/>
          <w:bCs/>
        </w:rPr>
        <w:fldChar w:fldCharType="separate"/>
      </w:r>
      <w:r>
        <w:rPr>
          <w:rFonts w:hint="eastAsia" w:ascii="宋体" w:hAnsi="宋体" w:eastAsia="宋体" w:cs="宋体"/>
          <w:b/>
          <w:bCs/>
        </w:rPr>
        <w:t>43</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_Toc10930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第七部分  响应文件格式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_Toc10930 \h </w:instrText>
      </w:r>
      <w:r>
        <w:rPr>
          <w:rFonts w:hint="eastAsia" w:ascii="宋体" w:hAnsi="宋体" w:eastAsia="宋体" w:cs="宋体"/>
          <w:b/>
          <w:bCs/>
        </w:rPr>
        <w:fldChar w:fldCharType="separate"/>
      </w:r>
      <w:r>
        <w:rPr>
          <w:rFonts w:hint="eastAsia" w:ascii="宋体" w:hAnsi="宋体" w:eastAsia="宋体" w:cs="宋体"/>
          <w:b/>
          <w:bCs/>
        </w:rPr>
        <w:t>56</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_Toc32370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lang w:eastAsia="zh-CN"/>
        </w:rPr>
        <w:t>第八部分</w:t>
      </w:r>
      <w:r>
        <w:rPr>
          <w:rFonts w:hint="eastAsia" w:ascii="宋体" w:hAnsi="宋体" w:eastAsia="宋体" w:cs="宋体"/>
          <w:b/>
          <w:bCs/>
          <w:snapToGrid w:val="0"/>
          <w:kern w:val="0"/>
          <w:szCs w:val="30"/>
          <w:highlight w:val="none"/>
          <w:lang w:val="en-US" w:eastAsia="zh-CN"/>
        </w:rPr>
        <w:t xml:space="preserve">  </w:t>
      </w:r>
      <w:r>
        <w:rPr>
          <w:rFonts w:hint="eastAsia" w:ascii="宋体" w:hAnsi="宋体" w:eastAsia="宋体" w:cs="宋体"/>
          <w:b/>
          <w:bCs/>
          <w:snapToGrid w:val="0"/>
          <w:kern w:val="0"/>
          <w:szCs w:val="30"/>
          <w:highlight w:val="none"/>
        </w:rPr>
        <w:t>相关附件</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_Toc32370 \h </w:instrText>
      </w:r>
      <w:r>
        <w:rPr>
          <w:rFonts w:hint="eastAsia" w:ascii="宋体" w:hAnsi="宋体" w:eastAsia="宋体" w:cs="宋体"/>
          <w:b/>
          <w:bCs/>
        </w:rPr>
        <w:fldChar w:fldCharType="separate"/>
      </w:r>
      <w:r>
        <w:rPr>
          <w:rFonts w:hint="eastAsia" w:ascii="宋体" w:hAnsi="宋体" w:eastAsia="宋体" w:cs="宋体"/>
          <w:b/>
          <w:bCs/>
        </w:rPr>
        <w:t>78</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7"/>
        <w:tabs>
          <w:tab w:val="right" w:leader="dot" w:pos="9412"/>
        </w:tabs>
      </w:pPr>
    </w:p>
    <w:p>
      <w:pPr>
        <w:pStyle w:val="31"/>
        <w:keepNext w:val="0"/>
        <w:keepLines w:val="0"/>
        <w:pageBreakBefore w:val="0"/>
        <w:widowControl w:val="0"/>
        <w:tabs>
          <w:tab w:val="right" w:leader="dot" w:pos="8620"/>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bCs w:val="0"/>
          <w:kern w:val="0"/>
          <w:sz w:val="24"/>
          <w:szCs w:val="24"/>
          <w:highlight w:val="none"/>
        </w:rPr>
      </w:pPr>
      <w:r>
        <w:rPr>
          <w:rFonts w:hint="eastAsia" w:ascii="宋体" w:hAnsi="宋体" w:eastAsia="宋体" w:cs="宋体"/>
          <w:bCs w:val="0"/>
          <w:kern w:val="0"/>
          <w:szCs w:val="24"/>
          <w:highlight w:val="none"/>
        </w:rPr>
        <w:fldChar w:fldCharType="end"/>
      </w:r>
      <w:bookmarkStart w:id="2" w:name="_Toc10267"/>
    </w:p>
    <w:p>
      <w:pPr>
        <w:pStyle w:val="31"/>
        <w:keepNext w:val="0"/>
        <w:keepLines w:val="0"/>
        <w:pageBreakBefore w:val="0"/>
        <w:widowControl w:val="0"/>
        <w:tabs>
          <w:tab w:val="right" w:leader="dot" w:pos="8620"/>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bCs/>
          <w:snapToGrid w:val="0"/>
          <w:kern w:val="0"/>
          <w:sz w:val="30"/>
          <w:szCs w:val="30"/>
          <w:highlight w:val="none"/>
        </w:rPr>
        <w:sectPr>
          <w:footerReference r:id="rId6" w:type="first"/>
          <w:footerReference r:id="rId5" w:type="default"/>
          <w:pgSz w:w="11906" w:h="16838"/>
          <w:pgMar w:top="1440" w:right="1247" w:bottom="1440" w:left="1247" w:header="851" w:footer="992" w:gutter="0"/>
          <w:pgNumType w:fmt="decimal" w:start="1"/>
          <w:cols w:space="720" w:num="1"/>
          <w:rtlGutter w:val="0"/>
          <w:docGrid w:type="lines" w:linePitch="312" w:charSpace="0"/>
        </w:sectPr>
      </w:pPr>
    </w:p>
    <w:p>
      <w:pPr>
        <w:overflowPunct w:val="0"/>
        <w:topLinePunct/>
        <w:autoSpaceDN w:val="0"/>
        <w:adjustRightInd w:val="0"/>
        <w:snapToGrid w:val="0"/>
        <w:spacing w:line="360" w:lineRule="auto"/>
        <w:jc w:val="center"/>
        <w:outlineLvl w:val="0"/>
        <w:rPr>
          <w:rFonts w:hint="eastAsia" w:ascii="宋体" w:hAnsi="宋体" w:eastAsia="宋体" w:cs="宋体"/>
          <w:b/>
          <w:bCs/>
          <w:snapToGrid w:val="0"/>
          <w:kern w:val="0"/>
          <w:sz w:val="30"/>
          <w:szCs w:val="30"/>
          <w:highlight w:val="none"/>
        </w:rPr>
      </w:pPr>
      <w:bookmarkStart w:id="3" w:name="_Toc1092"/>
      <w:r>
        <w:rPr>
          <w:rFonts w:hint="eastAsia" w:ascii="宋体" w:hAnsi="宋体" w:eastAsia="宋体" w:cs="宋体"/>
          <w:b/>
          <w:bCs/>
          <w:snapToGrid w:val="0"/>
          <w:kern w:val="0"/>
          <w:sz w:val="30"/>
          <w:szCs w:val="30"/>
          <w:highlight w:val="none"/>
        </w:rPr>
        <w:t>第一部分  磋商公告</w:t>
      </w:r>
      <w:bookmarkEnd w:id="3"/>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富力城玖院项目北侧规划路建设工程设计</w:t>
      </w:r>
      <w:r>
        <w:rPr>
          <w:rFonts w:hint="eastAsia" w:ascii="宋体" w:hAnsi="宋体" w:eastAsia="宋体" w:cs="宋体"/>
          <w:sz w:val="24"/>
          <w:szCs w:val="24"/>
          <w:highlight w:val="none"/>
        </w:rPr>
        <w:t>的潜在</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应在政采云平台线上获取获取</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，并于2026年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日09时00分（北京时间）前递交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w:t>
      </w:r>
    </w:p>
    <w:p>
      <w:pPr>
        <w:pStyle w:val="134"/>
        <w:keepNext w:val="0"/>
        <w:keepLines w:val="0"/>
        <w:pageBreakBefore w:val="0"/>
        <w:kinsoku/>
        <w:wordWrap/>
        <w:overflowPunct/>
        <w:topLinePunct w:val="0"/>
        <w:autoSpaceDE/>
        <w:autoSpaceDN/>
        <w:bidi w:val="0"/>
        <w:adjustRightInd/>
        <w:snapToGrid/>
        <w:spacing w:before="72" w:beforeLines="3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项目编号：</w:t>
      </w:r>
      <w:r>
        <w:rPr>
          <w:rFonts w:hint="eastAsia" w:ascii="宋体" w:hAnsi="宋体" w:cs="宋体"/>
          <w:color w:val="000000"/>
          <w:sz w:val="24"/>
          <w:szCs w:val="24"/>
          <w:highlight w:val="none"/>
          <w:lang w:val="en-US" w:eastAsia="zh-CN"/>
        </w:rPr>
        <w:t xml:space="preserve"> 1401992026CCS00271</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项目名称：</w:t>
      </w:r>
      <w:r>
        <w:rPr>
          <w:rFonts w:hint="eastAsia" w:ascii="宋体" w:hAnsi="宋体" w:cs="宋体"/>
          <w:sz w:val="24"/>
          <w:szCs w:val="24"/>
          <w:highlight w:val="none"/>
          <w:lang w:eastAsia="zh-CN"/>
        </w:rPr>
        <w:t>富力城玖院项目北侧规划路建设工程设计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800000 </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采购需求：</w:t>
      </w:r>
    </w:p>
    <w:p>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标项名称：</w:t>
      </w:r>
      <w:r>
        <w:rPr>
          <w:rFonts w:hint="eastAsia" w:ascii="宋体" w:hAnsi="宋体" w:cs="宋体"/>
          <w:sz w:val="24"/>
          <w:szCs w:val="24"/>
          <w:highlight w:val="none"/>
          <w:lang w:val="en-US" w:eastAsia="zh-CN"/>
        </w:rPr>
        <w:t>采购包1</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数量：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预算金额（元）：</w:t>
      </w:r>
      <w:r>
        <w:rPr>
          <w:rFonts w:hint="eastAsia" w:ascii="宋体" w:hAnsi="宋体" w:cs="宋体"/>
          <w:sz w:val="24"/>
          <w:szCs w:val="24"/>
          <w:highlight w:val="none"/>
          <w:lang w:val="en-US" w:eastAsia="zh-CN"/>
        </w:rPr>
        <w:t xml:space="preserve">800000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简要规格描述或项目基本概况介绍、用途：</w:t>
      </w:r>
      <w:r>
        <w:rPr>
          <w:rFonts w:hint="eastAsia" w:ascii="宋体" w:hAnsi="宋体" w:cs="宋体"/>
          <w:sz w:val="24"/>
          <w:szCs w:val="24"/>
          <w:highlight w:val="none"/>
          <w:lang w:val="en-US" w:eastAsia="zh-CN"/>
        </w:rPr>
        <w:t>最高限价：《2002年工程勘察设计收费标准》的80%。富力城玖院项目北侧规划路建设工程设计</w:t>
      </w:r>
      <w:r>
        <w:rPr>
          <w:rFonts w:hint="eastAsia" w:ascii="宋体" w:hAnsi="宋体" w:cs="宋体"/>
          <w:sz w:val="24"/>
          <w:szCs w:val="24"/>
          <w:highlight w:val="none"/>
        </w:rPr>
        <w:t>工作及相关服务</w:t>
      </w:r>
      <w:r>
        <w:rPr>
          <w:rFonts w:hint="eastAsia" w:ascii="宋体" w:hAnsi="宋体" w:cs="宋体"/>
          <w:sz w:val="24"/>
          <w:szCs w:val="24"/>
          <w:highlight w:val="none"/>
          <w:lang w:val="en-US" w:eastAsia="zh-CN"/>
        </w:rPr>
        <w:t>。具体内容详见磋商文件“第五部分 商务、技术要求”。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备注：</w:t>
      </w:r>
    </w:p>
    <w:p>
      <w:pPr>
        <w:spacing w:line="360" w:lineRule="auto"/>
        <w:ind w:firstLine="480" w:firstLineChars="200"/>
        <w:rPr>
          <w:rFonts w:hint="eastAsia" w:ascii="宋体" w:hAnsi="宋体" w:cs="宋体"/>
          <w:iCs/>
          <w:sz w:val="24"/>
          <w:szCs w:val="24"/>
          <w:highlight w:val="none"/>
          <w:lang w:val="en-US" w:eastAsia="zh-CN"/>
        </w:rPr>
      </w:pPr>
      <w:r>
        <w:rPr>
          <w:rFonts w:hint="eastAsia" w:ascii="宋体" w:hAnsi="宋体" w:cs="宋体"/>
          <w:iCs/>
          <w:sz w:val="24"/>
          <w:szCs w:val="24"/>
          <w:highlight w:val="none"/>
          <w:lang w:val="en-US" w:eastAsia="zh-CN"/>
        </w:rPr>
        <w:t>服务地点：太原市杏花岭区。</w:t>
      </w:r>
    </w:p>
    <w:p>
      <w:pPr>
        <w:spacing w:line="360" w:lineRule="auto"/>
        <w:ind w:firstLine="480" w:firstLineChars="200"/>
        <w:rPr>
          <w:rFonts w:hint="eastAsia" w:ascii="宋体" w:hAnsi="宋体" w:cs="宋体"/>
          <w:sz w:val="24"/>
          <w:szCs w:val="24"/>
          <w:highlight w:val="none"/>
        </w:rPr>
      </w:pPr>
      <w:r>
        <w:rPr>
          <w:rFonts w:hint="eastAsia" w:ascii="宋体" w:hAnsi="宋体" w:cs="宋体"/>
          <w:iCs/>
          <w:sz w:val="24"/>
          <w:szCs w:val="24"/>
          <w:highlight w:val="none"/>
          <w:lang w:val="en-US" w:eastAsia="zh-CN"/>
        </w:rPr>
        <w:t>质量标准：</w:t>
      </w:r>
      <w:r>
        <w:rPr>
          <w:rFonts w:hint="eastAsia" w:ascii="宋体" w:hAnsi="宋体" w:eastAsia="宋体" w:cs="宋体"/>
          <w:bCs/>
          <w:sz w:val="24"/>
          <w:szCs w:val="24"/>
          <w:highlight w:val="none"/>
        </w:rPr>
        <w:t>合格</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符合国家及行业相关标准</w:t>
      </w:r>
      <w:r>
        <w:rPr>
          <w:rFonts w:hint="eastAsia" w:ascii="宋体" w:hAnsi="宋体" w:cs="宋体"/>
          <w:iCs/>
          <w:sz w:val="24"/>
          <w:szCs w:val="24"/>
          <w:highlight w:val="none"/>
          <w:lang w:val="en-US" w:eastAsia="zh-CN"/>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合同履约期限（服务</w:t>
      </w:r>
      <w:r>
        <w:rPr>
          <w:rFonts w:hint="eastAsia" w:ascii="宋体" w:hAnsi="宋体" w:cs="宋体"/>
          <w:sz w:val="24"/>
          <w:szCs w:val="24"/>
          <w:highlight w:val="none"/>
        </w:rPr>
        <w:t>期限</w:t>
      </w:r>
      <w:r>
        <w:rPr>
          <w:rFonts w:hint="eastAsia" w:ascii="宋体" w:hAnsi="宋体" w:cs="宋体"/>
          <w:sz w:val="24"/>
          <w:szCs w:val="24"/>
          <w:highlight w:val="none"/>
          <w:lang w:val="en-US" w:eastAsia="zh-CN"/>
        </w:rPr>
        <w:t>）</w:t>
      </w:r>
      <w:r>
        <w:rPr>
          <w:rFonts w:hint="eastAsia" w:ascii="宋体" w:hAnsi="宋体" w:cs="宋体"/>
          <w:sz w:val="24"/>
          <w:szCs w:val="24"/>
          <w:highlight w:val="none"/>
        </w:rPr>
        <w:t>：</w:t>
      </w:r>
      <w:r>
        <w:rPr>
          <w:rFonts w:hint="eastAsia" w:ascii="宋体" w:hAnsi="宋体" w:cs="宋体"/>
          <w:sz w:val="24"/>
          <w:szCs w:val="24"/>
          <w:highlight w:val="none"/>
          <w:lang w:val="en-US" w:eastAsia="zh-CN"/>
        </w:rPr>
        <w:t>20日历天。</w:t>
      </w:r>
    </w:p>
    <w:p>
      <w:pPr>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rPr>
        <w:t>本项目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否</w:t>
      </w:r>
      <w:r>
        <w:rPr>
          <w:rFonts w:hint="eastAsia" w:ascii="宋体" w:hAnsi="宋体" w:cs="宋体"/>
          <w:sz w:val="24"/>
          <w:szCs w:val="24"/>
          <w:highlight w:val="none"/>
          <w:lang w:eastAsia="zh-CN"/>
        </w:rPr>
        <w:t>）</w:t>
      </w:r>
      <w:r>
        <w:rPr>
          <w:rFonts w:hint="eastAsia" w:ascii="宋体" w:hAnsi="宋体" w:cs="宋体"/>
          <w:sz w:val="24"/>
          <w:szCs w:val="24"/>
          <w:highlight w:val="none"/>
        </w:rPr>
        <w:t>接受联合体投标。</w:t>
      </w:r>
    </w:p>
    <w:p>
      <w:pPr>
        <w:pStyle w:val="134"/>
        <w:keepNext w:val="0"/>
        <w:keepLines w:val="0"/>
        <w:pageBreakBefore w:val="0"/>
        <w:kinsoku/>
        <w:wordWrap/>
        <w:overflowPunct/>
        <w:topLinePunct w:val="0"/>
        <w:autoSpaceDE/>
        <w:autoSpaceDN/>
        <w:bidi w:val="0"/>
        <w:adjustRightInd/>
        <w:snapToGrid/>
        <w:spacing w:before="72" w:beforeLines="3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Style w:val="48"/>
          <w:rFonts w:hint="eastAsia" w:ascii="宋体" w:hAnsi="宋体" w:eastAsia="宋体" w:cs="宋体"/>
          <w:i w:val="0"/>
          <w:iCs w:val="0"/>
          <w:caps w:val="0"/>
          <w:color w:val="000000"/>
          <w:spacing w:val="0"/>
          <w:sz w:val="24"/>
          <w:szCs w:val="24"/>
          <w:highlight w:val="none"/>
        </w:rPr>
        <w:t>申请人的资格要求</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1、满足《中华人民共和国政府采购法》第二十二条规定</w:t>
      </w:r>
      <w:r>
        <w:rPr>
          <w:rFonts w:hint="eastAsia" w:ascii="宋体" w:hAnsi="宋体" w:cs="宋体"/>
          <w:sz w:val="24"/>
          <w:szCs w:val="24"/>
          <w:highlight w:val="none"/>
          <w:lang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z w:val="24"/>
          <w:szCs w:val="24"/>
          <w:highlight w:val="none"/>
        </w:rPr>
        <w:t>2、落实政府采购政策需满足的资格要求：</w:t>
      </w:r>
      <w:r>
        <w:rPr>
          <w:rFonts w:hint="eastAsia" w:ascii="宋体" w:hAnsi="宋体" w:cs="宋体"/>
          <w:sz w:val="24"/>
          <w:szCs w:val="24"/>
          <w:highlight w:val="none"/>
          <w:lang w:val="en-US" w:eastAsia="zh-CN"/>
        </w:rPr>
        <w:t>包1：</w:t>
      </w:r>
      <w:r>
        <w:rPr>
          <w:rFonts w:hint="eastAsia" w:ascii="宋体" w:hAnsi="宋体" w:cs="宋体"/>
          <w:color w:val="auto"/>
          <w:sz w:val="24"/>
          <w:highlight w:val="none"/>
        </w:rPr>
        <w:t>本项目属于专门面向中小企业采购</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3、本项目的特定资格要求：</w:t>
      </w:r>
    </w:p>
    <w:p>
      <w:pPr>
        <w:spacing w:line="360" w:lineRule="auto"/>
        <w:ind w:firstLine="480" w:firstLineChars="200"/>
        <w:rPr>
          <w:rStyle w:val="76"/>
          <w:rFonts w:hint="eastAsia" w:ascii="宋体" w:hAnsi="宋体" w:eastAsia="宋体" w:cs="宋体"/>
          <w:b w:val="0"/>
          <w:bCs w:val="0"/>
          <w:color w:val="auto"/>
          <w:sz w:val="24"/>
          <w:szCs w:val="24"/>
          <w:highlight w:val="none"/>
          <w:u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包1</w:t>
      </w:r>
      <w:r>
        <w:rPr>
          <w:rFonts w:hint="eastAsia" w:ascii="宋体" w:hAnsi="宋体" w:cs="宋体"/>
          <w:sz w:val="24"/>
          <w:szCs w:val="24"/>
          <w:highlight w:val="none"/>
          <w:lang w:eastAsia="zh-CN"/>
        </w:rPr>
        <w:t>】</w:t>
      </w:r>
      <w:r>
        <w:rPr>
          <w:rFonts w:hint="eastAsia" w:ascii="宋体" w:hAnsi="宋体" w:eastAsia="宋体" w:cs="宋体"/>
          <w:spacing w:val="0"/>
          <w:kern w:val="21"/>
          <w:position w:val="0"/>
          <w:sz w:val="24"/>
          <w:szCs w:val="24"/>
        </w:rPr>
        <w:t>供应商</w:t>
      </w:r>
      <w:r>
        <w:rPr>
          <w:rFonts w:hint="eastAsia" w:ascii="宋体" w:hAnsi="宋体" w:eastAsia="宋体" w:cs="宋体"/>
          <w:spacing w:val="0"/>
          <w:kern w:val="21"/>
          <w:position w:val="0"/>
          <w:sz w:val="24"/>
          <w:szCs w:val="24"/>
          <w:lang w:eastAsia="zh-CN"/>
        </w:rPr>
        <w:t>须具备建设行政主管部门颁发的市政行业(道路工程、排水工程)专业设计乙级及以上资质或工程设计综合甲级资质；</w:t>
      </w:r>
      <w:r>
        <w:rPr>
          <w:rFonts w:hint="eastAsia" w:ascii="宋体" w:hAnsi="宋体" w:eastAsia="宋体" w:cs="宋体"/>
          <w:spacing w:val="0"/>
          <w:kern w:val="0"/>
          <w:position w:val="0"/>
          <w:sz w:val="24"/>
          <w:szCs w:val="24"/>
          <w:lang w:eastAsia="zh-CN"/>
        </w:rPr>
        <w:t>拟派项目负责人须具备高级工程师职称资格。</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三、获取</w:t>
      </w:r>
      <w:r>
        <w:rPr>
          <w:rFonts w:hint="eastAsia" w:ascii="宋体" w:hAnsi="宋体" w:eastAsia="宋体" w:cs="宋体"/>
          <w:b/>
          <w:bCs/>
          <w:sz w:val="24"/>
          <w:szCs w:val="24"/>
          <w:highlight w:val="none"/>
          <w:lang w:eastAsia="zh-CN"/>
        </w:rPr>
        <w:t>磋商文件</w:t>
      </w:r>
    </w:p>
    <w:p>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日至202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日</w:t>
      </w:r>
      <w:r>
        <w:rPr>
          <w:rFonts w:hint="eastAsia" w:ascii="宋体" w:hAnsi="宋体" w:cs="宋体"/>
          <w:sz w:val="24"/>
          <w:szCs w:val="24"/>
          <w:highlight w:val="none"/>
        </w:rPr>
        <w:t>，每天上午00:00至12:00，下午12:00至23:59（北京时间，法定节假日除外）</w:t>
      </w:r>
    </w:p>
    <w:p>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地点：政采云平台线上获取</w:t>
      </w:r>
    </w:p>
    <w:p>
      <w:pPr>
        <w:adjustRightInd w:val="0"/>
        <w:spacing w:line="360" w:lineRule="auto"/>
        <w:ind w:left="480"/>
        <w:rPr>
          <w:rFonts w:ascii="宋体" w:hAnsi="宋体" w:cs="宋体"/>
          <w:sz w:val="24"/>
          <w:szCs w:val="24"/>
          <w:highlight w:val="none"/>
        </w:rPr>
      </w:pPr>
      <w:r>
        <w:rPr>
          <w:rFonts w:hint="eastAsia" w:ascii="宋体" w:hAnsi="宋体" w:cs="宋体"/>
          <w:sz w:val="24"/>
          <w:szCs w:val="24"/>
          <w:highlight w:val="none"/>
        </w:rPr>
        <w:t>方式：在线获取</w:t>
      </w:r>
    </w:p>
    <w:p>
      <w:pPr>
        <w:adjustRightInd w:val="0"/>
        <w:spacing w:line="360" w:lineRule="auto"/>
        <w:ind w:left="480"/>
        <w:rPr>
          <w:rFonts w:ascii="宋体" w:hAnsi="宋体" w:cs="宋体"/>
          <w:sz w:val="24"/>
          <w:szCs w:val="24"/>
          <w:highlight w:val="none"/>
        </w:rPr>
      </w:pPr>
      <w:r>
        <w:rPr>
          <w:rFonts w:hint="eastAsia" w:ascii="宋体" w:hAnsi="宋体" w:cs="宋体"/>
          <w:sz w:val="24"/>
          <w:szCs w:val="24"/>
          <w:highlight w:val="none"/>
        </w:rPr>
        <w:t>售价（元）：0</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提交</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截止时间：2026年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w:t>
      </w:r>
      <w:r>
        <w:rPr>
          <w:rFonts w:hint="eastAsia" w:ascii="宋体" w:hAnsi="宋体" w:eastAsia="宋体" w:cs="宋体"/>
          <w:sz w:val="24"/>
          <w:highlight w:val="none"/>
        </w:rPr>
        <w:t xml:space="preserve"> 09:00（北京时间）</w:t>
      </w:r>
    </w:p>
    <w:p>
      <w:pPr>
        <w:pStyle w:val="134"/>
        <w:spacing w:line="360" w:lineRule="auto"/>
        <w:ind w:firstLine="480"/>
        <w:rPr>
          <w:rFonts w:hint="eastAsia" w:ascii="宋体" w:hAnsi="宋体" w:eastAsia="宋体" w:cs="宋体"/>
          <w:sz w:val="24"/>
          <w:highlight w:val="none"/>
        </w:rPr>
      </w:pPr>
      <w:r>
        <w:rPr>
          <w:rFonts w:hint="eastAsia" w:ascii="宋体" w:hAnsi="宋体" w:cs="宋体"/>
          <w:sz w:val="24"/>
          <w:highlight w:val="none"/>
          <w:lang w:val="en-US" w:eastAsia="zh-CN"/>
        </w:rPr>
        <w:t>地点</w:t>
      </w:r>
      <w:r>
        <w:rPr>
          <w:rFonts w:hint="eastAsia" w:ascii="宋体" w:hAnsi="宋体" w:eastAsia="宋体" w:cs="宋体"/>
          <w:sz w:val="24"/>
          <w:highlight w:val="none"/>
        </w:rPr>
        <w:t>：请登录政采云投标客户端投标</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响应文件开启</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开标时间：2026年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w:t>
      </w:r>
      <w:r>
        <w:rPr>
          <w:rFonts w:hint="eastAsia" w:ascii="宋体" w:hAnsi="宋体" w:eastAsia="宋体" w:cs="宋体"/>
          <w:sz w:val="24"/>
          <w:highlight w:val="none"/>
        </w:rPr>
        <w:t xml:space="preserve"> 09:00（北京时间）</w:t>
      </w:r>
    </w:p>
    <w:p>
      <w:pPr>
        <w:pStyle w:val="134"/>
        <w:spacing w:line="360" w:lineRule="auto"/>
        <w:ind w:firstLine="480"/>
        <w:rPr>
          <w:rFonts w:hint="eastAsia" w:ascii="宋体" w:hAnsi="宋体" w:eastAsia="宋体" w:cs="宋体"/>
          <w:b w:val="0"/>
          <w:bCs w:val="0"/>
          <w:sz w:val="24"/>
          <w:szCs w:val="24"/>
          <w:highlight w:val="none"/>
        </w:rPr>
      </w:pPr>
      <w:r>
        <w:rPr>
          <w:rFonts w:hint="eastAsia" w:ascii="宋体" w:hAnsi="宋体" w:eastAsia="宋体" w:cs="宋体"/>
          <w:sz w:val="24"/>
          <w:highlight w:val="none"/>
        </w:rPr>
        <w:t>地点：山西省太原市万柏林区新晋祠路凯旋门6栋底商国大药房东侧第二部电梯4层开标室</w:t>
      </w:r>
      <w:r>
        <w:rPr>
          <w:rFonts w:hint="eastAsia" w:ascii="宋体" w:hAnsi="宋体" w:eastAsia="宋体" w:cs="宋体"/>
          <w:color w:val="000000"/>
          <w:sz w:val="24"/>
          <w:highlight w:val="none"/>
        </w:rPr>
        <w:t>。</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六</w:t>
      </w:r>
      <w:r>
        <w:rPr>
          <w:rFonts w:hint="eastAsia" w:ascii="宋体" w:hAnsi="宋体" w:eastAsia="宋体" w:cs="宋体"/>
          <w:b/>
          <w:bCs/>
          <w:sz w:val="24"/>
          <w:szCs w:val="24"/>
          <w:highlight w:val="none"/>
        </w:rPr>
        <w:t>、公告期限</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个工作日。</w:t>
      </w:r>
    </w:p>
    <w:p>
      <w:pPr>
        <w:pStyle w:val="134"/>
        <w:spacing w:line="360" w:lineRule="auto"/>
        <w:ind w:firstLine="480"/>
        <w:rPr>
          <w:rFonts w:hint="eastAsia" w:ascii="宋体" w:hAnsi="宋体" w:eastAsia="宋体" w:cs="宋体"/>
          <w:b/>
          <w:bCs/>
          <w:sz w:val="24"/>
          <w:highlight w:val="none"/>
        </w:rPr>
      </w:pPr>
      <w:r>
        <w:rPr>
          <w:rFonts w:hint="eastAsia" w:ascii="宋体" w:hAnsi="宋体" w:eastAsia="宋体" w:cs="宋体"/>
          <w:b/>
          <w:bCs/>
          <w:sz w:val="24"/>
          <w:highlight w:val="none"/>
        </w:rPr>
        <w:t>六、其他补充事宜</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代理费支付方式：供应商支付</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代理费收费标准：参照《招标代理服务收费管理暂行办法》</w:t>
      </w:r>
      <w:r>
        <w:rPr>
          <w:rFonts w:hint="eastAsia" w:ascii="宋体" w:hAnsi="宋体" w:cs="宋体"/>
          <w:sz w:val="24"/>
          <w:highlight w:val="none"/>
          <w:lang w:eastAsia="zh-CN"/>
        </w:rPr>
        <w:t>（</w:t>
      </w:r>
      <w:r>
        <w:rPr>
          <w:rFonts w:hint="eastAsia" w:ascii="宋体" w:hAnsi="宋体" w:eastAsia="宋体" w:cs="宋体"/>
          <w:sz w:val="24"/>
          <w:highlight w:val="none"/>
        </w:rPr>
        <w:t>计价格[2002]1980号</w:t>
      </w:r>
      <w:r>
        <w:rPr>
          <w:rFonts w:hint="eastAsia" w:ascii="宋体" w:hAnsi="宋体" w:cs="宋体"/>
          <w:sz w:val="24"/>
          <w:highlight w:val="none"/>
          <w:lang w:eastAsia="zh-CN"/>
        </w:rPr>
        <w:t>）</w:t>
      </w:r>
      <w:r>
        <w:rPr>
          <w:rFonts w:hint="eastAsia" w:ascii="宋体" w:hAnsi="宋体" w:cs="宋体"/>
          <w:sz w:val="24"/>
          <w:highlight w:val="none"/>
          <w:lang w:val="en-US" w:eastAsia="zh-CN"/>
        </w:rPr>
        <w:t>文件</w:t>
      </w:r>
      <w:r>
        <w:rPr>
          <w:rFonts w:hint="eastAsia" w:ascii="宋体" w:hAnsi="宋体" w:eastAsia="宋体" w:cs="宋体"/>
          <w:sz w:val="24"/>
          <w:highlight w:val="none"/>
        </w:rPr>
        <w:t>规定及以与甲方签订的代理协议约定为准。</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代理费收费金额（元）：/</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rPr>
        <w:t>、对本次采购提出询问，请按以下方式联系</w:t>
      </w:r>
    </w:p>
    <w:p>
      <w:pPr>
        <w:pStyle w:val="134"/>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1.采购人信息</w:t>
      </w:r>
    </w:p>
    <w:p>
      <w:pPr>
        <w:pStyle w:val="134"/>
        <w:spacing w:line="360" w:lineRule="auto"/>
        <w:ind w:firstLine="48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单位名称：</w:t>
      </w:r>
      <w:r>
        <w:rPr>
          <w:rFonts w:hint="eastAsia" w:ascii="宋体" w:hAnsi="宋体" w:cs="宋体"/>
          <w:color w:val="000000"/>
          <w:sz w:val="24"/>
          <w:highlight w:val="none"/>
          <w:lang w:eastAsia="zh-CN"/>
        </w:rPr>
        <w:t>太原市城市建设管理中心</w:t>
      </w:r>
    </w:p>
    <w:p>
      <w:pPr>
        <w:pStyle w:val="134"/>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地址：太原市大同路80号</w:t>
      </w:r>
    </w:p>
    <w:p>
      <w:pPr>
        <w:pStyle w:val="134"/>
        <w:spacing w:line="360" w:lineRule="auto"/>
        <w:ind w:left="479" w:leftChars="228"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联系电话：0351-5265967</w:t>
      </w:r>
      <w:r>
        <w:rPr>
          <w:rFonts w:hint="eastAsia" w:ascii="宋体" w:hAnsi="宋体" w:eastAsia="宋体" w:cs="宋体"/>
          <w:color w:val="000000"/>
          <w:sz w:val="24"/>
          <w:highlight w:val="none"/>
        </w:rPr>
        <w:br w:type="textWrapping"/>
      </w:r>
      <w:r>
        <w:rPr>
          <w:rFonts w:hint="eastAsia" w:ascii="宋体" w:hAnsi="宋体" w:eastAsia="宋体" w:cs="宋体"/>
          <w:color w:val="000000"/>
          <w:sz w:val="24"/>
          <w:highlight w:val="none"/>
        </w:rPr>
        <w:t>2.采购代理机构信息</w:t>
      </w:r>
    </w:p>
    <w:p>
      <w:pPr>
        <w:pStyle w:val="134"/>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名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称</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山西宏昇伟业工程咨询有限公司</w:t>
      </w:r>
    </w:p>
    <w:p>
      <w:pPr>
        <w:pStyle w:val="134"/>
        <w:spacing w:line="360" w:lineRule="auto"/>
        <w:ind w:firstLine="48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 xml:space="preserve">地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址</w:t>
      </w:r>
      <w:r>
        <w:rPr>
          <w:rFonts w:hint="eastAsia" w:ascii="宋体" w:hAnsi="宋体" w:cs="宋体"/>
          <w:color w:val="000000"/>
          <w:sz w:val="24"/>
          <w:highlight w:val="none"/>
          <w:lang w:eastAsia="zh-CN"/>
        </w:rPr>
        <w:t>：太原市万柏林区和平南路143号金诺大厦5层</w:t>
      </w:r>
    </w:p>
    <w:p>
      <w:pPr>
        <w:pStyle w:val="134"/>
        <w:spacing w:line="360" w:lineRule="auto"/>
        <w:ind w:firstLine="480"/>
        <w:rPr>
          <w:rFonts w:hint="default" w:ascii="宋体" w:hAnsi="宋体" w:cs="宋体"/>
          <w:color w:val="000000"/>
          <w:sz w:val="24"/>
          <w:highlight w:val="none"/>
          <w:lang w:val="en-US" w:eastAsia="zh-CN"/>
        </w:rPr>
      </w:pPr>
      <w:r>
        <w:rPr>
          <w:rFonts w:hint="eastAsia" w:ascii="宋体" w:hAnsi="宋体" w:eastAsia="宋体" w:cs="宋体"/>
          <w:color w:val="000000"/>
          <w:sz w:val="24"/>
          <w:highlight w:val="none"/>
        </w:rPr>
        <w:t>联系方式</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15110402047、</w:t>
      </w:r>
      <w:r>
        <w:rPr>
          <w:rFonts w:hint="eastAsia" w:ascii="宋体" w:hAnsi="宋体" w:cs="宋体"/>
          <w:color w:val="000000"/>
          <w:sz w:val="24"/>
          <w:highlight w:val="none"/>
          <w:lang w:val="en-US" w:eastAsia="zh-CN"/>
        </w:rPr>
        <w:t>15513889789</w:t>
      </w:r>
    </w:p>
    <w:p>
      <w:pPr>
        <w:pStyle w:val="134"/>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3.项目联系方式</w:t>
      </w:r>
    </w:p>
    <w:p>
      <w:pPr>
        <w:pStyle w:val="134"/>
        <w:spacing w:line="360" w:lineRule="auto"/>
        <w:ind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项目联系人</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薛乘风、杨雪婷</w:t>
      </w:r>
    </w:p>
    <w:p>
      <w:pPr>
        <w:pStyle w:val="134"/>
        <w:spacing w:line="360" w:lineRule="auto"/>
        <w:ind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 xml:space="preserve">电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话</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15513889789、</w:t>
      </w:r>
      <w:r>
        <w:rPr>
          <w:rFonts w:hint="eastAsia" w:ascii="宋体" w:hAnsi="宋体" w:eastAsia="宋体" w:cs="宋体"/>
          <w:color w:val="000000"/>
          <w:sz w:val="24"/>
          <w:highlight w:val="none"/>
        </w:rPr>
        <w:t>15110402047</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b/>
          <w:sz w:val="36"/>
          <w:szCs w:val="36"/>
          <w:highlight w:val="none"/>
        </w:rPr>
      </w:pPr>
      <w:bookmarkStart w:id="4" w:name="_Toc4802"/>
      <w:r>
        <w:rPr>
          <w:b/>
          <w:bCs/>
          <w:snapToGrid w:val="0"/>
          <w:kern w:val="0"/>
          <w:sz w:val="30"/>
          <w:szCs w:val="30"/>
          <w:highlight w:val="none"/>
        </w:rPr>
        <w:br w:type="page"/>
      </w:r>
      <w:r>
        <w:rPr>
          <w:b/>
          <w:bCs/>
          <w:snapToGrid w:val="0"/>
          <w:kern w:val="0"/>
          <w:sz w:val="30"/>
          <w:szCs w:val="30"/>
          <w:highlight w:val="none"/>
        </w:rPr>
        <w:t>第二部分  供应商须知前附表</w:t>
      </w:r>
      <w:bookmarkEnd w:id="4"/>
    </w:p>
    <w:tbl>
      <w:tblPr>
        <w:tblStyle w:val="45"/>
        <w:tblW w:w="50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687"/>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1" w:type="pct"/>
            <w:noWrap w:val="0"/>
            <w:vAlign w:val="center"/>
          </w:tcPr>
          <w:p>
            <w:pPr>
              <w:keepNext w:val="0"/>
              <w:keepLines w:val="0"/>
              <w:suppressLineNumbers w:val="0"/>
              <w:spacing w:before="0" w:beforeAutospacing="0" w:after="0" w:afterAutospacing="0" w:line="360" w:lineRule="auto"/>
              <w:ind w:left="-105" w:leftChars="-50" w:right="-105" w:rightChars="-50"/>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序号</w:t>
            </w:r>
          </w:p>
        </w:tc>
        <w:tc>
          <w:tcPr>
            <w:tcW w:w="97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3650"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1</w:t>
            </w:r>
          </w:p>
        </w:tc>
        <w:tc>
          <w:tcPr>
            <w:tcW w:w="978" w:type="pct"/>
            <w:noWrap w:val="0"/>
            <w:vAlign w:val="center"/>
          </w:tcPr>
          <w:p>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采购人</w:t>
            </w:r>
          </w:p>
        </w:tc>
        <w:tc>
          <w:tcPr>
            <w:tcW w:w="3650" w:type="pct"/>
            <w:noWrap w:val="0"/>
            <w:vAlign w:val="center"/>
          </w:tcPr>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cs="宋体"/>
                <w:color w:val="000000"/>
                <w:sz w:val="24"/>
                <w:highlight w:val="none"/>
                <w:lang w:eastAsia="zh-CN"/>
              </w:rPr>
              <w:t>太原市城市建设管理中心</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color w:val="000000"/>
                <w:sz w:val="24"/>
                <w:highlight w:val="none"/>
              </w:rPr>
            </w:pPr>
            <w:r>
              <w:rPr>
                <w:rFonts w:hint="eastAsia" w:ascii="宋体" w:hAnsi="宋体" w:eastAsia="宋体" w:cs="宋体"/>
                <w:sz w:val="24"/>
                <w:szCs w:val="24"/>
                <w:highlight w:val="none"/>
              </w:rPr>
              <w:t>地址：</w:t>
            </w:r>
            <w:r>
              <w:rPr>
                <w:rFonts w:hint="eastAsia" w:ascii="宋体" w:hAnsi="宋体" w:eastAsia="宋体" w:cs="宋体"/>
                <w:color w:val="000000"/>
                <w:sz w:val="24"/>
                <w:highlight w:val="none"/>
              </w:rPr>
              <w:t>太原市大同路80号</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color w:val="000000"/>
                <w:sz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姚先生</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联系方式：</w:t>
            </w:r>
            <w:r>
              <w:rPr>
                <w:rFonts w:hint="eastAsia" w:ascii="宋体" w:hAnsi="宋体" w:eastAsia="宋体" w:cs="宋体"/>
                <w:color w:val="000000"/>
                <w:sz w:val="24"/>
                <w:highlight w:val="none"/>
              </w:rPr>
              <w:t>0351-5265967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2</w:t>
            </w:r>
          </w:p>
        </w:tc>
        <w:tc>
          <w:tcPr>
            <w:tcW w:w="978" w:type="pct"/>
            <w:noWrap w:val="0"/>
            <w:vAlign w:val="center"/>
          </w:tcPr>
          <w:p>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采购代理机构</w:t>
            </w:r>
          </w:p>
        </w:tc>
        <w:tc>
          <w:tcPr>
            <w:tcW w:w="3650" w:type="pct"/>
            <w:noWrap w:val="0"/>
            <w:vAlign w:val="center"/>
          </w:tcPr>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名称：山西宏昇伟业工程咨询有限公司</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地址：太原市万柏林区和平南路143号金诺大厦5层</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联系人：薛乘风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杨雪婷</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15513889789、</w:t>
            </w:r>
            <w:r>
              <w:rPr>
                <w:rFonts w:hint="eastAsia" w:ascii="宋体" w:hAnsi="宋体" w:eastAsia="宋体" w:cs="宋体"/>
                <w:sz w:val="24"/>
                <w:szCs w:val="24"/>
                <w:highlight w:val="none"/>
              </w:rPr>
              <w:t>15110402047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3</w:t>
            </w:r>
          </w:p>
        </w:tc>
        <w:tc>
          <w:tcPr>
            <w:tcW w:w="978" w:type="pct"/>
            <w:noWrap w:val="0"/>
            <w:vAlign w:val="center"/>
          </w:tcPr>
          <w:p>
            <w:pPr>
              <w:keepNext/>
              <w:keepLines w:val="0"/>
              <w:suppressLineNumbers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w:t>
            </w:r>
          </w:p>
          <w:p>
            <w:pPr>
              <w:keepNext/>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预算金额及最高限价</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default" w:ascii="Times New Roman" w:hAnsi="Times New Roman" w:eastAsia="宋体" w:cs="Times New Roman"/>
                <w:sz w:val="24"/>
                <w:szCs w:val="32"/>
                <w:highlight w:val="none"/>
                <w:lang w:val="en-US" w:eastAsia="zh-CN"/>
              </w:rPr>
            </w:pPr>
            <w:r>
              <w:rPr>
                <w:rFonts w:hint="eastAsia" w:ascii="宋体" w:hAnsi="宋体" w:eastAsia="宋体" w:cs="宋体"/>
                <w:b w:val="0"/>
                <w:bCs w:val="0"/>
                <w:color w:val="000000"/>
                <w:sz w:val="24"/>
                <w:highlight w:val="none"/>
              </w:rPr>
              <w:t>预算金额</w:t>
            </w:r>
            <w:r>
              <w:rPr>
                <w:rFonts w:hint="eastAsia" w:ascii="宋体" w:hAnsi="宋体" w:eastAsia="宋体" w:cs="宋体"/>
                <w:b w:val="0"/>
                <w:bCs w:val="0"/>
                <w:color w:val="000000"/>
                <w:sz w:val="24"/>
                <w:highlight w:val="none"/>
                <w:lang w:eastAsia="zh-CN"/>
              </w:rPr>
              <w:t>：</w:t>
            </w:r>
            <w:r>
              <w:rPr>
                <w:rFonts w:hint="eastAsia" w:ascii="宋体" w:hAnsi="宋体" w:cs="宋体"/>
                <w:sz w:val="24"/>
                <w:szCs w:val="24"/>
                <w:highlight w:val="none"/>
                <w:lang w:val="en-US" w:eastAsia="zh-CN"/>
              </w:rPr>
              <w:t>800000</w:t>
            </w:r>
            <w:r>
              <w:rPr>
                <w:rFonts w:hint="eastAsia" w:ascii="宋体" w:hAnsi="宋体" w:eastAsia="宋体" w:cs="宋体"/>
                <w:snapToGrid w:val="0"/>
                <w:kern w:val="0"/>
                <w:sz w:val="24"/>
                <w:szCs w:val="24"/>
                <w:highlight w:val="none"/>
                <w:lang w:val="en-US" w:eastAsia="zh-CN"/>
              </w:rPr>
              <w:t>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000000"/>
                <w:sz w:val="24"/>
                <w:highlight w:val="yellow"/>
              </w:rPr>
            </w:pPr>
            <w:r>
              <w:rPr>
                <w:rFonts w:hint="eastAsia" w:ascii="宋体" w:hAnsi="宋体" w:eastAsia="宋体" w:cs="宋体"/>
                <w:b w:val="0"/>
                <w:bCs w:val="0"/>
                <w:color w:val="000000"/>
                <w:sz w:val="24"/>
                <w:highlight w:val="none"/>
              </w:rPr>
              <w:t>最</w:t>
            </w:r>
            <w:r>
              <w:rPr>
                <w:rFonts w:hint="eastAsia" w:ascii="宋体" w:hAnsi="宋体" w:eastAsia="宋体" w:cs="宋体"/>
                <w:b w:val="0"/>
                <w:bCs w:val="0"/>
                <w:color w:val="000000"/>
                <w:sz w:val="24"/>
                <w:highlight w:val="none"/>
                <w:lang w:eastAsia="zh-CN"/>
              </w:rPr>
              <w:t>高限价：</w:t>
            </w:r>
            <w:r>
              <w:rPr>
                <w:rFonts w:hint="eastAsia" w:ascii="宋体" w:hAnsi="宋体" w:cs="宋体"/>
                <w:sz w:val="24"/>
                <w:szCs w:val="24"/>
                <w:highlight w:val="none"/>
                <w:lang w:val="en-US" w:eastAsia="zh-CN"/>
              </w:rPr>
              <w:t>《2002年工程勘察设计收费标准》的80%</w:t>
            </w:r>
          </w:p>
          <w:p>
            <w:pPr>
              <w:pStyle w:val="40"/>
              <w:keepNext w:val="0"/>
              <w:keepLines w:val="0"/>
              <w:pageBreakBefore w:val="0"/>
              <w:suppressLineNumbers w:val="0"/>
              <w:kinsoku/>
              <w:wordWrap/>
              <w:overflowPunct/>
              <w:bidi w:val="0"/>
              <w:adjustRightInd/>
              <w:snapToGrid/>
              <w:spacing w:before="0" w:beforeAutospacing="0" w:after="0" w:afterAutospacing="0" w:line="420" w:lineRule="exact"/>
              <w:ind w:left="0" w:right="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highlight w:val="none"/>
              </w:rPr>
              <w:t>注：</w:t>
            </w:r>
            <w:r>
              <w:rPr>
                <w:rFonts w:hint="eastAsia" w:ascii="宋体" w:hAnsi="宋体" w:eastAsia="宋体" w:cs="宋体"/>
                <w:b w:val="0"/>
                <w:bCs w:val="0"/>
                <w:sz w:val="24"/>
                <w:highlight w:val="none"/>
                <w:lang w:val="en-US" w:eastAsia="zh-CN"/>
              </w:rPr>
              <w:t>供应商</w:t>
            </w:r>
            <w:r>
              <w:rPr>
                <w:rFonts w:hint="eastAsia" w:ascii="宋体" w:hAnsi="宋体" w:eastAsia="宋体" w:cs="宋体"/>
                <w:b w:val="0"/>
                <w:bCs w:val="0"/>
                <w:sz w:val="24"/>
                <w:highlight w:val="none"/>
              </w:rPr>
              <w:t>的投标报价不得超过最高限价，否则响应无效。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4</w:t>
            </w:r>
          </w:p>
        </w:tc>
        <w:tc>
          <w:tcPr>
            <w:tcW w:w="978" w:type="pct"/>
            <w:noWrap w:val="0"/>
            <w:vAlign w:val="center"/>
          </w:tcPr>
          <w:p>
            <w:pPr>
              <w:keepNext/>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是否允许代理商参加</w:t>
            </w:r>
          </w:p>
        </w:tc>
        <w:tc>
          <w:tcPr>
            <w:tcW w:w="3650" w:type="pct"/>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5</w:t>
            </w:r>
          </w:p>
        </w:tc>
        <w:tc>
          <w:tcPr>
            <w:tcW w:w="978" w:type="pct"/>
            <w:noWrap w:val="0"/>
            <w:vAlign w:val="center"/>
          </w:tcPr>
          <w:p>
            <w:pPr>
              <w:keepNext/>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是否允许联合体参加</w:t>
            </w:r>
          </w:p>
        </w:tc>
        <w:tc>
          <w:tcPr>
            <w:tcW w:w="3650" w:type="pct"/>
            <w:noWrap w:val="0"/>
            <w:vAlign w:val="center"/>
          </w:tcPr>
          <w:p>
            <w:pPr>
              <w:pStyle w:val="25"/>
              <w:keepNext w:val="0"/>
              <w:keepLines w:val="0"/>
              <w:suppressLineNumbers w:val="0"/>
              <w:snapToGrid w:val="0"/>
              <w:spacing w:before="0" w:beforeAutospacing="0" w:after="0" w:afterAutospacing="0" w:line="39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6</w:t>
            </w:r>
          </w:p>
        </w:tc>
        <w:tc>
          <w:tcPr>
            <w:tcW w:w="978" w:type="pct"/>
            <w:noWrap w:val="0"/>
            <w:vAlign w:val="center"/>
          </w:tcPr>
          <w:p>
            <w:pPr>
              <w:keepNext/>
              <w:keepLines w:val="0"/>
              <w:suppressLineNumbers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响应文件</w:t>
            </w:r>
          </w:p>
          <w:p>
            <w:pPr>
              <w:keepNext/>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提交及解密</w:t>
            </w:r>
          </w:p>
        </w:tc>
        <w:tc>
          <w:tcPr>
            <w:tcW w:w="3650" w:type="pct"/>
            <w:noWrap w:val="0"/>
            <w:vAlign w:val="center"/>
          </w:tcPr>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电子响应文件：</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登录中国政府采购网山西分网上传响应文件。响应文件提交截止时间前未完成提交的，将拒收响应文件。</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开启时登录中国政府采购网山西分网在规定时间内解密电子响应文件，解密设备及网络环境由供应商自行准备。</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纸质响应文件（供项目存档使用）：</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份数要求：二份（打印胶装成册）</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递交方式：现场递交或邮寄</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递交时间：评审结束后3个工作日内</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邮寄地址：太原市万柏林区新晋祠路凯旋门6栋底商国大药房东侧第二部电梯4层（</w:t>
            </w:r>
            <w:r>
              <w:rPr>
                <w:rFonts w:hint="eastAsia" w:ascii="宋体" w:hAnsi="宋体" w:eastAsia="宋体" w:cs="宋体"/>
                <w:sz w:val="24"/>
                <w:szCs w:val="24"/>
                <w:highlight w:val="none"/>
                <w:lang w:val="en-US" w:eastAsia="zh-CN"/>
              </w:rPr>
              <w:t>杨雪婷</w:t>
            </w:r>
            <w:r>
              <w:rPr>
                <w:rFonts w:hint="eastAsia" w:ascii="宋体" w:hAnsi="宋体" w:cs="宋体"/>
                <w:sz w:val="24"/>
                <w:szCs w:val="24"/>
                <w:highlight w:val="none"/>
                <w:lang w:eastAsia="zh-CN"/>
              </w:rPr>
              <w:t>15513889789</w:t>
            </w:r>
            <w:r>
              <w:rPr>
                <w:rFonts w:hint="default" w:ascii="宋体" w:hAnsi="宋体" w:eastAsia="宋体" w:cs="宋体"/>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7</w:t>
            </w:r>
          </w:p>
        </w:tc>
        <w:tc>
          <w:tcPr>
            <w:tcW w:w="978" w:type="pct"/>
            <w:noWrap w:val="0"/>
            <w:vAlign w:val="center"/>
          </w:tcPr>
          <w:p>
            <w:pPr>
              <w:keepNext w:val="0"/>
              <w:keepLines w:val="0"/>
              <w:suppressLineNumbers w:val="0"/>
              <w:spacing w:before="0" w:beforeAutospacing="0" w:after="0" w:afterAutospacing="0" w:line="360" w:lineRule="auto"/>
              <w:ind w:left="0" w:right="-94" w:rightChars="-4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供应商应提交的资格证明文件</w:t>
            </w:r>
          </w:p>
        </w:tc>
        <w:tc>
          <w:tcPr>
            <w:tcW w:w="3650" w:type="pct"/>
            <w:noWrap w:val="0"/>
            <w:vAlign w:val="center"/>
          </w:tcPr>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1、提供《供应商信用承诺书》（见‘响应文件格式’）；</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2、落实政府采购政策资格要求的证明文件；</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3、符合“本项目的特定资格要求”的证明文件；</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磋商小组在磋商开始后对供应商的信用信息进行查询，通过“信用中国”网站（http://www.creditchina.gov.cn）、中国政府采购网（http://www.ccgp.gov.cn）查询相关主体信用记录或违规处罚情况，截止时间为开标开启当日；查询内容为“信用中国”网未被人民法院列入失信被执行人名单、未被列入重大税收违法失信主体；中国政府采购网上未被列入政府采购严重违法失信行为记录名单。查询后存在问题的将对响应文件做无效响应处理。（此项资格证明文件无需供应商提供）；</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b w:val="0"/>
                <w:bCs/>
                <w:sz w:val="24"/>
                <w:szCs w:val="32"/>
                <w:lang w:val="en-US" w:eastAsia="zh-CN"/>
              </w:rPr>
            </w:pPr>
            <w:r>
              <w:rPr>
                <w:rFonts w:hint="eastAsia" w:ascii="宋体" w:hAnsi="宋体" w:cs="宋体"/>
                <w:b w:val="0"/>
                <w:bCs/>
                <w:kern w:val="0"/>
                <w:sz w:val="24"/>
                <w:szCs w:val="24"/>
                <w:highlight w:val="none"/>
                <w:lang w:val="en-US" w:eastAsia="zh-CN"/>
              </w:rPr>
              <w:t>5、</w:t>
            </w:r>
            <w:r>
              <w:rPr>
                <w:rFonts w:hint="eastAsia" w:ascii="宋体" w:hAnsi="宋体" w:eastAsia="宋体" w:cs="宋体"/>
                <w:b w:val="0"/>
                <w:bCs/>
                <w:kern w:val="0"/>
                <w:sz w:val="24"/>
                <w:szCs w:val="24"/>
                <w:highlight w:val="none"/>
                <w:lang w:val="en-US" w:eastAsia="zh-CN"/>
              </w:rPr>
              <w:t>磋商保证金提交凭证</w:t>
            </w:r>
          </w:p>
          <w:p>
            <w:pPr>
              <w:keepNext w:val="0"/>
              <w:keepLines w:val="0"/>
              <w:suppressLineNumbers w:val="0"/>
              <w:bidi w:val="0"/>
              <w:spacing w:before="0" w:beforeAutospacing="0" w:after="0" w:afterAutospacing="0" w:line="360" w:lineRule="auto"/>
              <w:ind w:left="0" w:right="0"/>
              <w:jc w:val="left"/>
              <w:rPr>
                <w:rFonts w:hint="eastAsia"/>
              </w:rPr>
            </w:pPr>
            <w:r>
              <w:rPr>
                <w:rFonts w:hint="eastAsia" w:ascii="宋体" w:hAnsi="宋体" w:cs="宋体"/>
                <w:sz w:val="24"/>
                <w:szCs w:val="32"/>
                <w:lang w:val="en-US" w:eastAsia="zh-CN"/>
              </w:rPr>
              <w:t>6</w:t>
            </w:r>
            <w:r>
              <w:rPr>
                <w:rFonts w:hint="eastAsia" w:ascii="宋体" w:hAnsi="宋体" w:eastAsia="宋体" w:cs="宋体"/>
                <w:sz w:val="24"/>
                <w:szCs w:val="32"/>
                <w:lang w:val="en-US" w:eastAsia="zh-CN"/>
              </w:rPr>
              <w:t>、供应商需提交的其他资格证明文件。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8</w:t>
            </w:r>
          </w:p>
        </w:tc>
        <w:tc>
          <w:tcPr>
            <w:tcW w:w="978" w:type="pct"/>
            <w:noWrap w:val="0"/>
            <w:vAlign w:val="center"/>
          </w:tcPr>
          <w:p>
            <w:pPr>
              <w:keepNext w:val="0"/>
              <w:keepLines w:val="0"/>
              <w:suppressLineNumbers w:val="0"/>
              <w:spacing w:before="0" w:beforeAutospacing="0" w:after="0" w:afterAutospacing="0" w:line="360" w:lineRule="auto"/>
              <w:ind w:left="-101" w:leftChars="-48" w:right="-94" w:rightChars="-45" w:firstLine="139" w:firstLineChars="55"/>
              <w:jc w:val="center"/>
              <w:rPr>
                <w:rFonts w:hint="eastAsia" w:ascii="宋体" w:hAnsi="宋体" w:eastAsia="宋体" w:cs="宋体"/>
                <w:sz w:val="24"/>
                <w:szCs w:val="24"/>
                <w:highlight w:val="none"/>
              </w:rPr>
            </w:pPr>
            <w:r>
              <w:rPr>
                <w:rFonts w:hint="eastAsia" w:ascii="宋体" w:hAnsi="宋体" w:eastAsia="宋体" w:cs="宋体"/>
                <w:spacing w:val="7"/>
                <w:sz w:val="24"/>
                <w:szCs w:val="24"/>
              </w:rPr>
              <w:t>投标保证金</w:t>
            </w:r>
          </w:p>
        </w:tc>
        <w:tc>
          <w:tcPr>
            <w:tcW w:w="3650" w:type="pct"/>
            <w:noWrap w:val="0"/>
            <w:vAlign w:val="center"/>
          </w:tcPr>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40" w:leftChars="0" w:right="40" w:rightChars="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磋商保证金金额及提交要求：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40" w:leftChars="0" w:right="40" w:righ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人民币（大写）</w:t>
            </w:r>
            <w:r>
              <w:rPr>
                <w:rFonts w:hint="eastAsia" w:ascii="宋体" w:hAnsi="宋体" w:cs="宋体"/>
                <w:bCs/>
                <w:sz w:val="24"/>
                <w:highlight w:val="none"/>
                <w:lang w:val="en-US" w:eastAsia="zh-CN"/>
              </w:rPr>
              <w:t>捌仟</w:t>
            </w:r>
            <w:r>
              <w:rPr>
                <w:rFonts w:hint="eastAsia" w:ascii="宋体" w:hAnsi="宋体" w:eastAsia="宋体" w:cs="宋体"/>
                <w:bCs/>
                <w:sz w:val="24"/>
                <w:highlight w:val="none"/>
              </w:rPr>
              <w:t>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40" w:leftChars="0" w:right="40" w:rightChars="0" w:firstLine="1200" w:firstLineChars="500"/>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rPr>
              <w:t>（小写）¥</w:t>
            </w:r>
            <w:r>
              <w:rPr>
                <w:rFonts w:hint="eastAsia" w:ascii="宋体" w:hAnsi="宋体" w:cs="宋体"/>
                <w:bCs/>
                <w:sz w:val="24"/>
                <w:highlight w:val="none"/>
                <w:lang w:val="en-US" w:eastAsia="zh-CN"/>
              </w:rPr>
              <w:t>8000</w:t>
            </w:r>
          </w:p>
          <w:p>
            <w:pPr>
              <w:keepNext w:val="0"/>
              <w:keepLines w:val="0"/>
              <w:suppressLineNumbers w:val="0"/>
              <w:bidi w:val="0"/>
              <w:spacing w:before="0" w:beforeAutospacing="0" w:after="0" w:afterAutospacing="0" w:line="360" w:lineRule="auto"/>
              <w:ind w:left="0" w:right="0" w:firstLine="241" w:firstLineChars="1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收款单位：</w:t>
            </w:r>
            <w:r>
              <w:rPr>
                <w:rFonts w:hint="eastAsia" w:ascii="宋体" w:hAnsi="宋体" w:eastAsia="宋体" w:cs="宋体"/>
                <w:b/>
                <w:bCs/>
                <w:sz w:val="24"/>
                <w:szCs w:val="24"/>
                <w:highlight w:val="none"/>
                <w:lang w:val="en-US" w:eastAsia="zh-CN"/>
              </w:rPr>
              <w:t xml:space="preserve"> </w:t>
            </w:r>
            <w:r>
              <w:rPr>
                <w:rFonts w:hint="eastAsia" w:ascii="宋体" w:hAnsi="宋体" w:cs="宋体"/>
                <w:b/>
                <w:bCs/>
                <w:sz w:val="24"/>
                <w:szCs w:val="24"/>
                <w:highlight w:val="none"/>
                <w:lang w:eastAsia="zh-CN"/>
              </w:rPr>
              <w:t>山西宏昇伟业工程咨询有限公司</w:t>
            </w:r>
          </w:p>
          <w:p>
            <w:pPr>
              <w:keepNext w:val="0"/>
              <w:keepLines w:val="0"/>
              <w:suppressLineNumbers w:val="0"/>
              <w:bidi w:val="0"/>
              <w:spacing w:before="0" w:beforeAutospacing="0" w:after="0" w:afterAutospacing="0" w:line="360" w:lineRule="auto"/>
              <w:ind w:left="0" w:right="0" w:firstLine="241" w:firstLineChars="1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开 户 行：</w:t>
            </w:r>
            <w:r>
              <w:rPr>
                <w:rFonts w:hint="eastAsia" w:ascii="宋体" w:hAnsi="宋体" w:eastAsia="宋体" w:cs="宋体"/>
                <w:b/>
                <w:bCs/>
                <w:sz w:val="24"/>
                <w:szCs w:val="24"/>
                <w:highlight w:val="none"/>
                <w:lang w:val="en-US" w:eastAsia="zh-CN"/>
              </w:rPr>
              <w:t xml:space="preserve"> 招商银行股份有限公司太原迎泽支行</w:t>
            </w:r>
          </w:p>
          <w:p>
            <w:pPr>
              <w:keepNext w:val="0"/>
              <w:keepLines w:val="0"/>
              <w:suppressLineNumbers w:val="0"/>
              <w:bidi w:val="0"/>
              <w:spacing w:before="0" w:beforeAutospacing="0" w:after="0" w:afterAutospacing="0" w:line="360" w:lineRule="auto"/>
              <w:ind w:left="0" w:right="0" w:firstLine="241" w:firstLineChars="1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账    号：</w:t>
            </w:r>
            <w:r>
              <w:rPr>
                <w:rFonts w:hint="eastAsia" w:ascii="宋体" w:hAnsi="宋体" w:eastAsia="宋体" w:cs="宋体"/>
                <w:b/>
                <w:bCs/>
                <w:sz w:val="24"/>
                <w:szCs w:val="24"/>
                <w:highlight w:val="none"/>
                <w:lang w:val="en-US" w:eastAsia="zh-CN"/>
              </w:rPr>
              <w:t xml:space="preserve"> 351901177110901</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注意事项：</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420" w:lineRule="atLeast"/>
              <w:ind w:left="0" w:right="0" w:firstLine="240" w:firstLineChars="1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（1）供应商在开标开启前，须将</w:t>
            </w:r>
            <w:r>
              <w:rPr>
                <w:rFonts w:hint="eastAsia" w:ascii="宋体" w:hAnsi="宋体" w:eastAsia="宋体" w:cs="宋体"/>
                <w:sz w:val="24"/>
                <w:highlight w:val="none"/>
              </w:rPr>
              <w:t>磋商</w:t>
            </w:r>
            <w:r>
              <w:rPr>
                <w:rFonts w:hint="eastAsia" w:ascii="宋体" w:hAnsi="宋体" w:eastAsia="宋体" w:cs="宋体"/>
                <w:color w:val="000000"/>
                <w:sz w:val="24"/>
                <w:highlight w:val="none"/>
                <w:lang w:val="en-US" w:eastAsia="zh-CN"/>
              </w:rPr>
              <w:t>保证金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保函的担保公司开出。确保在响应文件开启之前递交到采购代理机构。</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420" w:lineRule="atLeast"/>
              <w:ind w:left="0" w:right="0" w:firstLine="240" w:firstLineChars="1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（2）未按前述要求提交磋商保证金或未足额交纳磋商保证金的响应文件，将被视为无效响应。</w:t>
            </w:r>
          </w:p>
          <w:p>
            <w:pPr>
              <w:keepNext w:val="0"/>
              <w:keepLines w:val="0"/>
              <w:suppressLineNumbers w:val="0"/>
              <w:spacing w:before="0" w:beforeAutospacing="0" w:after="0" w:afterAutospacing="0" w:line="360" w:lineRule="auto"/>
              <w:ind w:left="0" w:right="0"/>
              <w:rPr>
                <w:rFonts w:hint="eastAsia" w:ascii="宋体" w:hAnsi="宋体" w:eastAsia="宋体" w:cs="宋体"/>
                <w:b/>
                <w:kern w:val="0"/>
                <w:sz w:val="24"/>
                <w:szCs w:val="24"/>
                <w:highlight w:val="none"/>
              </w:rPr>
            </w:pPr>
            <w:r>
              <w:rPr>
                <w:rFonts w:hint="eastAsia" w:ascii="宋体" w:hAnsi="宋体" w:eastAsia="宋体" w:cs="宋体"/>
                <w:color w:val="000000"/>
                <w:sz w:val="24"/>
                <w:highlight w:val="none"/>
                <w:lang w:val="en-US" w:eastAsia="zh-CN"/>
              </w:rPr>
              <w:t>（3）供应商交纳磋商保证金时，可在凭单用途栏中注明项目编号或项目名称（可简写）。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9</w:t>
            </w:r>
          </w:p>
        </w:tc>
        <w:tc>
          <w:tcPr>
            <w:tcW w:w="978" w:type="pct"/>
            <w:noWrap w:val="0"/>
            <w:vAlign w:val="center"/>
          </w:tcPr>
          <w:p>
            <w:pPr>
              <w:keepNext w:val="0"/>
              <w:keepLines w:val="0"/>
              <w:suppressLineNumbers w:val="0"/>
              <w:spacing w:before="0" w:beforeAutospacing="0" w:after="0" w:afterAutospacing="0" w:line="360" w:lineRule="auto"/>
              <w:ind w:left="-101" w:leftChars="-48" w:right="-94" w:rightChars="-45" w:firstLine="132" w:firstLineChars="5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供应商应提交的商务、技术文件</w:t>
            </w:r>
          </w:p>
        </w:tc>
        <w:tc>
          <w:tcPr>
            <w:tcW w:w="3650" w:type="pct"/>
            <w:noWrap w:val="0"/>
            <w:vAlign w:val="center"/>
          </w:tcPr>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24"/>
                <w:highlight w:val="none"/>
                <w:lang w:val="en-US" w:eastAsia="zh-CN"/>
              </w:rPr>
              <w:t>1、★法定代表人身份证明</w:t>
            </w:r>
            <w:r>
              <w:rPr>
                <w:rFonts w:hint="eastAsia" w:ascii="宋体" w:hAnsi="宋体" w:eastAsia="宋体" w:cs="宋体"/>
                <w:sz w:val="24"/>
                <w:szCs w:val="32"/>
                <w:lang w:val="en-US" w:eastAsia="zh-CN"/>
              </w:rPr>
              <w:t>书（见‘响应文件格式’）；</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2、★法定代表人授权委托书（见‘响应文件格式’）；</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3、★磋商函（见‘响应文件格式’）；</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cs="宋体"/>
                <w:sz w:val="24"/>
                <w:szCs w:val="32"/>
                <w:lang w:val="en-US" w:eastAsia="zh-CN"/>
              </w:rPr>
              <w:t>4</w:t>
            </w:r>
            <w:r>
              <w:rPr>
                <w:rFonts w:hint="eastAsia" w:ascii="宋体" w:hAnsi="宋体" w:eastAsia="宋体" w:cs="宋体"/>
                <w:sz w:val="24"/>
                <w:szCs w:val="32"/>
                <w:lang w:val="en-US" w:eastAsia="zh-CN"/>
              </w:rPr>
              <w:t>、★报价一览表（见‘响应文件格式’）；</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b w:val="0"/>
                <w:bCs/>
                <w:kern w:val="0"/>
                <w:sz w:val="24"/>
                <w:szCs w:val="24"/>
                <w:highlight w:val="none"/>
                <w:lang w:eastAsia="zh-CN"/>
              </w:rPr>
            </w:pPr>
            <w:r>
              <w:rPr>
                <w:rFonts w:hint="eastAsia" w:ascii="宋体" w:hAnsi="宋体" w:cs="宋体"/>
                <w:sz w:val="24"/>
                <w:szCs w:val="32"/>
                <w:lang w:val="en-US" w:eastAsia="zh-CN"/>
              </w:rPr>
              <w:t>5</w:t>
            </w:r>
            <w:r>
              <w:rPr>
                <w:rFonts w:hint="eastAsia" w:ascii="宋体" w:hAnsi="宋体" w:eastAsia="宋体" w:cs="宋体"/>
                <w:sz w:val="24"/>
                <w:szCs w:val="32"/>
                <w:lang w:val="en-US" w:eastAsia="zh-CN"/>
              </w:rPr>
              <w:t>、</w:t>
            </w:r>
            <w:r>
              <w:rPr>
                <w:rFonts w:hint="eastAsia" w:ascii="宋体" w:hAnsi="宋体" w:eastAsia="宋体" w:cs="宋体"/>
                <w:b w:val="0"/>
                <w:bCs/>
                <w:kern w:val="0"/>
                <w:sz w:val="24"/>
                <w:szCs w:val="24"/>
                <w:highlight w:val="none"/>
              </w:rPr>
              <w:t>商务条款响应表</w:t>
            </w:r>
            <w:r>
              <w:rPr>
                <w:rFonts w:hint="eastAsia" w:ascii="宋体" w:hAnsi="宋体" w:eastAsia="宋体" w:cs="宋体"/>
                <w:b w:val="0"/>
                <w:bCs/>
                <w:kern w:val="0"/>
                <w:sz w:val="24"/>
                <w:szCs w:val="24"/>
                <w:highlight w:val="none"/>
                <w:lang w:eastAsia="zh-CN"/>
              </w:rPr>
              <w:t>；</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lang w:val="en-US" w:eastAsia="zh-CN"/>
              </w:rPr>
              <w:t>、</w:t>
            </w:r>
            <w:r>
              <w:rPr>
                <w:rFonts w:hint="eastAsia" w:ascii="宋体" w:hAnsi="宋体" w:eastAsia="宋体" w:cs="宋体"/>
                <w:b w:val="0"/>
                <w:bCs/>
                <w:kern w:val="0"/>
                <w:sz w:val="24"/>
                <w:szCs w:val="24"/>
                <w:highlight w:val="none"/>
              </w:rPr>
              <w:t>技术规范响应及偏离表</w:t>
            </w:r>
            <w:r>
              <w:rPr>
                <w:rFonts w:hint="eastAsia" w:ascii="宋体" w:hAnsi="宋体" w:eastAsia="宋体" w:cs="宋体"/>
                <w:sz w:val="24"/>
                <w:szCs w:val="32"/>
                <w:lang w:val="en-US" w:eastAsia="zh-CN"/>
              </w:rPr>
              <w:t>；</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cs="宋体"/>
                <w:sz w:val="24"/>
                <w:szCs w:val="32"/>
                <w:lang w:val="en-US" w:eastAsia="zh-CN"/>
              </w:rPr>
              <w:t>7</w:t>
            </w:r>
            <w:r>
              <w:rPr>
                <w:rFonts w:hint="eastAsia" w:ascii="宋体" w:hAnsi="宋体" w:eastAsia="宋体" w:cs="宋体"/>
                <w:sz w:val="24"/>
                <w:szCs w:val="32"/>
                <w:lang w:val="en-US" w:eastAsia="zh-CN"/>
              </w:rPr>
              <w:t>、</w:t>
            </w:r>
            <w:r>
              <w:rPr>
                <w:rFonts w:hint="eastAsia" w:ascii="宋体" w:hAnsi="宋体" w:eastAsia="宋体" w:cs="宋体"/>
                <w:b w:val="0"/>
                <w:bCs/>
                <w:kern w:val="0"/>
                <w:sz w:val="24"/>
                <w:szCs w:val="24"/>
                <w:highlight w:val="none"/>
              </w:rPr>
              <w:t>响应文件递交截止日前三年内完成的同类项目业绩列表及相关证明资料</w:t>
            </w:r>
            <w:r>
              <w:rPr>
                <w:rFonts w:hint="eastAsia" w:ascii="宋体" w:hAnsi="宋体" w:eastAsia="宋体" w:cs="宋体"/>
                <w:sz w:val="24"/>
                <w:szCs w:val="32"/>
                <w:lang w:val="en-US" w:eastAsia="zh-CN"/>
              </w:rPr>
              <w:t xml:space="preserve">； </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cs="宋体"/>
                <w:sz w:val="24"/>
                <w:szCs w:val="32"/>
                <w:lang w:val="en-US" w:eastAsia="zh-CN"/>
              </w:rPr>
              <w:t>8</w:t>
            </w:r>
            <w:r>
              <w:rPr>
                <w:rFonts w:hint="eastAsia" w:ascii="宋体" w:hAnsi="宋体" w:eastAsia="宋体" w:cs="宋体"/>
                <w:sz w:val="24"/>
                <w:szCs w:val="32"/>
                <w:lang w:val="en-US" w:eastAsia="zh-CN"/>
              </w:rPr>
              <w:t>、</w:t>
            </w:r>
            <w:r>
              <w:rPr>
                <w:rFonts w:hint="eastAsia" w:ascii="宋体" w:hAnsi="宋体" w:eastAsia="宋体" w:cs="宋体"/>
                <w:b w:val="0"/>
                <w:bCs/>
                <w:kern w:val="0"/>
                <w:sz w:val="24"/>
                <w:szCs w:val="24"/>
                <w:highlight w:val="none"/>
              </w:rPr>
              <w:t>企业相关证件材料（格式自拟，复印件或影印件加盖供应商公章）</w:t>
            </w:r>
            <w:r>
              <w:rPr>
                <w:rFonts w:hint="eastAsia" w:ascii="宋体" w:hAnsi="宋体" w:eastAsia="宋体" w:cs="宋体"/>
                <w:sz w:val="24"/>
                <w:szCs w:val="32"/>
                <w:lang w:val="en-US" w:eastAsia="zh-CN"/>
              </w:rPr>
              <w:t>；</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cs="宋体"/>
                <w:sz w:val="24"/>
                <w:szCs w:val="32"/>
                <w:lang w:val="en-US" w:eastAsia="zh-CN"/>
              </w:rPr>
              <w:t>9</w:t>
            </w:r>
            <w:r>
              <w:rPr>
                <w:rFonts w:hint="eastAsia" w:ascii="宋体" w:hAnsi="宋体" w:eastAsia="宋体" w:cs="宋体"/>
                <w:sz w:val="24"/>
                <w:szCs w:val="32"/>
                <w:lang w:val="en-US" w:eastAsia="zh-CN"/>
              </w:rPr>
              <w:t>、</w:t>
            </w:r>
            <w:r>
              <w:rPr>
                <w:rFonts w:hint="eastAsia" w:ascii="宋体" w:hAnsi="宋体" w:eastAsia="宋体" w:cs="宋体"/>
                <w:b w:val="0"/>
                <w:bCs/>
                <w:kern w:val="0"/>
                <w:sz w:val="24"/>
                <w:szCs w:val="24"/>
                <w:highlight w:val="none"/>
              </w:rPr>
              <w:t>拟投入本项目团队成员</w:t>
            </w:r>
            <w:r>
              <w:rPr>
                <w:rFonts w:hint="eastAsia" w:ascii="宋体" w:hAnsi="宋体" w:eastAsia="宋体" w:cs="宋体"/>
                <w:sz w:val="24"/>
                <w:szCs w:val="32"/>
                <w:lang w:val="en-US" w:eastAsia="zh-CN"/>
              </w:rPr>
              <w:t>（格式自拟，复印件或影印件加盖供应商公章）；</w:t>
            </w:r>
          </w:p>
          <w:p>
            <w:pPr>
              <w:keepNext w:val="0"/>
              <w:keepLines w:val="0"/>
              <w:suppressLineNumbers w:val="0"/>
              <w:bidi w:val="0"/>
              <w:spacing w:before="0" w:beforeAutospacing="0" w:after="0" w:afterAutospacing="0" w:line="360" w:lineRule="auto"/>
              <w:ind w:left="0" w:right="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w:t>
            </w:r>
            <w:r>
              <w:rPr>
                <w:rFonts w:hint="eastAsia" w:ascii="宋体" w:hAnsi="宋体" w:cs="宋体"/>
                <w:sz w:val="24"/>
                <w:szCs w:val="32"/>
                <w:lang w:val="en-US" w:eastAsia="zh-CN"/>
              </w:rPr>
              <w:t>0</w:t>
            </w:r>
            <w:r>
              <w:rPr>
                <w:rFonts w:hint="eastAsia" w:ascii="宋体" w:hAnsi="宋体" w:eastAsia="宋体" w:cs="宋体"/>
                <w:sz w:val="24"/>
                <w:szCs w:val="32"/>
                <w:lang w:val="en-US" w:eastAsia="zh-CN"/>
              </w:rPr>
              <w:t>、服务方案（格式自拟）；</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32"/>
                <w:lang w:val="en-US" w:eastAsia="zh-CN"/>
              </w:rPr>
              <w:t>1</w:t>
            </w:r>
            <w:r>
              <w:rPr>
                <w:rFonts w:hint="eastAsia" w:ascii="宋体" w:hAnsi="宋体" w:cs="宋体"/>
                <w:sz w:val="24"/>
                <w:szCs w:val="32"/>
                <w:lang w:val="en-US" w:eastAsia="zh-CN"/>
              </w:rPr>
              <w:t>1</w:t>
            </w:r>
            <w:r>
              <w:rPr>
                <w:rFonts w:hint="eastAsia" w:ascii="宋体" w:hAnsi="宋体" w:eastAsia="宋体" w:cs="宋体"/>
                <w:sz w:val="24"/>
                <w:szCs w:val="32"/>
                <w:lang w:val="en-US" w:eastAsia="zh-CN"/>
              </w:rPr>
              <w:t>、供应商认为需要提供的其他商务、技</w:t>
            </w:r>
            <w:r>
              <w:rPr>
                <w:rFonts w:hint="eastAsia" w:ascii="宋体" w:hAnsi="宋体" w:eastAsia="宋体" w:cs="宋体"/>
                <w:sz w:val="24"/>
                <w:szCs w:val="24"/>
                <w:highlight w:val="none"/>
                <w:lang w:val="en-US" w:eastAsia="zh-CN"/>
              </w:rPr>
              <w:t>术材料；</w:t>
            </w:r>
          </w:p>
          <w:p>
            <w:pPr>
              <w:keepNext w:val="0"/>
              <w:keepLines w:val="0"/>
              <w:suppressLineNumbers w:val="0"/>
              <w:spacing w:before="0" w:beforeAutospacing="0" w:after="0" w:afterAutospacing="0" w:line="360" w:lineRule="auto"/>
              <w:ind w:left="0" w:right="0"/>
              <w:rPr>
                <w:rFonts w:hint="eastAsia"/>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政府采购相关政策要求</w:t>
            </w:r>
            <w:r>
              <w:rPr>
                <w:rFonts w:hint="eastAsia" w:ascii="宋体" w:hAnsi="宋体" w:eastAsia="宋体" w:cs="宋体"/>
                <w:b w:val="0"/>
                <w:bCs/>
                <w:kern w:val="0"/>
                <w:sz w:val="24"/>
                <w:szCs w:val="24"/>
                <w:highlight w:val="none"/>
              </w:rPr>
              <w:t>。</w:t>
            </w:r>
          </w:p>
          <w:p>
            <w:pPr>
              <w:keepNext w:val="0"/>
              <w:keepLines w:val="0"/>
              <w:suppressLineNumbers w:val="0"/>
              <w:spacing w:before="0" w:beforeAutospacing="0" w:after="0" w:afterAutospacing="0" w:line="360" w:lineRule="auto"/>
              <w:ind w:left="0" w:right="0"/>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加</w:t>
            </w:r>
            <w:r>
              <w:rPr>
                <w:rFonts w:hint="eastAsia" w:ascii="宋体" w:hAnsi="宋体" w:eastAsia="宋体" w:cs="宋体"/>
                <w:sz w:val="24"/>
                <w:szCs w:val="24"/>
                <w:highlight w:val="none"/>
              </w:rPr>
              <w:t>★</w:t>
            </w:r>
            <w:r>
              <w:rPr>
                <w:rFonts w:hint="eastAsia" w:ascii="宋体" w:hAnsi="宋体" w:eastAsia="宋体" w:cs="宋体"/>
                <w:b/>
                <w:kern w:val="0"/>
                <w:sz w:val="24"/>
                <w:szCs w:val="24"/>
                <w:highlight w:val="none"/>
              </w:rPr>
              <w:t>的商务、技术文件若有一项未提供或无效，将导致其不具备磋商资格，且不允许在开启后补正。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10</w:t>
            </w:r>
          </w:p>
        </w:tc>
        <w:tc>
          <w:tcPr>
            <w:tcW w:w="978" w:type="pct"/>
            <w:noWrap w:val="0"/>
            <w:vAlign w:val="center"/>
          </w:tcPr>
          <w:p>
            <w:pPr>
              <w:keepNext w:val="0"/>
              <w:keepLines w:val="0"/>
              <w:suppressLineNumbers w:val="0"/>
              <w:spacing w:before="0" w:beforeAutospacing="0" w:after="0" w:afterAutospacing="0" w:line="360" w:lineRule="auto"/>
              <w:ind w:left="-101" w:leftChars="-48" w:right="-94" w:rightChars="-45" w:firstLine="132" w:firstLineChars="5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政府采购相关政策要求</w:t>
            </w:r>
          </w:p>
        </w:tc>
        <w:tc>
          <w:tcPr>
            <w:tcW w:w="3650"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default" w:ascii="宋体" w:hAnsi="宋体" w:cs="宋体"/>
                <w:sz w:val="24"/>
                <w:highlight w:val="none"/>
              </w:rPr>
            </w:pPr>
            <w:r>
              <w:rPr>
                <w:rFonts w:hint="eastAsia" w:ascii="宋体" w:hAnsi="宋体" w:cs="宋体"/>
                <w:sz w:val="24"/>
                <w:highlight w:val="none"/>
              </w:rPr>
              <w:t>1.采购货物未特别注明“进口产品”字样的，报价产品必须是国产产品，即非“通过中国海关报关验放进入中国境内且产自关境外的产品”，报价产品的各项技术标准必须符合国家强制性标准。否则，响应无效。特别注明“进口产品”字样的，优先采购向我国企业转让技术、与我国企业签订消化吸收再创新方案的供应商的进口产品，如果有能够满足采购需求的国产产品参与，应当按照公平竞争的原则进行评审</w:t>
            </w:r>
            <w:r>
              <w:rPr>
                <w:rFonts w:hint="default" w:ascii="宋体" w:hAnsi="宋体" w:cs="宋体"/>
                <w:sz w:val="24"/>
                <w:highlight w:val="none"/>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sz w:val="24"/>
                <w:highlight w:val="none"/>
              </w:rPr>
            </w:pPr>
            <w:r>
              <w:rPr>
                <w:rFonts w:hint="eastAsia" w:ascii="宋体" w:hAnsi="宋体" w:cs="宋体"/>
                <w:sz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sz w:val="24"/>
                <w:highlight w:val="none"/>
              </w:rPr>
            </w:pPr>
            <w:r>
              <w:rPr>
                <w:rFonts w:hint="eastAsia" w:ascii="宋体" w:hAnsi="宋体" w:cs="宋体"/>
                <w:sz w:val="24"/>
                <w:highlight w:val="none"/>
              </w:rPr>
              <w:t>3.采购项目中如含有计算机，必须预装正版操作系统软件产品；项目中所采购的其它软件必须为正版软件。</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sz w:val="24"/>
                <w:highlight w:val="none"/>
              </w:rPr>
            </w:pPr>
            <w:r>
              <w:rPr>
                <w:rFonts w:hint="eastAsia" w:ascii="宋体" w:hAnsi="宋体" w:cs="宋体"/>
                <w:sz w:val="24"/>
                <w:highlight w:val="none"/>
              </w:rPr>
              <w:t>4.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sz w:val="24"/>
                <w:highlight w:val="none"/>
              </w:rPr>
            </w:pPr>
            <w:r>
              <w:rPr>
                <w:rFonts w:hint="eastAsia" w:ascii="宋体" w:hAnsi="宋体" w:cs="宋体"/>
                <w:sz w:val="24"/>
                <w:highlight w:val="none"/>
              </w:rPr>
              <w:t>具备资格的机构是指列入《承担网络关键设备和网络安全专用产品安全认证和安全检测任务机构名录》的机构。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b/>
                <w:sz w:val="24"/>
                <w:highlight w:val="none"/>
              </w:rPr>
            </w:pPr>
            <w:r>
              <w:rPr>
                <w:rFonts w:hint="eastAsia" w:ascii="宋体" w:hAnsi="宋体" w:cs="宋体"/>
                <w:sz w:val="24"/>
                <w:highlight w:val="none"/>
              </w:rPr>
              <w:t>国家互联网信息办公室、工业和信息化部、公安部、国家认证认可监督管理委员会发布更新《网络关键设备和网络安全专用产品目录》、《承担网络关键设备和网络安全专用产品安全认证和安全检测任务机构名录》。</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sz w:val="24"/>
                <w:highlight w:val="none"/>
              </w:rPr>
            </w:pPr>
            <w:r>
              <w:rPr>
                <w:rFonts w:hint="eastAsia" w:ascii="宋体" w:hAnsi="宋体" w:cs="宋体"/>
                <w:b/>
                <w:sz w:val="24"/>
                <w:highlight w:val="none"/>
              </w:rPr>
              <w:t>供应商参加本次采购活动，如涉及上述1-4项要求，均应作出实质性响应，否则将导致响应无效。</w:t>
            </w:r>
            <w:r>
              <w:rPr>
                <w:rFonts w:hint="default" w:ascii="宋体" w:hAnsi="宋体" w:cs="Times New Roman"/>
                <w:b/>
                <w:bCs/>
                <w:sz w:val="24"/>
                <w:highlight w:val="none"/>
              </w:rPr>
              <w:t>如项目不涉及，可不提供。</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5.中小微企业参加本项目：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且适用晋财购[2022]6号《关于进一步加大政府采购支持中小企业力度助力扎实稳住经济的通知》优惠政策。</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6.残疾人福利单位参加本项目：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依据《三部门联合发布关于促进残疾人就业政府采购政策的通知》（财库[2017]141号）第三条规定，需附残疾人福利性单位声明函。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7.监狱企业参加本项目：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依据《财政部司法部关于政府采购支持监狱企业发展有关问题的通知》(财库〔2014〕68号)规定，须提供相关证明材料。</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8.联合体参加本项目：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如本项目为接受大中型企业与小微企业组成联合体或者允许大中型企业向一家或者多家小微企业分包的采购项目，需附《联合体投标协议书》。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9.环保节能产品参加的项目：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投报环境标志产品政府采购品目清单中的产品，且提供所投产品获得国家确定的认证机构出具的、处于有效期之内的环境标志产品认证证书的，将给予同等价格优先采购。</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10.创新产品参加的项目：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根据《政府采购支持创新产品和服务实施细则》（晋财购【2019】19号）应在响应文件中填写《创新产品或创新服务明细表》，并提供《山西省创新产品和服务推荐清单》。</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default" w:ascii="宋体" w:hAnsi="宋体" w:cs="宋体"/>
                <w:sz w:val="24"/>
                <w:highlight w:val="none"/>
              </w:rPr>
            </w:pPr>
            <w:r>
              <w:rPr>
                <w:rFonts w:hint="eastAsia" w:ascii="宋体" w:hAnsi="宋体" w:cs="宋体"/>
                <w:sz w:val="24"/>
                <w:highlight w:val="none"/>
              </w:rPr>
              <w:t>11.</w:t>
            </w:r>
            <w:r>
              <w:rPr>
                <w:rFonts w:hint="default" w:ascii="宋体" w:hAnsi="宋体" w:cs="宋体"/>
                <w:sz w:val="24"/>
                <w:highlight w:val="none"/>
              </w:rPr>
              <w:t>商品包装和快递包装</w:t>
            </w:r>
            <w:r>
              <w:rPr>
                <w:rFonts w:hint="eastAsia" w:ascii="宋体" w:hAnsi="宋体" w:cs="宋体"/>
                <w:sz w:val="24"/>
                <w:highlight w:val="none"/>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default" w:ascii="宋体" w:hAnsi="宋体" w:cs="宋体"/>
                <w:sz w:val="24"/>
                <w:highlight w:val="none"/>
              </w:rPr>
              <w:t>本文件列出商品包装和快递包装要求的，</w:t>
            </w:r>
            <w:r>
              <w:rPr>
                <w:rFonts w:hint="eastAsia" w:ascii="宋体" w:hAnsi="宋体" w:cs="宋体"/>
                <w:sz w:val="24"/>
                <w:highlight w:val="none"/>
              </w:rPr>
              <w:t>供应商</w:t>
            </w:r>
            <w:r>
              <w:rPr>
                <w:rFonts w:hint="default" w:ascii="宋体" w:hAnsi="宋体" w:cs="宋体"/>
                <w:sz w:val="24"/>
                <w:highlight w:val="none"/>
              </w:rPr>
              <w:t>需填写商品包装和快递包装承诺函，承诺商品包装符合《商品包装政府采购需求标准（试行）》，快递包装符合《快递包装政府采购需求标准（试行）》。</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firstLine="4" w:firstLineChars="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12.本国产品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b/>
                <w:sz w:val="24"/>
                <w:highlight w:val="none"/>
              </w:rPr>
            </w:pPr>
            <w:r>
              <w:rPr>
                <w:rFonts w:hint="default" w:ascii="宋体" w:hAnsi="宋体" w:eastAsia="宋体" w:cs="宋体"/>
                <w:sz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cs="宋体"/>
                <w:sz w:val="24"/>
                <w:highlight w:val="none"/>
                <w:lang w:val="en-US" w:eastAsia="zh-CN"/>
              </w:rPr>
              <w:t>供应商</w:t>
            </w:r>
            <w:r>
              <w:rPr>
                <w:rFonts w:hint="default" w:ascii="宋体" w:hAnsi="宋体" w:eastAsia="宋体" w:cs="宋体"/>
                <w:sz w:val="24"/>
                <w:highlight w:val="none"/>
                <w:lang w:val="en-US" w:eastAsia="zh-CN"/>
              </w:rPr>
              <w:t>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sz w:val="24"/>
                <w:highlight w:val="none"/>
                <w:lang w:val="en-US" w:eastAsia="zh-CN"/>
              </w:rPr>
              <w:t>，未达到80%，不享受价格评审优惠。供应商</w:t>
            </w:r>
            <w:r>
              <w:rPr>
                <w:rFonts w:hint="default" w:ascii="宋体" w:hAnsi="宋体" w:eastAsia="宋体" w:cs="宋体"/>
                <w:sz w:val="24"/>
                <w:highlight w:val="none"/>
                <w:lang w:val="en-US" w:eastAsia="zh-CN"/>
              </w:rPr>
              <w:t>对其提供的产品出具《关于符合本国产品标准的声明函》或财政部会同有关部门规定的有关证明文件《声明函》或有关证明文件符合要求的，该产品视为本国产品。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5" w:firstLineChars="2"/>
              <w:textAlignment w:val="auto"/>
              <w:rPr>
                <w:rFonts w:hint="eastAsia" w:ascii="宋体" w:hAnsi="宋体" w:cs="宋体"/>
                <w:b/>
                <w:sz w:val="24"/>
                <w:highlight w:val="none"/>
              </w:rPr>
            </w:pPr>
            <w:r>
              <w:rPr>
                <w:rFonts w:hint="eastAsia" w:ascii="宋体" w:hAnsi="宋体" w:cs="宋体"/>
                <w:b/>
                <w:sz w:val="24"/>
                <w:highlight w:val="none"/>
              </w:rPr>
              <w:t>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eastAsia="宋体" w:cs="宋体"/>
                <w:b/>
                <w:sz w:val="24"/>
                <w:szCs w:val="24"/>
                <w:highlight w:val="none"/>
              </w:rPr>
            </w:pPr>
            <w:r>
              <w:rPr>
                <w:rFonts w:hint="eastAsia" w:ascii="宋体" w:hAnsi="宋体" w:cs="宋体"/>
                <w:sz w:val="24"/>
                <w:highlight w:val="none"/>
              </w:rPr>
              <w:t>如本项目（包）是专门面向</w:t>
            </w:r>
            <w:r>
              <w:rPr>
                <w:rFonts w:hint="eastAsia" w:ascii="宋体" w:hAnsi="宋体" w:cs="宋体"/>
                <w:sz w:val="24"/>
                <w:highlight w:val="none"/>
                <w:lang w:val="en-US" w:eastAsia="zh-CN"/>
              </w:rPr>
              <w:t>中小</w:t>
            </w:r>
            <w:r>
              <w:rPr>
                <w:rFonts w:hint="eastAsia" w:ascii="宋体" w:hAnsi="宋体" w:cs="宋体"/>
                <w:sz w:val="24"/>
                <w:highlight w:val="none"/>
              </w:rPr>
              <w:t>企业或残疾人企业或监狱企业或需要由联合体</w:t>
            </w:r>
            <w:r>
              <w:rPr>
                <w:rFonts w:hint="eastAsia" w:ascii="宋体" w:hAnsi="宋体" w:cs="宋体"/>
                <w:sz w:val="24"/>
                <w:highlight w:val="none"/>
                <w:lang w:eastAsia="zh-CN"/>
              </w:rPr>
              <w:t>磋商</w:t>
            </w:r>
            <w:r>
              <w:rPr>
                <w:rFonts w:hint="eastAsia" w:ascii="宋体" w:hAnsi="宋体" w:cs="宋体"/>
                <w:sz w:val="24"/>
                <w:highlight w:val="none"/>
              </w:rPr>
              <w:t>的采购项目，本项第5-8项应作为资格证明文件与本表第5项内容一并提交，否则响应无效。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1</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1" w:leftChars="-48" w:right="-94" w:rightChars="-45" w:firstLine="132" w:firstLineChars="55"/>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响应文件有效期</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90日历天（从提交响应文件截止之日起计算）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71" w:type="pct"/>
            <w:noWrap w:val="0"/>
            <w:vAlign w:val="center"/>
          </w:tcPr>
          <w:p>
            <w:pPr>
              <w:keepNext w:val="0"/>
              <w:keepLines w:val="0"/>
              <w:suppressLineNumbers w:val="0"/>
              <w:topLinePunct/>
              <w:autoSpaceDE w:val="0"/>
              <w:autoSpaceDN w:val="0"/>
              <w:spacing w:before="0" w:beforeAutospacing="0" w:after="0" w:afterAutospacing="0" w:line="460" w:lineRule="exact"/>
              <w:ind w:left="0" w:leftChars="0" w:right="0" w:rightChars="0"/>
              <w:jc w:val="center"/>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2</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1" w:leftChars="-48" w:right="-94" w:rightChars="-45" w:firstLine="132" w:firstLineChars="55"/>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磋商小组成员构成</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本采购项目的磋商小组成员由</w:t>
            </w:r>
            <w:r>
              <w:rPr>
                <w:rFonts w:hint="eastAsia" w:ascii="宋体" w:hAnsi="宋体" w:eastAsia="宋体" w:cs="宋体"/>
                <w:bCs/>
                <w:sz w:val="24"/>
                <w:szCs w:val="24"/>
                <w:highlight w:val="none"/>
                <w:u w:val="single"/>
              </w:rPr>
              <w:t xml:space="preserve"> 3 </w:t>
            </w:r>
            <w:r>
              <w:rPr>
                <w:rFonts w:hint="eastAsia" w:ascii="宋体" w:hAnsi="宋体" w:eastAsia="宋体" w:cs="宋体"/>
                <w:bCs/>
                <w:sz w:val="24"/>
                <w:szCs w:val="24"/>
                <w:highlight w:val="none"/>
              </w:rPr>
              <w:t>人组成，其中评审专家</w:t>
            </w:r>
            <w:r>
              <w:rPr>
                <w:rFonts w:hint="eastAsia" w:ascii="宋体" w:hAnsi="宋体" w:eastAsia="宋体" w:cs="宋体"/>
                <w:bCs/>
                <w:sz w:val="24"/>
                <w:szCs w:val="24"/>
                <w:highlight w:val="none"/>
                <w:u w:val="single"/>
              </w:rPr>
              <w:t xml:space="preserve"> 2 </w:t>
            </w:r>
            <w:r>
              <w:rPr>
                <w:rFonts w:hint="eastAsia" w:ascii="宋体" w:hAnsi="宋体" w:eastAsia="宋体" w:cs="宋体"/>
                <w:bCs/>
                <w:sz w:val="24"/>
                <w:szCs w:val="24"/>
                <w:highlight w:val="none"/>
              </w:rPr>
              <w:t>人，采购人代表</w:t>
            </w:r>
            <w:r>
              <w:rPr>
                <w:rFonts w:hint="eastAsia" w:ascii="宋体" w:hAnsi="宋体" w:eastAsia="宋体" w:cs="宋体"/>
                <w:bCs/>
                <w:sz w:val="24"/>
                <w:szCs w:val="24"/>
                <w:highlight w:val="none"/>
                <w:u w:val="single"/>
              </w:rPr>
              <w:t xml:space="preserve"> 1 </w:t>
            </w:r>
            <w:r>
              <w:rPr>
                <w:rFonts w:hint="eastAsia" w:ascii="宋体" w:hAnsi="宋体" w:eastAsia="宋体" w:cs="宋体"/>
                <w:bCs/>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371" w:type="pct"/>
            <w:noWrap w:val="0"/>
            <w:vAlign w:val="center"/>
          </w:tcPr>
          <w:p>
            <w:pPr>
              <w:keepNext w:val="0"/>
              <w:keepLines w:val="0"/>
              <w:suppressLineNumbers w:val="0"/>
              <w:topLinePunct/>
              <w:autoSpaceDE w:val="0"/>
              <w:autoSpaceDN w:val="0"/>
              <w:spacing w:before="0" w:beforeAutospacing="0" w:after="0" w:afterAutospacing="0" w:line="460" w:lineRule="exact"/>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3</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1" w:leftChars="-48" w:right="-94" w:rightChars="-45" w:firstLine="132" w:firstLineChars="55"/>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确定成交供应商</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bCs/>
                <w:sz w:val="24"/>
                <w:szCs w:val="24"/>
                <w:highlight w:val="none"/>
              </w:rPr>
            </w:pPr>
            <w:r>
              <w:rPr>
                <w:rFonts w:hint="eastAsia" w:ascii="宋体" w:hAnsi="宋体" w:eastAsia="宋体" w:cs="宋体"/>
                <w:bCs/>
                <w:sz w:val="24"/>
                <w:highlight w:val="none"/>
              </w:rPr>
              <w:t>本项目采用综合评分法，并授权磋商小组按照成交供应商确定原则，直接确定成交供应商。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4</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5" w:leftChars="-50" w:right="-105" w:right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现场勘查</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71" w:type="pct"/>
            <w:noWrap w:val="0"/>
            <w:vAlign w:val="center"/>
          </w:tcPr>
          <w:p>
            <w:pPr>
              <w:keepNext w:val="0"/>
              <w:keepLines w:val="0"/>
              <w:widowControl w:val="0"/>
              <w:suppressLineNumbers w:val="0"/>
              <w:spacing w:before="0" w:beforeAutospacing="0" w:after="0" w:afterAutospacing="0" w:line="420" w:lineRule="exact"/>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
              </w:rPr>
              <w:t>15</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5" w:leftChars="-50" w:right="-105" w:right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标前答疑</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磋商文件提供期限截止后，如需要，书面通知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71"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16</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3" w:leftChars="-49" w:right="-94" w:rightChars="-45"/>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磋商过程中可能实质性变动内容</w:t>
            </w:r>
          </w:p>
        </w:tc>
        <w:tc>
          <w:tcPr>
            <w:tcW w:w="3650" w:type="pct"/>
            <w:noWrap w:val="0"/>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磋商文件第五部分中的</w:t>
            </w:r>
            <w:r>
              <w:rPr>
                <w:rFonts w:hint="eastAsia" w:ascii="宋体" w:hAnsi="宋体" w:eastAsia="宋体" w:cs="宋体"/>
                <w:bCs/>
                <w:sz w:val="24"/>
                <w:szCs w:val="24"/>
                <w:highlight w:val="none"/>
                <w:lang w:eastAsia="zh-CN"/>
              </w:rPr>
              <w:t>商务</w:t>
            </w:r>
            <w:r>
              <w:rPr>
                <w:rFonts w:hint="eastAsia" w:ascii="宋体" w:hAnsi="宋体" w:eastAsia="宋体" w:cs="宋体"/>
                <w:bCs/>
                <w:sz w:val="24"/>
                <w:szCs w:val="24"/>
                <w:highlight w:val="none"/>
              </w:rPr>
              <w:t>、技术要求以及第六部分合同范本中相关内容，对变动的内容，须经采购方代表签字确认。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71" w:type="pct"/>
            <w:noWrap w:val="0"/>
            <w:vAlign w:val="center"/>
          </w:tcPr>
          <w:p>
            <w:pPr>
              <w:keepNext w:val="0"/>
              <w:keepLines w:val="0"/>
              <w:widowControl w:val="0"/>
              <w:suppressLineNumbers w:val="0"/>
              <w:spacing w:before="0" w:beforeAutospacing="0" w:after="0" w:afterAutospacing="0" w:line="420" w:lineRule="exact"/>
              <w:ind w:left="0" w:leftChars="0" w:right="0" w:rightChars="0"/>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17</w:t>
            </w:r>
          </w:p>
        </w:tc>
        <w:tc>
          <w:tcPr>
            <w:tcW w:w="978" w:type="pct"/>
            <w:noWrap w:val="0"/>
            <w:vAlign w:val="center"/>
          </w:tcPr>
          <w:p>
            <w:pPr>
              <w:keepNext w:val="0"/>
              <w:keepLines w:val="0"/>
              <w:widowControl w:val="0"/>
              <w:suppressLineNumbers w:val="0"/>
              <w:spacing w:before="0" w:beforeAutospacing="0" w:after="0" w:afterAutospacing="0" w:line="420" w:lineRule="exact"/>
              <w:ind w:left="-105" w:leftChars="-50" w:right="-105" w:rightChars="-50"/>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
              </w:rPr>
              <w:t>本项目所属行业</w:t>
            </w:r>
          </w:p>
        </w:tc>
        <w:tc>
          <w:tcPr>
            <w:tcW w:w="3650" w:type="pct"/>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leftChars="0" w:right="0" w:rightChars="0" w:firstLine="4" w:firstLineChars="2"/>
              <w:jc w:val="both"/>
              <w:textAlignment w:val="auto"/>
              <w:rPr>
                <w:rFonts w:hint="default" w:ascii="宋体" w:hAnsi="宋体" w:eastAsia="宋体" w:cs="宋体"/>
                <w:bCs/>
                <w:sz w:val="24"/>
                <w:szCs w:val="24"/>
                <w:highlight w:val="none"/>
                <w:lang w:val="en-US"/>
              </w:rPr>
            </w:pPr>
            <w:r>
              <w:rPr>
                <w:rFonts w:hint="eastAsia" w:ascii="宋体" w:hAnsi="宋体" w:eastAsia="宋体" w:cs="宋体"/>
                <w:kern w:val="2"/>
                <w:sz w:val="24"/>
                <w:szCs w:val="24"/>
                <w:highlight w:val="none"/>
                <w:lang w:val="en-US" w:eastAsia="zh-CN" w:bidi="ar"/>
              </w:rPr>
              <w:t>根据中小企业划型标准，本项目属于</w:t>
            </w:r>
            <w:r>
              <w:rPr>
                <w:rFonts w:hint="eastAsia" w:ascii="宋体" w:hAnsi="宋体" w:eastAsia="宋体" w:cs="宋体"/>
                <w:b/>
                <w:bCs/>
                <w:kern w:val="2"/>
                <w:sz w:val="24"/>
                <w:szCs w:val="24"/>
                <w:highlight w:val="none"/>
                <w:u w:val="single"/>
                <w:lang w:val="en-US" w:eastAsia="zh-CN" w:bidi="ar"/>
              </w:rPr>
              <w:t>其他未列明</w:t>
            </w:r>
            <w:r>
              <w:rPr>
                <w:rFonts w:hint="eastAsia" w:ascii="宋体" w:hAnsi="宋体" w:eastAsia="宋体" w:cs="宋体"/>
                <w:kern w:val="2"/>
                <w:sz w:val="24"/>
                <w:szCs w:val="24"/>
                <w:highlight w:val="none"/>
                <w:u w:val="none"/>
                <w:lang w:val="en-US" w:eastAsia="zh-CN" w:bidi="ar"/>
              </w:rPr>
              <w:t>行业。</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注：本表内容与供应商须知内容不一致的，以本表内容为准。</w:t>
      </w:r>
    </w:p>
    <w:p>
      <w:pPr>
        <w:snapToGrid w:val="0"/>
        <w:jc w:val="center"/>
        <w:rPr>
          <w:rFonts w:hint="eastAsia" w:ascii="宋体" w:hAnsi="宋体" w:eastAsia="宋体" w:cs="宋体"/>
          <w:b/>
          <w:bCs/>
          <w:spacing w:val="20"/>
          <w:kern w:val="0"/>
          <w:sz w:val="32"/>
          <w:szCs w:val="32"/>
          <w:highlight w:val="none"/>
        </w:rPr>
      </w:pPr>
      <w:r>
        <w:rPr>
          <w:b/>
          <w:bCs/>
          <w:snapToGrid w:val="0"/>
          <w:kern w:val="0"/>
          <w:sz w:val="28"/>
          <w:szCs w:val="28"/>
          <w:highlight w:val="none"/>
        </w:rPr>
        <w:br w:type="page"/>
      </w:r>
      <w:r>
        <w:rPr>
          <w:rFonts w:hint="eastAsia" w:ascii="宋体" w:hAnsi="宋体" w:eastAsia="宋体" w:cs="宋体"/>
          <w:b/>
          <w:bCs/>
          <w:spacing w:val="20"/>
          <w:kern w:val="0"/>
          <w:sz w:val="32"/>
          <w:szCs w:val="32"/>
          <w:highlight w:val="none"/>
        </w:rPr>
        <w:t>电子响应须知附表</w:t>
      </w:r>
    </w:p>
    <w:tbl>
      <w:tblPr>
        <w:tblStyle w:val="4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09"/>
        <w:gridCol w:w="7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highlight w:val="none"/>
              </w:rPr>
              <w:t>序号</w:t>
            </w:r>
          </w:p>
        </w:tc>
        <w:tc>
          <w:tcPr>
            <w:tcW w:w="14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highlight w:val="none"/>
              </w:rPr>
              <w:t>条款名称</w:t>
            </w:r>
          </w:p>
        </w:tc>
        <w:tc>
          <w:tcPr>
            <w:tcW w:w="77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w:t>
            </w:r>
          </w:p>
        </w:tc>
        <w:tc>
          <w:tcPr>
            <w:tcW w:w="14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响应文件编制</w:t>
            </w:r>
          </w:p>
        </w:tc>
        <w:tc>
          <w:tcPr>
            <w:tcW w:w="77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1.1供应商应使用政采云系统的响应文件编制工具，按照操作手册编制电子响应文件，并使用数字证书（CA）按照磋商文件规定签字、盖章。同时使用数字证书（CA）对响应文件进行加密。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1.2在上传电子响应文件时，需对应系统中每个模块要求，形成独立的PDF格式文件，按照指定对应模块，逐条完成上传，保存后提交。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1.3电子响应文件所附各类证件、证书、证明，均随响应文件统一编排页码进行上传。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2</w:t>
            </w:r>
          </w:p>
        </w:tc>
        <w:tc>
          <w:tcPr>
            <w:tcW w:w="14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电子响应文件解密</w:t>
            </w:r>
          </w:p>
        </w:tc>
        <w:tc>
          <w:tcPr>
            <w:tcW w:w="77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2.2电子响应文件解密时间：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2.3电子响应文件解密流程：使用用户名密码或电子CA登录政采云系统→项目采购→开标评标→找到对应项目→解密→输入CA密码→开始下载→解密完成。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2.4因供应商原因造成响应文件未解密的，视为撤销其响应文件，包括以下情形：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（1）供应商未在规定时间内解密响应文件的；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（2）供应商使用非本次磋商加密用CA数字证书解密的；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（3）供应商使用的CA数字证书属于注销或无效或损坏的。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spacing w:val="20"/>
                <w:kern w:val="0"/>
                <w:sz w:val="32"/>
                <w:szCs w:val="32"/>
                <w:highlight w:val="none"/>
                <w:vertAlign w:val="baseline"/>
              </w:rPr>
            </w:pPr>
            <w:r>
              <w:rPr>
                <w:rFonts w:hint="eastAsia" w:ascii="宋体" w:hAnsi="宋体" w:eastAsia="宋体" w:cs="宋体"/>
                <w:sz w:val="24"/>
                <w:highlight w:val="none"/>
                <w:lang w:val="en-US" w:eastAsia="zh-CN"/>
              </w:rPr>
              <w:t>3</w:t>
            </w:r>
          </w:p>
        </w:tc>
        <w:tc>
          <w:tcPr>
            <w:tcW w:w="14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spacing w:val="20"/>
                <w:kern w:val="0"/>
                <w:sz w:val="32"/>
                <w:szCs w:val="32"/>
                <w:highlight w:val="none"/>
                <w:vertAlign w:val="baseline"/>
              </w:rPr>
            </w:pPr>
            <w:r>
              <w:rPr>
                <w:rFonts w:hint="eastAsia" w:ascii="宋体" w:hAnsi="宋体" w:eastAsia="宋体" w:cs="宋体"/>
                <w:sz w:val="24"/>
                <w:szCs w:val="24"/>
                <w:highlight w:val="none"/>
              </w:rPr>
              <w:t>电子化采购项目视为串通情形的认定</w:t>
            </w:r>
          </w:p>
        </w:tc>
        <w:tc>
          <w:tcPr>
            <w:tcW w:w="7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.1不同供应商的响应保证金转出账户的银行账户名称相同的属于《政府采购货物和服务招标投标管理办法》(财政部令第87号)第三十七条第(六)项“不同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从同一单位或者个人的账户转出”的情形。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2系统记录的参加同一项目的不同供应商编制电子响应文件使用的计算机或上传电子响应文件使用的计算机网卡MAC地址、IP地址一致的，属于《政府采购货物和服务招标投标管理办法》(财政部令第87号)第三十七条第(一)项“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由同一单位或者个人编制”的情形。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.3供应商上传的电子响应文件若出现使用本项目其他供应商的数字证书加密的或加盖本项目的其他供应商的电子印章的，属于《政府采购货物和服务招标投标管理办法》(财政部令第87号)第三十七条第(五)项“不同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相互混装”的情形。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spacing w:val="20"/>
                <w:kern w:val="0"/>
                <w:sz w:val="32"/>
                <w:szCs w:val="32"/>
                <w:highlight w:val="none"/>
                <w:vertAlign w:val="baseli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4出现上述情形的，属于《中华人民共和国政府采购法实施条例》第七十四条第(七)项“供应商与采购人或者采购代理机构之间、供应商相互之间，为谋求特定供应商中标、成交或者排斥其他供应商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spacing w:val="20"/>
                <w:kern w:val="0"/>
                <w:sz w:val="32"/>
                <w:szCs w:val="32"/>
                <w:highlight w:val="none"/>
                <w:vertAlign w:val="baseline"/>
                <w:lang w:eastAsia="zh-CN"/>
              </w:rPr>
            </w:pPr>
            <w:r>
              <w:rPr>
                <w:rFonts w:hint="eastAsia" w:ascii="宋体" w:hAnsi="宋体" w:eastAsia="宋体" w:cs="宋体"/>
                <w:sz w:val="24"/>
                <w:highlight w:val="none"/>
                <w:lang w:val="en-US" w:eastAsia="zh-CN"/>
              </w:rPr>
              <w:t>4</w:t>
            </w:r>
          </w:p>
        </w:tc>
        <w:tc>
          <w:tcPr>
            <w:tcW w:w="14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spacing w:val="20"/>
                <w:kern w:val="0"/>
                <w:sz w:val="32"/>
                <w:szCs w:val="32"/>
                <w:highlight w:val="none"/>
                <w:vertAlign w:val="baseline"/>
              </w:rPr>
            </w:pPr>
            <w:r>
              <w:rPr>
                <w:rFonts w:hint="eastAsia" w:ascii="宋体" w:hAnsi="宋体" w:eastAsia="宋体" w:cs="宋体"/>
                <w:sz w:val="24"/>
                <w:highlight w:val="none"/>
              </w:rPr>
              <w:t>其他</w:t>
            </w:r>
          </w:p>
        </w:tc>
        <w:tc>
          <w:tcPr>
            <w:tcW w:w="77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.1本项目采购活动的全过程，均采用电子形式进行，纸质</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文件仅作为存档使用。在评审过程中，当政采云系统出现异常情形时，经请示财政部门同意后，采购代理机构可采用其他方式进行评审活动。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spacing w:val="20"/>
                <w:kern w:val="0"/>
                <w:sz w:val="32"/>
                <w:szCs w:val="32"/>
                <w:highlight w:val="none"/>
                <w:vertAlign w:val="baseli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.2待系统恢复后，采购代理机构须把线下开启、评审结果数据录入政采云系统。</w:t>
            </w:r>
          </w:p>
        </w:tc>
      </w:tr>
    </w:tbl>
    <w:p>
      <w:pPr>
        <w:keepNext w:val="0"/>
        <w:keepLines w:val="0"/>
        <w:pageBreakBefore w:val="0"/>
        <w:widowControl w:val="0"/>
        <w:kinsoku/>
        <w:wordWrap/>
        <w:overflowPunct w:val="0"/>
        <w:topLinePunct/>
        <w:autoSpaceDE/>
        <w:autoSpaceDN w:val="0"/>
        <w:bidi w:val="0"/>
        <w:adjustRightInd/>
        <w:snapToGrid/>
        <w:spacing w:line="360" w:lineRule="auto"/>
        <w:textAlignment w:val="auto"/>
        <w:rPr>
          <w:rFonts w:hint="eastAsia" w:ascii="宋体" w:hAnsi="宋体" w:eastAsia="宋体" w:cs="宋体"/>
          <w:sz w:val="24"/>
          <w:highlight w:val="none"/>
        </w:rPr>
      </w:pPr>
      <w:bookmarkStart w:id="5" w:name="_Toc2961"/>
      <w:bookmarkStart w:id="6" w:name="_Toc21360"/>
      <w:bookmarkStart w:id="7" w:name="_Toc20141"/>
      <w:r>
        <w:rPr>
          <w:rFonts w:hint="eastAsia" w:ascii="宋体" w:hAnsi="宋体" w:eastAsia="宋体" w:cs="宋体"/>
          <w:sz w:val="24"/>
          <w:highlight w:val="none"/>
        </w:rPr>
        <w:t>注：本表内容与供应商须知内容不一致的，以本表内容为准。</w:t>
      </w:r>
      <w:bookmarkEnd w:id="5"/>
      <w:bookmarkEnd w:id="6"/>
      <w:bookmarkEnd w:id="7"/>
      <w:r>
        <w:rPr>
          <w:rFonts w:hint="eastAsia" w:ascii="宋体" w:hAnsi="宋体" w:eastAsia="宋体" w:cs="宋体"/>
          <w:sz w:val="24"/>
          <w:highlight w:val="none"/>
        </w:rPr>
        <w:t>解密流程与本表不一致的，以政采云解密流程为准。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b/>
          <w:bCs/>
          <w:snapToGrid w:val="0"/>
          <w:kern w:val="0"/>
          <w:sz w:val="28"/>
          <w:szCs w:val="28"/>
          <w:highlight w:val="none"/>
        </w:rPr>
      </w:pPr>
      <w:r>
        <w:rPr>
          <w:b/>
          <w:bCs/>
          <w:snapToGrid w:val="0"/>
          <w:kern w:val="0"/>
          <w:sz w:val="30"/>
          <w:szCs w:val="30"/>
          <w:highlight w:val="none"/>
        </w:rPr>
        <w:br w:type="page"/>
      </w:r>
      <w:bookmarkStart w:id="8" w:name="_Toc8422"/>
      <w:r>
        <w:rPr>
          <w:b/>
          <w:bCs/>
          <w:snapToGrid w:val="0"/>
          <w:kern w:val="0"/>
          <w:sz w:val="30"/>
          <w:szCs w:val="30"/>
          <w:highlight w:val="none"/>
        </w:rPr>
        <w:t>第三部分  供应商须知</w:t>
      </w:r>
      <w:bookmarkEnd w:id="8"/>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9" w:name="_Toc1268"/>
      <w:r>
        <w:rPr>
          <w:rFonts w:hint="eastAsia" w:ascii="宋体" w:hAnsi="宋体" w:eastAsia="宋体" w:cs="宋体"/>
          <w:b/>
          <w:kern w:val="0"/>
          <w:sz w:val="24"/>
          <w:szCs w:val="24"/>
          <w:highlight w:val="none"/>
        </w:rPr>
        <w:t>一、总则</w:t>
      </w:r>
      <w:bookmarkEnd w:id="9"/>
    </w:p>
    <w:p>
      <w:pPr>
        <w:keepNext w:val="0"/>
        <w:keepLines w:val="0"/>
        <w:pageBreakBefore w:val="0"/>
        <w:kinsoku/>
        <w:wordWrap/>
        <w:overflowPunct/>
        <w:topLinePunct w:val="0"/>
        <w:bidi w:val="0"/>
        <w:adjustRightInd/>
        <w:snapToGrid/>
        <w:spacing w:line="360" w:lineRule="auto"/>
        <w:ind w:firstLine="482" w:firstLineChars="200"/>
        <w:jc w:val="left"/>
        <w:textAlignment w:val="auto"/>
        <w:outlineLvl w:val="2"/>
        <w:rPr>
          <w:rFonts w:hint="eastAsia" w:ascii="宋体" w:hAnsi="宋体" w:eastAsia="宋体" w:cs="宋体"/>
          <w:b/>
          <w:kern w:val="0"/>
          <w:sz w:val="24"/>
          <w:szCs w:val="24"/>
          <w:highlight w:val="none"/>
        </w:rPr>
      </w:pPr>
      <w:bookmarkStart w:id="10" w:name="_Toc18185"/>
      <w:r>
        <w:rPr>
          <w:rFonts w:hint="eastAsia" w:ascii="宋体" w:hAnsi="宋体" w:eastAsia="宋体" w:cs="宋体"/>
          <w:b/>
          <w:kern w:val="0"/>
          <w:sz w:val="24"/>
          <w:szCs w:val="24"/>
          <w:highlight w:val="none"/>
        </w:rPr>
        <w:t>1. 适用范围</w:t>
      </w:r>
      <w:bookmarkEnd w:id="10"/>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本磋商文件适用于本次磋商活动的全过程。</w:t>
      </w:r>
    </w:p>
    <w:p>
      <w:pPr>
        <w:keepNext w:val="0"/>
        <w:keepLines w:val="0"/>
        <w:pageBreakBefore w:val="0"/>
        <w:tabs>
          <w:tab w:val="left" w:pos="962"/>
        </w:tabs>
        <w:kinsoku/>
        <w:wordWrap/>
        <w:overflowPunct/>
        <w:topLinePunct w:val="0"/>
        <w:bidi w:val="0"/>
        <w:adjustRightInd/>
        <w:snapToGrid/>
        <w:spacing w:line="360" w:lineRule="auto"/>
        <w:ind w:firstLine="482" w:firstLineChars="200"/>
        <w:jc w:val="left"/>
        <w:textAlignment w:val="auto"/>
        <w:outlineLvl w:val="2"/>
        <w:rPr>
          <w:rFonts w:hint="eastAsia" w:ascii="宋体" w:hAnsi="宋体" w:eastAsia="宋体" w:cs="宋体"/>
          <w:b/>
          <w:kern w:val="0"/>
          <w:sz w:val="24"/>
          <w:szCs w:val="24"/>
          <w:highlight w:val="none"/>
        </w:rPr>
      </w:pPr>
      <w:bookmarkStart w:id="11" w:name="_Toc10490"/>
      <w:r>
        <w:rPr>
          <w:rFonts w:hint="eastAsia" w:ascii="宋体" w:hAnsi="宋体" w:eastAsia="宋体" w:cs="宋体"/>
          <w:b/>
          <w:kern w:val="0"/>
          <w:sz w:val="24"/>
          <w:szCs w:val="24"/>
          <w:highlight w:val="none"/>
        </w:rPr>
        <w:t>2. 定义</w:t>
      </w:r>
      <w:bookmarkEnd w:id="11"/>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2.1采购方：指进行本次磋商活动的单位。即：</w:t>
      </w:r>
      <w:r>
        <w:rPr>
          <w:rFonts w:hint="eastAsia" w:ascii="宋体" w:hAnsi="宋体" w:cs="宋体"/>
          <w:kern w:val="0"/>
          <w:sz w:val="24"/>
          <w:szCs w:val="24"/>
          <w:highlight w:val="none"/>
          <w:lang w:eastAsia="zh-CN"/>
        </w:rPr>
        <w:t>“太原市城市建设管理中心”</w:t>
      </w:r>
      <w:r>
        <w:rPr>
          <w:rFonts w:hint="eastAsia" w:ascii="宋体" w:hAnsi="宋体" w:eastAsia="宋体" w:cs="宋体"/>
          <w:kern w:val="0"/>
          <w:sz w:val="24"/>
          <w:szCs w:val="24"/>
          <w:highlight w:val="none"/>
        </w:rPr>
        <w:t>。</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2.2 </w:t>
      </w:r>
      <w:r>
        <w:rPr>
          <w:rFonts w:hint="eastAsia" w:ascii="宋体" w:hAnsi="宋体" w:eastAsia="宋体" w:cs="宋体"/>
          <w:kern w:val="0"/>
          <w:sz w:val="24"/>
          <w:szCs w:val="24"/>
          <w:highlight w:val="none"/>
        </w:rPr>
        <w:t>代理机构：指在采购方委托的范围内依法开展磋商活动，组织本次磋商活动的执行机构，即“</w:t>
      </w:r>
      <w:r>
        <w:rPr>
          <w:rFonts w:hint="eastAsia" w:ascii="宋体" w:hAnsi="宋体" w:cs="宋体"/>
          <w:kern w:val="0"/>
          <w:sz w:val="24"/>
          <w:szCs w:val="24"/>
          <w:highlight w:val="none"/>
          <w:lang w:val="en-US" w:eastAsia="zh-CN"/>
        </w:rPr>
        <w:t>山西宏昇伟业工程咨询有限公司</w:t>
      </w:r>
      <w:r>
        <w:rPr>
          <w:rFonts w:hint="eastAsia" w:ascii="宋体" w:hAnsi="宋体" w:eastAsia="宋体" w:cs="宋体"/>
          <w:kern w:val="0"/>
          <w:sz w:val="24"/>
          <w:szCs w:val="24"/>
          <w:highlight w:val="none"/>
        </w:rPr>
        <w:t>”。</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2.3供应商：指符合本磋商文件规定</w:t>
      </w:r>
      <w:r>
        <w:rPr>
          <w:rFonts w:hint="eastAsia" w:ascii="宋体" w:hAnsi="宋体" w:eastAsia="宋体" w:cs="宋体"/>
          <w:kern w:val="0"/>
          <w:sz w:val="24"/>
          <w:szCs w:val="24"/>
          <w:highlight w:val="none"/>
          <w:lang w:val="en-US" w:eastAsia="zh-CN"/>
        </w:rPr>
        <w:t>并</w:t>
      </w:r>
      <w:r>
        <w:rPr>
          <w:rFonts w:hint="eastAsia" w:ascii="宋体" w:hAnsi="宋体" w:eastAsia="宋体" w:cs="宋体"/>
          <w:kern w:val="0"/>
          <w:sz w:val="24"/>
          <w:szCs w:val="24"/>
          <w:highlight w:val="none"/>
        </w:rPr>
        <w:t>按期提供响应文件参加磋商活动的法人、其他组织或者自然人。</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2.4潜在供应商：指符合本磋商文件各项规定的供应商。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2.5货物：指供应商按磋商文件商务技术要求，向采购人有偿提供的各种物品及其他有关技术资料和材料。</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2.6服务：指磋商文件规定的供应商为完成采购项目所需承担的全部义务。如按要求完成货物供货、安装、调试、验收、履行售后服务、提供信息</w:t>
      </w:r>
      <w:r>
        <w:rPr>
          <w:rFonts w:hint="eastAsia" w:ascii="宋体" w:hAnsi="宋体" w:eastAsia="宋体" w:cs="宋体"/>
          <w:sz w:val="24"/>
          <w:szCs w:val="24"/>
          <w:highlight w:val="none"/>
        </w:rPr>
        <w:t>资料、组织</w:t>
      </w:r>
      <w:r>
        <w:rPr>
          <w:rFonts w:hint="eastAsia" w:ascii="宋体" w:hAnsi="宋体" w:eastAsia="宋体" w:cs="宋体"/>
          <w:kern w:val="0"/>
          <w:sz w:val="24"/>
          <w:szCs w:val="24"/>
          <w:highlight w:val="none"/>
        </w:rPr>
        <w:t>相关培训及本磋商文件和合同中规定由供应商承担的其他义务。</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2.8响应文件：是指供应商应磋商文件的条件和要求，按规定编制并按时递交的文件。</w:t>
      </w:r>
    </w:p>
    <w:p>
      <w:pPr>
        <w:keepNext w:val="0"/>
        <w:keepLines w:val="0"/>
        <w:pageBreakBefore w:val="0"/>
        <w:tabs>
          <w:tab w:val="left" w:pos="567"/>
        </w:tabs>
        <w:kinsoku/>
        <w:wordWrap/>
        <w:overflowPunct/>
        <w:topLinePunct w:val="0"/>
        <w:bidi w:val="0"/>
        <w:adjustRightInd/>
        <w:snapToGrid/>
        <w:spacing w:line="360" w:lineRule="auto"/>
        <w:ind w:firstLine="482" w:firstLineChars="200"/>
        <w:textAlignment w:val="auto"/>
        <w:outlineLvl w:val="2"/>
        <w:rPr>
          <w:rFonts w:hint="eastAsia" w:ascii="宋体" w:hAnsi="宋体" w:eastAsia="宋体" w:cs="宋体"/>
          <w:b/>
          <w:kern w:val="0"/>
          <w:sz w:val="24"/>
          <w:szCs w:val="24"/>
          <w:highlight w:val="none"/>
        </w:rPr>
      </w:pPr>
      <w:bookmarkStart w:id="12" w:name="_Toc29129"/>
      <w:r>
        <w:rPr>
          <w:rFonts w:hint="eastAsia" w:ascii="宋体" w:hAnsi="宋体" w:eastAsia="宋体" w:cs="宋体"/>
          <w:b/>
          <w:kern w:val="0"/>
          <w:sz w:val="24"/>
          <w:szCs w:val="24"/>
          <w:highlight w:val="none"/>
        </w:rPr>
        <w:t>3. 合格供应商的条件</w:t>
      </w:r>
      <w:bookmarkEnd w:id="12"/>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符合《中华人民共和国政府采购法》第二十二条供应商参加政府采购活动应当具备的条件及其他有关法律、法规关于供应商的有关规定，有能力提供采购服务的供应商。需按供应商须知前附表第5项要求提供有效资格证明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3.2为本项目提供整体设计、规范编制或者项目管理、监理、检测等服务的供应商，不得再参加本项目的磋商。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3.3关于是否允许代理商参加磋商（见前附表第2项）。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3.4关于是否允许联合体磋商（见前附表第3项）。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若《磋商公告》接受联合体参加的：</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（1）两个以上的法人或者其他组织或自然人可以组成一个联合体，以一个供应商的身份共同参加。</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（2）联合体各方均应当符合《政府采购法》第二十二条，根据采购项目的特定资格要求规定供应商特定条件的，联合体各方中至少应当有一方符合《磋商公告》规定的供应商资格条件（实质性要求）。</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（5）下载磋商文件时，应以联合体协议中确定的主体方名义下载。</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（6）联合体参加的，应以主体方名义提交磋商保证金（如有），对联合体各方均具有约束力。</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（8）联合体中任意一方为中小企业的，该方应提供中小企业</w:t>
      </w:r>
      <w:r>
        <w:rPr>
          <w:rFonts w:hint="eastAsia" w:ascii="宋体" w:hAnsi="宋体" w:eastAsia="宋体" w:cs="宋体"/>
          <w:kern w:val="0"/>
          <w:sz w:val="24"/>
          <w:szCs w:val="24"/>
          <w:highlight w:val="none"/>
          <w:lang w:val="en-US" w:eastAsia="zh-CN"/>
        </w:rPr>
        <w:t>相关证明文件</w:t>
      </w:r>
      <w:r>
        <w:rPr>
          <w:rFonts w:hint="eastAsia" w:ascii="宋体" w:hAnsi="宋体" w:eastAsia="宋体" w:cs="宋体"/>
          <w:kern w:val="0"/>
          <w:sz w:val="24"/>
          <w:szCs w:val="24"/>
          <w:highlight w:val="none"/>
        </w:rPr>
        <w:t>。</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（9）联合体各方应当共同与采购人签订采购合同，就采购合同约定的事项对采购人承担连带责任。</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3.5关于关联企业</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除联合体外，法定代表人或单位负责人为同一个人或者存在直接控股、管理关系的不同供应商，不得同时参加同一项目或同一子项目的磋商活动。如同时参加，则评审时将同时被拒绝。</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3.6关于中小微企业参与磋商</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中小微企业是指符合《政府采购促进中小企业发展管理办法》（财库[2020]46号）规定的供应商。中小微企业参与磋商应提供《中小企业声明函》。</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监狱企业参加时，提供由省级以上监狱管理局、戒毒管理局（含新疆生产建设兵团）出具的属于监狱企业的证明文件，不再提供《中小企业声明函》。</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残疾人福利性单位视同为小型、微型企业。</w:t>
      </w:r>
    </w:p>
    <w:p>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outlineLvl w:val="2"/>
        <w:rPr>
          <w:rFonts w:hint="eastAsia" w:ascii="宋体" w:hAnsi="宋体" w:eastAsia="宋体" w:cs="宋体"/>
          <w:b/>
          <w:kern w:val="0"/>
          <w:sz w:val="24"/>
          <w:szCs w:val="24"/>
          <w:highlight w:val="none"/>
        </w:rPr>
      </w:pPr>
      <w:bookmarkStart w:id="13" w:name="_Toc21995"/>
      <w:r>
        <w:rPr>
          <w:rFonts w:hint="eastAsia" w:ascii="宋体" w:hAnsi="宋体" w:eastAsia="宋体" w:cs="宋体"/>
          <w:b/>
          <w:kern w:val="0"/>
          <w:sz w:val="24"/>
          <w:szCs w:val="24"/>
          <w:highlight w:val="none"/>
        </w:rPr>
        <w:t>4.合格的服务</w:t>
      </w:r>
      <w:bookmarkEnd w:id="13"/>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4.1供应商所提供的服务应当没有侵犯任何第三方的知识产权、技术秘密等合法权利。</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4.2供应商提供的服务应当符合磋商文件的要求，并且其质量完全符合国家标准、行业标准或地方标准。</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4.3系统软件、通用软件必须是具有在中国境内的合法使用权或版权的正版软件，涉及到第三方提出侵权或知识产权的起诉及支付版税等费用由供应商承担所有责任及费用。</w:t>
      </w:r>
    </w:p>
    <w:p>
      <w:pPr>
        <w:keepNext w:val="0"/>
        <w:keepLines w:val="0"/>
        <w:pageBreakBefore w:val="0"/>
        <w:kinsoku/>
        <w:wordWrap/>
        <w:overflowPunct/>
        <w:topLinePunct w:val="0"/>
        <w:bidi w:val="0"/>
        <w:adjustRightInd/>
        <w:snapToGrid/>
        <w:spacing w:line="360" w:lineRule="auto"/>
        <w:ind w:firstLine="482" w:firstLineChars="200"/>
        <w:jc w:val="left"/>
        <w:textAlignment w:val="auto"/>
        <w:outlineLvl w:val="2"/>
        <w:rPr>
          <w:rFonts w:hint="eastAsia" w:ascii="宋体" w:hAnsi="宋体" w:eastAsia="宋体" w:cs="宋体"/>
          <w:b/>
          <w:kern w:val="0"/>
          <w:sz w:val="24"/>
          <w:szCs w:val="24"/>
          <w:highlight w:val="none"/>
        </w:rPr>
      </w:pPr>
      <w:bookmarkStart w:id="14" w:name="_Toc3717"/>
      <w:r>
        <w:rPr>
          <w:rFonts w:hint="eastAsia" w:ascii="宋体" w:hAnsi="宋体" w:eastAsia="宋体" w:cs="宋体"/>
          <w:b/>
          <w:kern w:val="0"/>
          <w:sz w:val="24"/>
          <w:szCs w:val="24"/>
          <w:highlight w:val="none"/>
        </w:rPr>
        <w:t>5. 磋商费用</w:t>
      </w:r>
      <w:bookmarkEnd w:id="14"/>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5.1供应商应承担准备和参与磋商有关的所有费用，采购代理机构或采购人在任何情况下均无义务和责任承担这些费用。</w:t>
      </w:r>
    </w:p>
    <w:p>
      <w:pPr>
        <w:keepNext w:val="0"/>
        <w:keepLines w:val="0"/>
        <w:pageBreakBefore w:val="0"/>
        <w:tabs>
          <w:tab w:val="left" w:pos="567"/>
        </w:tabs>
        <w:kinsoku/>
        <w:wordWrap/>
        <w:overflowPunct/>
        <w:topLinePunct w:val="0"/>
        <w:bidi w:val="0"/>
        <w:adjustRightInd/>
        <w:snapToGrid/>
        <w:spacing w:line="360" w:lineRule="auto"/>
        <w:ind w:firstLine="482" w:firstLineChars="200"/>
        <w:textAlignment w:val="auto"/>
        <w:outlineLvl w:val="2"/>
        <w:rPr>
          <w:rFonts w:hint="eastAsia" w:ascii="宋体" w:hAnsi="宋体" w:eastAsia="宋体" w:cs="宋体"/>
          <w:b/>
          <w:kern w:val="0"/>
          <w:sz w:val="24"/>
          <w:szCs w:val="24"/>
          <w:highlight w:val="none"/>
        </w:rPr>
      </w:pPr>
      <w:bookmarkStart w:id="15" w:name="_Toc5033"/>
      <w:r>
        <w:rPr>
          <w:rFonts w:hint="eastAsia" w:ascii="宋体" w:hAnsi="宋体" w:eastAsia="宋体" w:cs="宋体"/>
          <w:b/>
          <w:kern w:val="0"/>
          <w:sz w:val="24"/>
          <w:szCs w:val="24"/>
          <w:highlight w:val="none"/>
        </w:rPr>
        <w:t>6 磋商要求</w:t>
      </w:r>
      <w:bookmarkEnd w:id="15"/>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6.1供应商所提供的服务方案与技术方案被采购人采用时，成交供应商所提供的服务及相关内容必须符合本《磋商文件》的要求并按要求实施，并认真履行合同规定的相关条款。</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6.2采购代理机构或者采购人可以在磋商文件提供期限截止后，组织已获取磋商文件的潜在供应商现场勘查或者召开标前答疑会。是否组织现场勘查或者召开答疑会的，详见供应商前附表第11.12项。而无论采购代理机构是否安排踏勘现场，潜在供应商均应当将相关的因素作为磋商响应所应当考虑或依据的因素。</w:t>
      </w:r>
    </w:p>
    <w:p>
      <w:pPr>
        <w:keepNext w:val="0"/>
        <w:keepLines w:val="0"/>
        <w:pageBreakBefore w:val="0"/>
        <w:tabs>
          <w:tab w:val="left" w:pos="567"/>
        </w:tabs>
        <w:kinsoku/>
        <w:wordWrap/>
        <w:overflowPunct/>
        <w:topLinePunct w:val="0"/>
        <w:bidi w:val="0"/>
        <w:adjustRightInd/>
        <w:snapToGrid/>
        <w:spacing w:line="360" w:lineRule="auto"/>
        <w:ind w:firstLine="482" w:firstLineChars="200"/>
        <w:textAlignment w:val="auto"/>
        <w:outlineLvl w:val="2"/>
        <w:rPr>
          <w:rFonts w:hint="eastAsia" w:ascii="宋体" w:hAnsi="宋体" w:eastAsia="宋体" w:cs="宋体"/>
          <w:b/>
          <w:kern w:val="0"/>
          <w:sz w:val="24"/>
          <w:szCs w:val="24"/>
          <w:highlight w:val="none"/>
        </w:rPr>
      </w:pPr>
      <w:bookmarkStart w:id="16" w:name="_Toc7570"/>
      <w:r>
        <w:rPr>
          <w:rFonts w:hint="eastAsia" w:ascii="宋体" w:hAnsi="宋体" w:eastAsia="宋体" w:cs="宋体"/>
          <w:b/>
          <w:kern w:val="0"/>
          <w:sz w:val="24"/>
          <w:szCs w:val="24"/>
          <w:highlight w:val="none"/>
        </w:rPr>
        <w:t>7. 通知</w:t>
      </w:r>
      <w:bookmarkEnd w:id="16"/>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7.1对与本项目有关的通知，代理机构将通过</w:t>
      </w:r>
      <w:r>
        <w:rPr>
          <w:rFonts w:hint="eastAsia" w:ascii="宋体" w:hAnsi="宋体" w:eastAsia="宋体" w:cs="宋体"/>
          <w:kern w:val="0"/>
          <w:sz w:val="24"/>
          <w:szCs w:val="24"/>
          <w:highlight w:val="none"/>
          <w:u w:val="single"/>
        </w:rPr>
        <w:t>山西政府采购平台政采云系统中</w:t>
      </w:r>
      <w:r>
        <w:rPr>
          <w:rFonts w:hint="eastAsia" w:ascii="宋体" w:hAnsi="宋体" w:eastAsia="宋体" w:cs="宋体"/>
          <w:kern w:val="0"/>
          <w:sz w:val="24"/>
          <w:szCs w:val="24"/>
          <w:highlight w:val="none"/>
        </w:rPr>
        <w:t>发出（视同书面通知），因线路故障导致通知延迟或无法查看，代理机构或采购方将不承担任何责任，有关的磋商活动可以继续有效地进行。</w:t>
      </w:r>
    </w:p>
    <w:p>
      <w:pPr>
        <w:keepNext w:val="0"/>
        <w:keepLines w:val="0"/>
        <w:pageBreakBefore w:val="0"/>
        <w:kinsoku/>
        <w:wordWrap/>
        <w:overflowPunct/>
        <w:topLinePunct w:val="0"/>
        <w:bidi w:val="0"/>
        <w:adjustRightInd/>
        <w:snapToGrid/>
        <w:spacing w:line="360" w:lineRule="auto"/>
        <w:ind w:firstLine="482" w:firstLineChars="200"/>
        <w:textAlignment w:val="auto"/>
        <w:outlineLvl w:val="2"/>
        <w:rPr>
          <w:rFonts w:hint="eastAsia" w:ascii="宋体" w:hAnsi="宋体" w:eastAsia="宋体" w:cs="宋体"/>
          <w:b/>
          <w:bCs/>
          <w:kern w:val="0"/>
          <w:sz w:val="24"/>
          <w:szCs w:val="24"/>
          <w:highlight w:val="none"/>
        </w:rPr>
      </w:pPr>
      <w:bookmarkStart w:id="17" w:name="_Toc328"/>
      <w:r>
        <w:rPr>
          <w:rFonts w:hint="eastAsia" w:ascii="宋体" w:hAnsi="宋体" w:eastAsia="宋体" w:cs="宋体"/>
          <w:b/>
          <w:bCs/>
          <w:kern w:val="0"/>
          <w:sz w:val="24"/>
          <w:szCs w:val="24"/>
          <w:highlight w:val="none"/>
        </w:rPr>
        <w:t>8.解释权</w:t>
      </w:r>
      <w:bookmarkEnd w:id="17"/>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8.1本次磋商活动的最终解释权归为采购人、采购代理机构。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8.2当对一个问题有多种解释时以采购人、采购代理机构的解释为准。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8.3本文件未作须知明示，而又有相关法律、法规规定的，采购人、采购代理机构将依据相关法律法规的规定进行解释。</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18" w:name="_Toc10625"/>
      <w:r>
        <w:rPr>
          <w:rFonts w:hint="eastAsia" w:ascii="宋体" w:hAnsi="宋体" w:eastAsia="宋体" w:cs="宋体"/>
          <w:b/>
          <w:kern w:val="0"/>
          <w:sz w:val="24"/>
          <w:szCs w:val="24"/>
          <w:highlight w:val="none"/>
        </w:rPr>
        <w:t>二、磋商文件</w:t>
      </w:r>
      <w:bookmarkEnd w:id="18"/>
    </w:p>
    <w:p>
      <w:pPr>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9.磋商文件的内容</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9.1磋商文件由下列</w:t>
      </w:r>
      <w:r>
        <w:rPr>
          <w:rFonts w:hint="eastAsia" w:ascii="宋体" w:hAnsi="宋体" w:eastAsia="宋体" w:cs="宋体"/>
          <w:kern w:val="0"/>
          <w:sz w:val="24"/>
          <w:szCs w:val="24"/>
          <w:highlight w:val="none"/>
          <w:lang w:eastAsia="zh-CN"/>
        </w:rPr>
        <w:t>八</w:t>
      </w:r>
      <w:r>
        <w:rPr>
          <w:rFonts w:hint="eastAsia" w:ascii="宋体" w:hAnsi="宋体" w:eastAsia="宋体" w:cs="宋体"/>
          <w:kern w:val="0"/>
          <w:sz w:val="24"/>
          <w:szCs w:val="24"/>
          <w:highlight w:val="none"/>
        </w:rPr>
        <w:t>部分内容组成：</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第一部分 磋商公告；</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第二部分 供应商须知前附表；</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第三部分 供应商须知</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第四部分 评审标准和评定方法；</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第五部分 商务、技术要求；</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第六部分 合同范本；</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第七部分 响应文件格式；</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w:t>
      </w:r>
      <w:r>
        <w:rPr>
          <w:rFonts w:hint="eastAsia" w:ascii="宋体" w:hAnsi="宋体" w:eastAsia="宋体" w:cs="宋体"/>
          <w:kern w:val="0"/>
          <w:sz w:val="24"/>
          <w:szCs w:val="24"/>
          <w:highlight w:val="none"/>
          <w:lang w:eastAsia="zh-CN"/>
        </w:rPr>
        <w:t>八</w:t>
      </w:r>
      <w:r>
        <w:rPr>
          <w:rFonts w:hint="eastAsia" w:ascii="宋体" w:hAnsi="宋体" w:eastAsia="宋体" w:cs="宋体"/>
          <w:kern w:val="0"/>
          <w:sz w:val="24"/>
          <w:szCs w:val="24"/>
          <w:highlight w:val="none"/>
        </w:rPr>
        <w:t xml:space="preserve">部分 </w:t>
      </w:r>
      <w:r>
        <w:rPr>
          <w:rFonts w:hint="eastAsia" w:ascii="宋体" w:hAnsi="宋体" w:eastAsia="宋体" w:cs="宋体"/>
          <w:kern w:val="0"/>
          <w:sz w:val="24"/>
          <w:szCs w:val="24"/>
          <w:highlight w:val="none"/>
          <w:lang w:eastAsia="zh-CN"/>
        </w:rPr>
        <w:t>相关附件</w:t>
      </w:r>
      <w:r>
        <w:rPr>
          <w:rFonts w:hint="eastAsia" w:ascii="宋体" w:hAnsi="宋体" w:eastAsia="宋体" w:cs="宋体"/>
          <w:kern w:val="0"/>
          <w:sz w:val="24"/>
          <w:szCs w:val="24"/>
          <w:highlight w:val="none"/>
        </w:rPr>
        <w:t>；</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9.2供应商应详细阅读磋商文件的全部内容。如果没有按照磋商文件要求提交全部资料或者没有对磋商文件在各方面都做出实质性响应，有可能被确定为响应无效。</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除非特殊要求，磋商文件不单独提供本磋商项目使用地的自然环境、气候条件、公用设施等情况，供应商被视为熟悉上述与履行合同有关的一切情况。</w:t>
      </w:r>
    </w:p>
    <w:p>
      <w:pPr>
        <w:pStyle w:val="153"/>
        <w:keepNext w:val="0"/>
        <w:keepLines w:val="0"/>
        <w:pageBreakBefore w:val="0"/>
        <w:kinsoku/>
        <w:wordWrap/>
        <w:overflowPunct/>
        <w:topLinePunct w:val="0"/>
        <w:bidi w:val="0"/>
        <w:adjustRightInd/>
        <w:snapToGrid/>
        <w:spacing w:line="360" w:lineRule="auto"/>
        <w:ind w:left="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 磋商文件的澄清和修改</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澄清或修改时间及处理：提交首次响应文件截止日（响应文件开启时间，下同）之前，代理机构或采购方可以对已发出的磋商文件进行必要的澄清或修改，其内容作为磋商文件的组成部分。所澄清或修改内容可能影响响应文件编制的，代理机构或采购方应当在提交首次响应文件截止时间至少5日前，以公告形式在</w:t>
      </w:r>
      <w:r>
        <w:rPr>
          <w:rFonts w:hint="eastAsia" w:ascii="宋体" w:hAnsi="宋体" w:eastAsia="宋体" w:cs="宋体"/>
          <w:sz w:val="24"/>
          <w:szCs w:val="24"/>
          <w:highlight w:val="none"/>
          <w:u w:val="single"/>
        </w:rPr>
        <w:t>中国政府采购网山西分网</w:t>
      </w:r>
      <w:r>
        <w:rPr>
          <w:rFonts w:hint="eastAsia" w:ascii="宋体" w:hAnsi="宋体" w:eastAsia="宋体" w:cs="宋体"/>
          <w:sz w:val="24"/>
          <w:szCs w:val="24"/>
          <w:highlight w:val="none"/>
        </w:rPr>
        <w:t>发布变更公告。不足5日的，应当顺延提交首次响应文件截止时间。</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10.2澄清修改的补充文件中包括原提出的问题及问题的说明意见，但不包括问题的来源。</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10.3供应商澄清、询问时间及方式：任何已下载了磋商文件的供应商，均应在首次提交响应文件截止时间5日前对磋商文件进行澄清、询问，并以书面形式（包括书面材料、信函、传真，下同）送达代理机构。</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10.4澄清、修改及其它答复的效力：代理机构或采购方一旦对磋商文件做出澄清或修改，即发生效力，代理机构或采购方有关的补充文件，应当作为磋商文件的组成部分，对所有供应商均具有约束力。</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19" w:name="_Toc28603"/>
      <w:r>
        <w:rPr>
          <w:rFonts w:hint="eastAsia" w:ascii="宋体" w:hAnsi="宋体" w:eastAsia="宋体" w:cs="宋体"/>
          <w:b/>
          <w:kern w:val="0"/>
          <w:sz w:val="24"/>
          <w:szCs w:val="24"/>
          <w:highlight w:val="none"/>
        </w:rPr>
        <w:t>三、响应文件</w:t>
      </w:r>
      <w:bookmarkEnd w:id="19"/>
    </w:p>
    <w:p>
      <w:pPr>
        <w:keepNext w:val="0"/>
        <w:keepLines w:val="0"/>
        <w:pageBreakBefore w:val="0"/>
        <w:tabs>
          <w:tab w:val="left" w:pos="0"/>
        </w:tabs>
        <w:kinsoku/>
        <w:wordWrap/>
        <w:overflowPunct/>
        <w:topLinePunct w:val="0"/>
        <w:bidi w:val="0"/>
        <w:adjustRightInd/>
        <w:snapToGrid/>
        <w:spacing w:line="360" w:lineRule="auto"/>
        <w:ind w:firstLine="482" w:firstLineChars="200"/>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11.响应文件的语言和计量单位</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11.1供应商提交的响应文件（包括商务、技术文件和资料中的说明）以及供应商与代理机构就有关磋商的所有往来函均应使用中文简体字。</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响应文件所使用的计量单位，应使用中华人民共</w:t>
      </w:r>
      <w:r>
        <w:rPr>
          <w:rFonts w:hint="eastAsia" w:ascii="宋体" w:hAnsi="宋体" w:eastAsia="宋体" w:cs="宋体"/>
          <w:kern w:val="0"/>
          <w:sz w:val="24"/>
          <w:szCs w:val="24"/>
          <w:highlight w:val="none"/>
          <w:lang w:val="en-US" w:eastAsia="zh-CN"/>
        </w:rPr>
        <w:t>和</w:t>
      </w:r>
      <w:r>
        <w:rPr>
          <w:rFonts w:hint="eastAsia" w:ascii="宋体" w:hAnsi="宋体" w:eastAsia="宋体" w:cs="宋体"/>
          <w:kern w:val="0"/>
          <w:sz w:val="24"/>
          <w:szCs w:val="24"/>
          <w:highlight w:val="none"/>
        </w:rPr>
        <w:t>国法定计量单位。</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原版为外文的证书类、证明类文件，与供应商名称或其它实际情况不符的，供应商应当提供相关证明文件。</w:t>
      </w:r>
    </w:p>
    <w:p>
      <w:pPr>
        <w:keepNext w:val="0"/>
        <w:keepLines w:val="0"/>
        <w:pageBreakBefore w:val="0"/>
        <w:tabs>
          <w:tab w:val="left" w:pos="0"/>
        </w:tabs>
        <w:kinsoku/>
        <w:wordWrap/>
        <w:overflowPunct/>
        <w:topLinePunct w:val="0"/>
        <w:bidi w:val="0"/>
        <w:adjustRightInd/>
        <w:snapToGrid/>
        <w:spacing w:line="360" w:lineRule="auto"/>
        <w:ind w:firstLine="482" w:firstLineChars="200"/>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响应文件的组成及相关要求</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12.1响应文件分为资格证明文件和商务技术文件两部分组成。</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资格证明文件：指供应商提交的证明其有资格参加磋商的文件。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商务、技术文件：指供应商提交的能够证明其成交后有能力履行合同的文件和提供的服务符合本磋商文件规定和政策性要求的文件。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磋商，供应商应按磋商文件供应商须知前附表要求，提交资格证明文件和商务、技术文件及供应商自行编写的其他文件。资格证明文件、商务技术文件中的加“★”项、政策性要求中国家强制性因素若有缺失或无效或商务技术文件未实质上响应磋商文件要求，将作无效报价处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12.2响应文件其他要求</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12.2.1编排要求</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规格幅面（A4）；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12.2.2格式要求</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本磋商文件第七部分已提供“响应文件格式”的，需按照格式要求编制和上传（供应商可以对所提供的格式进行扩展，但不得更改格式内容），没有提供格式的，供应商自拟。</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如供应商参加多包磋商的，要求按包分别独立制作响应文件。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12.2.3响应文件的份数、加密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12.2.3.1响应文件的份数</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本次磋商须提交的响应文件份数详见供应商须知前附表。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12.2.3.2响应文件加密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系统中上传的电子响应文件须使用数字电子CA（单位、法人或个人）进行加密。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12.3磋商保证金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12.3.1供应商应提交的磋商保证金金额和提交方式详见前附表第5项。未按要求提交磋商保证金的，响应无效。</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12.3.2供应商在响应文件开启时间前撤回已提交的响应文件的，代理机构应当自收到供应商书面撤回通知之日起5个工作日内，退还已收取的磋商保证金，但因供应商自身原因导致无法及时退还的除外。</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12.3.3代理机构应当自成交通知书发出之日起5个工作日内退还未成交供应商的磋商保证金，自采购合同签订之日起5个工作日内退还成交供应商的磋商保证金。但因供应商自身原因导致无法及时退还的除外。</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12.3.4有下列情形之一的，磋商保证金不予退还：</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12.3.4.1供应商在响应文件中提供虚假材料的；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12.3.4.2除因不可抗力或磋商文件认可的情形外，成交供应商不与采购人签订合同的；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12.3.4.3供应商与采购人、其他供应商或者代理机构恶意串通的；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12.3.4.4磋商有效期内撤回响应文件的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12.3.4.5磋商文件规定的其他情形。</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12.3.5已提交响应文件的供应商，在提交最后报价之前，可以根据磋商情况退出报价。代理机构应当退还退出磋商的供应商的磋商保证金。</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12.4 磋商报价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.1所有报价以</w:t>
      </w:r>
      <w:r>
        <w:rPr>
          <w:rFonts w:hint="eastAsia" w:ascii="宋体" w:hAnsi="宋体" w:cs="宋体"/>
          <w:kern w:val="0"/>
          <w:sz w:val="24"/>
          <w:szCs w:val="24"/>
          <w:highlight w:val="none"/>
          <w:lang w:val="en-US" w:eastAsia="zh-CN"/>
        </w:rPr>
        <w:t>费率</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w:t>
      </w:r>
      <w:r>
        <w:rPr>
          <w:rFonts w:hint="eastAsia" w:ascii="宋体" w:hAnsi="宋体" w:eastAsia="宋体" w:cs="宋体"/>
          <w:kern w:val="0"/>
          <w:sz w:val="24"/>
          <w:szCs w:val="24"/>
          <w:highlight w:val="none"/>
        </w:rPr>
        <w:t>”为计算单位。</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.2国产货物报价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只要投报了一个确定数额的总价，无论分项价格是否全部填报了相应的金额或免费字样，报价应被视为已经包含但不限于该项目货物价格、运输、装卸、安装调试、技术验收费用与所供货物的人员技术培训、货物维修维护等免费配套服务费用及相关税费等所有相关费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.3进口货物报价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供应商只要投报了一个确定数额的总价，无论分项价格是否全部填报了相应的金额或免费字样，报价应被视为已经包含包含但不限于：</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（1）成交进口货物到岸价（即CIF价格）；</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（2）货物进口环节在国内发生的所有相关费用（包含但不限于：外贸代理服务、银行手续、报关、卫检、动植物检验检疫、商检、仓储、软件认证等费用）；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（3）货物到岸后，将货物运送至甲方指定地点所发生的运输、装卸、安装调试与技术检验费用；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（4）安装调试检验合格后所发生的人员技术培训、货物维修维护等配套服务费用；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（5）国内发生费用所需缴纳的所有相关税费。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国家税务总局令第63号《免税进口科学研究和教学用品清单》外进口货物的进口关税、进口环节增值税、消费税等。不包含《免税进口科学研究和教学用品清单》内进口货物的进口关税、进口环节增值税和消费税。</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注：进口货物在进口过程中，若需向海关提交报关等手续，采购人负责提供相关材料。</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.4供应商应按报价要求的内容认真填报“报价一览表”。在其它情况下，由于分项报价填报不完整、不清楚或存在其它任何失误，所导致的任何不利后果均应当由供应商自行承担。</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.5供应商投报多包的，应对每包整包内容分别填报，不得拆包分项报价。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.6本次项目不接受可选择方案的报价。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.7供应商对报价若有说明应在报价一览表显著处注明。</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8 异常低价评审程序的启动：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评审中出现下列情形之一的，磋商小组会应当启动异常低价投标审查程序：</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（1）投标报价低于全部通过符合性审查供应商投标报价平均值50%的，即投标报价&lt;全部通过符合性审查供应商投标报价平均值×50%；</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（2）投标报价低于通过符合性审查的次低报价供应商投标报价50%的，即投标报价&lt;通过符合性审查的次低报价供应商投标报价×50%；</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（3）投标（响应）报价低于采购项目最高限价45%的，即投标（响应）报价&lt;采购项目最高限价×45%；</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（4）磋商小组基于专业判断，认为供应商报价过低，有可能影响产品质量或者不能诚信履约的其他情形。</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（5）相关法律法规对供应商报价有规定的，从其规定。</w:t>
      </w:r>
    </w:p>
    <w:p>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11.8 异常低价审查的程序：</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投标处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人、采购代理机构应当为磋商小组在评审现场及时获取同类项目中标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异常低价投标审查的启动原因、审查意见和审查结果应当在评审报告中记录，并随供应商提供的相关书面说明及证明材料，以及磋商小组有关互联网浏览、查询历史一并归档。</w:t>
      </w:r>
    </w:p>
    <w:p>
      <w:pPr>
        <w:pStyle w:val="141"/>
        <w:keepNext w:val="0"/>
        <w:keepLines w:val="0"/>
        <w:pageBreakBefore w:val="0"/>
        <w:kinsoku/>
        <w:wordWrap/>
        <w:overflowPunct/>
        <w:topLinePunct w:val="0"/>
        <w:bidi w:val="0"/>
        <w:adjustRightInd/>
        <w:snapToGrid/>
        <w:spacing w:line="360" w:lineRule="auto"/>
        <w:ind w:firstLine="477" w:firstLineChars="198"/>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13. 响应文件填写说明</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13.1供应商应详细阅读本磋商文件的全部内容。响应文件应对本磋商文件中的内容做出实质性和完整性的响应。</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sz w:val="24"/>
          <w:szCs w:val="24"/>
          <w:highlight w:val="none"/>
        </w:rPr>
      </w:pPr>
      <w:r>
        <w:rPr>
          <w:rFonts w:hint="eastAsia" w:ascii="宋体" w:hAnsi="宋体" w:eastAsia="宋体" w:cs="宋体"/>
          <w:kern w:val="0"/>
          <w:sz w:val="24"/>
          <w:szCs w:val="24"/>
          <w:highlight w:val="none"/>
        </w:rPr>
        <w:t>13.2响应文件应严格按照磋商文件第七部分的要求提交，并按规定的统一格式</w:t>
      </w:r>
      <w:r>
        <w:rPr>
          <w:rFonts w:hint="eastAsia" w:ascii="宋体" w:hAnsi="宋体" w:eastAsia="宋体" w:cs="宋体"/>
          <w:sz w:val="24"/>
          <w:szCs w:val="24"/>
          <w:highlight w:val="none"/>
        </w:rPr>
        <w:t>逐项填写，不准有空项、缺项；无相应内容可填的项应填写“无”、“没有相应指标”、“/”等明确的回答</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响应文件未按规定提交或留有空项，将被视为不完整响应的响应文件，其响应文件有可能被拒绝。</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13.3供应商必须对响应文件所提供的全部资料的真实性可靠性负责，并接受磋商小组对其中任何资料进一步审查的要求。</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13.4</w:t>
      </w:r>
      <w:r>
        <w:rPr>
          <w:rFonts w:hint="eastAsia" w:ascii="宋体" w:hAnsi="宋体" w:eastAsia="宋体" w:cs="宋体"/>
          <w:kern w:val="0"/>
          <w:sz w:val="24"/>
          <w:szCs w:val="24"/>
          <w:highlight w:val="none"/>
        </w:rPr>
        <w:t>因响应文件字迹潦草、提交资料不清晰或表达不清楚所引起的不利后果由供应商自行承担。</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13.5</w:t>
      </w:r>
      <w:r>
        <w:rPr>
          <w:rFonts w:hint="eastAsia" w:ascii="宋体" w:hAnsi="宋体" w:eastAsia="宋体" w:cs="宋体"/>
          <w:sz w:val="24"/>
          <w:szCs w:val="24"/>
          <w:highlight w:val="none"/>
        </w:rPr>
        <w:t>为提倡诚实信用的磋商行为，特别要求供应商应本着诚信精神，在本次响应文件中按照磋商文件要求，以审慎的态度明确、清楚地披露各项内容。</w:t>
      </w:r>
      <w:r>
        <w:rPr>
          <w:rFonts w:hint="eastAsia" w:ascii="宋体" w:hAnsi="宋体" w:eastAsia="宋体" w:cs="宋体"/>
          <w:kern w:val="0"/>
          <w:sz w:val="24"/>
          <w:szCs w:val="24"/>
          <w:highlight w:val="none"/>
        </w:rPr>
        <w:t>一旦在评审中被发现存在重大偏离或被认定为属于重大偏离，则磋商小组有权决定对该响应予以拒绝。</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 响应文件的有效期</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14.1本项目响应文件的有效期详见供应商须知前附表第8条。</w:t>
      </w:r>
      <w:r>
        <w:rPr>
          <w:rFonts w:hint="eastAsia" w:ascii="宋体" w:hAnsi="宋体" w:eastAsia="宋体" w:cs="宋体"/>
          <w:kern w:val="0"/>
          <w:sz w:val="24"/>
          <w:szCs w:val="24"/>
          <w:highlight w:val="none"/>
        </w:rPr>
        <w:t>有效期短于该规定期限的响应无效。</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14.2磋商有效期从提交响应文件的截止之日起算。</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响应文件的签署及其他规定</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15.1组成响应文件的各种文件均应遵守本款规定。</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供应商在响应文件及相关文件的签订、履行、通知等事项的文件中的“单位盖章”、“印章”、“公章”等处均仅指与当事人名称全称相一致的电子CA章，不得使用其它（如带有“专用章”等字样）印章，否则将按响应无效处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15.3供应商应在响应文件中按照磋商文件要求，在指定的位置签字（章）或加盖个人电子CA章、加盖供应商电子CA章，否则将按响应无效处理。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15.4响应文件应字迹清楚、内容齐全、不得涂改或增删。如有修改和增删，必须有供应商电子CA章或法定代表人或其授权的供应商授权代表签字（章）。</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15.5因响应文件字迹潦草或表达不清所引起的不利后果由供应商承担。</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0" w:name="_Toc30097"/>
      <w:r>
        <w:rPr>
          <w:rFonts w:hint="eastAsia" w:ascii="宋体" w:hAnsi="宋体" w:eastAsia="宋体" w:cs="宋体"/>
          <w:b/>
          <w:kern w:val="0"/>
          <w:sz w:val="24"/>
          <w:szCs w:val="24"/>
          <w:highlight w:val="none"/>
        </w:rPr>
        <w:t>四、响应文件的退回</w:t>
      </w:r>
      <w:bookmarkEnd w:id="20"/>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w:t>
      </w:r>
      <w:r>
        <w:rPr>
          <w:rFonts w:hint="eastAsia" w:ascii="宋体" w:hAnsi="宋体" w:eastAsia="宋体" w:cs="宋体"/>
          <w:b/>
          <w:sz w:val="24"/>
          <w:szCs w:val="24"/>
          <w:highlight w:val="none"/>
        </w:rPr>
        <w:t xml:space="preserve"> </w:t>
      </w:r>
      <w:r>
        <w:rPr>
          <w:rFonts w:hint="eastAsia" w:ascii="宋体" w:hAnsi="宋体" w:eastAsia="宋体" w:cs="宋体"/>
          <w:b/>
          <w:kern w:val="0"/>
          <w:sz w:val="24"/>
          <w:szCs w:val="24"/>
          <w:highlight w:val="none"/>
        </w:rPr>
        <w:t>响应文件的退回</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16.1供应商应当在磋商文件要求的首次响应文件解密时间内</w:t>
      </w:r>
      <w:r>
        <w:rPr>
          <w:rFonts w:hint="eastAsia"/>
          <w:lang w:val="en-US" w:eastAsia="zh-CN"/>
        </w:rPr>
        <w:t>解密</w:t>
      </w:r>
      <w:r>
        <w:rPr>
          <w:rFonts w:hint="eastAsia" w:ascii="宋体" w:hAnsi="宋体" w:eastAsia="宋体" w:cs="宋体"/>
          <w:kern w:val="0"/>
          <w:sz w:val="24"/>
          <w:szCs w:val="24"/>
          <w:highlight w:val="none"/>
        </w:rPr>
        <w:t>，未完成解密的，视为供应商退回响应文件。</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sz w:val="24"/>
          <w:szCs w:val="24"/>
          <w:highlight w:val="none"/>
        </w:rPr>
        <w:t>17.响应文件</w:t>
      </w:r>
      <w:r>
        <w:rPr>
          <w:rFonts w:hint="eastAsia" w:ascii="宋体" w:hAnsi="宋体" w:eastAsia="宋体" w:cs="宋体"/>
          <w:b/>
          <w:bCs/>
          <w:kern w:val="0"/>
          <w:sz w:val="24"/>
          <w:szCs w:val="24"/>
          <w:highlight w:val="none"/>
        </w:rPr>
        <w:t>解密</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17.1采购代理机构在开启时间止发出解密指令，供应商接到解密信息后，在规定的解密时间内使用加密电子文件时的电子CA进行</w:t>
      </w:r>
      <w:r>
        <w:rPr>
          <w:rFonts w:hint="eastAsia" w:ascii="宋体" w:hAnsi="宋体" w:eastAsia="宋体" w:cs="宋体"/>
          <w:bCs/>
          <w:kern w:val="0"/>
          <w:sz w:val="24"/>
          <w:szCs w:val="24"/>
          <w:highlight w:val="none"/>
        </w:rPr>
        <w:t>解密（可远程解密）。</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17.2解密截止时间后，供应商将无法对响应文件进行解密。除特殊情形需请示财政部门采用其他方式外，代理机构不得以任何理由延期解密。</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17.3</w:t>
      </w:r>
      <w:r>
        <w:rPr>
          <w:rFonts w:hint="eastAsia" w:ascii="宋体" w:hAnsi="宋体" w:eastAsia="宋体" w:cs="宋体"/>
          <w:kern w:val="0"/>
          <w:sz w:val="24"/>
          <w:szCs w:val="24"/>
          <w:highlight w:val="none"/>
        </w:rPr>
        <w:t>在响应文件解密截止时间后</w:t>
      </w:r>
      <w:r>
        <w:rPr>
          <w:rFonts w:hint="eastAsia" w:ascii="宋体" w:hAnsi="宋体" w:eastAsia="宋体" w:cs="宋体"/>
          <w:bCs/>
          <w:kern w:val="0"/>
          <w:sz w:val="24"/>
          <w:szCs w:val="24"/>
          <w:highlight w:val="none"/>
        </w:rPr>
        <w:t>完成解密的</w:t>
      </w:r>
      <w:r>
        <w:rPr>
          <w:rFonts w:hint="eastAsia" w:ascii="宋体" w:hAnsi="宋体" w:eastAsia="宋体" w:cs="宋体"/>
          <w:kern w:val="0"/>
          <w:sz w:val="24"/>
          <w:szCs w:val="24"/>
          <w:highlight w:val="none"/>
        </w:rPr>
        <w:t>供应商不足法定磋商家数时，不得进行下一步评审程序。</w:t>
      </w:r>
    </w:p>
    <w:p>
      <w:pPr>
        <w:keepNext w:val="0"/>
        <w:keepLines w:val="0"/>
        <w:pageBreakBefore w:val="0"/>
        <w:tabs>
          <w:tab w:val="left" w:pos="0"/>
        </w:tabs>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18.</w:t>
      </w:r>
      <w:r>
        <w:rPr>
          <w:rFonts w:hint="eastAsia" w:ascii="宋体" w:hAnsi="宋体" w:eastAsia="宋体" w:cs="宋体"/>
          <w:kern w:val="0"/>
          <w:sz w:val="24"/>
          <w:szCs w:val="24"/>
          <w:highlight w:val="none"/>
        </w:rPr>
        <w:t xml:space="preserve"> </w:t>
      </w:r>
      <w:r>
        <w:rPr>
          <w:rFonts w:hint="eastAsia" w:ascii="宋体" w:hAnsi="宋体" w:eastAsia="宋体" w:cs="宋体"/>
          <w:b/>
          <w:kern w:val="0"/>
          <w:sz w:val="24"/>
          <w:szCs w:val="24"/>
          <w:highlight w:val="none"/>
        </w:rPr>
        <w:t>响应文件的补充、修改和撤回</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18.1供应商在响应文件解密截止时间前，可以对响应文件进行补充、修改，补充、修改的内容作为响应文件的组成部分。补充、修改内容需在“</w:t>
      </w:r>
      <w:r>
        <w:rPr>
          <w:rFonts w:hint="eastAsia" w:ascii="宋体" w:hAnsi="宋体" w:eastAsia="宋体" w:cs="宋体"/>
          <w:sz w:val="24"/>
          <w:szCs w:val="24"/>
          <w:highlight w:val="none"/>
        </w:rPr>
        <w:t>政采云系统</w:t>
      </w:r>
      <w:r>
        <w:rPr>
          <w:rFonts w:hint="eastAsia" w:ascii="宋体" w:hAnsi="宋体" w:eastAsia="宋体" w:cs="宋体"/>
          <w:kern w:val="0"/>
          <w:sz w:val="24"/>
          <w:szCs w:val="24"/>
          <w:highlight w:val="none"/>
        </w:rPr>
        <w:t>”中加密上传，未进行上传的补充、修改内容无效。</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18.2补充、修改的内容应当按照磋商文件要求签署、盖章，否则，按无效处理。</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18.3在响应文件解密截止时间之后，供应商不得对其已解密的响应文件（含补充、修改）进行撤回。</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1" w:name="_Toc23278"/>
      <w:r>
        <w:rPr>
          <w:rFonts w:hint="eastAsia" w:ascii="宋体" w:hAnsi="宋体" w:eastAsia="宋体" w:cs="宋体"/>
          <w:b/>
          <w:kern w:val="0"/>
          <w:sz w:val="24"/>
          <w:szCs w:val="24"/>
          <w:highlight w:val="none"/>
        </w:rPr>
        <w:t>五、开启</w:t>
      </w:r>
      <w:bookmarkEnd w:id="21"/>
    </w:p>
    <w:p>
      <w:pPr>
        <w:keepNext w:val="0"/>
        <w:keepLines w:val="0"/>
        <w:pageBreakBefore w:val="0"/>
        <w:tabs>
          <w:tab w:val="left" w:pos="0"/>
        </w:tabs>
        <w:kinsoku/>
        <w:wordWrap/>
        <w:overflowPunct/>
        <w:topLinePunct w:val="0"/>
        <w:bidi w:val="0"/>
        <w:adjustRightInd/>
        <w:snapToGrid/>
        <w:spacing w:line="360" w:lineRule="auto"/>
        <w:ind w:firstLine="482" w:firstLineChars="200"/>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19.响应文件开启及其有关事项</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19.1代理机构按磋商文件规定的响应文件开启时间、地点主持磋商文件开启会议。</w:t>
      </w:r>
      <w:r>
        <w:rPr>
          <w:rFonts w:hint="eastAsia" w:ascii="宋体" w:hAnsi="宋体" w:eastAsia="宋体" w:cs="宋体"/>
          <w:bCs/>
          <w:kern w:val="0"/>
          <w:sz w:val="24"/>
          <w:szCs w:val="24"/>
          <w:highlight w:val="none"/>
        </w:rPr>
        <w:t>磋商活动现场进行全程录音录像，录音录像应当清晰可辨，音像资料作为采购文件一并存档。</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磋商小组成员和参与采购人代表不得参加磋商会议开启活动。</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采购代理机构在响应文件开启时间，发出响应文件解密指令。</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本项目实行密封报价，不进行公开唱标。</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开启过程，采购人、采购代理机构相关工作人员有需要回避的情形的，应主动提出回避。</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供应商未参加开启活动的，视同认可开启结果。</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2" w:name="_Toc1257"/>
      <w:r>
        <w:rPr>
          <w:rFonts w:hint="eastAsia" w:ascii="宋体" w:hAnsi="宋体" w:eastAsia="宋体" w:cs="宋体"/>
          <w:b/>
          <w:kern w:val="0"/>
          <w:sz w:val="24"/>
          <w:szCs w:val="24"/>
          <w:highlight w:val="none"/>
        </w:rPr>
        <w:t>六、磋商程序和要求</w:t>
      </w:r>
      <w:bookmarkEnd w:id="22"/>
    </w:p>
    <w:p>
      <w:pPr>
        <w:pStyle w:val="141"/>
        <w:keepNext w:val="0"/>
        <w:keepLines w:val="0"/>
        <w:pageBreakBefore w:val="0"/>
        <w:kinsoku/>
        <w:wordWrap/>
        <w:overflowPunct/>
        <w:topLinePunct w:val="0"/>
        <w:bidi w:val="0"/>
        <w:adjustRightInd/>
        <w:snapToGrid/>
        <w:spacing w:line="360" w:lineRule="auto"/>
        <w:ind w:firstLine="472" w:firstLineChars="19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20.组建磋商小组</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20.1</w:t>
      </w:r>
      <w:r>
        <w:rPr>
          <w:rFonts w:hint="eastAsia" w:ascii="宋体" w:hAnsi="宋体" w:eastAsia="宋体" w:cs="宋体"/>
          <w:kern w:val="0"/>
          <w:sz w:val="24"/>
          <w:szCs w:val="24"/>
          <w:highlight w:val="none"/>
        </w:rPr>
        <w:t>采购代理机构根据相关法律法规和本磋商文件的规定，结合本项目特点组建磋商小组，磋商小组由采购人代表和评审专家共</w:t>
      </w: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rPr>
        <w:t>人以上单数组成，其中评审专家不得少于成员总数的三分之二。</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20.2评审专家对本单位的采购项目只能作为采购人代表参与评审，法律规定的情形除外。</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20.3采购代理机构工作人员不得参加由本机构代理的政府采购项目的评审活动。</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20.4磋商小组成员名单在评审结果公告前应当保密。</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20.5评审专家由采购代理机构从</w:t>
      </w:r>
      <w:r>
        <w:rPr>
          <w:rFonts w:hint="eastAsia" w:ascii="宋体" w:hAnsi="宋体" w:eastAsia="宋体" w:cs="宋体"/>
          <w:kern w:val="0"/>
          <w:sz w:val="24"/>
          <w:szCs w:val="24"/>
          <w:highlight w:val="none"/>
          <w:u w:val="single"/>
        </w:rPr>
        <w:t>山西省政府采购评审专家库</w:t>
      </w:r>
      <w:r>
        <w:rPr>
          <w:rFonts w:hint="eastAsia" w:ascii="宋体" w:hAnsi="宋体" w:eastAsia="宋体" w:cs="宋体"/>
          <w:kern w:val="0"/>
          <w:sz w:val="24"/>
          <w:szCs w:val="24"/>
          <w:highlight w:val="none"/>
        </w:rPr>
        <w:t>中，通过随机抽取方式产生。对技术复杂、专业性强的采购项目，通过随机方式难以确定合适评审专家的，</w:t>
      </w:r>
      <w:r>
        <w:rPr>
          <w:rFonts w:hint="eastAsia" w:ascii="宋体" w:hAnsi="宋体" w:eastAsia="宋体" w:cs="宋体"/>
          <w:bCs/>
          <w:kern w:val="0"/>
          <w:sz w:val="24"/>
          <w:szCs w:val="24"/>
          <w:highlight w:val="none"/>
        </w:rPr>
        <w:t>经主管预算单位同意，采购人可以自行选定相应专业领域的评审专家。</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20.6磋商中因评审专家缺席、回避或者健康等特殊原因，导致磋商小组成员组成不符合相关规定的，代理机构应当补足后继续磋商。被更换的磋商小组成员所做出的磋商意见无效。</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20.7无法及时补足磋商小组成员时，代理机构应当停止磋商活动，封存所有响应文件及评审资料，重新组建磋商小组进行磋商。原磋商小组所做出的磋商意见无效。</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20.8代理机构应当将变更、重新组建磋商小组的情况予以记录，并随磋商文件一并存档。</w:t>
      </w:r>
    </w:p>
    <w:p>
      <w:pPr>
        <w:pStyle w:val="141"/>
        <w:keepNext w:val="0"/>
        <w:keepLines w:val="0"/>
        <w:pageBreakBefore w:val="0"/>
        <w:kinsoku/>
        <w:wordWrap/>
        <w:overflowPunct/>
        <w:topLinePunct w:val="0"/>
        <w:bidi w:val="0"/>
        <w:adjustRightInd/>
        <w:snapToGrid/>
        <w:spacing w:line="360" w:lineRule="auto"/>
        <w:ind w:firstLine="472" w:firstLineChars="19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21.评审</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21.1磋商小组成员首先对磋商文件进行</w:t>
      </w:r>
      <w:r>
        <w:rPr>
          <w:rFonts w:hint="eastAsia" w:ascii="宋体" w:hAnsi="宋体" w:eastAsia="宋体" w:cs="宋体"/>
          <w:kern w:val="0"/>
          <w:sz w:val="24"/>
          <w:szCs w:val="24"/>
          <w:highlight w:val="none"/>
          <w:lang w:val="en-US" w:eastAsia="zh-CN"/>
        </w:rPr>
        <w:t>资格性、</w:t>
      </w:r>
      <w:r>
        <w:rPr>
          <w:rFonts w:hint="eastAsia" w:ascii="宋体" w:hAnsi="宋体" w:eastAsia="宋体" w:cs="宋体"/>
          <w:kern w:val="0"/>
          <w:sz w:val="24"/>
          <w:szCs w:val="24"/>
          <w:highlight w:val="none"/>
        </w:rPr>
        <w:t>符合性审查，并签字确认。如磋商文件内容中存在违反国家有关强制性规定的或歧视性等条款，应当向采购代理机构说明，并停止本项目评审。</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21.2</w:t>
      </w:r>
      <w:r>
        <w:rPr>
          <w:rFonts w:hint="eastAsia" w:ascii="宋体" w:hAnsi="宋体" w:eastAsia="宋体" w:cs="宋体"/>
          <w:kern w:val="0"/>
          <w:sz w:val="24"/>
          <w:szCs w:val="24"/>
          <w:highlight w:val="none"/>
        </w:rPr>
        <w:t>依据磋商文件中规定“评审方法和评审标准”，磋商小组成员按分包顺序</w:t>
      </w:r>
      <w:r>
        <w:rPr>
          <w:rFonts w:hint="eastAsia" w:ascii="宋体" w:hAnsi="宋体" w:eastAsia="宋体" w:cs="宋体"/>
          <w:sz w:val="24"/>
          <w:szCs w:val="24"/>
          <w:highlight w:val="none"/>
        </w:rPr>
        <w:t>对每包所有参加磋商的供应商的响应文件中</w:t>
      </w:r>
      <w:r>
        <w:rPr>
          <w:rFonts w:hint="eastAsia" w:ascii="宋体" w:hAnsi="宋体" w:eastAsia="宋体" w:cs="宋体"/>
          <w:kern w:val="0"/>
          <w:sz w:val="24"/>
          <w:szCs w:val="24"/>
          <w:highlight w:val="none"/>
        </w:rPr>
        <w:t>的资格证明文件和商务技术文件的有效性、完整性、符合性进行独立审查。</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21.3根据资格证明文件审查结果（评审意见不一致时，遵循少数服从多数的原则），确定各供应商是否具备磋商资格。</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21.4对资格性审查合格的3家及以上供应商的响应文件中商务技术文件进行审查，根据审查结果（评审意见不一致时，遵循少数服从多数的原则），以确定其是否对磋商文件的商务技术要求做出了实质性响应。</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21.6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21.7实质性响应的响应文件：是指与磋商文件的主要商务技术条款、条件和要求相符，经磋商小组成员认定完全符合磋商文件要求的响应文件。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A．未对“供应商须知前附表”第</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条中带★号的商务技术文件及商务技术指标要求作出实质上响应的；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B．未按磋商文件的规定签署、盖章的；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C．响应文件有效期不足的；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D．未按照磋商文件规定报价的；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E．不符合磋商文件中有关分包、转包规定的；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F．响应文件附有采购人不能接受的条件的；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G．不符合磋商文件中规定的其他实质性要求的。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21.9如果未对磋商文件商务技术要求做出实质性响应，磋商将予以拒绝，供应商不得再对响应文件进行任何澄清、说明或者更正，从而使其成为实质性响应的响应文件。 </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21.10磋商小组对响应文件的判定,除项目需对文件中无法用文字表述的其他特殊要求（如需对样品、演示内容等）作为实质性审查内容外，只依据供应商在“政采云系统”中提交的电子响应文件。</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21.11磋商小组各评审专家在资格性、符合性审查之后，与符合磋商文件要求的3家及以上供应商进行磋商（询标）。</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21.12响应文件评审结束，对未实质上响应磋商文件的响应文件按无效响应处理。</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22．磋商</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22.1磋商小组成员与3家及以上实质性响应磋商文件要求的供应商就本次采购需求中的技术、服务要求以及合同草案通过“政采云系统”分别进行磋商（询标）。</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22.2磋商小组可以根据磋商文件和磋商（询标）情况实质性变动采购需求中的技术、服务要求以及合同草案条款，但不得变动磋商文件中的其他内容。实质性变动的内容，需经采购人代表签字确认。</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22.3在磋商（询标）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22.4存在下列情况之一者将视为响应无效：</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（1）未在规定时间内提交对询标函所有内容做出答复函的，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（2）未在答复函中由法定代表人或其授权代表签字或加盖电子CA章的；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（3）未按磋商小组要求对响应文件进行澄清（说明或者更正）的；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（4）磋商小组对答复内容经过评审后认为其没有对磋商内容作出实质性响应的；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（5）存在采购人不能接受内容的等情形。</w:t>
      </w:r>
    </w:p>
    <w:p>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23.最终报价</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23.1报价原则</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23.1.1磋商文件能够详细列明采购标的的技术要求、服务要求等的，磋商结束后，磋商小组应当向所有实质性响应磋商文件要求的供应商开启第二次报价通知，并要求其在规定时间内在“政采云系统”中提交第二次（最终）报价。提交最终报价的供应商不得少于3家。</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23.1.2磋商文件不能详细列明采购标的的技术要求、服务要求的，需经磋商由供应商提供最终解决方案的，磋商结束后，磋商小组应当按照少数服从多数的原则投票推荐3家以上供应商的解决方案，并要求其在规定时间内在“政采云系统”中提交最终报价。</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23.1.3供应商在提交最终报价函之前，可以根据磋商情况退出最终报价，采购人、采购代理机构应当退还退出磋商的供应商的磋商保证金。供应商在规定时间内未在“政采云系统”中提交最终报价的，视为退出最终报价。</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23.1.4提交的最终报价须加盖电子CA章，并在政采云系统上传。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23.2报价审核</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23.2.1根据本文件第四部分“评审方法和评审标准”对最终报价进行符合性审查。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23.2.2对最终报价存在明显不合理的，磋商小组</w:t>
      </w:r>
      <w:r>
        <w:rPr>
          <w:rFonts w:hint="eastAsia" w:ascii="宋体" w:hAnsi="宋体" w:eastAsia="宋体" w:cs="宋体"/>
          <w:sz w:val="24"/>
          <w:szCs w:val="24"/>
          <w:highlight w:val="none"/>
        </w:rPr>
        <w:t>有权决定是否</w:t>
      </w:r>
      <w:r>
        <w:rPr>
          <w:rFonts w:hint="eastAsia" w:ascii="宋体" w:hAnsi="宋体" w:eastAsia="宋体" w:cs="宋体"/>
          <w:kern w:val="0"/>
          <w:sz w:val="24"/>
          <w:szCs w:val="24"/>
          <w:highlight w:val="none"/>
        </w:rPr>
        <w:t>通过“政采云系统”要求供应商在规定时间内提供相关证明材料。</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23.2.3提交最终报价的供应商家数不足法定供应商数量的，需依法重新组织磋商活动或终止磋商活动。</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23.2.4经审查，合格供应商数量符合法定供应商家数时，对符合政策性要求优惠的各供应商的最终报价，按照磋商文件中确定的优惠率，对其最终报价进行调整后，形成各供应商最终评审价格。</w:t>
      </w:r>
    </w:p>
    <w:p>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23.3存在下列情况之一者将视为响应无效：</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（1）未在规定时间内提交最终报价的；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（2）未在最终报价函中加盖电子CA章的；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（3）未按最终报价函要求进行填报或最终报价函填报不完整，存在可空项、漏项、缺项的；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磋商小组成员对各供应商的最终报价进行合理性审核过程中，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24.综合评分、推荐成交候选供应商顺序原则</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24.1综合评分原则</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24.1.1磋商小组各成员对合格供应商的响应文件按照磋商文件第四部分的综合评分细则进行独立评价、打分，然后汇总每个供应商每项评分因素得分。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24.1.2价格评分采用低价优先法计算，即满足磋商文件要求且评审价格最低的供应商的价格为磋商基准价，其价格分为满分。价格评审中，不得去掉最后报价的最高报价和最低报价。</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24.1.3各供应商的评分因素得分加其报价得分，为各供应商的最终综合得分。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24.2推荐成交候选供应商顺序原则</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24.2.1磋商小组依据24.1.3各供应商最终综合得分由高到低的顺序排序；</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24.2.2综合得分相同的，按照最后报价由低到高的顺序排名；</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24.2.3综合得分与最后报价均相同的，</w:t>
      </w:r>
      <w:r>
        <w:rPr>
          <w:rFonts w:hint="eastAsia" w:ascii="宋体" w:hAnsi="宋体" w:eastAsia="宋体" w:cs="宋体"/>
          <w:kern w:val="0"/>
          <w:sz w:val="24"/>
          <w:szCs w:val="24"/>
          <w:highlight w:val="none"/>
        </w:rPr>
        <w:t>按照技术方案得分由高到低顺序</w:t>
      </w:r>
      <w:r>
        <w:rPr>
          <w:rFonts w:hint="eastAsia" w:ascii="宋体" w:hAnsi="宋体" w:eastAsia="宋体" w:cs="宋体"/>
          <w:sz w:val="24"/>
          <w:szCs w:val="24"/>
          <w:highlight w:val="none"/>
        </w:rPr>
        <w:t>排名</w:t>
      </w:r>
      <w:r>
        <w:rPr>
          <w:rFonts w:hint="eastAsia" w:ascii="宋体" w:hAnsi="宋体" w:eastAsia="宋体" w:cs="宋体"/>
          <w:kern w:val="0"/>
          <w:sz w:val="24"/>
          <w:szCs w:val="24"/>
          <w:highlight w:val="none"/>
        </w:rPr>
        <w:t>。</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24.2.4供应商提供相同品牌产品且通过资格审查、符合性审查的不同供应商参加同一合同项下磋商的，按一家供应商计算，评审后得分最高的同品牌供应商获得成交候选人推荐资格；评审得分相同的，由</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小组在磋商现场采取随机抽取方式确定一个供应商获得成交候选供应商推荐资格，其他同品牌供应商不作为成交候选人。</w:t>
      </w:r>
    </w:p>
    <w:p>
      <w:pPr>
        <w:keepNext w:val="0"/>
        <w:keepLines w:val="0"/>
        <w:pageBreakBefore w:val="0"/>
        <w:tabs>
          <w:tab w:val="left" w:pos="0"/>
        </w:tabs>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24.2.5如本项目为非单一产品采购，应根据采购项目技术构成、产品价格比重等合理确定核心产品，并在磋商文件中载明；多家供应商提供的核心产品品牌相同的，按24.2.4规定处理。</w:t>
      </w:r>
    </w:p>
    <w:p>
      <w:pPr>
        <w:pStyle w:val="40"/>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24.2.6磋商小组成员对推荐顺序有异议的，按照少数服从多数的原则推荐成交候选供应商，磋商活动继续进行。</w:t>
      </w:r>
    </w:p>
    <w:p>
      <w:pPr>
        <w:pStyle w:val="141"/>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25.确定成交供应商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25.1本次磋商项目，授权磋商小组按照成交候选供应商排序，优先直接确定排名第一的供应商为成交供应商。</w:t>
      </w:r>
    </w:p>
    <w:p>
      <w:pPr>
        <w:pStyle w:val="141"/>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26.编写评审报告</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26.1磋商小组根据磋商记录和磋商情况及评审结果编写评审报告。</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评审报告应当包括以下主要内容：</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（一）邀请供应商参加磋商活动的具体方法和相关情况；</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（二）响应文件开启日期和地点及响应文件解密情况；</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（三）获取磋商文件的供应商名单和磋商小组成员名单；</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（四）评审情况记录和说明，包括各供应商的资格性、符合性审查情况、供应商响应文件评审情况、磋商情况、报价情况等；</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（五）提出成交供应商的排序名单和理由。</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27.评审复核</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27.1磋商小组要对评审数据进行校对、核对。</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27.2除资格性审查认定错误、分值汇总计算错误、分项评分超出评分范围、客观分评分不一致、经磋商小组一致认定畸高、畸低的情形外，代理机构或者采购方不得以任何理由组织重新评审。</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27.3采购方、代理机构发现磋商小组未按磋商文件规定的评审标准进行评审的，应当重新开展磋商活动，并同时书面报告相关部门。</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28.磋商过程保密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28.1在磋商期间，任何人不得透露与磋商有关的其他供应商的响应内容及服务方案和其他信息。</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28.2</w:t>
      </w:r>
      <w:r>
        <w:rPr>
          <w:rFonts w:hint="eastAsia" w:ascii="宋体" w:hAnsi="宋体" w:eastAsia="宋体" w:cs="宋体"/>
          <w:kern w:val="0"/>
          <w:sz w:val="24"/>
          <w:szCs w:val="24"/>
          <w:highlight w:val="none"/>
        </w:rPr>
        <w:t>采购人、代理机构应当采取必要措施，保证磋商在严格保密的情况下进行。除采购方代表、磋商现场组织人员外，采购方的其他工作人员以及与磋商工作无关的人员不得进入磋商现场。</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28.3磋商开始，直到授予成交供应商合同止，凡是属于审查、澄清、评价和比较磋商的有关资料等，均不得向供应商或其他与磋商无关的人员透露。</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28.4在磋商期间，供应商企图影响代理机构或磋商小组的任何活动，将导致磋商被拒绝，并承担相应的责任。</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28.5磋商结束后，参与评审的所有人员不得带走与相关规定要求违背的任何资料。</w:t>
      </w:r>
    </w:p>
    <w:p>
      <w:pPr>
        <w:pStyle w:val="141"/>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29.关于供应商瑕疵滞后发现的处理规则</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29.1无论基于何种原因，各项本应作拒绝或无效响应处理的情形，即便未被及时发现而使该供应商进入初审、磋商或其它后续程序的，包括已经签约的情形。一旦被发现，代理机构均有权采取相应的补救及纠正措施。</w:t>
      </w:r>
    </w:p>
    <w:p>
      <w:pPr>
        <w:keepNext w:val="0"/>
        <w:keepLines w:val="0"/>
        <w:pageBreakBefore w:val="0"/>
        <w:tabs>
          <w:tab w:val="left" w:pos="0"/>
        </w:tabs>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30.磋商项目终止</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30.1出现下列情形之一的，代理机构或采购方应当终止磋商活动，发布项目终止公告并说明原因，重新开展磋商活动：</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（一）因情况变化，不再符合规定的磋商方式适用情形的；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（二）出现影响磋商公正、公平行为的；</w:t>
      </w:r>
    </w:p>
    <w:p>
      <w:pPr>
        <w:keepNext w:val="0"/>
        <w:keepLines w:val="0"/>
        <w:pageBreakBefore w:val="0"/>
        <w:kinsoku/>
        <w:wordWrap/>
        <w:overflowPunct/>
        <w:topLinePunct w:val="0"/>
        <w:bidi w:val="0"/>
        <w:adjustRightInd/>
        <w:snapToGrid/>
        <w:spacing w:line="360" w:lineRule="auto"/>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（三）在磋商过程中符合磋商文件资格性符合性要求的供应商不足3家的，但技术复杂或者性质特殊，不能确定具体要求的情形除外。</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30.2在磋商活动中因重大变故，磋商任务取消的，代理机构或采购方应当终止磋商活动，通过发布终止项目公告的方式通知所有参加磋商活动的供应商，并将项目实施情况和磋商任务取消原因报送相关部门。</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3" w:name="_Toc31927"/>
      <w:r>
        <w:rPr>
          <w:rFonts w:hint="eastAsia" w:ascii="宋体" w:hAnsi="宋体" w:eastAsia="宋体" w:cs="宋体"/>
          <w:b/>
          <w:kern w:val="0"/>
          <w:sz w:val="24"/>
          <w:szCs w:val="24"/>
          <w:highlight w:val="none"/>
        </w:rPr>
        <w:t>七、签订合同</w:t>
      </w:r>
      <w:bookmarkEnd w:id="23"/>
    </w:p>
    <w:p>
      <w:pPr>
        <w:pStyle w:val="141"/>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31.成交公告与成交通知</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31.1代理机构或采购方应当在成交供应商确定后2个工作日内，在</w:t>
      </w:r>
      <w:r>
        <w:rPr>
          <w:rFonts w:hint="eastAsia" w:ascii="宋体" w:hAnsi="宋体" w:eastAsia="宋体" w:cs="宋体"/>
          <w:sz w:val="24"/>
          <w:szCs w:val="24"/>
          <w:highlight w:val="none"/>
          <w:u w:val="single"/>
        </w:rPr>
        <w:t>中国政府采购网山西分网</w:t>
      </w:r>
      <w:r>
        <w:rPr>
          <w:rFonts w:hint="eastAsia" w:ascii="宋体" w:hAnsi="宋体" w:eastAsia="宋体" w:cs="宋体"/>
          <w:sz w:val="24"/>
          <w:szCs w:val="24"/>
          <w:highlight w:val="none"/>
        </w:rPr>
        <w:t>发布成交结果</w:t>
      </w:r>
      <w:r>
        <w:rPr>
          <w:rFonts w:hint="eastAsia" w:ascii="宋体" w:hAnsi="宋体" w:eastAsia="宋体" w:cs="宋体"/>
          <w:kern w:val="0"/>
          <w:sz w:val="24"/>
          <w:szCs w:val="24"/>
          <w:highlight w:val="none"/>
        </w:rPr>
        <w:t>，同时向成交供应商发出成交通知书，并将磋商文件随成交结果同时公告。成交结果公告应当包括：</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（一）采购方和代理机构的名称、地址和联系方式；</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（二）项目名称和项目编号；</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（三）成交供应商名称、地址和成交金额；</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（四）主要成交标的的名称、</w:t>
      </w:r>
      <w:r>
        <w:rPr>
          <w:rFonts w:hint="eastAsia" w:ascii="宋体" w:hAnsi="宋体" w:eastAsia="宋体" w:cs="宋体"/>
          <w:kern w:val="0"/>
          <w:sz w:val="24"/>
          <w:szCs w:val="24"/>
          <w:highlight w:val="none"/>
          <w:lang w:eastAsia="zh-CN"/>
        </w:rPr>
        <w:t>服务对象</w:t>
      </w:r>
      <w:r>
        <w:rPr>
          <w:rFonts w:hint="eastAsia" w:ascii="宋体" w:hAnsi="宋体" w:eastAsia="宋体" w:cs="宋体"/>
          <w:kern w:val="0"/>
          <w:sz w:val="24"/>
          <w:szCs w:val="24"/>
          <w:highlight w:val="none"/>
        </w:rPr>
        <w:t>、服务要求、服务</w:t>
      </w:r>
      <w:r>
        <w:rPr>
          <w:rFonts w:hint="eastAsia" w:ascii="宋体" w:hAnsi="宋体" w:eastAsia="宋体" w:cs="宋体"/>
          <w:kern w:val="0"/>
          <w:sz w:val="24"/>
          <w:szCs w:val="24"/>
          <w:highlight w:val="none"/>
          <w:lang w:val="en-US" w:eastAsia="zh-CN"/>
        </w:rPr>
        <w:t>时间</w:t>
      </w:r>
      <w:r>
        <w:rPr>
          <w:rFonts w:hint="eastAsia" w:ascii="宋体" w:hAnsi="宋体" w:eastAsia="宋体" w:cs="宋体"/>
          <w:kern w:val="0"/>
          <w:sz w:val="24"/>
          <w:szCs w:val="24"/>
          <w:highlight w:val="none"/>
        </w:rPr>
        <w:t>、服务标准等；</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（五）磋商小组成员名单。</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（六）成交服务费收取标准及金额。</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七</w:t>
      </w:r>
      <w:r>
        <w:rPr>
          <w:rFonts w:hint="eastAsia" w:ascii="宋体" w:hAnsi="宋体" w:eastAsia="宋体" w:cs="宋体"/>
          <w:kern w:val="0"/>
          <w:sz w:val="24"/>
          <w:szCs w:val="24"/>
          <w:highlight w:val="none"/>
        </w:rPr>
        <w:t>）成交</w:t>
      </w:r>
      <w:r>
        <w:rPr>
          <w:rFonts w:hint="eastAsia" w:ascii="宋体" w:hAnsi="宋体" w:eastAsia="宋体" w:cs="宋体"/>
          <w:kern w:val="0"/>
          <w:sz w:val="24"/>
          <w:szCs w:val="24"/>
          <w:highlight w:val="none"/>
          <w:lang w:val="en-US" w:eastAsia="zh-CN"/>
        </w:rPr>
        <w:t>供应商的评审总得分</w:t>
      </w:r>
      <w:r>
        <w:rPr>
          <w:rFonts w:hint="eastAsia" w:ascii="宋体" w:hAnsi="宋体" w:eastAsia="宋体" w:cs="宋体"/>
          <w:kern w:val="0"/>
          <w:sz w:val="24"/>
          <w:szCs w:val="24"/>
          <w:highlight w:val="none"/>
        </w:rPr>
        <w:t>。</w:t>
      </w:r>
    </w:p>
    <w:p>
      <w:pPr>
        <w:keepNext w:val="0"/>
        <w:keepLines w:val="0"/>
        <w:pageBreakBefore w:val="0"/>
        <w:tabs>
          <w:tab w:val="left" w:pos="567"/>
        </w:tabs>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如非</w:t>
      </w:r>
      <w:r>
        <w:rPr>
          <w:rFonts w:hint="eastAsia" w:ascii="宋体" w:hAnsi="宋体" w:eastAsia="宋体" w:cs="宋体"/>
          <w:b/>
          <w:bCs/>
          <w:kern w:val="0"/>
          <w:sz w:val="24"/>
          <w:szCs w:val="24"/>
          <w:highlight w:val="none"/>
          <w:lang w:eastAsia="zh-CN"/>
        </w:rPr>
        <w:t>专门</w:t>
      </w:r>
      <w:r>
        <w:rPr>
          <w:rFonts w:hint="eastAsia" w:ascii="宋体" w:hAnsi="宋体" w:eastAsia="宋体" w:cs="宋体"/>
          <w:b/>
          <w:bCs/>
          <w:kern w:val="0"/>
          <w:sz w:val="24"/>
          <w:szCs w:val="24"/>
          <w:highlight w:val="none"/>
        </w:rPr>
        <w:t>面向中小企业的采购项目，成交供应商为中小企业产品，须同时上传中小企业声明函。</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31.2代理机构对未成交的</w:t>
      </w:r>
      <w:r>
        <w:rPr>
          <w:rFonts w:hint="eastAsia" w:ascii="宋体" w:hAnsi="宋体" w:eastAsia="宋体" w:cs="宋体"/>
          <w:sz w:val="24"/>
          <w:szCs w:val="24"/>
          <w:highlight w:val="none"/>
        </w:rPr>
        <w:t>供应商</w:t>
      </w:r>
      <w:r>
        <w:rPr>
          <w:rFonts w:hint="eastAsia" w:ascii="宋体" w:hAnsi="宋体" w:eastAsia="宋体" w:cs="宋体"/>
          <w:kern w:val="0"/>
          <w:sz w:val="24"/>
          <w:szCs w:val="24"/>
          <w:highlight w:val="none"/>
        </w:rPr>
        <w:t>不做未成交原因的解释。</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31.3成交通知书对采购方和成交供应商具有同等法律效力，是合同的组成部分。</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31.4除不可抗力等因素外，成交通知书发出后，采购方改变成交结果，或者成交供应商拒绝签订合同的，应当承担相应的责任。</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31.5成交供应商拒绝签订合同的，采购方可以确定其他供应商作为成交供应商，并签订合同；也可以重新开展磋商活动。拒绝签订合同的成交供应商不得参加对该项目重新开展的磋商活动。</w:t>
      </w:r>
    </w:p>
    <w:p>
      <w:pPr>
        <w:pStyle w:val="141"/>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32.采购代理服务费</w:t>
      </w:r>
    </w:p>
    <w:p>
      <w:pPr>
        <w:pStyle w:val="133"/>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32.1成交服务费由成交供应商负责支付，成交供应商在领取成交通知书的同时，需向采购代理机构支付成交服务费按</w:t>
      </w:r>
      <w:r>
        <w:rPr>
          <w:rFonts w:hint="eastAsia" w:ascii="宋体" w:hAnsi="宋体" w:eastAsia="宋体" w:cs="宋体"/>
          <w:kern w:val="0"/>
          <w:sz w:val="24"/>
          <w:szCs w:val="24"/>
          <w:highlight w:val="none"/>
          <w:lang w:val="en-US" w:eastAsia="zh-CN"/>
        </w:rPr>
        <w:t>成交价</w:t>
      </w:r>
      <w:r>
        <w:rPr>
          <w:rFonts w:hint="eastAsia" w:ascii="宋体" w:hAnsi="宋体" w:eastAsia="宋体" w:cs="宋体"/>
          <w:kern w:val="0"/>
          <w:sz w:val="24"/>
          <w:szCs w:val="24"/>
          <w:highlight w:val="none"/>
        </w:rPr>
        <w:t>计算。成交服务费按国家计委计价格[2002]1980号及国家发改办价格[2003]857号文件规定的收费标准收取</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请供应商在测算报价时充分考虑这一因素。</w:t>
      </w:r>
    </w:p>
    <w:p>
      <w:pPr>
        <w:pStyle w:val="133"/>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32.2成交供应商在收到成交通知书时，向采购代理机构一次性付清成交服务费。</w:t>
      </w:r>
    </w:p>
    <w:p>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33.签订合同</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w:t>
      </w:r>
      <w:r>
        <w:rPr>
          <w:rFonts w:hint="eastAsia" w:ascii="宋体" w:hAnsi="宋体" w:eastAsia="宋体" w:cs="宋体"/>
          <w:kern w:val="0"/>
          <w:sz w:val="24"/>
          <w:szCs w:val="24"/>
          <w:highlight w:val="none"/>
        </w:rPr>
        <w:t>采购方与成交供应商应当在成交通知书发出之日起30日内，</w:t>
      </w:r>
      <w:r>
        <w:rPr>
          <w:rFonts w:hint="eastAsia" w:ascii="宋体" w:hAnsi="宋体" w:eastAsia="宋体" w:cs="宋体"/>
          <w:sz w:val="24"/>
          <w:szCs w:val="24"/>
          <w:highlight w:val="none"/>
        </w:rPr>
        <w:t>按照磋商文件确定的合同文本以及磋商内容、服务、技术要求等事项签订采购合同。</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33.3除磋商文件要求可以转包、分包情形外，成交供应商不得转包、分包，亦不得将合同全部及任何权利、义务向第三方转让。</w:t>
      </w:r>
      <w:r>
        <w:rPr>
          <w:rFonts w:hint="eastAsia" w:ascii="宋体" w:hAnsi="宋体" w:eastAsia="宋体" w:cs="宋体"/>
          <w:kern w:val="0"/>
          <w:sz w:val="24"/>
          <w:szCs w:val="24"/>
          <w:highlight w:val="none"/>
        </w:rPr>
        <w:t>代理机构或采购方有权决定按照成交供应商成交后毁标、终止或解除合同等依约处理。</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33.4</w:t>
      </w:r>
      <w:r>
        <w:rPr>
          <w:rFonts w:hint="eastAsia" w:ascii="宋体" w:hAnsi="宋体" w:eastAsia="宋体" w:cs="宋体"/>
          <w:kern w:val="0"/>
          <w:sz w:val="24"/>
          <w:szCs w:val="24"/>
          <w:highlight w:val="none"/>
        </w:rPr>
        <w:t>采购方与成交供应商应当根据合同约定依法履行合同义务，否则，应承担赔偿责任。</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33.5</w:t>
      </w:r>
      <w:r>
        <w:rPr>
          <w:rFonts w:hint="eastAsia" w:ascii="宋体" w:hAnsi="宋体" w:eastAsia="宋体" w:cs="宋体"/>
          <w:sz w:val="24"/>
          <w:szCs w:val="24"/>
          <w:highlight w:val="none"/>
        </w:rPr>
        <w:t>成交供应商应当自合同或补充合同签订之日起五个工作日内将合同报代理机构备案。</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4" w:name="_Toc26686"/>
      <w:r>
        <w:rPr>
          <w:rFonts w:hint="eastAsia" w:ascii="宋体" w:hAnsi="宋体" w:eastAsia="宋体" w:cs="宋体"/>
          <w:b/>
          <w:kern w:val="0"/>
          <w:sz w:val="24"/>
          <w:szCs w:val="24"/>
          <w:highlight w:val="none"/>
        </w:rPr>
        <w:t>八、保密和披露</w:t>
      </w:r>
      <w:bookmarkEnd w:id="24"/>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34.1供应商自获取磋商文件之日起，须承诺承担对本磋商项目的保密义务，不得将因本次磋商获得的信息向第三方外传。</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34.2参加磋商过程的有关人员对磋商情况以及在磋商过程中获悉的国家秘密、商业秘密负有保密责任。</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34.3代理机构有权将供应商提供的所有资料向有关部门或评审的有关人员披露。</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5" w:name="_Toc20548"/>
      <w:r>
        <w:rPr>
          <w:rFonts w:hint="eastAsia" w:ascii="宋体" w:hAnsi="宋体" w:eastAsia="宋体" w:cs="宋体"/>
          <w:b/>
          <w:kern w:val="0"/>
          <w:sz w:val="24"/>
          <w:szCs w:val="24"/>
          <w:highlight w:val="none"/>
        </w:rPr>
        <w:t>九、询问和质疑</w:t>
      </w:r>
      <w:bookmarkEnd w:id="25"/>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九、询问、质疑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.磋商程序受本文件及相关法律法规的约束，并受到上级主管部门严格的监督，为确保授予合同过程的公平公正，供应商有权就本磋商项目事宜按以下要求提出询问或质疑。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.1供应商对本磋商文件、磋商活动事项有疑问的，应通过山西省政府采购平台中的“项目质疑管理”程序在线向采购人或采购代理机构提出询问或质疑。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.2供应商在质疑期内，应当一次性提出针对同一磋商程序环节的质疑；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.3供应商认为本磋商文件、磋商过程、中标或者成交结果使自己的合法权益受到损害的，可以在知道或者应知其权益受到损害之日起7个工作日内提出；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.4提出质疑的供应商应当是参与本项目磋商活动的供应商；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潜在供应商已依法获取其可质疑的磋商文件的，可以对该文件提出质疑。对磋商文件提出质疑的，应当在获取磋商文件或者磋商公告期限届满之日起7个工作日内提出；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.5提出质疑的供应商为自然人的，应当由本人签字；为法人或者其他组织的，应当由法定代表人、主要负责人或者参加本</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项目的授权代表或授权委托代理人签字或者盖章，并加盖公章；</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.6供应商提出质疑应当提交质疑函和必要的证明材料。质疑函应当包括以下主要内容：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.6.1供应商的姓名或者名称、地址、邮编、联系人及联系电话；</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.6.2质疑项目名称、编号、包号；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.6.3具体、明确的质疑事项和与质疑事项相关的请求；</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.6.4事实依据；</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.6.5必要的法律依据；</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.6.6提出质疑的日期。</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7供应商在线提起质疑应如实填写“项目质疑管理”程序“质疑列表”中有关质疑事项的全部内容，并按系统要求的文件格式上传必要的证明材料扫描件或图片；在线质疑由供应商委托代理人提起的，还需上传授权委托书及被委托人身份证明，授权委托书应当载明委托人及被委托人的姓名或名称、代理事项、具体权限、期限等。</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.8有下列情形之一的，采购代理机构或采购人应当在山西省政府采购平台的“项目质疑管理”程序中的“受理内容”处标明“退回补正”，并说明“原因”：</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.8.1质疑未按3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.7的要求提出的；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.8.2质疑未按3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.5要求签字或盖章的；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.8.3其它不符合要求的质疑情形。</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.9存在以下情形的，供应商的质疑采购代理机构或采购人不予受理：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.9.1潜在供应商未依法获取其可质疑的</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文件，对</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文件进行质疑的；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.9.2供应商在法定质疑期内针对同一</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程序环节重复提出的质疑；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.9.3未参加本项目</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活动的供应商针对</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过程、中标或者成交结果提出质疑的；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.9.4超过3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.3、3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.4规定质疑期发出的质疑。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35.10代理机构或采购方不得拒收质疑供应商在法定质疑期内发出的质疑函，应当在收到质疑函后7个工作日内做出答复，并以书面形式通知质疑供应商和其他有关供应商。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35.11供应商对磋商过程、成交结果提出质疑的，代理机构或采购方可以组织原磋商小组协助答复质疑。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35.12质疑答复应当包含以下内容：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35.13采购方、代理机构认为供应商质疑不成立，或者成立但未对成交结果构成影响的，继续开展磋商活动；认为供应商质疑成立且影响或者可能影响成交结果的，按照下列情况处理：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35.13.1对磋商文件提出的质疑，通过澄清或者修改可以继续开展磋商活动；否则应当修改磋商文件后重新开展活动。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35.13.2对磋商过程、成交结果提出的质疑，合格供应商符合规定数量时，可以从合格的成交候选人中另行确定成交供应商的，应当另行确定成交供应商；否则应当重新开展磋商活动。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质疑答复导致成交结果改变的，代理机构应当将有关情况书面报告相关部门。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35.14质疑供应商对采购方、代理机构的答复不满意，或者代理机构未在规定的时间内做出答复的，可以在答复期满后15个工作日内向相关部门投诉。</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35.15接收质疑函的联系方式</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联系单位：</w:t>
      </w:r>
      <w:r>
        <w:rPr>
          <w:rFonts w:hint="eastAsia" w:ascii="宋体" w:hAnsi="宋体" w:cs="宋体"/>
          <w:kern w:val="0"/>
          <w:sz w:val="24"/>
          <w:szCs w:val="24"/>
          <w:highlight w:val="none"/>
          <w:lang w:eastAsia="zh-CN"/>
        </w:rPr>
        <w:t>山西宏昇伟业工程咨询有限公司</w:t>
      </w:r>
    </w:p>
    <w:p>
      <w:pPr>
        <w:pStyle w:val="134"/>
        <w:spacing w:line="360" w:lineRule="auto"/>
        <w:ind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项目联系人</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薛乘风、杨雪婷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color w:val="000000"/>
          <w:sz w:val="24"/>
          <w:highlight w:val="none"/>
        </w:rPr>
        <w:t xml:space="preserve">电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话</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15513889789、</w:t>
      </w:r>
      <w:r>
        <w:rPr>
          <w:rFonts w:hint="eastAsia" w:ascii="宋体" w:hAnsi="宋体" w:eastAsia="宋体" w:cs="宋体"/>
          <w:color w:val="000000"/>
          <w:sz w:val="24"/>
          <w:highlight w:val="none"/>
        </w:rPr>
        <w:t>15110402047</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6" w:name="_Toc28181"/>
      <w:r>
        <w:rPr>
          <w:rFonts w:hint="eastAsia" w:ascii="宋体" w:hAnsi="宋体" w:eastAsia="宋体" w:cs="宋体"/>
          <w:b/>
          <w:kern w:val="0"/>
          <w:sz w:val="24"/>
          <w:szCs w:val="24"/>
          <w:highlight w:val="none"/>
        </w:rPr>
        <w:t>十、违约处罚</w:t>
      </w:r>
      <w:bookmarkEnd w:id="26"/>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 供应商发生下列情况之一的，磋商保证金将被没收，并可能被列入不良记录名单，同时代理机构将提请相关监管部门，依据相关规定作出处理。 </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36.1开启后在响应文件有效期内，供应商撤回其响应文件；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36.2在磋商期间，供应商企图影响代理机构或磋商小组的任何活动，将导致报价被拒绝，并由其承担相应的法律责任；</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36.3成交供应商未按本磋商文件规定签约； </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36.4成交供应商与采购方订立背离合同实质性内容的其它协议； </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36.5成交供应商未按磋商文件规定和合同约定履行义务的。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37.采购方有下列情形之一的，由有关部门责令限期改正；情节严重的，给予警告：</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（一）未按照本办法的规定编制磋商需求的；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（二）采购方向供应商索要或者接受其给予的赠品、回扣或者与磋商无关的其他商品、服务的；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38.磋商小组及其成员不得有下列行为：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（一）确定参与评审至评审结束前私自接触供应商；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（二）接受供应商提出的与响应文件不一致的澄清或者说明，对于响应文件中含义不明确、同类问题表述不一致或者有明显文字和计算错误的内容的情形除外；</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（三）违反评审纪律发表倾向性意见或者征询采购方的倾向性意见；</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（四）对需要专业判断的主观评审因素协商评分；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（五）在评审过程中擅离职守，影响评审程序正常进行的；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（六）记录、复制或者带走任何评标资料；</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（七）其他不遵守评标纪律的行为。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磋商小组成员有前款第一至五项行为之一的，其评审意见无效，并不得获取评审劳务报酬和报销异地评审差旅费。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39.代理机构或采购方有下列情形之一的，由相关部门责令限期改正，情节严重的，给予警告：</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（一）代理机构及其分支机构在所代理的磋商项目中参与磋商活动的，为所代理的磋商项目的供应商参加本项目提供咨询的；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（二）未按照规定进行资格预审的；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（三）违反规定确定磋商文件售价的；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（四）未按规定对磋商文件、评审活动进行全程录音录像的；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（五）擅自终止磋商活动的；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（六）未按照规定对响应文件进行解密和组织评审的；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（七）未按照规定退还磋商保证金的；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（八）违反本办法规定进行重新评审或者重新组建磋商小组进行评审的；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（九）开启前泄露已获取磋商文件的潜在供应商的名称、数量或者其他可能影响公平竞争的有关磋商活动情况的；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（十）未妥善保存磋商采购文件的；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（十一）其他违反本办法规定的情形。</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7" w:name="_Toc20967"/>
      <w:r>
        <w:rPr>
          <w:rFonts w:hint="eastAsia" w:ascii="宋体" w:hAnsi="宋体" w:eastAsia="宋体" w:cs="宋体"/>
          <w:b/>
          <w:kern w:val="0"/>
          <w:sz w:val="24"/>
          <w:szCs w:val="24"/>
          <w:highlight w:val="none"/>
        </w:rPr>
        <w:t>十一、</w:t>
      </w:r>
      <w:bookmarkStart w:id="28" w:name="_Toc466533586"/>
      <w:r>
        <w:rPr>
          <w:rFonts w:hint="eastAsia" w:ascii="宋体" w:hAnsi="宋体" w:eastAsia="宋体" w:cs="宋体"/>
          <w:b/>
          <w:kern w:val="0"/>
          <w:sz w:val="24"/>
          <w:szCs w:val="24"/>
          <w:highlight w:val="none"/>
        </w:rPr>
        <w:t>政策性要求评审内容及标准</w:t>
      </w:r>
      <w:bookmarkEnd w:id="27"/>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val="en-US" w:eastAsia="zh-CN"/>
        </w:rPr>
        <w:t>供应商</w:t>
      </w:r>
      <w:r>
        <w:rPr>
          <w:rFonts w:hint="eastAsia" w:ascii="宋体" w:hAnsi="宋体" w:eastAsia="宋体" w:cs="宋体"/>
          <w:sz w:val="24"/>
          <w:szCs w:val="24"/>
        </w:rPr>
        <w:t>须知前附表。</w:t>
      </w:r>
    </w:p>
    <w:p>
      <w:pPr>
        <w:overflowPunct w:val="0"/>
        <w:topLinePunct/>
        <w:autoSpaceDN w:val="0"/>
        <w:adjustRightInd w:val="0"/>
        <w:snapToGrid w:val="0"/>
        <w:spacing w:line="360" w:lineRule="auto"/>
        <w:jc w:val="center"/>
        <w:outlineLvl w:val="0"/>
        <w:rPr>
          <w:b/>
          <w:kern w:val="0"/>
          <w:sz w:val="24"/>
          <w:highlight w:val="none"/>
        </w:rPr>
      </w:pPr>
      <w:r>
        <w:rPr>
          <w:b/>
          <w:bCs/>
          <w:snapToGrid w:val="0"/>
          <w:kern w:val="0"/>
          <w:sz w:val="36"/>
          <w:szCs w:val="36"/>
          <w:highlight w:val="none"/>
        </w:rPr>
        <w:br w:type="page"/>
      </w:r>
      <w:bookmarkStart w:id="29" w:name="_Toc29132"/>
      <w:r>
        <w:rPr>
          <w:b/>
          <w:bCs/>
          <w:snapToGrid w:val="0"/>
          <w:kern w:val="0"/>
          <w:sz w:val="30"/>
          <w:szCs w:val="30"/>
          <w:highlight w:val="none"/>
        </w:rPr>
        <w:t>第四部分  评审标准和评定方法</w:t>
      </w:r>
      <w:bookmarkEnd w:id="29"/>
    </w:p>
    <w:p>
      <w:pPr>
        <w:snapToGrid w:val="0"/>
        <w:spacing w:line="360" w:lineRule="auto"/>
        <w:jc w:val="left"/>
        <w:outlineLvl w:val="1"/>
        <w:rPr>
          <w:b/>
          <w:kern w:val="0"/>
          <w:sz w:val="24"/>
          <w:szCs w:val="24"/>
          <w:highlight w:val="none"/>
        </w:rPr>
      </w:pPr>
      <w:bookmarkStart w:id="30" w:name="_Toc26237"/>
      <w:r>
        <w:rPr>
          <w:b/>
          <w:kern w:val="0"/>
          <w:sz w:val="24"/>
          <w:szCs w:val="24"/>
          <w:highlight w:val="none"/>
        </w:rPr>
        <w:t>一、资格性审查要求</w:t>
      </w:r>
      <w:bookmarkEnd w:id="30"/>
    </w:p>
    <w:tbl>
      <w:tblPr>
        <w:tblStyle w:val="45"/>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190"/>
        <w:gridCol w:w="2863"/>
        <w:gridCol w:w="3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46" w:type="pct"/>
            <w:vAlign w:val="center"/>
          </w:tcPr>
          <w:p>
            <w:pPr>
              <w:keepNext w:val="0"/>
              <w:keepLines w:val="0"/>
              <w:suppressLineNumbers w:val="0"/>
              <w:spacing w:before="0" w:beforeAutospacing="0" w:after="0" w:afterAutospacing="0"/>
              <w:ind w:left="-63" w:leftChars="-30" w:right="-63" w:rightChars="-30"/>
              <w:rPr>
                <w:rFonts w:hint="default" w:ascii="Times New Roman" w:hAnsi="Times New Roman"/>
                <w:sz w:val="24"/>
                <w:szCs w:val="24"/>
                <w:highlight w:val="none"/>
              </w:rPr>
            </w:pPr>
            <w:r>
              <w:rPr>
                <w:rFonts w:hint="eastAsia" w:ascii="Times New Roman" w:hAnsi="Times New Roman"/>
                <w:sz w:val="24"/>
                <w:szCs w:val="24"/>
                <w:highlight w:val="none"/>
              </w:rPr>
              <w:t>序号</w:t>
            </w:r>
          </w:p>
        </w:tc>
        <w:tc>
          <w:tcPr>
            <w:tcW w:w="699" w:type="pct"/>
            <w:vAlign w:val="center"/>
          </w:tcPr>
          <w:p>
            <w:pPr>
              <w:keepNext w:val="0"/>
              <w:keepLines w:val="0"/>
              <w:suppressLineNumbers w:val="0"/>
              <w:spacing w:before="0" w:beforeAutospacing="0" w:after="0" w:afterAutospacing="0"/>
              <w:ind w:left="0" w:right="0"/>
              <w:jc w:val="center"/>
              <w:rPr>
                <w:rFonts w:hint="default" w:ascii="Times New Roman" w:hAnsi="Times New Roman"/>
                <w:sz w:val="24"/>
                <w:szCs w:val="24"/>
                <w:highlight w:val="none"/>
              </w:rPr>
            </w:pPr>
            <w:r>
              <w:rPr>
                <w:rFonts w:hint="eastAsia" w:ascii="Times New Roman" w:hAnsi="Times New Roman"/>
                <w:sz w:val="24"/>
                <w:szCs w:val="24"/>
                <w:highlight w:val="none"/>
              </w:rPr>
              <w:t>类型</w:t>
            </w:r>
          </w:p>
        </w:tc>
        <w:tc>
          <w:tcPr>
            <w:tcW w:w="1682" w:type="pct"/>
            <w:vAlign w:val="center"/>
          </w:tcPr>
          <w:p>
            <w:pPr>
              <w:keepNext w:val="0"/>
              <w:keepLines w:val="0"/>
              <w:suppressLineNumbers w:val="0"/>
              <w:spacing w:before="0" w:beforeAutospacing="0" w:after="0" w:afterAutospacing="0"/>
              <w:ind w:left="0" w:right="0"/>
              <w:jc w:val="center"/>
              <w:rPr>
                <w:rFonts w:hint="default" w:ascii="Times New Roman" w:hAnsi="Times New Roman"/>
                <w:sz w:val="24"/>
                <w:szCs w:val="24"/>
                <w:highlight w:val="none"/>
              </w:rPr>
            </w:pPr>
            <w:r>
              <w:rPr>
                <w:rFonts w:hint="eastAsia" w:ascii="Times New Roman" w:hAnsi="Times New Roman"/>
                <w:sz w:val="24"/>
                <w:szCs w:val="24"/>
                <w:highlight w:val="none"/>
              </w:rPr>
              <w:t>评审因素</w:t>
            </w:r>
          </w:p>
        </w:tc>
        <w:tc>
          <w:tcPr>
            <w:tcW w:w="2271" w:type="pct"/>
            <w:vAlign w:val="center"/>
          </w:tcPr>
          <w:p>
            <w:pPr>
              <w:keepNext w:val="0"/>
              <w:keepLines w:val="0"/>
              <w:suppressLineNumbers w:val="0"/>
              <w:spacing w:before="0" w:beforeAutospacing="0" w:after="0" w:afterAutospacing="0" w:line="440" w:lineRule="exact"/>
              <w:ind w:left="0" w:right="0"/>
              <w:jc w:val="center"/>
              <w:rPr>
                <w:rFonts w:hint="default" w:ascii="Times New Roman" w:hAnsi="Times New Roman"/>
                <w:sz w:val="24"/>
                <w:szCs w:val="24"/>
                <w:highlight w:val="none"/>
              </w:rPr>
            </w:pPr>
            <w:r>
              <w:rPr>
                <w:rFonts w:hint="eastAsia" w:ascii="Times New Roman" w:hAnsi="Times New Roman"/>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9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营业执照</w:t>
            </w:r>
          </w:p>
        </w:tc>
        <w:tc>
          <w:tcPr>
            <w:tcW w:w="168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具有独立承担民事责任的能力</w:t>
            </w:r>
          </w:p>
        </w:tc>
        <w:tc>
          <w:tcPr>
            <w:tcW w:w="227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提供供应商信用承诺书。</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以上证明材料须符合要求、有效、完整。</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9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财务报告</w:t>
            </w:r>
          </w:p>
        </w:tc>
        <w:tc>
          <w:tcPr>
            <w:tcW w:w="168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具有良好的商业信誉和健全的财务会计制度</w:t>
            </w:r>
          </w:p>
        </w:tc>
        <w:tc>
          <w:tcPr>
            <w:tcW w:w="227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提供供应商信用承诺书。</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以上证明材料须符合要求、有效、完整。</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9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基本资质</w:t>
            </w:r>
          </w:p>
        </w:tc>
        <w:tc>
          <w:tcPr>
            <w:tcW w:w="168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具有履行合同所必需的设备和专业技术能力</w:t>
            </w:r>
          </w:p>
        </w:tc>
        <w:tc>
          <w:tcPr>
            <w:tcW w:w="227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提供供应商信用承诺书。</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以上证明材料须符合要求、有效、完整。</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9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基本资质</w:t>
            </w:r>
          </w:p>
        </w:tc>
        <w:tc>
          <w:tcPr>
            <w:tcW w:w="168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有依法缴纳税收和社会保障资金的良好记录</w:t>
            </w:r>
          </w:p>
        </w:tc>
        <w:tc>
          <w:tcPr>
            <w:tcW w:w="227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提供供应商信用承诺书。</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以上证明材料须符合要求、有效、完整。</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9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基本资质</w:t>
            </w:r>
          </w:p>
        </w:tc>
        <w:tc>
          <w:tcPr>
            <w:tcW w:w="168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参加政府采购活动前三年内，在 经营活动中没有重大违法记录</w:t>
            </w:r>
          </w:p>
        </w:tc>
        <w:tc>
          <w:tcPr>
            <w:tcW w:w="227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提供供应商信用承诺书。</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以上证明材料须符合要求、有效、完整。</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69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基本资质</w:t>
            </w:r>
          </w:p>
        </w:tc>
        <w:tc>
          <w:tcPr>
            <w:tcW w:w="168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法律、行政法规规定的其他条件</w:t>
            </w:r>
          </w:p>
        </w:tc>
        <w:tc>
          <w:tcPr>
            <w:tcW w:w="227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提供供应商信用承诺书。</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以上证明材料须符合要求、有效、完整。</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6" w:type="pct"/>
            <w:vAlign w:val="center"/>
          </w:tcPr>
          <w:p>
            <w:pPr>
              <w:keepNext w:val="0"/>
              <w:keepLines w:val="0"/>
              <w:suppressLineNumbers w:val="0"/>
              <w:bidi w:val="0"/>
              <w:spacing w:before="0" w:beforeAutospacing="0" w:after="0" w:afterAutospacing="0"/>
              <w:ind w:left="0" w:right="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69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基本资质</w:t>
            </w:r>
          </w:p>
        </w:tc>
        <w:tc>
          <w:tcPr>
            <w:tcW w:w="168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对</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lang w:val="en-US" w:eastAsia="zh-CN"/>
              </w:rPr>
              <w:t>提交的磋商保证金凭证进行审查</w:t>
            </w:r>
          </w:p>
        </w:tc>
        <w:tc>
          <w:tcPr>
            <w:tcW w:w="227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7.1磋商保证金凭证落款时间须在递交响应文件截止时间前；</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7.2磋商保证金金额及其他要求须符合磋商文件要求；</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7.3不符合以上要求的或未提供的，</w:t>
            </w:r>
            <w:r>
              <w:rPr>
                <w:rFonts w:hint="eastAsia" w:ascii="宋体" w:hAnsi="宋体" w:eastAsia="宋体" w:cs="宋体"/>
                <w:color w:val="000000"/>
                <w:sz w:val="24"/>
                <w:highlight w:val="none"/>
                <w:lang w:eastAsia="zh-CN"/>
              </w:rPr>
              <w:t>响应无效</w:t>
            </w:r>
            <w:r>
              <w:rPr>
                <w:rFonts w:hint="eastAsia" w:ascii="宋体" w:hAnsi="宋体" w:eastAsia="宋体" w:cs="宋体"/>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8</w:t>
            </w:r>
          </w:p>
        </w:tc>
        <w:tc>
          <w:tcPr>
            <w:tcW w:w="69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特定资质</w:t>
            </w:r>
          </w:p>
        </w:tc>
        <w:tc>
          <w:tcPr>
            <w:tcW w:w="168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供应商须具备建设行政主管部门颁发的市政行业(道路工程、排水工程)专业设计乙级及以上资质或工程设计综合甲级资质；拟派项目负责人须具备高级工程师职称资格。</w:t>
            </w:r>
          </w:p>
        </w:tc>
        <w:tc>
          <w:tcPr>
            <w:tcW w:w="227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供应商须具备建设行政主管部门颁发的市政行业(道路工程、排水工程)专业设计乙级及以上资质或工程设计综合甲级资质；拟派项目负责人须具备高级工程师职称资格。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6" w:type="pct"/>
            <w:vAlign w:val="center"/>
          </w:tcPr>
          <w:p>
            <w:pPr>
              <w:keepNext w:val="0"/>
              <w:keepLines w:val="0"/>
              <w:suppressLineNumbers w:val="0"/>
              <w:bidi w:val="0"/>
              <w:spacing w:before="0" w:beforeAutospacing="0" w:after="0" w:afterAutospacing="0"/>
              <w:ind w:left="0" w:right="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9</w:t>
            </w:r>
          </w:p>
        </w:tc>
        <w:tc>
          <w:tcPr>
            <w:tcW w:w="69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采购政策</w:t>
            </w:r>
          </w:p>
        </w:tc>
        <w:tc>
          <w:tcPr>
            <w:tcW w:w="168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供应商应为中小企业</w:t>
            </w:r>
          </w:p>
        </w:tc>
        <w:tc>
          <w:tcPr>
            <w:tcW w:w="227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请根据要求单独上传《中小企业声明函》。格式以磋商文件要求为准。</w:t>
            </w:r>
          </w:p>
        </w:tc>
      </w:tr>
    </w:tbl>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说明：除上述内容外，供应商提供的其他材料，不作为资格审查的内容。</w:t>
      </w: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1"/>
        <w:rPr>
          <w:rFonts w:hint="eastAsia" w:ascii="宋体" w:hAnsi="宋体" w:eastAsia="宋体" w:cs="宋体"/>
          <w:b/>
          <w:sz w:val="24"/>
          <w:szCs w:val="24"/>
          <w:highlight w:val="none"/>
        </w:rPr>
      </w:pPr>
      <w:bookmarkStart w:id="31" w:name="_Toc10236"/>
      <w:r>
        <w:rPr>
          <w:rFonts w:hint="eastAsia" w:ascii="宋体" w:hAnsi="宋体" w:eastAsia="宋体" w:cs="宋体"/>
          <w:b/>
          <w:sz w:val="24"/>
          <w:szCs w:val="24"/>
          <w:highlight w:val="none"/>
        </w:rPr>
        <w:t>二、符合性审查要求</w:t>
      </w:r>
      <w:bookmarkEnd w:id="31"/>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263"/>
        <w:gridCol w:w="1695"/>
        <w:gridCol w:w="4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81" w:type="pct"/>
            <w:noWrap w:val="0"/>
            <w:vAlign w:val="center"/>
          </w:tcPr>
          <w:p>
            <w:pPr>
              <w:keepNext w:val="0"/>
              <w:keepLines w:val="0"/>
              <w:suppressLineNumbers w:val="0"/>
              <w:adjustRightInd w:val="0"/>
              <w:snapToGrid w:val="0"/>
              <w:spacing w:before="0" w:beforeAutospacing="0" w:after="0" w:afterAutospacing="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741" w:type="pct"/>
            <w:noWrap w:val="0"/>
            <w:vAlign w:val="center"/>
          </w:tcPr>
          <w:p>
            <w:pPr>
              <w:keepNext w:val="0"/>
              <w:keepLines w:val="0"/>
              <w:suppressLineNumbers w:val="0"/>
              <w:adjustRightInd w:val="0"/>
              <w:snapToGrid w:val="0"/>
              <w:spacing w:before="0" w:beforeAutospacing="0" w:after="0" w:afterAutospacing="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类型</w:t>
            </w:r>
          </w:p>
        </w:tc>
        <w:tc>
          <w:tcPr>
            <w:tcW w:w="995" w:type="pct"/>
            <w:noWrap w:val="0"/>
            <w:vAlign w:val="center"/>
          </w:tcPr>
          <w:p>
            <w:pPr>
              <w:keepNext w:val="0"/>
              <w:keepLines w:val="0"/>
              <w:suppressLineNumbers w:val="0"/>
              <w:adjustRightInd w:val="0"/>
              <w:snapToGrid w:val="0"/>
              <w:spacing w:before="0" w:beforeAutospacing="0" w:after="0" w:afterAutospacing="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要求</w:t>
            </w:r>
          </w:p>
        </w:tc>
        <w:tc>
          <w:tcPr>
            <w:tcW w:w="2881" w:type="pc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提供的法定代表人（负责人）身份证明文件进行审查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1.1证明文件须按</w:t>
            </w:r>
            <w:r>
              <w:rPr>
                <w:rFonts w:hint="eastAsia" w:ascii="宋体" w:hAnsi="宋体" w:eastAsia="宋体" w:cs="宋体"/>
                <w:color w:val="000000"/>
                <w:sz w:val="24"/>
                <w:highlight w:val="none"/>
                <w:lang w:val="en-US" w:eastAsia="zh-CN"/>
              </w:rPr>
              <w:t>磋商</w:t>
            </w:r>
            <w:r>
              <w:rPr>
                <w:rFonts w:hint="eastAsia" w:ascii="宋体" w:hAnsi="宋体" w:eastAsia="宋体" w:cs="宋体"/>
                <w:color w:val="000000"/>
                <w:sz w:val="24"/>
                <w:highlight w:val="none"/>
              </w:rPr>
              <w:t>文件中提供的格式填写，且内容完整、准确、真实、有效。</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1.2证明文件须按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提供的法定代表人（负责人）授权委托书证明文件进行审查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2.1证明文件须按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中提供的格式填写，且内容完整、准确、真实、有效。</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2.2证明文件须按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2.3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w:t>
            </w:r>
            <w:r>
              <w:rPr>
                <w:rFonts w:hint="eastAsia" w:ascii="宋体" w:hAnsi="宋体" w:eastAsia="宋体" w:cs="宋体"/>
                <w:color w:val="000000"/>
                <w:sz w:val="24"/>
                <w:highlight w:val="none"/>
                <w:lang w:val="en-US" w:eastAsia="zh-CN"/>
              </w:rPr>
              <w:t>磋商</w:t>
            </w:r>
            <w:r>
              <w:rPr>
                <w:rFonts w:hint="eastAsia" w:ascii="宋体" w:hAnsi="宋体" w:eastAsia="宋体" w:cs="宋体"/>
                <w:color w:val="000000"/>
                <w:sz w:val="24"/>
                <w:highlight w:val="none"/>
              </w:rPr>
              <w:t>函进行审查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3.1</w:t>
            </w:r>
            <w:r>
              <w:rPr>
                <w:rFonts w:hint="eastAsia" w:ascii="宋体" w:hAnsi="宋体" w:eastAsia="宋体" w:cs="宋体"/>
                <w:color w:val="000000"/>
                <w:sz w:val="24"/>
                <w:highlight w:val="none"/>
                <w:lang w:val="en-US" w:eastAsia="zh-CN"/>
              </w:rPr>
              <w:t>磋商</w:t>
            </w:r>
            <w:r>
              <w:rPr>
                <w:rFonts w:hint="eastAsia" w:ascii="宋体" w:hAnsi="宋体" w:eastAsia="宋体" w:cs="宋体"/>
                <w:color w:val="000000"/>
                <w:sz w:val="24"/>
                <w:highlight w:val="none"/>
              </w:rPr>
              <w:t>函须按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中提供的格式填写，且内容完整、准确、真实、有效。</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3.2</w:t>
            </w:r>
            <w:r>
              <w:rPr>
                <w:rFonts w:hint="eastAsia" w:ascii="宋体" w:hAnsi="宋体" w:eastAsia="宋体" w:cs="宋体"/>
                <w:color w:val="000000"/>
                <w:sz w:val="24"/>
                <w:highlight w:val="none"/>
                <w:lang w:val="en-US" w:eastAsia="zh-CN"/>
              </w:rPr>
              <w:t>磋商</w:t>
            </w:r>
            <w:r>
              <w:rPr>
                <w:rFonts w:hint="eastAsia" w:ascii="宋体" w:hAnsi="宋体" w:eastAsia="宋体" w:cs="宋体"/>
                <w:color w:val="000000"/>
                <w:sz w:val="24"/>
                <w:highlight w:val="none"/>
              </w:rPr>
              <w:t>函须按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3.3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w:t>
            </w:r>
            <w:r>
              <w:rPr>
                <w:rFonts w:hint="eastAsia" w:ascii="宋体" w:hAnsi="宋体" w:eastAsia="宋体" w:cs="宋体"/>
                <w:color w:val="000000"/>
                <w:sz w:val="24"/>
                <w:highlight w:val="none"/>
                <w:lang w:val="en-US" w:eastAsia="zh-CN"/>
              </w:rPr>
              <w:t>报价</w:t>
            </w:r>
            <w:r>
              <w:rPr>
                <w:rFonts w:hint="eastAsia" w:ascii="宋体" w:hAnsi="宋体" w:eastAsia="宋体" w:cs="宋体"/>
                <w:color w:val="000000"/>
                <w:sz w:val="24"/>
                <w:highlight w:val="none"/>
              </w:rPr>
              <w:t>一览表进行审查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4.1</w:t>
            </w:r>
            <w:r>
              <w:rPr>
                <w:rFonts w:hint="eastAsia" w:ascii="宋体" w:hAnsi="宋体" w:eastAsia="宋体" w:cs="宋体"/>
                <w:color w:val="000000"/>
                <w:sz w:val="24"/>
                <w:highlight w:val="none"/>
                <w:lang w:val="en-US" w:eastAsia="zh-CN"/>
              </w:rPr>
              <w:t>报价</w:t>
            </w:r>
            <w:r>
              <w:rPr>
                <w:rFonts w:hint="eastAsia" w:ascii="宋体" w:hAnsi="宋体" w:eastAsia="宋体" w:cs="宋体"/>
                <w:color w:val="000000"/>
                <w:sz w:val="24"/>
                <w:highlight w:val="none"/>
              </w:rPr>
              <w:t>一览表须按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中提供的格式填写，且内容完整、准确、无漏项、无缺项、无可选择或可调整报价。</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4.2</w:t>
            </w:r>
            <w:r>
              <w:rPr>
                <w:rFonts w:hint="eastAsia" w:ascii="宋体" w:hAnsi="宋体" w:eastAsia="宋体" w:cs="宋体"/>
                <w:color w:val="000000"/>
                <w:sz w:val="24"/>
                <w:highlight w:val="none"/>
                <w:lang w:val="en-US" w:eastAsia="zh-CN"/>
              </w:rPr>
              <w:t>报价</w:t>
            </w:r>
            <w:r>
              <w:rPr>
                <w:rFonts w:hint="eastAsia" w:ascii="宋体" w:hAnsi="宋体" w:eastAsia="宋体" w:cs="宋体"/>
                <w:color w:val="000000"/>
                <w:sz w:val="24"/>
                <w:highlight w:val="none"/>
              </w:rPr>
              <w:t>一览表须按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4.3不符合以上要求的，</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提供的商务条款响应表的响应情况进行审查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5.1响应表须按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中提供的格式填写，且响应内容完整、准确、真实、有效，无空项、漏项。</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5.2响应表须按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5.3对</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第</w:t>
            </w:r>
            <w:r>
              <w:rPr>
                <w:rFonts w:hint="eastAsia" w:ascii="宋体" w:hAnsi="宋体" w:eastAsia="宋体" w:cs="宋体"/>
                <w:color w:val="000000"/>
                <w:sz w:val="24"/>
                <w:highlight w:val="none"/>
                <w:lang w:val="en-US" w:eastAsia="zh-CN"/>
              </w:rPr>
              <w:t>四</w:t>
            </w:r>
            <w:r>
              <w:rPr>
                <w:rFonts w:hint="eastAsia" w:ascii="宋体" w:hAnsi="宋体" w:eastAsia="宋体" w:cs="宋体"/>
                <w:color w:val="000000"/>
                <w:sz w:val="24"/>
                <w:highlight w:val="none"/>
              </w:rPr>
              <w:t>部分的</w:t>
            </w:r>
            <w:r>
              <w:rPr>
                <w:rFonts w:hint="eastAsia" w:ascii="宋体" w:hAnsi="宋体" w:eastAsia="宋体" w:cs="宋体"/>
                <w:color w:val="000000"/>
                <w:sz w:val="24"/>
                <w:highlight w:val="none"/>
                <w:lang w:val="en-US" w:eastAsia="zh-CN"/>
              </w:rPr>
              <w:t>商务</w:t>
            </w:r>
            <w:r>
              <w:rPr>
                <w:rFonts w:hint="eastAsia" w:ascii="宋体" w:hAnsi="宋体" w:eastAsia="宋体" w:cs="宋体"/>
                <w:color w:val="000000"/>
                <w:sz w:val="24"/>
                <w:highlight w:val="none"/>
              </w:rPr>
              <w:t>要求全部做出实质性响应。</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5.4</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技术</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w:t>
            </w:r>
            <w:r>
              <w:rPr>
                <w:rFonts w:hint="eastAsia" w:ascii="宋体" w:hAnsi="宋体" w:eastAsia="宋体" w:cs="宋体"/>
                <w:color w:val="000000"/>
                <w:sz w:val="24"/>
                <w:highlight w:val="none"/>
                <w:lang w:val="en-US" w:eastAsia="zh-CN"/>
              </w:rPr>
              <w:t>技术规范响应及偏离表</w:t>
            </w:r>
            <w:r>
              <w:rPr>
                <w:rFonts w:hint="eastAsia" w:ascii="宋体" w:hAnsi="宋体" w:eastAsia="宋体" w:cs="宋体"/>
                <w:color w:val="000000"/>
                <w:sz w:val="24"/>
                <w:highlight w:val="none"/>
              </w:rPr>
              <w:t>的响应情况进行审查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.1响应表须按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中提供的格式填写，且响应内容完整、准确、真实、有效，无空项、漏项。</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.2响应表须按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.3对</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第</w:t>
            </w:r>
            <w:r>
              <w:rPr>
                <w:rFonts w:hint="eastAsia" w:ascii="宋体" w:hAnsi="宋体" w:eastAsia="宋体" w:cs="宋体"/>
                <w:color w:val="000000"/>
                <w:sz w:val="24"/>
                <w:highlight w:val="none"/>
                <w:lang w:val="en-US" w:eastAsia="zh-CN"/>
              </w:rPr>
              <w:t>四</w:t>
            </w:r>
            <w:r>
              <w:rPr>
                <w:rFonts w:hint="eastAsia" w:ascii="宋体" w:hAnsi="宋体" w:eastAsia="宋体" w:cs="宋体"/>
                <w:color w:val="000000"/>
                <w:sz w:val="24"/>
                <w:highlight w:val="none"/>
              </w:rPr>
              <w:t>部分的</w:t>
            </w:r>
            <w:r>
              <w:rPr>
                <w:rFonts w:hint="eastAsia" w:ascii="宋体" w:hAnsi="宋体" w:eastAsia="宋体" w:cs="宋体"/>
                <w:color w:val="000000"/>
                <w:sz w:val="24"/>
                <w:highlight w:val="none"/>
                <w:lang w:val="en-US" w:eastAsia="zh-CN"/>
              </w:rPr>
              <w:t>技术</w:t>
            </w:r>
            <w:r>
              <w:rPr>
                <w:rFonts w:hint="eastAsia" w:ascii="宋体" w:hAnsi="宋体" w:eastAsia="宋体" w:cs="宋体"/>
                <w:color w:val="000000"/>
                <w:sz w:val="24"/>
                <w:highlight w:val="none"/>
              </w:rPr>
              <w:t>要求全部做出响应。</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.4</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说明：1.资格性、符合性审查的内容，经磋商小组共同认定没有做出实质性响应的，将导致响应无效。</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2.响应文件中项目名称、项目编号等存在前后不一致情形的，可按照磋商文件要求做出澄清；如响应文件中所涉及内容全部与磋商文件不一致，按无效响应处理。</w:t>
      </w:r>
    </w:p>
    <w:p>
      <w:pPr>
        <w:pStyle w:val="141"/>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sz w:val="24"/>
          <w:szCs w:val="24"/>
          <w:highlight w:val="none"/>
        </w:rPr>
      </w:pPr>
      <w:bookmarkStart w:id="32" w:name="_Toc28346"/>
      <w:r>
        <w:rPr>
          <w:rFonts w:hint="eastAsia" w:ascii="宋体" w:hAnsi="宋体" w:eastAsia="宋体" w:cs="宋体"/>
          <w:b/>
          <w:sz w:val="24"/>
          <w:szCs w:val="24"/>
          <w:highlight w:val="none"/>
        </w:rPr>
        <w:t>三、落实政府采购政策性要求的评审内容及标准</w:t>
      </w:r>
      <w:bookmarkEnd w:id="32"/>
    </w:p>
    <w:p>
      <w:pPr>
        <w:pStyle w:val="14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详见供应商须知前附表</w:t>
      </w:r>
    </w:p>
    <w:p>
      <w:pPr>
        <w:pStyle w:val="141"/>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sz w:val="24"/>
          <w:szCs w:val="24"/>
          <w:highlight w:val="none"/>
        </w:rPr>
      </w:pPr>
      <w:bookmarkStart w:id="33" w:name="_Toc31489"/>
      <w:r>
        <w:rPr>
          <w:rFonts w:hint="eastAsia" w:ascii="宋体" w:hAnsi="宋体" w:eastAsia="宋体" w:cs="宋体"/>
          <w:b/>
          <w:sz w:val="24"/>
          <w:szCs w:val="24"/>
          <w:highlight w:val="none"/>
        </w:rPr>
        <w:t>四、无效响应的情形</w:t>
      </w:r>
      <w:bookmarkEnd w:id="33"/>
    </w:p>
    <w:p>
      <w:pPr>
        <w:pStyle w:val="14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未通过资格性、符合性审查的响应文件为无效响应。</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kern w:val="0"/>
          <w:sz w:val="24"/>
          <w:szCs w:val="24"/>
          <w:highlight w:val="none"/>
        </w:rPr>
      </w:pPr>
      <w:bookmarkStart w:id="34" w:name="_Toc28189"/>
      <w:r>
        <w:rPr>
          <w:rFonts w:hint="eastAsia" w:ascii="宋体" w:hAnsi="宋体" w:eastAsia="宋体" w:cs="宋体"/>
          <w:b/>
          <w:sz w:val="24"/>
          <w:szCs w:val="24"/>
          <w:highlight w:val="none"/>
        </w:rPr>
        <w:t>五、</w:t>
      </w:r>
      <w:r>
        <w:rPr>
          <w:rFonts w:hint="eastAsia" w:ascii="宋体" w:hAnsi="宋体" w:eastAsia="宋体" w:cs="宋体"/>
          <w:b/>
          <w:bCs/>
          <w:kern w:val="0"/>
          <w:sz w:val="24"/>
          <w:szCs w:val="24"/>
          <w:highlight w:val="none"/>
        </w:rPr>
        <w:t>评分细则</w:t>
      </w:r>
      <w:bookmarkEnd w:id="34"/>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小组按照磋商文件中规定的评审标准和评定方法，对实质上响应磋商文件要求且不少于3家的供应商响应文件，依据最后报价、各项商务、技术、服务等因素进行综合评价，并填写打分表。综合评分的因素包括但不限于报价、业绩、技术要求等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磋商小组成员对各供应商得分的算术平均值加价格得分，为各供应商总得分，评分分值计算保留小数点后两位，四舍五入。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napToGrid w:val="0"/>
          <w:sz w:val="24"/>
          <w:szCs w:val="24"/>
          <w:highlight w:val="none"/>
          <w:lang w:eastAsia="zh-CN"/>
        </w:rPr>
      </w:pPr>
      <w:r>
        <w:rPr>
          <w:rFonts w:hint="eastAsia" w:ascii="宋体" w:hAnsi="宋体" w:eastAsia="宋体" w:cs="宋体"/>
          <w:bCs/>
          <w:snapToGrid w:val="0"/>
          <w:sz w:val="24"/>
          <w:szCs w:val="24"/>
          <w:highlight w:val="none"/>
        </w:rPr>
        <w:t>按评审后得分由高到低顺序排列；得分相同的，按报价由低到高顺序排列。得分且报价相同的，按技术指标优劣顺序排列</w:t>
      </w:r>
      <w:r>
        <w:rPr>
          <w:rFonts w:hint="eastAsia" w:ascii="宋体" w:hAnsi="宋体" w:eastAsia="宋体" w:cs="宋体"/>
          <w:bCs/>
          <w:snapToGrid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bCs/>
          <w:snapToGrid w:val="0"/>
          <w:sz w:val="24"/>
          <w:szCs w:val="24"/>
          <w:highlight w:val="none"/>
        </w:rPr>
      </w:pPr>
      <w:bookmarkStart w:id="35" w:name="_Toc24741"/>
      <w:r>
        <w:rPr>
          <w:rFonts w:hint="eastAsia" w:ascii="宋体" w:hAnsi="宋体" w:eastAsia="宋体" w:cs="宋体"/>
          <w:bCs/>
          <w:snapToGrid w:val="0"/>
          <w:sz w:val="24"/>
          <w:szCs w:val="24"/>
          <w:highlight w:val="none"/>
        </w:rPr>
        <w:t>1.分值分配</w:t>
      </w:r>
      <w:bookmarkEnd w:id="35"/>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 xml:space="preserve">（1）商务部分          </w:t>
      </w:r>
      <w:r>
        <w:rPr>
          <w:rFonts w:hint="eastAsia" w:ascii="宋体" w:hAnsi="宋体" w:cs="宋体"/>
          <w:bCs/>
          <w:snapToGrid w:val="0"/>
          <w:sz w:val="24"/>
          <w:szCs w:val="24"/>
          <w:highlight w:val="none"/>
          <w:lang w:val="en-US" w:eastAsia="zh-CN"/>
        </w:rPr>
        <w:t>20</w:t>
      </w:r>
      <w:r>
        <w:rPr>
          <w:rFonts w:hint="eastAsia" w:ascii="宋体" w:hAnsi="宋体" w:eastAsia="宋体" w:cs="宋体"/>
          <w:bCs/>
          <w:snapToGrid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（2）</w:t>
      </w:r>
      <w:r>
        <w:rPr>
          <w:rFonts w:hint="eastAsia" w:ascii="宋体" w:hAnsi="宋体" w:eastAsia="宋体" w:cs="宋体"/>
          <w:bCs/>
          <w:snapToGrid w:val="0"/>
          <w:sz w:val="24"/>
          <w:szCs w:val="24"/>
          <w:highlight w:val="none"/>
          <w:lang w:eastAsia="zh-CN"/>
        </w:rPr>
        <w:t>技术部分</w:t>
      </w:r>
      <w:r>
        <w:rPr>
          <w:rFonts w:hint="eastAsia" w:ascii="宋体" w:hAnsi="宋体" w:eastAsia="宋体" w:cs="宋体"/>
          <w:bCs/>
          <w:snapToGrid w:val="0"/>
          <w:sz w:val="24"/>
          <w:szCs w:val="24"/>
          <w:highlight w:val="none"/>
        </w:rPr>
        <w:t xml:space="preserve">          </w:t>
      </w:r>
      <w:r>
        <w:rPr>
          <w:rFonts w:hint="eastAsia" w:ascii="宋体" w:hAnsi="宋体" w:eastAsia="宋体" w:cs="宋体"/>
          <w:bCs/>
          <w:snapToGrid w:val="0"/>
          <w:sz w:val="24"/>
          <w:szCs w:val="24"/>
          <w:highlight w:val="none"/>
          <w:lang w:val="en-US" w:eastAsia="zh-CN"/>
        </w:rPr>
        <w:t>7</w:t>
      </w:r>
      <w:r>
        <w:rPr>
          <w:rFonts w:hint="eastAsia" w:ascii="宋体" w:hAnsi="宋体" w:cs="宋体"/>
          <w:bCs/>
          <w:snapToGrid w:val="0"/>
          <w:sz w:val="24"/>
          <w:szCs w:val="24"/>
          <w:highlight w:val="none"/>
          <w:lang w:val="en-US" w:eastAsia="zh-CN"/>
        </w:rPr>
        <w:t>0</w:t>
      </w:r>
      <w:r>
        <w:rPr>
          <w:rFonts w:hint="eastAsia" w:ascii="宋体" w:hAnsi="宋体" w:eastAsia="宋体" w:cs="宋体"/>
          <w:bCs/>
          <w:snapToGrid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（3）</w:t>
      </w:r>
      <w:r>
        <w:rPr>
          <w:rFonts w:hint="eastAsia" w:ascii="宋体" w:hAnsi="宋体" w:eastAsia="宋体" w:cs="宋体"/>
          <w:bCs/>
          <w:snapToGrid w:val="0"/>
          <w:sz w:val="24"/>
          <w:szCs w:val="24"/>
          <w:highlight w:val="none"/>
          <w:lang w:eastAsia="zh-CN"/>
        </w:rPr>
        <w:t>价格</w:t>
      </w:r>
      <w:r>
        <w:rPr>
          <w:rFonts w:hint="eastAsia" w:ascii="宋体" w:hAnsi="宋体" w:eastAsia="宋体" w:cs="宋体"/>
          <w:bCs/>
          <w:snapToGrid w:val="0"/>
          <w:sz w:val="24"/>
          <w:szCs w:val="24"/>
          <w:highlight w:val="none"/>
        </w:rPr>
        <w:t xml:space="preserve">部分 </w:t>
      </w:r>
      <w:r>
        <w:rPr>
          <w:rFonts w:hint="eastAsia" w:ascii="宋体" w:hAnsi="宋体" w:eastAsia="宋体" w:cs="宋体"/>
          <w:bCs/>
          <w:snapToGrid w:val="0"/>
          <w:sz w:val="24"/>
          <w:szCs w:val="24"/>
          <w:highlight w:val="none"/>
          <w:lang w:val="en-US" w:eastAsia="zh-CN"/>
        </w:rPr>
        <w:t xml:space="preserve">        </w:t>
      </w:r>
      <w:r>
        <w:rPr>
          <w:rFonts w:hint="eastAsia" w:ascii="宋体" w:hAnsi="宋体" w:eastAsia="宋体" w:cs="宋体"/>
          <w:bCs/>
          <w:snapToGrid w:val="0"/>
          <w:sz w:val="24"/>
          <w:szCs w:val="24"/>
          <w:highlight w:val="none"/>
        </w:rPr>
        <w:t xml:space="preserve"> </w:t>
      </w:r>
      <w:r>
        <w:rPr>
          <w:rFonts w:hint="eastAsia" w:ascii="宋体" w:hAnsi="宋体" w:cs="宋体"/>
          <w:bCs/>
          <w:snapToGrid w:val="0"/>
          <w:sz w:val="24"/>
          <w:szCs w:val="24"/>
          <w:highlight w:val="none"/>
          <w:lang w:val="en-US" w:eastAsia="zh-CN"/>
        </w:rPr>
        <w:t>10</w:t>
      </w:r>
      <w:r>
        <w:rPr>
          <w:rFonts w:hint="eastAsia" w:ascii="宋体" w:hAnsi="宋体" w:eastAsia="宋体" w:cs="宋体"/>
          <w:bCs/>
          <w:snapToGrid w:val="0"/>
          <w:sz w:val="24"/>
          <w:szCs w:val="24"/>
          <w:highlight w:val="none"/>
        </w:rPr>
        <w:t>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bCs/>
          <w:snapToGrid w:val="0"/>
          <w:sz w:val="24"/>
          <w:szCs w:val="24"/>
          <w:highlight w:val="none"/>
        </w:rPr>
      </w:pPr>
      <w:bookmarkStart w:id="36" w:name="_Toc10854"/>
      <w:r>
        <w:rPr>
          <w:rFonts w:hint="eastAsia" w:ascii="宋体" w:hAnsi="宋体" w:eastAsia="宋体" w:cs="宋体"/>
          <w:bCs/>
          <w:snapToGrid w:val="0"/>
          <w:sz w:val="24"/>
          <w:szCs w:val="24"/>
          <w:highlight w:val="none"/>
        </w:rPr>
        <w:t>2.评分标准</w:t>
      </w:r>
      <w:bookmarkEnd w:id="36"/>
    </w:p>
    <w:tbl>
      <w:tblPr>
        <w:tblStyle w:val="45"/>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8"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一、商务部分(</w:t>
            </w:r>
            <w:r>
              <w:rPr>
                <w:rFonts w:hint="eastAsia" w:ascii="宋体" w:hAnsi="宋体" w:eastAsia="宋体" w:cs="宋体"/>
                <w:b/>
                <w:bCs/>
                <w:spacing w:val="6"/>
                <w:sz w:val="24"/>
                <w:szCs w:val="24"/>
                <w:highlight w:val="none"/>
                <w:lang w:val="en-US" w:eastAsia="zh-CN"/>
              </w:rPr>
              <w:t>20</w:t>
            </w:r>
            <w:r>
              <w:rPr>
                <w:rFonts w:hint="eastAsia" w:ascii="宋体" w:hAnsi="宋体" w:eastAsia="宋体" w:cs="宋体"/>
                <w:b/>
                <w:bCs/>
                <w:spacing w:val="6"/>
                <w:sz w:val="24"/>
                <w:szCs w:val="24"/>
                <w:highlight w:val="none"/>
              </w:rPr>
              <w:t>分</w:t>
            </w:r>
            <w:r>
              <w:rPr>
                <w:rFonts w:hint="eastAsia" w:ascii="宋体" w:hAnsi="宋体" w:eastAsia="宋体" w:cs="宋体"/>
                <w:b/>
                <w:bCs/>
                <w:spacing w:val="6"/>
                <w:sz w:val="24"/>
                <w:szCs w:val="24"/>
                <w:highlight w:val="none"/>
                <w:lang w:eastAsia="zh-CN"/>
              </w:rPr>
              <w:t>）</w:t>
            </w:r>
            <w:r>
              <w:rPr>
                <w:rFonts w:hint="eastAsia" w:ascii="宋体" w:hAnsi="宋体" w:eastAsia="宋体" w:cs="宋体"/>
                <w:b/>
                <w:bCs/>
                <w:spacing w:val="6"/>
                <w:sz w:val="24"/>
                <w:szCs w:val="24"/>
                <w:highlight w:val="none"/>
              </w:rPr>
              <w:t xml:space="preserve"> （评标委员会共同认定）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958" w:type="dxa"/>
            <w:tcBorders>
              <w:bottom w:val="single"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1.投标人业绩：投标人在近5年内所完成的相同类型工程设计业绩。业绩以同一工程设计的中标通知书和设计工程合同，每一项业绩证明得3分，最高得15分（协议书）为准。（15分）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958" w:type="dxa"/>
            <w:tcBorders>
              <w:bottom w:val="single"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2.项目负责人业绩：项目负责人在近5年内所完成的相同类型工程设计业绩，包括本人在其他曾任职单位完成的业绩。业绩以同一工程设计的中标通知书和设计工程合同（协议书）为准。（5分）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58" w:type="dxa"/>
            <w:tcBorders>
              <w:top w:val="single" w:color="auto" w:sz="4" w:space="0"/>
              <w:bottom w:val="single" w:color="auto" w:sz="4" w:space="0"/>
            </w:tcBorders>
            <w:vAlign w:val="center"/>
          </w:tcPr>
          <w:p>
            <w:pPr>
              <w:pStyle w:val="25"/>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textAlignment w:val="auto"/>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lang w:val="en-US" w:eastAsia="zh-CN"/>
              </w:rPr>
              <w:t>二</w:t>
            </w:r>
            <w:r>
              <w:rPr>
                <w:rFonts w:hint="eastAsia" w:ascii="宋体" w:hAnsi="宋体" w:eastAsia="宋体" w:cs="宋体"/>
                <w:b/>
                <w:bCs/>
                <w:spacing w:val="6"/>
                <w:sz w:val="24"/>
                <w:szCs w:val="24"/>
                <w:highlight w:val="none"/>
              </w:rPr>
              <w:t>、</w:t>
            </w:r>
            <w:r>
              <w:rPr>
                <w:rFonts w:hint="eastAsia" w:ascii="宋体" w:hAnsi="宋体" w:eastAsia="宋体" w:cs="宋体"/>
                <w:b/>
                <w:bCs/>
                <w:spacing w:val="6"/>
                <w:sz w:val="24"/>
                <w:szCs w:val="24"/>
                <w:highlight w:val="none"/>
                <w:lang w:val="en-US" w:eastAsia="zh-CN"/>
              </w:rPr>
              <w:t>技术部分</w:t>
            </w:r>
            <w:r>
              <w:rPr>
                <w:rFonts w:hint="eastAsia" w:ascii="宋体" w:hAnsi="宋体" w:eastAsia="宋体" w:cs="宋体"/>
                <w:b/>
                <w:bCs/>
                <w:spacing w:val="6"/>
                <w:sz w:val="24"/>
                <w:szCs w:val="24"/>
                <w:highlight w:val="none"/>
              </w:rPr>
              <w:t>（</w:t>
            </w:r>
            <w:r>
              <w:rPr>
                <w:rFonts w:hint="eastAsia" w:ascii="宋体" w:hAnsi="宋体" w:eastAsia="宋体" w:cs="宋体"/>
                <w:b/>
                <w:bCs/>
                <w:spacing w:val="6"/>
                <w:sz w:val="24"/>
                <w:szCs w:val="24"/>
                <w:highlight w:val="none"/>
                <w:lang w:val="en-US" w:eastAsia="zh-CN"/>
              </w:rPr>
              <w:t>70</w:t>
            </w:r>
            <w:r>
              <w:rPr>
                <w:rFonts w:hint="eastAsia" w:ascii="宋体" w:hAnsi="宋体" w:eastAsia="宋体" w:cs="宋体"/>
                <w:b/>
                <w:bCs/>
                <w:spacing w:val="6"/>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58" w:type="dxa"/>
            <w:tcBorders>
              <w:bottom w:val="dotted"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设计方案（40分）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根据供应商提供的设计方案</w:t>
            </w:r>
            <w:r>
              <w:rPr>
                <w:rFonts w:hint="eastAsia" w:ascii="宋体" w:hAnsi="宋体" w:eastAsia="宋体" w:cs="宋体"/>
                <w:kern w:val="2"/>
                <w:sz w:val="24"/>
                <w:szCs w:val="24"/>
                <w:highlight w:val="none"/>
                <w:lang w:val="en-US" w:eastAsia="zh-CN" w:bidi="ar-SA"/>
              </w:rPr>
              <w:t>进行综合评审：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1.</w:t>
            </w:r>
            <w:r>
              <w:rPr>
                <w:rFonts w:hint="eastAsia" w:ascii="宋体" w:hAnsi="宋体" w:eastAsia="宋体" w:cs="宋体"/>
                <w:sz w:val="24"/>
                <w:szCs w:val="24"/>
                <w:highlight w:val="none"/>
                <w:lang w:val="en-US" w:eastAsia="zh-CN"/>
              </w:rPr>
              <w:t>针对本项目的现状分析，满分4分；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highlight w:val="none"/>
                <w:lang w:val="en-US" w:eastAsia="zh-CN"/>
              </w:rPr>
              <w:t>符合国土空间规划及有关专业专项规划要求，满分4分；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3.</w:t>
            </w:r>
            <w:r>
              <w:rPr>
                <w:rFonts w:hint="eastAsia" w:ascii="宋体" w:hAnsi="宋体" w:eastAsia="宋体" w:cs="宋体"/>
                <w:sz w:val="24"/>
                <w:szCs w:val="24"/>
                <w:highlight w:val="none"/>
                <w:lang w:val="en-US" w:eastAsia="zh-CN"/>
              </w:rPr>
              <w:t>合理利用土地，有关专业考虑周全、布局合理、功能完善，满分4分；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4.</w:t>
            </w:r>
            <w:r>
              <w:rPr>
                <w:rFonts w:hint="eastAsia" w:ascii="宋体" w:hAnsi="宋体" w:eastAsia="宋体" w:cs="宋体"/>
                <w:sz w:val="24"/>
                <w:szCs w:val="24"/>
                <w:highlight w:val="none"/>
                <w:lang w:val="en-US" w:eastAsia="zh-CN"/>
              </w:rPr>
              <w:t>与周边路网、管网（给水、排水、热力、燃气、强电、弱电等）合理衔接，满分4分；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5.</w:t>
            </w:r>
            <w:r>
              <w:rPr>
                <w:rFonts w:hint="eastAsia" w:ascii="宋体" w:hAnsi="宋体" w:eastAsia="宋体" w:cs="宋体"/>
                <w:sz w:val="24"/>
                <w:szCs w:val="24"/>
                <w:highlight w:val="none"/>
                <w:lang w:val="en-US" w:eastAsia="zh-CN"/>
              </w:rPr>
              <w:t>因地制宜，满足工程地形、地质、水文等工程要求，与沿线周边环境协调性，满分4分；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6.</w:t>
            </w:r>
            <w:r>
              <w:rPr>
                <w:rFonts w:hint="eastAsia" w:ascii="宋体" w:hAnsi="宋体" w:eastAsia="宋体" w:cs="宋体"/>
                <w:sz w:val="24"/>
                <w:szCs w:val="24"/>
                <w:highlight w:val="none"/>
                <w:lang w:val="en-US" w:eastAsia="zh-CN"/>
              </w:rPr>
              <w:t>关键性技术问题分析及解决方案，满分4分；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7.</w:t>
            </w:r>
            <w:r>
              <w:rPr>
                <w:rFonts w:hint="eastAsia" w:ascii="宋体" w:hAnsi="宋体" w:eastAsia="宋体" w:cs="宋体"/>
                <w:sz w:val="24"/>
                <w:szCs w:val="24"/>
                <w:highlight w:val="none"/>
                <w:lang w:val="en-US" w:eastAsia="zh-CN"/>
              </w:rPr>
              <w:t>投资估算编制全面，技术经济指标合理，有效控制工程造价，满分4分；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8.</w:t>
            </w:r>
            <w:r>
              <w:rPr>
                <w:rFonts w:hint="eastAsia" w:ascii="宋体" w:hAnsi="宋体" w:eastAsia="宋体" w:cs="宋体"/>
                <w:sz w:val="24"/>
                <w:szCs w:val="24"/>
                <w:highlight w:val="none"/>
                <w:lang w:val="en-US" w:eastAsia="zh-CN"/>
              </w:rPr>
              <w:t>绿色节能设计与新技术应用，满分4分；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9.</w:t>
            </w:r>
            <w:r>
              <w:rPr>
                <w:rFonts w:hint="eastAsia" w:ascii="宋体" w:hAnsi="宋体" w:eastAsia="宋体" w:cs="宋体"/>
                <w:sz w:val="24"/>
                <w:szCs w:val="24"/>
                <w:highlight w:val="none"/>
                <w:lang w:val="en-US" w:eastAsia="zh-CN"/>
              </w:rPr>
              <w:t>协助验收方案，满分4分；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w:t>
            </w:r>
            <w:r>
              <w:rPr>
                <w:rFonts w:hint="eastAsia" w:ascii="宋体" w:hAnsi="宋体" w:eastAsia="宋体" w:cs="宋体"/>
                <w:sz w:val="24"/>
                <w:szCs w:val="24"/>
                <w:highlight w:val="none"/>
                <w:lang w:val="en-US" w:eastAsia="zh-CN"/>
              </w:rPr>
              <w:t>成果资料管理及保密措施，满分4分。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958" w:type="dxa"/>
            <w:tcBorders>
              <w:bottom w:val="dotted"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设计进度安排（9分）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根据供应商提供的设计进度安排</w:t>
            </w:r>
            <w:r>
              <w:rPr>
                <w:rFonts w:hint="eastAsia" w:ascii="宋体" w:hAnsi="宋体" w:eastAsia="宋体" w:cs="宋体"/>
                <w:kern w:val="2"/>
                <w:sz w:val="24"/>
                <w:szCs w:val="24"/>
                <w:highlight w:val="none"/>
                <w:lang w:val="en-US" w:eastAsia="zh-CN" w:bidi="ar-SA"/>
              </w:rPr>
              <w:t>进行综合评审：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1.设计</w:t>
            </w:r>
            <w:r>
              <w:rPr>
                <w:rFonts w:hint="eastAsia" w:ascii="宋体" w:hAnsi="宋体" w:eastAsia="宋体" w:cs="宋体"/>
                <w:sz w:val="24"/>
                <w:szCs w:val="24"/>
                <w:highlight w:val="none"/>
                <w:lang w:val="en-US" w:eastAsia="zh-CN"/>
              </w:rPr>
              <w:t>进度节点，满分3分；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highlight w:val="none"/>
                <w:lang w:val="en-US" w:eastAsia="zh-CN"/>
              </w:rPr>
              <w:t>突发状况应对措施，满分3分；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3.</w:t>
            </w:r>
            <w:r>
              <w:rPr>
                <w:rFonts w:hint="eastAsia" w:ascii="宋体" w:hAnsi="宋体" w:eastAsia="宋体" w:cs="宋体"/>
                <w:sz w:val="24"/>
                <w:szCs w:val="24"/>
                <w:highlight w:val="none"/>
                <w:lang w:val="en-US" w:eastAsia="zh-CN"/>
              </w:rPr>
              <w:t>项目进度保障措施，满分3分。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958" w:type="dxa"/>
            <w:tcBorders>
              <w:bottom w:val="dotted"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color w:val="000000"/>
                <w:kern w:val="0"/>
                <w:sz w:val="24"/>
                <w:szCs w:val="24"/>
              </w:rPr>
              <w:t>质量保证措施</w:t>
            </w:r>
            <w:r>
              <w:rPr>
                <w:rFonts w:hint="eastAsia" w:ascii="宋体" w:hAnsi="宋体" w:eastAsia="宋体" w:cs="宋体"/>
                <w:spacing w:val="10"/>
                <w:kern w:val="2"/>
                <w:sz w:val="24"/>
                <w:szCs w:val="24"/>
                <w:highlight w:val="none"/>
                <w:lang w:val="en-US" w:eastAsia="zh-CN" w:bidi="ar-SA"/>
              </w:rPr>
              <w:t>（9分）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根据供应商提供的</w:t>
            </w:r>
            <w:r>
              <w:rPr>
                <w:rFonts w:hint="eastAsia" w:ascii="宋体" w:hAnsi="宋体" w:eastAsia="宋体" w:cs="宋体"/>
                <w:color w:val="000000"/>
                <w:kern w:val="0"/>
                <w:sz w:val="24"/>
                <w:szCs w:val="24"/>
              </w:rPr>
              <w:t>质量保证措施</w:t>
            </w:r>
            <w:r>
              <w:rPr>
                <w:rFonts w:hint="eastAsia" w:ascii="宋体" w:hAnsi="宋体" w:eastAsia="宋体" w:cs="宋体"/>
                <w:kern w:val="2"/>
                <w:sz w:val="24"/>
                <w:szCs w:val="24"/>
                <w:highlight w:val="none"/>
                <w:lang w:val="en-US" w:eastAsia="zh-CN" w:bidi="ar-SA"/>
              </w:rPr>
              <w:t>进行综合评审：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质量目标</w:t>
            </w:r>
            <w:r>
              <w:rPr>
                <w:rFonts w:hint="eastAsia" w:ascii="宋体" w:hAnsi="宋体" w:eastAsia="宋体" w:cs="宋体"/>
                <w:color w:val="000000"/>
                <w:kern w:val="0"/>
                <w:sz w:val="24"/>
                <w:szCs w:val="24"/>
                <w:lang w:val="en-US" w:eastAsia="zh-CN"/>
              </w:rPr>
              <w:t>及</w:t>
            </w:r>
            <w:r>
              <w:rPr>
                <w:rFonts w:hint="eastAsia" w:ascii="宋体" w:hAnsi="宋体" w:eastAsia="宋体" w:cs="宋体"/>
                <w:color w:val="000000"/>
                <w:kern w:val="0"/>
                <w:sz w:val="24"/>
                <w:szCs w:val="24"/>
              </w:rPr>
              <w:t>工作前期的准备</w:t>
            </w:r>
            <w:r>
              <w:rPr>
                <w:rFonts w:hint="eastAsia" w:ascii="宋体" w:hAnsi="宋体" w:eastAsia="宋体" w:cs="宋体"/>
                <w:sz w:val="24"/>
                <w:szCs w:val="24"/>
                <w:lang w:val="en-US" w:eastAsia="zh-CN"/>
              </w:rPr>
              <w:t>，满分3分；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rPr>
              <w:t>工作过程的质量控制</w:t>
            </w:r>
            <w:r>
              <w:rPr>
                <w:rFonts w:hint="eastAsia" w:ascii="宋体" w:hAnsi="宋体" w:eastAsia="宋体" w:cs="宋体"/>
                <w:sz w:val="24"/>
                <w:szCs w:val="24"/>
                <w:lang w:val="en-US" w:eastAsia="zh-CN"/>
              </w:rPr>
              <w:t>，满分3分；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3.</w:t>
            </w:r>
            <w:r>
              <w:rPr>
                <w:rFonts w:hint="eastAsia" w:ascii="宋体" w:hAnsi="宋体" w:eastAsia="宋体" w:cs="宋体"/>
                <w:color w:val="000000"/>
                <w:kern w:val="0"/>
                <w:sz w:val="24"/>
                <w:szCs w:val="24"/>
              </w:rPr>
              <w:t>工作成果的质量措施</w:t>
            </w:r>
            <w:r>
              <w:rPr>
                <w:rFonts w:hint="eastAsia" w:ascii="宋体" w:hAnsi="宋体" w:eastAsia="宋体" w:cs="宋体"/>
                <w:sz w:val="24"/>
                <w:szCs w:val="24"/>
                <w:lang w:val="en-US" w:eastAsia="zh-CN"/>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958" w:type="dxa"/>
            <w:tcBorders>
              <w:bottom w:val="dotted" w:color="auto" w:sz="4" w:space="0"/>
            </w:tcBorders>
            <w:vAlign w:val="center"/>
          </w:tcPr>
          <w:p>
            <w:pPr>
              <w:pStyle w:val="12"/>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拟投入本项目的人员配备情况（6分）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根据供应商提供的</w:t>
            </w:r>
            <w:r>
              <w:rPr>
                <w:rFonts w:hint="eastAsia" w:ascii="宋体" w:hAnsi="宋体" w:eastAsia="宋体" w:cs="宋体"/>
                <w:kern w:val="2"/>
                <w:sz w:val="24"/>
                <w:szCs w:val="24"/>
                <w:highlight w:val="none"/>
                <w:lang w:val="en-US" w:eastAsia="zh-CN" w:bidi="ar-SA"/>
              </w:rPr>
              <w:t>拟投入本项目的人员配备情况进行综合评审：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1.</w:t>
            </w:r>
            <w:r>
              <w:rPr>
                <w:rFonts w:hint="eastAsia" w:ascii="宋体" w:hAnsi="宋体" w:eastAsia="宋体" w:cs="宋体"/>
                <w:sz w:val="24"/>
                <w:szCs w:val="24"/>
                <w:highlight w:val="none"/>
                <w:lang w:val="en-US" w:eastAsia="zh-CN"/>
              </w:rPr>
              <w:t>提供项目负责人姓名、职务、联系方式及详细的办公地址，得2分；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highlight w:val="none"/>
                <w:lang w:val="en-US" w:eastAsia="zh-CN"/>
              </w:rPr>
              <w:t>拟投入团队人员配备情况，满分4分。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958" w:type="dxa"/>
            <w:tcBorders>
              <w:bottom w:val="dotted"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服务承诺（6分）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根据供应商提供的服务承诺</w:t>
            </w:r>
            <w:r>
              <w:rPr>
                <w:rFonts w:hint="eastAsia" w:ascii="宋体" w:hAnsi="宋体" w:eastAsia="宋体" w:cs="宋体"/>
                <w:kern w:val="2"/>
                <w:sz w:val="24"/>
                <w:szCs w:val="24"/>
                <w:highlight w:val="none"/>
                <w:lang w:val="en-US" w:eastAsia="zh-CN" w:bidi="ar-SA"/>
              </w:rPr>
              <w:t>进行综合评审：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1.</w:t>
            </w:r>
            <w:r>
              <w:rPr>
                <w:rFonts w:hint="eastAsia" w:ascii="宋体" w:hAnsi="宋体" w:eastAsia="宋体" w:cs="宋体"/>
                <w:sz w:val="24"/>
                <w:szCs w:val="24"/>
                <w:highlight w:val="none"/>
                <w:lang w:val="en-US" w:eastAsia="zh-CN"/>
              </w:rPr>
              <w:t>响应时效</w:t>
            </w:r>
            <w:r>
              <w:rPr>
                <w:rFonts w:hint="eastAsia" w:ascii="宋体" w:hAnsi="宋体" w:eastAsia="宋体" w:cs="宋体"/>
                <w:sz w:val="24"/>
                <w:szCs w:val="24"/>
                <w:lang w:val="en-US" w:eastAsia="zh-CN"/>
              </w:rPr>
              <w:t>，满分2分；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highlight w:val="none"/>
                <w:lang w:val="en-US" w:eastAsia="zh-CN"/>
              </w:rPr>
              <w:t>服务质量承诺</w:t>
            </w:r>
            <w:r>
              <w:rPr>
                <w:rFonts w:hint="eastAsia" w:ascii="宋体" w:hAnsi="宋体" w:eastAsia="宋体" w:cs="宋体"/>
                <w:sz w:val="24"/>
                <w:szCs w:val="24"/>
                <w:lang w:val="en-US" w:eastAsia="zh-CN"/>
              </w:rPr>
              <w:t>，满分2分；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3.</w:t>
            </w:r>
            <w:r>
              <w:rPr>
                <w:rFonts w:hint="eastAsia" w:ascii="宋体" w:hAnsi="宋体" w:eastAsia="宋体" w:cs="宋体"/>
                <w:sz w:val="24"/>
                <w:szCs w:val="24"/>
                <w:highlight w:val="none"/>
                <w:lang w:val="en-US" w:eastAsia="zh-CN"/>
              </w:rPr>
              <w:t>违约责任承诺</w:t>
            </w:r>
            <w:r>
              <w:rPr>
                <w:rFonts w:hint="eastAsia" w:ascii="宋体" w:hAnsi="宋体" w:eastAsia="宋体" w:cs="宋体"/>
                <w:sz w:val="24"/>
                <w:szCs w:val="24"/>
                <w:lang w:val="en-US" w:eastAsia="zh-CN"/>
              </w:rPr>
              <w:t>，满分2分；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958" w:type="dxa"/>
            <w:tcBorders>
              <w:top w:val="single" w:color="auto" w:sz="4" w:space="0"/>
              <w:bottom w:val="single" w:color="auto" w:sz="4" w:space="0"/>
            </w:tcBorders>
            <w:vAlign w:val="center"/>
          </w:tcPr>
          <w:p>
            <w:pPr>
              <w:pStyle w:val="25"/>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textAlignment w:val="auto"/>
              <w:rPr>
                <w:rFonts w:hint="eastAsia" w:ascii="宋体" w:hAnsi="宋体" w:eastAsia="宋体" w:cs="宋体"/>
                <w:b/>
                <w:bCs/>
                <w:spacing w:val="6"/>
                <w:sz w:val="24"/>
                <w:szCs w:val="24"/>
                <w:highlight w:val="none"/>
                <w:lang w:val="en-US" w:eastAsia="zh-CN"/>
              </w:rPr>
            </w:pPr>
            <w:r>
              <w:rPr>
                <w:rFonts w:hint="eastAsia" w:ascii="宋体" w:hAnsi="宋体" w:eastAsia="宋体" w:cs="宋体"/>
                <w:b/>
                <w:bCs/>
                <w:spacing w:val="6"/>
                <w:sz w:val="24"/>
                <w:szCs w:val="24"/>
                <w:highlight w:val="none"/>
                <w:lang w:val="en-US" w:eastAsia="zh-CN"/>
              </w:rPr>
              <w:t>三</w:t>
            </w:r>
            <w:r>
              <w:rPr>
                <w:rFonts w:hint="eastAsia" w:ascii="宋体" w:hAnsi="宋体" w:eastAsia="宋体" w:cs="宋体"/>
                <w:b/>
                <w:bCs/>
                <w:spacing w:val="6"/>
                <w:sz w:val="24"/>
                <w:szCs w:val="24"/>
                <w:highlight w:val="none"/>
              </w:rPr>
              <w:t>、价格</w:t>
            </w:r>
            <w:r>
              <w:rPr>
                <w:rFonts w:hint="eastAsia" w:ascii="宋体" w:hAnsi="宋体" w:eastAsia="宋体" w:cs="宋体"/>
                <w:b/>
                <w:bCs/>
                <w:spacing w:val="6"/>
                <w:sz w:val="24"/>
                <w:szCs w:val="24"/>
                <w:highlight w:val="none"/>
                <w:lang w:val="en-US" w:eastAsia="zh-CN"/>
              </w:rPr>
              <w:t>部分</w:t>
            </w:r>
            <w:r>
              <w:rPr>
                <w:rFonts w:hint="eastAsia" w:ascii="宋体" w:hAnsi="宋体" w:eastAsia="宋体" w:cs="宋体"/>
                <w:b/>
                <w:bCs/>
                <w:spacing w:val="6"/>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58" w:type="dxa"/>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满足磋商文件要求且磋商报价最低的价格为评审基准价,其价格分为满分。其他供应商的价格分统一按照下列公式计算：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报价得分=（评审基准价/供应商报价）×1</w:t>
            </w:r>
            <w:r>
              <w:rPr>
                <w:rFonts w:hint="eastAsia" w:ascii="宋体" w:hAnsi="宋体" w:cs="宋体"/>
                <w:b w:val="0"/>
                <w:bCs w:val="0"/>
                <w:spacing w:val="6"/>
                <w:sz w:val="24"/>
                <w:szCs w:val="24"/>
                <w:highlight w:val="none"/>
                <w:lang w:val="en-US" w:eastAsia="zh-CN"/>
              </w:rPr>
              <w:t>0</w:t>
            </w:r>
            <w:r>
              <w:rPr>
                <w:rFonts w:hint="eastAsia" w:ascii="宋体" w:hAnsi="宋体" w:eastAsia="宋体" w:cs="宋体"/>
                <w:b w:val="0"/>
                <w:bCs w:val="0"/>
                <w:spacing w:val="6"/>
                <w:sz w:val="24"/>
                <w:szCs w:val="24"/>
                <w:highlight w:val="none"/>
                <w:lang w:val="en-US" w:eastAsia="zh-CN"/>
              </w:rPr>
              <w:t>%×100 报价得分保留两位小数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说明：1、评审报价超过预算金额的其响应文件无效。磋商小组认为供应商的报价明显低于成本，有可能影响服务质量或者不能诚信履约的，经磋商小组讨论可否决其响应文件。</w:t>
            </w:r>
          </w:p>
        </w:tc>
      </w:tr>
    </w:tbl>
    <w:p>
      <w:pPr>
        <w:pStyle w:val="40"/>
        <w:keepNext w:val="0"/>
        <w:keepLines w:val="0"/>
        <w:pageBreakBefore w:val="0"/>
        <w:widowControl w:val="0"/>
        <w:kinsoku/>
        <w:wordWrap/>
        <w:overflowPunct/>
        <w:topLinePunct w:val="0"/>
        <w:autoSpaceDE/>
        <w:autoSpaceDN/>
        <w:bidi w:val="0"/>
        <w:adjustRightInd/>
        <w:snapToGrid/>
        <w:spacing w:before="6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注：磋商文件没有规定的</w:t>
      </w:r>
      <w:r>
        <w:rPr>
          <w:rFonts w:hint="eastAsia" w:ascii="宋体" w:hAnsi="宋体" w:eastAsia="宋体" w:cs="宋体"/>
          <w:b w:val="0"/>
          <w:bCs w:val="0"/>
          <w:spacing w:val="6"/>
          <w:sz w:val="24"/>
          <w:szCs w:val="24"/>
          <w:highlight w:val="none"/>
          <w:lang w:val="en-US" w:eastAsia="zh-CN"/>
        </w:rPr>
        <w:t>评审</w:t>
      </w:r>
      <w:r>
        <w:rPr>
          <w:rFonts w:hint="eastAsia" w:ascii="宋体" w:hAnsi="宋体" w:eastAsia="宋体" w:cs="宋体"/>
          <w:sz w:val="24"/>
          <w:szCs w:val="24"/>
          <w:highlight w:val="none"/>
        </w:rPr>
        <w:t>标准不得作为评审依据。</w:t>
      </w:r>
    </w:p>
    <w:p>
      <w:pPr>
        <w:overflowPunct w:val="0"/>
        <w:topLinePunct/>
        <w:autoSpaceDN w:val="0"/>
        <w:adjustRightInd w:val="0"/>
        <w:snapToGrid w:val="0"/>
        <w:spacing w:line="360" w:lineRule="auto"/>
        <w:jc w:val="center"/>
        <w:outlineLvl w:val="0"/>
        <w:rPr>
          <w:b/>
          <w:kern w:val="0"/>
          <w:sz w:val="28"/>
          <w:szCs w:val="28"/>
          <w:highlight w:val="none"/>
        </w:rPr>
      </w:pPr>
      <w:r>
        <w:rPr>
          <w:b/>
          <w:bCs/>
          <w:kern w:val="0"/>
          <w:sz w:val="36"/>
          <w:szCs w:val="36"/>
          <w:highlight w:val="none"/>
        </w:rPr>
        <w:br w:type="page"/>
      </w:r>
      <w:bookmarkStart w:id="37" w:name="_Toc6724"/>
      <w:r>
        <w:rPr>
          <w:b/>
          <w:bCs/>
          <w:snapToGrid w:val="0"/>
          <w:kern w:val="0"/>
          <w:sz w:val="30"/>
          <w:szCs w:val="30"/>
          <w:highlight w:val="none"/>
        </w:rPr>
        <w:t>第五部分  商务、技术要求</w:t>
      </w:r>
      <w:bookmarkEnd w:id="37"/>
    </w:p>
    <w:p>
      <w:pPr>
        <w:spacing w:line="360" w:lineRule="auto"/>
        <w:rPr>
          <w:rFonts w:hint="eastAsia" w:ascii="宋体" w:hAnsi="宋体" w:eastAsia="宋体" w:cs="宋体"/>
          <w:b/>
          <w:bCs/>
          <w:color w:val="auto"/>
          <w:sz w:val="24"/>
          <w:szCs w:val="32"/>
          <w:highlight w:val="none"/>
          <w:lang w:val="en-US" w:eastAsia="zh-CN"/>
        </w:rPr>
      </w:pPr>
      <w:bookmarkStart w:id="38" w:name="_Toc4024"/>
      <w:r>
        <w:rPr>
          <w:rFonts w:hint="eastAsia" w:ascii="宋体" w:hAnsi="宋体" w:eastAsia="宋体" w:cs="宋体"/>
          <w:b/>
          <w:bCs/>
          <w:color w:val="auto"/>
          <w:sz w:val="24"/>
          <w:szCs w:val="32"/>
          <w:highlight w:val="none"/>
          <w:lang w:val="en-US" w:eastAsia="zh-CN"/>
        </w:rPr>
        <w:t>一、</w:t>
      </w:r>
      <w:r>
        <w:rPr>
          <w:rFonts w:hint="eastAsia" w:ascii="宋体" w:hAnsi="宋体" w:eastAsia="宋体" w:cs="宋体"/>
          <w:b/>
          <w:bCs/>
          <w:color w:val="auto"/>
          <w:sz w:val="24"/>
          <w:szCs w:val="32"/>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项目西起富力城玖院西侧规划路，东至富力城玖院东侧规划路，全长525.302米，规划红线宽度20米(实施宽度13-20米)，道路等级为城市支路。主要包括道路工程、排水工程、照明工程、电力工程、交通工程、公安天网系统工程、市政综合管线工程、绿化工程及动物园改迁工程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工程总投资约</w:t>
      </w:r>
      <w:r>
        <w:rPr>
          <w:rFonts w:hint="eastAsia" w:ascii="宋体" w:hAnsi="宋体" w:cs="宋体"/>
          <w:b w:val="0"/>
          <w:bCs w:val="0"/>
          <w:sz w:val="24"/>
          <w:szCs w:val="24"/>
          <w:highlight w:val="none"/>
          <w:lang w:val="en-US" w:eastAsia="zh-CN"/>
        </w:rPr>
        <w:t>2824.58</w:t>
      </w:r>
      <w:r>
        <w:rPr>
          <w:rFonts w:hint="eastAsia" w:ascii="宋体" w:hAnsi="宋体" w:eastAsia="宋体" w:cs="宋体"/>
          <w:b w:val="0"/>
          <w:bCs w:val="0"/>
          <w:sz w:val="24"/>
          <w:szCs w:val="24"/>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二、商务要求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1、服务内容及范围：</w:t>
      </w:r>
      <w:r>
        <w:rPr>
          <w:rFonts w:hint="eastAsia" w:ascii="宋体" w:hAnsi="宋体" w:cs="宋体"/>
          <w:sz w:val="24"/>
          <w:szCs w:val="24"/>
          <w:highlight w:val="none"/>
          <w:lang w:val="en-US" w:eastAsia="zh-CN"/>
        </w:rPr>
        <w:t>富力城玖院项目北侧规划路建设工程设计工作</w:t>
      </w:r>
      <w:r>
        <w:rPr>
          <w:rFonts w:hint="eastAsia" w:ascii="宋体" w:hAnsi="宋体" w:eastAsia="宋体" w:cs="宋体"/>
          <w:sz w:val="24"/>
          <w:szCs w:val="24"/>
          <w:highlight w:val="none"/>
          <w:lang w:val="en-US" w:eastAsia="zh-CN"/>
        </w:rPr>
        <w:t>及相关服务。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2、服务期限：</w:t>
      </w:r>
      <w:r>
        <w:rPr>
          <w:rFonts w:hint="eastAsia" w:ascii="宋体" w:hAnsi="宋体" w:cs="宋体"/>
          <w:sz w:val="24"/>
          <w:szCs w:val="24"/>
          <w:highlight w:val="none"/>
          <w:lang w:val="en-US" w:eastAsia="zh-CN"/>
        </w:rPr>
        <w:t>20日历天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3、服务地点：</w:t>
      </w:r>
      <w:r>
        <w:rPr>
          <w:rFonts w:hint="eastAsia" w:ascii="宋体" w:hAnsi="宋体" w:cs="宋体"/>
          <w:iCs/>
          <w:sz w:val="24"/>
          <w:szCs w:val="24"/>
          <w:highlight w:val="none"/>
          <w:lang w:val="en-US" w:eastAsia="zh-CN"/>
        </w:rPr>
        <w:t>太原市杏花岭区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4、服务质量：合格，符合国家及行业相关标准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5、付款方式：</w:t>
      </w:r>
      <w:r>
        <w:rPr>
          <w:rFonts w:hint="eastAsia" w:ascii="宋体" w:hAnsi="宋体" w:cs="宋体"/>
          <w:sz w:val="24"/>
          <w:szCs w:val="24"/>
          <w:highlight w:val="none"/>
          <w:lang w:val="en-US" w:eastAsia="zh-CN"/>
        </w:rPr>
        <w:t>最终以太原市政府相关审核部门的审核结果为准。在完成所有约定事项并提交正式成果后，依据太原市政府审核部门出具的审核报告，按太原市政府支付程序支付费用。</w:t>
      </w:r>
    </w:p>
    <w:bookmarkEnd w:id="38"/>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0"/>
          <w:position w:val="0"/>
          <w:sz w:val="24"/>
          <w:szCs w:val="24"/>
        </w:rPr>
      </w:pPr>
      <w:r>
        <w:rPr>
          <w:rFonts w:hint="eastAsia" w:ascii="宋体" w:hAnsi="宋体" w:cs="宋体"/>
          <w:b/>
          <w:bCs/>
          <w:spacing w:val="0"/>
          <w:position w:val="0"/>
          <w:sz w:val="24"/>
          <w:szCs w:val="24"/>
          <w:lang w:val="en-US" w:eastAsia="zh-CN"/>
        </w:rPr>
        <w:t>三</w:t>
      </w:r>
      <w:r>
        <w:rPr>
          <w:rFonts w:hint="eastAsia" w:ascii="宋体" w:hAnsi="宋体" w:eastAsia="宋体" w:cs="宋体"/>
          <w:b/>
          <w:bCs/>
          <w:spacing w:val="0"/>
          <w:position w:val="0"/>
          <w:sz w:val="24"/>
          <w:szCs w:val="24"/>
        </w:rPr>
        <w:t>、设计目的与要求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（一）总体目的与要求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 必须达到现行设计标准、规范要求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（二）设计范围及技术要求</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设计范围：本项目的初步设计、施工图设计及相关服务（电力设计除外）。</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技术要求：设计需满足国家及行业相关标准、规范以及政府的相关规定和要求。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0"/>
          <w:position w:val="0"/>
          <w:sz w:val="24"/>
          <w:szCs w:val="24"/>
        </w:rPr>
      </w:pPr>
      <w:r>
        <w:rPr>
          <w:rFonts w:hint="eastAsia" w:ascii="宋体" w:hAnsi="宋体" w:cs="宋体"/>
          <w:b/>
          <w:bCs/>
          <w:spacing w:val="0"/>
          <w:position w:val="0"/>
          <w:sz w:val="24"/>
          <w:szCs w:val="24"/>
          <w:lang w:val="en-US" w:eastAsia="zh-CN"/>
        </w:rPr>
        <w:t>四</w:t>
      </w:r>
      <w:r>
        <w:rPr>
          <w:rFonts w:hint="eastAsia" w:ascii="宋体" w:hAnsi="宋体" w:eastAsia="宋体" w:cs="宋体"/>
          <w:b/>
          <w:bCs/>
          <w:spacing w:val="0"/>
          <w:position w:val="0"/>
          <w:sz w:val="24"/>
          <w:szCs w:val="24"/>
        </w:rPr>
        <w:t>、依据的规范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1、国家相关现行的勘察、设计技术规范、试验规程及质量评定标准；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2、其他有关规范等。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position w:val="0"/>
          <w:sz w:val="24"/>
          <w:szCs w:val="24"/>
        </w:rPr>
      </w:pPr>
      <w:r>
        <w:rPr>
          <w:rFonts w:hint="eastAsia" w:ascii="宋体" w:hAnsi="宋体" w:cs="宋体"/>
          <w:b/>
          <w:bCs/>
          <w:spacing w:val="0"/>
          <w:position w:val="0"/>
          <w:sz w:val="24"/>
          <w:szCs w:val="24"/>
          <w:lang w:val="en-US" w:eastAsia="zh-CN"/>
        </w:rPr>
        <w:t>五</w:t>
      </w:r>
      <w:r>
        <w:rPr>
          <w:rFonts w:hint="eastAsia" w:ascii="宋体" w:hAnsi="宋体" w:eastAsia="宋体" w:cs="宋体"/>
          <w:b/>
          <w:bCs/>
          <w:spacing w:val="0"/>
          <w:position w:val="0"/>
          <w:sz w:val="24"/>
          <w:szCs w:val="24"/>
        </w:rPr>
        <w:t>、环保标准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1、依据建设部文件的要求，设计招标工程项目须达到现行中华人民共和国以及省、自治区、直辖市或行业的工程建设设计标准规范的要求。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2、(1)国家标准： 国家相关现行的环保法规规范及标准；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960" w:firstLineChars="4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(2)行业标准： 符合国家和地方现行规范、设计标准和工程施工及验收标准。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3、国家相关的现行的设计技术规范、试验规程及质量评定标准。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 国家及行业相关的法律法规、规程规范。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4、其他有关规范。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 </w:t>
      </w:r>
    </w:p>
    <w:p>
      <w:pPr>
        <w:rPr>
          <w:b/>
          <w:bCs/>
          <w:snapToGrid w:val="0"/>
          <w:kern w:val="0"/>
          <w:sz w:val="30"/>
          <w:szCs w:val="30"/>
          <w:highlight w:val="none"/>
        </w:rPr>
      </w:pPr>
      <w:bookmarkStart w:id="39" w:name="_Toc24626"/>
      <w:r>
        <w:rPr>
          <w:b/>
          <w:bCs/>
          <w:snapToGrid w:val="0"/>
          <w:kern w:val="0"/>
          <w:sz w:val="30"/>
          <w:szCs w:val="30"/>
          <w:highlight w:val="none"/>
        </w:rPr>
        <w:br w:type="page"/>
      </w:r>
    </w:p>
    <w:p>
      <w:pPr>
        <w:keepNext w:val="0"/>
        <w:keepLines w:val="0"/>
        <w:pageBreakBefore w:val="0"/>
        <w:kinsoku/>
        <w:overflowPunct w:val="0"/>
        <w:topLinePunct/>
        <w:autoSpaceDE/>
        <w:autoSpaceDN w:val="0"/>
        <w:bidi w:val="0"/>
        <w:adjustRightInd w:val="0"/>
        <w:snapToGrid w:val="0"/>
        <w:spacing w:line="500" w:lineRule="exact"/>
        <w:jc w:val="center"/>
        <w:textAlignment w:val="auto"/>
        <w:outlineLvl w:val="0"/>
        <w:rPr>
          <w:b/>
          <w:bCs/>
          <w:spacing w:val="20"/>
          <w:sz w:val="28"/>
          <w:szCs w:val="28"/>
          <w:highlight w:val="none"/>
        </w:rPr>
      </w:pPr>
      <w:r>
        <w:rPr>
          <w:b/>
          <w:bCs/>
          <w:snapToGrid w:val="0"/>
          <w:kern w:val="0"/>
          <w:sz w:val="30"/>
          <w:szCs w:val="30"/>
          <w:highlight w:val="none"/>
        </w:rPr>
        <w:t>第六部分  合同范本</w:t>
      </w:r>
      <w:bookmarkEnd w:id="39"/>
    </w:p>
    <w:p>
      <w:pPr>
        <w:pStyle w:val="2"/>
        <w:spacing w:after="0"/>
        <w:jc w:val="center"/>
        <w:rPr>
          <w:rFonts w:hint="eastAsia" w:ascii="宋体" w:hAnsi="宋体" w:cs="宋体"/>
          <w:b/>
          <w:bCs/>
          <w:spacing w:val="-20"/>
          <w:kern w:val="44"/>
          <w:sz w:val="48"/>
          <w:szCs w:val="48"/>
        </w:rPr>
      </w:pPr>
    </w:p>
    <w:p>
      <w:pPr>
        <w:pStyle w:val="2"/>
        <w:spacing w:after="0"/>
        <w:jc w:val="center"/>
        <w:rPr>
          <w:rFonts w:hint="eastAsia" w:ascii="宋体" w:hAnsi="宋体" w:eastAsia="宋体" w:cs="宋体"/>
          <w:b/>
          <w:bCs/>
          <w:spacing w:val="-20"/>
          <w:kern w:val="44"/>
          <w:sz w:val="40"/>
          <w:szCs w:val="40"/>
        </w:rPr>
      </w:pPr>
    </w:p>
    <w:p>
      <w:pPr>
        <w:pStyle w:val="2"/>
        <w:spacing w:after="0"/>
        <w:jc w:val="center"/>
        <w:rPr>
          <w:rFonts w:hint="eastAsia" w:ascii="宋体" w:hAnsi="宋体" w:eastAsia="宋体" w:cs="宋体"/>
          <w:b/>
          <w:bCs/>
          <w:spacing w:val="-20"/>
          <w:kern w:val="44"/>
          <w:sz w:val="40"/>
          <w:szCs w:val="40"/>
        </w:rPr>
      </w:pPr>
      <w:r>
        <w:rPr>
          <w:rFonts w:hint="eastAsia" w:ascii="宋体" w:hAnsi="宋体" w:eastAsia="宋体" w:cs="宋体"/>
          <w:b/>
          <w:bCs/>
          <w:spacing w:val="-20"/>
          <w:kern w:val="44"/>
          <w:sz w:val="40"/>
          <w:szCs w:val="40"/>
        </w:rPr>
        <w:t>政府采购</w:t>
      </w:r>
      <w:r>
        <w:rPr>
          <w:rFonts w:hint="eastAsia" w:ascii="宋体" w:hAnsi="宋体" w:eastAsia="宋体" w:cs="宋体"/>
          <w:b/>
          <w:bCs/>
          <w:spacing w:val="-20"/>
          <w:kern w:val="44"/>
          <w:sz w:val="40"/>
          <w:szCs w:val="40"/>
          <w:lang w:val="en-US" w:eastAsia="zh-CN"/>
        </w:rPr>
        <w:t>服务购买</w:t>
      </w:r>
      <w:r>
        <w:rPr>
          <w:rFonts w:hint="eastAsia" w:ascii="宋体" w:hAnsi="宋体" w:eastAsia="宋体" w:cs="宋体"/>
          <w:b/>
          <w:bCs/>
          <w:spacing w:val="-20"/>
          <w:kern w:val="44"/>
          <w:sz w:val="40"/>
          <w:szCs w:val="40"/>
        </w:rPr>
        <w:t>合同</w:t>
      </w:r>
    </w:p>
    <w:p>
      <w:pPr>
        <w:jc w:val="center"/>
        <w:rPr>
          <w:rFonts w:hint="eastAsia" w:ascii="宋体" w:hAnsi="宋体" w:eastAsia="宋体" w:cs="宋体"/>
          <w:sz w:val="18"/>
          <w:szCs w:val="21"/>
        </w:rPr>
      </w:pPr>
      <w:r>
        <w:rPr>
          <w:rFonts w:hint="eastAsia" w:ascii="宋体" w:hAnsi="宋体" w:eastAsia="宋体" w:cs="宋体"/>
          <w:b/>
          <w:bCs/>
          <w:spacing w:val="-20"/>
          <w:kern w:val="44"/>
          <w:sz w:val="40"/>
          <w:szCs w:val="40"/>
          <w:lang w:eastAsia="zh-CN"/>
        </w:rPr>
        <w:t>（</w:t>
      </w:r>
      <w:r>
        <w:rPr>
          <w:rFonts w:hint="eastAsia" w:ascii="宋体" w:hAnsi="宋体" w:eastAsia="宋体" w:cs="宋体"/>
          <w:b/>
          <w:bCs/>
          <w:spacing w:val="-20"/>
          <w:kern w:val="44"/>
          <w:sz w:val="40"/>
          <w:szCs w:val="40"/>
          <w:lang w:val="en-US" w:eastAsia="zh-CN"/>
        </w:rPr>
        <w:t>试行</w:t>
      </w:r>
      <w:r>
        <w:rPr>
          <w:rFonts w:hint="eastAsia" w:ascii="宋体" w:hAnsi="宋体" w:eastAsia="宋体" w:cs="宋体"/>
          <w:b/>
          <w:bCs/>
          <w:spacing w:val="-20"/>
          <w:kern w:val="44"/>
          <w:sz w:val="40"/>
          <w:szCs w:val="40"/>
          <w:lang w:eastAsia="zh-CN"/>
        </w:rPr>
        <w:t>）</w:t>
      </w:r>
    </w:p>
    <w:p>
      <w:pPr>
        <w:rPr>
          <w:rFonts w:hint="eastAsia" w:ascii="宋体" w:hAnsi="宋体" w:eastAsia="宋体" w:cs="宋体"/>
          <w:b/>
          <w:bCs/>
          <w:spacing w:val="-20"/>
          <w:kern w:val="44"/>
          <w:sz w:val="32"/>
          <w:szCs w:val="32"/>
        </w:rPr>
      </w:pPr>
    </w:p>
    <w:p>
      <w:pPr>
        <w:rPr>
          <w:rFonts w:hint="eastAsia" w:ascii="宋体" w:hAnsi="宋体" w:eastAsia="宋体" w:cs="宋体"/>
          <w:b/>
          <w:bCs/>
          <w:spacing w:val="-20"/>
          <w:kern w:val="44"/>
          <w:sz w:val="32"/>
          <w:szCs w:val="32"/>
        </w:rPr>
      </w:pPr>
    </w:p>
    <w:p>
      <w:pPr>
        <w:rPr>
          <w:rFonts w:hint="eastAsia" w:ascii="宋体" w:hAnsi="宋体" w:eastAsia="宋体" w:cs="宋体"/>
          <w:b/>
          <w:bCs/>
          <w:spacing w:val="-20"/>
          <w:kern w:val="44"/>
          <w:sz w:val="32"/>
          <w:szCs w:val="32"/>
        </w:rPr>
      </w:pPr>
    </w:p>
    <w:p>
      <w:pPr>
        <w:spacing w:line="360" w:lineRule="auto"/>
        <w:ind w:left="420" w:leftChars="200"/>
        <w:rPr>
          <w:rFonts w:hint="eastAsia" w:ascii="宋体" w:hAnsi="宋体" w:eastAsia="宋体" w:cs="宋体"/>
          <w:kern w:val="0"/>
          <w:sz w:val="24"/>
          <w:szCs w:val="24"/>
          <w:u w:val="single"/>
        </w:rPr>
      </w:pPr>
      <w:r>
        <w:rPr>
          <w:rFonts w:hint="eastAsia" w:ascii="宋体" w:hAnsi="宋体" w:eastAsia="宋体" w:cs="宋体"/>
          <w:kern w:val="0"/>
          <w:sz w:val="24"/>
          <w:szCs w:val="24"/>
        </w:rPr>
        <w:t>项目名称：</w:t>
      </w:r>
      <w:r>
        <w:rPr>
          <w:rFonts w:hint="eastAsia" w:ascii="宋体" w:hAnsi="宋体" w:eastAsia="宋体" w:cs="宋体"/>
          <w:kern w:val="0"/>
          <w:sz w:val="24"/>
          <w:szCs w:val="24"/>
          <w:u w:val="single"/>
        </w:rPr>
        <w:t xml:space="preserve">                             </w:t>
      </w:r>
    </w:p>
    <w:p>
      <w:pPr>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合同编号：</w:t>
      </w:r>
      <w:r>
        <w:rPr>
          <w:rFonts w:hint="eastAsia" w:ascii="宋体" w:hAnsi="宋体" w:eastAsia="宋体" w:cs="宋体"/>
          <w:i w:val="0"/>
          <w:iCs w:val="0"/>
          <w:kern w:val="0"/>
          <w:sz w:val="24"/>
          <w:szCs w:val="24"/>
          <w:u w:val="single"/>
        </w:rPr>
        <w:t xml:space="preserve">                             </w:t>
      </w:r>
    </w:p>
    <w:p>
      <w:pPr>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甲    方：</w:t>
      </w:r>
      <w:r>
        <w:rPr>
          <w:rFonts w:hint="eastAsia" w:ascii="宋体" w:hAnsi="宋体" w:eastAsia="宋体" w:cs="宋体"/>
          <w:kern w:val="0"/>
          <w:sz w:val="24"/>
          <w:szCs w:val="24"/>
          <w:u w:val="single"/>
        </w:rPr>
        <w:t xml:space="preserve">                             </w:t>
      </w:r>
    </w:p>
    <w:p>
      <w:pPr>
        <w:spacing w:line="360" w:lineRule="auto"/>
        <w:ind w:left="420" w:leftChars="200"/>
        <w:rPr>
          <w:rFonts w:hint="eastAsia" w:ascii="宋体" w:hAnsi="宋体" w:eastAsia="宋体" w:cs="宋体"/>
          <w:kern w:val="0"/>
          <w:sz w:val="24"/>
          <w:szCs w:val="24"/>
          <w:u w:val="single"/>
        </w:rPr>
      </w:pPr>
      <w:r>
        <w:rPr>
          <w:rFonts w:hint="eastAsia" w:ascii="宋体" w:hAnsi="宋体" w:eastAsia="宋体" w:cs="宋体"/>
          <w:kern w:val="0"/>
          <w:sz w:val="24"/>
          <w:szCs w:val="24"/>
        </w:rPr>
        <w:t>乙    方：</w:t>
      </w:r>
      <w:r>
        <w:rPr>
          <w:rFonts w:hint="eastAsia" w:ascii="宋体" w:hAnsi="宋体" w:eastAsia="宋体" w:cs="宋体"/>
          <w:kern w:val="0"/>
          <w:sz w:val="24"/>
          <w:szCs w:val="24"/>
          <w:u w:val="single"/>
        </w:rPr>
        <w:t xml:space="preserve">                             </w:t>
      </w:r>
    </w:p>
    <w:p>
      <w:pPr>
        <w:spacing w:line="360" w:lineRule="auto"/>
        <w:ind w:left="420" w:leftChars="200"/>
        <w:rPr>
          <w:rFonts w:hint="eastAsia" w:ascii="宋体" w:hAnsi="宋体" w:eastAsia="宋体" w:cs="宋体"/>
          <w:kern w:val="0"/>
          <w:sz w:val="24"/>
          <w:szCs w:val="24"/>
          <w:u w:val="single"/>
        </w:rPr>
      </w:pPr>
      <w:r>
        <w:rPr>
          <w:rFonts w:hint="eastAsia" w:ascii="宋体" w:hAnsi="宋体" w:eastAsia="宋体" w:cs="宋体"/>
          <w:kern w:val="0"/>
          <w:sz w:val="24"/>
          <w:szCs w:val="24"/>
        </w:rPr>
        <w:t>签订时间：</w:t>
      </w:r>
      <w:r>
        <w:rPr>
          <w:rFonts w:hint="eastAsia" w:ascii="宋体" w:hAnsi="宋体" w:eastAsia="宋体" w:cs="宋体"/>
          <w:kern w:val="0"/>
          <w:sz w:val="24"/>
          <w:szCs w:val="24"/>
          <w:u w:val="single"/>
        </w:rPr>
        <w:t xml:space="preserve">                             </w:t>
      </w:r>
    </w:p>
    <w:p>
      <w:pPr>
        <w:jc w:val="center"/>
        <w:rPr>
          <w:rFonts w:hint="eastAsia" w:ascii="宋体" w:hAnsi="宋体" w:eastAsia="宋体" w:cs="宋体"/>
          <w:sz w:val="24"/>
          <w:szCs w:val="24"/>
        </w:rPr>
      </w:pPr>
    </w:p>
    <w:p>
      <w:pPr>
        <w:rPr>
          <w:rFonts w:hint="eastAsia" w:ascii="宋体" w:hAnsi="宋体" w:eastAsia="宋体" w:cs="宋体"/>
          <w:sz w:val="36"/>
          <w:szCs w:val="36"/>
        </w:rPr>
      </w:pPr>
      <w:r>
        <w:rPr>
          <w:rFonts w:hint="eastAsia" w:ascii="宋体" w:hAnsi="宋体" w:eastAsia="宋体" w:cs="宋体"/>
          <w:sz w:val="24"/>
          <w:szCs w:val="24"/>
        </w:rPr>
        <w:br w:type="page"/>
      </w:r>
    </w:p>
    <w:p>
      <w:pPr>
        <w:rPr>
          <w:rFonts w:hint="eastAsia" w:ascii="宋体" w:hAnsi="宋体" w:eastAsia="宋体" w:cs="宋体"/>
          <w:sz w:val="36"/>
          <w:szCs w:val="36"/>
        </w:rPr>
      </w:pPr>
    </w:p>
    <w:p>
      <w:pPr>
        <w:jc w:val="center"/>
        <w:rPr>
          <w:rFonts w:hint="eastAsia" w:ascii="宋体" w:hAnsi="宋体" w:eastAsia="宋体" w:cs="宋体"/>
          <w:color w:val="1F2329"/>
          <w:sz w:val="36"/>
          <w:szCs w:val="36"/>
        </w:rPr>
      </w:pPr>
      <w:r>
        <w:rPr>
          <w:rFonts w:hint="eastAsia" w:ascii="宋体" w:hAnsi="宋体" w:eastAsia="宋体" w:cs="宋体"/>
          <w:sz w:val="36"/>
          <w:szCs w:val="36"/>
          <w:lang w:eastAsia="zh-CN"/>
        </w:rPr>
        <w:t>使 用 说 明</w:t>
      </w:r>
    </w:p>
    <w:p>
      <w:pPr>
        <w:rPr>
          <w:rFonts w:hint="eastAsia" w:ascii="宋体" w:hAnsi="宋体" w:eastAsia="宋体" w:cs="宋体"/>
          <w:sz w:val="18"/>
          <w:szCs w:val="21"/>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1.本合同标准文本适用于购买政府采购各类服务项目，包括公共服务、专业技术服务、运营服务、咨询服务等非货物类采购项目，不适用于与货物采购绑定的附属服务（附属服务适用对应货物采购合同文本）。</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2.本合同为政府采购服务购买合同编制参考模板，可结合采购项目具体服务内容、履约标准、绩效要求等实际情况，对文本做必要调整修订后使用，未作约定的条款可标注“无”。</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3.本合同条款中涉及多家供应商、联合体成员、多项服务标的、分包内容等信息的，可根据采购项目具体情况添加信息项。</w:t>
      </w:r>
    </w:p>
    <w:p>
      <w:pPr>
        <w:ind w:firstLine="480" w:firstLineChars="200"/>
        <w:rPr>
          <w:rFonts w:hint="eastAsia" w:ascii="宋体" w:hAnsi="宋体" w:eastAsia="宋体" w:cs="宋体"/>
          <w:sz w:val="24"/>
          <w:szCs w:val="24"/>
          <w:lang w:val="en-US" w:eastAsia="zh-CN"/>
        </w:rPr>
      </w:pPr>
    </w:p>
    <w:p>
      <w:pPr>
        <w:pStyle w:val="171"/>
        <w:rPr>
          <w:rFonts w:hint="eastAsia" w:ascii="宋体" w:hAnsi="宋体" w:eastAsia="宋体" w:cs="宋体"/>
          <w:sz w:val="20"/>
          <w:szCs w:val="18"/>
        </w:rPr>
      </w:pPr>
    </w:p>
    <w:p>
      <w:pPr>
        <w:spacing w:before="312" w:beforeLines="100" w:after="312" w:afterLines="100" w:line="360" w:lineRule="auto"/>
        <w:jc w:val="center"/>
        <w:rPr>
          <w:rFonts w:hint="eastAsia" w:ascii="宋体" w:hAnsi="宋体" w:eastAsia="宋体" w:cs="宋体"/>
          <w:b/>
          <w:sz w:val="22"/>
          <w:szCs w:val="22"/>
          <w:lang w:val="en-US" w:eastAsia="zh-CN"/>
        </w:rPr>
        <w:sectPr>
          <w:footerReference r:id="rId7" w:type="default"/>
          <w:pgSz w:w="11906" w:h="16838"/>
          <w:pgMar w:top="1440" w:right="1800" w:bottom="1440" w:left="1800" w:header="851" w:footer="992" w:gutter="0"/>
          <w:pgNumType w:fmt="decimal" w:start="1"/>
          <w:cols w:space="720" w:num="1"/>
          <w:docGrid w:type="lines" w:linePitch="312" w:charSpace="0"/>
        </w:sectPr>
      </w:pPr>
    </w:p>
    <w:p>
      <w:pPr>
        <w:rPr>
          <w:rFonts w:hint="eastAsia"/>
          <w:lang w:val="en-US" w:eastAsia="zh-CN"/>
        </w:rPr>
      </w:pPr>
    </w:p>
    <w:p>
      <w:pPr>
        <w:pStyle w:val="5"/>
        <w:adjustRightInd w:val="0"/>
        <w:snapToGrid w:val="0"/>
        <w:spacing w:beforeLines="0" w:line="400" w:lineRule="exact"/>
        <w:jc w:val="center"/>
        <w:rPr>
          <w:rFonts w:hint="eastAsia" w:ascii="宋体" w:hAnsi="宋体" w:eastAsia="宋体" w:cs="宋体"/>
          <w:sz w:val="24"/>
          <w:szCs w:val="16"/>
          <w:lang w:val="en-US" w:eastAsia="zh-CN"/>
        </w:rPr>
      </w:pPr>
      <w:r>
        <w:rPr>
          <w:rFonts w:hint="eastAsia" w:ascii="宋体" w:hAnsi="宋体" w:eastAsia="宋体" w:cs="宋体"/>
          <w:b w:val="0"/>
          <w:bCs w:val="0"/>
          <w:sz w:val="22"/>
          <w:szCs w:val="22"/>
          <w:lang w:val="en-US" w:eastAsia="zh-CN"/>
        </w:rPr>
        <w:t xml:space="preserve">第一节 </w:t>
      </w:r>
      <w:r>
        <w:rPr>
          <w:rFonts w:hint="eastAsia" w:ascii="宋体" w:hAnsi="宋体" w:eastAsia="宋体" w:cs="宋体"/>
          <w:b w:val="0"/>
          <w:bCs w:val="0"/>
          <w:sz w:val="22"/>
          <w:szCs w:val="22"/>
        </w:rPr>
        <w:t>政府采购合同</w:t>
      </w:r>
      <w:r>
        <w:rPr>
          <w:rFonts w:hint="eastAsia" w:ascii="宋体" w:hAnsi="宋体" w:eastAsia="宋体" w:cs="宋体"/>
          <w:b w:val="0"/>
          <w:bCs w:val="0"/>
          <w:sz w:val="22"/>
          <w:szCs w:val="22"/>
          <w:lang w:val="en-US" w:eastAsia="zh-CN"/>
        </w:rPr>
        <w:t>协议书</w:t>
      </w:r>
    </w:p>
    <w:p>
      <w:pPr>
        <w:pStyle w:val="171"/>
        <w:rPr>
          <w:rFonts w:hint="eastAsia" w:ascii="宋体" w:hAnsi="宋体" w:eastAsia="宋体" w:cs="宋体"/>
          <w:sz w:val="20"/>
          <w:szCs w:val="18"/>
        </w:rPr>
      </w:pPr>
    </w:p>
    <w:p>
      <w:pPr>
        <w:adjustRightInd w:val="0"/>
        <w:snapToGrid w:val="0"/>
        <w:spacing w:before="0" w:beforeLines="0" w:line="400" w:lineRule="exact"/>
        <w:ind w:left="4200" w:hanging="3600" w:hangingChars="2000"/>
        <w:rPr>
          <w:rFonts w:hint="eastAsia" w:ascii="宋体" w:hAnsi="宋体" w:eastAsia="宋体" w:cs="宋体"/>
          <w:sz w:val="18"/>
          <w:szCs w:val="18"/>
        </w:rPr>
      </w:pPr>
      <w:r>
        <w:rPr>
          <w:rFonts w:hint="eastAsia" w:ascii="宋体" w:hAnsi="宋体" w:eastAsia="宋体" w:cs="宋体"/>
          <w:sz w:val="18"/>
          <w:szCs w:val="18"/>
        </w:rPr>
        <w:t>甲方（全称）：</w:t>
      </w:r>
      <w:r>
        <w:rPr>
          <w:rFonts w:hint="eastAsia" w:ascii="宋体" w:hAnsi="宋体" w:eastAsia="宋体" w:cs="宋体"/>
          <w:sz w:val="18"/>
          <w:szCs w:val="18"/>
          <w:u w:val="single"/>
        </w:rPr>
        <w:t xml:space="preserve">                        </w:t>
      </w:r>
      <w:r>
        <w:rPr>
          <w:rFonts w:hint="eastAsia" w:ascii="宋体" w:hAnsi="宋体" w:eastAsia="宋体" w:cs="宋体"/>
          <w:sz w:val="18"/>
          <w:szCs w:val="18"/>
        </w:rPr>
        <w:t>（采购人</w:t>
      </w:r>
      <w:r>
        <w:rPr>
          <w:rFonts w:hint="eastAsia" w:ascii="宋体" w:hAnsi="宋体" w:eastAsia="宋体" w:cs="宋体"/>
          <w:sz w:val="18"/>
          <w:szCs w:val="18"/>
          <w:lang w:eastAsia="zh-CN"/>
        </w:rPr>
        <w:t>、受采购人委托签订合同的单位</w:t>
      </w:r>
      <w:r>
        <w:rPr>
          <w:rFonts w:hint="eastAsia" w:ascii="宋体" w:hAnsi="宋体" w:eastAsia="宋体" w:cs="宋体"/>
          <w:sz w:val="18"/>
          <w:szCs w:val="18"/>
        </w:rPr>
        <w:t>或采购文件约定的合同甲方）</w:t>
      </w:r>
    </w:p>
    <w:p>
      <w:pPr>
        <w:adjustRightInd w:val="0"/>
        <w:snapToGrid w:val="0"/>
        <w:spacing w:before="0" w:beforeLines="0" w:line="40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乙方1（全称）：</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lang w:val="en-US" w:eastAsia="zh-CN"/>
        </w:rPr>
        <w:t>（供应商）</w:t>
      </w:r>
    </w:p>
    <w:p>
      <w:pPr>
        <w:adjustRightInd w:val="0"/>
        <w:snapToGrid w:val="0"/>
        <w:spacing w:before="0" w:beforeLines="0" w:line="400" w:lineRule="exact"/>
        <w:rPr>
          <w:rFonts w:hint="eastAsia" w:ascii="宋体" w:hAnsi="宋体" w:eastAsia="宋体" w:cs="宋体"/>
          <w:sz w:val="18"/>
          <w:szCs w:val="18"/>
        </w:rPr>
      </w:pPr>
      <w:r>
        <w:rPr>
          <w:rFonts w:hint="eastAsia" w:ascii="宋体" w:hAnsi="宋体" w:eastAsia="宋体" w:cs="宋体"/>
          <w:sz w:val="18"/>
          <w:szCs w:val="18"/>
        </w:rPr>
        <w:t>乙方2（全称）：</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（联合体成员供应商或其他合同主体）（如有）</w:t>
      </w:r>
    </w:p>
    <w:p>
      <w:pPr>
        <w:spacing w:line="360" w:lineRule="auto"/>
        <w:ind w:firstLine="360" w:firstLineChars="200"/>
        <w:jc w:val="left"/>
        <w:rPr>
          <w:rFonts w:hint="eastAsia" w:ascii="宋体" w:hAnsi="宋体" w:eastAsia="宋体" w:cs="宋体"/>
          <w:sz w:val="18"/>
          <w:szCs w:val="18"/>
          <w:u w:val="single"/>
        </w:rPr>
      </w:pPr>
    </w:p>
    <w:p>
      <w:pPr>
        <w:keepNext w:val="0"/>
        <w:keepLines w:val="0"/>
        <w:pageBreakBefore w:val="0"/>
        <w:kinsoku/>
        <w:wordWrap/>
        <w:overflowPunct/>
        <w:topLinePunct w:val="0"/>
        <w:bidi w:val="0"/>
        <w:snapToGrid/>
        <w:spacing w:line="400" w:lineRule="exact"/>
        <w:ind w:firstLine="360" w:firstLineChars="20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据《中华人民共和国民法典》《中华人民共和国政府采购法》等有关的法律法规，以及本采购项目的招标/谈判/磋商文件等采购文件、乙方的《投标（响应）文件》及《中标（成交）通知书》，甲乙双方同意签订本合同。具体情况及要求如下：</w:t>
      </w:r>
    </w:p>
    <w:p>
      <w:pPr>
        <w:keepNext w:val="0"/>
        <w:keepLines w:val="0"/>
        <w:pageBreakBefore w:val="0"/>
        <w:numPr>
          <w:ilvl w:val="0"/>
          <w:numId w:val="0"/>
        </w:numPr>
        <w:kinsoku/>
        <w:wordWrap/>
        <w:overflowPunct/>
        <w:topLinePunct w:val="0"/>
        <w:bidi w:val="0"/>
        <w:snapToGrid/>
        <w:spacing w:line="400" w:lineRule="exact"/>
        <w:ind w:firstLine="360" w:firstLineChars="200"/>
        <w:jc w:val="left"/>
        <w:textAlignment w:val="auto"/>
        <w:rPr>
          <w:rFonts w:hint="eastAsia" w:ascii="宋体" w:hAnsi="宋体" w:eastAsia="宋体" w:cs="宋体"/>
          <w:sz w:val="18"/>
          <w:szCs w:val="18"/>
          <w:u w:val="single"/>
          <w:lang w:val="en-US" w:eastAsia="zh-CN"/>
        </w:rPr>
      </w:pPr>
      <w:r>
        <w:rPr>
          <w:rFonts w:hint="eastAsia" w:ascii="宋体" w:hAnsi="宋体" w:eastAsia="宋体" w:cs="宋体"/>
          <w:kern w:val="2"/>
          <w:sz w:val="18"/>
          <w:szCs w:val="18"/>
          <w:lang w:val="en-US" w:eastAsia="zh-CN" w:bidi="ar-SA"/>
        </w:rPr>
        <w:t>1.</w:t>
      </w:r>
      <w:r>
        <w:rPr>
          <w:rFonts w:hint="eastAsia" w:ascii="宋体" w:hAnsi="宋体" w:eastAsia="宋体" w:cs="宋体"/>
          <w:b/>
          <w:bCs/>
          <w:sz w:val="18"/>
          <w:szCs w:val="18"/>
          <w:u w:val="none"/>
          <w:lang w:val="en-US" w:eastAsia="zh-CN"/>
        </w:rPr>
        <w:t>项目信息</w:t>
      </w:r>
    </w:p>
    <w:p>
      <w:pPr>
        <w:keepNext w:val="0"/>
        <w:keepLines w:val="0"/>
        <w:pageBreakBefore w:val="0"/>
        <w:widowControl w:val="0"/>
        <w:numPr>
          <w:ilvl w:val="0"/>
          <w:numId w:val="0"/>
        </w:numPr>
        <w:kinsoku/>
        <w:wordWrap/>
        <w:overflowPunct/>
        <w:topLinePunct w:val="0"/>
        <w:autoSpaceDE/>
        <w:autoSpaceDN/>
        <w:bidi w:val="0"/>
        <w:snapToGrid/>
        <w:spacing w:line="400" w:lineRule="exact"/>
        <w:ind w:firstLine="360" w:firstLineChars="200"/>
        <w:jc w:val="left"/>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rPr>
        <w:t>采购项目名称：</w:t>
      </w:r>
      <w:r>
        <w:rPr>
          <w:rFonts w:hint="eastAsia" w:ascii="宋体" w:hAnsi="宋体" w:eastAsia="宋体" w:cs="宋体"/>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left"/>
        <w:textAlignment w:val="auto"/>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lang w:val="en-US" w:eastAsia="zh-CN"/>
        </w:rPr>
        <w:t>（2）采购项目编号</w:t>
      </w:r>
      <w:r>
        <w:rPr>
          <w:rFonts w:hint="eastAsia" w:ascii="宋体" w:hAnsi="宋体" w:eastAsia="宋体" w:cs="宋体"/>
          <w:color w:val="auto"/>
          <w:sz w:val="18"/>
          <w:szCs w:val="18"/>
        </w:rPr>
        <w:t>：</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服务内容及要求：</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left"/>
        <w:textAlignment w:val="auto"/>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t>服务</w:t>
      </w:r>
      <w:r>
        <w:rPr>
          <w:rFonts w:hint="eastAsia" w:ascii="宋体" w:hAnsi="宋体" w:eastAsia="宋体" w:cs="宋体"/>
          <w:color w:val="auto"/>
          <w:sz w:val="18"/>
          <w:szCs w:val="18"/>
          <w:lang w:val="en-US" w:eastAsia="zh-CN"/>
        </w:rPr>
        <w:t>内容</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t>服务标准</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lang w:val="en-US" w:eastAsia="zh-CN"/>
        </w:rPr>
        <w:t>服务方式：</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lang w:val="en-US" w:eastAsia="zh-CN"/>
        </w:rPr>
        <w:t>服务成果：</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具体技术要求、商务要求、履约标准详见本合同附件。</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政府采购组织形式：</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政府集中采购</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val="en-US" w:eastAsia="zh-CN"/>
        </w:rPr>
        <w:t xml:space="preserve">部门集中采购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val="en-US" w:eastAsia="zh-CN"/>
        </w:rPr>
        <w:t>分散采购</w:t>
      </w:r>
    </w:p>
    <w:p>
      <w:pPr>
        <w:pStyle w:val="171"/>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18"/>
          <w:szCs w:val="18"/>
          <w:lang w:eastAsia="zh-CN"/>
        </w:rPr>
      </w:pPr>
      <w:r>
        <w:rPr>
          <w:rFonts w:hint="eastAsia" w:ascii="宋体" w:hAnsi="宋体" w:eastAsia="宋体" w:cs="宋体"/>
          <w:color w:val="auto"/>
          <w:sz w:val="20"/>
          <w:szCs w:val="18"/>
          <w:lang w:eastAsia="zh-CN"/>
        </w:rPr>
        <w:t>（</w:t>
      </w:r>
      <w:r>
        <w:rPr>
          <w:rFonts w:hint="eastAsia" w:ascii="宋体" w:hAnsi="宋体" w:eastAsia="宋体" w:cs="宋体"/>
          <w:color w:val="auto"/>
          <w:sz w:val="20"/>
          <w:szCs w:val="18"/>
          <w:lang w:val="en-US" w:eastAsia="zh-CN"/>
        </w:rPr>
        <w:t>5</w:t>
      </w:r>
      <w:r>
        <w:rPr>
          <w:rFonts w:hint="eastAsia" w:ascii="宋体" w:hAnsi="宋体" w:eastAsia="宋体" w:cs="宋体"/>
          <w:color w:val="auto"/>
          <w:sz w:val="20"/>
          <w:szCs w:val="18"/>
          <w:lang w:eastAsia="zh-CN"/>
        </w:rPr>
        <w:t>）</w:t>
      </w:r>
      <w:r>
        <w:rPr>
          <w:rFonts w:hint="eastAsia" w:ascii="宋体" w:hAnsi="宋体" w:eastAsia="宋体" w:cs="宋体"/>
          <w:color w:val="auto"/>
          <w:sz w:val="20"/>
          <w:szCs w:val="18"/>
        </w:rPr>
        <w:t>政府采购方式：</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公开招标</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邀请招标</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竞争性谈判</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竞争性磋商</w:t>
      </w:r>
    </w:p>
    <w:p>
      <w:pPr>
        <w:pStyle w:val="171"/>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18"/>
          <w:szCs w:val="18"/>
          <w:u w:val="single"/>
          <w:lang w:val="en-US" w:eastAsia="zh-CN"/>
        </w:rPr>
      </w:pPr>
      <w:r>
        <w:rPr>
          <w:rFonts w:hint="eastAsia" w:ascii="宋体" w:hAnsi="宋体" w:eastAsia="宋体" w:cs="宋体"/>
          <w:color w:val="auto"/>
          <w:sz w:val="20"/>
          <w:szCs w:val="18"/>
          <w:u w:val="none"/>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询价</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单一来源</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框架协议</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其他：</w:t>
      </w:r>
      <w:r>
        <w:rPr>
          <w:rFonts w:hint="eastAsia" w:ascii="宋体" w:hAnsi="宋体" w:eastAsia="宋体" w:cs="宋体"/>
          <w:iCs w:val="0"/>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（注：</w:t>
      </w:r>
      <w:r>
        <w:rPr>
          <w:rFonts w:hint="eastAsia" w:ascii="宋体" w:hAnsi="宋体" w:eastAsia="宋体" w:cs="宋体"/>
          <w:iCs w:val="0"/>
          <w:color w:val="auto"/>
          <w:sz w:val="18"/>
          <w:szCs w:val="18"/>
          <w:u w:val="none"/>
          <w:lang w:val="en-US" w:eastAsia="zh-CN"/>
        </w:rPr>
        <w:t>在框架协议采购的第二阶段，可选择使用该合同文本</w:t>
      </w:r>
      <w:r>
        <w:rPr>
          <w:rFonts w:hint="eastAsia" w:ascii="宋体" w:hAnsi="宋体" w:eastAsia="宋体" w:cs="宋体"/>
          <w:color w:val="auto"/>
          <w:sz w:val="18"/>
          <w:szCs w:val="18"/>
        </w:rPr>
        <w:t>）</w:t>
      </w:r>
    </w:p>
    <w:p>
      <w:pPr>
        <w:keepNext w:val="0"/>
        <w:keepLines w:val="0"/>
        <w:pageBreakBefore w:val="0"/>
        <w:widowControl w:val="0"/>
        <w:numPr>
          <w:ilvl w:val="0"/>
          <w:numId w:val="5"/>
        </w:numPr>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中标（成交）供应商是否为中小企业：</w:t>
      </w:r>
      <w:r>
        <w:rPr>
          <w:rFonts w:hint="eastAsia" w:ascii="宋体" w:hAnsi="宋体" w:eastAsia="宋体" w:cs="宋体"/>
          <w:color w:val="auto"/>
          <w:w w:val="100"/>
          <w:kern w:val="2"/>
          <w:sz w:val="18"/>
          <w:szCs w:val="18"/>
          <w:lang w:val="en-US" w:eastAsia="zh-CN" w:bidi="ar-SA"/>
        </w:rPr>
        <w:sym w:font="Wingdings" w:char="00A8"/>
      </w:r>
      <w:r>
        <w:rPr>
          <w:rFonts w:hint="eastAsia" w:ascii="宋体" w:hAnsi="宋体" w:eastAsia="宋体" w:cs="宋体"/>
          <w:color w:val="auto"/>
          <w:w w:val="100"/>
          <w:kern w:val="2"/>
          <w:sz w:val="18"/>
          <w:szCs w:val="18"/>
          <w:lang w:val="en-US" w:eastAsia="zh-CN" w:bidi="ar-SA"/>
        </w:rPr>
        <w:t xml:space="preserve">是      </w:t>
      </w:r>
      <w:r>
        <w:rPr>
          <w:rFonts w:hint="eastAsia" w:ascii="宋体" w:hAnsi="宋体" w:eastAsia="宋体" w:cs="宋体"/>
          <w:color w:val="auto"/>
          <w:w w:val="100"/>
          <w:kern w:val="2"/>
          <w:sz w:val="18"/>
          <w:szCs w:val="18"/>
          <w:lang w:val="en-US" w:eastAsia="zh-CN" w:bidi="ar-SA"/>
        </w:rPr>
        <w:sym w:font="Wingdings" w:char="00A8"/>
      </w:r>
      <w:r>
        <w:rPr>
          <w:rFonts w:hint="eastAsia" w:ascii="宋体" w:hAnsi="宋体" w:eastAsia="宋体" w:cs="宋体"/>
          <w:color w:val="auto"/>
          <w:w w:val="100"/>
          <w:kern w:val="2"/>
          <w:sz w:val="18"/>
          <w:szCs w:val="18"/>
          <w:lang w:val="en-US" w:eastAsia="zh-CN" w:bidi="ar-SA"/>
        </w:rPr>
        <w:t>否</w:t>
      </w:r>
    </w:p>
    <w:p>
      <w:pPr>
        <w:keepNext w:val="0"/>
        <w:keepLines w:val="0"/>
        <w:pageBreakBefore w:val="0"/>
        <w:widowControl w:val="0"/>
        <w:numPr>
          <w:ilvl w:val="0"/>
          <w:numId w:val="0"/>
        </w:numPr>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本合同是否为专门面向中小企业的采购合同（中小企业预留合同）</w:t>
      </w:r>
      <w:r>
        <w:rPr>
          <w:rFonts w:hint="eastAsia" w:ascii="宋体" w:hAnsi="宋体" w:eastAsia="宋体" w:cs="宋体"/>
          <w:color w:val="auto"/>
          <w:sz w:val="18"/>
          <w:szCs w:val="18"/>
          <w:lang w:eastAsia="zh-CN"/>
        </w:rPr>
        <w:t>：</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是 </w:t>
      </w:r>
      <w:r>
        <w:rPr>
          <w:rFonts w:hint="eastAsia" w:ascii="宋体" w:hAnsi="宋体" w:eastAsia="宋体" w:cs="宋体"/>
          <w:iCs/>
          <w:color w:val="auto"/>
          <w:sz w:val="18"/>
          <w:szCs w:val="18"/>
          <w:lang w:val="en-US" w:eastAsia="zh-CN"/>
        </w:rPr>
        <w:t xml:space="preserve">  </w:t>
      </w:r>
      <w:r>
        <w:rPr>
          <w:rFonts w:hint="eastAsia" w:ascii="宋体" w:hAnsi="宋体" w:eastAsia="宋体" w:cs="宋体"/>
          <w:iCs/>
          <w:color w:val="auto"/>
          <w:sz w:val="18"/>
          <w:szCs w:val="18"/>
        </w:rPr>
        <w:t xml:space="preserve">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若本项目不专门面向中小企业采购，是否给予小微企业评审优惠：</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是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中标（成交）供应商是否为残疾人福利性单位：</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是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中标（成交）供应商是否为监狱企业：</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是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合同是否分包：</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是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分包主要服务内容：</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分包供应商名称：</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分包供应商类型：</w:t>
      </w:r>
    </w:p>
    <w:p>
      <w:pPr>
        <w:adjustRightInd w:val="0"/>
        <w:snapToGrid w:val="0"/>
        <w:spacing w:beforeLines="0" w:line="400" w:lineRule="exact"/>
        <w:ind w:firstLine="720" w:firstLineChars="400"/>
        <w:rPr>
          <w:rFonts w:hint="eastAsia" w:ascii="宋体" w:hAnsi="宋体" w:eastAsia="宋体" w:cs="宋体"/>
          <w:iCs/>
          <w:color w:val="auto"/>
          <w:sz w:val="18"/>
          <w:szCs w:val="18"/>
          <w:lang w:val="en-US" w:eastAsia="zh-CN"/>
        </w:rPr>
      </w:pP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大型企业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中型企业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小微型企业</w:t>
      </w:r>
      <w:r>
        <w:rPr>
          <w:rFonts w:hint="eastAsia" w:ascii="宋体" w:hAnsi="宋体" w:eastAsia="宋体" w:cs="宋体"/>
          <w:iCs/>
          <w:color w:val="auto"/>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iCs/>
          <w:color w:val="auto"/>
          <w:sz w:val="18"/>
          <w:szCs w:val="18"/>
          <w:lang w:val="en-US" w:eastAsia="zh-CN"/>
        </w:rPr>
        <w:t xml:space="preserve">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lang w:eastAsia="zh-CN"/>
        </w:rPr>
        <w:t>残疾人福利性单位</w:t>
      </w:r>
      <w:r>
        <w:rPr>
          <w:rFonts w:hint="eastAsia" w:ascii="宋体" w:hAnsi="宋体" w:eastAsia="宋体" w:cs="宋体"/>
          <w:iCs/>
          <w:color w:val="auto"/>
          <w:sz w:val="18"/>
          <w:szCs w:val="18"/>
          <w:lang w:val="en-US" w:eastAsia="zh-CN"/>
        </w:rPr>
        <w:t xml:space="preserve">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lang w:eastAsia="zh-CN"/>
        </w:rPr>
        <w:t>监狱</w:t>
      </w:r>
      <w:r>
        <w:rPr>
          <w:rFonts w:hint="eastAsia" w:ascii="宋体" w:hAnsi="宋体" w:eastAsia="宋体" w:cs="宋体"/>
          <w:iCs/>
          <w:color w:val="auto"/>
          <w:sz w:val="18"/>
          <w:szCs w:val="18"/>
        </w:rPr>
        <w:t>企业</w:t>
      </w:r>
      <w:r>
        <w:rPr>
          <w:rFonts w:hint="eastAsia" w:ascii="宋体" w:hAnsi="宋体" w:eastAsia="宋体" w:cs="宋体"/>
          <w:iCs/>
          <w:color w:val="auto"/>
          <w:sz w:val="18"/>
          <w:szCs w:val="18"/>
          <w:lang w:val="en-US" w:eastAsia="zh-CN"/>
        </w:rPr>
        <w:t xml:space="preserve">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lang w:eastAsia="zh-CN"/>
        </w:rPr>
        <w:t>其他</w:t>
      </w:r>
    </w:p>
    <w:p>
      <w:pPr>
        <w:keepNext w:val="0"/>
        <w:keepLines w:val="0"/>
        <w:pageBreakBefore w:val="0"/>
        <w:numPr>
          <w:ilvl w:val="0"/>
          <w:numId w:val="0"/>
        </w:numPr>
        <w:kinsoku/>
        <w:wordWrap/>
        <w:overflowPunct/>
        <w:topLinePunct w:val="0"/>
        <w:bidi w:val="0"/>
        <w:adjustRightInd w:val="0"/>
        <w:snapToGrid/>
        <w:spacing w:before="0" w:line="400" w:lineRule="exact"/>
        <w:ind w:left="0" w:leftChars="0" w:firstLine="361" w:firstLineChars="200"/>
        <w:textAlignment w:val="auto"/>
        <w:rPr>
          <w:rFonts w:hint="eastAsia" w:ascii="宋体" w:hAnsi="宋体" w:eastAsia="宋体" w:cs="宋体"/>
          <w:b/>
          <w:color w:val="auto"/>
          <w:sz w:val="18"/>
          <w:szCs w:val="18"/>
          <w:highlight w:val="none"/>
        </w:rPr>
      </w:pPr>
      <w:r>
        <w:rPr>
          <w:rFonts w:hint="eastAsia" w:ascii="宋体" w:hAnsi="宋体" w:eastAsia="宋体" w:cs="宋体"/>
          <w:b/>
          <w:color w:val="auto"/>
          <w:kern w:val="2"/>
          <w:sz w:val="18"/>
          <w:szCs w:val="18"/>
          <w:lang w:val="en-US" w:eastAsia="zh-CN" w:bidi="ar-SA"/>
        </w:rPr>
        <w:t>2.</w:t>
      </w:r>
      <w:r>
        <w:rPr>
          <w:rFonts w:hint="eastAsia" w:ascii="宋体" w:hAnsi="宋体" w:eastAsia="宋体" w:cs="宋体"/>
          <w:b/>
          <w:color w:val="auto"/>
          <w:sz w:val="18"/>
          <w:szCs w:val="18"/>
          <w:highlight w:val="none"/>
        </w:rPr>
        <w:t>合同金额</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color w:val="auto"/>
          <w:sz w:val="18"/>
          <w:szCs w:val="18"/>
          <w:u w:val="single"/>
        </w:rPr>
      </w:pPr>
      <w:r>
        <w:rPr>
          <w:rFonts w:hint="eastAsia" w:ascii="宋体" w:hAnsi="宋体" w:eastAsia="宋体" w:cs="宋体"/>
          <w:color w:val="auto"/>
          <w:sz w:val="18"/>
          <w:szCs w:val="18"/>
        </w:rPr>
        <w:t>（1）合同金额</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含税</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小写：</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大写：</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分包金额</w:t>
      </w:r>
      <w:r>
        <w:rPr>
          <w:rFonts w:hint="eastAsia" w:ascii="宋体" w:hAnsi="宋体" w:eastAsia="宋体" w:cs="宋体"/>
          <w:color w:val="auto"/>
          <w:sz w:val="18"/>
          <w:szCs w:val="18"/>
          <w:lang w:eastAsia="zh-CN"/>
        </w:rPr>
        <w:t>（如有）</w:t>
      </w:r>
      <w:r>
        <w:rPr>
          <w:rFonts w:hint="eastAsia" w:ascii="宋体" w:hAnsi="宋体" w:eastAsia="宋体" w:cs="宋体"/>
          <w:color w:val="auto"/>
          <w:sz w:val="18"/>
          <w:szCs w:val="18"/>
        </w:rPr>
        <w:t>小写：</w:t>
      </w:r>
      <w:r>
        <w:rPr>
          <w:rFonts w:hint="eastAsia" w:ascii="宋体" w:hAnsi="宋体" w:eastAsia="宋体" w:cs="宋体"/>
          <w:color w:val="auto"/>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大写：</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（注：固定单价合同应填写单价和最高限价）</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付款方式（按项目实际勾选填写）：</w:t>
      </w:r>
    </w:p>
    <w:p>
      <w:pPr>
        <w:keepNext w:val="0"/>
        <w:keepLines w:val="0"/>
        <w:pageBreakBefore w:val="0"/>
        <w:widowControl w:val="0"/>
        <w:kinsoku/>
        <w:wordWrap/>
        <w:overflowPunct/>
        <w:topLinePunct w:val="0"/>
        <w:autoSpaceDE/>
        <w:autoSpaceDN/>
        <w:bidi w:val="0"/>
        <w:adjustRightInd w:val="0"/>
        <w:snapToGrid/>
        <w:spacing w:before="0" w:line="400" w:lineRule="exact"/>
        <w:ind w:firstLine="900" w:firstLineChars="5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sym w:font="Wingdings" w:char="00A8"/>
      </w:r>
      <w:r>
        <w:rPr>
          <w:rFonts w:hint="eastAsia" w:ascii="宋体" w:hAnsi="宋体" w:eastAsia="宋体" w:cs="宋体"/>
          <w:color w:val="auto"/>
          <w:sz w:val="18"/>
          <w:szCs w:val="18"/>
        </w:rPr>
        <w:t>全额付款：</w:t>
      </w:r>
      <w:r>
        <w:rPr>
          <w:rFonts w:hint="eastAsia" w:ascii="宋体" w:hAnsi="宋体" w:eastAsia="宋体" w:cs="宋体"/>
          <w:color w:val="auto"/>
          <w:sz w:val="18"/>
          <w:szCs w:val="18"/>
          <w:u w:val="single"/>
        </w:rPr>
        <w:t xml:space="preserve">  （应</w:t>
      </w:r>
      <w:r>
        <w:rPr>
          <w:rFonts w:hint="eastAsia" w:ascii="宋体" w:hAnsi="宋体" w:eastAsia="宋体" w:cs="宋体"/>
          <w:color w:val="auto"/>
          <w:sz w:val="18"/>
          <w:szCs w:val="18"/>
          <w:u w:val="single"/>
          <w:lang w:eastAsia="zh-CN"/>
        </w:rPr>
        <w:t>明确</w:t>
      </w:r>
      <w:r>
        <w:rPr>
          <w:rFonts w:hint="eastAsia" w:ascii="宋体" w:hAnsi="宋体" w:eastAsia="宋体" w:cs="宋体"/>
          <w:color w:val="auto"/>
          <w:sz w:val="18"/>
          <w:szCs w:val="18"/>
          <w:u w:val="single"/>
        </w:rPr>
        <w:t>一次性支付合同款项</w:t>
      </w:r>
      <w:r>
        <w:rPr>
          <w:rFonts w:hint="eastAsia" w:ascii="宋体" w:hAnsi="宋体" w:eastAsia="宋体" w:cs="宋体"/>
          <w:color w:val="auto"/>
          <w:sz w:val="18"/>
          <w:szCs w:val="18"/>
          <w:u w:val="single"/>
          <w:lang w:eastAsia="zh-CN"/>
        </w:rPr>
        <w:t>的条件</w:t>
      </w:r>
      <w:r>
        <w:rPr>
          <w:rFonts w:hint="eastAsia" w:ascii="宋体" w:hAnsi="宋体" w:eastAsia="宋体" w:cs="宋体"/>
          <w:color w:val="auto"/>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900" w:firstLineChars="500"/>
        <w:jc w:val="both"/>
        <w:textAlignment w:val="auto"/>
        <w:rPr>
          <w:rFonts w:hint="eastAsia" w:ascii="宋体" w:hAnsi="宋体" w:eastAsia="宋体" w:cs="宋体"/>
          <w:color w:val="auto"/>
          <w:sz w:val="18"/>
          <w:szCs w:val="18"/>
          <w:u w:val="single"/>
        </w:rPr>
      </w:pPr>
      <w:r>
        <w:rPr>
          <w:rFonts w:hint="eastAsia" w:ascii="宋体" w:hAnsi="宋体" w:eastAsia="宋体" w:cs="宋体"/>
          <w:color w:val="auto"/>
          <w:sz w:val="18"/>
          <w:szCs w:val="18"/>
        </w:rPr>
        <w:sym w:font="Wingdings" w:char="00A8"/>
      </w:r>
      <w:r>
        <w:rPr>
          <w:rFonts w:hint="eastAsia" w:ascii="宋体" w:hAnsi="宋体" w:eastAsia="宋体" w:cs="宋体"/>
          <w:color w:val="auto"/>
          <w:sz w:val="18"/>
          <w:szCs w:val="18"/>
        </w:rPr>
        <w:t>分期付款：</w:t>
      </w:r>
      <w:r>
        <w:rPr>
          <w:rFonts w:hint="eastAsia" w:ascii="宋体" w:hAnsi="宋体" w:eastAsia="宋体" w:cs="宋体"/>
          <w:color w:val="auto"/>
          <w:sz w:val="18"/>
          <w:szCs w:val="18"/>
          <w:u w:val="single"/>
        </w:rPr>
        <w:t xml:space="preserve">  （应明确分期支付合同款项的各期比例和支付条件</w:t>
      </w:r>
      <w:r>
        <w:rPr>
          <w:rFonts w:hint="eastAsia" w:ascii="宋体" w:hAnsi="宋体" w:eastAsia="宋体" w:cs="宋体"/>
          <w:color w:val="auto"/>
          <w:sz w:val="18"/>
          <w:szCs w:val="18"/>
          <w:u w:val="single"/>
          <w:lang w:eastAsia="zh-CN"/>
        </w:rPr>
        <w:t>，各期支付条件应与分期履约验收情况挂钩</w:t>
      </w:r>
      <w:r>
        <w:rPr>
          <w:rFonts w:hint="eastAsia" w:ascii="宋体" w:hAnsi="宋体" w:eastAsia="宋体" w:cs="宋体"/>
          <w:color w:val="auto"/>
          <w:sz w:val="18"/>
          <w:szCs w:val="18"/>
          <w:u w:val="single"/>
        </w:rPr>
        <w:t>）</w:t>
      </w:r>
      <w:r>
        <w:rPr>
          <w:rFonts w:hint="eastAsia" w:ascii="宋体" w:hAnsi="宋体" w:eastAsia="宋体" w:cs="宋体"/>
          <w:color w:val="auto"/>
          <w:sz w:val="18"/>
          <w:szCs w:val="18"/>
          <w:u w:val="single"/>
          <w:lang w:eastAsia="zh-CN"/>
        </w:rPr>
        <w:t>，</w:t>
      </w:r>
      <w:r>
        <w:rPr>
          <w:rFonts w:hint="eastAsia" w:ascii="宋体" w:hAnsi="宋体" w:eastAsia="宋体" w:cs="宋体"/>
          <w:color w:val="auto"/>
          <w:sz w:val="18"/>
          <w:szCs w:val="18"/>
          <w:lang w:eastAsia="zh-CN"/>
        </w:rPr>
        <w:t>其中涉及预付款的</w:t>
      </w:r>
      <w:r>
        <w:rPr>
          <w:rFonts w:hint="eastAsia" w:ascii="宋体" w:hAnsi="宋体" w:eastAsia="宋体" w:cs="宋体"/>
          <w:color w:val="auto"/>
          <w:sz w:val="18"/>
          <w:szCs w:val="18"/>
        </w:rPr>
        <w:t>：</w:t>
      </w:r>
      <w:r>
        <w:rPr>
          <w:rFonts w:hint="eastAsia" w:ascii="宋体" w:hAnsi="宋体" w:eastAsia="宋体" w:cs="宋体"/>
          <w:color w:val="auto"/>
          <w:sz w:val="18"/>
          <w:szCs w:val="18"/>
          <w:u w:val="single"/>
        </w:rPr>
        <w:t xml:space="preserve">（应明确预付款的支付比例和支付条件） </w:t>
      </w:r>
    </w:p>
    <w:p>
      <w:pPr>
        <w:keepNext w:val="0"/>
        <w:keepLines w:val="0"/>
        <w:pageBreakBefore w:val="0"/>
        <w:numPr>
          <w:ilvl w:val="0"/>
          <w:numId w:val="0"/>
        </w:numPr>
        <w:kinsoku/>
        <w:wordWrap/>
        <w:overflowPunct/>
        <w:topLinePunct w:val="0"/>
        <w:bidi w:val="0"/>
        <w:adjustRightInd w:val="0"/>
        <w:snapToGrid/>
        <w:spacing w:before="0" w:line="400" w:lineRule="exact"/>
        <w:ind w:left="0" w:leftChars="0" w:firstLine="361" w:firstLineChars="200"/>
        <w:textAlignment w:val="auto"/>
        <w:rPr>
          <w:rFonts w:hint="eastAsia" w:ascii="宋体" w:hAnsi="宋体" w:eastAsia="宋体" w:cs="宋体"/>
          <w:b/>
          <w:bCs w:val="0"/>
          <w:sz w:val="18"/>
          <w:szCs w:val="18"/>
          <w:u w:val="single"/>
        </w:rPr>
      </w:pPr>
      <w:r>
        <w:rPr>
          <w:rFonts w:hint="eastAsia" w:ascii="宋体" w:hAnsi="宋体" w:eastAsia="宋体" w:cs="宋体"/>
          <w:b/>
          <w:bCs w:val="0"/>
          <w:kern w:val="2"/>
          <w:sz w:val="18"/>
          <w:szCs w:val="18"/>
          <w:lang w:val="en-US" w:eastAsia="zh-CN" w:bidi="ar-SA"/>
        </w:rPr>
        <w:t>3.</w:t>
      </w:r>
      <w:r>
        <w:rPr>
          <w:rFonts w:hint="eastAsia" w:ascii="宋体" w:hAnsi="宋体" w:eastAsia="宋体" w:cs="宋体"/>
          <w:b/>
          <w:bCs w:val="0"/>
          <w:sz w:val="18"/>
          <w:szCs w:val="18"/>
        </w:rPr>
        <w:t>合同履行</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（1）起始日期：</w:t>
      </w: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r>
        <w:rPr>
          <w:rFonts w:hint="eastAsia" w:ascii="宋体" w:hAnsi="宋体" w:eastAsia="宋体" w:cs="宋体"/>
          <w:sz w:val="18"/>
          <w:szCs w:val="18"/>
          <w:u w:val="single"/>
        </w:rPr>
        <w:t xml:space="preserve">   </w:t>
      </w:r>
      <w:r>
        <w:rPr>
          <w:rFonts w:hint="eastAsia" w:ascii="宋体" w:hAnsi="宋体" w:eastAsia="宋体" w:cs="宋体"/>
          <w:sz w:val="18"/>
          <w:szCs w:val="18"/>
        </w:rPr>
        <w:t>日，完成日期：</w:t>
      </w: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r>
        <w:rPr>
          <w:rFonts w:hint="eastAsia" w:ascii="宋体" w:hAnsi="宋体" w:eastAsia="宋体" w:cs="宋体"/>
          <w:sz w:val="18"/>
          <w:szCs w:val="18"/>
          <w:u w:val="single"/>
        </w:rPr>
        <w:t xml:space="preserve">   </w:t>
      </w:r>
      <w:r>
        <w:rPr>
          <w:rFonts w:hint="eastAsia" w:ascii="宋体" w:hAnsi="宋体" w:eastAsia="宋体" w:cs="宋体"/>
          <w:sz w:val="18"/>
          <w:szCs w:val="18"/>
        </w:rPr>
        <w:t>日。</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rPr>
      </w:pPr>
      <w:r>
        <w:rPr>
          <w:rFonts w:hint="eastAsia" w:ascii="宋体" w:hAnsi="宋体" w:eastAsia="宋体" w:cs="宋体"/>
          <w:sz w:val="18"/>
          <w:szCs w:val="18"/>
        </w:rPr>
        <w:t>（2）</w:t>
      </w:r>
      <w:r>
        <w:rPr>
          <w:rFonts w:hint="eastAsia" w:ascii="宋体" w:hAnsi="宋体" w:eastAsia="宋体" w:cs="宋体"/>
          <w:sz w:val="18"/>
          <w:szCs w:val="18"/>
          <w:lang w:val="en-US" w:eastAsia="zh-CN"/>
        </w:rPr>
        <w:t>服务</w:t>
      </w:r>
      <w:r>
        <w:rPr>
          <w:rFonts w:hint="eastAsia" w:ascii="宋体" w:hAnsi="宋体" w:eastAsia="宋体" w:cs="宋体"/>
          <w:sz w:val="18"/>
          <w:szCs w:val="18"/>
        </w:rPr>
        <w:t>地点：</w:t>
      </w:r>
      <w:r>
        <w:rPr>
          <w:rFonts w:hint="eastAsia" w:ascii="宋体" w:hAnsi="宋体" w:eastAsia="宋体" w:cs="宋体"/>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（3）履约担保：</w:t>
      </w:r>
      <w:r>
        <w:rPr>
          <w:rFonts w:hint="eastAsia" w:ascii="宋体" w:hAnsi="宋体" w:eastAsia="宋体" w:cs="宋体"/>
          <w:sz w:val="18"/>
          <w:szCs w:val="18"/>
          <w:lang w:val="en-US" w:eastAsia="zh-CN"/>
        </w:rPr>
        <w:t>是否收取履约保证金：</w:t>
      </w:r>
      <w:r>
        <w:rPr>
          <w:rFonts w:hint="eastAsia" w:ascii="宋体" w:hAnsi="宋体" w:eastAsia="宋体" w:cs="宋体"/>
          <w:sz w:val="18"/>
          <w:szCs w:val="18"/>
        </w:rPr>
        <w:sym w:font="Wingdings" w:char="00A8"/>
      </w:r>
      <w:r>
        <w:rPr>
          <w:rFonts w:hint="eastAsia" w:ascii="宋体" w:hAnsi="宋体" w:eastAsia="宋体" w:cs="宋体"/>
          <w:sz w:val="18"/>
          <w:szCs w:val="18"/>
          <w:lang w:eastAsia="zh-CN"/>
        </w:rPr>
        <w:t>是</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w:char="00A8"/>
      </w:r>
      <w:r>
        <w:rPr>
          <w:rFonts w:hint="eastAsia" w:ascii="宋体" w:hAnsi="宋体" w:eastAsia="宋体" w:cs="宋体"/>
          <w:sz w:val="18"/>
          <w:szCs w:val="18"/>
          <w:lang w:eastAsia="zh-CN"/>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lang w:val="en-US" w:eastAsia="zh-CN"/>
        </w:rPr>
        <w:t xml:space="preserve">     收取履约保证金形式：</w:t>
      </w:r>
      <w:r>
        <w:rPr>
          <w:rFonts w:hint="eastAsia" w:ascii="宋体" w:hAnsi="宋体" w:eastAsia="宋体" w:cs="宋体"/>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lang w:val="en-US" w:eastAsia="zh-CN"/>
        </w:rPr>
        <w:t xml:space="preserve">     收取履约保证金金额：</w:t>
      </w:r>
      <w:r>
        <w:rPr>
          <w:rFonts w:hint="eastAsia" w:ascii="宋体" w:hAnsi="宋体" w:eastAsia="宋体" w:cs="宋体"/>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lang w:val="en-US" w:eastAsia="zh-CN"/>
        </w:rPr>
        <w:t xml:space="preserve">     履约担保期限</w:t>
      </w:r>
      <w:r>
        <w:rPr>
          <w:rFonts w:hint="eastAsia" w:ascii="宋体" w:hAnsi="宋体" w:eastAsia="宋体" w:cs="宋体"/>
          <w:sz w:val="18"/>
          <w:szCs w:val="18"/>
          <w:lang w:eastAsia="zh-CN"/>
        </w:rPr>
        <w:t>：</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rPr>
      </w:pPr>
      <w:r>
        <w:rPr>
          <w:rFonts w:hint="eastAsia" w:ascii="宋体" w:hAnsi="宋体" w:eastAsia="宋体" w:cs="宋体"/>
          <w:sz w:val="18"/>
          <w:szCs w:val="18"/>
        </w:rPr>
        <w:t>（4）分期履行要求：</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rPr>
      </w:pPr>
      <w:r>
        <w:rPr>
          <w:rFonts w:hint="eastAsia" w:ascii="宋体" w:hAnsi="宋体" w:eastAsia="宋体" w:cs="宋体"/>
          <w:sz w:val="18"/>
          <w:szCs w:val="18"/>
        </w:rPr>
        <w:t>（5）</w:t>
      </w:r>
      <w:r>
        <w:rPr>
          <w:rFonts w:hint="eastAsia" w:ascii="宋体" w:hAnsi="宋体" w:eastAsia="宋体" w:cs="宋体"/>
          <w:sz w:val="18"/>
          <w:szCs w:val="18"/>
          <w:lang w:eastAsia="zh-CN"/>
        </w:rPr>
        <w:t>风险处置措施和替代方案</w:t>
      </w:r>
      <w:r>
        <w:rPr>
          <w:rFonts w:hint="eastAsia" w:ascii="宋体" w:hAnsi="宋体" w:eastAsia="宋体" w:cs="宋体"/>
          <w:sz w:val="18"/>
          <w:szCs w:val="18"/>
        </w:rPr>
        <w:t>：</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r>
        <w:rPr>
          <w:rFonts w:hint="eastAsia" w:ascii="宋体" w:hAnsi="宋体" w:eastAsia="宋体" w:cs="宋体"/>
          <w:sz w:val="18"/>
          <w:szCs w:val="18"/>
          <w:u w:val="single"/>
        </w:rPr>
        <w:t xml:space="preserve">  </w:t>
      </w:r>
    </w:p>
    <w:p>
      <w:pPr>
        <w:keepNext w:val="0"/>
        <w:keepLines w:val="0"/>
        <w:pageBreakBefore w:val="0"/>
        <w:numPr>
          <w:ilvl w:val="0"/>
          <w:numId w:val="0"/>
        </w:numPr>
        <w:kinsoku/>
        <w:wordWrap/>
        <w:overflowPunct/>
        <w:topLinePunct w:val="0"/>
        <w:bidi w:val="0"/>
        <w:adjustRightInd w:val="0"/>
        <w:snapToGrid/>
        <w:spacing w:before="0" w:line="400" w:lineRule="exact"/>
        <w:ind w:firstLine="361" w:firstLineChars="200"/>
        <w:textAlignment w:val="auto"/>
        <w:rPr>
          <w:rFonts w:hint="eastAsia" w:ascii="宋体" w:hAnsi="宋体" w:eastAsia="宋体" w:cs="宋体"/>
          <w:b/>
          <w:sz w:val="18"/>
          <w:szCs w:val="18"/>
        </w:rPr>
      </w:pPr>
      <w:r>
        <w:rPr>
          <w:rFonts w:hint="eastAsia" w:ascii="宋体" w:hAnsi="宋体" w:eastAsia="宋体" w:cs="宋体"/>
          <w:b/>
          <w:kern w:val="2"/>
          <w:sz w:val="18"/>
          <w:szCs w:val="18"/>
          <w:lang w:val="en-US" w:eastAsia="zh-CN" w:bidi="ar-SA"/>
        </w:rPr>
        <w:t xml:space="preserve">4. </w:t>
      </w:r>
      <w:r>
        <w:rPr>
          <w:rFonts w:hint="eastAsia" w:ascii="宋体" w:hAnsi="宋体" w:eastAsia="宋体" w:cs="宋体"/>
          <w:b/>
          <w:sz w:val="18"/>
          <w:szCs w:val="18"/>
        </w:rPr>
        <w:t>合同验收</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rPr>
      </w:pPr>
      <w:r>
        <w:rPr>
          <w:rFonts w:hint="eastAsia" w:ascii="宋体" w:hAnsi="宋体" w:eastAsia="宋体" w:cs="宋体"/>
          <w:bCs/>
          <w:sz w:val="18"/>
          <w:szCs w:val="18"/>
        </w:rPr>
        <w:t>（1）验收组织方式：</w:t>
      </w:r>
      <w:r>
        <w:rPr>
          <w:rFonts w:hint="eastAsia" w:ascii="宋体" w:hAnsi="宋体" w:eastAsia="宋体" w:cs="宋体"/>
          <w:sz w:val="18"/>
          <w:szCs w:val="18"/>
        </w:rPr>
        <w:sym w:font="Wingdings" w:char="00A8"/>
      </w:r>
      <w:r>
        <w:rPr>
          <w:rFonts w:hint="eastAsia" w:ascii="宋体" w:hAnsi="宋体" w:eastAsia="宋体" w:cs="宋体"/>
          <w:bCs/>
          <w:sz w:val="18"/>
          <w:szCs w:val="18"/>
        </w:rPr>
        <w:t xml:space="preserve">自行组织 </w:t>
      </w:r>
      <w:r>
        <w:rPr>
          <w:rFonts w:hint="eastAsia" w:ascii="宋体" w:hAnsi="宋体" w:eastAsia="宋体" w:cs="宋体"/>
          <w:sz w:val="18"/>
          <w:szCs w:val="18"/>
        </w:rPr>
        <w:sym w:font="Wingdings" w:char="00A8"/>
      </w:r>
      <w:r>
        <w:rPr>
          <w:rFonts w:hint="eastAsia" w:ascii="宋体" w:hAnsi="宋体" w:eastAsia="宋体" w:cs="宋体"/>
          <w:bCs/>
          <w:sz w:val="18"/>
          <w:szCs w:val="18"/>
        </w:rPr>
        <w:t>委托第三方组织</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rPr>
      </w:pPr>
      <w:r>
        <w:rPr>
          <w:rFonts w:hint="eastAsia" w:ascii="宋体" w:hAnsi="宋体" w:eastAsia="宋体" w:cs="宋体"/>
          <w:bCs/>
          <w:sz w:val="18"/>
          <w:szCs w:val="18"/>
        </w:rPr>
        <w:t xml:space="preserve">     验收主体：</w:t>
      </w:r>
      <w:r>
        <w:rPr>
          <w:rFonts w:hint="eastAsia" w:ascii="宋体" w:hAnsi="宋体" w:eastAsia="宋体" w:cs="宋体"/>
          <w:bCs/>
          <w:sz w:val="18"/>
          <w:szCs w:val="18"/>
          <w:u w:val="single"/>
        </w:rPr>
        <w:t xml:space="preserve">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rPr>
      </w:pPr>
      <w:r>
        <w:rPr>
          <w:rFonts w:hint="eastAsia" w:ascii="宋体" w:hAnsi="宋体" w:eastAsia="宋体" w:cs="宋体"/>
          <w:bCs/>
          <w:sz w:val="18"/>
          <w:szCs w:val="18"/>
        </w:rPr>
        <w:t>（2）履约验收时间：</w:t>
      </w:r>
      <w:r>
        <w:rPr>
          <w:rFonts w:hint="eastAsia" w:ascii="宋体" w:hAnsi="宋体" w:eastAsia="宋体" w:cs="宋体"/>
          <w:bCs/>
          <w:sz w:val="18"/>
          <w:szCs w:val="18"/>
          <w:u w:val="single"/>
        </w:rPr>
        <w:t xml:space="preserve">（计划于何时验收/供应商提出验收申请之日起   日内组织验收）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rPr>
      </w:pPr>
      <w:r>
        <w:rPr>
          <w:rFonts w:hint="eastAsia" w:ascii="宋体" w:hAnsi="宋体" w:eastAsia="宋体" w:cs="宋体"/>
          <w:bCs/>
          <w:sz w:val="18"/>
          <w:szCs w:val="18"/>
        </w:rPr>
        <w:t xml:space="preserve">（3）履约验收方式：一次性验收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u w:val="single"/>
        </w:rPr>
      </w:pPr>
      <w:r>
        <w:rPr>
          <w:rFonts w:hint="eastAsia" w:ascii="宋体" w:hAnsi="宋体" w:eastAsia="宋体" w:cs="宋体"/>
          <w:bCs/>
          <w:sz w:val="18"/>
          <w:szCs w:val="18"/>
        </w:rPr>
        <w:t xml:space="preserve">                       分期/分项验收：</w:t>
      </w:r>
      <w:r>
        <w:rPr>
          <w:rFonts w:hint="eastAsia" w:ascii="宋体" w:hAnsi="宋体" w:eastAsia="宋体" w:cs="宋体"/>
          <w:bCs/>
          <w:sz w:val="18"/>
          <w:szCs w:val="18"/>
          <w:u w:val="single"/>
        </w:rPr>
        <w:t xml:space="preserve"> （应明确分期/分项验收的工作安排）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u w:val="single"/>
        </w:rPr>
      </w:pPr>
      <w:r>
        <w:rPr>
          <w:rFonts w:hint="eastAsia" w:ascii="宋体" w:hAnsi="宋体" w:eastAsia="宋体" w:cs="宋体"/>
          <w:bCs/>
          <w:sz w:val="18"/>
          <w:szCs w:val="18"/>
        </w:rPr>
        <w:t>（4）履约验收程序：</w:t>
      </w:r>
      <w:r>
        <w:rPr>
          <w:rFonts w:hint="eastAsia" w:ascii="宋体" w:hAnsi="宋体" w:eastAsia="宋体" w:cs="宋体"/>
          <w:bCs/>
          <w:sz w:val="18"/>
          <w:szCs w:val="18"/>
          <w:u w:val="single"/>
        </w:rPr>
        <w:t xml:space="preserve">  （应当包括验收准备、实施验收、出具验收报告等）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rPr>
      </w:pPr>
      <w:r>
        <w:rPr>
          <w:rFonts w:hint="eastAsia" w:ascii="宋体" w:hAnsi="宋体" w:eastAsia="宋体" w:cs="宋体"/>
          <w:bCs/>
          <w:sz w:val="18"/>
          <w:szCs w:val="18"/>
        </w:rPr>
        <w:t>（5）履约验收的内容：</w:t>
      </w:r>
      <w:r>
        <w:rPr>
          <w:rFonts w:hint="eastAsia" w:ascii="宋体" w:hAnsi="宋体" w:eastAsia="宋体" w:cs="宋体"/>
          <w:bCs/>
          <w:sz w:val="18"/>
          <w:szCs w:val="18"/>
          <w:u w:val="single"/>
        </w:rPr>
        <w:t xml:space="preserve"> （应当包括每一项技术和商务要求的履约情况，特别是落实政府采购扶持中小企业，支持绿色发展和乡村振兴等政策情况）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u w:val="single"/>
        </w:rPr>
      </w:pPr>
      <w:r>
        <w:rPr>
          <w:rFonts w:hint="eastAsia" w:ascii="宋体" w:hAnsi="宋体" w:eastAsia="宋体" w:cs="宋体"/>
          <w:bCs/>
          <w:sz w:val="18"/>
          <w:szCs w:val="18"/>
        </w:rPr>
        <w:t>（6）履约验收标准：</w:t>
      </w:r>
      <w:r>
        <w:rPr>
          <w:rFonts w:hint="eastAsia" w:ascii="宋体" w:hAnsi="宋体" w:eastAsia="宋体" w:cs="宋体"/>
          <w:bCs/>
          <w:sz w:val="18"/>
          <w:szCs w:val="18"/>
          <w:u w:val="single"/>
        </w:rPr>
        <w:t xml:space="preserve">                                         </w:t>
      </w:r>
    </w:p>
    <w:p>
      <w:pPr>
        <w:pStyle w:val="171"/>
        <w:spacing w:beforeLines="0"/>
        <w:rPr>
          <w:rFonts w:hint="eastAsia" w:ascii="宋体" w:hAnsi="宋体" w:eastAsia="宋体" w:cs="宋体"/>
          <w:sz w:val="18"/>
          <w:szCs w:val="18"/>
          <w:lang w:eastAsia="zh-CN"/>
        </w:rPr>
      </w:pPr>
      <w:r>
        <w:rPr>
          <w:rFonts w:hint="eastAsia" w:ascii="宋体" w:hAnsi="宋体" w:eastAsia="宋体" w:cs="宋体"/>
          <w:bCs/>
          <w:sz w:val="20"/>
          <w:szCs w:val="18"/>
        </w:rPr>
        <w:t>（7）是否以采购活动中供应商提供的样品作为参考：</w:t>
      </w:r>
      <w:r>
        <w:rPr>
          <w:rFonts w:hint="eastAsia" w:ascii="宋体" w:hAnsi="宋体" w:eastAsia="宋体" w:cs="宋体"/>
          <w:sz w:val="18"/>
          <w:szCs w:val="18"/>
        </w:rPr>
        <w:sym w:font="Wingdings" w:char="00A8"/>
      </w:r>
      <w:r>
        <w:rPr>
          <w:rFonts w:hint="eastAsia" w:ascii="宋体" w:hAnsi="宋体" w:eastAsia="宋体" w:cs="宋体"/>
          <w:bCs/>
          <w:sz w:val="18"/>
          <w:szCs w:val="18"/>
        </w:rPr>
        <w:t xml:space="preserve">是  </w:t>
      </w:r>
      <w:r>
        <w:rPr>
          <w:rFonts w:hint="eastAsia" w:ascii="宋体" w:hAnsi="宋体" w:eastAsia="宋体" w:cs="宋体"/>
          <w:sz w:val="18"/>
          <w:szCs w:val="18"/>
        </w:rPr>
        <w:sym w:font="Wingdings" w:char="00A8"/>
      </w:r>
      <w:r>
        <w:rPr>
          <w:rFonts w:hint="eastAsia" w:ascii="宋体" w:hAnsi="宋体" w:eastAsia="宋体" w:cs="宋体"/>
          <w:bCs/>
          <w:sz w:val="18"/>
          <w:szCs w:val="18"/>
        </w:rPr>
        <w:t>否</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u w:val="single"/>
        </w:rPr>
      </w:pPr>
      <w:r>
        <w:rPr>
          <w:rFonts w:hint="eastAsia" w:ascii="宋体" w:hAnsi="宋体" w:eastAsia="宋体" w:cs="宋体"/>
          <w:bCs/>
          <w:sz w:val="18"/>
          <w:szCs w:val="18"/>
        </w:rPr>
        <w:t>（8）履约验收其他事项：</w:t>
      </w:r>
      <w:r>
        <w:rPr>
          <w:rFonts w:hint="eastAsia" w:ascii="宋体" w:hAnsi="宋体" w:eastAsia="宋体" w:cs="宋体"/>
          <w:bCs/>
          <w:sz w:val="18"/>
          <w:szCs w:val="18"/>
          <w:u w:val="single"/>
        </w:rPr>
        <w:t xml:space="preserve">      （产权过户登记等）          </w:t>
      </w:r>
    </w:p>
    <w:p>
      <w:pPr>
        <w:keepNext w:val="0"/>
        <w:keepLines w:val="0"/>
        <w:pageBreakBefore w:val="0"/>
        <w:numPr>
          <w:ilvl w:val="0"/>
          <w:numId w:val="0"/>
        </w:numPr>
        <w:kinsoku/>
        <w:wordWrap/>
        <w:overflowPunct/>
        <w:topLinePunct w:val="0"/>
        <w:bidi w:val="0"/>
        <w:adjustRightInd w:val="0"/>
        <w:snapToGrid/>
        <w:spacing w:before="0" w:line="400" w:lineRule="exact"/>
        <w:ind w:firstLine="361" w:firstLineChars="200"/>
        <w:textAlignment w:val="auto"/>
        <w:rPr>
          <w:rFonts w:hint="eastAsia" w:ascii="宋体" w:hAnsi="宋体" w:eastAsia="宋体" w:cs="宋体"/>
          <w:b/>
          <w:sz w:val="18"/>
          <w:szCs w:val="18"/>
        </w:rPr>
      </w:pPr>
      <w:r>
        <w:rPr>
          <w:rFonts w:hint="eastAsia" w:ascii="宋体" w:hAnsi="宋体" w:eastAsia="宋体" w:cs="宋体"/>
          <w:b/>
          <w:kern w:val="2"/>
          <w:sz w:val="18"/>
          <w:szCs w:val="18"/>
          <w:lang w:val="en-US" w:eastAsia="zh-CN" w:bidi="ar-SA"/>
        </w:rPr>
        <w:t xml:space="preserve">5. </w:t>
      </w:r>
      <w:r>
        <w:rPr>
          <w:rFonts w:hint="eastAsia" w:ascii="宋体" w:hAnsi="宋体" w:eastAsia="宋体" w:cs="宋体"/>
          <w:b/>
          <w:sz w:val="18"/>
          <w:szCs w:val="18"/>
        </w:rPr>
        <w:t>组成合同的文件</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本协议书与下列文件一起构成合同文件，如下述文件之间有任何抵触、矛盾或歧义，应按以下顺序解释：</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eastAsia="zh-CN"/>
        </w:rPr>
        <w:t>政府采购</w:t>
      </w:r>
      <w:r>
        <w:rPr>
          <w:rFonts w:hint="eastAsia" w:ascii="宋体" w:hAnsi="宋体" w:eastAsia="宋体" w:cs="宋体"/>
          <w:color w:val="auto"/>
          <w:sz w:val="18"/>
          <w:szCs w:val="18"/>
        </w:rPr>
        <w:t>合同协议书及其变更、补充</w:t>
      </w:r>
      <w:r>
        <w:rPr>
          <w:rFonts w:hint="eastAsia" w:ascii="宋体" w:hAnsi="宋体" w:eastAsia="宋体" w:cs="宋体"/>
          <w:color w:val="auto"/>
          <w:sz w:val="18"/>
          <w:szCs w:val="18"/>
          <w:lang w:eastAsia="zh-CN"/>
        </w:rPr>
        <w:t>协议</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2</w:t>
      </w:r>
      <w:r>
        <w:rPr>
          <w:rFonts w:hint="eastAsia" w:ascii="宋体" w:hAnsi="宋体" w:eastAsia="宋体" w:cs="宋体"/>
          <w:sz w:val="18"/>
          <w:szCs w:val="18"/>
        </w:rPr>
        <w:t>）政府采购合同专用条款</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3</w:t>
      </w:r>
      <w:r>
        <w:rPr>
          <w:rFonts w:hint="eastAsia" w:ascii="宋体" w:hAnsi="宋体" w:eastAsia="宋体" w:cs="宋体"/>
          <w:sz w:val="18"/>
          <w:szCs w:val="18"/>
        </w:rPr>
        <w:t>）政府采购合同通用条款</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）中标</w:t>
      </w:r>
      <w:r>
        <w:rPr>
          <w:rFonts w:hint="eastAsia" w:ascii="宋体" w:hAnsi="宋体" w:eastAsia="宋体" w:cs="宋体"/>
          <w:color w:val="auto"/>
          <w:sz w:val="18"/>
          <w:szCs w:val="18"/>
          <w:lang w:eastAsia="zh-CN"/>
        </w:rPr>
        <w:t>（成交）</w:t>
      </w:r>
      <w:r>
        <w:rPr>
          <w:rFonts w:hint="eastAsia" w:ascii="宋体" w:hAnsi="宋体" w:eastAsia="宋体" w:cs="宋体"/>
          <w:color w:val="auto"/>
          <w:sz w:val="18"/>
          <w:szCs w:val="18"/>
        </w:rPr>
        <w:t>通知书</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5</w:t>
      </w:r>
      <w:r>
        <w:rPr>
          <w:rFonts w:hint="eastAsia" w:ascii="宋体" w:hAnsi="宋体" w:eastAsia="宋体" w:cs="宋体"/>
          <w:sz w:val="18"/>
          <w:szCs w:val="18"/>
        </w:rPr>
        <w:t>）投标（响应）文件</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（6）采购文件</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（7）服务需求与履约标准、绩效评价体系、服务团队名单等</w:t>
      </w:r>
    </w:p>
    <w:p>
      <w:pPr>
        <w:pStyle w:val="171"/>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2"/>
          <w:sz w:val="18"/>
          <w:szCs w:val="18"/>
          <w:highlight w:val="none"/>
          <w:lang w:eastAsia="zh-CN"/>
        </w:rPr>
      </w:pP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8</w:t>
      </w:r>
      <w:r>
        <w:rPr>
          <w:rFonts w:hint="eastAsia" w:ascii="宋体" w:hAnsi="宋体" w:eastAsia="宋体" w:cs="宋体"/>
          <w:sz w:val="18"/>
          <w:szCs w:val="18"/>
          <w:highlight w:val="none"/>
          <w:lang w:eastAsia="zh-CN"/>
        </w:rPr>
        <w:t>）</w:t>
      </w:r>
      <w:r>
        <w:rPr>
          <w:rFonts w:hint="eastAsia" w:ascii="宋体" w:hAnsi="宋体" w:eastAsia="宋体" w:cs="宋体"/>
          <w:bCs w:val="0"/>
          <w:color w:val="000000"/>
          <w:kern w:val="2"/>
          <w:sz w:val="18"/>
          <w:szCs w:val="18"/>
          <w:highlight w:val="none"/>
          <w:lang w:eastAsia="zh-CN"/>
        </w:rPr>
        <w:t>国家法律、行政法规和规章制度规定或合同约定的作为合同组成部分的其他文件</w:t>
      </w:r>
    </w:p>
    <w:p>
      <w:pPr>
        <w:keepNext w:val="0"/>
        <w:keepLines w:val="0"/>
        <w:pageBreakBefore w:val="0"/>
        <w:numPr>
          <w:ilvl w:val="0"/>
          <w:numId w:val="0"/>
        </w:numPr>
        <w:kinsoku/>
        <w:wordWrap/>
        <w:overflowPunct/>
        <w:topLinePunct w:val="0"/>
        <w:bidi w:val="0"/>
        <w:adjustRightInd w:val="0"/>
        <w:snapToGrid/>
        <w:spacing w:before="0" w:line="400" w:lineRule="exact"/>
        <w:ind w:firstLine="361" w:firstLineChars="200"/>
        <w:textAlignment w:val="auto"/>
        <w:rPr>
          <w:rFonts w:hint="eastAsia" w:ascii="宋体" w:hAnsi="宋体" w:eastAsia="宋体" w:cs="宋体"/>
          <w:b/>
          <w:sz w:val="18"/>
          <w:szCs w:val="18"/>
        </w:rPr>
      </w:pPr>
      <w:r>
        <w:rPr>
          <w:rFonts w:hint="eastAsia" w:ascii="宋体" w:hAnsi="宋体" w:eastAsia="宋体" w:cs="宋体"/>
          <w:b/>
          <w:kern w:val="2"/>
          <w:sz w:val="18"/>
          <w:szCs w:val="18"/>
          <w:lang w:val="en-US" w:eastAsia="zh-CN" w:bidi="ar-SA"/>
        </w:rPr>
        <w:t xml:space="preserve">6. </w:t>
      </w:r>
      <w:r>
        <w:rPr>
          <w:rFonts w:hint="eastAsia" w:ascii="宋体" w:hAnsi="宋体" w:eastAsia="宋体" w:cs="宋体"/>
          <w:b/>
          <w:sz w:val="18"/>
          <w:szCs w:val="18"/>
        </w:rPr>
        <w:t>合同生效</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本合同自</w:t>
      </w:r>
      <w:r>
        <w:rPr>
          <w:rFonts w:hint="eastAsia" w:ascii="宋体" w:hAnsi="宋体" w:eastAsia="宋体" w:cs="宋体"/>
          <w:sz w:val="18"/>
          <w:szCs w:val="18"/>
          <w:u w:val="single"/>
        </w:rPr>
        <w:t xml:space="preserve">                             </w:t>
      </w:r>
      <w:r>
        <w:rPr>
          <w:rFonts w:hint="eastAsia" w:ascii="宋体" w:hAnsi="宋体" w:eastAsia="宋体" w:cs="宋体"/>
          <w:sz w:val="18"/>
          <w:szCs w:val="18"/>
        </w:rPr>
        <w:t>生效。</w:t>
      </w:r>
    </w:p>
    <w:p>
      <w:pPr>
        <w:keepNext w:val="0"/>
        <w:keepLines w:val="0"/>
        <w:pageBreakBefore w:val="0"/>
        <w:numPr>
          <w:ilvl w:val="0"/>
          <w:numId w:val="6"/>
        </w:numPr>
        <w:kinsoku/>
        <w:wordWrap/>
        <w:overflowPunct/>
        <w:topLinePunct w:val="0"/>
        <w:bidi w:val="0"/>
        <w:adjustRightInd w:val="0"/>
        <w:snapToGrid/>
        <w:spacing w:before="0" w:line="400" w:lineRule="exact"/>
        <w:ind w:firstLine="361" w:firstLineChars="200"/>
        <w:textAlignment w:val="auto"/>
        <w:rPr>
          <w:rFonts w:hint="eastAsia" w:ascii="宋体" w:hAnsi="宋体" w:eastAsia="宋体" w:cs="宋体"/>
          <w:b/>
          <w:sz w:val="18"/>
          <w:szCs w:val="18"/>
        </w:rPr>
      </w:pPr>
      <w:r>
        <w:rPr>
          <w:rFonts w:hint="eastAsia" w:ascii="宋体" w:hAnsi="宋体" w:eastAsia="宋体" w:cs="宋体"/>
          <w:b/>
          <w:sz w:val="18"/>
          <w:szCs w:val="18"/>
        </w:rPr>
        <w:t>合同份数</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本合同一式</w:t>
      </w:r>
      <w:r>
        <w:rPr>
          <w:rFonts w:hint="eastAsia" w:ascii="宋体" w:hAnsi="宋体" w:eastAsia="宋体" w:cs="宋体"/>
          <w:sz w:val="18"/>
          <w:szCs w:val="18"/>
          <w:u w:val="single"/>
        </w:rPr>
        <w:t xml:space="preserve">    </w:t>
      </w:r>
      <w:r>
        <w:rPr>
          <w:rFonts w:hint="eastAsia" w:ascii="宋体" w:hAnsi="宋体" w:eastAsia="宋体" w:cs="宋体"/>
          <w:sz w:val="18"/>
          <w:szCs w:val="18"/>
        </w:rPr>
        <w:t>份，</w:t>
      </w:r>
      <w:r>
        <w:rPr>
          <w:rFonts w:hint="eastAsia" w:ascii="宋体" w:hAnsi="宋体" w:eastAsia="宋体" w:cs="宋体"/>
          <w:sz w:val="18"/>
          <w:szCs w:val="18"/>
          <w:lang w:eastAsia="zh-CN"/>
        </w:rPr>
        <w:t>甲方</w:t>
      </w:r>
      <w:r>
        <w:rPr>
          <w:rFonts w:hint="eastAsia" w:ascii="宋体" w:hAnsi="宋体" w:eastAsia="宋体" w:cs="宋体"/>
          <w:sz w:val="18"/>
          <w:szCs w:val="18"/>
        </w:rPr>
        <w:t>执</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份，</w:t>
      </w:r>
      <w:r>
        <w:rPr>
          <w:rFonts w:hint="eastAsia" w:ascii="宋体" w:hAnsi="宋体" w:eastAsia="宋体" w:cs="宋体"/>
          <w:sz w:val="18"/>
          <w:szCs w:val="18"/>
          <w:lang w:eastAsia="zh-CN"/>
        </w:rPr>
        <w:t>乙方</w:t>
      </w:r>
      <w:r>
        <w:rPr>
          <w:rFonts w:hint="eastAsia" w:ascii="宋体" w:hAnsi="宋体" w:eastAsia="宋体" w:cs="宋体"/>
          <w:sz w:val="18"/>
          <w:szCs w:val="18"/>
        </w:rPr>
        <w:t>执</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份，均具有同等法律效力。</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合同订立时间：</w:t>
      </w: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r>
        <w:rPr>
          <w:rFonts w:hint="eastAsia" w:ascii="宋体" w:hAnsi="宋体" w:eastAsia="宋体" w:cs="宋体"/>
          <w:sz w:val="18"/>
          <w:szCs w:val="18"/>
          <w:u w:val="single"/>
        </w:rPr>
        <w:t xml:space="preserve">      </w:t>
      </w:r>
      <w:r>
        <w:rPr>
          <w:rFonts w:hint="eastAsia" w:ascii="宋体" w:hAnsi="宋体" w:eastAsia="宋体" w:cs="宋体"/>
          <w:sz w:val="18"/>
          <w:szCs w:val="18"/>
        </w:rPr>
        <w:t>日</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合同订立地点：</w:t>
      </w:r>
      <w:r>
        <w:rPr>
          <w:rFonts w:hint="eastAsia" w:ascii="宋体" w:hAnsi="宋体" w:eastAsia="宋体" w:cs="宋体"/>
          <w:sz w:val="18"/>
          <w:szCs w:val="18"/>
          <w:u w:val="single"/>
        </w:rPr>
        <w:t xml:space="preserve">                           </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21"/>
        </w:rPr>
      </w:pPr>
      <w:r>
        <w:rPr>
          <w:rFonts w:hint="eastAsia" w:ascii="宋体" w:hAnsi="宋体" w:eastAsia="宋体" w:cs="宋体"/>
          <w:sz w:val="18"/>
          <w:szCs w:val="18"/>
        </w:rPr>
        <w:t>附件：具体标</w:t>
      </w:r>
      <w:r>
        <w:rPr>
          <w:rFonts w:hint="eastAsia" w:ascii="宋体" w:hAnsi="宋体" w:eastAsia="宋体" w:cs="宋体"/>
          <w:sz w:val="18"/>
          <w:szCs w:val="18"/>
          <w:lang w:eastAsia="zh-CN"/>
        </w:rPr>
        <w:t>的及其</w:t>
      </w:r>
      <w:r>
        <w:rPr>
          <w:rFonts w:hint="eastAsia" w:ascii="宋体" w:hAnsi="宋体" w:eastAsia="宋体" w:cs="宋体"/>
          <w:sz w:val="18"/>
          <w:szCs w:val="18"/>
          <w:highlight w:val="none"/>
          <w:u w:val="none"/>
          <w:lang w:val="en-US" w:eastAsia="zh-CN"/>
        </w:rPr>
        <w:t>技术要求和商务要求</w:t>
      </w:r>
      <w:r>
        <w:rPr>
          <w:rFonts w:hint="eastAsia" w:ascii="宋体" w:hAnsi="宋体" w:eastAsia="宋体" w:cs="宋体"/>
          <w:sz w:val="18"/>
          <w:szCs w:val="18"/>
        </w:rPr>
        <w:t>、联合协议、分包</w:t>
      </w:r>
      <w:r>
        <w:rPr>
          <w:rFonts w:hint="eastAsia" w:ascii="宋体" w:hAnsi="宋体" w:eastAsia="宋体" w:cs="宋体"/>
          <w:sz w:val="18"/>
          <w:szCs w:val="18"/>
          <w:lang w:eastAsia="zh-CN"/>
        </w:rPr>
        <w:t>意向</w:t>
      </w:r>
      <w:r>
        <w:rPr>
          <w:rFonts w:hint="eastAsia" w:ascii="宋体" w:hAnsi="宋体" w:eastAsia="宋体" w:cs="宋体"/>
          <w:sz w:val="18"/>
          <w:szCs w:val="18"/>
        </w:rPr>
        <w:t>协议等。</w:t>
      </w:r>
    </w:p>
    <w:p>
      <w:pPr>
        <w:rPr>
          <w:rFonts w:hint="eastAsia" w:ascii="宋体" w:hAnsi="宋体" w:eastAsia="宋体" w:cs="宋体"/>
          <w:sz w:val="18"/>
          <w:szCs w:val="21"/>
        </w:rPr>
      </w:pPr>
      <w:r>
        <w:rPr>
          <w:rFonts w:hint="eastAsia" w:ascii="宋体" w:hAnsi="宋体" w:eastAsia="宋体" w:cs="宋体"/>
          <w:sz w:val="18"/>
          <w:szCs w:val="21"/>
        </w:rPr>
        <w:br w:type="page"/>
      </w:r>
    </w:p>
    <w:p>
      <w:pPr>
        <w:pStyle w:val="134"/>
        <w:rPr>
          <w:rFonts w:hint="eastAsia" w:ascii="宋体" w:hAnsi="宋体" w:eastAsia="宋体" w:cs="宋体"/>
          <w:sz w:val="18"/>
          <w:szCs w:val="21"/>
        </w:rPr>
      </w:pPr>
    </w:p>
    <w:tbl>
      <w:tblPr>
        <w:tblStyle w:val="4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2"/>
        <w:gridCol w:w="2725"/>
        <w:gridCol w:w="2235"/>
        <w:gridCol w:w="2395"/>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21"/>
              </w:rPr>
            </w:pPr>
            <w:r>
              <w:rPr>
                <w:rFonts w:hint="eastAsia" w:ascii="宋体" w:hAnsi="宋体" w:eastAsia="宋体" w:cs="宋体"/>
                <w:sz w:val="18"/>
                <w:szCs w:val="18"/>
              </w:rPr>
              <w:t>甲方（采购人</w:t>
            </w:r>
            <w:r>
              <w:rPr>
                <w:rFonts w:hint="eastAsia" w:ascii="宋体" w:hAnsi="宋体" w:eastAsia="宋体" w:cs="宋体"/>
                <w:sz w:val="18"/>
                <w:szCs w:val="18"/>
                <w:lang w:eastAsia="zh-CN"/>
              </w:rPr>
              <w:t>、受采购人委托签订合同的单位</w:t>
            </w:r>
            <w:r>
              <w:rPr>
                <w:rFonts w:hint="eastAsia" w:ascii="宋体" w:hAnsi="宋体" w:eastAsia="宋体" w:cs="宋体"/>
                <w:sz w:val="18"/>
                <w:szCs w:val="18"/>
              </w:rPr>
              <w:t>或采购文件约定的合同甲方）</w:t>
            </w:r>
          </w:p>
        </w:tc>
        <w:tc>
          <w:tcPr>
            <w:tcW w:w="2439" w:type="pct"/>
            <w:gridSpan w:val="2"/>
            <w:tcBorders>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21"/>
              </w:rPr>
            </w:pPr>
            <w:r>
              <w:rPr>
                <w:rFonts w:hint="eastAsia" w:ascii="宋体" w:hAnsi="宋体" w:eastAsia="宋体" w:cs="宋体"/>
                <w:sz w:val="18"/>
                <w:szCs w:val="18"/>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单位名称（公章</w:t>
            </w:r>
            <w:r>
              <w:rPr>
                <w:rFonts w:hint="eastAsia" w:ascii="宋体" w:hAnsi="宋体" w:eastAsia="宋体" w:cs="宋体"/>
                <w:sz w:val="18"/>
                <w:szCs w:val="18"/>
                <w:lang w:eastAsia="zh-CN"/>
              </w:rPr>
              <w:t>或合同章</w:t>
            </w:r>
            <w:r>
              <w:rPr>
                <w:rFonts w:hint="eastAsia" w:ascii="宋体" w:hAnsi="宋体" w:eastAsia="宋体" w:cs="宋体"/>
                <w:sz w:val="18"/>
                <w:szCs w:val="18"/>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单位名称（公章</w:t>
            </w:r>
            <w:r>
              <w:rPr>
                <w:rFonts w:hint="eastAsia" w:ascii="宋体" w:hAnsi="宋体" w:eastAsia="宋体" w:cs="宋体"/>
                <w:sz w:val="18"/>
                <w:szCs w:val="18"/>
                <w:lang w:eastAsia="zh-CN"/>
              </w:rPr>
              <w:t>或合同章</w:t>
            </w:r>
            <w:r>
              <w:rPr>
                <w:rFonts w:hint="eastAsia" w:ascii="宋体" w:hAnsi="宋体" w:eastAsia="宋体" w:cs="宋体"/>
                <w:sz w:val="18"/>
                <w:szCs w:val="18"/>
              </w:rPr>
              <w:t>）</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法定代表人</w:t>
            </w:r>
          </w:p>
          <w:p>
            <w:pPr>
              <w:keepNext w:val="0"/>
              <w:keepLines w:val="0"/>
              <w:suppressLineNumbers w:val="0"/>
              <w:adjustRightInd w:val="0"/>
              <w:snapToGrid w:val="0"/>
              <w:spacing w:before="0" w:beforeAutospacing="0" w:after="0" w:afterAutospacing="0" w:line="300" w:lineRule="exact"/>
              <w:ind w:left="0" w:right="0" w:firstLine="86" w:firstLineChars="48"/>
              <w:jc w:val="center"/>
              <w:rPr>
                <w:rFonts w:hint="eastAsia" w:ascii="宋体" w:hAnsi="宋体" w:eastAsia="宋体" w:cs="宋体"/>
                <w:sz w:val="18"/>
                <w:szCs w:val="18"/>
              </w:rPr>
            </w:pPr>
            <w:r>
              <w:rPr>
                <w:rFonts w:hint="eastAsia" w:ascii="宋体" w:hAnsi="宋体" w:eastAsia="宋体" w:cs="宋体"/>
                <w:sz w:val="18"/>
                <w:szCs w:val="18"/>
              </w:rPr>
              <w:t>或其委托代理人（签章）</w:t>
            </w:r>
          </w:p>
        </w:tc>
        <w:tc>
          <w:tcPr>
            <w:tcW w:w="1436" w:type="pct"/>
            <w:tcBorders>
              <w:top w:val="single" w:color="auto" w:sz="2" w:space="0"/>
              <w:left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法定代表人</w:t>
            </w:r>
          </w:p>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或其委托代理人（签章）</w:t>
            </w:r>
          </w:p>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lang w:eastAsia="zh-CN"/>
              </w:rPr>
            </w:pP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住</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住</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所</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联 系 人</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lang w:eastAsia="zh-CN"/>
              </w:rPr>
              <w:t>通信地址</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邮政编码</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电子邮箱</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统一社会信用代码</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开户名称</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开户银行</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银行账号</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pPr>
              <w:pStyle w:val="18"/>
              <w:keepNext w:val="0"/>
              <w:keepLines w:val="0"/>
              <w:suppressLineNumbers w:val="0"/>
              <w:adjustRightInd w:val="0"/>
              <w:snapToGrid w:val="0"/>
              <w:spacing w:before="156" w:beforeLines="50" w:beforeAutospacing="0" w:after="0" w:afterAutospacing="0" w:line="360" w:lineRule="auto"/>
              <w:ind w:left="0" w:leftChars="0" w:right="0"/>
              <w:jc w:val="left"/>
              <w:rPr>
                <w:rFonts w:hint="eastAsia" w:ascii="宋体" w:hAnsi="宋体" w:eastAsia="宋体" w:cs="宋体"/>
                <w:spacing w:val="20"/>
                <w:sz w:val="24"/>
                <w:szCs w:val="18"/>
              </w:rPr>
            </w:pPr>
            <w:r>
              <w:rPr>
                <w:rFonts w:hint="eastAsia" w:ascii="宋体" w:hAnsi="宋体" w:eastAsia="宋体" w:cs="宋体"/>
                <w:sz w:val="24"/>
                <w:szCs w:val="18"/>
              </w:rPr>
              <w:t>注：涉及联合体或其他合同主体的信息应按上表格式加列。</w:t>
            </w:r>
          </w:p>
        </w:tc>
      </w:tr>
    </w:tbl>
    <w:p>
      <w:pPr>
        <w:pStyle w:val="5"/>
        <w:adjustRightInd w:val="0"/>
        <w:snapToGrid w:val="0"/>
        <w:spacing w:before="156" w:beforeLines="50" w:line="360" w:lineRule="auto"/>
        <w:jc w:val="center"/>
        <w:rPr>
          <w:rFonts w:hint="eastAsia" w:ascii="宋体" w:hAnsi="宋体" w:eastAsia="宋体" w:cs="宋体"/>
          <w:color w:val="1F2329"/>
          <w:sz w:val="10"/>
          <w:szCs w:val="10"/>
        </w:rPr>
      </w:pPr>
      <w:r>
        <w:rPr>
          <w:rFonts w:hint="eastAsia" w:ascii="宋体" w:hAnsi="宋体" w:eastAsia="宋体" w:cs="宋体"/>
          <w:sz w:val="18"/>
          <w:szCs w:val="18"/>
          <w:u w:val="single"/>
        </w:rPr>
        <w:br w:type="page"/>
      </w:r>
      <w:r>
        <w:rPr>
          <w:rFonts w:hint="eastAsia" w:ascii="宋体" w:hAnsi="宋体" w:eastAsia="宋体" w:cs="宋体"/>
          <w:b w:val="0"/>
          <w:bCs w:val="0"/>
          <w:sz w:val="22"/>
          <w:szCs w:val="22"/>
        </w:rPr>
        <w:t>第二节 政府采购合同通用条款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 定义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1.1 合同当事人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w:t>
      </w:r>
      <w:r>
        <w:rPr>
          <w:rFonts w:hint="eastAsia" w:ascii="宋体" w:hAnsi="宋体" w:eastAsia="宋体" w:cs="宋体"/>
          <w:color w:val="auto"/>
          <w:sz w:val="18"/>
          <w:szCs w:val="18"/>
          <w:highlight w:val="none"/>
        </w:rPr>
        <w:t>采购人（以</w:t>
      </w:r>
      <w:r>
        <w:rPr>
          <w:rFonts w:hint="eastAsia" w:ascii="宋体" w:hAnsi="宋体" w:eastAsia="宋体" w:cs="宋体"/>
          <w:color w:val="auto"/>
          <w:sz w:val="18"/>
          <w:szCs w:val="18"/>
          <w:highlight w:val="none"/>
          <w:lang w:eastAsia="zh-CN"/>
        </w:rPr>
        <w:t>下</w:t>
      </w:r>
      <w:r>
        <w:rPr>
          <w:rFonts w:hint="eastAsia" w:ascii="宋体" w:hAnsi="宋体" w:eastAsia="宋体" w:cs="宋体"/>
          <w:color w:val="auto"/>
          <w:sz w:val="18"/>
          <w:szCs w:val="18"/>
          <w:highlight w:val="none"/>
        </w:rPr>
        <w:t>称甲方）是指使用财政性资金，通过政府采购方式向供应商购买</w:t>
      </w:r>
      <w:r>
        <w:rPr>
          <w:rFonts w:hint="eastAsia" w:ascii="宋体" w:hAnsi="宋体" w:eastAsia="宋体" w:cs="宋体"/>
          <w:color w:val="auto"/>
          <w:sz w:val="18"/>
          <w:szCs w:val="18"/>
          <w:highlight w:val="none"/>
          <w:lang w:val="en-US" w:eastAsia="zh-CN"/>
        </w:rPr>
        <w:t>服务的</w:t>
      </w:r>
      <w:r>
        <w:rPr>
          <w:rFonts w:hint="eastAsia" w:ascii="宋体" w:hAnsi="宋体" w:eastAsia="宋体" w:cs="宋体"/>
          <w:color w:val="auto"/>
          <w:sz w:val="18"/>
          <w:szCs w:val="18"/>
          <w:highlight w:val="none"/>
        </w:rPr>
        <w:t>国家机关、事业单位、团体组织。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（2）供应商（以下称乙方）是指参加政府采购活动并且中标（成交），按照合同约定向甲方提供服务的法人、非法人组织或者自然人。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（3）其他合同主体是指除采购人和供应商以外，依法参与合同缔结或履行，享有权利、承担义务的合同当事人。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1.2 本合同下列术语应解释为：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合同”系指合同当事人意思表示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（2）“合同价款”系指根据本合同规定乙方在全面履行合同义务后甲方应支付给乙方的价款。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（3）“服务”系指乙方根据本合同约定须向甲方提供的各类服务，包括但不限于方案制定、专业技术服务、运营管理、咨询指导、成果交付、售后技术支持等相关行为。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（4）“分包”系指中标（成交）供应商按采购文件、投标（响应）文件的规定，根据分包意向协议，将中标（成交）项目中的部分履约内容，分给具有相应资质条件的供应商履行合同的行为。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联合体：指由两个以上自然人、法人或非法人组织组成，以一个供应商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（6）其他术语解释，见【</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 服务标的及合同价款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2.1 乙方提供的服务标的、服务范围、服务标准应与中标（成交）结果完全一致，不得擅自缩减服务范围、降低服务标准。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2.2 乙方为履行本合同发生的所有费用（包括但不限于服务成本、人工、税费、利润、售后服务、风险等）均应包含在合同价款中，甲方不再另行支付其他任何费用。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 履行合同的时间、地点和方式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3.1 乙方应按照合同约定的期限、地点、标准、频次，以约定的方式全面履行服务义务，不得无故迟延、中止服务。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 甲方的权利和义务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4.1 签署合同后，甲方应确定项目负责人（或项目联系人），负责与本合同有关的事务协调。甲方有权对乙方的履约行为进行检查，并及时确认乙方提交的事项。甲方应当配合乙方完成相关项目实施工作。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4.2 甲方有权对乙方提供的服务过程、服务质量、服务成果进行全程监督、检查和考核，发现乙方未按合同约定履约的，有权要求乙方限期整改。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4.3 甲方有权对乙方服务团队人员进行考核，对不符合合同要求的人员，有权要求乙方及时更换。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4.4 甲方有权要求乙方按约定提交服务履约报告、服务成果等资料，并对资料的真实性、完整性进行审核。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4.5 甲方应按照合同约定及时组织验收和绩效评价，未在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约定的期限内对乙方履约提出异议或者向乙方作出任何说明的，视为验收通过。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4.6 甲方应根据合同约定及时向乙方支付合同价款，不得以内部人员变更为由，拒绝或迟延支付。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4.7 国家法律法规规定及</w:t>
      </w:r>
      <w:r>
        <w:rPr>
          <w:rFonts w:hint="eastAsia" w:ascii="宋体" w:hAnsi="宋体" w:eastAsia="宋体" w:cs="宋体"/>
          <w:b/>
          <w:bCs/>
          <w:sz w:val="18"/>
          <w:szCs w:val="18"/>
          <w:highlight w:val="none"/>
        </w:rPr>
        <w:t>【政府采购合同专用条款】</w:t>
      </w:r>
      <w:r>
        <w:rPr>
          <w:rFonts w:hint="eastAsia" w:ascii="宋体" w:hAnsi="宋体" w:eastAsia="宋体" w:cs="宋体"/>
          <w:b w:val="0"/>
          <w:bCs w:val="0"/>
          <w:color w:val="auto"/>
          <w:kern w:val="2"/>
          <w:sz w:val="18"/>
          <w:szCs w:val="18"/>
          <w:highlight w:val="none"/>
          <w:lang w:val="en-US" w:eastAsia="zh-CN" w:bidi="ar-SA"/>
        </w:rPr>
        <w:t>约定应由甲方承担的其他义务和责任。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5. 乙方的权利和义务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5.1 签署合同后，乙方应确定项目负责人（或项目联系人），负责与本合同有关的事务，及时向甲方反馈服务进展情况。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5.2 乙方应按照合同要求及其《服务实施方案》履约，合理配置人员、设备等履约资源，确保提供的服务符合合同约定标准。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5.3 乙方应接受项目行业管理部门及政府有关部门的指导，配合甲方的履约检查、考核及验收/绩效评价工作，负责服务实施过程中的所有协调工作。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5.4 乙方应定期向甲方提交服务履约报告（如月度/季度/阶段性报告），说明服务进展、履约情况、存在问题及解决方案。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5.5 乙方有权根据合同约定向甲方收取合同价款。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5.6 国家法律法规规定及</w:t>
      </w:r>
      <w:r>
        <w:rPr>
          <w:rFonts w:hint="eastAsia" w:ascii="宋体" w:hAnsi="宋体" w:eastAsia="宋体" w:cs="宋体"/>
          <w:b/>
          <w:bCs/>
          <w:sz w:val="18"/>
          <w:szCs w:val="18"/>
          <w:highlight w:val="none"/>
        </w:rPr>
        <w:t>【政府采购合同专用条款】</w:t>
      </w:r>
      <w:r>
        <w:rPr>
          <w:rFonts w:hint="eastAsia" w:ascii="宋体" w:hAnsi="宋体" w:eastAsia="宋体" w:cs="宋体"/>
          <w:b w:val="0"/>
          <w:bCs w:val="0"/>
          <w:color w:val="auto"/>
          <w:kern w:val="2"/>
          <w:sz w:val="18"/>
          <w:szCs w:val="18"/>
          <w:highlight w:val="none"/>
          <w:lang w:val="en-US" w:eastAsia="zh-CN" w:bidi="ar-SA"/>
        </w:rPr>
        <w:t>约定应由乙方承担的其他义务和责任。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 合同履行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6.1 甲乙双方应当按照</w:t>
      </w:r>
      <w:r>
        <w:rPr>
          <w:rFonts w:hint="eastAsia" w:ascii="宋体" w:hAnsi="宋体" w:eastAsia="宋体" w:cs="宋体"/>
          <w:b/>
          <w:bCs/>
          <w:sz w:val="18"/>
          <w:szCs w:val="18"/>
          <w:highlight w:val="none"/>
        </w:rPr>
        <w:t>【政府采购合同专用条款】</w:t>
      </w:r>
      <w:r>
        <w:rPr>
          <w:rFonts w:hint="eastAsia" w:ascii="宋体" w:hAnsi="宋体" w:eastAsia="宋体" w:cs="宋体"/>
          <w:b w:val="0"/>
          <w:bCs w:val="0"/>
          <w:color w:val="auto"/>
          <w:kern w:val="2"/>
          <w:sz w:val="18"/>
          <w:szCs w:val="18"/>
          <w:highlight w:val="none"/>
          <w:lang w:val="en-US" w:eastAsia="zh-CN" w:bidi="ar-SA"/>
        </w:rPr>
        <w:t>约定的顺序履行合同义务；未约定履行顺序的，应当同时履行。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6.2 甲乙双方按照合同约定顺序履行合同义务时，应当先履行一方未履行的，后履行一方有权拒绝其履行请求。先履行一方履行不符合约定的，后履行一方有权拒绝其相应的履行请求。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6.3 乙方应保证服务成果的合法性、真实性、完整性，不得提供虚假的服务成果和资料。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 知识产权保护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7.1 乙方对其提供的服务及服务成果享有知识产权的，应当保证该知识产权无权利瑕疵，保证没有侵犯任何第三人的知识产权等权利。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7.2 因乙方提供的服务或服务成果侵犯第三人知识产权等合法权利的，应当由乙方向第三人承担法律责任；甲方依法向第三人赔偿后，有权向乙方追偿。甲方有其他损失的，乙方应当赔偿。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7.3 甲方委托乙方开发的服务成果，知识产权归属按</w:t>
      </w:r>
      <w:r>
        <w:rPr>
          <w:rFonts w:hint="eastAsia" w:ascii="宋体" w:hAnsi="宋体" w:eastAsia="宋体" w:cs="宋体"/>
          <w:b/>
          <w:bCs/>
          <w:sz w:val="18"/>
          <w:szCs w:val="18"/>
          <w:highlight w:val="none"/>
        </w:rPr>
        <w:t>【政府采购合同专用条款】</w:t>
      </w:r>
      <w:r>
        <w:rPr>
          <w:rFonts w:hint="eastAsia" w:ascii="宋体" w:hAnsi="宋体" w:eastAsia="宋体" w:cs="宋体"/>
          <w:b w:val="0"/>
          <w:bCs w:val="0"/>
          <w:color w:val="auto"/>
          <w:kern w:val="2"/>
          <w:sz w:val="18"/>
          <w:szCs w:val="18"/>
          <w:highlight w:val="none"/>
          <w:lang w:val="en-US" w:eastAsia="zh-CN" w:bidi="ar-SA"/>
        </w:rPr>
        <w:t>约定执行；未约定的，除法律另有规定外，知识产权归甲方所有。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8. 保密义务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8.1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中约定。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9. 合同价款支付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9.1 合同价款支付按照国库集中支付制度及财政管理相关规定执行，乙方应按甲方要求提供合法、有效的发票及付款所需资料。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9.2 对于满足合同约定支付条件的，甲方原则上应当自收到发票及完整付款资料后10个工作日内，将资金支付到合同约定的乙方账户。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9.3 甲方不得以机构变动、人员更替、政策调整等为由迟延付款，不得将采购文件和合同中未规定的义务作为向乙方付款的条件。具体付款时间在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中约定。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10. 履约保证金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10.1 乙方应当以支票、汇票、本票或者金融机构、担保机构出具的保函等非现金形式提交。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10.2 如果乙方出现</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约定的情形，履约保证金不予退还；如果乙方未能按合同约定全面履行义务，甲方有权从履约保证金中取得补偿或赔偿，且不影响甲方要求乙方承担超过履约保证金部分的违约责任。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10.3 甲方在项目通过最终验收合格后，按照</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规定的时间内将履约保证金无息退还乙方；逾期退还的，乙方可要求甲方支付违约金，违约金按照</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约定支付。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11. 售后服务与服务保障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11.1 除合同明确约定无须承担外，乙方应按合同约定提供售后服务及服务保障，包括但不限于：服务成果的后续技术支持、问题整改、操作培训、资料更新等。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11.2 乙方提供的售后服务期限、服务标准、响应时间见</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，售后服务费用已包含在合同价款中，甲方不再另行支付。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11.3 在售后服务期内，乙方应在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约定的响应时间内处理甲方提出的服务问题，确保服务成果正常使用/服务事项正常推进。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12. 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12.1 服务质量瑕疵的违约责任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乙方提供的服务不符合合同约定的服务标准，甲方有权要求乙方根据</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的要求及时整改，并承担由此给甲方造成的损失。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12.2 迟延履约的违约责任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乙方应按照本合同规定的时间、地点提供相关服务。在履行合同过程中，如果乙方遇到可能影响按时提供服务的情形时，应及时以书面形式将迟延的事实、可能迟延的期限和理由通知甲方。甲方在收到乙方通知后，应尽快对情况进行评价，并确定是否同意延期提供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（2）如果乙方没有按照合同规定的时间提供相关服务，甲方有权从合同款中扣除误期赔偿费而不影响合同项下的其他补救方法，赔偿费按</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规定执行。如果涉及公共利益，且赔偿金额无法弥补公共利益损失，甲方可要求继续履行或者采取其他补救措施。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12.3 迟延支付的违约责任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甲方存在迟延支付乙方合同款项的，应当承担</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规定的逾期付款利息。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12.4其他违约责任根据项目实际需要按</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13. 合同变更、中止与终止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13.1 合同的变更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政府采购合同履行中，在不改变合同其他条款的前提下，甲方可以在合同价款10%的范围内追加与合同标的相同的服务，并就此与乙方协商一致后签订补充协议。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13.2 合同的中止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（1）合同履行过程中，因供应商就采购文件、采购过程或结果提起投诉的，甲方认为有必要的，可以中止合同的履行。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（3）乙方分立、合并或变更住所的，应当及时以书面形式告知甲方。乙方没有及时告知甲方，致使合同履行发生困难的，甲方可以中止合同履行并要求乙方承担由此给甲方造成的损失。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（4）甲方不得以行政区划调整、政府换届、机构或职能调整以及相关责任人更替为由中止合同。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13.3 合同的终止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（1）合同因有效期限届满而终止；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（2）乙方未按合同约定履行，构成根本性违约的，甲方有权终止合同，并追究乙方的违约责任。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13.4 涉及国家利益、社会公共利益的情形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14. 合同分包与联合体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14.1 乙方不得将合同转包给其他供应商。涉及合同分包的，乙方应根据采购文件和投标（响应）文件规定进行合同分包。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14.2 乙方执行政府采购政策向中小企业依法分包的，乙方应当按采购文件和投标（响应）文件签订分包意向协议，分包意向协议属于本合同组成部分。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14.3 联合体各方应按联合协议约定的分工履行合同，牵头人负责与甲方的日常沟通协调，联合体各方对甲方承担连带责任；联合体一方违约的，甲方有权要求联合体各方共同承担违约责任。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15. 不可抗力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15.1 不可抗力是指合同双方不能预见、不能避免且不能克服的客观情况。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15.2 任何一方对由于不可抗力造成的部分或全部不能履行合同不承担违约责任。但迟延履行后发生不可抗力的，不能免除责任。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15.3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21"/>
          <w:szCs w:val="21"/>
          <w:highlight w:val="none"/>
          <w:lang w:val="en-US" w:eastAsia="zh-CN" w:bidi="ar-SA"/>
        </w:rPr>
        <w:t>16. 解决争议的方法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16.1 因本合同及合同有关事项发生的争议，由甲乙双方友好协商解决。协商不成时，可以向有关组织申请调解。合同一方或双方不愿调解或调解不成的，可以通过仲裁或诉讼的方式解决争议。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16.2 选择仲裁的，应在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中明确仲裁机构及仲裁地；通过诉讼方式解决的，可以在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中进一步约定选择与争议有实际联系的地点的人民法院管辖，但管辖法院的约定不得违反级别管辖和专属管辖的规定。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16.3 如甲乙双方有争议的事项不影响合同其他部分的履行，在争议解决期间，合同其他部分应当继续履行。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21"/>
          <w:szCs w:val="21"/>
          <w:highlight w:val="none"/>
          <w:lang w:val="en-US" w:eastAsia="zh-CN" w:bidi="ar-SA"/>
        </w:rPr>
        <w:t>17. 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17.1 本合同应当按照规定执行政府采购政策。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21"/>
          <w:szCs w:val="21"/>
          <w:highlight w:val="none"/>
          <w:lang w:val="en-US" w:eastAsia="zh-CN" w:bidi="ar-SA"/>
        </w:rPr>
        <w:t>18. 法律适用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18.1本合同的订立、生效、解释、履行及与本合同有关的争议解决，均适用《中华人民共和国民法典》《中华人民共和国政府采购法》《中华人民共和国政府采购法实施条例》等中华人民共和国法律、行政法规。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18.2 本合同条款与法律、行政法规的强制性规定不一致的，</w:t>
      </w:r>
      <w:r>
        <w:rPr>
          <w:rFonts w:hint="eastAsia" w:ascii="宋体" w:hAnsi="宋体" w:eastAsia="宋体" w:cs="宋体"/>
          <w:sz w:val="18"/>
          <w:szCs w:val="21"/>
        </w:rPr>
        <w:t>双方当事人</w:t>
      </w:r>
      <w:r>
        <w:rPr>
          <w:rFonts w:hint="eastAsia" w:ascii="宋体" w:hAnsi="宋体" w:eastAsia="宋体" w:cs="宋体"/>
          <w:sz w:val="18"/>
          <w:szCs w:val="21"/>
          <w:lang w:val="en-US" w:eastAsia="zh-CN"/>
        </w:rPr>
        <w:t>应</w:t>
      </w:r>
      <w:r>
        <w:rPr>
          <w:rFonts w:hint="eastAsia" w:ascii="宋体" w:hAnsi="宋体" w:eastAsia="宋体" w:cs="宋体"/>
          <w:b w:val="0"/>
          <w:bCs w:val="0"/>
          <w:color w:val="auto"/>
          <w:kern w:val="2"/>
          <w:sz w:val="18"/>
          <w:szCs w:val="18"/>
          <w:highlight w:val="none"/>
          <w:lang w:val="en-US" w:eastAsia="zh-CN" w:bidi="ar-SA"/>
        </w:rPr>
        <w:t>按照法律、行政法规的强制性规定执行。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19. 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19.1 本合同任何一方向对方发出的通知、信件、数据电文等，应当发送至本合同第一部分《政府采购合同协议书》所约定的通讯地址、联系人、联系电话或电子邮箱。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19.2 一方当事人变更名称、住所、联系人、联系电话或电子邮箱等信息的，应当在变更后3日内及时书面通知对方，对方实际收到变更通知前的送达仍为有效送达。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19.3 本合同一方给另一方的通知均应采用书面形式，传真或快递送到本合同中规定的对方的地址和办理签收手续。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19.4 通知以送达之日或通知书中规定的生效之日起生效，两者中以较迟之日为准。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21"/>
          <w:szCs w:val="21"/>
          <w:highlight w:val="none"/>
          <w:lang w:val="en-US" w:eastAsia="zh-CN" w:bidi="ar-SA"/>
        </w:rPr>
        <w:t>20. 合同未尽事项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20.1 本合同未尽事项，由甲乙双方协商后在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中约定。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20.2 本合同附件与合同正文具有同等的法律效力。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20.3 本合同自生效之日起，对甲乙双方具有法律约束力。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sz w:val="24"/>
          <w:szCs w:val="24"/>
        </w:rPr>
      </w:pPr>
      <w:r>
        <w:rPr>
          <w:rFonts w:hint="eastAsia" w:ascii="宋体" w:hAnsi="宋体" w:eastAsia="宋体" w:cs="宋体"/>
          <w:b w:val="0"/>
          <w:bCs w:val="0"/>
          <w:color w:val="auto"/>
          <w:kern w:val="2"/>
          <w:sz w:val="18"/>
          <w:szCs w:val="18"/>
          <w:highlight w:val="none"/>
          <w:lang w:val="en-US" w:eastAsia="zh-CN" w:bidi="ar-SA"/>
        </w:rPr>
        <w:br w:type="page"/>
      </w:r>
    </w:p>
    <w:p>
      <w:pPr>
        <w:keepNext/>
        <w:keepLines/>
        <w:widowControl w:val="0"/>
        <w:adjustRightInd w:val="0"/>
        <w:snapToGrid w:val="0"/>
        <w:spacing w:line="360" w:lineRule="auto"/>
        <w:jc w:val="center"/>
        <w:outlineLvl w:val="1"/>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第三节 政府采购合同专用条款</w:t>
      </w:r>
    </w:p>
    <w:tbl>
      <w:tblPr>
        <w:tblStyle w:val="45"/>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996"/>
        <w:gridCol w:w="49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第1.2（</w:t>
            </w:r>
            <w:r>
              <w:rPr>
                <w:rFonts w:hint="eastAsia" w:ascii="宋体" w:hAnsi="宋体" w:eastAsia="宋体" w:cs="宋体"/>
                <w:sz w:val="18"/>
                <w:szCs w:val="18"/>
                <w:lang w:val="en-US" w:eastAsia="zh-CN"/>
              </w:rPr>
              <w:t>5</w:t>
            </w:r>
            <w:r>
              <w:rPr>
                <w:rFonts w:hint="eastAsia" w:ascii="宋体" w:hAnsi="宋体" w:eastAsia="宋体" w:cs="宋体"/>
                <w:sz w:val="18"/>
                <w:szCs w:val="18"/>
              </w:rPr>
              <w:t>）项</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lang w:eastAsia="zh-CN"/>
              </w:rPr>
              <w:t>联合体具体要求</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第1.2（</w:t>
            </w:r>
            <w:r>
              <w:rPr>
                <w:rFonts w:hint="eastAsia" w:ascii="宋体" w:hAnsi="宋体" w:eastAsia="宋体" w:cs="宋体"/>
                <w:sz w:val="18"/>
                <w:szCs w:val="18"/>
                <w:lang w:val="en-US" w:eastAsia="zh-CN"/>
              </w:rPr>
              <w:t>6</w:t>
            </w:r>
            <w:r>
              <w:rPr>
                <w:rFonts w:hint="eastAsia" w:ascii="宋体" w:hAnsi="宋体" w:eastAsia="宋体" w:cs="宋体"/>
                <w:sz w:val="18"/>
                <w:szCs w:val="18"/>
              </w:rPr>
              <w:t>）项</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其他术语解释</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
                <w:sz w:val="18"/>
                <w:szCs w:val="1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第二节</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w:t>
            </w:r>
            <w:r>
              <w:rPr>
                <w:rFonts w:hint="eastAsia" w:ascii="宋体" w:hAnsi="宋体" w:eastAsia="宋体" w:cs="宋体"/>
                <w:sz w:val="18"/>
                <w:szCs w:val="18"/>
                <w:lang w:val="en-US" w:eastAsia="zh-CN"/>
              </w:rPr>
              <w:t>4.5款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履约验收中甲方提出异议或作出说明的期限</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
                <w:sz w:val="18"/>
                <w:szCs w:val="1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第二节</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第</w:t>
            </w:r>
            <w:r>
              <w:rPr>
                <w:rFonts w:hint="eastAsia" w:ascii="宋体" w:hAnsi="宋体" w:eastAsia="宋体" w:cs="宋体"/>
                <w:sz w:val="18"/>
                <w:szCs w:val="18"/>
                <w:lang w:val="en-US" w:eastAsia="zh-CN"/>
              </w:rPr>
              <w:t>4.7款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eastAsia="zh-CN"/>
              </w:rPr>
            </w:pPr>
            <w:r>
              <w:rPr>
                <w:rFonts w:hint="eastAsia" w:ascii="宋体" w:hAnsi="宋体" w:eastAsia="宋体" w:cs="宋体"/>
                <w:sz w:val="18"/>
                <w:szCs w:val="18"/>
              </w:rPr>
              <w:t>甲方承担的其他义务和责任</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
                <w:sz w:val="18"/>
                <w:szCs w:val="1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第二节</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w:t>
            </w:r>
            <w:r>
              <w:rPr>
                <w:rFonts w:hint="eastAsia" w:ascii="宋体" w:hAnsi="宋体" w:eastAsia="宋体" w:cs="宋体"/>
                <w:sz w:val="18"/>
                <w:szCs w:val="18"/>
                <w:lang w:val="en-US" w:eastAsia="zh-CN"/>
              </w:rPr>
              <w:t>5.6款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eastAsia="zh-CN"/>
              </w:rPr>
            </w:pPr>
            <w:r>
              <w:rPr>
                <w:rFonts w:hint="eastAsia" w:ascii="宋体" w:hAnsi="宋体" w:eastAsia="宋体" w:cs="宋体"/>
                <w:sz w:val="18"/>
                <w:szCs w:val="18"/>
              </w:rPr>
              <w:t>乙方承担的其他义务和责任</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6.1</w:t>
            </w:r>
            <w:r>
              <w:rPr>
                <w:rFonts w:hint="eastAsia" w:ascii="宋体" w:hAnsi="宋体" w:eastAsia="宋体" w:cs="宋体"/>
                <w:sz w:val="18"/>
                <w:szCs w:val="18"/>
              </w:rPr>
              <w:t>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eastAsia="zh-CN"/>
              </w:rPr>
            </w:pPr>
            <w:r>
              <w:rPr>
                <w:rFonts w:hint="eastAsia" w:ascii="宋体" w:hAnsi="宋体" w:eastAsia="宋体" w:cs="宋体"/>
                <w:sz w:val="18"/>
                <w:szCs w:val="18"/>
              </w:rPr>
              <w:t>履行合同义务的顺序</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7.3</w:t>
            </w:r>
            <w:r>
              <w:rPr>
                <w:rFonts w:hint="eastAsia" w:ascii="宋体" w:hAnsi="宋体" w:eastAsia="宋体" w:cs="宋体"/>
                <w:sz w:val="18"/>
                <w:szCs w:val="18"/>
              </w:rPr>
              <w:t>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rPr>
              <w:t>委托开发服务成果的知识产权归属</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第</w:t>
            </w:r>
            <w:r>
              <w:rPr>
                <w:rFonts w:hint="eastAsia" w:ascii="宋体" w:hAnsi="宋体" w:eastAsia="宋体" w:cs="宋体"/>
                <w:sz w:val="18"/>
                <w:szCs w:val="18"/>
                <w:lang w:val="en-US" w:eastAsia="zh-CN"/>
              </w:rPr>
              <w:t>8.1</w:t>
            </w:r>
            <w:r>
              <w:rPr>
                <w:rFonts w:hint="eastAsia" w:ascii="宋体" w:hAnsi="宋体" w:eastAsia="宋体" w:cs="宋体"/>
                <w:sz w:val="18"/>
                <w:szCs w:val="18"/>
              </w:rPr>
              <w:t>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其他应当保密的信息</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8.3</w:t>
            </w:r>
            <w:r>
              <w:rPr>
                <w:rFonts w:hint="eastAsia" w:ascii="宋体" w:hAnsi="宋体" w:eastAsia="宋体" w:cs="宋体"/>
                <w:sz w:val="18"/>
                <w:szCs w:val="18"/>
              </w:rPr>
              <w:t>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合同价款支付的具体时间</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sz w:val="18"/>
                <w:szCs w:val="18"/>
              </w:rPr>
              <w:t>第</w:t>
            </w:r>
            <w:r>
              <w:rPr>
                <w:rFonts w:hint="eastAsia" w:ascii="宋体" w:hAnsi="宋体" w:eastAsia="宋体" w:cs="宋体"/>
                <w:sz w:val="18"/>
                <w:szCs w:val="18"/>
                <w:lang w:val="en-US" w:eastAsia="zh-CN"/>
              </w:rPr>
              <w:t>10.2款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rPr>
              <w:t>履约保证金不予退还的情形</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rPr>
              <w:t>第</w:t>
            </w:r>
            <w:r>
              <w:rPr>
                <w:rFonts w:hint="eastAsia" w:ascii="宋体" w:hAnsi="宋体" w:eastAsia="宋体" w:cs="宋体"/>
                <w:sz w:val="18"/>
                <w:szCs w:val="18"/>
                <w:lang w:val="en-US" w:eastAsia="zh-CN"/>
              </w:rPr>
              <w:t>10.3款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履约保证金退还时间及逾期退还的违约金</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sz w:val="18"/>
                <w:szCs w:val="18"/>
              </w:rPr>
              <w:t>第</w:t>
            </w:r>
            <w:r>
              <w:rPr>
                <w:rFonts w:hint="eastAsia" w:ascii="宋体" w:hAnsi="宋体" w:eastAsia="宋体" w:cs="宋体"/>
                <w:sz w:val="18"/>
                <w:szCs w:val="18"/>
                <w:lang w:val="en-US" w:eastAsia="zh-CN"/>
              </w:rPr>
              <w:t>11款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售后服务期限、服务标准、响应时间</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12.1款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rPr>
              <w:t>服务质量瑕疵的</w:t>
            </w:r>
            <w:r>
              <w:rPr>
                <w:rFonts w:hint="eastAsia" w:ascii="宋体" w:hAnsi="宋体" w:eastAsia="宋体" w:cs="宋体"/>
                <w:sz w:val="18"/>
                <w:szCs w:val="18"/>
                <w:lang w:val="en-US" w:eastAsia="zh-CN"/>
              </w:rPr>
              <w:t>违约责任</w:t>
            </w:r>
          </w:p>
        </w:tc>
        <w:tc>
          <w:tcPr>
            <w:tcW w:w="4916" w:type="dxa"/>
            <w:noWrap w:val="0"/>
            <w:vAlign w:val="center"/>
          </w:tcPr>
          <w:p>
            <w:pPr>
              <w:keepNext w:val="0"/>
              <w:keepLines w:val="0"/>
              <w:suppressLineNumbers w:val="0"/>
              <w:adjustRightInd w:val="0"/>
              <w:snapToGrid w:val="0"/>
              <w:spacing w:before="0" w:beforeAutospacing="0" w:after="0" w:afterAutospacing="0"/>
              <w:ind w:left="0" w:right="0" w:firstLine="360" w:firstLineChars="200"/>
              <w:jc w:val="left"/>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乙方提供服务不符合合同约定或甲方要求的，或乙方提供服务经验收不合格的，甲方有权要求乙方进行免费</w:t>
            </w:r>
            <w:r>
              <w:rPr>
                <w:rFonts w:hint="eastAsia" w:ascii="宋体" w:hAnsi="宋体" w:eastAsia="宋体" w:cs="宋体"/>
                <w:b w:val="0"/>
                <w:bCs w:val="0"/>
                <w:sz w:val="18"/>
                <w:szCs w:val="18"/>
                <w:u w:val="none"/>
                <w:lang w:val="en-US" w:eastAsia="zh-CN"/>
              </w:rPr>
              <w:t>整改</w:t>
            </w:r>
            <w:r>
              <w:rPr>
                <w:rFonts w:hint="eastAsia" w:ascii="宋体" w:hAnsi="宋体" w:eastAsia="宋体" w:cs="宋体"/>
                <w:b w:val="0"/>
                <w:bCs w:val="0"/>
                <w:sz w:val="18"/>
                <w:szCs w:val="18"/>
                <w:u w:val="none"/>
              </w:rPr>
              <w:t>。乙方拒不</w:t>
            </w:r>
            <w:r>
              <w:rPr>
                <w:rFonts w:hint="eastAsia" w:ascii="宋体" w:hAnsi="宋体" w:eastAsia="宋体" w:cs="宋体"/>
                <w:b w:val="0"/>
                <w:bCs w:val="0"/>
                <w:sz w:val="18"/>
                <w:szCs w:val="18"/>
                <w:u w:val="none"/>
                <w:lang w:val="en-US" w:eastAsia="zh-CN"/>
              </w:rPr>
              <w:t>整改</w:t>
            </w:r>
            <w:r>
              <w:rPr>
                <w:rFonts w:hint="eastAsia" w:ascii="宋体" w:hAnsi="宋体" w:eastAsia="宋体" w:cs="宋体"/>
                <w:b w:val="0"/>
                <w:bCs w:val="0"/>
                <w:sz w:val="18"/>
                <w:szCs w:val="18"/>
                <w:u w:val="none"/>
              </w:rPr>
              <w:t>或乙方</w:t>
            </w:r>
            <w:r>
              <w:rPr>
                <w:rFonts w:hint="eastAsia" w:ascii="宋体" w:hAnsi="宋体" w:eastAsia="宋体" w:cs="宋体"/>
                <w:b w:val="0"/>
                <w:bCs w:val="0"/>
                <w:sz w:val="18"/>
                <w:szCs w:val="18"/>
                <w:u w:val="none"/>
                <w:lang w:val="en-US" w:eastAsia="zh-CN"/>
              </w:rPr>
              <w:t>整改</w:t>
            </w:r>
            <w:r>
              <w:rPr>
                <w:rFonts w:hint="eastAsia" w:ascii="宋体" w:hAnsi="宋体" w:eastAsia="宋体" w:cs="宋体"/>
                <w:b w:val="0"/>
                <w:bCs w:val="0"/>
                <w:sz w:val="18"/>
                <w:szCs w:val="18"/>
                <w:u w:val="none"/>
              </w:rPr>
              <w:t>后仍不符合甲方要求或验收仍不合格的，甲方有权解除合同。甲方解除合同的，乙方应</w:t>
            </w:r>
            <w:r>
              <w:rPr>
                <w:rFonts w:hint="eastAsia" w:ascii="宋体" w:hAnsi="宋体" w:eastAsia="宋体" w:cs="宋体"/>
                <w:b w:val="0"/>
                <w:bCs w:val="0"/>
                <w:sz w:val="18"/>
                <w:szCs w:val="18"/>
                <w:u w:val="none"/>
                <w:lang w:val="en-US" w:eastAsia="zh-CN"/>
              </w:rPr>
              <w:t>退还甲方已支付费用，并</w:t>
            </w:r>
            <w:r>
              <w:rPr>
                <w:rFonts w:hint="eastAsia" w:ascii="宋体" w:hAnsi="宋体" w:eastAsia="宋体" w:cs="宋体"/>
                <w:b w:val="0"/>
                <w:bCs w:val="0"/>
                <w:sz w:val="18"/>
                <w:szCs w:val="18"/>
                <w:u w:val="none"/>
              </w:rPr>
              <w:t>向甲方支付</w:t>
            </w:r>
            <w:r>
              <w:rPr>
                <w:rFonts w:hint="eastAsia" w:ascii="宋体" w:hAnsi="宋体" w:eastAsia="宋体" w:cs="宋体"/>
                <w:b w:val="0"/>
                <w:bCs w:val="0"/>
                <w:sz w:val="18"/>
                <w:szCs w:val="18"/>
                <w:u w:val="single"/>
              </w:rPr>
              <w:t>合同总金额20%（可根据具体情况修改</w:t>
            </w:r>
            <w:r>
              <w:rPr>
                <w:rFonts w:hint="eastAsia" w:ascii="宋体" w:hAnsi="宋体" w:eastAsia="宋体" w:cs="宋体"/>
                <w:b w:val="0"/>
                <w:bCs w:val="0"/>
                <w:sz w:val="18"/>
                <w:szCs w:val="18"/>
                <w:u w:val="single"/>
                <w:lang w:eastAsia="zh-CN"/>
              </w:rPr>
              <w:t>，</w:t>
            </w:r>
            <w:r>
              <w:rPr>
                <w:rFonts w:hint="eastAsia" w:ascii="宋体" w:hAnsi="宋体" w:eastAsia="宋体" w:cs="宋体"/>
                <w:b w:val="0"/>
                <w:bCs w:val="0"/>
                <w:sz w:val="18"/>
                <w:szCs w:val="18"/>
                <w:u w:val="single"/>
                <w:lang w:val="en-US" w:eastAsia="zh-CN"/>
              </w:rPr>
              <w:t>但最多不超过30%</w:t>
            </w:r>
            <w:r>
              <w:rPr>
                <w:rFonts w:hint="eastAsia" w:ascii="宋体" w:hAnsi="宋体" w:eastAsia="宋体" w:cs="宋体"/>
                <w:b w:val="0"/>
                <w:bCs w:val="0"/>
                <w:sz w:val="18"/>
                <w:szCs w:val="18"/>
                <w:u w:val="single"/>
              </w:rPr>
              <w:t>）</w:t>
            </w:r>
            <w:r>
              <w:rPr>
                <w:rFonts w:hint="eastAsia" w:ascii="宋体" w:hAnsi="宋体" w:eastAsia="宋体" w:cs="宋体"/>
                <w:b w:val="0"/>
                <w:bCs w:val="0"/>
                <w:sz w:val="18"/>
                <w:szCs w:val="18"/>
                <w:u w:val="none"/>
              </w:rPr>
              <w:t>的违约金。违约金不足以弥补甲方损失的，乙方还应当补足甲方损失（包括但不限于甲方为实现权利而支付的律师费、诉讼费、保全费和保全保险费等）。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12.2款</w:t>
            </w:r>
          </w:p>
        </w:tc>
        <w:tc>
          <w:tcPr>
            <w:tcW w:w="1996" w:type="dxa"/>
            <w:tcBorders>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迟延履约的违约责任</w:t>
            </w:r>
          </w:p>
        </w:tc>
        <w:tc>
          <w:tcPr>
            <w:tcW w:w="4916" w:type="dxa"/>
            <w:tcBorders>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firstLine="360" w:firstLineChars="200"/>
              <w:jc w:val="left"/>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乙方未在合同约定时间内完成服务的，每逾期一日，应向甲方支付</w:t>
            </w:r>
            <w:r>
              <w:rPr>
                <w:rFonts w:hint="eastAsia" w:ascii="宋体" w:hAnsi="宋体" w:eastAsia="宋体" w:cs="宋体"/>
                <w:b w:val="0"/>
                <w:bCs w:val="0"/>
                <w:sz w:val="18"/>
                <w:szCs w:val="18"/>
                <w:u w:val="single"/>
              </w:rPr>
              <w:t>合同总金额万分之三（可根据具体情况修改</w:t>
            </w:r>
            <w:r>
              <w:rPr>
                <w:rFonts w:hint="eastAsia" w:ascii="宋体" w:hAnsi="宋体" w:eastAsia="宋体" w:cs="宋体"/>
                <w:b w:val="0"/>
                <w:bCs w:val="0"/>
                <w:sz w:val="18"/>
                <w:szCs w:val="18"/>
                <w:u w:val="single"/>
                <w:lang w:eastAsia="zh-CN"/>
              </w:rPr>
              <w:t>，</w:t>
            </w:r>
            <w:r>
              <w:rPr>
                <w:rFonts w:hint="eastAsia" w:ascii="宋体" w:hAnsi="宋体" w:eastAsia="宋体" w:cs="宋体"/>
                <w:b w:val="0"/>
                <w:bCs w:val="0"/>
                <w:sz w:val="18"/>
                <w:szCs w:val="18"/>
                <w:u w:val="single"/>
                <w:lang w:val="en-US" w:eastAsia="zh-CN"/>
              </w:rPr>
              <w:t>但最多不超过万分之五</w:t>
            </w:r>
            <w:r>
              <w:rPr>
                <w:rFonts w:hint="eastAsia" w:ascii="宋体" w:hAnsi="宋体" w:eastAsia="宋体" w:cs="宋体"/>
                <w:b w:val="0"/>
                <w:bCs w:val="0"/>
                <w:sz w:val="18"/>
                <w:szCs w:val="18"/>
                <w:u w:val="single"/>
              </w:rPr>
              <w:t>）</w:t>
            </w:r>
            <w:r>
              <w:rPr>
                <w:rFonts w:hint="eastAsia" w:ascii="宋体" w:hAnsi="宋体" w:eastAsia="宋体" w:cs="宋体"/>
                <w:b w:val="0"/>
                <w:bCs w:val="0"/>
                <w:sz w:val="18"/>
                <w:szCs w:val="18"/>
                <w:u w:val="none"/>
              </w:rPr>
              <w:t>的违约金。逾期超过</w:t>
            </w:r>
            <w:r>
              <w:rPr>
                <w:rFonts w:hint="eastAsia" w:ascii="宋体" w:hAnsi="宋体" w:eastAsia="宋体" w:cs="宋体"/>
                <w:b w:val="0"/>
                <w:bCs w:val="0"/>
                <w:sz w:val="18"/>
                <w:szCs w:val="18"/>
                <w:u w:val="single"/>
              </w:rPr>
              <w:t>10日（可根据具体情况修改）</w:t>
            </w:r>
            <w:r>
              <w:rPr>
                <w:rFonts w:hint="eastAsia" w:ascii="宋体" w:hAnsi="宋体" w:eastAsia="宋体" w:cs="宋体"/>
                <w:b w:val="0"/>
                <w:bCs w:val="0"/>
                <w:sz w:val="18"/>
                <w:szCs w:val="18"/>
                <w:u w:val="none"/>
              </w:rPr>
              <w:t>的，甲方有权解除合同</w:t>
            </w:r>
            <w:r>
              <w:rPr>
                <w:rFonts w:hint="eastAsia" w:ascii="宋体" w:hAnsi="宋体" w:eastAsia="宋体" w:cs="宋体"/>
                <w:b w:val="0"/>
                <w:bCs w:val="0"/>
                <w:sz w:val="18"/>
                <w:szCs w:val="18"/>
                <w:u w:val="none"/>
                <w:lang w:eastAsia="zh-CN"/>
              </w:rPr>
              <w:t>。</w:t>
            </w:r>
            <w:r>
              <w:rPr>
                <w:rFonts w:hint="eastAsia" w:ascii="宋体" w:hAnsi="宋体" w:eastAsia="宋体" w:cs="宋体"/>
                <w:b w:val="0"/>
                <w:bCs w:val="0"/>
                <w:sz w:val="18"/>
                <w:szCs w:val="18"/>
                <w:u w:val="none"/>
              </w:rPr>
              <w:t>甲方解除合同的，乙方应</w:t>
            </w:r>
            <w:r>
              <w:rPr>
                <w:rFonts w:hint="eastAsia" w:ascii="宋体" w:hAnsi="宋体" w:eastAsia="宋体" w:cs="宋体"/>
                <w:b w:val="0"/>
                <w:bCs w:val="0"/>
                <w:sz w:val="18"/>
                <w:szCs w:val="18"/>
                <w:u w:val="none"/>
                <w:lang w:val="en-US" w:eastAsia="zh-CN"/>
              </w:rPr>
              <w:t>退还甲方已支付费用，并</w:t>
            </w:r>
            <w:r>
              <w:rPr>
                <w:rFonts w:hint="eastAsia" w:ascii="宋体" w:hAnsi="宋体" w:eastAsia="宋体" w:cs="宋体"/>
                <w:b w:val="0"/>
                <w:bCs w:val="0"/>
                <w:sz w:val="18"/>
                <w:szCs w:val="18"/>
                <w:u w:val="none"/>
              </w:rPr>
              <w:t>向甲方支付</w:t>
            </w:r>
            <w:r>
              <w:rPr>
                <w:rFonts w:hint="eastAsia" w:ascii="宋体" w:hAnsi="宋体" w:eastAsia="宋体" w:cs="宋体"/>
                <w:b w:val="0"/>
                <w:bCs w:val="0"/>
                <w:sz w:val="18"/>
                <w:szCs w:val="18"/>
                <w:u w:val="single"/>
              </w:rPr>
              <w:t>合同总金额20%（可根据具体情况修改</w:t>
            </w:r>
            <w:r>
              <w:rPr>
                <w:rFonts w:hint="eastAsia" w:ascii="宋体" w:hAnsi="宋体" w:eastAsia="宋体" w:cs="宋体"/>
                <w:b w:val="0"/>
                <w:bCs w:val="0"/>
                <w:sz w:val="18"/>
                <w:szCs w:val="18"/>
                <w:u w:val="single"/>
                <w:lang w:eastAsia="zh-CN"/>
              </w:rPr>
              <w:t>，</w:t>
            </w:r>
            <w:r>
              <w:rPr>
                <w:rFonts w:hint="eastAsia" w:ascii="宋体" w:hAnsi="宋体" w:eastAsia="宋体" w:cs="宋体"/>
                <w:b w:val="0"/>
                <w:bCs w:val="0"/>
                <w:sz w:val="18"/>
                <w:szCs w:val="18"/>
                <w:u w:val="single"/>
                <w:lang w:val="en-US" w:eastAsia="zh-CN"/>
              </w:rPr>
              <w:t>但最多不超过30%</w:t>
            </w:r>
            <w:r>
              <w:rPr>
                <w:rFonts w:hint="eastAsia" w:ascii="宋体" w:hAnsi="宋体" w:eastAsia="宋体" w:cs="宋体"/>
                <w:b w:val="0"/>
                <w:bCs w:val="0"/>
                <w:sz w:val="18"/>
                <w:szCs w:val="18"/>
                <w:u w:val="single"/>
              </w:rPr>
              <w:t>）</w:t>
            </w:r>
            <w:r>
              <w:rPr>
                <w:rFonts w:hint="eastAsia" w:ascii="宋体" w:hAnsi="宋体" w:eastAsia="宋体" w:cs="宋体"/>
                <w:b w:val="0"/>
                <w:bCs w:val="0"/>
                <w:sz w:val="18"/>
                <w:szCs w:val="18"/>
                <w:u w:val="none"/>
              </w:rPr>
              <w:t>的违约金。违约金不足以弥补甲方损失的，乙方还应当补足甲方损失（包括但不限于甲方为实现权利而支付的律师费、诉讼费、保全费和保全保险费等）。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12.3款</w:t>
            </w:r>
          </w:p>
        </w:tc>
        <w:tc>
          <w:tcPr>
            <w:tcW w:w="1996" w:type="dxa"/>
            <w:tcBorders>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迟延支付的违约责任</w:t>
            </w:r>
          </w:p>
        </w:tc>
        <w:tc>
          <w:tcPr>
            <w:tcW w:w="4916" w:type="dxa"/>
            <w:tcBorders>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12.4款</w:t>
            </w:r>
          </w:p>
        </w:tc>
        <w:tc>
          <w:tcPr>
            <w:tcW w:w="1996" w:type="dxa"/>
            <w:tcBorders>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其他违约责任</w:t>
            </w:r>
          </w:p>
        </w:tc>
        <w:tc>
          <w:tcPr>
            <w:tcW w:w="4916" w:type="dxa"/>
            <w:tcBorders>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firstLine="360" w:firstLineChars="200"/>
              <w:jc w:val="left"/>
              <w:rPr>
                <w:rFonts w:hint="eastAsia" w:ascii="宋体" w:hAnsi="宋体" w:eastAsia="宋体" w:cs="宋体"/>
                <w:sz w:val="18"/>
                <w:szCs w:val="18"/>
                <w:u w:val="none"/>
                <w:lang w:val="en-US" w:eastAsia="zh-CN"/>
              </w:rPr>
            </w:pPr>
            <w:r>
              <w:rPr>
                <w:rFonts w:hint="eastAsia" w:ascii="宋体" w:hAnsi="宋体" w:eastAsia="宋体" w:cs="宋体"/>
                <w:sz w:val="18"/>
                <w:szCs w:val="18"/>
                <w:u w:val="none"/>
                <w:lang w:val="en-US" w:eastAsia="zh-CN"/>
              </w:rPr>
              <w:t>乙方存在下列情形之一的，甲方有权单方解除合同，</w:t>
            </w:r>
            <w:r>
              <w:rPr>
                <w:rFonts w:hint="eastAsia" w:ascii="宋体" w:hAnsi="宋体" w:eastAsia="宋体" w:cs="宋体"/>
                <w:b w:val="0"/>
                <w:bCs w:val="0"/>
                <w:sz w:val="18"/>
                <w:szCs w:val="18"/>
                <w:u w:val="none"/>
              </w:rPr>
              <w:t>乙方应</w:t>
            </w:r>
            <w:r>
              <w:rPr>
                <w:rFonts w:hint="eastAsia" w:ascii="宋体" w:hAnsi="宋体" w:eastAsia="宋体" w:cs="宋体"/>
                <w:b w:val="0"/>
                <w:bCs w:val="0"/>
                <w:sz w:val="18"/>
                <w:szCs w:val="18"/>
                <w:u w:val="none"/>
                <w:lang w:val="en-US" w:eastAsia="zh-CN"/>
              </w:rPr>
              <w:t>退还甲方已支付费用，并</w:t>
            </w:r>
            <w:r>
              <w:rPr>
                <w:rFonts w:hint="eastAsia" w:ascii="宋体" w:hAnsi="宋体" w:eastAsia="宋体" w:cs="宋体"/>
                <w:sz w:val="18"/>
                <w:szCs w:val="18"/>
                <w:u w:val="none"/>
                <w:lang w:val="en-US" w:eastAsia="zh-CN"/>
              </w:rPr>
              <w:t>向甲方支付</w:t>
            </w:r>
            <w:r>
              <w:rPr>
                <w:rFonts w:hint="eastAsia" w:ascii="宋体" w:hAnsi="宋体" w:eastAsia="宋体" w:cs="宋体"/>
                <w:sz w:val="18"/>
                <w:szCs w:val="18"/>
                <w:u w:val="single"/>
                <w:lang w:val="en-US" w:eastAsia="zh-CN"/>
              </w:rPr>
              <w:t>合同总金额20%（可根据具体情况修改，但最多不超过30%）</w:t>
            </w:r>
            <w:r>
              <w:rPr>
                <w:rFonts w:hint="eastAsia" w:ascii="宋体" w:hAnsi="宋体" w:eastAsia="宋体" w:cs="宋体"/>
                <w:sz w:val="18"/>
                <w:szCs w:val="18"/>
                <w:u w:val="none"/>
                <w:lang w:val="en-US" w:eastAsia="zh-CN"/>
              </w:rPr>
              <w:t>的违约金。</w:t>
            </w:r>
            <w:r>
              <w:rPr>
                <w:rFonts w:hint="eastAsia" w:ascii="宋体" w:hAnsi="宋体" w:eastAsia="宋体" w:cs="宋体"/>
                <w:b w:val="0"/>
                <w:bCs w:val="0"/>
                <w:sz w:val="18"/>
                <w:szCs w:val="18"/>
                <w:u w:val="none"/>
              </w:rPr>
              <w:t>违约金不足以弥补甲方损失的，乙方还应当补足甲方损失（包括但不限于甲方为实现权利而支付的律师费、诉讼费、保全费和保全保险费等）</w:t>
            </w:r>
            <w:r>
              <w:rPr>
                <w:rFonts w:hint="eastAsia" w:ascii="宋体" w:hAnsi="宋体" w:eastAsia="宋体" w:cs="宋体"/>
                <w:sz w:val="18"/>
                <w:szCs w:val="18"/>
                <w:u w:val="none"/>
                <w:lang w:val="en-US" w:eastAsia="zh-CN"/>
              </w:rPr>
              <w:t>：</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none"/>
              </w:rPr>
            </w:pPr>
            <w:r>
              <w:rPr>
                <w:rFonts w:hint="eastAsia" w:ascii="宋体" w:hAnsi="宋体" w:eastAsia="宋体" w:cs="宋体"/>
                <w:sz w:val="18"/>
                <w:szCs w:val="18"/>
                <w:u w:val="none"/>
                <w:lang w:val="en-US" w:eastAsia="zh-CN"/>
              </w:rPr>
              <w:t>（1）</w:t>
            </w:r>
            <w:r>
              <w:rPr>
                <w:rFonts w:hint="eastAsia" w:ascii="宋体" w:hAnsi="宋体" w:eastAsia="宋体" w:cs="宋体"/>
                <w:sz w:val="18"/>
                <w:szCs w:val="18"/>
                <w:u w:val="none"/>
              </w:rPr>
              <w:t>乙方提供的备品备件存在质量问题造成财产、人身安全事故；</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none"/>
              </w:rPr>
            </w:pPr>
            <w:r>
              <w:rPr>
                <w:rFonts w:hint="eastAsia" w:ascii="宋体" w:hAnsi="宋体" w:eastAsia="宋体" w:cs="宋体"/>
                <w:sz w:val="18"/>
                <w:szCs w:val="18"/>
                <w:u w:val="none"/>
                <w:lang w:val="en-US" w:eastAsia="zh-CN"/>
              </w:rPr>
              <w:t>（2）</w:t>
            </w:r>
            <w:r>
              <w:rPr>
                <w:rFonts w:hint="eastAsia" w:ascii="宋体" w:hAnsi="宋体" w:eastAsia="宋体" w:cs="宋体"/>
                <w:sz w:val="18"/>
                <w:szCs w:val="18"/>
                <w:u w:val="none"/>
              </w:rPr>
              <w:t>因乙方</w:t>
            </w:r>
            <w:r>
              <w:rPr>
                <w:rFonts w:hint="eastAsia" w:ascii="宋体" w:hAnsi="宋体" w:eastAsia="宋体" w:cs="宋体"/>
                <w:sz w:val="18"/>
                <w:szCs w:val="18"/>
                <w:u w:val="none"/>
                <w:lang w:val="en-US" w:eastAsia="zh-CN"/>
              </w:rPr>
              <w:t>提供服务</w:t>
            </w:r>
            <w:r>
              <w:rPr>
                <w:rFonts w:hint="eastAsia" w:ascii="宋体" w:hAnsi="宋体" w:eastAsia="宋体" w:cs="宋体"/>
                <w:sz w:val="18"/>
                <w:szCs w:val="18"/>
                <w:u w:val="none"/>
              </w:rPr>
              <w:t>造成</w:t>
            </w:r>
            <w:r>
              <w:rPr>
                <w:rFonts w:hint="eastAsia" w:ascii="宋体" w:hAnsi="宋体" w:eastAsia="宋体" w:cs="宋体"/>
                <w:sz w:val="18"/>
                <w:szCs w:val="18"/>
                <w:u w:val="none"/>
                <w:lang w:val="en-US" w:eastAsia="zh-CN"/>
              </w:rPr>
              <w:t>甲方及甲方人员、第三方</w:t>
            </w:r>
            <w:r>
              <w:rPr>
                <w:rFonts w:hint="eastAsia" w:ascii="宋体" w:hAnsi="宋体" w:eastAsia="宋体" w:cs="宋体"/>
                <w:sz w:val="18"/>
                <w:szCs w:val="18"/>
                <w:u w:val="none"/>
              </w:rPr>
              <w:t>财产、人身安全事故；</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none"/>
              </w:rPr>
            </w:pPr>
            <w:r>
              <w:rPr>
                <w:rFonts w:hint="eastAsia" w:ascii="宋体" w:hAnsi="宋体" w:eastAsia="宋体" w:cs="宋体"/>
                <w:sz w:val="18"/>
                <w:szCs w:val="18"/>
                <w:u w:val="none"/>
                <w:lang w:val="en-US" w:eastAsia="zh-CN"/>
              </w:rPr>
              <w:t>（3）</w:t>
            </w:r>
            <w:r>
              <w:rPr>
                <w:rFonts w:hint="eastAsia" w:ascii="宋体" w:hAnsi="宋体" w:eastAsia="宋体" w:cs="宋体"/>
                <w:sz w:val="18"/>
                <w:szCs w:val="18"/>
                <w:u w:val="none"/>
              </w:rPr>
              <w:t>乙方或乙方服务人员违反本合同保密条款的约定；</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none"/>
              </w:rPr>
            </w:pPr>
            <w:r>
              <w:rPr>
                <w:rFonts w:hint="eastAsia" w:ascii="宋体" w:hAnsi="宋体" w:eastAsia="宋体" w:cs="宋体"/>
                <w:sz w:val="18"/>
                <w:szCs w:val="18"/>
                <w:u w:val="none"/>
                <w:lang w:val="en-US" w:eastAsia="zh-CN"/>
              </w:rPr>
              <w:t>（4）</w:t>
            </w:r>
            <w:r>
              <w:rPr>
                <w:rFonts w:hint="eastAsia" w:ascii="宋体" w:hAnsi="宋体" w:eastAsia="宋体" w:cs="宋体"/>
                <w:sz w:val="18"/>
                <w:szCs w:val="18"/>
                <w:u w:val="none"/>
              </w:rPr>
              <w:t>乙方将本合同部分或全部义务转让给第三方；</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none"/>
              </w:rPr>
            </w:pPr>
            <w:r>
              <w:rPr>
                <w:rFonts w:hint="eastAsia" w:ascii="宋体" w:hAnsi="宋体" w:eastAsia="宋体" w:cs="宋体"/>
                <w:sz w:val="18"/>
                <w:szCs w:val="18"/>
                <w:u w:val="none"/>
                <w:lang w:val="en-US" w:eastAsia="zh-CN"/>
              </w:rPr>
              <w:t>（5）</w:t>
            </w:r>
            <w:r>
              <w:rPr>
                <w:rFonts w:hint="eastAsia" w:ascii="宋体" w:hAnsi="宋体" w:eastAsia="宋体" w:cs="宋体"/>
                <w:sz w:val="18"/>
                <w:szCs w:val="18"/>
                <w:u w:val="none"/>
              </w:rPr>
              <w:t>乙方存在其他违约行为导致本合同根本目的无法实现。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16.2款</w:t>
            </w:r>
          </w:p>
        </w:tc>
        <w:tc>
          <w:tcPr>
            <w:tcW w:w="1996" w:type="dxa"/>
            <w:tcBorders>
              <w:top w:val="single" w:color="auto" w:sz="2" w:space="0"/>
              <w:left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lang w:val="en-US" w:eastAsia="zh-CN"/>
              </w:rPr>
              <w:t>解决争议的方法</w:t>
            </w:r>
          </w:p>
        </w:tc>
        <w:tc>
          <w:tcPr>
            <w:tcW w:w="4916" w:type="dxa"/>
            <w:tcBorders>
              <w:top w:val="single" w:color="auto" w:sz="2" w:space="0"/>
              <w:lef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left"/>
              <w:rPr>
                <w:rFonts w:hint="eastAsia" w:ascii="宋体" w:hAnsi="宋体" w:eastAsia="宋体" w:cs="宋体"/>
                <w:sz w:val="18"/>
                <w:szCs w:val="18"/>
                <w:u w:val="single"/>
              </w:rPr>
            </w:pPr>
            <w:r>
              <w:rPr>
                <w:rFonts w:hint="eastAsia" w:ascii="宋体" w:hAnsi="宋体" w:eastAsia="宋体" w:cs="宋体"/>
                <w:b w:val="0"/>
                <w:bCs w:val="0"/>
                <w:iCs/>
                <w:sz w:val="18"/>
                <w:szCs w:val="18"/>
              </w:rPr>
              <w:t>因本合同及合同有关事项发生的争议，</w:t>
            </w:r>
            <w:r>
              <w:rPr>
                <w:rFonts w:hint="eastAsia" w:ascii="宋体" w:hAnsi="宋体" w:eastAsia="宋体" w:cs="宋体"/>
                <w:b w:val="0"/>
                <w:bCs w:val="0"/>
                <w:iCs/>
                <w:sz w:val="18"/>
                <w:szCs w:val="18"/>
                <w:u w:val="none"/>
                <w:lang w:val="en-US"/>
              </w:rPr>
              <w:t>双方任何一方均可</w:t>
            </w:r>
            <w:r>
              <w:rPr>
                <w:rFonts w:hint="eastAsia" w:ascii="宋体" w:hAnsi="宋体" w:eastAsia="宋体" w:cs="宋体"/>
                <w:b w:val="0"/>
                <w:bCs w:val="0"/>
                <w:iCs/>
                <w:sz w:val="18"/>
                <w:szCs w:val="18"/>
              </w:rPr>
              <w:t>向</w:t>
            </w:r>
            <w:r>
              <w:rPr>
                <w:rFonts w:hint="eastAsia" w:ascii="宋体" w:hAnsi="宋体" w:eastAsia="宋体" w:cs="宋体"/>
                <w:b w:val="0"/>
                <w:bCs w:val="0"/>
                <w:iCs/>
                <w:sz w:val="18"/>
                <w:szCs w:val="18"/>
                <w:u w:val="single"/>
              </w:rPr>
              <w:t xml:space="preserve">  </w:t>
            </w:r>
            <w:r>
              <w:rPr>
                <w:rFonts w:hint="eastAsia" w:ascii="宋体" w:hAnsi="宋体" w:eastAsia="宋体" w:cs="宋体"/>
                <w:b w:val="0"/>
                <w:bCs w:val="0"/>
                <w:iCs/>
                <w:sz w:val="18"/>
                <w:szCs w:val="18"/>
                <w:u w:val="single"/>
                <w:lang w:val="en-US" w:eastAsia="zh-CN"/>
              </w:rPr>
              <w:t xml:space="preserve">甲方所在地 </w:t>
            </w:r>
            <w:r>
              <w:rPr>
                <w:rFonts w:hint="eastAsia" w:ascii="宋体" w:hAnsi="宋体" w:eastAsia="宋体" w:cs="宋体"/>
                <w:b w:val="0"/>
                <w:bCs w:val="0"/>
                <w:iCs/>
                <w:sz w:val="18"/>
                <w:szCs w:val="18"/>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20</w:t>
            </w:r>
            <w:r>
              <w:rPr>
                <w:rFonts w:hint="eastAsia" w:ascii="宋体" w:hAnsi="宋体" w:eastAsia="宋体" w:cs="宋体"/>
                <w:sz w:val="18"/>
                <w:szCs w:val="18"/>
                <w:lang w:eastAsia="zh-CN"/>
              </w:rPr>
              <w:t>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Cs/>
                <w:color w:val="auto"/>
                <w:sz w:val="18"/>
                <w:szCs w:val="18"/>
                <w:highlight w:val="none"/>
                <w:lang w:eastAsia="zh-CN"/>
              </w:rPr>
              <w:t>其他专用条款</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p>
        </w:tc>
      </w:tr>
    </w:tbl>
    <w:p>
      <w:pPr>
        <w:rPr>
          <w:rFonts w:hint="eastAsia" w:ascii="宋体" w:hAnsi="宋体" w:eastAsia="宋体" w:cs="宋体"/>
          <w:sz w:val="18"/>
          <w:szCs w:val="21"/>
          <w:highlight w:val="none"/>
        </w:rPr>
      </w:pPr>
    </w:p>
    <w:p>
      <w:r>
        <w:rPr>
          <w:rFonts w:hint="eastAsia" w:ascii="宋体" w:hAnsi="宋体" w:eastAsia="宋体" w:cs="宋体"/>
          <w:sz w:val="18"/>
          <w:szCs w:val="21"/>
          <w:highlight w:val="none"/>
          <w:lang w:val="en-US" w:eastAsia="zh-CN"/>
        </w:rPr>
        <w:t>注：除已填写条款外，其他条款需根据实际情况填写</w:t>
      </w:r>
    </w:p>
    <w:p/>
    <w:p>
      <w:pPr>
        <w:rPr>
          <w:rFonts w:hint="eastAsia"/>
          <w:lang w:val="en-US" w:eastAsia="zh-CN"/>
        </w:rPr>
      </w:pPr>
    </w:p>
    <w:p>
      <w:pPr>
        <w:keepNext w:val="0"/>
        <w:keepLines w:val="0"/>
        <w:pageBreakBefore w:val="0"/>
        <w:widowControl w:val="0"/>
        <w:tabs>
          <w:tab w:val="left" w:pos="7088"/>
        </w:tabs>
        <w:kinsoku/>
        <w:wordWrap/>
        <w:overflowPunct/>
        <w:topLinePunct w:val="0"/>
        <w:autoSpaceDE/>
        <w:autoSpaceDN/>
        <w:bidi w:val="0"/>
        <w:adjustRightInd/>
        <w:snapToGrid/>
        <w:spacing w:line="436" w:lineRule="exact"/>
        <w:ind w:firstLine="411" w:firstLineChars="196"/>
        <w:jc w:val="left"/>
        <w:textAlignment w:val="auto"/>
        <w:rPr>
          <w:rFonts w:hint="eastAsia" w:ascii="宋体" w:hAnsi="宋体" w:eastAsia="宋体" w:cs="宋体"/>
          <w:sz w:val="21"/>
          <w:szCs w:val="21"/>
          <w:highlight w:val="none"/>
        </w:rPr>
      </w:pPr>
    </w:p>
    <w:p>
      <w:pPr>
        <w:keepNext w:val="0"/>
        <w:keepLines w:val="0"/>
        <w:pageBreakBefore w:val="0"/>
        <w:widowControl w:val="0"/>
        <w:tabs>
          <w:tab w:val="left" w:pos="7088"/>
        </w:tabs>
        <w:kinsoku/>
        <w:wordWrap/>
        <w:overflowPunct/>
        <w:topLinePunct w:val="0"/>
        <w:autoSpaceDE/>
        <w:autoSpaceDN/>
        <w:bidi w:val="0"/>
        <w:adjustRightInd/>
        <w:snapToGrid/>
        <w:spacing w:line="436" w:lineRule="exact"/>
        <w:ind w:firstLine="411" w:firstLineChars="196"/>
        <w:jc w:val="left"/>
        <w:textAlignment w:val="auto"/>
        <w:rPr>
          <w:rFonts w:hint="eastAsia" w:ascii="宋体" w:hAnsi="宋体" w:eastAsia="宋体" w:cs="宋体"/>
          <w:sz w:val="21"/>
          <w:szCs w:val="21"/>
          <w:highlight w:val="none"/>
        </w:rPr>
      </w:pPr>
    </w:p>
    <w:p>
      <w:pPr>
        <w:overflowPunct w:val="0"/>
        <w:topLinePunct/>
        <w:autoSpaceDN w:val="0"/>
        <w:adjustRightInd w:val="0"/>
        <w:snapToGrid w:val="0"/>
        <w:spacing w:line="360" w:lineRule="auto"/>
        <w:jc w:val="center"/>
        <w:outlineLvl w:val="0"/>
        <w:rPr>
          <w:b/>
          <w:kern w:val="0"/>
          <w:sz w:val="28"/>
          <w:szCs w:val="28"/>
          <w:highlight w:val="none"/>
        </w:rPr>
      </w:pPr>
      <w:r>
        <w:rPr>
          <w:b/>
          <w:bCs/>
          <w:kern w:val="0"/>
          <w:sz w:val="24"/>
          <w:highlight w:val="none"/>
        </w:rPr>
        <w:br w:type="page"/>
      </w:r>
      <w:bookmarkStart w:id="40" w:name="_Toc10930"/>
      <w:r>
        <w:rPr>
          <w:b/>
          <w:bCs/>
          <w:snapToGrid w:val="0"/>
          <w:kern w:val="0"/>
          <w:sz w:val="30"/>
          <w:szCs w:val="30"/>
          <w:highlight w:val="none"/>
        </w:rPr>
        <w:t>第七部分  响应文件格式</w:t>
      </w:r>
      <w:bookmarkEnd w:id="40"/>
    </w:p>
    <w:p>
      <w:pPr>
        <w:snapToGrid w:val="0"/>
        <w:spacing w:line="360" w:lineRule="auto"/>
        <w:jc w:val="left"/>
        <w:rPr>
          <w:kern w:val="0"/>
          <w:sz w:val="28"/>
          <w:highlight w:val="none"/>
        </w:rPr>
      </w:pPr>
    </w:p>
    <w:p>
      <w:pPr>
        <w:tabs>
          <w:tab w:val="left" w:pos="-737"/>
        </w:tabs>
        <w:snapToGrid w:val="0"/>
        <w:spacing w:line="360" w:lineRule="auto"/>
        <w:ind w:firstLine="180"/>
        <w:jc w:val="left"/>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一、供应商提交响应文件须知</w:t>
      </w:r>
    </w:p>
    <w:p>
      <w:pPr>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应严格按照以下顺序填写，并按“政采云系统”中规定的要求，形成独立的PDF格式文件提交下述规定的全部格式文件以及其他有关资料，混乱的编排导致响应文件被误读或查找不到，后果由供应商承担。</w:t>
      </w:r>
    </w:p>
    <w:p>
      <w:pPr>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2．所附表格中要求回答的全部问题和信息都必须正面回答。</w:t>
      </w:r>
    </w:p>
    <w:p>
      <w:pPr>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3．本声明的签字人应保证全部声明和问题的回答是真实的和准确的。</w:t>
      </w:r>
    </w:p>
    <w:p>
      <w:pPr>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4．磋商小组将对供应商提交的资料并根据自己的判断，判定供应商履行合同的合格性及能力。</w:t>
      </w:r>
    </w:p>
    <w:p>
      <w:pPr>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5．供应商提交的材料将被妥善保存，但不退还。</w:t>
      </w:r>
    </w:p>
    <w:p>
      <w:pPr>
        <w:tabs>
          <w:tab w:val="left" w:pos="0"/>
        </w:tabs>
        <w:snapToGrid w:val="0"/>
        <w:spacing w:line="360" w:lineRule="auto"/>
        <w:ind w:firstLine="624"/>
        <w:jc w:val="left"/>
        <w:rPr>
          <w:kern w:val="0"/>
          <w:sz w:val="24"/>
          <w:highlight w:val="none"/>
        </w:rPr>
      </w:pPr>
      <w:r>
        <w:rPr>
          <w:rFonts w:hint="eastAsia" w:ascii="宋体" w:hAnsi="宋体" w:eastAsia="宋体" w:cs="宋体"/>
          <w:kern w:val="0"/>
          <w:sz w:val="24"/>
          <w:szCs w:val="24"/>
          <w:highlight w:val="none"/>
        </w:rPr>
        <w:t>6．全部文件应按供应商须知中规定的语言和要求提交</w:t>
      </w:r>
      <w:r>
        <w:rPr>
          <w:kern w:val="0"/>
          <w:szCs w:val="21"/>
          <w:highlight w:val="none"/>
        </w:rPr>
        <w:t>。</w:t>
      </w:r>
    </w:p>
    <w:p>
      <w:pPr>
        <w:ind w:right="-13" w:rightChars="-6"/>
        <w:rPr>
          <w:b/>
          <w:bCs/>
          <w:kern w:val="0"/>
          <w:sz w:val="32"/>
          <w:szCs w:val="32"/>
          <w:highlight w:val="none"/>
        </w:rPr>
      </w:pPr>
    </w:p>
    <w:p>
      <w:pPr>
        <w:ind w:right="-13" w:rightChars="-6"/>
        <w:rPr>
          <w:b/>
          <w:bCs/>
          <w:kern w:val="0"/>
          <w:sz w:val="32"/>
          <w:szCs w:val="32"/>
          <w:highlight w:val="none"/>
        </w:rPr>
      </w:pPr>
    </w:p>
    <w:p>
      <w:pPr>
        <w:pStyle w:val="25"/>
        <w:rPr>
          <w:kern w:val="0"/>
          <w:sz w:val="28"/>
          <w:highlight w:val="none"/>
        </w:rPr>
      </w:pPr>
      <w:r>
        <w:rPr>
          <w:rFonts w:ascii="Times New Roman" w:hAnsi="Times New Roman"/>
          <w:sz w:val="28"/>
          <w:highlight w:val="none"/>
        </w:rPr>
        <w:br w:type="page"/>
      </w:r>
      <w:r>
        <w:rPr>
          <w:kern w:val="0"/>
          <w:sz w:val="28"/>
          <w:highlight w:val="none"/>
        </w:rPr>
        <w:t>响应文件封面格式</w:t>
      </w:r>
    </w:p>
    <w:p>
      <w:pPr>
        <w:snapToGrid w:val="0"/>
        <w:spacing w:line="360" w:lineRule="auto"/>
        <w:jc w:val="right"/>
        <w:rPr>
          <w:kern w:val="0"/>
          <w:sz w:val="28"/>
          <w:szCs w:val="32"/>
          <w:highlight w:val="none"/>
        </w:rPr>
      </w:pPr>
    </w:p>
    <w:p>
      <w:pPr>
        <w:snapToGrid w:val="0"/>
        <w:spacing w:line="360" w:lineRule="auto"/>
        <w:jc w:val="right"/>
        <w:rPr>
          <w:kern w:val="0"/>
          <w:sz w:val="28"/>
          <w:szCs w:val="32"/>
          <w:highlight w:val="none"/>
        </w:rPr>
      </w:pPr>
      <w:r>
        <w:rPr>
          <w:kern w:val="0"/>
          <w:sz w:val="28"/>
          <w:szCs w:val="32"/>
          <w:highlight w:val="none"/>
        </w:rPr>
        <w:t>（正</w:t>
      </w:r>
      <w:r>
        <w:rPr>
          <w:kern w:val="0"/>
          <w:sz w:val="28"/>
          <w:szCs w:val="36"/>
          <w:highlight w:val="none"/>
        </w:rPr>
        <w:t>/</w:t>
      </w:r>
      <w:r>
        <w:rPr>
          <w:kern w:val="0"/>
          <w:sz w:val="28"/>
          <w:szCs w:val="32"/>
          <w:highlight w:val="none"/>
        </w:rPr>
        <w:t>副）本</w:t>
      </w:r>
    </w:p>
    <w:p>
      <w:pPr>
        <w:snapToGrid w:val="0"/>
        <w:spacing w:line="360" w:lineRule="auto"/>
        <w:jc w:val="right"/>
        <w:rPr>
          <w:kern w:val="0"/>
          <w:sz w:val="28"/>
          <w:szCs w:val="32"/>
          <w:highlight w:val="none"/>
        </w:rPr>
      </w:pPr>
    </w:p>
    <w:p>
      <w:pPr>
        <w:snapToGrid w:val="0"/>
        <w:spacing w:line="360" w:lineRule="auto"/>
        <w:jc w:val="center"/>
        <w:rPr>
          <w:b/>
          <w:kern w:val="0"/>
          <w:sz w:val="72"/>
          <w:szCs w:val="72"/>
          <w:highlight w:val="none"/>
        </w:rPr>
      </w:pPr>
      <w:r>
        <w:rPr>
          <w:b/>
          <w:kern w:val="0"/>
          <w:sz w:val="72"/>
          <w:szCs w:val="72"/>
          <w:highlight w:val="none"/>
        </w:rPr>
        <w:t>响  应  文  件</w:t>
      </w:r>
    </w:p>
    <w:p>
      <w:pPr>
        <w:snapToGrid w:val="0"/>
        <w:spacing w:line="360" w:lineRule="auto"/>
        <w:jc w:val="center"/>
        <w:rPr>
          <w:b/>
          <w:kern w:val="0"/>
          <w:sz w:val="44"/>
          <w:szCs w:val="44"/>
          <w:highlight w:val="none"/>
        </w:rPr>
      </w:pPr>
    </w:p>
    <w:p>
      <w:pPr>
        <w:snapToGrid w:val="0"/>
        <w:spacing w:line="360" w:lineRule="auto"/>
        <w:ind w:firstLine="560" w:firstLineChars="200"/>
        <w:jc w:val="left"/>
        <w:rPr>
          <w:kern w:val="0"/>
          <w:sz w:val="28"/>
          <w:szCs w:val="30"/>
          <w:highlight w:val="none"/>
        </w:rPr>
      </w:pPr>
    </w:p>
    <w:p>
      <w:pPr>
        <w:snapToGrid w:val="0"/>
        <w:spacing w:line="360" w:lineRule="auto"/>
        <w:ind w:firstLine="560" w:firstLineChars="200"/>
        <w:jc w:val="left"/>
        <w:rPr>
          <w:kern w:val="0"/>
          <w:sz w:val="28"/>
          <w:szCs w:val="30"/>
          <w:highlight w:val="none"/>
        </w:rPr>
      </w:pPr>
      <w:r>
        <w:rPr>
          <w:kern w:val="0"/>
          <w:sz w:val="28"/>
          <w:szCs w:val="30"/>
          <w:highlight w:val="none"/>
        </w:rPr>
        <w:t>项目名称：</w:t>
      </w:r>
    </w:p>
    <w:p>
      <w:pPr>
        <w:snapToGrid w:val="0"/>
        <w:spacing w:line="360" w:lineRule="auto"/>
        <w:ind w:firstLine="560" w:firstLineChars="200"/>
        <w:jc w:val="left"/>
        <w:rPr>
          <w:kern w:val="0"/>
          <w:sz w:val="28"/>
          <w:szCs w:val="30"/>
          <w:highlight w:val="none"/>
        </w:rPr>
      </w:pPr>
      <w:r>
        <w:rPr>
          <w:kern w:val="0"/>
          <w:sz w:val="28"/>
          <w:szCs w:val="30"/>
          <w:highlight w:val="none"/>
        </w:rPr>
        <w:t>项目编号：</w:t>
      </w:r>
    </w:p>
    <w:p>
      <w:pPr>
        <w:snapToGrid w:val="0"/>
        <w:spacing w:line="360" w:lineRule="auto"/>
        <w:jc w:val="center"/>
        <w:rPr>
          <w:kern w:val="0"/>
          <w:sz w:val="28"/>
          <w:szCs w:val="30"/>
          <w:highlight w:val="none"/>
        </w:rPr>
      </w:pPr>
    </w:p>
    <w:p>
      <w:pPr>
        <w:pStyle w:val="40"/>
        <w:rPr>
          <w:rFonts w:ascii="Times New Roman" w:hAnsi="Times New Roman"/>
          <w:highlight w:val="none"/>
        </w:rPr>
      </w:pPr>
    </w:p>
    <w:p>
      <w:pPr>
        <w:pStyle w:val="40"/>
        <w:rPr>
          <w:rFonts w:ascii="Times New Roman" w:hAnsi="Times New Roman"/>
          <w:highlight w:val="none"/>
        </w:rPr>
      </w:pPr>
    </w:p>
    <w:p>
      <w:pPr>
        <w:snapToGrid w:val="0"/>
        <w:spacing w:line="360" w:lineRule="auto"/>
        <w:jc w:val="center"/>
        <w:rPr>
          <w:b/>
          <w:kern w:val="0"/>
          <w:sz w:val="28"/>
          <w:szCs w:val="44"/>
          <w:highlight w:val="none"/>
        </w:rPr>
      </w:pPr>
    </w:p>
    <w:p>
      <w:pPr>
        <w:snapToGrid w:val="0"/>
        <w:spacing w:line="360" w:lineRule="auto"/>
        <w:jc w:val="left"/>
        <w:rPr>
          <w:kern w:val="0"/>
          <w:sz w:val="28"/>
          <w:highlight w:val="none"/>
        </w:rPr>
      </w:pPr>
    </w:p>
    <w:p>
      <w:pPr>
        <w:snapToGrid w:val="0"/>
        <w:spacing w:line="360" w:lineRule="auto"/>
        <w:jc w:val="left"/>
        <w:rPr>
          <w:kern w:val="0"/>
          <w:sz w:val="28"/>
          <w:highlight w:val="none"/>
        </w:rPr>
      </w:pPr>
    </w:p>
    <w:p>
      <w:pPr>
        <w:snapToGrid w:val="0"/>
        <w:spacing w:line="360" w:lineRule="auto"/>
        <w:jc w:val="left"/>
        <w:rPr>
          <w:kern w:val="0"/>
          <w:sz w:val="28"/>
          <w:highlight w:val="none"/>
        </w:rPr>
      </w:pPr>
    </w:p>
    <w:p>
      <w:pPr>
        <w:snapToGrid w:val="0"/>
        <w:spacing w:line="360" w:lineRule="auto"/>
        <w:jc w:val="left"/>
        <w:rPr>
          <w:kern w:val="0"/>
          <w:sz w:val="28"/>
          <w:highlight w:val="none"/>
        </w:rPr>
      </w:pPr>
    </w:p>
    <w:p>
      <w:pPr>
        <w:snapToGrid w:val="0"/>
        <w:spacing w:line="360" w:lineRule="auto"/>
        <w:rPr>
          <w:kern w:val="0"/>
          <w:sz w:val="30"/>
          <w:szCs w:val="30"/>
          <w:highlight w:val="none"/>
          <w:u w:val="single"/>
        </w:rPr>
      </w:pPr>
      <w:r>
        <w:rPr>
          <w:kern w:val="0"/>
          <w:sz w:val="28"/>
          <w:szCs w:val="32"/>
          <w:highlight w:val="none"/>
        </w:rPr>
        <w:t xml:space="preserve">           </w:t>
      </w:r>
      <w:r>
        <w:rPr>
          <w:kern w:val="0"/>
          <w:sz w:val="30"/>
          <w:szCs w:val="30"/>
          <w:highlight w:val="none"/>
        </w:rPr>
        <w:t xml:space="preserve">供应商全称： </w:t>
      </w:r>
      <w:r>
        <w:rPr>
          <w:kern w:val="0"/>
          <w:sz w:val="30"/>
          <w:szCs w:val="30"/>
          <w:highlight w:val="none"/>
          <w:u w:val="single"/>
        </w:rPr>
        <w:t xml:space="preserve">               </w:t>
      </w:r>
      <w:r>
        <w:rPr>
          <w:kern w:val="0"/>
          <w:sz w:val="30"/>
          <w:szCs w:val="30"/>
          <w:highlight w:val="none"/>
        </w:rPr>
        <w:t>（盖章）</w:t>
      </w:r>
    </w:p>
    <w:p>
      <w:pPr>
        <w:snapToGrid w:val="0"/>
        <w:spacing w:line="360" w:lineRule="auto"/>
        <w:rPr>
          <w:kern w:val="0"/>
          <w:sz w:val="30"/>
          <w:szCs w:val="30"/>
          <w:highlight w:val="none"/>
          <w:u w:val="single"/>
        </w:rPr>
      </w:pPr>
      <w:r>
        <w:rPr>
          <w:kern w:val="0"/>
          <w:sz w:val="30"/>
          <w:szCs w:val="30"/>
          <w:highlight w:val="none"/>
        </w:rPr>
        <w:t>法定代表人</w:t>
      </w:r>
      <w:r>
        <w:rPr>
          <w:rFonts w:hint="eastAsia"/>
          <w:kern w:val="0"/>
          <w:sz w:val="30"/>
          <w:szCs w:val="30"/>
          <w:highlight w:val="none"/>
          <w:lang w:eastAsia="zh-CN"/>
        </w:rPr>
        <w:t>（负责人）</w:t>
      </w:r>
      <w:r>
        <w:rPr>
          <w:kern w:val="0"/>
          <w:sz w:val="30"/>
          <w:szCs w:val="30"/>
          <w:highlight w:val="none"/>
        </w:rPr>
        <w:t>或授权代表：</w:t>
      </w:r>
      <w:r>
        <w:rPr>
          <w:kern w:val="0"/>
          <w:sz w:val="30"/>
          <w:szCs w:val="30"/>
          <w:highlight w:val="none"/>
          <w:u w:val="single"/>
        </w:rPr>
        <w:t xml:space="preserve">            </w:t>
      </w:r>
      <w:r>
        <w:rPr>
          <w:kern w:val="0"/>
          <w:sz w:val="30"/>
          <w:szCs w:val="30"/>
          <w:highlight w:val="none"/>
        </w:rPr>
        <w:t>（签字或盖章）</w:t>
      </w:r>
    </w:p>
    <w:p>
      <w:pPr>
        <w:snapToGrid w:val="0"/>
        <w:spacing w:line="360" w:lineRule="auto"/>
        <w:rPr>
          <w:kern w:val="0"/>
          <w:sz w:val="30"/>
          <w:szCs w:val="30"/>
          <w:highlight w:val="none"/>
          <w:u w:val="single"/>
        </w:rPr>
      </w:pPr>
    </w:p>
    <w:p>
      <w:pPr>
        <w:pStyle w:val="40"/>
        <w:rPr>
          <w:rFonts w:ascii="Times New Roman" w:hAnsi="Times New Roman"/>
          <w:sz w:val="30"/>
          <w:szCs w:val="30"/>
          <w:highlight w:val="none"/>
          <w:u w:val="single"/>
        </w:rPr>
      </w:pPr>
    </w:p>
    <w:p>
      <w:pPr>
        <w:snapToGrid w:val="0"/>
        <w:spacing w:line="360" w:lineRule="auto"/>
        <w:jc w:val="center"/>
        <w:rPr>
          <w:kern w:val="0"/>
          <w:sz w:val="30"/>
          <w:szCs w:val="30"/>
          <w:highlight w:val="none"/>
        </w:rPr>
      </w:pPr>
      <w:r>
        <w:rPr>
          <w:kern w:val="0"/>
          <w:sz w:val="30"/>
          <w:szCs w:val="30"/>
          <w:highlight w:val="none"/>
        </w:rPr>
        <w:t>二〇   年   月   日</w:t>
      </w:r>
    </w:p>
    <w:bookmarkEnd w:id="0"/>
    <w:bookmarkEnd w:id="2"/>
    <w:p>
      <w:pPr>
        <w:spacing w:line="360" w:lineRule="auto"/>
        <w:jc w:val="center"/>
        <w:outlineLvl w:val="1"/>
        <w:rPr>
          <w:rFonts w:hint="default" w:ascii="Times New Roman" w:hAnsi="Times New Roman" w:cs="Times New Roman"/>
          <w:b/>
          <w:bCs/>
          <w:sz w:val="36"/>
          <w:szCs w:val="36"/>
          <w:highlight w:val="none"/>
        </w:rPr>
      </w:pPr>
      <w:r>
        <w:rPr>
          <w:bCs/>
          <w:sz w:val="24"/>
          <w:highlight w:val="none"/>
        </w:rPr>
        <w:br w:type="page"/>
      </w:r>
      <w:bookmarkStart w:id="41" w:name="_Toc28424"/>
      <w:r>
        <w:rPr>
          <w:rFonts w:hint="default" w:ascii="Times New Roman" w:hAnsi="Times New Roman" w:cs="Times New Roman"/>
          <w:b/>
          <w:bCs/>
          <w:sz w:val="36"/>
          <w:szCs w:val="36"/>
          <w:highlight w:val="none"/>
        </w:rPr>
        <w:t>目     录</w:t>
      </w:r>
      <w:bookmarkEnd w:id="41"/>
    </w:p>
    <w:p>
      <w:pPr>
        <w:spacing w:line="360" w:lineRule="auto"/>
        <w:jc w:val="center"/>
        <w:outlineLvl w:val="9"/>
        <w:rPr>
          <w:rFonts w:hint="eastAsia" w:ascii="宋体" w:hAnsi="宋体" w:eastAsia="宋体" w:cs="宋体"/>
          <w:b/>
          <w:bCs/>
          <w:sz w:val="30"/>
          <w:szCs w:val="30"/>
          <w:highlight w:val="none"/>
        </w:rPr>
      </w:pPr>
    </w:p>
    <w:p>
      <w:pPr>
        <w:spacing w:line="360" w:lineRule="auto"/>
        <w:jc w:val="center"/>
        <w:outlineLvl w:val="9"/>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资格证明文件</w:t>
      </w:r>
    </w:p>
    <w:p>
      <w:pPr>
        <w:pStyle w:val="25"/>
        <w:keepNext w:val="0"/>
        <w:keepLines w:val="0"/>
        <w:pageBreakBefore w:val="0"/>
        <w:widowControl w:val="0"/>
        <w:shd w:val="clear" w:color="auto" w:fill="auto"/>
        <w:kinsoku/>
        <w:wordWrap/>
        <w:overflowPunct/>
        <w:topLinePunct w:val="0"/>
        <w:autoSpaceDE/>
        <w:autoSpaceDN/>
        <w:bidi w:val="0"/>
        <w:adjustRightInd/>
        <w:snapToGrid/>
        <w:spacing w:line="460" w:lineRule="exact"/>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kern w:val="2"/>
          <w:sz w:val="24"/>
          <w:szCs w:val="24"/>
          <w:highlight w:val="none"/>
          <w:lang w:val="en-US" w:eastAsia="zh-CN" w:bidi="ar-SA"/>
        </w:rPr>
        <w:t>《供应商信用承诺书》……</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2.落实政府采购政策资格要求的证明文件………………………………………………</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3.符合“本项目的特定资格要求”的证明文件…………………………………………</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4</w:t>
      </w:r>
      <w:r>
        <w:rPr>
          <w:rFonts w:hint="eastAsia" w:ascii="宋体" w:hAnsi="宋体" w:eastAsia="宋体" w:cs="宋体"/>
          <w:kern w:val="0"/>
          <w:sz w:val="24"/>
          <w:szCs w:val="24"/>
          <w:highlight w:val="none"/>
          <w:lang w:val="en-US" w:eastAsia="zh-CN" w:bidi="ar-SA"/>
        </w:rPr>
        <w:t>.磋商保证金提交凭证…………………………………………………………………</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5</w:t>
      </w:r>
      <w:r>
        <w:rPr>
          <w:rFonts w:hint="eastAsia" w:ascii="宋体" w:hAnsi="宋体" w:eastAsia="宋体" w:cs="宋体"/>
          <w:kern w:val="0"/>
          <w:sz w:val="24"/>
          <w:szCs w:val="24"/>
          <w:highlight w:val="none"/>
          <w:lang w:val="en-US" w:eastAsia="zh-CN" w:bidi="ar-SA"/>
        </w:rPr>
        <w:t>.</w:t>
      </w:r>
      <w:r>
        <w:rPr>
          <w:rFonts w:hint="eastAsia" w:ascii="宋体" w:hAnsi="宋体" w:cs="宋体"/>
          <w:kern w:val="0"/>
          <w:sz w:val="24"/>
          <w:szCs w:val="24"/>
          <w:highlight w:val="none"/>
          <w:lang w:val="en-US" w:eastAsia="zh-CN" w:bidi="ar-SA"/>
        </w:rPr>
        <w:t>供应商</w:t>
      </w:r>
      <w:r>
        <w:rPr>
          <w:rFonts w:hint="eastAsia" w:ascii="宋体" w:hAnsi="宋体" w:eastAsia="宋体" w:cs="宋体"/>
          <w:kern w:val="0"/>
          <w:sz w:val="24"/>
          <w:szCs w:val="24"/>
          <w:highlight w:val="none"/>
          <w:lang w:val="en-US" w:eastAsia="zh-CN" w:bidi="ar-SA"/>
        </w:rPr>
        <w:t>需提交的其他资格证明文件（如有）……………………………………</w:t>
      </w:r>
    </w:p>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商务、技术文件</w:t>
      </w:r>
    </w:p>
    <w:p>
      <w:pPr>
        <w:keepNext w:val="0"/>
        <w:keepLines w:val="0"/>
        <w:pageBreakBefore w:val="0"/>
        <w:widowControl w:val="0"/>
        <w:kinsoku/>
        <w:wordWrap/>
        <w:overflowPunct/>
        <w:topLinePunct/>
        <w:autoSpaceDE w:val="0"/>
        <w:autoSpaceDN w:val="0"/>
        <w:bidi w:val="0"/>
        <w:adjustRightInd/>
        <w:snapToGrid/>
        <w:spacing w:line="4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法定代表人（负责人）身份证明书………………………………………</w:t>
      </w:r>
      <w:r>
        <w:rPr>
          <w:rFonts w:hint="eastAsia" w:ascii="宋体" w:hAnsi="宋体" w:eastAsia="宋体" w:cs="宋体"/>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法定代表人（负责人）授权委托书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函………………………………………………………………………</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报价一览表…………………………………………………………………</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5.商务条款响应表</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6.技术规范响应及偏离表</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color w:val="000000"/>
          <w:kern w:val="2"/>
          <w:sz w:val="24"/>
          <w:szCs w:val="24"/>
          <w:highlight w:val="none"/>
          <w:lang w:val="en-US" w:eastAsia="zh-CN" w:bidi="ar-SA"/>
        </w:rPr>
        <w:t>响应文件递交截止日前三年内完成的同类项目业绩列表及相关证明资料</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highlight w:val="none"/>
          <w:lang w:val="en-US" w:eastAsia="zh-CN"/>
        </w:rPr>
      </w:pPr>
      <w:r>
        <w:rPr>
          <w:rFonts w:hint="eastAsia" w:ascii="宋体" w:hAnsi="宋体" w:eastAsia="宋体" w:cs="宋体"/>
          <w:color w:val="000000"/>
          <w:kern w:val="2"/>
          <w:sz w:val="24"/>
          <w:szCs w:val="24"/>
          <w:highlight w:val="none"/>
          <w:lang w:val="en-US" w:eastAsia="zh-CN" w:bidi="ar-SA"/>
        </w:rPr>
        <w:t>8.</w:t>
      </w:r>
      <w:r>
        <w:rPr>
          <w:rFonts w:hint="eastAsia" w:ascii="宋体" w:hAnsi="宋体" w:eastAsia="宋体" w:cs="宋体"/>
          <w:sz w:val="24"/>
          <w:highlight w:val="none"/>
          <w:lang w:val="en-US" w:eastAsia="zh-CN"/>
        </w:rPr>
        <w:t>企业相关证件材料</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r>
        <w:rPr>
          <w:rFonts w:hint="eastAsia" w:ascii="宋体" w:hAnsi="宋体" w:eastAsia="宋体" w:cs="宋体"/>
          <w:sz w:val="24"/>
          <w:szCs w:val="24"/>
          <w:highlight w:val="none"/>
          <w:lang w:eastAsia="zh-CN"/>
        </w:rPr>
        <w:t>拟投入本项目团队成员</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服务方案……………………………………………………</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11.供应商认为需要提供的其他商务、技术材料</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12.政策性要求…………………………………………………………………</w:t>
      </w:r>
      <w:r>
        <w:rPr>
          <w:rFonts w:hint="eastAsia" w:ascii="宋体" w:hAnsi="宋体" w:eastAsia="宋体" w:cs="宋体"/>
          <w:kern w:val="0"/>
          <w:sz w:val="24"/>
          <w:szCs w:val="24"/>
          <w:highlight w:val="none"/>
          <w:lang w:val="en-US" w:eastAsia="zh-CN" w:bidi="ar-SA"/>
        </w:rPr>
        <w:t>…………</w:t>
      </w:r>
    </w:p>
    <w:p>
      <w:pPr>
        <w:snapToGrid w:val="0"/>
        <w:spacing w:line="360" w:lineRule="auto"/>
        <w:outlineLvl w:val="1"/>
        <w:rPr>
          <w:rFonts w:hint="eastAsia" w:ascii="宋体" w:hAnsi="宋体" w:eastAsia="宋体" w:cs="宋体"/>
          <w:b/>
          <w:kern w:val="0"/>
          <w:sz w:val="36"/>
          <w:szCs w:val="36"/>
          <w:highlight w:val="none"/>
        </w:rPr>
      </w:pPr>
      <w:r>
        <w:rPr>
          <w:rFonts w:hint="default" w:ascii="Times New Roman" w:hAnsi="Times New Roman" w:cs="Times New Roman"/>
          <w:b/>
          <w:kern w:val="0"/>
          <w:sz w:val="24"/>
          <w:highlight w:val="none"/>
        </w:rPr>
        <w:br w:type="page"/>
      </w:r>
      <w:bookmarkStart w:id="42" w:name="_Toc6388"/>
      <w:r>
        <w:rPr>
          <w:rFonts w:hint="eastAsia" w:ascii="宋体" w:hAnsi="宋体" w:eastAsia="宋体" w:cs="宋体"/>
          <w:b/>
          <w:kern w:val="0"/>
          <w:sz w:val="24"/>
          <w:highlight w:val="none"/>
        </w:rPr>
        <w:t>资格证明文件格式</w:t>
      </w:r>
      <w:bookmarkEnd w:id="42"/>
    </w:p>
    <w:p>
      <w:pPr>
        <w:snapToGrid w:val="0"/>
        <w:spacing w:line="360" w:lineRule="auto"/>
        <w:jc w:val="center"/>
        <w:outlineLvl w:val="9"/>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资格证明文件</w:t>
      </w:r>
    </w:p>
    <w:p>
      <w:pPr>
        <w:snapToGrid w:val="0"/>
        <w:spacing w:line="360" w:lineRule="auto"/>
        <w:jc w:val="center"/>
        <w:outlineLvl w:val="2"/>
        <w:rPr>
          <w:rFonts w:hint="eastAsia" w:ascii="宋体" w:hAnsi="宋体" w:eastAsia="宋体" w:cs="宋体"/>
          <w:b/>
          <w:bCs w:val="0"/>
          <w:caps w:val="0"/>
          <w:kern w:val="0"/>
          <w:sz w:val="24"/>
          <w:szCs w:val="24"/>
          <w:highlight w:val="none"/>
          <w:lang w:val="en-US" w:eastAsia="zh-CN" w:bidi="ar-SA"/>
        </w:rPr>
      </w:pPr>
      <w:r>
        <w:rPr>
          <w:rFonts w:hint="eastAsia" w:ascii="宋体" w:hAnsi="宋体" w:eastAsia="宋体" w:cs="宋体"/>
          <w:b/>
          <w:color w:val="000000"/>
          <w:kern w:val="0"/>
          <w:sz w:val="24"/>
          <w:highlight w:val="none"/>
          <w:lang w:val="en-US" w:eastAsia="zh-CN"/>
        </w:rPr>
        <w:t>1</w:t>
      </w:r>
      <w:r>
        <w:rPr>
          <w:rFonts w:hint="eastAsia" w:ascii="宋体" w:hAnsi="宋体" w:eastAsia="宋体" w:cs="宋体"/>
          <w:b/>
          <w:color w:val="000000"/>
          <w:kern w:val="0"/>
          <w:sz w:val="24"/>
          <w:highlight w:val="none"/>
        </w:rPr>
        <w:t>．</w:t>
      </w:r>
      <w:r>
        <w:rPr>
          <w:rFonts w:hint="eastAsia" w:ascii="宋体" w:hAnsi="宋体" w:eastAsia="宋体" w:cs="宋体"/>
          <w:b/>
          <w:bCs w:val="0"/>
          <w:caps w:val="0"/>
          <w:kern w:val="0"/>
          <w:sz w:val="24"/>
          <w:szCs w:val="24"/>
          <w:highlight w:val="none"/>
          <w:lang w:val="en-US" w:eastAsia="zh-CN" w:bidi="ar-SA"/>
        </w:rPr>
        <w:t>《</w:t>
      </w:r>
      <w:r>
        <w:rPr>
          <w:rFonts w:hint="eastAsia" w:ascii="宋体" w:hAnsi="宋体" w:cs="宋体"/>
          <w:b/>
          <w:bCs w:val="0"/>
          <w:caps w:val="0"/>
          <w:kern w:val="0"/>
          <w:sz w:val="24"/>
          <w:szCs w:val="24"/>
          <w:highlight w:val="none"/>
          <w:lang w:val="en-US" w:eastAsia="zh-CN" w:bidi="ar-SA"/>
        </w:rPr>
        <w:t>供应商</w:t>
      </w:r>
      <w:r>
        <w:rPr>
          <w:rFonts w:hint="eastAsia" w:ascii="宋体" w:hAnsi="宋体" w:eastAsia="宋体" w:cs="宋体"/>
          <w:b/>
          <w:bCs w:val="0"/>
          <w:caps w:val="0"/>
          <w:kern w:val="0"/>
          <w:sz w:val="24"/>
          <w:szCs w:val="24"/>
          <w:highlight w:val="none"/>
          <w:lang w:val="en-US" w:eastAsia="zh-CN" w:bidi="ar-SA"/>
        </w:rPr>
        <w:t>信用承诺书》</w:t>
      </w:r>
    </w:p>
    <w:p>
      <w:pPr>
        <w:keepNext w:val="0"/>
        <w:keepLines w:val="0"/>
        <w:widowControl/>
        <w:suppressLineNumbers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（采购人名称）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本供应商现参与贵单位组织的</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项目（项目编号：</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）的采购活动。依据采购文件相关规定，为维护采购市场秩序,遵循公开透明、公平竞争、公正原则和诚实信用原则,我方自愿做出以下承诺: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我方具有有效的营业执照或事业单位法人证书或自然人身份证明或其他非企业组织证明文件，具备独立承担民事责任的能力。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2.我方具有良好的商业信誉和健全的财务会计制度；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3.我方有依法缴纳税收和社会保障资金的良好记录；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4.我方具有履行合同所必需的设备和专业技术能力；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5.我方参加政府采购活动前三年内，在经营活动中没有重大违法记录；在</w:t>
      </w:r>
      <w:r>
        <w:rPr>
          <w:rFonts w:hint="eastAsia" w:ascii="宋体" w:hAnsi="宋体" w:cs="宋体"/>
          <w:color w:val="000000"/>
          <w:kern w:val="0"/>
          <w:sz w:val="24"/>
          <w:szCs w:val="24"/>
          <w:highlight w:val="none"/>
          <w:lang w:val="en-US" w:eastAsia="zh-CN" w:bidi="ar"/>
        </w:rPr>
        <w:t>磋商</w:t>
      </w:r>
      <w:r>
        <w:rPr>
          <w:rFonts w:hint="eastAsia" w:ascii="宋体" w:hAnsi="宋体" w:eastAsia="宋体" w:cs="宋体"/>
          <w:color w:val="000000"/>
          <w:kern w:val="0"/>
          <w:sz w:val="24"/>
          <w:szCs w:val="24"/>
          <w:highlight w:val="none"/>
          <w:lang w:val="en-US" w:eastAsia="zh-CN" w:bidi="ar"/>
        </w:rPr>
        <w:t>前查询了在信用中国网中的信用信息，本公司/本人未被列入失信被执行人、</w:t>
      </w:r>
      <w:r>
        <w:rPr>
          <w:rFonts w:hint="eastAsia" w:ascii="宋体" w:hAnsi="宋体" w:eastAsia="宋体" w:cs="宋体"/>
          <w:color w:val="000000"/>
          <w:sz w:val="24"/>
          <w:szCs w:val="24"/>
        </w:rPr>
        <w:t>重大税收违法失信主体</w:t>
      </w:r>
      <w:r>
        <w:rPr>
          <w:rFonts w:hint="eastAsia" w:ascii="宋体" w:hAnsi="宋体" w:eastAsia="宋体" w:cs="宋体"/>
          <w:color w:val="000000"/>
          <w:kern w:val="0"/>
          <w:sz w:val="24"/>
          <w:szCs w:val="24"/>
          <w:highlight w:val="none"/>
          <w:lang w:val="en-US" w:eastAsia="zh-CN" w:bidi="ar"/>
        </w:rPr>
        <w:t>；查询了在中国政府采购网中的政府采购严重违法失信行为信息，本公司未被列入政府采购严重违法失信行为记录名单；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6.我方具备法律、行政法规规定的其他条件。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7.我方承诺单位负责人为同一人或者存在直接控股、管理关系的不同供应商，不得参加同一合同项下的采购活动。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8.我方提供的所有响应资料均合法、真实、有效,无任何伪造、篡改、虚假成份,并对所提供资料的真实性负责；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9.我方若违背承诺约定, 愿意依法承担相应的法律责任,并同意将不良行为在相关网站上公示。</w:t>
      </w:r>
    </w:p>
    <w:p>
      <w:pPr>
        <w:snapToGrid w:val="0"/>
        <w:spacing w:line="360" w:lineRule="auto"/>
        <w:rPr>
          <w:rFonts w:hint="eastAsia" w:ascii="宋体" w:hAnsi="宋体" w:eastAsia="宋体" w:cs="宋体"/>
          <w:color w:val="000000"/>
          <w:sz w:val="24"/>
          <w:szCs w:val="24"/>
          <w:highlight w:val="none"/>
        </w:rPr>
      </w:pPr>
    </w:p>
    <w:p>
      <w:pPr>
        <w:snapToGrid w:val="0"/>
        <w:spacing w:line="480" w:lineRule="exact"/>
        <w:jc w:val="righ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pPr>
        <w:snapToGrid w:val="0"/>
        <w:spacing w:line="480" w:lineRule="exact"/>
        <w:ind w:firstLine="2880" w:firstLineChars="12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法定代表人（负责人）：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pPr>
        <w:snapToGrid w:val="0"/>
        <w:spacing w:line="480" w:lineRule="exact"/>
        <w:ind w:firstLine="3600" w:firstLineChars="1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p>
    <w:p>
      <w:pPr>
        <w:rPr>
          <w:rFonts w:hint="eastAsia"/>
        </w:rPr>
      </w:pPr>
    </w:p>
    <w:p>
      <w:pPr>
        <w:rPr>
          <w:rFonts w:hint="eastAsia"/>
        </w:rPr>
      </w:pPr>
    </w:p>
    <w:p>
      <w:pPr>
        <w:snapToGrid w:val="0"/>
        <w:spacing w:line="360" w:lineRule="auto"/>
        <w:outlineLvl w:val="2"/>
        <w:rPr>
          <w:rFonts w:hint="eastAsia" w:ascii="宋体" w:hAnsi="宋体" w:eastAsia="宋体" w:cs="宋体"/>
          <w:b/>
          <w:bCs w:val="0"/>
          <w:caps w:val="0"/>
          <w:kern w:val="0"/>
          <w:sz w:val="24"/>
          <w:szCs w:val="24"/>
          <w:highlight w:val="none"/>
          <w:lang w:val="en-US" w:eastAsia="zh-CN" w:bidi="ar-SA"/>
        </w:rPr>
      </w:pPr>
      <w:r>
        <w:rPr>
          <w:rFonts w:hint="eastAsia" w:ascii="宋体" w:hAnsi="宋体" w:eastAsia="宋体" w:cs="宋体"/>
          <w:b/>
          <w:color w:val="000000"/>
          <w:kern w:val="0"/>
          <w:sz w:val="24"/>
          <w:highlight w:val="none"/>
        </w:rPr>
        <w:br w:type="page"/>
      </w:r>
      <w:bookmarkStart w:id="43" w:name="_Toc1779"/>
      <w:r>
        <w:rPr>
          <w:rFonts w:hint="eastAsia" w:ascii="宋体" w:hAnsi="宋体" w:eastAsia="宋体" w:cs="宋体"/>
          <w:b/>
          <w:color w:val="000000"/>
          <w:kern w:val="0"/>
          <w:sz w:val="24"/>
          <w:highlight w:val="none"/>
        </w:rPr>
        <w:t>2．</w:t>
      </w:r>
      <w:r>
        <w:rPr>
          <w:rFonts w:hint="eastAsia" w:ascii="宋体" w:hAnsi="宋体" w:eastAsia="宋体" w:cs="宋体"/>
          <w:b/>
          <w:bCs w:val="0"/>
          <w:caps w:val="0"/>
          <w:kern w:val="0"/>
          <w:sz w:val="24"/>
          <w:szCs w:val="24"/>
          <w:highlight w:val="none"/>
          <w:lang w:val="en-US" w:eastAsia="zh-CN" w:bidi="ar-SA"/>
        </w:rPr>
        <w:t>落实政府采购政策资格要求的证明文件</w:t>
      </w:r>
      <w:r>
        <w:rPr>
          <w:rFonts w:hint="eastAsia" w:ascii="宋体" w:hAnsi="宋体" w:eastAsia="宋体" w:cs="宋体"/>
          <w:b/>
          <w:sz w:val="24"/>
          <w:highlight w:val="none"/>
          <w:lang w:eastAsia="zh-CN"/>
        </w:rPr>
        <w:t>（如适用）</w:t>
      </w:r>
      <w:bookmarkEnd w:id="43"/>
    </w:p>
    <w:p>
      <w:pPr>
        <w:widowControl/>
        <w:snapToGrid w:val="0"/>
        <w:spacing w:line="360" w:lineRule="auto"/>
        <w:jc w:val="left"/>
        <w:rPr>
          <w:rFonts w:hint="eastAsia" w:ascii="宋体" w:hAnsi="宋体" w:eastAsia="宋体" w:cs="宋体"/>
          <w:b/>
          <w:kern w:val="0"/>
          <w:sz w:val="24"/>
          <w:highlight w:val="none"/>
        </w:rPr>
      </w:pPr>
    </w:p>
    <w:p>
      <w:pPr>
        <w:widowControl/>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（一）中小企业声明及证明文件材料（如不涉及，此函可不提供）</w:t>
      </w:r>
    </w:p>
    <w:p>
      <w:pPr>
        <w:bidi w:val="0"/>
        <w:rPr>
          <w:rFonts w:hint="eastAsia"/>
          <w:highlight w:val="none"/>
        </w:rPr>
      </w:pPr>
    </w:p>
    <w:p>
      <w:pPr>
        <w:spacing w:line="480" w:lineRule="exact"/>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中小企业声明函</w:t>
      </w:r>
    </w:p>
    <w:p>
      <w:pPr>
        <w:pStyle w:val="40"/>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本公司郑重声明，根据《政府采购促进中小企业发展管理办法》（财库(2020）46号)的规定，本公司参加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r>
        <w:rPr>
          <w:rFonts w:hint="eastAsia" w:ascii="宋体" w:hAnsi="宋体" w:cs="宋体"/>
          <w:sz w:val="24"/>
          <w:szCs w:val="24"/>
        </w:rPr>
        <w:t>企业名称（盖章）：</w:t>
      </w:r>
    </w:p>
    <w:p>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r>
        <w:rPr>
          <w:rFonts w:hint="eastAsia" w:ascii="宋体" w:hAnsi="宋体" w:cs="宋体"/>
          <w:sz w:val="24"/>
          <w:szCs w:val="24"/>
        </w:rPr>
        <w:t>日期：</w:t>
      </w:r>
    </w:p>
    <w:p>
      <w:pPr>
        <w:spacing w:line="360" w:lineRule="auto"/>
        <w:ind w:firstLine="638" w:firstLineChars="266"/>
        <w:rPr>
          <w:rFonts w:hint="eastAsia" w:ascii="宋体" w:hAnsi="宋体" w:cs="宋体"/>
          <w:sz w:val="24"/>
          <w:szCs w:val="24"/>
        </w:rPr>
      </w:pPr>
    </w:p>
    <w:p>
      <w:pPr>
        <w:spacing w:line="360" w:lineRule="auto"/>
        <w:ind w:firstLine="638" w:firstLineChars="266"/>
        <w:rPr>
          <w:rFonts w:hint="eastAsia" w:ascii="宋体" w:hAnsi="宋体" w:cs="宋体"/>
          <w:sz w:val="24"/>
          <w:szCs w:val="24"/>
        </w:rPr>
      </w:pPr>
    </w:p>
    <w:p>
      <w:pPr>
        <w:spacing w:line="360" w:lineRule="auto"/>
        <w:ind w:firstLine="641" w:firstLineChars="266"/>
        <w:rPr>
          <w:rFonts w:hint="eastAsia" w:ascii="宋体" w:hAnsi="宋体" w:cs="宋体"/>
          <w:b/>
          <w:bCs/>
          <w:sz w:val="24"/>
          <w:szCs w:val="24"/>
        </w:rPr>
      </w:pPr>
      <w:r>
        <w:rPr>
          <w:rFonts w:hint="eastAsia" w:ascii="宋体" w:hAnsi="宋体" w:cs="宋体"/>
          <w:b/>
          <w:bCs/>
          <w:sz w:val="24"/>
          <w:szCs w:val="24"/>
        </w:rPr>
        <w:t>注：1.请如实填写中小企业声明函，中标供应商为中小企业的，招标代理机构随中标、成交结果同时公开其《中小企业声明函》。</w:t>
      </w:r>
    </w:p>
    <w:p>
      <w:pPr>
        <w:spacing w:line="360" w:lineRule="auto"/>
        <w:ind w:firstLine="1123" w:firstLineChars="466"/>
        <w:rPr>
          <w:rFonts w:hint="eastAsia" w:ascii="宋体" w:hAnsi="宋体" w:cs="宋体"/>
          <w:b/>
          <w:bCs/>
          <w:sz w:val="24"/>
          <w:szCs w:val="24"/>
        </w:rPr>
      </w:pPr>
      <w:r>
        <w:rPr>
          <w:rFonts w:hint="eastAsia" w:ascii="宋体" w:hAnsi="宋体" w:cs="宋体"/>
          <w:b/>
          <w:bCs/>
          <w:sz w:val="24"/>
          <w:szCs w:val="24"/>
        </w:rPr>
        <w:t>2.从业人员、营业收入、资产总额填报上一年度数据，无上一年度数据的新成立企业可不填报。</w:t>
      </w:r>
    </w:p>
    <w:p>
      <w:pPr>
        <w:spacing w:line="360" w:lineRule="auto"/>
        <w:jc w:val="left"/>
        <w:rPr>
          <w:rFonts w:hint="eastAsia" w:ascii="宋体" w:hAnsi="宋体" w:eastAsia="宋体" w:cs="宋体"/>
          <w:b/>
          <w:spacing w:val="6"/>
          <w:sz w:val="24"/>
          <w:highlight w:val="none"/>
        </w:rPr>
      </w:pPr>
      <w:r>
        <w:rPr>
          <w:rFonts w:hint="eastAsia" w:ascii="宋体" w:hAnsi="宋体" w:cs="宋体"/>
          <w:sz w:val="24"/>
        </w:rPr>
        <w:br w:type="page"/>
      </w:r>
      <w:r>
        <w:rPr>
          <w:rFonts w:hint="eastAsia" w:ascii="宋体" w:hAnsi="宋体" w:eastAsia="宋体" w:cs="宋体"/>
          <w:b/>
          <w:sz w:val="24"/>
          <w:highlight w:val="none"/>
        </w:rPr>
        <w:t>（二）</w:t>
      </w:r>
      <w:r>
        <w:rPr>
          <w:rFonts w:hint="eastAsia" w:ascii="宋体" w:hAnsi="宋体" w:eastAsia="宋体" w:cs="宋体"/>
          <w:b/>
          <w:spacing w:val="6"/>
          <w:sz w:val="24"/>
          <w:highlight w:val="none"/>
        </w:rPr>
        <w:t>残疾人福利性单位声明函</w:t>
      </w:r>
      <w:r>
        <w:rPr>
          <w:rFonts w:hint="eastAsia" w:ascii="宋体" w:hAnsi="宋体" w:eastAsia="宋体" w:cs="宋体"/>
          <w:b/>
          <w:sz w:val="24"/>
          <w:highlight w:val="none"/>
        </w:rPr>
        <w:t>格式</w:t>
      </w:r>
      <w:r>
        <w:rPr>
          <w:rFonts w:hint="eastAsia" w:ascii="宋体" w:hAnsi="宋体" w:eastAsia="宋体" w:cs="宋体"/>
          <w:b/>
          <w:kern w:val="0"/>
          <w:sz w:val="24"/>
          <w:highlight w:val="none"/>
        </w:rPr>
        <w:t>（如不涉及，此函可不提供）</w:t>
      </w:r>
    </w:p>
    <w:p>
      <w:pPr>
        <w:spacing w:line="360" w:lineRule="auto"/>
        <w:jc w:val="center"/>
        <w:rPr>
          <w:rFonts w:hint="eastAsia" w:ascii="宋体" w:hAnsi="宋体" w:eastAsia="宋体" w:cs="宋体"/>
          <w:b/>
          <w:spacing w:val="6"/>
          <w:sz w:val="24"/>
          <w:highlight w:val="none"/>
        </w:rPr>
      </w:pPr>
    </w:p>
    <w:p>
      <w:pPr>
        <w:spacing w:line="360" w:lineRule="auto"/>
        <w:jc w:val="center"/>
        <w:rPr>
          <w:rFonts w:hint="eastAsia" w:ascii="宋体" w:hAnsi="宋体" w:eastAsia="宋体" w:cs="宋体"/>
          <w:b/>
          <w:sz w:val="24"/>
          <w:highlight w:val="none"/>
        </w:rPr>
      </w:pPr>
      <w:r>
        <w:rPr>
          <w:rFonts w:hint="eastAsia" w:ascii="宋体" w:hAnsi="宋体" w:eastAsia="宋体" w:cs="宋体"/>
          <w:b/>
          <w:spacing w:val="6"/>
          <w:sz w:val="24"/>
          <w:highlight w:val="none"/>
        </w:rPr>
        <w:t>残疾人福利性单位声明函</w:t>
      </w:r>
    </w:p>
    <w:p>
      <w:pPr>
        <w:bidi w:val="0"/>
        <w:rPr>
          <w:rFonts w:hint="eastAsia"/>
          <w:highlight w:val="none"/>
        </w:rPr>
      </w:pPr>
    </w:p>
    <w:p>
      <w:pPr>
        <w:bidi w:val="0"/>
        <w:rPr>
          <w:rFonts w:hint="eastAsia"/>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pPr>
        <w:spacing w:line="360" w:lineRule="auto"/>
        <w:ind w:firstLine="504" w:firstLineChars="200"/>
        <w:rPr>
          <w:rFonts w:hint="eastAsia" w:ascii="宋体" w:hAnsi="宋体" w:eastAsia="宋体" w:cs="宋体"/>
          <w:spacing w:val="6"/>
          <w:sz w:val="24"/>
          <w:highlight w:val="none"/>
        </w:rPr>
      </w:pPr>
    </w:p>
    <w:p>
      <w:pPr>
        <w:spacing w:line="360" w:lineRule="auto"/>
        <w:ind w:firstLine="504" w:firstLineChars="200"/>
        <w:rPr>
          <w:rFonts w:hint="eastAsia" w:ascii="宋体" w:hAnsi="宋体" w:eastAsia="宋体" w:cs="宋体"/>
          <w:spacing w:val="6"/>
          <w:sz w:val="24"/>
          <w:highlight w:val="none"/>
        </w:rPr>
      </w:pPr>
    </w:p>
    <w:p>
      <w:pPr>
        <w:pStyle w:val="141"/>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pStyle w:val="141"/>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spacing w:line="360" w:lineRule="auto"/>
        <w:ind w:firstLine="422" w:firstLineChars="200"/>
        <w:rPr>
          <w:rFonts w:hint="eastAsia" w:ascii="宋体" w:hAnsi="宋体" w:eastAsia="宋体" w:cs="宋体"/>
          <w:b/>
          <w:kern w:val="0"/>
          <w:szCs w:val="21"/>
          <w:highlight w:val="none"/>
        </w:rPr>
      </w:pPr>
    </w:p>
    <w:p>
      <w:pPr>
        <w:spacing w:line="360" w:lineRule="auto"/>
        <w:ind w:firstLine="422" w:firstLineChars="200"/>
        <w:rPr>
          <w:rFonts w:hint="eastAsia" w:ascii="宋体" w:hAnsi="宋体" w:eastAsia="宋体" w:cs="宋体"/>
          <w:b/>
          <w:kern w:val="0"/>
          <w:szCs w:val="21"/>
          <w:highlight w:val="none"/>
        </w:rPr>
      </w:pPr>
    </w:p>
    <w:p>
      <w:pPr>
        <w:pStyle w:val="159"/>
        <w:keepLines/>
        <w:widowControl/>
        <w:numPr>
          <w:ilvl w:val="0"/>
          <w:numId w:val="0"/>
        </w:numPr>
        <w:snapToGrid/>
        <w:spacing w:before="260" w:beforeAutospacing="0" w:after="260" w:afterAutospacing="0" w:line="360" w:lineRule="auto"/>
        <w:jc w:val="left"/>
        <w:textAlignment w:val="baseline"/>
        <w:outlineLvl w:val="9"/>
        <w:rPr>
          <w:rStyle w:val="76"/>
          <w:rFonts w:hint="eastAsia" w:ascii="宋体" w:hAnsi="宋体" w:eastAsia="宋体" w:cs="宋体"/>
          <w:b w:val="0"/>
          <w:bCs w:val="0"/>
          <w:i w:val="0"/>
          <w:caps w:val="0"/>
          <w:color w:val="auto"/>
          <w:spacing w:val="0"/>
          <w:w w:val="100"/>
          <w:kern w:val="2"/>
          <w:sz w:val="24"/>
          <w:szCs w:val="24"/>
          <w:highlight w:val="none"/>
          <w:lang w:val="en-US" w:eastAsia="zh-CN" w:bidi="ar-SA"/>
        </w:rPr>
      </w:pPr>
      <w:bookmarkStart w:id="44" w:name="_Toc28292"/>
      <w:r>
        <w:rPr>
          <w:rFonts w:hint="eastAsia" w:ascii="宋体" w:hAnsi="宋体" w:eastAsia="宋体" w:cs="宋体"/>
          <w:kern w:val="0"/>
          <w:sz w:val="24"/>
          <w:szCs w:val="21"/>
          <w:highlight w:val="none"/>
          <w:lang w:eastAsia="zh-CN"/>
        </w:rPr>
        <w:t>（</w:t>
      </w:r>
      <w:r>
        <w:rPr>
          <w:rFonts w:hint="eastAsia" w:ascii="宋体" w:hAnsi="宋体" w:eastAsia="宋体" w:cs="宋体"/>
          <w:kern w:val="0"/>
          <w:sz w:val="24"/>
          <w:szCs w:val="21"/>
          <w:highlight w:val="none"/>
          <w:lang w:val="en-US" w:eastAsia="zh-CN"/>
        </w:rPr>
        <w:t>三</w:t>
      </w:r>
      <w:r>
        <w:rPr>
          <w:rFonts w:hint="eastAsia" w:ascii="宋体" w:hAnsi="宋体" w:eastAsia="宋体" w:cs="宋体"/>
          <w:kern w:val="0"/>
          <w:sz w:val="24"/>
          <w:szCs w:val="21"/>
          <w:highlight w:val="none"/>
          <w:lang w:eastAsia="zh-CN"/>
        </w:rPr>
        <w:t>）</w:t>
      </w:r>
      <w:r>
        <w:rPr>
          <w:rFonts w:hint="eastAsia" w:ascii="宋体" w:hAnsi="宋体" w:eastAsia="宋体" w:cs="宋体"/>
          <w:b/>
          <w:bCs w:val="0"/>
          <w:color w:val="000000"/>
          <w:kern w:val="0"/>
          <w:sz w:val="24"/>
          <w:szCs w:val="24"/>
          <w:highlight w:val="none"/>
          <w:lang w:val="en-US" w:eastAsia="zh-CN" w:bidi="ar-SA"/>
        </w:rPr>
        <w:t>监狱企业证明文件（如不涉及，可不提供）</w:t>
      </w:r>
    </w:p>
    <w:bookmarkEnd w:id="44"/>
    <w:p>
      <w:pPr>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br w:type="page"/>
      </w:r>
    </w:p>
    <w:p>
      <w:pPr>
        <w:snapToGrid w:val="0"/>
        <w:spacing w:line="360" w:lineRule="auto"/>
        <w:outlineLvl w:val="2"/>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3．符合“本项目的特定资格要求”的证明文件；</w:t>
      </w:r>
    </w:p>
    <w:p>
      <w:pPr>
        <w:rPr>
          <w:rFonts w:hint="eastAsia" w:ascii="宋体" w:hAnsi="宋体" w:eastAsia="宋体" w:cs="宋体"/>
          <w:b/>
          <w:kern w:val="0"/>
          <w:sz w:val="24"/>
          <w:szCs w:val="24"/>
          <w:highlight w:val="none"/>
          <w:lang w:val="en-US" w:eastAsia="zh-CN"/>
        </w:rPr>
      </w:pPr>
    </w:p>
    <w:p>
      <w:pPr>
        <w:pStyle w:val="19"/>
        <w:rPr>
          <w:rFonts w:hint="eastAsia" w:ascii="宋体" w:hAnsi="宋体" w:eastAsia="宋体" w:cs="宋体"/>
          <w:b/>
          <w:kern w:val="0"/>
          <w:sz w:val="24"/>
          <w:szCs w:val="24"/>
          <w:highlight w:val="none"/>
          <w:lang w:val="en-US" w:eastAsia="zh-CN"/>
        </w:rPr>
      </w:pPr>
    </w:p>
    <w:p>
      <w:pPr>
        <w:rPr>
          <w:rFonts w:hint="eastAsia" w:ascii="宋体" w:hAnsi="宋体" w:eastAsia="宋体" w:cs="宋体"/>
          <w:b/>
          <w:kern w:val="0"/>
          <w:sz w:val="24"/>
          <w:szCs w:val="24"/>
          <w:highlight w:val="none"/>
          <w:lang w:val="en-US" w:eastAsia="zh-CN"/>
        </w:rPr>
      </w:pPr>
    </w:p>
    <w:p>
      <w:pPr>
        <w:pStyle w:val="19"/>
        <w:rPr>
          <w:rFonts w:hint="eastAsia"/>
          <w:lang w:val="en-US" w:eastAsia="zh-CN"/>
        </w:rPr>
      </w:pPr>
    </w:p>
    <w:p>
      <w:pPr>
        <w:snapToGrid w:val="0"/>
        <w:spacing w:line="360" w:lineRule="auto"/>
        <w:outlineLvl w:val="2"/>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4．磋商保证金提交凭证</w:t>
      </w:r>
    </w:p>
    <w:p>
      <w:pPr>
        <w:pStyle w:val="2"/>
        <w:numPr>
          <w:ilvl w:val="0"/>
          <w:numId w:val="0"/>
        </w:num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snapToGrid w:val="0"/>
        <w:spacing w:line="360" w:lineRule="auto"/>
        <w:outlineLvl w:val="2"/>
        <w:rPr>
          <w:rFonts w:hint="eastAsia" w:ascii="宋体" w:hAnsi="宋体" w:eastAsia="宋体" w:cs="宋体"/>
          <w:b/>
          <w:kern w:val="0"/>
          <w:sz w:val="24"/>
          <w:szCs w:val="24"/>
          <w:highlight w:val="none"/>
          <w:lang w:val="en-US" w:eastAsia="zh-CN"/>
        </w:rPr>
      </w:pPr>
      <w:r>
        <w:rPr>
          <w:rFonts w:hint="eastAsia" w:ascii="宋体" w:hAnsi="宋体" w:eastAsia="宋体" w:cs="宋体"/>
          <w:b/>
          <w:color w:val="000000"/>
          <w:kern w:val="0"/>
          <w:sz w:val="24"/>
          <w:highlight w:val="none"/>
          <w:lang w:val="en-US" w:eastAsia="zh-CN"/>
        </w:rPr>
        <w:br w:type="page"/>
      </w: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lang w:val="en-US" w:eastAsia="zh-CN"/>
        </w:rPr>
        <w:t>．</w:t>
      </w:r>
      <w:r>
        <w:rPr>
          <w:rFonts w:hint="eastAsia" w:ascii="宋体" w:hAnsi="宋体" w:cs="宋体"/>
          <w:b/>
          <w:kern w:val="0"/>
          <w:sz w:val="24"/>
          <w:szCs w:val="24"/>
          <w:highlight w:val="none"/>
          <w:lang w:val="en-US" w:eastAsia="zh-CN"/>
        </w:rPr>
        <w:t>供应商</w:t>
      </w:r>
      <w:r>
        <w:rPr>
          <w:rFonts w:hint="eastAsia" w:ascii="宋体" w:hAnsi="宋体" w:eastAsia="宋体" w:cs="宋体"/>
          <w:b/>
          <w:kern w:val="0"/>
          <w:sz w:val="24"/>
          <w:szCs w:val="24"/>
          <w:highlight w:val="none"/>
          <w:lang w:val="en-US" w:eastAsia="zh-CN"/>
        </w:rPr>
        <w:t>需提交的其他资格证明文件（如有）</w:t>
      </w:r>
    </w:p>
    <w:p>
      <w:pPr>
        <w:rPr>
          <w:rFonts w:hint="eastAsia"/>
        </w:rPr>
      </w:pPr>
    </w:p>
    <w:p>
      <w:pPr>
        <w:rPr>
          <w:rFonts w:hint="eastAsia"/>
        </w:rPr>
      </w:pPr>
    </w:p>
    <w:p>
      <w:pPr>
        <w:snapToGrid w:val="0"/>
        <w:spacing w:line="360" w:lineRule="auto"/>
        <w:outlineLvl w:val="1"/>
        <w:rPr>
          <w:rFonts w:hint="eastAsia" w:ascii="宋体" w:hAnsi="宋体" w:eastAsia="宋体" w:cs="宋体"/>
          <w:b/>
          <w:bCs/>
          <w:sz w:val="24"/>
          <w:highlight w:val="none"/>
        </w:rPr>
      </w:pPr>
      <w:r>
        <w:rPr>
          <w:rFonts w:hint="eastAsia" w:ascii="宋体" w:hAnsi="宋体" w:eastAsia="宋体" w:cs="宋体"/>
          <w:b/>
          <w:color w:val="000000"/>
          <w:kern w:val="0"/>
          <w:sz w:val="24"/>
          <w:highlight w:val="none"/>
        </w:rPr>
        <w:br w:type="page"/>
      </w:r>
      <w:bookmarkStart w:id="45" w:name="_Toc22881"/>
      <w:r>
        <w:rPr>
          <w:rFonts w:hint="eastAsia" w:ascii="宋体" w:hAnsi="宋体" w:eastAsia="宋体" w:cs="宋体"/>
          <w:b/>
          <w:kern w:val="0"/>
          <w:sz w:val="24"/>
          <w:highlight w:val="none"/>
        </w:rPr>
        <w:t>商务</w:t>
      </w:r>
      <w:r>
        <w:rPr>
          <w:rFonts w:hint="eastAsia" w:ascii="宋体" w:hAnsi="宋体" w:eastAsia="宋体" w:cs="宋体"/>
          <w:b/>
          <w:bCs/>
          <w:sz w:val="24"/>
          <w:highlight w:val="none"/>
        </w:rPr>
        <w:t>、</w:t>
      </w:r>
      <w:r>
        <w:rPr>
          <w:rFonts w:hint="eastAsia" w:ascii="Times New Roman" w:hAnsi="Times New Roman" w:eastAsia="宋体" w:cs="Times New Roman"/>
          <w:b/>
          <w:kern w:val="0"/>
          <w:sz w:val="24"/>
          <w:highlight w:val="none"/>
        </w:rPr>
        <w:t>技术</w:t>
      </w:r>
      <w:r>
        <w:rPr>
          <w:rFonts w:hint="eastAsia" w:ascii="宋体" w:hAnsi="宋体" w:eastAsia="宋体" w:cs="宋体"/>
          <w:b/>
          <w:bCs/>
          <w:sz w:val="24"/>
          <w:highlight w:val="none"/>
        </w:rPr>
        <w:t>文件格式</w:t>
      </w:r>
      <w:bookmarkEnd w:id="45"/>
    </w:p>
    <w:p>
      <w:pPr>
        <w:snapToGrid w:val="0"/>
        <w:spacing w:line="360" w:lineRule="auto"/>
        <w:jc w:val="center"/>
        <w:outlineLvl w:val="9"/>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商务、技术文件</w:t>
      </w:r>
    </w:p>
    <w:p>
      <w:pPr>
        <w:snapToGrid w:val="0"/>
        <w:spacing w:line="360" w:lineRule="auto"/>
        <w:outlineLvl w:val="2"/>
        <w:rPr>
          <w:rFonts w:hint="eastAsia" w:ascii="宋体" w:hAnsi="宋体" w:eastAsia="宋体" w:cs="宋体"/>
          <w:b/>
          <w:kern w:val="0"/>
          <w:sz w:val="24"/>
          <w:highlight w:val="none"/>
        </w:rPr>
      </w:pPr>
      <w:bookmarkStart w:id="46" w:name="_Toc27483"/>
      <w:r>
        <w:rPr>
          <w:rFonts w:hint="eastAsia" w:ascii="宋体" w:hAnsi="宋体" w:eastAsia="宋体" w:cs="宋体"/>
          <w:b/>
          <w:kern w:val="0"/>
          <w:sz w:val="24"/>
          <w:highlight w:val="none"/>
        </w:rPr>
        <w:t>1．法定代表人（负责人）身份证明书</w:t>
      </w:r>
      <w:bookmarkEnd w:id="46"/>
    </w:p>
    <w:p>
      <w:pPr>
        <w:snapToGrid w:val="0"/>
        <w:spacing w:line="360" w:lineRule="auto"/>
        <w:ind w:left="562" w:hanging="562" w:hangingChars="200"/>
        <w:jc w:val="center"/>
        <w:outlineLvl w:val="9"/>
        <w:rPr>
          <w:rFonts w:hint="eastAsia" w:ascii="宋体" w:hAnsi="宋体" w:eastAsia="宋体" w:cs="宋体"/>
          <w:b/>
          <w:kern w:val="0"/>
          <w:sz w:val="28"/>
          <w:szCs w:val="28"/>
          <w:highlight w:val="none"/>
        </w:rPr>
      </w:pPr>
    </w:p>
    <w:p>
      <w:pPr>
        <w:snapToGrid w:val="0"/>
        <w:spacing w:line="360" w:lineRule="auto"/>
        <w:ind w:left="562" w:hanging="562" w:hangingChars="2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法定代表人（负责人）身份证明书</w:t>
      </w:r>
    </w:p>
    <w:p>
      <w:pPr>
        <w:snapToGrid w:val="0"/>
        <w:spacing w:line="360" w:lineRule="auto"/>
        <w:ind w:firstLine="480" w:firstLineChars="200"/>
        <w:jc w:val="left"/>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单位名称：</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单位性质：</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地    址：</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pPr>
        <w:snapToGrid w:val="0"/>
        <w:spacing w:line="360" w:lineRule="auto"/>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姓    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性  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年    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职  务：</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系</w:t>
      </w:r>
      <w:r>
        <w:rPr>
          <w:rFonts w:hint="eastAsia" w:ascii="宋体" w:hAnsi="宋体" w:eastAsia="宋体" w:cs="宋体"/>
          <w:kern w:val="0"/>
          <w:sz w:val="24"/>
          <w:highlight w:val="none"/>
          <w:u w:val="single"/>
        </w:rPr>
        <w:t xml:space="preserve">       （供应商名称）          </w:t>
      </w:r>
      <w:r>
        <w:rPr>
          <w:rFonts w:hint="eastAsia" w:ascii="宋体" w:hAnsi="宋体" w:eastAsia="宋体" w:cs="宋体"/>
          <w:kern w:val="0"/>
          <w:sz w:val="24"/>
          <w:highlight w:val="none"/>
        </w:rPr>
        <w:t>的法定代表人</w:t>
      </w:r>
      <w:r>
        <w:rPr>
          <w:rFonts w:hint="eastAsia" w:ascii="宋体" w:hAnsi="宋体" w:eastAsia="宋体" w:cs="宋体"/>
          <w:kern w:val="0"/>
          <w:sz w:val="24"/>
          <w:highlight w:val="none"/>
          <w:lang w:eastAsia="zh-CN"/>
        </w:rPr>
        <w:t>（负责人）</w:t>
      </w:r>
      <w:r>
        <w:rPr>
          <w:rFonts w:hint="eastAsia" w:ascii="宋体" w:hAnsi="宋体" w:eastAsia="宋体" w:cs="宋体"/>
          <w:kern w:val="0"/>
          <w:sz w:val="24"/>
          <w:highlight w:val="none"/>
        </w:rPr>
        <w:t>。</w:t>
      </w:r>
    </w:p>
    <w:p>
      <w:pPr>
        <w:snapToGrid w:val="0"/>
        <w:spacing w:line="360" w:lineRule="auto"/>
        <w:jc w:val="left"/>
        <w:rPr>
          <w:rFonts w:hint="eastAsia" w:ascii="宋体" w:hAnsi="宋体" w:eastAsia="宋体" w:cs="宋体"/>
          <w:kern w:val="0"/>
          <w:sz w:val="24"/>
          <w:highlight w:val="none"/>
        </w:rPr>
      </w:pPr>
    </w:p>
    <w:p>
      <w:pPr>
        <w:snapToGrid w:val="0"/>
        <w:spacing w:line="360" w:lineRule="auto"/>
        <w:ind w:firstLine="960" w:firstLineChars="4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pPr>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pPr>
        <w:tabs>
          <w:tab w:val="left" w:pos="4000"/>
        </w:tabs>
        <w:snapToGrid w:val="0"/>
        <w:spacing w:line="480" w:lineRule="auto"/>
        <w:ind w:firstLine="2880" w:firstLineChars="1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tabs>
          <w:tab w:val="left" w:pos="4000"/>
        </w:tabs>
        <w:snapToGrid w:val="0"/>
        <w:spacing w:line="480" w:lineRule="auto"/>
        <w:ind w:firstLine="2880" w:firstLineChars="1200"/>
        <w:jc w:val="left"/>
        <w:rPr>
          <w:rFonts w:hint="eastAsia" w:ascii="宋体" w:hAnsi="宋体" w:eastAsia="宋体" w:cs="宋体"/>
          <w:sz w:val="24"/>
          <w:highlight w:val="none"/>
        </w:rPr>
      </w:pPr>
      <w:r>
        <w:rPr>
          <w:rFonts w:hint="eastAsia" w:ascii="宋体" w:hAnsi="宋体" w:eastAsia="宋体" w:cs="宋体"/>
          <w:kern w:val="0"/>
          <w:sz w:val="24"/>
          <w:highlight w:val="none"/>
        </w:rPr>
        <w:t>法定代表人</w:t>
      </w:r>
      <w:r>
        <w:rPr>
          <w:rFonts w:hint="eastAsia" w:ascii="宋体" w:hAnsi="宋体" w:eastAsia="宋体" w:cs="宋体"/>
          <w:kern w:val="0"/>
          <w:sz w:val="24"/>
          <w:highlight w:val="none"/>
          <w:lang w:eastAsia="zh-CN"/>
        </w:rPr>
        <w:t>（负责人）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（签字或盖章）</w:t>
      </w:r>
    </w:p>
    <w:p>
      <w:pPr>
        <w:tabs>
          <w:tab w:val="left" w:pos="4000"/>
        </w:tabs>
        <w:snapToGrid w:val="0"/>
        <w:spacing w:line="480" w:lineRule="auto"/>
        <w:ind w:firstLine="2880" w:firstLineChars="1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日      期：</w:t>
      </w:r>
    </w:p>
    <w:p>
      <w:pPr>
        <w:spacing w:line="360" w:lineRule="auto"/>
        <w:outlineLvl w:val="9"/>
        <w:rPr>
          <w:rFonts w:hint="eastAsia" w:ascii="宋体" w:hAnsi="宋体" w:eastAsia="宋体" w:cs="宋体"/>
          <w:sz w:val="24"/>
          <w:highlight w:val="none"/>
        </w:rPr>
      </w:pPr>
      <w:r>
        <w:rPr>
          <w:rFonts w:hint="eastAsia" w:ascii="宋体" w:hAnsi="宋体" w:eastAsia="宋体" w:cs="宋体"/>
          <w:color w:val="000000"/>
          <w:kern w:val="0"/>
          <w:sz w:val="24"/>
          <w:highlight w:val="none"/>
          <w:lang w:eastAsia="zh-CN"/>
        </w:rPr>
        <w:t>附法定代表人（负责人）身份证正反面扫描件或影印件</w:t>
      </w:r>
      <w:r>
        <w:rPr>
          <w:rFonts w:hint="eastAsia" w:ascii="宋体" w:hAnsi="宋体" w:eastAsia="宋体" w:cs="宋体"/>
          <w:kern w:val="0"/>
          <w:sz w:val="24"/>
          <w:highlight w:val="none"/>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4"/>
                <w:highlight w:val="none"/>
              </w:rPr>
            </w:pPr>
          </w:p>
        </w:tc>
        <w:tc>
          <w:tcPr>
            <w:tcW w:w="4615" w:type="dxa"/>
            <w:noWrap w:val="0"/>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4"/>
                <w:highlight w:val="none"/>
              </w:rPr>
            </w:pPr>
          </w:p>
        </w:tc>
      </w:tr>
    </w:tbl>
    <w:p>
      <w:pPr>
        <w:snapToGrid w:val="0"/>
        <w:spacing w:line="360" w:lineRule="auto"/>
        <w:outlineLvl w:val="2"/>
        <w:rPr>
          <w:rFonts w:hint="eastAsia" w:ascii="宋体" w:hAnsi="宋体" w:eastAsia="宋体" w:cs="宋体"/>
          <w:sz w:val="24"/>
          <w:highlight w:val="none"/>
        </w:rPr>
      </w:pPr>
      <w:r>
        <w:rPr>
          <w:rFonts w:hint="eastAsia" w:ascii="宋体" w:hAnsi="宋体" w:eastAsia="宋体" w:cs="宋体"/>
          <w:sz w:val="24"/>
          <w:highlight w:val="none"/>
        </w:rPr>
        <w:br w:type="page"/>
      </w:r>
      <w:bookmarkStart w:id="47" w:name="_Toc2795"/>
      <w:r>
        <w:rPr>
          <w:rFonts w:hint="eastAsia" w:ascii="宋体" w:hAnsi="宋体" w:eastAsia="宋体" w:cs="宋体"/>
          <w:b/>
          <w:kern w:val="0"/>
          <w:sz w:val="24"/>
          <w:highlight w:val="none"/>
          <w:lang w:val="en-US" w:eastAsia="zh-CN"/>
        </w:rPr>
        <w:t>2</w:t>
      </w:r>
      <w:r>
        <w:rPr>
          <w:rFonts w:hint="eastAsia" w:ascii="宋体" w:hAnsi="宋体" w:eastAsia="宋体" w:cs="宋体"/>
          <w:b/>
          <w:kern w:val="0"/>
          <w:sz w:val="24"/>
          <w:highlight w:val="none"/>
        </w:rPr>
        <w:t>．法定代表人（负责人）授权委托书</w:t>
      </w:r>
      <w:bookmarkEnd w:id="47"/>
    </w:p>
    <w:p>
      <w:pPr>
        <w:snapToGrid w:val="0"/>
        <w:spacing w:line="360" w:lineRule="auto"/>
        <w:ind w:left="562" w:hanging="562" w:hangingChars="200"/>
        <w:jc w:val="center"/>
        <w:outlineLvl w:val="9"/>
        <w:rPr>
          <w:rFonts w:hint="eastAsia" w:ascii="宋体" w:hAnsi="宋体" w:eastAsia="宋体" w:cs="宋体"/>
          <w:b/>
          <w:kern w:val="0"/>
          <w:sz w:val="28"/>
          <w:szCs w:val="28"/>
          <w:highlight w:val="none"/>
        </w:rPr>
      </w:pPr>
    </w:p>
    <w:p>
      <w:pPr>
        <w:snapToGrid w:val="0"/>
        <w:spacing w:line="360" w:lineRule="auto"/>
        <w:ind w:left="562" w:hanging="562" w:hangingChars="200"/>
        <w:jc w:val="center"/>
        <w:outlineLvl w:val="9"/>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法定代表人（负责人）授权委托书</w:t>
      </w:r>
    </w:p>
    <w:p>
      <w:pPr>
        <w:snapToGrid w:val="0"/>
        <w:spacing w:line="48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u w:val="single"/>
          <w:lang w:eastAsia="zh-CN"/>
        </w:rPr>
        <w:t>采购代理机构名称</w:t>
      </w:r>
      <w:r>
        <w:rPr>
          <w:rFonts w:hint="eastAsia" w:ascii="宋体" w:hAnsi="宋体" w:eastAsia="宋体" w:cs="宋体"/>
          <w:kern w:val="0"/>
          <w:sz w:val="24"/>
          <w:highlight w:val="none"/>
        </w:rPr>
        <w:t>：</w:t>
      </w:r>
    </w:p>
    <w:p>
      <w:pPr>
        <w:snapToGrid w:val="0"/>
        <w:spacing w:line="36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本授权书声明：注册于</w:t>
      </w:r>
      <w:r>
        <w:rPr>
          <w:rFonts w:hint="eastAsia" w:ascii="宋体" w:hAnsi="宋体" w:eastAsia="宋体" w:cs="宋体"/>
          <w:kern w:val="0"/>
          <w:sz w:val="24"/>
          <w:highlight w:val="none"/>
          <w:u w:val="single"/>
        </w:rPr>
        <w:t xml:space="preserve">          （供应商住址）</w:t>
      </w:r>
      <w:r>
        <w:rPr>
          <w:rFonts w:hint="eastAsia" w:ascii="宋体" w:hAnsi="宋体" w:eastAsia="宋体" w:cs="宋体"/>
          <w:kern w:val="0"/>
          <w:sz w:val="24"/>
          <w:highlight w:val="none"/>
        </w:rPr>
        <w:t>的</w:t>
      </w:r>
      <w:r>
        <w:rPr>
          <w:rFonts w:hint="eastAsia" w:ascii="宋体" w:hAnsi="宋体" w:eastAsia="宋体" w:cs="宋体"/>
          <w:kern w:val="0"/>
          <w:sz w:val="24"/>
          <w:highlight w:val="none"/>
          <w:u w:val="single"/>
        </w:rPr>
        <w:t xml:space="preserve">          （供应商名称）</w:t>
      </w:r>
      <w:r>
        <w:rPr>
          <w:rFonts w:hint="eastAsia" w:ascii="宋体" w:hAnsi="宋体" w:eastAsia="宋体" w:cs="宋体"/>
          <w:kern w:val="0"/>
          <w:sz w:val="24"/>
          <w:highlight w:val="none"/>
        </w:rPr>
        <w:t>法定代表人</w:t>
      </w:r>
      <w:r>
        <w:rPr>
          <w:rFonts w:hint="eastAsia" w:ascii="宋体" w:hAnsi="宋体" w:eastAsia="宋体" w:cs="宋体"/>
          <w:kern w:val="0"/>
          <w:sz w:val="24"/>
          <w:highlight w:val="none"/>
          <w:lang w:eastAsia="zh-CN"/>
        </w:rPr>
        <w:t>（负责人）</w:t>
      </w:r>
      <w:r>
        <w:rPr>
          <w:rFonts w:hint="eastAsia" w:ascii="宋体" w:hAnsi="宋体" w:eastAsia="宋体" w:cs="宋体"/>
          <w:kern w:val="0"/>
          <w:sz w:val="24"/>
          <w:highlight w:val="none"/>
          <w:u w:val="single"/>
        </w:rPr>
        <w:t xml:space="preserve">        （法定代表人或负责人姓名、职务）</w:t>
      </w:r>
      <w:r>
        <w:rPr>
          <w:rFonts w:hint="eastAsia" w:ascii="宋体" w:hAnsi="宋体" w:eastAsia="宋体" w:cs="宋体"/>
          <w:kern w:val="0"/>
          <w:sz w:val="24"/>
          <w:highlight w:val="none"/>
        </w:rPr>
        <w:t>代表本公司授权</w:t>
      </w:r>
      <w:r>
        <w:rPr>
          <w:rFonts w:hint="eastAsia" w:ascii="宋体" w:hAnsi="宋体" w:eastAsia="宋体" w:cs="宋体"/>
          <w:kern w:val="0"/>
          <w:sz w:val="24"/>
          <w:highlight w:val="none"/>
          <w:u w:val="single"/>
        </w:rPr>
        <w:t xml:space="preserve">     （被授权人姓名、职务）</w:t>
      </w:r>
      <w:r>
        <w:rPr>
          <w:rFonts w:hint="eastAsia" w:ascii="宋体" w:hAnsi="宋体" w:eastAsia="宋体" w:cs="宋体"/>
          <w:kern w:val="0"/>
          <w:sz w:val="24"/>
          <w:highlight w:val="none"/>
        </w:rPr>
        <w:t>为本公司的合法代理人，就贵方组织的</w:t>
      </w:r>
      <w:r>
        <w:rPr>
          <w:rFonts w:hint="eastAsia" w:ascii="宋体" w:hAnsi="宋体" w:eastAsia="宋体" w:cs="宋体"/>
          <w:kern w:val="0"/>
          <w:sz w:val="24"/>
          <w:highlight w:val="none"/>
          <w:u w:val="single"/>
        </w:rPr>
        <w:t xml:space="preserve">            项目</w:t>
      </w:r>
      <w:r>
        <w:rPr>
          <w:rFonts w:hint="eastAsia" w:ascii="宋体" w:hAnsi="宋体" w:eastAsia="宋体" w:cs="宋体"/>
          <w:kern w:val="0"/>
          <w:sz w:val="24"/>
          <w:highlight w:val="none"/>
        </w:rPr>
        <w:t>，</w:t>
      </w:r>
      <w:r>
        <w:rPr>
          <w:rFonts w:hint="eastAsia" w:ascii="宋体" w:hAnsi="宋体" w:eastAsia="宋体" w:cs="宋体"/>
          <w:kern w:val="0"/>
          <w:sz w:val="24"/>
          <w:highlight w:val="none"/>
          <w:u w:val="none"/>
        </w:rPr>
        <w:t>项目编号：</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，以本公司名义处理一切与之有关的事务。</w:t>
      </w:r>
    </w:p>
    <w:p>
      <w:pPr>
        <w:snapToGrid w:val="0"/>
        <w:spacing w:line="360" w:lineRule="auto"/>
        <w:ind w:firstLine="480"/>
        <w:jc w:val="left"/>
        <w:outlineLvl w:val="9"/>
        <w:rPr>
          <w:rFonts w:hint="eastAsia" w:ascii="宋体" w:hAnsi="宋体" w:eastAsia="宋体" w:cs="宋体"/>
          <w:kern w:val="0"/>
          <w:sz w:val="24"/>
          <w:highlight w:val="none"/>
        </w:rPr>
      </w:pPr>
    </w:p>
    <w:p>
      <w:pPr>
        <w:snapToGrid w:val="0"/>
        <w:spacing w:line="360" w:lineRule="auto"/>
        <w:ind w:firstLine="48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本授权书于    年  月  日起生效。</w:t>
      </w:r>
    </w:p>
    <w:p>
      <w:pPr>
        <w:snapToGrid w:val="0"/>
        <w:spacing w:line="360" w:lineRule="auto"/>
        <w:ind w:firstLine="480"/>
        <w:jc w:val="left"/>
        <w:outlineLvl w:val="9"/>
        <w:rPr>
          <w:rFonts w:hint="eastAsia" w:ascii="宋体" w:hAnsi="宋体" w:eastAsia="宋体" w:cs="宋体"/>
          <w:kern w:val="0"/>
          <w:sz w:val="24"/>
          <w:highlight w:val="none"/>
        </w:rPr>
      </w:pPr>
    </w:p>
    <w:p>
      <w:pPr>
        <w:snapToGrid w:val="0"/>
        <w:spacing w:line="360" w:lineRule="auto"/>
        <w:ind w:firstLine="48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特此声明</w:t>
      </w:r>
    </w:p>
    <w:p>
      <w:pPr>
        <w:snapToGrid w:val="0"/>
        <w:spacing w:line="480" w:lineRule="auto"/>
        <w:ind w:firstLine="3684" w:firstLineChars="1535"/>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snapToGrid w:val="0"/>
        <w:spacing w:line="480" w:lineRule="auto"/>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法定代表人</w:t>
      </w:r>
      <w:r>
        <w:rPr>
          <w:rFonts w:hint="eastAsia" w:ascii="宋体" w:hAnsi="宋体" w:eastAsia="宋体" w:cs="宋体"/>
          <w:kern w:val="0"/>
          <w:sz w:val="24"/>
          <w:highlight w:val="none"/>
          <w:lang w:eastAsia="zh-CN"/>
        </w:rPr>
        <w:t>（负责人）</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pPr>
        <w:snapToGrid w:val="0"/>
        <w:spacing w:line="48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被授权人代表：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pPr>
        <w:snapToGrid w:val="0"/>
        <w:spacing w:line="480" w:lineRule="auto"/>
        <w:ind w:firstLine="3840" w:firstLineChars="1600"/>
        <w:jc w:val="left"/>
        <w:outlineLvl w:val="9"/>
        <w:rPr>
          <w:rFonts w:hint="eastAsia" w:eastAsia="宋体"/>
          <w:lang w:val="en-US" w:eastAsia="zh-CN"/>
        </w:rPr>
      </w:pPr>
      <w:r>
        <w:rPr>
          <w:rFonts w:hint="eastAsia" w:ascii="宋体" w:hAnsi="宋体" w:eastAsia="宋体" w:cs="宋体"/>
          <w:kern w:val="0"/>
          <w:sz w:val="24"/>
          <w:highlight w:val="none"/>
          <w:lang w:val="en-US" w:eastAsia="zh-CN"/>
        </w:rPr>
        <w:t>日      期：</w:t>
      </w:r>
    </w:p>
    <w:p>
      <w:pPr>
        <w:tabs>
          <w:tab w:val="left" w:pos="730"/>
        </w:tabs>
        <w:snapToGrid w:val="0"/>
        <w:spacing w:line="360" w:lineRule="auto"/>
        <w:outlineLvl w:val="9"/>
        <w:rPr>
          <w:rFonts w:hint="eastAsia" w:ascii="宋体" w:hAnsi="宋体" w:eastAsia="宋体" w:cs="宋体"/>
          <w:kern w:val="0"/>
          <w:sz w:val="24"/>
          <w:highlight w:val="none"/>
        </w:rPr>
      </w:pPr>
      <w:r>
        <w:rPr>
          <w:rFonts w:hint="eastAsia" w:ascii="宋体" w:hAnsi="宋体" w:eastAsia="宋体" w:cs="宋体"/>
          <w:color w:val="000000"/>
          <w:kern w:val="0"/>
          <w:sz w:val="24"/>
          <w:highlight w:val="none"/>
          <w:lang w:eastAsia="zh-CN"/>
        </w:rPr>
        <w:t>附被授权人身份证正反面扫描件或影印件</w:t>
      </w:r>
      <w:r>
        <w:rPr>
          <w:rFonts w:hint="eastAsia" w:ascii="宋体" w:hAnsi="宋体" w:eastAsia="宋体" w:cs="宋体"/>
          <w:kern w:val="0"/>
          <w:sz w:val="24"/>
          <w:highlight w:val="none"/>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6" w:hRule="atLeast"/>
        </w:trPr>
        <w:tc>
          <w:tcPr>
            <w:tcW w:w="4615" w:type="dxa"/>
            <w:noWrap w:val="0"/>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4"/>
                <w:highlight w:val="none"/>
              </w:rPr>
            </w:pPr>
          </w:p>
        </w:tc>
        <w:tc>
          <w:tcPr>
            <w:tcW w:w="4615" w:type="dxa"/>
            <w:noWrap w:val="0"/>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4"/>
                <w:highlight w:val="none"/>
              </w:rPr>
            </w:pPr>
          </w:p>
        </w:tc>
      </w:tr>
    </w:tbl>
    <w:p>
      <w:pPr>
        <w:snapToGrid w:val="0"/>
        <w:spacing w:line="360" w:lineRule="auto"/>
        <w:jc w:val="left"/>
        <w:outlineLvl w:val="9"/>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注：</w:t>
      </w:r>
    </w:p>
    <w:p>
      <w:pPr>
        <w:snapToGrid w:val="0"/>
        <w:spacing w:line="360" w:lineRule="auto"/>
        <w:ind w:firstLine="482" w:firstLineChars="200"/>
        <w:jc w:val="left"/>
        <w:outlineLvl w:val="9"/>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 xml:space="preserve">1. 除可填报项目外，对本法定代表人授权委托书内容的任何修改将被视为未实质性响应，从而导致该响应文件被拒绝； </w:t>
      </w:r>
    </w:p>
    <w:p>
      <w:pPr>
        <w:tabs>
          <w:tab w:val="left" w:pos="567"/>
        </w:tabs>
        <w:snapToGrid w:val="0"/>
        <w:spacing w:line="360" w:lineRule="auto"/>
        <w:ind w:firstLine="482" w:firstLineChars="200"/>
        <w:jc w:val="left"/>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2. 若供应商授权代表为法定代表人（负责人）的可不提供。</w:t>
      </w:r>
    </w:p>
    <w:p>
      <w:pPr>
        <w:snapToGrid w:val="0"/>
        <w:spacing w:line="360" w:lineRule="auto"/>
        <w:outlineLvl w:val="2"/>
        <w:rPr>
          <w:rFonts w:hint="eastAsia" w:ascii="宋体" w:hAnsi="宋体" w:eastAsia="宋体" w:cs="宋体"/>
          <w:b/>
          <w:kern w:val="0"/>
          <w:sz w:val="24"/>
          <w:highlight w:val="none"/>
          <w:lang w:val="en-US"/>
        </w:rPr>
      </w:pPr>
      <w:r>
        <w:rPr>
          <w:rFonts w:hint="eastAsia" w:ascii="宋体" w:hAnsi="宋体" w:eastAsia="宋体" w:cs="宋体"/>
          <w:b/>
          <w:kern w:val="0"/>
          <w:sz w:val="24"/>
          <w:highlight w:val="none"/>
        </w:rPr>
        <w:br w:type="page"/>
      </w:r>
      <w:bookmarkStart w:id="48" w:name="_Toc1080"/>
      <w:r>
        <w:rPr>
          <w:rFonts w:hint="eastAsia" w:ascii="宋体" w:hAnsi="宋体" w:eastAsia="宋体" w:cs="宋体"/>
          <w:b/>
          <w:kern w:val="0"/>
          <w:sz w:val="24"/>
          <w:highlight w:val="none"/>
          <w:lang w:val="en-US" w:eastAsia="zh-CN"/>
        </w:rPr>
        <w:t>3</w:t>
      </w:r>
      <w:r>
        <w:rPr>
          <w:rFonts w:hint="eastAsia" w:ascii="宋体" w:hAnsi="宋体" w:eastAsia="宋体" w:cs="宋体"/>
          <w:b/>
          <w:kern w:val="0"/>
          <w:sz w:val="24"/>
          <w:highlight w:val="none"/>
        </w:rPr>
        <w:t>．</w:t>
      </w:r>
      <w:r>
        <w:rPr>
          <w:rFonts w:hint="eastAsia" w:ascii="宋体" w:hAnsi="宋体" w:eastAsia="宋体" w:cs="宋体"/>
          <w:b/>
          <w:kern w:val="0"/>
          <w:sz w:val="24"/>
          <w:highlight w:val="none"/>
          <w:lang w:val="en-US" w:eastAsia="zh-CN"/>
        </w:rPr>
        <w:t>磋商函</w:t>
      </w:r>
      <w:bookmarkEnd w:id="48"/>
    </w:p>
    <w:p>
      <w:pPr>
        <w:spacing w:line="480" w:lineRule="exact"/>
        <w:jc w:val="center"/>
        <w:outlineLvl w:val="9"/>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lang w:val="en-US" w:eastAsia="zh-CN"/>
        </w:rPr>
        <w:t>磋 商</w:t>
      </w:r>
      <w:r>
        <w:rPr>
          <w:rFonts w:hint="eastAsia" w:ascii="宋体" w:hAnsi="宋体" w:eastAsia="宋体" w:cs="宋体"/>
          <w:b/>
          <w:kern w:val="0"/>
          <w:sz w:val="36"/>
          <w:szCs w:val="36"/>
          <w:highlight w:val="none"/>
        </w:rPr>
        <w:t xml:space="preserve">  函</w:t>
      </w:r>
    </w:p>
    <w:p>
      <w:pPr>
        <w:tabs>
          <w:tab w:val="left" w:pos="4860"/>
        </w:tabs>
        <w:snapToGrid w:val="0"/>
        <w:spacing w:line="360" w:lineRule="auto"/>
        <w:outlineLvl w:val="9"/>
        <w:rPr>
          <w:rFonts w:hint="eastAsia" w:ascii="宋体" w:hAnsi="宋体" w:eastAsia="宋体" w:cs="宋体"/>
          <w:kern w:val="0"/>
          <w:sz w:val="24"/>
          <w:highlight w:val="none"/>
          <w:u w:val="single"/>
        </w:rPr>
      </w:pPr>
    </w:p>
    <w:p>
      <w:pPr>
        <w:snapToGrid w:val="0"/>
        <w:spacing w:line="48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sz w:val="24"/>
          <w:szCs w:val="24"/>
          <w:highlight w:val="none"/>
          <w:u w:val="single"/>
        </w:rPr>
        <w:t xml:space="preserve"> 代理机构名称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（供应商全称）</w:t>
      </w:r>
      <w:r>
        <w:rPr>
          <w:rFonts w:hint="eastAsia" w:ascii="宋体" w:hAnsi="宋体" w:eastAsia="宋体" w:cs="宋体"/>
          <w:kern w:val="0"/>
          <w:sz w:val="24"/>
          <w:szCs w:val="24"/>
          <w:highlight w:val="none"/>
        </w:rPr>
        <w:t>授权</w:t>
      </w:r>
      <w:r>
        <w:rPr>
          <w:rFonts w:hint="eastAsia" w:ascii="宋体" w:hAnsi="宋体" w:eastAsia="宋体" w:cs="宋体"/>
          <w:kern w:val="0"/>
          <w:sz w:val="24"/>
          <w:szCs w:val="24"/>
          <w:highlight w:val="none"/>
          <w:u w:val="single"/>
        </w:rPr>
        <w:t xml:space="preserve">         （供应商授权代表姓名、职务)</w:t>
      </w:r>
      <w:r>
        <w:rPr>
          <w:rFonts w:hint="eastAsia" w:ascii="宋体" w:hAnsi="宋体" w:eastAsia="宋体" w:cs="宋体"/>
          <w:kern w:val="0"/>
          <w:sz w:val="24"/>
          <w:szCs w:val="24"/>
          <w:highlight w:val="none"/>
        </w:rPr>
        <w:t>为我方代表，参加贵方组织的</w:t>
      </w:r>
      <w:r>
        <w:rPr>
          <w:rFonts w:hint="eastAsia" w:ascii="宋体" w:hAnsi="宋体" w:eastAsia="宋体" w:cs="宋体"/>
          <w:kern w:val="0"/>
          <w:sz w:val="24"/>
          <w:szCs w:val="24"/>
          <w:highlight w:val="none"/>
          <w:u w:val="single"/>
        </w:rPr>
        <w:t xml:space="preserve">       （项目名称）   （项目编号）     </w:t>
      </w:r>
      <w:r>
        <w:rPr>
          <w:rFonts w:hint="eastAsia" w:ascii="宋体" w:hAnsi="宋体" w:eastAsia="宋体" w:cs="宋体"/>
          <w:kern w:val="0"/>
          <w:sz w:val="24"/>
          <w:szCs w:val="24"/>
          <w:highlight w:val="none"/>
        </w:rPr>
        <w:t>磋商的有关活动，并对此项目进行报价。为此：</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1．我方同意在本项目响应文件中规定的响应文件提交截止之日起</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个日历天内遵守本响应文件中的承诺且在此期限期满之前均具有约束力。</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2．我方承诺已经具备《中华人民共和国政府采购法》</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《政府采购竞争性磋商采购方式管理暂行办法》中规定的参加采购活动的供应商应当具备的全部条件。</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3．提供供应商须知规定的全部响应文件。</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4．按响应文件要求提供和交付的货物和服务的报价详见报价一览表。</w:t>
      </w:r>
    </w:p>
    <w:p>
      <w:pPr>
        <w:tabs>
          <w:tab w:val="left" w:pos="1680"/>
        </w:tabs>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5．我方承诺：完全理解并接受磋商报价超过</w:t>
      </w:r>
      <w:r>
        <w:rPr>
          <w:rFonts w:hint="eastAsia" w:ascii="宋体" w:hAnsi="宋体" w:eastAsia="宋体" w:cs="宋体"/>
          <w:kern w:val="0"/>
          <w:sz w:val="24"/>
          <w:szCs w:val="24"/>
          <w:highlight w:val="none"/>
          <w:lang w:val="en-US" w:eastAsia="zh-CN"/>
        </w:rPr>
        <w:t>最高限价</w:t>
      </w:r>
      <w:r>
        <w:rPr>
          <w:rFonts w:hint="eastAsia" w:ascii="宋体" w:hAnsi="宋体" w:eastAsia="宋体" w:cs="宋体"/>
          <w:kern w:val="0"/>
          <w:sz w:val="24"/>
          <w:szCs w:val="24"/>
          <w:highlight w:val="none"/>
        </w:rPr>
        <w:t>时，磋商将被拒绝。</w:t>
      </w:r>
    </w:p>
    <w:p>
      <w:pPr>
        <w:tabs>
          <w:tab w:val="left" w:pos="1680"/>
        </w:tabs>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6．保证忠实地执行双方所签订的合同，并承担合同规定的责任和义务。</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7．承诺完全满足和响应磋商文件中的各项商务和技术要求，若有偏差，已在响应文件商务和技术条款偏离表中予以明确特别说明。</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8．保证遵守磋商文件的规定。</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9．如果在规定的响应文件有效期内撤回响应文件，我方的磋商保证金可被贵方没收。</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10．我方完全理解贵方不接受可选择性报价。</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11．我方愿意向贵方提供任何与本项磋商有关的数据、情况和技术资料。若贵方需要，我方愿意提供我方做出的一切承诺的证明材料。</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12．我方已详细审核全部响应文件，包括响应文件修改书（如有的话）、参考资料及有关附件，确认无误。</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13．我方承诺：采购人若需追加采购本项目响应文件所列货物及相关服务的，在不改变合同其他实质性条款的前提下，按相同或更优惠的折扣并保证供货质量。</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14．我方承诺接受磋商文件中《采购合同范本》的全部条款且无任何异议。</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15．我方将严格遵守《中华人民共和国政府采购法》</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（1）提供虚假材料谋取成交、成交的；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（2）采取不正当手段诋毁、排挤其他供应商的；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（3）与采购人、其它供应商或者代理机构工作人员恶意串通的；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（4）向采购人、代理机构工作人员行贿或者提供其他不正当利益的；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（5）响应文件提交截止时间后撤回响应文件的；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（6）在磋商期间，影响代理机构或磋商小组正常履行职责的；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（7）未经代理机构同意，在采购过程中与采购人进行协商磋商的；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（8）成交后未按磋商文件、响应文件及相关承诺规定签约或与采购人订立背离合同实质性内容的其它协议的；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（9）未按磋商文件规定和合同约定履行义务的；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（10）拒绝有关部门监督检查或提供虚假情况的；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（11）违</w:t>
      </w:r>
      <w:r>
        <w:rPr>
          <w:rFonts w:hint="eastAsia" w:ascii="宋体" w:hAnsi="宋体" w:eastAsia="宋体" w:cs="宋体"/>
          <w:kern w:val="0"/>
          <w:sz w:val="24"/>
          <w:szCs w:val="24"/>
          <w:highlight w:val="none"/>
          <w:lang w:val="en-US" w:eastAsia="zh-CN"/>
        </w:rPr>
        <w:t>反</w:t>
      </w:r>
      <w:r>
        <w:rPr>
          <w:rFonts w:hint="eastAsia" w:ascii="宋体" w:hAnsi="宋体" w:eastAsia="宋体" w:cs="宋体"/>
          <w:kern w:val="0"/>
          <w:sz w:val="24"/>
          <w:szCs w:val="24"/>
          <w:highlight w:val="none"/>
        </w:rPr>
        <w:t>法律法规规定的其他行为。</w:t>
      </w:r>
    </w:p>
    <w:p>
      <w:pPr>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所有有关本磋商项目的一切往来联系方式为：</w:t>
      </w:r>
    </w:p>
    <w:p>
      <w:pPr>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                            邮编：</w:t>
      </w:r>
      <w:r>
        <w:rPr>
          <w:rFonts w:hint="eastAsia" w:ascii="宋体" w:hAnsi="宋体" w:eastAsia="宋体" w:cs="宋体"/>
          <w:kern w:val="0"/>
          <w:sz w:val="24"/>
          <w:szCs w:val="24"/>
          <w:highlight w:val="none"/>
        </w:rPr>
        <w:tab/>
      </w:r>
    </w:p>
    <w:p>
      <w:pPr>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                            传真：</w:t>
      </w:r>
    </w:p>
    <w:p>
      <w:pPr>
        <w:tabs>
          <w:tab w:val="left" w:pos="480"/>
        </w:tabs>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供应商授权代表姓名：</w:t>
      </w:r>
    </w:p>
    <w:p>
      <w:pPr>
        <w:tabs>
          <w:tab w:val="left" w:pos="480"/>
        </w:tabs>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供应商授权代表联系电话：                （办公）         （移动）</w:t>
      </w:r>
    </w:p>
    <w:p>
      <w:pPr>
        <w:tabs>
          <w:tab w:val="left" w:pos="480"/>
        </w:tabs>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E-mail:</w:t>
      </w:r>
    </w:p>
    <w:p>
      <w:pPr>
        <w:tabs>
          <w:tab w:val="left" w:pos="4000"/>
        </w:tabs>
        <w:snapToGrid w:val="0"/>
        <w:spacing w:line="480" w:lineRule="auto"/>
        <w:ind w:firstLine="3600" w:firstLineChars="15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(盖章)</w:t>
      </w:r>
    </w:p>
    <w:p>
      <w:pPr>
        <w:tabs>
          <w:tab w:val="left" w:pos="4000"/>
        </w:tabs>
        <w:snapToGrid w:val="0"/>
        <w:spacing w:line="48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法定代表人（负责人）或供应商授权代表：</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(签字或盖章)</w:t>
      </w:r>
    </w:p>
    <w:p>
      <w:pPr>
        <w:tabs>
          <w:tab w:val="left" w:pos="4000"/>
        </w:tabs>
        <w:snapToGrid w:val="0"/>
        <w:spacing w:line="480" w:lineRule="auto"/>
        <w:ind w:firstLine="3600" w:firstLineChars="15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期：</w:t>
      </w:r>
    </w:p>
    <w:p>
      <w:pPr>
        <w:snapToGrid w:val="0"/>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注：除可填报项目外，对本磋商函内容的修改将被视为非实质性响应，从而导致该响应文件无效。</w:t>
      </w:r>
    </w:p>
    <w:p>
      <w:pPr>
        <w:pStyle w:val="40"/>
        <w:outlineLvl w:val="9"/>
        <w:rPr>
          <w:rFonts w:hint="eastAsia" w:ascii="宋体" w:hAnsi="宋体" w:eastAsia="宋体" w:cs="宋体"/>
          <w:highlight w:val="none"/>
        </w:rPr>
      </w:pPr>
    </w:p>
    <w:p>
      <w:pPr>
        <w:snapToGrid w:val="0"/>
        <w:spacing w:line="360" w:lineRule="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bookmarkStart w:id="49" w:name="_Toc18182"/>
      <w:r>
        <w:rPr>
          <w:rFonts w:hint="eastAsia" w:ascii="宋体" w:hAnsi="宋体" w:eastAsia="宋体" w:cs="宋体"/>
          <w:b/>
          <w:kern w:val="0"/>
          <w:sz w:val="24"/>
          <w:highlight w:val="none"/>
          <w:lang w:val="en-US" w:eastAsia="zh-CN"/>
        </w:rPr>
        <w:t>4</w:t>
      </w:r>
      <w:r>
        <w:rPr>
          <w:rFonts w:hint="eastAsia" w:ascii="宋体" w:hAnsi="宋体" w:eastAsia="宋体" w:cs="宋体"/>
          <w:b/>
          <w:kern w:val="0"/>
          <w:sz w:val="24"/>
          <w:highlight w:val="none"/>
        </w:rPr>
        <w:t>．报价</w:t>
      </w:r>
      <w:r>
        <w:rPr>
          <w:rFonts w:hint="eastAsia" w:ascii="宋体" w:hAnsi="宋体" w:eastAsia="宋体" w:cs="宋体"/>
          <w:b/>
          <w:color w:val="000000"/>
          <w:kern w:val="0"/>
          <w:sz w:val="24"/>
          <w:highlight w:val="none"/>
          <w:lang w:val="en-US" w:eastAsia="zh-CN"/>
        </w:rPr>
        <w:t>一览表</w:t>
      </w:r>
      <w:bookmarkEnd w:id="49"/>
    </w:p>
    <w:p>
      <w:pPr>
        <w:pStyle w:val="40"/>
        <w:outlineLvl w:val="9"/>
        <w:rPr>
          <w:rFonts w:hint="eastAsia" w:ascii="宋体" w:hAnsi="宋体" w:eastAsia="宋体" w:cs="宋体"/>
          <w:highlight w:val="none"/>
        </w:rPr>
      </w:pPr>
    </w:p>
    <w:p>
      <w:pPr>
        <w:snapToGrid w:val="0"/>
        <w:spacing w:line="360" w:lineRule="auto"/>
        <w:jc w:val="center"/>
        <w:outlineLvl w:val="9"/>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报价一览表</w:t>
      </w:r>
    </w:p>
    <w:p>
      <w:pPr>
        <w:snapToGrid w:val="0"/>
        <w:spacing w:line="360" w:lineRule="auto"/>
        <w:jc w:val="left"/>
        <w:outlineLvl w:val="9"/>
        <w:rPr>
          <w:rFonts w:hint="eastAsia" w:ascii="宋体" w:hAnsi="宋体" w:eastAsia="宋体" w:cs="宋体"/>
          <w:kern w:val="0"/>
          <w:sz w:val="24"/>
          <w:highlight w:val="none"/>
        </w:rPr>
      </w:pPr>
    </w:p>
    <w:p>
      <w:pPr>
        <w:snapToGrid w:val="0"/>
        <w:spacing w:line="36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项目名称：</w:t>
      </w:r>
    </w:p>
    <w:p>
      <w:pPr>
        <w:snapToGrid w:val="0"/>
        <w:spacing w:line="36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项目编号：</w:t>
      </w:r>
    </w:p>
    <w:p>
      <w:pPr>
        <w:bidi w:val="0"/>
        <w:jc w:val="right"/>
        <w:rPr>
          <w:rFonts w:hint="default" w:eastAsia="宋体"/>
          <w:sz w:val="24"/>
          <w:szCs w:val="32"/>
          <w:highlight w:val="none"/>
          <w:lang w:val="en-US" w:eastAsia="zh-CN"/>
        </w:rPr>
      </w:pPr>
      <w:r>
        <w:rPr>
          <w:rFonts w:hint="eastAsia"/>
          <w:sz w:val="24"/>
          <w:szCs w:val="32"/>
          <w:highlight w:val="none"/>
          <w:lang w:val="en-US" w:eastAsia="zh-CN"/>
        </w:rPr>
        <w:t>单位：%</w:t>
      </w:r>
    </w:p>
    <w:tbl>
      <w:tblPr>
        <w:tblStyle w:val="4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6"/>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报价（</w:t>
            </w:r>
            <w:r>
              <w:rPr>
                <w:rFonts w:hint="eastAsia" w:ascii="宋体" w:hAnsi="宋体" w:cs="宋体"/>
                <w:kern w:val="0"/>
                <w:sz w:val="24"/>
                <w:szCs w:val="24"/>
                <w:highlight w:val="none"/>
                <w:lang w:val="en-US" w:eastAsia="zh-CN"/>
              </w:rPr>
              <w:t>折扣率、%</w:t>
            </w:r>
            <w:r>
              <w:rPr>
                <w:rFonts w:hint="eastAsia" w:ascii="宋体" w:hAnsi="宋体" w:eastAsia="宋体" w:cs="宋体"/>
                <w:kern w:val="0"/>
                <w:sz w:val="24"/>
                <w:szCs w:val="24"/>
                <w:highlight w:val="none"/>
                <w:lang w:val="en-US" w:eastAsia="zh-CN"/>
              </w:rPr>
              <w:t>）</w:t>
            </w:r>
          </w:p>
        </w:tc>
        <w:tc>
          <w:tcPr>
            <w:tcW w:w="71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baseline"/>
              <w:rPr>
                <w:rFonts w:hint="eastAsia" w:ascii="宋体" w:hAnsi="宋体" w:eastAsia="宋体" w:cs="宋体"/>
                <w:bCs/>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服务</w:t>
            </w:r>
            <w:r>
              <w:rPr>
                <w:rFonts w:hint="eastAsia" w:ascii="宋体" w:hAnsi="宋体" w:eastAsia="宋体" w:cs="宋体"/>
                <w:kern w:val="0"/>
                <w:sz w:val="24"/>
                <w:szCs w:val="24"/>
                <w:highlight w:val="none"/>
                <w:lang w:val="en-US" w:eastAsia="zh-CN"/>
              </w:rPr>
              <w:t>期限</w:t>
            </w:r>
          </w:p>
        </w:tc>
        <w:tc>
          <w:tcPr>
            <w:tcW w:w="71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服务地点</w:t>
            </w:r>
          </w:p>
        </w:tc>
        <w:tc>
          <w:tcPr>
            <w:tcW w:w="71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w:t>
            </w:r>
            <w:r>
              <w:rPr>
                <w:rFonts w:hint="eastAsia" w:ascii="宋体" w:hAnsi="宋体" w:cs="宋体"/>
                <w:kern w:val="0"/>
                <w:sz w:val="24"/>
                <w:szCs w:val="24"/>
                <w:highlight w:val="none"/>
                <w:lang w:val="en-US" w:eastAsia="zh-CN"/>
              </w:rPr>
              <w:t>质量</w:t>
            </w:r>
          </w:p>
        </w:tc>
        <w:tc>
          <w:tcPr>
            <w:tcW w:w="71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备    注</w:t>
            </w:r>
          </w:p>
        </w:tc>
        <w:tc>
          <w:tcPr>
            <w:tcW w:w="71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kern w:val="2"/>
                <w:sz w:val="24"/>
                <w:szCs w:val="24"/>
                <w:highlight w:val="none"/>
              </w:rPr>
            </w:pPr>
          </w:p>
        </w:tc>
      </w:tr>
    </w:tbl>
    <w:p>
      <w:pPr>
        <w:tabs>
          <w:tab w:val="left" w:pos="4000"/>
        </w:tabs>
        <w:snapToGrid w:val="0"/>
        <w:spacing w:line="480" w:lineRule="auto"/>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注：按照《2002年工程勘察设计收费标准》进行折扣报价。</w:t>
      </w:r>
    </w:p>
    <w:p>
      <w:pPr>
        <w:pStyle w:val="19"/>
        <w:ind w:left="0" w:leftChars="0" w:firstLine="0" w:firstLineChars="0"/>
        <w:rPr>
          <w:rFonts w:hint="eastAsia"/>
        </w:rPr>
      </w:pPr>
    </w:p>
    <w:p>
      <w:pPr>
        <w:pStyle w:val="40"/>
        <w:outlineLvl w:val="9"/>
        <w:rPr>
          <w:rFonts w:hint="eastAsia" w:ascii="宋体" w:hAnsi="宋体" w:eastAsia="宋体" w:cs="宋体"/>
          <w:highlight w:val="none"/>
        </w:rPr>
      </w:pPr>
    </w:p>
    <w:p>
      <w:pPr>
        <w:tabs>
          <w:tab w:val="left" w:pos="4000"/>
        </w:tabs>
        <w:snapToGrid w:val="0"/>
        <w:spacing w:line="480" w:lineRule="auto"/>
        <w:ind w:firstLine="2640" w:firstLineChars="11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tabs>
          <w:tab w:val="left" w:pos="3760"/>
        </w:tabs>
        <w:snapToGrid w:val="0"/>
        <w:spacing w:line="480" w:lineRule="auto"/>
        <w:ind w:firstLine="2640" w:firstLineChars="11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供应商授权代表：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pPr>
        <w:snapToGrid w:val="0"/>
        <w:spacing w:line="480" w:lineRule="auto"/>
        <w:outlineLvl w:val="9"/>
        <w:rPr>
          <w:rFonts w:hint="eastAsia" w:ascii="宋体" w:hAnsi="宋体" w:eastAsia="宋体" w:cs="宋体"/>
          <w:b/>
          <w:kern w:val="0"/>
          <w:sz w:val="28"/>
          <w:szCs w:val="28"/>
          <w:highlight w:val="none"/>
        </w:rPr>
      </w:pPr>
      <w:r>
        <w:rPr>
          <w:rFonts w:hint="eastAsia" w:ascii="宋体" w:hAnsi="宋体" w:eastAsia="宋体" w:cs="宋体"/>
          <w:sz w:val="24"/>
          <w:highlight w:val="none"/>
        </w:rPr>
        <w:t xml:space="preserve">                      日      期：</w:t>
      </w:r>
    </w:p>
    <w:p>
      <w:pPr>
        <w:pStyle w:val="40"/>
        <w:outlineLvl w:val="9"/>
        <w:rPr>
          <w:rFonts w:hint="eastAsia" w:ascii="宋体" w:hAnsi="宋体" w:eastAsia="宋体" w:cs="宋体"/>
          <w:highlight w:val="none"/>
        </w:rPr>
      </w:pPr>
    </w:p>
    <w:p>
      <w:pPr>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br w:type="page"/>
      </w:r>
    </w:p>
    <w:p>
      <w:pPr>
        <w:numPr>
          <w:ilvl w:val="0"/>
          <w:numId w:val="0"/>
        </w:numPr>
        <w:snapToGrid w:val="0"/>
        <w:spacing w:line="360" w:lineRule="auto"/>
        <w:jc w:val="both"/>
        <w:outlineLvl w:val="2"/>
        <w:rPr>
          <w:rFonts w:hint="eastAsia" w:ascii="宋体" w:hAnsi="宋体" w:eastAsia="宋体" w:cs="宋体"/>
          <w:b/>
          <w:color w:val="000000"/>
          <w:kern w:val="0"/>
          <w:sz w:val="24"/>
          <w:highlight w:val="none"/>
          <w:lang w:val="en-US" w:eastAsia="zh-CN"/>
        </w:rPr>
      </w:pPr>
      <w:bookmarkStart w:id="50" w:name="_Toc3689"/>
      <w:r>
        <w:rPr>
          <w:rFonts w:hint="eastAsia" w:ascii="宋体" w:hAnsi="宋体" w:cs="宋体"/>
          <w:b/>
          <w:color w:val="000000"/>
          <w:kern w:val="0"/>
          <w:sz w:val="24"/>
          <w:highlight w:val="none"/>
          <w:lang w:val="en-US" w:eastAsia="zh-CN"/>
        </w:rPr>
        <w:t>5</w:t>
      </w:r>
      <w:r>
        <w:rPr>
          <w:rFonts w:hint="eastAsia" w:ascii="宋体" w:hAnsi="宋体" w:eastAsia="宋体" w:cs="宋体"/>
          <w:b/>
          <w:color w:val="000000"/>
          <w:kern w:val="0"/>
          <w:sz w:val="24"/>
          <w:highlight w:val="none"/>
          <w:lang w:val="en-US" w:eastAsia="zh-CN"/>
        </w:rPr>
        <w:t>．商务条款响应表</w:t>
      </w:r>
      <w:bookmarkEnd w:id="50"/>
    </w:p>
    <w:p>
      <w:pPr>
        <w:snapToGrid w:val="0"/>
        <w:spacing w:line="360" w:lineRule="auto"/>
        <w:jc w:val="center"/>
        <w:outlineLvl w:val="9"/>
        <w:rPr>
          <w:rFonts w:hint="eastAsia" w:ascii="宋体" w:hAnsi="宋体" w:eastAsia="宋体" w:cs="宋体"/>
          <w:sz w:val="28"/>
          <w:szCs w:val="28"/>
          <w:highlight w:val="none"/>
        </w:rPr>
      </w:pPr>
      <w:r>
        <w:rPr>
          <w:rFonts w:hint="eastAsia" w:ascii="宋体" w:hAnsi="宋体" w:eastAsia="宋体" w:cs="宋体"/>
          <w:b/>
          <w:bCs/>
          <w:sz w:val="28"/>
          <w:szCs w:val="28"/>
          <w:highlight w:val="none"/>
        </w:rPr>
        <w:t>商务条款响应表</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项目编号：</w:t>
      </w: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820"/>
        <w:gridCol w:w="3220"/>
        <w:gridCol w:w="267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内容</w:t>
            </w: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磋商文件商务要求</w:t>
            </w:r>
          </w:p>
        </w:tc>
        <w:tc>
          <w:tcPr>
            <w:tcW w:w="1389"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响应文件的对应</w:t>
            </w:r>
            <w:r>
              <w:rPr>
                <w:rFonts w:hint="eastAsia" w:ascii="宋体" w:hAnsi="宋体" w:eastAsia="宋体" w:cs="宋体"/>
                <w:sz w:val="24"/>
                <w:szCs w:val="24"/>
                <w:highlight w:val="none"/>
                <w:lang w:val="en-US" w:eastAsia="zh-CN"/>
              </w:rPr>
              <w:t>内容</w:t>
            </w:r>
          </w:p>
        </w:tc>
        <w:tc>
          <w:tcPr>
            <w:tcW w:w="607"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sz w:val="24"/>
                <w:szCs w:val="24"/>
                <w:highlight w:val="none"/>
              </w:rPr>
            </w:pPr>
          </w:p>
        </w:tc>
        <w:tc>
          <w:tcPr>
            <w:tcW w:w="1389"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607"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7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72" w:type="pct"/>
            <w:noWrap w:val="0"/>
            <w:vAlign w:val="center"/>
          </w:tcPr>
          <w:p>
            <w:pPr>
              <w:keepNext w:val="0"/>
              <w:keepLines w:val="0"/>
              <w:suppressLineNumbers w:val="0"/>
              <w:tabs>
                <w:tab w:val="left" w:pos="474"/>
              </w:tabs>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945"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945"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w:t>
            </w:r>
          </w:p>
        </w:tc>
        <w:tc>
          <w:tcPr>
            <w:tcW w:w="1672" w:type="pct"/>
            <w:noWrap w:val="0"/>
            <w:vAlign w:val="top"/>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bl>
    <w:p>
      <w:pPr>
        <w:snapToGrid w:val="0"/>
        <w:outlineLvl w:val="9"/>
        <w:rPr>
          <w:rFonts w:hint="eastAsia" w:ascii="宋体" w:hAnsi="宋体" w:eastAsia="宋体" w:cs="宋体"/>
          <w:sz w:val="24"/>
          <w:highlight w:val="none"/>
          <w:u w:val="single"/>
        </w:rPr>
      </w:pPr>
    </w:p>
    <w:p>
      <w:pPr>
        <w:tabs>
          <w:tab w:val="left" w:pos="4000"/>
        </w:tabs>
        <w:snapToGrid w:val="0"/>
        <w:spacing w:line="480" w:lineRule="auto"/>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注：供应商根据磋商文件第五部分要求，列出偏离情况。如全部响应应在说明一栏写明无偏离或全部响应。</w:t>
      </w:r>
    </w:p>
    <w:p>
      <w:pPr>
        <w:tabs>
          <w:tab w:val="left" w:pos="4000"/>
        </w:tabs>
        <w:snapToGrid w:val="0"/>
        <w:spacing w:line="480" w:lineRule="auto"/>
        <w:ind w:firstLine="2400" w:firstLineChars="1000"/>
        <w:jc w:val="left"/>
        <w:outlineLvl w:val="9"/>
        <w:rPr>
          <w:rFonts w:hint="eastAsia" w:ascii="宋体" w:hAnsi="宋体" w:eastAsia="宋体" w:cs="宋体"/>
          <w:kern w:val="0"/>
          <w:sz w:val="24"/>
          <w:highlight w:val="none"/>
        </w:rPr>
      </w:pPr>
    </w:p>
    <w:p>
      <w:pPr>
        <w:tabs>
          <w:tab w:val="left" w:pos="4000"/>
        </w:tabs>
        <w:snapToGrid w:val="0"/>
        <w:spacing w:line="480" w:lineRule="auto"/>
        <w:ind w:firstLine="2400" w:firstLineChars="1000"/>
        <w:jc w:val="left"/>
        <w:outlineLvl w:val="9"/>
        <w:rPr>
          <w:rFonts w:hint="eastAsia" w:ascii="宋体" w:hAnsi="宋体" w:eastAsia="宋体" w:cs="宋体"/>
          <w:kern w:val="0"/>
          <w:sz w:val="24"/>
          <w:highlight w:val="none"/>
        </w:rPr>
      </w:pPr>
    </w:p>
    <w:p>
      <w:pPr>
        <w:tabs>
          <w:tab w:val="left" w:pos="4000"/>
        </w:tabs>
        <w:snapToGrid w:val="0"/>
        <w:spacing w:line="480" w:lineRule="auto"/>
        <w:ind w:firstLine="2400" w:firstLineChars="10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tabs>
          <w:tab w:val="left" w:pos="4000"/>
        </w:tabs>
        <w:snapToGrid w:val="0"/>
        <w:spacing w:line="480" w:lineRule="auto"/>
        <w:ind w:firstLine="2400" w:firstLineChars="10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供应商授权代表：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pPr>
        <w:snapToGrid w:val="0"/>
        <w:spacing w:line="480" w:lineRule="auto"/>
        <w:outlineLvl w:val="9"/>
        <w:rPr>
          <w:rFonts w:hint="eastAsia" w:ascii="宋体" w:hAnsi="宋体" w:eastAsia="宋体" w:cs="宋体"/>
          <w:b/>
          <w:kern w:val="0"/>
          <w:sz w:val="24"/>
          <w:highlight w:val="none"/>
        </w:rPr>
        <w:sectPr>
          <w:footerReference r:id="rId10" w:type="first"/>
          <w:headerReference r:id="rId8" w:type="default"/>
          <w:footerReference r:id="rId9" w:type="default"/>
          <w:pgSz w:w="11906" w:h="16838"/>
          <w:pgMar w:top="1440" w:right="1247" w:bottom="1440" w:left="1247" w:header="851" w:footer="992" w:gutter="0"/>
          <w:pgNumType w:fmt="decimal"/>
          <w:cols w:space="720" w:num="1"/>
          <w:rtlGutter w:val="0"/>
          <w:docGrid w:type="lines" w:linePitch="312" w:charSpace="0"/>
        </w:sectPr>
      </w:pPr>
      <w:r>
        <w:rPr>
          <w:rFonts w:hint="eastAsia" w:ascii="宋体" w:hAnsi="宋体" w:eastAsia="宋体" w:cs="宋体"/>
          <w:sz w:val="24"/>
          <w:highlight w:val="none"/>
        </w:rPr>
        <w:t xml:space="preserve">                    日      期：</w:t>
      </w:r>
    </w:p>
    <w:p>
      <w:pPr>
        <w:snapToGrid w:val="0"/>
        <w:spacing w:line="360" w:lineRule="auto"/>
        <w:outlineLvl w:val="2"/>
        <w:rPr>
          <w:rFonts w:hint="eastAsia" w:ascii="宋体" w:hAnsi="宋体" w:eastAsia="宋体" w:cs="宋体"/>
          <w:b/>
          <w:bCs/>
          <w:kern w:val="0"/>
          <w:sz w:val="24"/>
          <w:highlight w:val="none"/>
        </w:rPr>
      </w:pPr>
      <w:bookmarkStart w:id="51" w:name="_Toc29960"/>
      <w:r>
        <w:rPr>
          <w:rFonts w:hint="eastAsia" w:ascii="宋体" w:hAnsi="宋体" w:cs="宋体"/>
          <w:b/>
          <w:kern w:val="0"/>
          <w:sz w:val="24"/>
          <w:highlight w:val="none"/>
          <w:lang w:val="en-US" w:eastAsia="zh-CN"/>
        </w:rPr>
        <w:t>6</w:t>
      </w:r>
      <w:r>
        <w:rPr>
          <w:rFonts w:hint="eastAsia" w:ascii="宋体" w:hAnsi="宋体" w:eastAsia="宋体" w:cs="宋体"/>
          <w:b/>
          <w:kern w:val="0"/>
          <w:sz w:val="24"/>
          <w:highlight w:val="none"/>
        </w:rPr>
        <w:t>．</w:t>
      </w:r>
      <w:r>
        <w:rPr>
          <w:rFonts w:hint="eastAsia" w:ascii="宋体" w:hAnsi="宋体" w:eastAsia="宋体" w:cs="宋体"/>
          <w:b/>
          <w:color w:val="000000"/>
          <w:kern w:val="0"/>
          <w:sz w:val="24"/>
          <w:highlight w:val="none"/>
          <w:lang w:val="en-US" w:eastAsia="zh-CN"/>
        </w:rPr>
        <w:t>技术</w:t>
      </w:r>
      <w:r>
        <w:rPr>
          <w:rFonts w:hint="eastAsia" w:ascii="宋体" w:hAnsi="宋体" w:eastAsia="宋体" w:cs="宋体"/>
          <w:b/>
          <w:bCs/>
          <w:sz w:val="24"/>
          <w:szCs w:val="24"/>
          <w:highlight w:val="none"/>
          <w:lang w:val="en-US" w:eastAsia="zh-CN"/>
        </w:rPr>
        <w:t>规范响应及偏离表</w:t>
      </w:r>
      <w:bookmarkEnd w:id="51"/>
    </w:p>
    <w:p>
      <w:pPr>
        <w:widowControl/>
        <w:tabs>
          <w:tab w:val="left" w:pos="-1980"/>
        </w:tabs>
        <w:wordWrap w:val="0"/>
        <w:snapToGrid w:val="0"/>
        <w:spacing w:line="600" w:lineRule="exact"/>
        <w:jc w:val="center"/>
        <w:outlineLvl w:val="9"/>
        <w:rPr>
          <w:rFonts w:hint="eastAsia" w:ascii="宋体" w:hAnsi="宋体" w:eastAsia="宋体" w:cs="宋体"/>
          <w:b/>
          <w:spacing w:val="20"/>
          <w:kern w:val="0"/>
          <w:sz w:val="28"/>
          <w:szCs w:val="28"/>
          <w:highlight w:val="none"/>
        </w:rPr>
      </w:pPr>
      <w:r>
        <w:rPr>
          <w:rFonts w:hint="eastAsia" w:ascii="宋体" w:hAnsi="宋体" w:eastAsia="宋体" w:cs="宋体"/>
          <w:b/>
          <w:spacing w:val="20"/>
          <w:kern w:val="0"/>
          <w:sz w:val="28"/>
          <w:szCs w:val="28"/>
          <w:highlight w:val="none"/>
          <w:lang w:val="en-US" w:eastAsia="zh-CN"/>
        </w:rPr>
        <w:t>技术规范响应及偏离表</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项目编号：</w:t>
      </w:r>
    </w:p>
    <w:tbl>
      <w:tblPr>
        <w:tblStyle w:val="45"/>
        <w:tblW w:w="508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902"/>
        <w:gridCol w:w="1359"/>
        <w:gridCol w:w="2803"/>
        <w:gridCol w:w="1852"/>
        <w:gridCol w:w="1781"/>
        <w:gridCol w:w="9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69" w:type="pct"/>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706" w:type="pct"/>
            <w:tcBorders>
              <w:top w:val="single" w:color="000000" w:sz="6" w:space="0"/>
              <w:left w:val="single" w:color="auto" w:sz="4"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lang w:val="en-US" w:eastAsia="zh-CN"/>
              </w:rPr>
            </w:pPr>
            <w:r>
              <w:rPr>
                <w:rFonts w:hint="eastAsia" w:ascii="Times New Roman" w:hAnsi="Times New Roman" w:cs="Times New Roman"/>
                <w:lang w:val="en-US" w:eastAsia="zh-CN"/>
              </w:rPr>
              <w:t>内容</w:t>
            </w:r>
          </w:p>
        </w:tc>
        <w:tc>
          <w:tcPr>
            <w:tcW w:w="1456"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磋商文件技术</w:t>
            </w:r>
          </w:p>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规范、要求</w:t>
            </w:r>
          </w:p>
        </w:tc>
        <w:tc>
          <w:tcPr>
            <w:tcW w:w="962"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响应文件</w:t>
            </w:r>
          </w:p>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对应</w:t>
            </w:r>
            <w:r>
              <w:rPr>
                <w:rFonts w:hint="eastAsia" w:ascii="宋体" w:hAnsi="宋体" w:eastAsia="宋体" w:cs="宋体"/>
                <w:sz w:val="24"/>
                <w:szCs w:val="24"/>
                <w:highlight w:val="none"/>
                <w:lang w:val="en-US" w:eastAsia="zh-CN"/>
              </w:rPr>
              <w:t>内容</w:t>
            </w:r>
          </w:p>
        </w:tc>
        <w:tc>
          <w:tcPr>
            <w:tcW w:w="925"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偏离情况</w:t>
            </w:r>
          </w:p>
        </w:tc>
        <w:tc>
          <w:tcPr>
            <w:tcW w:w="479"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69" w:type="pct"/>
            <w:tcBorders>
              <w:top w:val="single" w:color="000000" w:sz="6" w:space="0"/>
              <w:left w:val="single" w:color="000000" w:sz="6" w:space="0"/>
              <w:bottom w:val="single" w:color="000000" w:sz="6" w:space="0"/>
              <w:right w:val="single" w:color="auto"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706" w:type="pct"/>
            <w:tcBorders>
              <w:top w:val="single" w:color="000000" w:sz="6" w:space="0"/>
              <w:left w:val="single" w:color="auto"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p>
        </w:tc>
        <w:tc>
          <w:tcPr>
            <w:tcW w:w="1456"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kern w:val="0"/>
                <w:sz w:val="24"/>
                <w:highlight w:val="none"/>
              </w:rPr>
            </w:pPr>
          </w:p>
        </w:tc>
        <w:tc>
          <w:tcPr>
            <w:tcW w:w="962"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925"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479"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69" w:type="pct"/>
            <w:tcBorders>
              <w:top w:val="single" w:color="000000" w:sz="6" w:space="0"/>
              <w:left w:val="single" w:color="000000" w:sz="6" w:space="0"/>
              <w:bottom w:val="single" w:color="000000" w:sz="6" w:space="0"/>
              <w:right w:val="single" w:color="auto"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706" w:type="pct"/>
            <w:tcBorders>
              <w:top w:val="single" w:color="000000" w:sz="6" w:space="0"/>
              <w:left w:val="single" w:color="auto"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p>
        </w:tc>
        <w:tc>
          <w:tcPr>
            <w:tcW w:w="1456"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kern w:val="0"/>
                <w:sz w:val="24"/>
                <w:highlight w:val="none"/>
              </w:rPr>
            </w:pPr>
          </w:p>
        </w:tc>
        <w:tc>
          <w:tcPr>
            <w:tcW w:w="962"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925"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479"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69" w:type="pct"/>
            <w:tcBorders>
              <w:top w:val="single" w:color="000000" w:sz="6" w:space="0"/>
              <w:left w:val="single" w:color="000000" w:sz="6" w:space="0"/>
              <w:bottom w:val="single" w:color="000000" w:sz="6" w:space="0"/>
              <w:right w:val="single" w:color="auto"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706" w:type="pct"/>
            <w:tcBorders>
              <w:top w:val="single" w:color="000000" w:sz="6" w:space="0"/>
              <w:left w:val="single" w:color="auto"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p>
        </w:tc>
        <w:tc>
          <w:tcPr>
            <w:tcW w:w="1456"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kern w:val="0"/>
                <w:sz w:val="24"/>
                <w:highlight w:val="none"/>
              </w:rPr>
            </w:pPr>
          </w:p>
        </w:tc>
        <w:tc>
          <w:tcPr>
            <w:tcW w:w="962"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925"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479"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69" w:type="pct"/>
            <w:tcBorders>
              <w:top w:val="single" w:color="000000" w:sz="6" w:space="0"/>
              <w:left w:val="single" w:color="000000" w:sz="6" w:space="0"/>
              <w:bottom w:val="single" w:color="000000" w:sz="6" w:space="0"/>
              <w:right w:val="single" w:color="auto"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w:t>
            </w:r>
          </w:p>
        </w:tc>
        <w:tc>
          <w:tcPr>
            <w:tcW w:w="706" w:type="pct"/>
            <w:tcBorders>
              <w:top w:val="single" w:color="000000" w:sz="6" w:space="0"/>
              <w:left w:val="single" w:color="auto"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p>
        </w:tc>
        <w:tc>
          <w:tcPr>
            <w:tcW w:w="1456"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p>
        </w:tc>
        <w:tc>
          <w:tcPr>
            <w:tcW w:w="962"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p>
        </w:tc>
        <w:tc>
          <w:tcPr>
            <w:tcW w:w="925"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p>
        </w:tc>
        <w:tc>
          <w:tcPr>
            <w:tcW w:w="479"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r>
    </w:tbl>
    <w:p>
      <w:pPr>
        <w:widowControl/>
        <w:wordWrap w:val="0"/>
        <w:snapToGrid w:val="0"/>
        <w:spacing w:line="600" w:lineRule="exact"/>
        <w:jc w:val="left"/>
        <w:outlineLvl w:val="9"/>
        <w:rPr>
          <w:rFonts w:hint="eastAsia" w:ascii="宋体" w:hAnsi="宋体" w:eastAsia="宋体" w:cs="宋体"/>
          <w:kern w:val="0"/>
          <w:sz w:val="24"/>
          <w:highlight w:val="none"/>
        </w:rPr>
      </w:pPr>
      <w:r>
        <w:rPr>
          <w:rFonts w:hint="eastAsia" w:ascii="宋体" w:hAnsi="宋体" w:eastAsia="宋体" w:cs="宋体"/>
          <w:spacing w:val="20"/>
          <w:kern w:val="0"/>
          <w:sz w:val="28"/>
          <w:szCs w:val="28"/>
          <w:highlight w:val="none"/>
        </w:rPr>
        <w:t xml:space="preserve">    </w:t>
      </w:r>
    </w:p>
    <w:p>
      <w:pPr>
        <w:tabs>
          <w:tab w:val="left" w:pos="4000"/>
        </w:tabs>
        <w:snapToGrid w:val="0"/>
        <w:spacing w:line="480" w:lineRule="auto"/>
        <w:jc w:val="left"/>
        <w:rPr>
          <w:rFonts w:hint="default" w:ascii="宋体" w:hAnsi="宋体" w:eastAsia="宋体" w:cs="宋体"/>
          <w:kern w:val="0"/>
          <w:sz w:val="24"/>
          <w:highlight w:val="none"/>
          <w:lang w:val="en-US" w:eastAsia="zh-CN"/>
        </w:rPr>
      </w:pPr>
      <w:r>
        <w:rPr>
          <w:rFonts w:hint="eastAsia" w:ascii="宋体" w:hAnsi="宋体" w:eastAsia="宋体" w:cs="宋体"/>
          <w:spacing w:val="20"/>
          <w:kern w:val="0"/>
          <w:sz w:val="24"/>
          <w:highlight w:val="none"/>
        </w:rPr>
        <w:t> </w:t>
      </w:r>
      <w:r>
        <w:rPr>
          <w:rFonts w:hint="eastAsia" w:ascii="宋体" w:hAnsi="宋体" w:eastAsia="宋体" w:cs="宋体"/>
          <w:kern w:val="0"/>
          <w:sz w:val="24"/>
          <w:highlight w:val="none"/>
          <w:lang w:val="en-US" w:eastAsia="zh-CN"/>
        </w:rPr>
        <w:t>注：供应商根据磋商文件第五部分要求，列出偏离情况。如全部响应应在偏离情况中写明无偏离或全部响应。</w:t>
      </w:r>
    </w:p>
    <w:p>
      <w:pPr>
        <w:widowControl/>
        <w:wordWrap w:val="0"/>
        <w:snapToGrid w:val="0"/>
        <w:spacing w:line="600" w:lineRule="exact"/>
        <w:jc w:val="left"/>
        <w:outlineLvl w:val="9"/>
        <w:rPr>
          <w:rFonts w:hint="eastAsia" w:ascii="宋体" w:hAnsi="宋体" w:eastAsia="宋体" w:cs="宋体"/>
          <w:kern w:val="0"/>
          <w:sz w:val="24"/>
          <w:highlight w:val="none"/>
        </w:rPr>
      </w:pPr>
    </w:p>
    <w:p>
      <w:pPr>
        <w:widowControl/>
        <w:wordWrap w:val="0"/>
        <w:snapToGrid w:val="0"/>
        <w:spacing w:line="600" w:lineRule="exact"/>
        <w:jc w:val="left"/>
        <w:outlineLvl w:val="9"/>
        <w:rPr>
          <w:rFonts w:hint="eastAsia" w:ascii="宋体" w:hAnsi="宋体" w:eastAsia="宋体" w:cs="宋体"/>
          <w:kern w:val="0"/>
          <w:sz w:val="24"/>
          <w:highlight w:val="none"/>
        </w:rPr>
      </w:pPr>
      <w:r>
        <w:rPr>
          <w:rFonts w:hint="eastAsia" w:ascii="宋体" w:hAnsi="宋体" w:eastAsia="宋体" w:cs="宋体"/>
          <w:spacing w:val="20"/>
          <w:kern w:val="0"/>
          <w:sz w:val="24"/>
          <w:highlight w:val="none"/>
        </w:rPr>
        <w:t> </w:t>
      </w:r>
    </w:p>
    <w:p>
      <w:pPr>
        <w:tabs>
          <w:tab w:val="left" w:pos="4000"/>
        </w:tabs>
        <w:snapToGrid w:val="0"/>
        <w:spacing w:line="480" w:lineRule="auto"/>
        <w:ind w:firstLine="2640" w:firstLineChars="11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tabs>
          <w:tab w:val="left" w:pos="3760"/>
        </w:tabs>
        <w:snapToGrid w:val="0"/>
        <w:spacing w:line="480" w:lineRule="auto"/>
        <w:ind w:firstLine="2640" w:firstLineChars="11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供应商授权代表：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pPr>
        <w:snapToGrid w:val="0"/>
        <w:spacing w:line="480" w:lineRule="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                      日     期：</w:t>
      </w:r>
    </w:p>
    <w:p>
      <w:pPr>
        <w:widowControl/>
        <w:tabs>
          <w:tab w:val="left" w:pos="-1980"/>
        </w:tabs>
        <w:wordWrap w:val="0"/>
        <w:snapToGrid w:val="0"/>
        <w:spacing w:line="600" w:lineRule="exact"/>
        <w:jc w:val="center"/>
        <w:outlineLvl w:val="9"/>
        <w:rPr>
          <w:rFonts w:hint="eastAsia" w:ascii="宋体" w:hAnsi="宋体" w:eastAsia="宋体" w:cs="宋体"/>
          <w:b/>
          <w:spacing w:val="20"/>
          <w:kern w:val="0"/>
          <w:sz w:val="28"/>
          <w:szCs w:val="28"/>
          <w:highlight w:val="none"/>
        </w:rPr>
      </w:pPr>
    </w:p>
    <w:p>
      <w:pPr>
        <w:widowControl/>
        <w:tabs>
          <w:tab w:val="left" w:pos="-1980"/>
        </w:tabs>
        <w:wordWrap w:val="0"/>
        <w:snapToGrid w:val="0"/>
        <w:spacing w:line="600" w:lineRule="exact"/>
        <w:jc w:val="center"/>
        <w:outlineLvl w:val="9"/>
        <w:rPr>
          <w:rFonts w:hint="eastAsia" w:ascii="宋体" w:hAnsi="宋体" w:eastAsia="宋体" w:cs="宋体"/>
          <w:b/>
          <w:spacing w:val="20"/>
          <w:kern w:val="0"/>
          <w:sz w:val="28"/>
          <w:szCs w:val="28"/>
          <w:highlight w:val="none"/>
        </w:rPr>
      </w:pPr>
    </w:p>
    <w:p>
      <w:pPr>
        <w:snapToGrid w:val="0"/>
        <w:spacing w:line="360" w:lineRule="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br w:type="page"/>
      </w:r>
      <w:bookmarkStart w:id="52" w:name="_Toc1603"/>
      <w:r>
        <w:rPr>
          <w:rFonts w:hint="eastAsia" w:ascii="宋体" w:hAnsi="宋体" w:cs="宋体"/>
          <w:b/>
          <w:kern w:val="0"/>
          <w:sz w:val="24"/>
          <w:highlight w:val="none"/>
          <w:lang w:val="en-US" w:eastAsia="zh-CN"/>
        </w:rPr>
        <w:t>7</w:t>
      </w:r>
      <w:r>
        <w:rPr>
          <w:rFonts w:hint="eastAsia" w:ascii="宋体" w:hAnsi="宋体" w:eastAsia="宋体" w:cs="宋体"/>
          <w:b/>
          <w:kern w:val="0"/>
          <w:sz w:val="24"/>
          <w:highlight w:val="none"/>
        </w:rPr>
        <w:t>．响应文件提交截止时间</w:t>
      </w:r>
      <w:r>
        <w:rPr>
          <w:rFonts w:hint="eastAsia" w:ascii="宋体" w:hAnsi="宋体" w:cs="宋体"/>
          <w:b/>
          <w:kern w:val="0"/>
          <w:sz w:val="24"/>
          <w:highlight w:val="none"/>
          <w:lang w:val="en-US" w:eastAsia="zh-CN"/>
        </w:rPr>
        <w:t>近五</w:t>
      </w:r>
      <w:r>
        <w:rPr>
          <w:rFonts w:hint="eastAsia" w:ascii="宋体" w:hAnsi="宋体" w:eastAsia="宋体" w:cs="宋体"/>
          <w:b/>
          <w:kern w:val="0"/>
          <w:sz w:val="24"/>
          <w:highlight w:val="none"/>
        </w:rPr>
        <w:t>年内同类项目</w:t>
      </w:r>
      <w:r>
        <w:rPr>
          <w:rFonts w:hint="eastAsia" w:ascii="宋体" w:hAnsi="宋体" w:eastAsia="宋体" w:cs="宋体"/>
          <w:b/>
          <w:kern w:val="0"/>
          <w:sz w:val="24"/>
          <w:highlight w:val="none"/>
          <w:lang w:val="en-US" w:eastAsia="zh-CN"/>
        </w:rPr>
        <w:t>业绩列表</w:t>
      </w:r>
      <w:r>
        <w:rPr>
          <w:rFonts w:hint="eastAsia" w:ascii="宋体" w:hAnsi="宋体" w:eastAsia="宋体" w:cs="宋体"/>
          <w:b/>
          <w:kern w:val="0"/>
          <w:sz w:val="24"/>
          <w:highlight w:val="none"/>
        </w:rPr>
        <w:t>及相关证明资料</w:t>
      </w:r>
      <w:bookmarkEnd w:id="52"/>
    </w:p>
    <w:p>
      <w:pPr>
        <w:spacing w:line="480" w:lineRule="exact"/>
        <w:jc w:val="center"/>
        <w:outlineLvl w:val="9"/>
        <w:rPr>
          <w:rFonts w:hint="eastAsia" w:ascii="宋体" w:hAnsi="宋体" w:eastAsia="宋体" w:cs="宋体"/>
          <w:b/>
          <w:sz w:val="28"/>
          <w:szCs w:val="28"/>
          <w:highlight w:val="none"/>
        </w:rPr>
      </w:pPr>
      <w:r>
        <w:rPr>
          <w:rFonts w:hint="eastAsia" w:ascii="宋体" w:hAnsi="宋体" w:eastAsia="宋体" w:cs="宋体"/>
          <w:b/>
          <w:kern w:val="0"/>
          <w:sz w:val="24"/>
          <w:highlight w:val="none"/>
        </w:rPr>
        <w:t>响应文件提交截止时间</w:t>
      </w:r>
      <w:r>
        <w:rPr>
          <w:rFonts w:hint="eastAsia" w:ascii="宋体" w:hAnsi="宋体" w:cs="宋体"/>
          <w:b/>
          <w:kern w:val="0"/>
          <w:sz w:val="24"/>
          <w:highlight w:val="none"/>
          <w:lang w:val="en-US" w:eastAsia="zh-CN"/>
        </w:rPr>
        <w:t>近五</w:t>
      </w:r>
      <w:r>
        <w:rPr>
          <w:rFonts w:hint="eastAsia" w:ascii="宋体" w:hAnsi="宋体" w:eastAsia="宋体" w:cs="宋体"/>
          <w:b/>
          <w:kern w:val="0"/>
          <w:sz w:val="24"/>
          <w:highlight w:val="none"/>
        </w:rPr>
        <w:t>年内同类项目</w:t>
      </w:r>
      <w:r>
        <w:rPr>
          <w:rFonts w:hint="eastAsia" w:ascii="宋体" w:hAnsi="宋体" w:eastAsia="宋体" w:cs="宋体"/>
          <w:b/>
          <w:kern w:val="0"/>
          <w:sz w:val="24"/>
          <w:highlight w:val="none"/>
          <w:lang w:val="en-US" w:eastAsia="zh-CN"/>
        </w:rPr>
        <w:t>业绩</w:t>
      </w:r>
      <w:r>
        <w:rPr>
          <w:rFonts w:hint="eastAsia" w:ascii="宋体" w:hAnsi="宋体" w:eastAsia="宋体" w:cs="宋体"/>
          <w:b/>
          <w:kern w:val="0"/>
          <w:sz w:val="24"/>
          <w:highlight w:val="none"/>
        </w:rPr>
        <w:t>列表</w:t>
      </w:r>
    </w:p>
    <w:tbl>
      <w:tblPr>
        <w:tblStyle w:val="45"/>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649"/>
        <w:gridCol w:w="1554"/>
        <w:gridCol w:w="2069"/>
        <w:gridCol w:w="1426"/>
        <w:gridCol w:w="1604"/>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9"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序号</w:t>
            </w:r>
          </w:p>
        </w:tc>
        <w:tc>
          <w:tcPr>
            <w:tcW w:w="1649"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使用单位</w:t>
            </w:r>
          </w:p>
        </w:tc>
        <w:tc>
          <w:tcPr>
            <w:tcW w:w="1554"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2069"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合同金额</w:t>
            </w:r>
          </w:p>
        </w:tc>
        <w:tc>
          <w:tcPr>
            <w:tcW w:w="1426"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1604"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电话</w:t>
            </w:r>
          </w:p>
        </w:tc>
        <w:tc>
          <w:tcPr>
            <w:tcW w:w="836"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164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55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206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42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60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83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164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55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206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42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60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83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164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55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206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42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60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83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tc>
        <w:tc>
          <w:tcPr>
            <w:tcW w:w="164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55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206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42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60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83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r>
    </w:tbl>
    <w:p>
      <w:pPr>
        <w:pStyle w:val="141"/>
        <w:snapToGrid w:val="0"/>
        <w:spacing w:line="480" w:lineRule="exact"/>
        <w:ind w:firstLine="542" w:firstLineChars="226"/>
        <w:jc w:val="left"/>
        <w:outlineLvl w:val="9"/>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备注：</w:t>
      </w:r>
      <w:r>
        <w:rPr>
          <w:rFonts w:hint="eastAsia" w:ascii="宋体" w:hAnsi="宋体" w:eastAsia="宋体" w:cs="宋体"/>
          <w:kern w:val="0"/>
          <w:sz w:val="24"/>
          <w:highlight w:val="none"/>
          <w:lang w:val="en-US" w:eastAsia="zh-CN"/>
        </w:rPr>
        <w:t>后附业绩相关证明材料</w:t>
      </w:r>
      <w:r>
        <w:rPr>
          <w:rFonts w:hint="eastAsia" w:ascii="宋体" w:hAnsi="宋体" w:eastAsia="宋体" w:cs="宋体"/>
          <w:kern w:val="0"/>
          <w:sz w:val="24"/>
          <w:highlight w:val="none"/>
          <w:lang w:eastAsia="zh-CN"/>
        </w:rPr>
        <w:t>。</w:t>
      </w:r>
    </w:p>
    <w:p>
      <w:pPr>
        <w:pStyle w:val="141"/>
        <w:snapToGrid w:val="0"/>
        <w:spacing w:line="480" w:lineRule="exact"/>
        <w:ind w:firstLine="542" w:firstLineChars="226"/>
        <w:outlineLvl w:val="9"/>
        <w:rPr>
          <w:rFonts w:hint="eastAsia" w:ascii="宋体" w:hAnsi="宋体" w:eastAsia="宋体" w:cs="宋体"/>
          <w:sz w:val="24"/>
          <w:szCs w:val="24"/>
          <w:highlight w:val="none"/>
        </w:rPr>
      </w:pPr>
    </w:p>
    <w:p>
      <w:pPr>
        <w:pStyle w:val="40"/>
        <w:outlineLvl w:val="9"/>
        <w:rPr>
          <w:rFonts w:hint="eastAsia" w:ascii="宋体" w:hAnsi="宋体" w:eastAsia="宋体" w:cs="宋体"/>
          <w:highlight w:val="none"/>
        </w:rPr>
      </w:pPr>
    </w:p>
    <w:p>
      <w:pPr>
        <w:pStyle w:val="40"/>
        <w:outlineLvl w:val="9"/>
        <w:rPr>
          <w:rFonts w:hint="eastAsia" w:ascii="宋体" w:hAnsi="宋体" w:eastAsia="宋体" w:cs="宋体"/>
          <w:highlight w:val="none"/>
        </w:rPr>
      </w:pPr>
    </w:p>
    <w:p>
      <w:pPr>
        <w:pStyle w:val="40"/>
        <w:outlineLvl w:val="9"/>
        <w:rPr>
          <w:rFonts w:hint="eastAsia" w:ascii="宋体" w:hAnsi="宋体" w:eastAsia="宋体" w:cs="宋体"/>
          <w:highlight w:val="none"/>
        </w:rPr>
      </w:pPr>
    </w:p>
    <w:p>
      <w:pPr>
        <w:pStyle w:val="40"/>
        <w:outlineLvl w:val="9"/>
        <w:rPr>
          <w:rFonts w:hint="eastAsia" w:ascii="宋体" w:hAnsi="宋体" w:eastAsia="宋体" w:cs="宋体"/>
          <w:highlight w:val="none"/>
        </w:rPr>
      </w:pPr>
    </w:p>
    <w:p>
      <w:pPr>
        <w:snapToGrid w:val="0"/>
        <w:spacing w:line="360" w:lineRule="auto"/>
        <w:outlineLvl w:val="2"/>
        <w:rPr>
          <w:rFonts w:hint="eastAsia" w:ascii="宋体" w:hAnsi="宋体" w:eastAsia="宋体" w:cs="宋体"/>
          <w:b/>
          <w:bCs/>
          <w:kern w:val="0"/>
          <w:sz w:val="24"/>
          <w:highlight w:val="none"/>
        </w:rPr>
      </w:pPr>
      <w:r>
        <w:rPr>
          <w:rFonts w:hint="eastAsia" w:ascii="宋体" w:hAnsi="宋体" w:eastAsia="宋体" w:cs="宋体"/>
          <w:b/>
          <w:bCs/>
          <w:sz w:val="24"/>
          <w:highlight w:val="none"/>
        </w:rPr>
        <w:br w:type="page"/>
      </w:r>
      <w:bookmarkStart w:id="53" w:name="_Toc20733"/>
      <w:r>
        <w:rPr>
          <w:rFonts w:hint="eastAsia" w:ascii="宋体" w:hAnsi="宋体" w:cs="宋体"/>
          <w:b/>
          <w:bCs/>
          <w:sz w:val="24"/>
          <w:highlight w:val="none"/>
          <w:lang w:val="en-US" w:eastAsia="zh-CN"/>
        </w:rPr>
        <w:t>8</w:t>
      </w:r>
      <w:r>
        <w:rPr>
          <w:rFonts w:hint="eastAsia" w:ascii="宋体" w:hAnsi="宋体" w:eastAsia="宋体" w:cs="宋体"/>
          <w:b/>
          <w:kern w:val="0"/>
          <w:sz w:val="24"/>
          <w:highlight w:val="none"/>
        </w:rPr>
        <w:t>．</w:t>
      </w:r>
      <w:r>
        <w:rPr>
          <w:rFonts w:hint="eastAsia" w:ascii="宋体" w:hAnsi="宋体" w:eastAsia="宋体" w:cs="宋体"/>
          <w:b/>
          <w:bCs/>
          <w:kern w:val="0"/>
          <w:sz w:val="24"/>
          <w:highlight w:val="none"/>
          <w:lang w:eastAsia="zh-CN"/>
        </w:rPr>
        <w:t>企业相关证件材料</w:t>
      </w:r>
      <w:r>
        <w:rPr>
          <w:rFonts w:hint="eastAsia" w:ascii="宋体" w:hAnsi="宋体" w:eastAsia="宋体" w:cs="宋体"/>
          <w:b/>
          <w:bCs/>
          <w:kern w:val="0"/>
          <w:sz w:val="24"/>
          <w:highlight w:val="none"/>
        </w:rPr>
        <w:t>；（格式自拟，复印件或影印件加盖供应商公章）</w:t>
      </w:r>
      <w:bookmarkEnd w:id="53"/>
    </w:p>
    <w:p>
      <w:pPr>
        <w:pStyle w:val="40"/>
        <w:spacing w:line="360" w:lineRule="auto"/>
        <w:outlineLvl w:val="9"/>
        <w:rPr>
          <w:rFonts w:hint="eastAsia" w:ascii="宋体" w:hAnsi="宋体" w:eastAsia="宋体" w:cs="宋体"/>
          <w:b/>
          <w:bCs/>
          <w:sz w:val="24"/>
          <w:highlight w:val="none"/>
        </w:rPr>
      </w:pPr>
    </w:p>
    <w:p>
      <w:pPr>
        <w:pStyle w:val="40"/>
        <w:spacing w:line="360" w:lineRule="auto"/>
        <w:outlineLvl w:val="9"/>
        <w:rPr>
          <w:rFonts w:hint="eastAsia" w:ascii="宋体" w:hAnsi="宋体" w:eastAsia="宋体" w:cs="宋体"/>
          <w:b/>
          <w:bCs/>
          <w:sz w:val="24"/>
          <w:highlight w:val="none"/>
        </w:rPr>
      </w:pPr>
    </w:p>
    <w:p>
      <w:pPr>
        <w:pStyle w:val="40"/>
        <w:spacing w:line="360" w:lineRule="auto"/>
        <w:outlineLvl w:val="9"/>
        <w:rPr>
          <w:rFonts w:hint="eastAsia" w:ascii="宋体" w:hAnsi="宋体" w:eastAsia="宋体" w:cs="宋体"/>
          <w:b/>
          <w:bCs/>
          <w:sz w:val="24"/>
          <w:highlight w:val="none"/>
        </w:rPr>
      </w:pPr>
    </w:p>
    <w:p>
      <w:pPr>
        <w:snapToGrid w:val="0"/>
        <w:spacing w:line="360" w:lineRule="auto"/>
        <w:outlineLvl w:val="2"/>
        <w:rPr>
          <w:rFonts w:hint="eastAsia" w:ascii="宋体" w:hAnsi="宋体" w:eastAsia="宋体" w:cs="宋体"/>
          <w:b/>
          <w:bCs/>
          <w:sz w:val="24"/>
          <w:highlight w:val="none"/>
        </w:rPr>
      </w:pPr>
      <w:bookmarkStart w:id="54" w:name="_Toc19587"/>
      <w:r>
        <w:rPr>
          <w:rFonts w:hint="eastAsia" w:ascii="宋体" w:hAnsi="宋体" w:cs="宋体"/>
          <w:b/>
          <w:kern w:val="0"/>
          <w:sz w:val="24"/>
          <w:highlight w:val="none"/>
          <w:lang w:val="en-US" w:eastAsia="zh-CN"/>
        </w:rPr>
        <w:t>9</w:t>
      </w:r>
      <w:r>
        <w:rPr>
          <w:rFonts w:hint="eastAsia" w:ascii="宋体" w:hAnsi="宋体" w:eastAsia="宋体" w:cs="宋体"/>
          <w:b/>
          <w:kern w:val="0"/>
          <w:sz w:val="24"/>
          <w:highlight w:val="none"/>
        </w:rPr>
        <w:t>．</w:t>
      </w:r>
      <w:r>
        <w:rPr>
          <w:rFonts w:hint="eastAsia" w:ascii="宋体" w:hAnsi="宋体" w:eastAsia="宋体" w:cs="宋体"/>
          <w:b/>
          <w:bCs/>
          <w:sz w:val="24"/>
          <w:highlight w:val="none"/>
          <w:lang w:eastAsia="zh-CN"/>
        </w:rPr>
        <w:t>拟投入本项目</w:t>
      </w:r>
      <w:r>
        <w:rPr>
          <w:rFonts w:hint="eastAsia" w:ascii="宋体" w:hAnsi="宋体" w:eastAsia="宋体" w:cs="宋体"/>
          <w:b/>
          <w:bCs/>
          <w:sz w:val="24"/>
          <w:highlight w:val="none"/>
          <w:lang w:val="en-US" w:eastAsia="zh-CN"/>
        </w:rPr>
        <w:t>团队成</w:t>
      </w:r>
      <w:r>
        <w:rPr>
          <w:rFonts w:hint="eastAsia" w:ascii="宋体" w:hAnsi="宋体" w:eastAsia="宋体" w:cs="宋体"/>
          <w:b/>
          <w:bCs/>
          <w:sz w:val="24"/>
          <w:highlight w:val="none"/>
          <w:lang w:eastAsia="zh-CN"/>
        </w:rPr>
        <w:t>员</w:t>
      </w:r>
      <w:r>
        <w:rPr>
          <w:rFonts w:hint="eastAsia" w:ascii="宋体" w:hAnsi="宋体" w:eastAsia="宋体" w:cs="宋体"/>
          <w:b/>
          <w:bCs/>
          <w:sz w:val="24"/>
          <w:highlight w:val="none"/>
        </w:rPr>
        <w:t>；</w:t>
      </w:r>
      <w:r>
        <w:rPr>
          <w:rFonts w:hint="eastAsia" w:ascii="宋体" w:hAnsi="宋体" w:eastAsia="宋体" w:cs="宋体"/>
          <w:b/>
          <w:bCs/>
          <w:kern w:val="0"/>
          <w:sz w:val="24"/>
          <w:highlight w:val="none"/>
        </w:rPr>
        <w:t>（格式自拟，复印件或影印件加盖供应商公章）</w:t>
      </w:r>
      <w:bookmarkEnd w:id="54"/>
    </w:p>
    <w:p>
      <w:pPr>
        <w:spacing w:line="420" w:lineRule="exact"/>
        <w:outlineLvl w:val="9"/>
        <w:rPr>
          <w:rFonts w:hint="eastAsia" w:ascii="宋体" w:hAnsi="宋体" w:eastAsia="宋体" w:cs="宋体"/>
          <w:b/>
          <w:bCs/>
          <w:sz w:val="24"/>
          <w:highlight w:val="none"/>
        </w:rPr>
      </w:pPr>
    </w:p>
    <w:p>
      <w:pPr>
        <w:pStyle w:val="40"/>
        <w:outlineLvl w:val="9"/>
        <w:rPr>
          <w:rFonts w:hint="eastAsia" w:ascii="宋体" w:hAnsi="宋体" w:eastAsia="宋体" w:cs="宋体"/>
          <w:highlight w:val="none"/>
        </w:rPr>
      </w:pPr>
    </w:p>
    <w:p>
      <w:pPr>
        <w:spacing w:line="420" w:lineRule="exact"/>
        <w:outlineLvl w:val="9"/>
        <w:rPr>
          <w:rFonts w:hint="eastAsia" w:ascii="宋体" w:hAnsi="宋体" w:eastAsia="宋体" w:cs="宋体"/>
          <w:b/>
          <w:bCs/>
          <w:sz w:val="24"/>
          <w:highlight w:val="none"/>
        </w:rPr>
      </w:pPr>
    </w:p>
    <w:p>
      <w:pPr>
        <w:snapToGrid w:val="0"/>
        <w:spacing w:line="360" w:lineRule="auto"/>
        <w:outlineLvl w:val="2"/>
        <w:rPr>
          <w:rFonts w:hint="eastAsia" w:ascii="宋体" w:hAnsi="宋体" w:eastAsia="宋体" w:cs="宋体"/>
          <w:b/>
          <w:bCs/>
          <w:sz w:val="24"/>
          <w:highlight w:val="none"/>
        </w:rPr>
      </w:pPr>
      <w:bookmarkStart w:id="55" w:name="_Toc514"/>
      <w:r>
        <w:rPr>
          <w:rFonts w:hint="eastAsia" w:ascii="宋体" w:hAnsi="宋体" w:eastAsia="宋体" w:cs="宋体"/>
          <w:b/>
          <w:bCs/>
          <w:sz w:val="24"/>
          <w:highlight w:val="none"/>
        </w:rPr>
        <w:t>1</w:t>
      </w:r>
      <w:r>
        <w:rPr>
          <w:rFonts w:hint="eastAsia" w:ascii="宋体" w:hAnsi="宋体" w:cs="宋体"/>
          <w:b/>
          <w:bCs/>
          <w:sz w:val="24"/>
          <w:highlight w:val="none"/>
          <w:lang w:val="en-US" w:eastAsia="zh-CN"/>
        </w:rPr>
        <w:t>0</w:t>
      </w:r>
      <w:r>
        <w:rPr>
          <w:rFonts w:hint="eastAsia" w:ascii="宋体" w:hAnsi="宋体" w:eastAsia="宋体" w:cs="宋体"/>
          <w:b/>
          <w:kern w:val="0"/>
          <w:sz w:val="24"/>
          <w:highlight w:val="none"/>
        </w:rPr>
        <w:t>．</w:t>
      </w:r>
      <w:bookmarkEnd w:id="55"/>
      <w:bookmarkStart w:id="56" w:name="_Toc8784"/>
      <w:r>
        <w:rPr>
          <w:rFonts w:hint="eastAsia" w:ascii="宋体" w:hAnsi="宋体" w:eastAsia="宋体" w:cs="宋体"/>
          <w:b/>
          <w:bCs/>
          <w:sz w:val="24"/>
          <w:highlight w:val="none"/>
        </w:rPr>
        <w:t>服务方案</w:t>
      </w:r>
      <w:r>
        <w:rPr>
          <w:rFonts w:hint="eastAsia" w:ascii="宋体" w:hAnsi="宋体" w:eastAsia="宋体" w:cs="宋体"/>
          <w:b/>
          <w:bCs/>
          <w:kern w:val="0"/>
          <w:sz w:val="24"/>
          <w:highlight w:val="none"/>
        </w:rPr>
        <w:t>（格式自拟）</w:t>
      </w:r>
      <w:bookmarkEnd w:id="56"/>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12"/>
        <w:rPr>
          <w:rFonts w:hint="eastAsia"/>
          <w:lang w:val="en-US" w:eastAsia="zh-CN"/>
        </w:rPr>
      </w:pPr>
    </w:p>
    <w:p>
      <w:pPr>
        <w:pStyle w:val="12"/>
        <w:rPr>
          <w:rFonts w:hint="eastAsia"/>
          <w:lang w:val="en-US" w:eastAsia="zh-CN"/>
        </w:rPr>
      </w:pPr>
    </w:p>
    <w:p>
      <w:pPr>
        <w:snapToGrid w:val="0"/>
        <w:spacing w:line="360" w:lineRule="auto"/>
        <w:outlineLvl w:val="2"/>
        <w:rPr>
          <w:rFonts w:hint="eastAsia" w:ascii="宋体" w:hAnsi="宋体" w:eastAsia="宋体" w:cs="宋体"/>
          <w:b/>
          <w:bCs/>
          <w:sz w:val="24"/>
          <w:highlight w:val="none"/>
        </w:rPr>
      </w:pPr>
      <w:bookmarkStart w:id="57" w:name="_Toc2799"/>
      <w:r>
        <w:rPr>
          <w:rFonts w:hint="eastAsia" w:ascii="宋体" w:hAnsi="宋体" w:eastAsia="宋体" w:cs="宋体"/>
          <w:b/>
          <w:bCs/>
          <w:sz w:val="24"/>
          <w:highlight w:val="none"/>
          <w:lang w:val="en-US" w:eastAsia="zh-CN"/>
        </w:rPr>
        <w:t>1</w:t>
      </w:r>
      <w:r>
        <w:rPr>
          <w:rFonts w:hint="eastAsia" w:ascii="宋体" w:hAnsi="宋体" w:cs="宋体"/>
          <w:b/>
          <w:bCs/>
          <w:sz w:val="24"/>
          <w:highlight w:val="none"/>
          <w:lang w:val="en-US" w:eastAsia="zh-CN"/>
        </w:rPr>
        <w:t>1</w:t>
      </w:r>
      <w:r>
        <w:rPr>
          <w:rFonts w:hint="eastAsia" w:ascii="宋体" w:hAnsi="宋体" w:eastAsia="宋体" w:cs="宋体"/>
          <w:b/>
          <w:kern w:val="0"/>
          <w:sz w:val="24"/>
          <w:highlight w:val="none"/>
        </w:rPr>
        <w:t>．</w:t>
      </w:r>
      <w:r>
        <w:rPr>
          <w:rFonts w:hint="eastAsia" w:ascii="宋体" w:hAnsi="宋体" w:eastAsia="宋体" w:cs="宋体"/>
          <w:b/>
          <w:bCs/>
          <w:sz w:val="24"/>
          <w:highlight w:val="none"/>
        </w:rPr>
        <w:t>供应商认为需要提供的其他商务、技术材料。</w:t>
      </w:r>
      <w:bookmarkEnd w:id="57"/>
    </w:p>
    <w:p>
      <w:pPr>
        <w:tabs>
          <w:tab w:val="left" w:pos="567"/>
        </w:tabs>
        <w:snapToGrid w:val="0"/>
        <w:spacing w:line="360" w:lineRule="auto"/>
        <w:jc w:val="left"/>
        <w:outlineLvl w:val="9"/>
        <w:rPr>
          <w:rFonts w:hint="eastAsia" w:ascii="宋体" w:hAnsi="宋体" w:eastAsia="宋体" w:cs="宋体"/>
          <w:b/>
          <w:kern w:val="0"/>
          <w:sz w:val="24"/>
          <w:highlight w:val="none"/>
        </w:rPr>
      </w:pPr>
    </w:p>
    <w:p>
      <w:pPr>
        <w:tabs>
          <w:tab w:val="left" w:pos="567"/>
        </w:tabs>
        <w:snapToGrid w:val="0"/>
        <w:spacing w:line="360" w:lineRule="auto"/>
        <w:jc w:val="left"/>
        <w:outlineLvl w:val="9"/>
        <w:rPr>
          <w:rFonts w:hint="eastAsia" w:ascii="宋体" w:hAnsi="宋体" w:eastAsia="宋体" w:cs="宋体"/>
          <w:b/>
          <w:kern w:val="0"/>
          <w:sz w:val="24"/>
          <w:highlight w:val="none"/>
        </w:rPr>
      </w:pPr>
    </w:p>
    <w:p>
      <w:pPr>
        <w:pStyle w:val="40"/>
        <w:spacing w:line="360" w:lineRule="auto"/>
        <w:outlineLvl w:val="9"/>
        <w:rPr>
          <w:rFonts w:hint="eastAsia" w:ascii="宋体" w:hAnsi="宋体" w:eastAsia="宋体" w:cs="宋体"/>
          <w:b/>
          <w:sz w:val="24"/>
          <w:szCs w:val="24"/>
          <w:highlight w:val="none"/>
        </w:rPr>
      </w:pPr>
    </w:p>
    <w:p>
      <w:pPr>
        <w:snapToGrid w:val="0"/>
        <w:spacing w:line="360" w:lineRule="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bookmarkStart w:id="58" w:name="_Toc8255"/>
      <w:r>
        <w:rPr>
          <w:rFonts w:hint="eastAsia" w:ascii="宋体" w:hAnsi="宋体" w:eastAsia="宋体" w:cs="宋体"/>
          <w:b/>
          <w:kern w:val="0"/>
          <w:sz w:val="24"/>
          <w:highlight w:val="none"/>
          <w:lang w:val="en-US" w:eastAsia="zh-CN"/>
        </w:rPr>
        <w:t>1</w:t>
      </w:r>
      <w:r>
        <w:rPr>
          <w:rFonts w:hint="eastAsia" w:ascii="宋体" w:hAnsi="宋体" w:cs="宋体"/>
          <w:b/>
          <w:kern w:val="0"/>
          <w:sz w:val="24"/>
          <w:highlight w:val="none"/>
          <w:lang w:val="en-US" w:eastAsia="zh-CN"/>
        </w:rPr>
        <w:t>2</w:t>
      </w:r>
      <w:r>
        <w:rPr>
          <w:rFonts w:hint="eastAsia" w:ascii="宋体" w:hAnsi="宋体" w:eastAsia="宋体" w:cs="宋体"/>
          <w:b/>
          <w:kern w:val="0"/>
          <w:sz w:val="24"/>
          <w:highlight w:val="none"/>
        </w:rPr>
        <w:t>．政策性要求</w:t>
      </w:r>
      <w:bookmarkEnd w:id="58"/>
    </w:p>
    <w:p>
      <w:pPr>
        <w:spacing w:line="480" w:lineRule="exact"/>
        <w:rPr>
          <w:rFonts w:hint="eastAsia" w:ascii="宋体" w:hAnsi="宋体" w:eastAsia="宋体" w:cs="宋体"/>
          <w:b/>
          <w:sz w:val="24"/>
          <w:highlight w:val="none"/>
        </w:rPr>
      </w:pPr>
      <w:r>
        <w:rPr>
          <w:rFonts w:hint="eastAsia" w:ascii="宋体" w:hAnsi="宋体" w:eastAsia="宋体" w:cs="宋体"/>
          <w:b/>
          <w:sz w:val="24"/>
          <w:highlight w:val="none"/>
        </w:rPr>
        <w:t>（一）环保节能产品证明材料（如不涉及，此函可不提供）</w:t>
      </w:r>
    </w:p>
    <w:p>
      <w:pPr>
        <w:tabs>
          <w:tab w:val="left" w:pos="1680"/>
        </w:tabs>
        <w:snapToGrid w:val="0"/>
        <w:spacing w:line="360" w:lineRule="exact"/>
        <w:rPr>
          <w:rFonts w:hint="eastAsia" w:ascii="宋体" w:hAnsi="宋体" w:eastAsia="宋体" w:cs="宋体"/>
          <w:bCs/>
          <w:sz w:val="24"/>
          <w:highlight w:val="none"/>
        </w:rPr>
      </w:pPr>
      <w:r>
        <w:rPr>
          <w:rFonts w:hint="eastAsia" w:ascii="宋体" w:hAnsi="宋体" w:eastAsia="宋体" w:cs="宋体"/>
          <w:bCs/>
          <w:sz w:val="24"/>
          <w:highlight w:val="none"/>
        </w:rPr>
        <w:t>（1）强制节能产品明细表格式（如本项目所投产品中不涉及强制节能产品，此表可不提供）</w:t>
      </w:r>
    </w:p>
    <w:p>
      <w:pPr>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强制节能产品明细表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包号</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产品名称</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制造商</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产品型号</w:t>
            </w:r>
          </w:p>
        </w:tc>
        <w:tc>
          <w:tcPr>
            <w:tcW w:w="1637"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节能产品认证证书号</w:t>
            </w:r>
          </w:p>
        </w:tc>
        <w:tc>
          <w:tcPr>
            <w:tcW w:w="1860"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认证证书有效截止日期</w:t>
            </w:r>
          </w:p>
        </w:tc>
        <w:tc>
          <w:tcPr>
            <w:tcW w:w="1850"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bl>
    <w:p>
      <w:pPr>
        <w:spacing w:line="3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widowControl w:val="0"/>
        <w:snapToGrid w:val="0"/>
        <w:spacing w:line="36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1．采购货物中如含有强制节能产品的，须如实填写强制节能产品明细表；</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提供所报价产品获得国家确定的认证机构出具的、处于有效期之内的产品认证证书。</w:t>
      </w:r>
    </w:p>
    <w:p>
      <w:pPr>
        <w:pStyle w:val="12"/>
        <w:rPr>
          <w:rFonts w:hint="default"/>
          <w:lang w:val="en-US" w:eastAsia="zh-CN"/>
        </w:rPr>
      </w:pPr>
      <w:r>
        <w:rPr>
          <w:rFonts w:hint="eastAsia" w:ascii="宋体" w:hAnsi="宋体" w:eastAsia="宋体" w:cs="宋体"/>
          <w:kern w:val="2"/>
          <w:sz w:val="24"/>
          <w:szCs w:val="24"/>
          <w:highlight w:val="none"/>
          <w:lang w:val="en-US" w:eastAsia="zh-CN" w:bidi="ar-SA"/>
        </w:rPr>
        <w:t>3.所投报信息安全产品属于《网络关键设备和网络安全专用产品目录》中的产品，有效认证证书或者安全检测报告复印件附后。</w:t>
      </w: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r>
        <w:rPr>
          <w:rFonts w:hint="eastAsia" w:ascii="宋体" w:hAnsi="宋体" w:eastAsia="宋体" w:cs="宋体"/>
          <w:bCs/>
          <w:sz w:val="24"/>
          <w:highlight w:val="none"/>
        </w:rPr>
        <w:br w:type="page"/>
      </w:r>
      <w:r>
        <w:rPr>
          <w:rFonts w:hint="eastAsia" w:ascii="宋体" w:hAnsi="宋体" w:eastAsia="宋体" w:cs="宋体"/>
          <w:bCs/>
          <w:sz w:val="24"/>
          <w:highlight w:val="none"/>
        </w:rPr>
        <w:t>（2）非强制节能产品、环保标志产品明细表格式（如本项目所</w:t>
      </w:r>
      <w:r>
        <w:rPr>
          <w:rFonts w:hint="eastAsia" w:ascii="宋体" w:hAnsi="宋体" w:eastAsia="宋体" w:cs="宋体"/>
          <w:bCs/>
          <w:sz w:val="24"/>
          <w:highlight w:val="none"/>
          <w:lang w:val="en-US" w:eastAsia="zh-CN"/>
        </w:rPr>
        <w:t>报</w:t>
      </w:r>
      <w:r>
        <w:rPr>
          <w:rFonts w:hint="eastAsia" w:ascii="宋体" w:hAnsi="宋体" w:eastAsia="宋体" w:cs="宋体"/>
          <w:bCs/>
          <w:sz w:val="24"/>
          <w:highlight w:val="none"/>
        </w:rPr>
        <w:t>产品中不涉及非强制节能产品、环保标志产品，此表可不提供）</w:t>
      </w:r>
    </w:p>
    <w:p>
      <w:pPr>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非强制节能产品明细表</w:t>
      </w:r>
    </w:p>
    <w:p>
      <w:pPr>
        <w:tabs>
          <w:tab w:val="left" w:pos="1680"/>
        </w:tabs>
        <w:snapToGrid w:val="0"/>
        <w:spacing w:line="360" w:lineRule="exact"/>
        <w:jc w:val="center"/>
        <w:rPr>
          <w:rFonts w:hint="eastAsia" w:ascii="宋体" w:hAnsi="宋体" w:eastAsia="宋体" w:cs="宋体"/>
          <w:sz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637"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节能产品认证证书号</w:t>
            </w:r>
          </w:p>
        </w:tc>
        <w:tc>
          <w:tcPr>
            <w:tcW w:w="1860"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850"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bl>
    <w:p>
      <w:pPr>
        <w:pStyle w:val="141"/>
        <w:snapToGrid w:val="0"/>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节能产品政府采购品目清单中强制性采购产品以外的其它节能产品，</w:t>
      </w:r>
      <w:r>
        <w:rPr>
          <w:rFonts w:hint="eastAsia" w:ascii="宋体" w:hAnsi="宋体" w:eastAsia="宋体" w:cs="宋体"/>
          <w:sz w:val="24"/>
          <w:szCs w:val="24"/>
          <w:highlight w:val="none"/>
          <w:lang w:val="en-US" w:eastAsia="zh-CN"/>
        </w:rPr>
        <w:t>在最终报价、技术方案优劣程度等相同的情况下，</w:t>
      </w:r>
      <w:r>
        <w:rPr>
          <w:rFonts w:hint="eastAsia" w:ascii="宋体" w:hAnsi="宋体" w:eastAsia="宋体" w:cs="宋体"/>
          <w:sz w:val="24"/>
          <w:szCs w:val="24"/>
          <w:highlight w:val="none"/>
        </w:rPr>
        <w:t>将</w:t>
      </w:r>
      <w:r>
        <w:rPr>
          <w:rFonts w:hint="eastAsia" w:ascii="宋体" w:hAnsi="宋体" w:eastAsia="宋体" w:cs="宋体"/>
          <w:sz w:val="24"/>
          <w:szCs w:val="24"/>
          <w:highlight w:val="none"/>
          <w:lang w:val="en-US" w:eastAsia="zh-CN"/>
        </w:rPr>
        <w:t>优先选择</w:t>
      </w:r>
      <w:r>
        <w:rPr>
          <w:rFonts w:hint="eastAsia" w:ascii="宋体" w:hAnsi="宋体" w:eastAsia="宋体" w:cs="宋体"/>
          <w:sz w:val="24"/>
          <w:szCs w:val="24"/>
          <w:highlight w:val="none"/>
        </w:rPr>
        <w:t>。</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p>
    <w:p>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环境标志产品明细表</w:t>
      </w:r>
    </w:p>
    <w:p>
      <w:pPr>
        <w:spacing w:line="360" w:lineRule="exact"/>
        <w:jc w:val="center"/>
        <w:rPr>
          <w:rFonts w:hint="eastAsia" w:ascii="宋体" w:hAnsi="宋体" w:eastAsia="宋体" w:cs="宋体"/>
          <w:b/>
          <w:sz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894"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74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894"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注册商标</w:t>
            </w:r>
          </w:p>
        </w:tc>
        <w:tc>
          <w:tcPr>
            <w:tcW w:w="894"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729"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环境标志产品认证证书号</w:t>
            </w:r>
          </w:p>
        </w:tc>
        <w:tc>
          <w:tcPr>
            <w:tcW w:w="1766"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259"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745"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29"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66"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259"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745"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29"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66"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259"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745"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29"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66"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259"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bl>
    <w:p>
      <w:pPr>
        <w:pStyle w:val="141"/>
        <w:snapToGrid w:val="0"/>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环境标志产品政府采购品目清单中的产品，</w:t>
      </w:r>
      <w:r>
        <w:rPr>
          <w:rFonts w:hint="eastAsia" w:ascii="宋体" w:hAnsi="宋体" w:eastAsia="宋体" w:cs="宋体"/>
          <w:sz w:val="24"/>
          <w:szCs w:val="24"/>
          <w:highlight w:val="none"/>
          <w:lang w:val="en-US" w:eastAsia="zh-CN"/>
        </w:rPr>
        <w:t>在最终报价、技术方案优劣程度等相同的情况下，</w:t>
      </w:r>
      <w:r>
        <w:rPr>
          <w:rFonts w:hint="eastAsia" w:ascii="宋体" w:hAnsi="宋体" w:eastAsia="宋体" w:cs="宋体"/>
          <w:sz w:val="24"/>
          <w:szCs w:val="24"/>
          <w:highlight w:val="none"/>
        </w:rPr>
        <w:t>将</w:t>
      </w:r>
      <w:r>
        <w:rPr>
          <w:rFonts w:hint="eastAsia" w:ascii="宋体" w:hAnsi="宋体" w:eastAsia="宋体" w:cs="宋体"/>
          <w:sz w:val="24"/>
          <w:szCs w:val="24"/>
          <w:highlight w:val="none"/>
          <w:lang w:val="en-US" w:eastAsia="zh-CN"/>
        </w:rPr>
        <w:t>优先选择</w:t>
      </w:r>
      <w:r>
        <w:rPr>
          <w:rFonts w:hint="eastAsia" w:ascii="宋体" w:hAnsi="宋体" w:eastAsia="宋体" w:cs="宋体"/>
          <w:sz w:val="24"/>
          <w:szCs w:val="24"/>
          <w:highlight w:val="none"/>
        </w:rPr>
        <w:t>。</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p>
    <w:p>
      <w:pPr>
        <w:widowControl/>
        <w:snapToGrid w:val="0"/>
        <w:spacing w:line="360" w:lineRule="exact"/>
        <w:jc w:val="left"/>
        <w:rPr>
          <w:rFonts w:hint="eastAsia" w:ascii="宋体" w:hAnsi="宋体" w:eastAsia="宋体" w:cs="宋体"/>
          <w:kern w:val="0"/>
          <w:sz w:val="24"/>
          <w:highlight w:val="none"/>
        </w:rPr>
      </w:pPr>
    </w:p>
    <w:p>
      <w:pPr>
        <w:widowControl w:val="0"/>
        <w:snapToGrid w:val="0"/>
        <w:spacing w:line="360" w:lineRule="exact"/>
        <w:jc w:val="left"/>
        <w:rPr>
          <w:rFonts w:hint="eastAsia" w:ascii="宋体" w:hAnsi="宋体" w:eastAsia="宋体" w:cs="宋体"/>
          <w:kern w:val="2"/>
          <w:sz w:val="24"/>
          <w:szCs w:val="24"/>
          <w:highlight w:val="none"/>
          <w:lang w:val="en-US" w:eastAsia="zh-CN" w:bidi="ar-SA"/>
        </w:rPr>
      </w:pPr>
    </w:p>
    <w:p>
      <w:pPr>
        <w:widowControl w:val="0"/>
        <w:snapToGrid w:val="0"/>
        <w:spacing w:line="360" w:lineRule="exact"/>
        <w:jc w:val="left"/>
        <w:rPr>
          <w:rFonts w:hint="eastAsia" w:ascii="宋体" w:hAnsi="宋体" w:eastAsia="宋体" w:cs="宋体"/>
          <w:kern w:val="2"/>
          <w:sz w:val="24"/>
          <w:szCs w:val="24"/>
          <w:highlight w:val="none"/>
          <w:lang w:val="en-US" w:eastAsia="zh-CN" w:bidi="ar-SA"/>
        </w:rPr>
      </w:pPr>
    </w:p>
    <w:p>
      <w:pPr>
        <w:widowControl w:val="0"/>
        <w:snapToGrid w:val="0"/>
        <w:spacing w:line="36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1．采购货物中如含有非强制节能产品、环境标志产品的，请如实填写产品明细表；</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提供所报产品获得国家确定的认证机构出具的、处于有效期之内的产品认证证书。</w:t>
      </w:r>
    </w:p>
    <w:p>
      <w:pPr>
        <w:pStyle w:val="12"/>
        <w:rPr>
          <w:rFonts w:hint="default"/>
          <w:lang w:val="en-US" w:eastAsia="zh-CN"/>
        </w:rPr>
      </w:pPr>
      <w:r>
        <w:rPr>
          <w:rFonts w:hint="eastAsia" w:ascii="宋体" w:hAnsi="宋体" w:eastAsia="宋体" w:cs="宋体"/>
          <w:kern w:val="2"/>
          <w:sz w:val="24"/>
          <w:szCs w:val="24"/>
          <w:highlight w:val="none"/>
          <w:lang w:val="en-US" w:eastAsia="zh-CN" w:bidi="ar-SA"/>
        </w:rPr>
        <w:t>3.所投报信息安全产品属于《网络关键设备和网络安全专用产品目录》中的产品，有效认证证书或者安全检测报告复印件附后。</w:t>
      </w:r>
    </w:p>
    <w:p>
      <w:pPr>
        <w:tabs>
          <w:tab w:val="left" w:pos="567"/>
        </w:tabs>
        <w:snapToGrid w:val="0"/>
        <w:spacing w:line="360" w:lineRule="auto"/>
        <w:jc w:val="left"/>
        <w:rPr>
          <w:rFonts w:hint="eastAsia" w:ascii="宋体" w:hAnsi="宋体" w:eastAsia="宋体" w:cs="宋体"/>
          <w:b/>
          <w:kern w:val="0"/>
          <w:sz w:val="24"/>
          <w:highlight w:val="none"/>
        </w:rPr>
      </w:pPr>
    </w:p>
    <w:p>
      <w:pPr>
        <w:spacing w:line="480" w:lineRule="exact"/>
        <w:rPr>
          <w:rFonts w:hint="eastAsia" w:ascii="宋体" w:hAnsi="宋体" w:eastAsia="宋体" w:cs="宋体"/>
          <w:b/>
          <w:sz w:val="24"/>
          <w:highlight w:val="none"/>
        </w:rPr>
      </w:pPr>
    </w:p>
    <w:p>
      <w:pPr>
        <w:spacing w:line="480" w:lineRule="exact"/>
        <w:rPr>
          <w:rFonts w:hint="eastAsia" w:ascii="宋体" w:hAnsi="宋体" w:eastAsia="宋体" w:cs="宋体"/>
          <w:b/>
          <w:sz w:val="24"/>
          <w:highlight w:val="none"/>
        </w:rPr>
      </w:pPr>
    </w:p>
    <w:p>
      <w:pPr>
        <w:spacing w:line="480" w:lineRule="exact"/>
        <w:rPr>
          <w:rFonts w:hint="eastAsia" w:ascii="宋体" w:hAnsi="宋体" w:eastAsia="宋体" w:cs="宋体"/>
          <w:b/>
          <w:sz w:val="24"/>
          <w:highlight w:val="none"/>
        </w:rPr>
      </w:pPr>
    </w:p>
    <w:p>
      <w:pPr>
        <w:spacing w:line="480" w:lineRule="exac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（二）正版软件承诺格式</w:t>
      </w:r>
      <w:r>
        <w:rPr>
          <w:rFonts w:hint="eastAsia" w:ascii="宋体" w:hAnsi="宋体" w:eastAsia="宋体" w:cs="宋体"/>
          <w:b/>
          <w:kern w:val="0"/>
          <w:sz w:val="24"/>
          <w:highlight w:val="none"/>
        </w:rPr>
        <w:t>（如不涉及，此函可不提供）</w:t>
      </w:r>
    </w:p>
    <w:p>
      <w:pPr>
        <w:spacing w:line="480" w:lineRule="exact"/>
        <w:ind w:firstLine="3812" w:firstLineChars="1356"/>
        <w:rPr>
          <w:rFonts w:hint="eastAsia" w:ascii="宋体" w:hAnsi="宋体" w:eastAsia="宋体" w:cs="宋体"/>
          <w:b/>
          <w:sz w:val="28"/>
          <w:szCs w:val="28"/>
          <w:highlight w:val="none"/>
        </w:rPr>
      </w:pPr>
      <w:r>
        <w:rPr>
          <w:rFonts w:hint="eastAsia" w:ascii="宋体" w:hAnsi="宋体" w:eastAsia="宋体" w:cs="宋体"/>
          <w:b/>
          <w:sz w:val="28"/>
          <w:szCs w:val="28"/>
          <w:highlight w:val="none"/>
        </w:rPr>
        <w:t>正版软件承诺</w:t>
      </w:r>
    </w:p>
    <w:p>
      <w:pPr>
        <w:spacing w:line="360" w:lineRule="auto"/>
        <w:rPr>
          <w:rFonts w:hint="eastAsia" w:ascii="宋体" w:hAnsi="宋体" w:eastAsia="宋体" w:cs="宋体"/>
          <w:sz w:val="24"/>
          <w:highlight w:val="none"/>
          <w:u w:val="single"/>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采购代理机构名称  </w:t>
      </w:r>
      <w:r>
        <w:rPr>
          <w:rFonts w:hint="eastAsia" w:ascii="宋体" w:hAnsi="宋体" w:eastAsia="宋体" w:cs="宋体"/>
          <w:sz w:val="24"/>
          <w:highlight w:val="none"/>
          <w:u w:val="none"/>
        </w:rPr>
        <w:t>：</w:t>
      </w:r>
    </w:p>
    <w:p>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p>
    <w:p>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本供应商现参与项目</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（项目编号：</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）的采购活动，本公司承诺投报的计算机产品预装正版操作系统，投报的硬件产品内的预装软件为正版软件。</w:t>
      </w:r>
    </w:p>
    <w:p>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如上述声明不真实，</w:t>
      </w:r>
      <w:r>
        <w:rPr>
          <w:rFonts w:hint="eastAsia" w:ascii="宋体" w:hAnsi="宋体" w:eastAsia="宋体" w:cs="宋体"/>
          <w:kern w:val="2"/>
          <w:sz w:val="24"/>
          <w:szCs w:val="28"/>
          <w:highlight w:val="none"/>
          <w:lang w:val="en-US" w:eastAsia="zh-CN" w:bidi="ar-SA"/>
        </w:rPr>
        <w:t>愿意按照采购人相关规定接受处罚</w:t>
      </w:r>
      <w:r>
        <w:rPr>
          <w:rFonts w:hint="eastAsia" w:ascii="宋体" w:hAnsi="宋体" w:eastAsia="宋体" w:cs="宋体"/>
          <w:kern w:val="2"/>
          <w:sz w:val="24"/>
          <w:szCs w:val="24"/>
          <w:highlight w:val="none"/>
          <w:lang w:val="en-US" w:eastAsia="zh-CN" w:bidi="ar-SA"/>
        </w:rPr>
        <w:t>。</w:t>
      </w:r>
    </w:p>
    <w:p>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特此声明</w:t>
      </w:r>
    </w:p>
    <w:p>
      <w:pPr>
        <w:snapToGrid w:val="0"/>
        <w:rPr>
          <w:rFonts w:hint="eastAsia" w:ascii="宋体" w:hAnsi="宋体" w:eastAsia="宋体" w:cs="宋体"/>
          <w:sz w:val="24"/>
          <w:highlight w:val="none"/>
        </w:rPr>
      </w:pPr>
    </w:p>
    <w:p>
      <w:pPr>
        <w:snapToGrid w:val="0"/>
        <w:spacing w:line="480" w:lineRule="exact"/>
        <w:rPr>
          <w:rFonts w:hint="eastAsia" w:ascii="宋体" w:hAnsi="宋体" w:eastAsia="宋体" w:cs="宋体"/>
          <w:sz w:val="24"/>
          <w:highlight w:val="none"/>
        </w:rPr>
      </w:pPr>
    </w:p>
    <w:p>
      <w:pPr>
        <w:snapToGrid w:val="0"/>
        <w:spacing w:line="480" w:lineRule="exact"/>
        <w:rPr>
          <w:rFonts w:hint="eastAsia" w:ascii="宋体" w:hAnsi="宋体" w:eastAsia="宋体" w:cs="宋体"/>
          <w:sz w:val="24"/>
          <w:highlight w:val="none"/>
        </w:rPr>
      </w:pPr>
    </w:p>
    <w:p>
      <w:pPr>
        <w:snapToGrid w:val="0"/>
        <w:spacing w:line="480" w:lineRule="exact"/>
        <w:rPr>
          <w:rFonts w:hint="eastAsia" w:ascii="宋体" w:hAnsi="宋体" w:eastAsia="宋体" w:cs="宋体"/>
          <w:sz w:val="24"/>
          <w:highlight w:val="none"/>
        </w:rPr>
      </w:pPr>
    </w:p>
    <w:p>
      <w:pPr>
        <w:widowControl/>
        <w:tabs>
          <w:tab w:val="left" w:pos="4000"/>
        </w:tabs>
        <w:snapToGrid w:val="0"/>
        <w:spacing w:line="480" w:lineRule="auto"/>
        <w:ind w:firstLine="3600" w:firstLineChars="15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snapToGrid w:val="0"/>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                              日     期：</w:t>
      </w:r>
    </w:p>
    <w:p>
      <w:pPr>
        <w:bidi w:val="0"/>
        <w:rPr>
          <w:rFonts w:hint="eastAsia" w:ascii="宋体" w:hAnsi="宋体" w:eastAsia="宋体" w:cs="宋体"/>
          <w:highlight w:val="none"/>
        </w:rPr>
      </w:pPr>
    </w:p>
    <w:p>
      <w:pPr>
        <w:bidi w:val="0"/>
        <w:rPr>
          <w:rFonts w:hint="eastAsia" w:ascii="宋体" w:hAnsi="宋体" w:eastAsia="宋体" w:cs="宋体"/>
          <w:highlight w:val="none"/>
        </w:rPr>
      </w:pPr>
    </w:p>
    <w:p>
      <w:pPr>
        <w:bidi w:val="0"/>
        <w:rPr>
          <w:rFonts w:hint="eastAsia" w:ascii="宋体" w:hAnsi="宋体" w:eastAsia="宋体" w:cs="宋体"/>
          <w:highlight w:val="none"/>
        </w:rPr>
      </w:pPr>
    </w:p>
    <w:p>
      <w:pPr>
        <w:bidi w:val="0"/>
        <w:rPr>
          <w:rFonts w:hint="eastAsia" w:ascii="宋体" w:hAnsi="宋体" w:eastAsia="宋体" w:cs="宋体"/>
          <w:highlight w:val="none"/>
        </w:rPr>
      </w:pPr>
    </w:p>
    <w:p>
      <w:pPr>
        <w:bidi w:val="0"/>
        <w:rPr>
          <w:rFonts w:hint="eastAsia" w:ascii="宋体" w:hAnsi="宋体" w:eastAsia="宋体" w:cs="宋体"/>
          <w:highlight w:val="none"/>
        </w:rPr>
      </w:pPr>
    </w:p>
    <w:p>
      <w:pPr>
        <w:keepNext w:val="0"/>
        <w:keepLines w:val="0"/>
        <w:pageBreakBefore w:val="0"/>
        <w:kinsoku/>
        <w:wordWrap/>
        <w:overflowPunct/>
        <w:topLinePunct w:val="0"/>
        <w:bidi w:val="0"/>
        <w:snapToGrid w:val="0"/>
        <w:spacing w:line="360" w:lineRule="auto"/>
        <w:ind w:left="0" w:leftChars="0" w:right="0" w:rightChars="0"/>
        <w:textAlignment w:val="auto"/>
        <w:rPr>
          <w:rFonts w:hint="eastAsia" w:ascii="宋体" w:hAnsi="宋体" w:eastAsia="宋体" w:cs="宋体"/>
          <w:b/>
          <w:color w:val="auto"/>
          <w:kern w:val="0"/>
          <w:sz w:val="21"/>
          <w:szCs w:val="21"/>
        </w:rPr>
      </w:pPr>
      <w:bookmarkStart w:id="59" w:name="_Toc21530"/>
      <w:r>
        <w:rPr>
          <w:rFonts w:hint="eastAsia" w:ascii="宋体" w:hAnsi="宋体" w:eastAsia="宋体" w:cs="宋体"/>
          <w:b/>
          <w:color w:val="000000"/>
          <w:kern w:val="0"/>
          <w:sz w:val="24"/>
          <w:szCs w:val="24"/>
          <w:highlight w:val="none"/>
          <w:lang w:eastAsia="zh-CN"/>
        </w:rPr>
        <w:br w:type="page"/>
      </w:r>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lang w:val="en-US" w:eastAsia="zh-CN"/>
        </w:rPr>
        <w:t>三</w:t>
      </w:r>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rPr>
        <w:t>创新产品或创新服务明细表（如不涉及，可不提供）</w:t>
      </w: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1"/>
          <w:szCs w:val="21"/>
        </w:rPr>
      </w:pPr>
    </w:p>
    <w:p>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创新产品或创新服务明细表</w:t>
      </w: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1"/>
          <w:szCs w:val="21"/>
        </w:rPr>
      </w:pP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项目名称：</w:t>
      </w: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项目编号：</w:t>
      </w: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    号：</w:t>
      </w:r>
    </w:p>
    <w:p>
      <w:pPr>
        <w:keepNext w:val="0"/>
        <w:keepLines w:val="0"/>
        <w:pageBreakBefore w:val="0"/>
        <w:kinsoku/>
        <w:wordWrap/>
        <w:overflowPunct/>
        <w:topLinePunct w:val="0"/>
        <w:bidi w:val="0"/>
        <w:spacing w:line="360" w:lineRule="auto"/>
        <w:ind w:left="7350" w:leftChars="0" w:right="0" w:rightChars="0" w:hanging="7350" w:hangingChars="35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货币：人民币/元</w:t>
      </w:r>
    </w:p>
    <w:tbl>
      <w:tblPr>
        <w:tblStyle w:val="45"/>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8"/>
        <w:gridCol w:w="992"/>
        <w:gridCol w:w="1316"/>
        <w:gridCol w:w="1555"/>
        <w:gridCol w:w="854"/>
        <w:gridCol w:w="851"/>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7"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1378"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名称</w:t>
            </w: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品牌</w:t>
            </w:r>
          </w:p>
        </w:tc>
        <w:tc>
          <w:tcPr>
            <w:tcW w:w="1316" w:type="dxa"/>
            <w:tcBorders>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规格型号</w:t>
            </w:r>
          </w:p>
        </w:tc>
        <w:tc>
          <w:tcPr>
            <w:tcW w:w="1555" w:type="dxa"/>
            <w:tcBorders>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产地及厂家</w:t>
            </w:r>
          </w:p>
        </w:tc>
        <w:tc>
          <w:tcPr>
            <w:tcW w:w="854" w:type="dxa"/>
            <w:tcBorders>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c>
          <w:tcPr>
            <w:tcW w:w="851" w:type="dxa"/>
            <w:tcBorders>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单价</w:t>
            </w:r>
          </w:p>
        </w:tc>
        <w:tc>
          <w:tcPr>
            <w:tcW w:w="1306" w:type="dxa"/>
            <w:tcBorders>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78"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16" w:type="dxa"/>
            <w:tcBorders>
              <w:top w:val="single" w:color="auto" w:sz="4" w:space="0"/>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vertAlign w:val="superscript"/>
              </w:rPr>
            </w:pPr>
          </w:p>
        </w:tc>
        <w:tc>
          <w:tcPr>
            <w:tcW w:w="1555" w:type="dxa"/>
            <w:tcBorders>
              <w:top w:val="single" w:color="auto" w:sz="4" w:space="0"/>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vertAlign w:val="superscript"/>
              </w:rPr>
            </w:pPr>
          </w:p>
        </w:tc>
        <w:tc>
          <w:tcPr>
            <w:tcW w:w="854"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851"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06"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78"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16" w:type="dxa"/>
            <w:tcBorders>
              <w:top w:val="single" w:color="auto" w:sz="4" w:space="0"/>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vertAlign w:val="superscript"/>
              </w:rPr>
            </w:pPr>
          </w:p>
        </w:tc>
        <w:tc>
          <w:tcPr>
            <w:tcW w:w="1555" w:type="dxa"/>
            <w:tcBorders>
              <w:top w:val="single" w:color="auto" w:sz="4" w:space="0"/>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vertAlign w:val="superscript"/>
              </w:rPr>
            </w:pPr>
          </w:p>
        </w:tc>
        <w:tc>
          <w:tcPr>
            <w:tcW w:w="854"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851"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06"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创新产品或创新服务价格合计：</w:t>
            </w:r>
          </w:p>
        </w:tc>
      </w:tr>
    </w:tbl>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kern w:val="0"/>
          <w:sz w:val="21"/>
          <w:szCs w:val="21"/>
        </w:rPr>
      </w:pP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注：</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投报创新产品或创新服务的，需填写此表后，并提供《山西省创新产品和服务推荐清单》。</w:t>
      </w:r>
    </w:p>
    <w:p>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rPr>
      </w:pPr>
    </w:p>
    <w:p>
      <w:pPr>
        <w:keepNext w:val="0"/>
        <w:keepLines w:val="0"/>
        <w:pageBreakBefore w:val="0"/>
        <w:tabs>
          <w:tab w:val="left" w:pos="8647"/>
        </w:tabs>
        <w:kinsoku/>
        <w:wordWrap/>
        <w:overflowPunct/>
        <w:topLinePunct w:val="0"/>
        <w:bidi w:val="0"/>
        <w:snapToGrid w:val="0"/>
        <w:spacing w:line="360" w:lineRule="auto"/>
        <w:ind w:left="0" w:leftChars="0" w:right="0" w:rightChars="0" w:firstLine="4515" w:firstLineChars="2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（盖章）</w:t>
      </w:r>
    </w:p>
    <w:p>
      <w:pPr>
        <w:keepNext w:val="0"/>
        <w:keepLines w:val="0"/>
        <w:pageBreakBefore w:val="0"/>
        <w:kinsoku/>
        <w:wordWrap/>
        <w:overflowPunct/>
        <w:topLinePunct w:val="0"/>
        <w:bidi w:val="0"/>
        <w:snapToGrid w:val="0"/>
        <w:spacing w:line="360" w:lineRule="auto"/>
        <w:ind w:left="0" w:leftChars="0" w:right="0" w:rightChars="0" w:firstLine="4515" w:firstLineChars="215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pPr>
        <w:widowControl/>
        <w:snapToGrid w:val="0"/>
        <w:spacing w:line="360" w:lineRule="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br w:type="page"/>
      </w:r>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lang w:val="en-US" w:eastAsia="zh-CN"/>
        </w:rPr>
        <w:t>四</w:t>
      </w:r>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rPr>
        <w:t>商品包装和快递包装承诺格式（如不涉及，可不提供）</w:t>
      </w:r>
    </w:p>
    <w:p>
      <w:pPr>
        <w:spacing w:line="480" w:lineRule="exact"/>
        <w:ind w:firstLine="2289" w:firstLineChars="950"/>
        <w:rPr>
          <w:rFonts w:hint="eastAsia" w:ascii="宋体" w:hAnsi="宋体" w:eastAsia="宋体" w:cs="宋体"/>
          <w:b/>
          <w:color w:val="000000"/>
          <w:sz w:val="24"/>
          <w:szCs w:val="24"/>
          <w:highlight w:val="none"/>
        </w:rPr>
      </w:pPr>
    </w:p>
    <w:p>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商品包装和快递包装承诺</w:t>
      </w:r>
    </w:p>
    <w:p>
      <w:pPr>
        <w:pStyle w:val="41"/>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p>
    <w:p>
      <w:pPr>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w:t>
      </w:r>
      <w:r>
        <w:rPr>
          <w:rFonts w:hint="eastAsia" w:ascii="宋体" w:hAnsi="宋体" w:eastAsia="宋体" w:cs="宋体"/>
          <w:color w:val="000000"/>
          <w:kern w:val="0"/>
          <w:sz w:val="24"/>
          <w:szCs w:val="24"/>
          <w:highlight w:val="none"/>
          <w:lang w:val="en-US" w:eastAsia="zh-CN"/>
        </w:rPr>
        <w:t>公司</w:t>
      </w:r>
      <w:r>
        <w:rPr>
          <w:rFonts w:hint="eastAsia" w:ascii="宋体" w:hAnsi="宋体" w:eastAsia="宋体" w:cs="宋体"/>
          <w:color w:val="000000"/>
          <w:kern w:val="0"/>
          <w:sz w:val="24"/>
          <w:szCs w:val="24"/>
          <w:highlight w:val="none"/>
        </w:rPr>
        <w:t>现参与____________项目（项目编号：____________）的采购活动，本公司承诺所供商品包装符合《商品包装政府采购需求标准（试行）》，快递包装符合《快递包装政府采购需求标准（试行）》。</w:t>
      </w:r>
    </w:p>
    <w:p>
      <w:pPr>
        <w:pStyle w:val="41"/>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p>
    <w:p>
      <w:pPr>
        <w:pStyle w:val="41"/>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如上述声明不真实，愿意按照政府采购有关法律法规的规定接受处罚。</w:t>
      </w:r>
    </w:p>
    <w:p>
      <w:pPr>
        <w:pStyle w:val="41"/>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特此声明</w:t>
      </w:r>
    </w:p>
    <w:p>
      <w:pPr>
        <w:pStyle w:val="141"/>
        <w:snapToGrid w:val="0"/>
        <w:spacing w:line="360" w:lineRule="auto"/>
        <w:ind w:firstLine="4320" w:firstLineChars="1800"/>
        <w:jc w:val="both"/>
        <w:rPr>
          <w:rFonts w:hint="eastAsia" w:ascii="宋体" w:hAnsi="宋体" w:eastAsia="宋体" w:cs="宋体"/>
          <w:color w:val="000000"/>
          <w:sz w:val="24"/>
          <w:szCs w:val="24"/>
          <w:highlight w:val="none"/>
        </w:rPr>
      </w:pPr>
    </w:p>
    <w:p>
      <w:pPr>
        <w:bidi w:val="0"/>
        <w:rPr>
          <w:rFonts w:hint="eastAsia"/>
        </w:rPr>
      </w:pPr>
    </w:p>
    <w:p>
      <w:pPr>
        <w:pStyle w:val="12"/>
        <w:rPr>
          <w:rFonts w:hint="eastAsia"/>
        </w:rPr>
      </w:pPr>
    </w:p>
    <w:p>
      <w:pPr>
        <w:rPr>
          <w:rFonts w:hint="eastAsia"/>
        </w:rPr>
      </w:pPr>
    </w:p>
    <w:p>
      <w:pPr>
        <w:rPr>
          <w:rFonts w:hint="eastAsia"/>
        </w:rPr>
      </w:pPr>
    </w:p>
    <w:p>
      <w:pPr>
        <w:pStyle w:val="141"/>
        <w:snapToGrid w:val="0"/>
        <w:spacing w:line="360" w:lineRule="auto"/>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360" w:lineRule="auto"/>
        <w:ind w:firstLine="4920" w:firstLineChars="2050"/>
        <w:textAlignment w:val="auto"/>
        <w:rPr>
          <w:rFonts w:hint="eastAsia" w:ascii="宋体" w:hAnsi="宋体" w:eastAsia="宋体" w:cs="宋体"/>
          <w:b/>
          <w:color w:val="000000"/>
          <w:kern w:val="0"/>
          <w:sz w:val="24"/>
          <w:szCs w:val="24"/>
          <w:highlight w:val="none"/>
        </w:rPr>
      </w:pPr>
      <w:r>
        <w:rPr>
          <w:rFonts w:hint="eastAsia" w:ascii="宋体" w:hAnsi="宋体" w:eastAsia="宋体" w:cs="宋体"/>
          <w:color w:val="000000"/>
          <w:sz w:val="24"/>
          <w:szCs w:val="24"/>
          <w:highlight w:val="none"/>
        </w:rPr>
        <w:t>日 期：</w:t>
      </w:r>
    </w:p>
    <w:p>
      <w:pPr>
        <w:bidi w:val="0"/>
        <w:rPr>
          <w:rFonts w:hint="eastAsia" w:ascii="宋体" w:hAnsi="宋体" w:eastAsia="宋体" w:cs="宋体"/>
          <w:highlight w:val="none"/>
          <w:lang w:eastAsia="zh-CN"/>
        </w:rPr>
      </w:pPr>
    </w:p>
    <w:p>
      <w:pPr>
        <w:bidi w:val="0"/>
        <w:jc w:val="center"/>
        <w:outlineLvl w:val="0"/>
        <w:rPr>
          <w:rFonts w:hint="eastAsia" w:ascii="宋体" w:hAnsi="宋体" w:eastAsia="宋体" w:cs="宋体"/>
          <w:highlight w:val="none"/>
          <w:lang w:eastAsia="zh-CN"/>
        </w:rPr>
      </w:pPr>
      <w:r>
        <w:rPr>
          <w:rFonts w:hint="eastAsia" w:ascii="宋体" w:hAnsi="宋体" w:eastAsia="宋体" w:cs="宋体"/>
          <w:b/>
          <w:bCs/>
          <w:kern w:val="0"/>
          <w:sz w:val="36"/>
          <w:szCs w:val="36"/>
          <w:highlight w:val="none"/>
          <w:lang w:eastAsia="zh-CN"/>
        </w:rPr>
        <w:br w:type="page"/>
      </w:r>
      <w:bookmarkEnd w:id="59"/>
      <w:bookmarkStart w:id="60" w:name="_Toc32370"/>
      <w:r>
        <w:rPr>
          <w:rFonts w:hint="eastAsia" w:ascii="宋体" w:hAnsi="宋体" w:eastAsia="宋体" w:cs="宋体"/>
          <w:b/>
          <w:bCs/>
          <w:snapToGrid w:val="0"/>
          <w:kern w:val="0"/>
          <w:sz w:val="30"/>
          <w:szCs w:val="30"/>
          <w:highlight w:val="none"/>
          <w:lang w:eastAsia="zh-CN"/>
        </w:rPr>
        <w:t>第八部分</w:t>
      </w:r>
      <w:r>
        <w:rPr>
          <w:rFonts w:hint="eastAsia" w:ascii="宋体" w:hAnsi="宋体" w:eastAsia="宋体" w:cs="宋体"/>
          <w:b/>
          <w:bCs/>
          <w:snapToGrid w:val="0"/>
          <w:kern w:val="0"/>
          <w:sz w:val="30"/>
          <w:szCs w:val="30"/>
          <w:highlight w:val="none"/>
          <w:lang w:val="en-US" w:eastAsia="zh-CN"/>
        </w:rPr>
        <w:t xml:space="preserve">  </w:t>
      </w:r>
      <w:r>
        <w:rPr>
          <w:rFonts w:hint="eastAsia" w:ascii="宋体" w:hAnsi="宋体" w:eastAsia="宋体" w:cs="宋体"/>
          <w:b/>
          <w:bCs/>
          <w:snapToGrid w:val="0"/>
          <w:kern w:val="0"/>
          <w:sz w:val="30"/>
          <w:szCs w:val="30"/>
          <w:highlight w:val="none"/>
        </w:rPr>
        <w:t>相关附件</w:t>
      </w:r>
      <w:bookmarkEnd w:id="60"/>
    </w:p>
    <w:p>
      <w:pPr>
        <w:bidi w:val="0"/>
        <w:jc w:val="center"/>
        <w:rPr>
          <w:rFonts w:hint="eastAsia" w:ascii="宋体" w:hAnsi="宋体" w:eastAsia="宋体" w:cs="宋体"/>
          <w:b/>
          <w:bCs/>
          <w:snapToGrid w:val="0"/>
          <w:kern w:val="0"/>
          <w:szCs w:val="30"/>
          <w:highlight w:val="none"/>
        </w:rPr>
      </w:pPr>
    </w:p>
    <w:p>
      <w:pPr>
        <w:outlineLvl w:val="0"/>
        <w:rPr>
          <w:rFonts w:hint="eastAsia" w:ascii="宋体" w:hAnsi="宋体" w:eastAsia="宋体" w:cs="宋体"/>
          <w:b/>
          <w:bCs/>
          <w:sz w:val="30"/>
          <w:szCs w:val="30"/>
          <w:highlight w:val="none"/>
        </w:rPr>
      </w:pPr>
      <w:bookmarkStart w:id="61" w:name="_Toc9826"/>
      <w:r>
        <w:rPr>
          <w:rFonts w:hint="eastAsia" w:ascii="宋体" w:hAnsi="宋体" w:eastAsia="宋体" w:cs="宋体"/>
          <w:b/>
          <w:sz w:val="28"/>
          <w:szCs w:val="28"/>
          <w:highlight w:val="none"/>
        </w:rPr>
        <w:t>附件1：</w:t>
      </w:r>
      <w:r>
        <w:rPr>
          <w:rFonts w:hint="eastAsia" w:ascii="宋体" w:hAnsi="宋体" w:eastAsia="宋体" w:cs="宋体"/>
          <w:b/>
          <w:bCs/>
          <w:sz w:val="30"/>
          <w:szCs w:val="30"/>
          <w:highlight w:val="none"/>
        </w:rPr>
        <w:t>质疑函范本</w:t>
      </w:r>
      <w:bookmarkEnd w:id="61"/>
    </w:p>
    <w:p>
      <w:pPr>
        <w:adjustRightInd w:val="0"/>
        <w:snapToGrid w:val="0"/>
        <w:spacing w:before="312" w:beforeLines="100" w:line="360" w:lineRule="auto"/>
        <w:outlineLvl w:val="9"/>
        <w:rPr>
          <w:rFonts w:hint="eastAsia" w:ascii="宋体" w:hAnsi="宋体" w:eastAsia="宋体" w:cs="宋体"/>
          <w:bCs/>
          <w:sz w:val="24"/>
          <w:highlight w:val="none"/>
        </w:rPr>
      </w:pPr>
      <w:r>
        <w:rPr>
          <w:rFonts w:hint="eastAsia" w:ascii="宋体" w:hAnsi="宋体" w:eastAsia="宋体" w:cs="宋体"/>
          <w:bCs/>
          <w:sz w:val="24"/>
          <w:highlight w:val="none"/>
        </w:rPr>
        <w:t>一、质疑供应商基本信息</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质疑供应商：</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地址： </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bCs/>
          <w:sz w:val="24"/>
          <w:highlight w:val="none"/>
        </w:rPr>
      </w:pPr>
      <w:r>
        <w:rPr>
          <w:rFonts w:hint="eastAsia" w:ascii="宋体" w:hAnsi="宋体" w:eastAsia="宋体" w:cs="宋体"/>
          <w:bCs/>
          <w:sz w:val="24"/>
          <w:highlight w:val="none"/>
        </w:rPr>
        <w:t>二、质疑项目基本情况</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质疑项目的名称：</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质疑项目的编号：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采购人名称：</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采购文件获取日期：</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bCs/>
          <w:sz w:val="24"/>
          <w:highlight w:val="none"/>
        </w:rPr>
      </w:pPr>
      <w:r>
        <w:rPr>
          <w:rFonts w:hint="eastAsia" w:ascii="宋体" w:hAnsi="宋体" w:eastAsia="宋体" w:cs="宋体"/>
          <w:bCs/>
          <w:sz w:val="24"/>
          <w:highlight w:val="none"/>
        </w:rPr>
        <w:t>三、质疑事项具体内容</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质疑事项1：</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质疑事项2</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w:t>
      </w:r>
    </w:p>
    <w:p>
      <w:pPr>
        <w:adjustRightInd w:val="0"/>
        <w:snapToGrid w:val="0"/>
        <w:spacing w:line="360" w:lineRule="auto"/>
        <w:outlineLvl w:val="9"/>
        <w:rPr>
          <w:rFonts w:hint="eastAsia" w:ascii="宋体" w:hAnsi="宋体" w:eastAsia="宋体" w:cs="宋体"/>
          <w:bCs/>
          <w:sz w:val="24"/>
          <w:highlight w:val="none"/>
        </w:rPr>
      </w:pPr>
      <w:r>
        <w:rPr>
          <w:rFonts w:hint="eastAsia" w:ascii="宋体" w:hAnsi="宋体" w:eastAsia="宋体" w:cs="宋体"/>
          <w:bCs/>
          <w:sz w:val="24"/>
          <w:highlight w:val="none"/>
        </w:rPr>
        <w:t>四、与质疑事项相关的质疑请求</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p>
    <w:p>
      <w:pPr>
        <w:spacing w:line="360" w:lineRule="auto"/>
        <w:ind w:firstLine="2160" w:firstLineChars="900"/>
        <w:outlineLvl w:val="9"/>
        <w:rPr>
          <w:rFonts w:hint="eastAsia" w:ascii="宋体" w:hAnsi="宋体" w:eastAsia="宋体" w:cs="宋体"/>
          <w:sz w:val="24"/>
          <w:highlight w:val="none"/>
        </w:rPr>
      </w:pPr>
      <w:r>
        <w:rPr>
          <w:rFonts w:hint="eastAsia" w:ascii="宋体" w:hAnsi="宋体" w:eastAsia="宋体" w:cs="宋体"/>
          <w:sz w:val="24"/>
          <w:highlight w:val="none"/>
        </w:rPr>
        <w:t>签字(签章)：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公章：</w:t>
      </w:r>
      <w:r>
        <w:rPr>
          <w:rFonts w:hint="eastAsia" w:ascii="宋体" w:hAnsi="宋体" w:eastAsia="宋体" w:cs="宋体"/>
          <w:sz w:val="24"/>
          <w:highlight w:val="none"/>
          <w:u w:val="single"/>
        </w:rPr>
        <w:t xml:space="preserve">                </w:t>
      </w:r>
    </w:p>
    <w:p>
      <w:pPr>
        <w:spacing w:line="360" w:lineRule="auto"/>
        <w:ind w:firstLine="2160" w:firstLineChars="900"/>
        <w:jc w:val="center"/>
        <w:outlineLvl w:val="9"/>
        <w:rPr>
          <w:rFonts w:hint="eastAsia" w:ascii="宋体" w:hAnsi="宋体" w:eastAsia="宋体" w:cs="宋体"/>
          <w:b/>
          <w:sz w:val="30"/>
          <w:szCs w:val="30"/>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b/>
          <w:sz w:val="30"/>
          <w:szCs w:val="30"/>
          <w:highlight w:val="none"/>
        </w:rPr>
        <w:br w:type="page"/>
      </w:r>
      <w:r>
        <w:rPr>
          <w:rFonts w:hint="eastAsia" w:ascii="宋体" w:hAnsi="宋体" w:eastAsia="宋体" w:cs="宋体"/>
          <w:b/>
          <w:sz w:val="30"/>
          <w:szCs w:val="30"/>
          <w:highlight w:val="none"/>
        </w:rPr>
        <w:t>质疑函制作说明</w:t>
      </w:r>
    </w:p>
    <w:p>
      <w:pPr>
        <w:jc w:val="center"/>
        <w:outlineLvl w:val="9"/>
        <w:rPr>
          <w:rFonts w:hint="eastAsia" w:ascii="宋体" w:hAnsi="宋体" w:eastAsia="宋体" w:cs="宋体"/>
          <w:b/>
          <w:sz w:val="24"/>
          <w:highlight w:val="none"/>
        </w:rPr>
      </w:pP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w:t>
      </w:r>
      <w:r>
        <w:rPr>
          <w:rFonts w:hint="eastAsia" w:ascii="宋体" w:hAnsi="宋体" w:eastAsia="宋体" w:cs="宋体"/>
          <w:kern w:val="0"/>
          <w:sz w:val="24"/>
          <w:highlight w:val="none"/>
        </w:rPr>
        <w:t>供应商签署的授权委托书。授权委托书应载明代理人的姓名或者名称、代理事项、具体权限、期限和相关事项。</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pPr>
        <w:outlineLvl w:val="0"/>
        <w:rPr>
          <w:rFonts w:hint="eastAsia" w:ascii="宋体" w:hAnsi="宋体" w:eastAsia="宋体" w:cs="宋体"/>
          <w:b/>
          <w:sz w:val="30"/>
          <w:szCs w:val="30"/>
          <w:highlight w:val="none"/>
        </w:rPr>
      </w:pPr>
      <w:r>
        <w:rPr>
          <w:rFonts w:hint="eastAsia" w:ascii="宋体" w:hAnsi="宋体" w:eastAsia="宋体" w:cs="宋体"/>
          <w:sz w:val="24"/>
          <w:highlight w:val="none"/>
        </w:rPr>
        <w:br w:type="page"/>
      </w:r>
      <w:bookmarkStart w:id="62" w:name="_Toc20522"/>
      <w:r>
        <w:rPr>
          <w:rFonts w:hint="eastAsia" w:ascii="宋体" w:hAnsi="宋体" w:eastAsia="宋体" w:cs="宋体"/>
          <w:b/>
          <w:bCs/>
          <w:sz w:val="30"/>
          <w:szCs w:val="30"/>
          <w:highlight w:val="none"/>
        </w:rPr>
        <w:t>附件2：</w:t>
      </w:r>
      <w:r>
        <w:rPr>
          <w:rFonts w:hint="eastAsia" w:ascii="宋体" w:hAnsi="宋体" w:eastAsia="宋体" w:cs="宋体"/>
          <w:b/>
          <w:sz w:val="30"/>
          <w:szCs w:val="30"/>
          <w:highlight w:val="none"/>
        </w:rPr>
        <w:t>投诉书范本</w:t>
      </w:r>
      <w:bookmarkEnd w:id="62"/>
    </w:p>
    <w:p>
      <w:pPr>
        <w:outlineLvl w:val="9"/>
        <w:rPr>
          <w:rFonts w:hint="eastAsia" w:ascii="宋体" w:hAnsi="宋体" w:eastAsia="宋体" w:cs="宋体"/>
          <w:sz w:val="24"/>
          <w:highlight w:val="none"/>
        </w:rPr>
      </w:pP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一、投诉相关主体基本情况</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投诉人：</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tabs>
          <w:tab w:val="left" w:pos="6510"/>
        </w:tabs>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法定代表人/主要负责人：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tabs>
          <w:tab w:val="left" w:pos="6510"/>
        </w:tabs>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被投诉人1：</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被投诉人2</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相关供应商：</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二、投诉项目基本情况</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采购项目名称：</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采购项目编号：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采购人名称：</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采购代理机构名称：</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采购文件公告: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采购结果公告: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三、质疑基本情况</w:t>
      </w:r>
    </w:p>
    <w:p>
      <w:pPr>
        <w:spacing w:line="360" w:lineRule="auto"/>
        <w:ind w:firstLine="480" w:firstLineChars="200"/>
        <w:outlineLvl w:val="9"/>
        <w:rPr>
          <w:rFonts w:hint="eastAsia" w:ascii="宋体" w:hAnsi="宋体" w:eastAsia="宋体" w:cs="宋体"/>
          <w:sz w:val="24"/>
          <w:highlight w:val="none"/>
          <w:u w:val="dotted"/>
        </w:rPr>
      </w:pPr>
      <w:r>
        <w:rPr>
          <w:rFonts w:hint="eastAsia" w:ascii="宋体" w:hAnsi="宋体" w:eastAsia="宋体" w:cs="宋体"/>
          <w:sz w:val="24"/>
          <w:highlight w:val="none"/>
        </w:rPr>
        <w:t>投诉人于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日,向</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提出质疑，质疑事项为：</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spacing w:line="360" w:lineRule="auto"/>
        <w:ind w:firstLine="360" w:firstLineChars="150"/>
        <w:outlineLvl w:val="9"/>
        <w:rPr>
          <w:rFonts w:hint="eastAsia" w:ascii="宋体" w:hAnsi="宋体" w:eastAsia="宋体" w:cs="宋体"/>
          <w:sz w:val="24"/>
          <w:highlight w:val="none"/>
        </w:rPr>
      </w:pPr>
      <w:r>
        <w:rPr>
          <w:rFonts w:hint="eastAsia" w:ascii="宋体" w:hAnsi="宋体" w:eastAsia="宋体" w:cs="宋体"/>
          <w:sz w:val="24"/>
          <w:highlight w:val="none"/>
          <w:u w:val="dotted"/>
        </w:rPr>
        <w:t>采购人/采购代理机构</w:t>
      </w:r>
      <w:r>
        <w:rPr>
          <w:rFonts w:hint="eastAsia" w:ascii="宋体" w:hAnsi="宋体" w:eastAsia="宋体" w:cs="宋体"/>
          <w:sz w:val="24"/>
          <w:highlight w:val="none"/>
        </w:rPr>
        <w:t>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日,就质疑事项作出了答复/没有在法定期限内作出答复。</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四、投诉事项具体内容</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投诉事项 1：</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投诉事项2</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五、与投诉事项相关的投诉请求</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w:t>
      </w:r>
    </w:p>
    <w:p>
      <w:pPr>
        <w:spacing w:line="360" w:lineRule="auto"/>
        <w:ind w:firstLine="2400" w:firstLineChars="1000"/>
        <w:outlineLvl w:val="9"/>
        <w:rPr>
          <w:rFonts w:hint="eastAsia" w:ascii="宋体" w:hAnsi="宋体" w:eastAsia="宋体" w:cs="宋体"/>
          <w:sz w:val="24"/>
          <w:highlight w:val="none"/>
        </w:rPr>
      </w:pPr>
      <w:r>
        <w:rPr>
          <w:rFonts w:hint="eastAsia" w:ascii="宋体" w:hAnsi="宋体" w:eastAsia="宋体" w:cs="宋体"/>
          <w:sz w:val="24"/>
          <w:highlight w:val="none"/>
        </w:rPr>
        <w:t>签字(签章)：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公章：</w:t>
      </w:r>
      <w:r>
        <w:rPr>
          <w:rFonts w:hint="eastAsia" w:ascii="宋体" w:hAnsi="宋体" w:eastAsia="宋体" w:cs="宋体"/>
          <w:sz w:val="24"/>
          <w:highlight w:val="none"/>
          <w:u w:val="single"/>
        </w:rPr>
        <w:t xml:space="preserve">               </w:t>
      </w:r>
    </w:p>
    <w:p>
      <w:pPr>
        <w:spacing w:line="360" w:lineRule="auto"/>
        <w:outlineLvl w:val="9"/>
        <w:rPr>
          <w:rFonts w:hint="eastAsia" w:ascii="宋体" w:hAnsi="宋体" w:eastAsia="宋体" w:cs="宋体"/>
          <w:sz w:val="24"/>
          <w:highlight w:val="none"/>
        </w:rPr>
      </w:pPr>
    </w:p>
    <w:p>
      <w:pPr>
        <w:spacing w:line="360" w:lineRule="auto"/>
        <w:ind w:firstLine="2400" w:firstLineChars="1000"/>
        <w:outlineLvl w:val="9"/>
        <w:rPr>
          <w:rFonts w:hint="eastAsia" w:ascii="宋体" w:hAnsi="宋体" w:eastAsia="宋体" w:cs="宋体"/>
          <w:b/>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pPr>
        <w:jc w:val="center"/>
        <w:outlineLvl w:val="9"/>
        <w:rPr>
          <w:rFonts w:hint="eastAsia" w:ascii="宋体" w:hAnsi="宋体" w:eastAsia="宋体" w:cs="宋体"/>
          <w:b/>
          <w:sz w:val="30"/>
          <w:szCs w:val="30"/>
          <w:highlight w:val="none"/>
        </w:rPr>
      </w:pPr>
      <w:r>
        <w:rPr>
          <w:rFonts w:hint="eastAsia" w:ascii="宋体" w:hAnsi="宋体" w:eastAsia="宋体" w:cs="宋体"/>
          <w:b/>
          <w:sz w:val="24"/>
          <w:highlight w:val="none"/>
        </w:rPr>
        <w:br w:type="page"/>
      </w:r>
      <w:r>
        <w:rPr>
          <w:rFonts w:hint="eastAsia" w:ascii="宋体" w:hAnsi="宋体" w:eastAsia="宋体" w:cs="宋体"/>
          <w:b/>
          <w:sz w:val="30"/>
          <w:szCs w:val="30"/>
          <w:highlight w:val="none"/>
        </w:rPr>
        <w:t>投诉书制作说明</w:t>
      </w:r>
    </w:p>
    <w:p>
      <w:pPr>
        <w:outlineLvl w:val="9"/>
        <w:rPr>
          <w:rFonts w:hint="eastAsia" w:ascii="宋体" w:hAnsi="宋体" w:eastAsia="宋体" w:cs="宋体"/>
          <w:b/>
          <w:sz w:val="24"/>
          <w:highlight w:val="none"/>
        </w:rPr>
      </w:pPr>
    </w:p>
    <w:p>
      <w:pPr>
        <w:spacing w:line="360" w:lineRule="auto"/>
        <w:ind w:firstLine="480" w:firstLineChars="200"/>
        <w:outlineLvl w:val="9"/>
        <w:rPr>
          <w:rFonts w:hint="eastAsia" w:ascii="宋体" w:hAnsi="宋体" w:eastAsia="宋体" w:cs="宋体"/>
          <w:kern w:val="0"/>
          <w:sz w:val="24"/>
          <w:highlight w:val="none"/>
        </w:rPr>
      </w:pPr>
      <w:r>
        <w:rPr>
          <w:rFonts w:hint="eastAsia" w:ascii="宋体" w:hAnsi="宋体" w:eastAsia="宋体" w:cs="宋体"/>
          <w:sz w:val="24"/>
          <w:highlight w:val="none"/>
        </w:rPr>
        <w:t>1.投诉人提起投诉时，应当提交投诉书和必要的证明材料，并按照被投诉人和与投诉事项有关的供应商数量提供投诉书副本。</w:t>
      </w:r>
    </w:p>
    <w:p>
      <w:pPr>
        <w:spacing w:line="360" w:lineRule="auto"/>
        <w:ind w:firstLine="480" w:firstLineChars="200"/>
        <w:jc w:val="left"/>
        <w:outlineLvl w:val="9"/>
        <w:rPr>
          <w:rFonts w:hint="eastAsia" w:ascii="宋体" w:hAnsi="宋体" w:eastAsia="宋体" w:cs="宋体"/>
          <w:kern w:val="0"/>
          <w:sz w:val="24"/>
          <w:highlight w:val="none"/>
        </w:rPr>
      </w:pPr>
      <w:r>
        <w:rPr>
          <w:rFonts w:hint="eastAsia" w:ascii="宋体" w:hAnsi="宋体" w:eastAsia="宋体" w:cs="宋体"/>
          <w:sz w:val="24"/>
          <w:highlight w:val="none"/>
        </w:rPr>
        <w:t>2.投诉人若委托代理人进行投诉的，投诉书应按照要求列明“授权代表”的有关内容，并在附件中提交由</w:t>
      </w:r>
      <w:r>
        <w:rPr>
          <w:rFonts w:hint="eastAsia" w:ascii="宋体" w:hAnsi="宋体" w:eastAsia="宋体" w:cs="宋体"/>
          <w:kern w:val="0"/>
          <w:sz w:val="24"/>
          <w:highlight w:val="none"/>
        </w:rPr>
        <w:t>投诉人签署的授权委托书。授权委托书应当载明代理人的姓名或者名称、代理事项、具体权限、期限和相关事项。</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3.投诉人若对项目的某一分包进行投诉，投诉书应列明具体分包号。</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4.投诉书应简要列明质疑事项，质疑函、质疑答复等作为附件材料提供。</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5.投诉书的投诉事项应具体、明确，并有必要的事实依据和法律依据。</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6.投诉书的投诉请求应与投诉事项相关。</w:t>
      </w:r>
    </w:p>
    <w:p>
      <w:pPr>
        <w:spacing w:line="360" w:lineRule="auto"/>
        <w:ind w:firstLine="480" w:firstLineChars="200"/>
        <w:jc w:val="left"/>
        <w:outlineLvl w:val="9"/>
        <w:rPr>
          <w:rFonts w:hint="eastAsia" w:ascii="宋体" w:hAnsi="宋体" w:eastAsia="宋体" w:cs="宋体"/>
          <w:kern w:val="0"/>
          <w:sz w:val="24"/>
          <w:highlight w:val="none"/>
        </w:rPr>
      </w:pPr>
      <w:r>
        <w:rPr>
          <w:rFonts w:hint="eastAsia" w:ascii="宋体" w:hAnsi="宋体" w:eastAsia="宋体" w:cs="宋体"/>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jc w:val="left"/>
        <w:outlineLvl w:val="9"/>
        <w:rPr>
          <w:rFonts w:hint="eastAsia" w:ascii="宋体" w:hAnsi="宋体" w:eastAsia="宋体" w:cs="宋体"/>
          <w:highlight w:val="none"/>
        </w:rPr>
      </w:pPr>
      <w:r>
        <w:rPr>
          <w:rFonts w:hint="eastAsia" w:ascii="宋体" w:hAnsi="宋体" w:eastAsia="宋体" w:cs="宋体"/>
          <w:highlight w:val="none"/>
        </w:rPr>
        <w:t xml:space="preserve"> </w:t>
      </w:r>
    </w:p>
    <w:p>
      <w:pPr>
        <w:pStyle w:val="40"/>
        <w:outlineLvl w:val="9"/>
        <w:rPr>
          <w:rFonts w:hint="eastAsia" w:ascii="宋体" w:hAnsi="宋体" w:eastAsia="宋体" w:cs="宋体"/>
          <w:highlight w:val="none"/>
        </w:rPr>
      </w:pPr>
    </w:p>
    <w:p>
      <w:pPr>
        <w:pStyle w:val="40"/>
        <w:outlineLvl w:val="9"/>
        <w:rPr>
          <w:rFonts w:hint="eastAsia" w:ascii="宋体" w:hAnsi="宋体" w:eastAsia="宋体" w:cs="宋体"/>
          <w:highlight w:val="none"/>
        </w:rPr>
      </w:pPr>
    </w:p>
    <w:p>
      <w:pPr>
        <w:pStyle w:val="40"/>
        <w:outlineLvl w:val="9"/>
        <w:rPr>
          <w:rFonts w:hint="eastAsia" w:ascii="宋体" w:hAnsi="宋体" w:eastAsia="宋体" w:cs="宋体"/>
          <w:highlight w:val="none"/>
        </w:rPr>
      </w:pPr>
    </w:p>
    <w:p>
      <w:pPr>
        <w:outlineLvl w:val="0"/>
        <w:rPr>
          <w:rFonts w:hint="eastAsia" w:ascii="宋体" w:hAnsi="宋体" w:eastAsia="宋体" w:cs="宋体"/>
          <w:b/>
          <w:sz w:val="28"/>
          <w:szCs w:val="28"/>
          <w:highlight w:val="none"/>
        </w:rPr>
      </w:pPr>
      <w:bookmarkStart w:id="63" w:name="_Toc24363"/>
      <w:r>
        <w:rPr>
          <w:rFonts w:hint="eastAsia" w:ascii="宋体" w:hAnsi="宋体" w:eastAsia="宋体" w:cs="宋体"/>
          <w:b/>
          <w:sz w:val="28"/>
          <w:szCs w:val="28"/>
          <w:highlight w:val="none"/>
        </w:rPr>
        <w:br w:type="page"/>
      </w:r>
      <w:bookmarkStart w:id="64" w:name="_Toc29310"/>
      <w:r>
        <w:rPr>
          <w:rFonts w:hint="eastAsia" w:ascii="宋体" w:hAnsi="宋体" w:eastAsia="宋体" w:cs="宋体"/>
          <w:b/>
          <w:sz w:val="28"/>
          <w:szCs w:val="28"/>
          <w:highlight w:val="none"/>
        </w:rPr>
        <w:t>附件3：专业担保机构出具的</w:t>
      </w:r>
      <w:r>
        <w:rPr>
          <w:rFonts w:hint="eastAsia" w:ascii="宋体" w:hAnsi="宋体" w:eastAsia="宋体" w:cs="宋体"/>
          <w:b/>
          <w:sz w:val="28"/>
          <w:szCs w:val="28"/>
          <w:highlight w:val="none"/>
          <w:lang w:eastAsia="zh-CN"/>
        </w:rPr>
        <w:t>磋商</w:t>
      </w:r>
      <w:r>
        <w:rPr>
          <w:rFonts w:hint="eastAsia" w:ascii="宋体" w:hAnsi="宋体" w:eastAsia="宋体" w:cs="宋体"/>
          <w:b/>
          <w:sz w:val="28"/>
          <w:szCs w:val="28"/>
          <w:highlight w:val="none"/>
        </w:rPr>
        <w:t>担保函（参考格式）：</w:t>
      </w:r>
      <w:bookmarkEnd w:id="64"/>
    </w:p>
    <w:p>
      <w:pPr>
        <w:jc w:val="center"/>
        <w:outlineLvl w:val="0"/>
        <w:rPr>
          <w:rFonts w:hint="eastAsia" w:ascii="宋体" w:hAnsi="宋体" w:eastAsia="宋体" w:cs="宋体"/>
          <w:sz w:val="28"/>
          <w:szCs w:val="28"/>
          <w:highlight w:val="none"/>
        </w:rPr>
      </w:pPr>
      <w:r>
        <w:rPr>
          <w:rFonts w:hint="eastAsia" w:ascii="宋体" w:hAnsi="宋体" w:eastAsia="宋体" w:cs="宋体"/>
          <w:b/>
          <w:bCs/>
          <w:sz w:val="28"/>
          <w:szCs w:val="28"/>
          <w:highlight w:val="none"/>
          <w:lang w:eastAsia="zh-CN"/>
        </w:rPr>
        <w:t>磋商</w:t>
      </w:r>
      <w:r>
        <w:rPr>
          <w:rFonts w:hint="eastAsia" w:ascii="宋体" w:hAnsi="宋体" w:eastAsia="宋体" w:cs="宋体"/>
          <w:b/>
          <w:bCs/>
          <w:sz w:val="28"/>
          <w:szCs w:val="28"/>
          <w:highlight w:val="none"/>
        </w:rPr>
        <w:t>担保函</w:t>
      </w:r>
      <w:bookmarkEnd w:id="63"/>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（采购人或采购代理机构）：</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鉴于某公司（以下简称”供应商“）拟参加</w:t>
      </w:r>
      <w:r>
        <w:rPr>
          <w:rFonts w:hint="eastAsia" w:ascii="宋体" w:hAnsi="宋体" w:eastAsia="宋体" w:cs="宋体"/>
          <w:sz w:val="24"/>
          <w:highlight w:val="none"/>
          <w:u w:val="single"/>
        </w:rPr>
        <w:t xml:space="preserve">  （项目名称）  </w:t>
      </w:r>
      <w:r>
        <w:rPr>
          <w:rFonts w:hint="eastAsia" w:ascii="宋体" w:hAnsi="宋体" w:eastAsia="宋体" w:cs="宋体"/>
          <w:sz w:val="24"/>
          <w:highlight w:val="none"/>
        </w:rPr>
        <w:t>编号</w:t>
      </w:r>
      <w:r>
        <w:rPr>
          <w:rFonts w:hint="eastAsia" w:ascii="宋体" w:hAnsi="宋体" w:eastAsia="宋体" w:cs="宋体"/>
          <w:sz w:val="24"/>
          <w:highlight w:val="none"/>
          <w:u w:val="single"/>
        </w:rPr>
        <w:t xml:space="preserve">  （项目编号）   </w:t>
      </w:r>
      <w:r>
        <w:rPr>
          <w:rFonts w:hint="eastAsia" w:ascii="宋体" w:hAnsi="宋体" w:eastAsia="宋体" w:cs="宋体"/>
          <w:sz w:val="24"/>
          <w:highlight w:val="none"/>
        </w:rPr>
        <w:t>（以下简称“本项目”）</w:t>
      </w:r>
      <w:r>
        <w:rPr>
          <w:rFonts w:hint="eastAsia" w:ascii="宋体" w:hAnsi="宋体" w:eastAsia="宋体" w:cs="宋体"/>
          <w:sz w:val="24"/>
          <w:highlight w:val="none"/>
          <w:lang w:eastAsia="zh-CN"/>
        </w:rPr>
        <w:t>磋商</w:t>
      </w:r>
      <w:r>
        <w:rPr>
          <w:rFonts w:hint="eastAsia" w:ascii="宋体" w:hAnsi="宋体" w:eastAsia="宋体" w:cs="宋体"/>
          <w:sz w:val="24"/>
          <w:highlight w:val="none"/>
        </w:rPr>
        <w:t>，根据本项目</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文件，供应商参加</w:t>
      </w:r>
      <w:r>
        <w:rPr>
          <w:rFonts w:hint="eastAsia" w:ascii="宋体" w:hAnsi="宋体" w:eastAsia="宋体" w:cs="宋体"/>
          <w:sz w:val="24"/>
          <w:highlight w:val="none"/>
          <w:lang w:eastAsia="zh-CN"/>
        </w:rPr>
        <w:t>磋商</w:t>
      </w:r>
      <w:r>
        <w:rPr>
          <w:rFonts w:hint="eastAsia" w:ascii="宋体" w:hAnsi="宋体" w:eastAsia="宋体" w:cs="宋体"/>
          <w:sz w:val="24"/>
          <w:highlight w:val="none"/>
        </w:rPr>
        <w:t>时应向你方</w:t>
      </w:r>
      <w:r>
        <w:rPr>
          <w:rFonts w:hint="eastAsia" w:ascii="宋体" w:hAnsi="宋体" w:eastAsia="宋体" w:cs="宋体"/>
          <w:sz w:val="24"/>
          <w:highlight w:val="none"/>
          <w:lang w:eastAsia="zh-CN"/>
        </w:rPr>
        <w:t>提交磋商</w:t>
      </w:r>
      <w:r>
        <w:rPr>
          <w:rFonts w:hint="eastAsia" w:ascii="宋体" w:hAnsi="宋体" w:eastAsia="宋体" w:cs="宋体"/>
          <w:sz w:val="24"/>
          <w:highlight w:val="none"/>
        </w:rPr>
        <w:t>保证金，且可以</w:t>
      </w:r>
      <w:r>
        <w:rPr>
          <w:rFonts w:hint="eastAsia" w:ascii="宋体" w:hAnsi="宋体" w:eastAsia="宋体" w:cs="宋体"/>
          <w:sz w:val="24"/>
          <w:highlight w:val="none"/>
          <w:lang w:eastAsia="zh-CN"/>
        </w:rPr>
        <w:t>磋商</w:t>
      </w:r>
      <w:r>
        <w:rPr>
          <w:rFonts w:hint="eastAsia" w:ascii="宋体" w:hAnsi="宋体" w:eastAsia="宋体" w:cs="宋体"/>
          <w:sz w:val="24"/>
          <w:highlight w:val="none"/>
        </w:rPr>
        <w:t>担保函的形式</w:t>
      </w:r>
      <w:r>
        <w:rPr>
          <w:rFonts w:hint="eastAsia" w:ascii="宋体" w:hAnsi="宋体" w:eastAsia="宋体" w:cs="宋体"/>
          <w:sz w:val="24"/>
          <w:highlight w:val="none"/>
          <w:lang w:eastAsia="zh-CN"/>
        </w:rPr>
        <w:t>提交磋商</w:t>
      </w:r>
      <w:r>
        <w:rPr>
          <w:rFonts w:hint="eastAsia" w:ascii="宋体" w:hAnsi="宋体" w:eastAsia="宋体" w:cs="宋体"/>
          <w:sz w:val="24"/>
          <w:highlight w:val="none"/>
        </w:rPr>
        <w:t>保证金。应供应商的申请，我方以保证的方式向你方提供如下</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保证金担保：</w:t>
      </w:r>
    </w:p>
    <w:p>
      <w:pPr>
        <w:spacing w:line="360" w:lineRule="auto"/>
        <w:ind w:firstLine="480" w:firstLineChars="200"/>
        <w:outlineLvl w:val="1"/>
        <w:rPr>
          <w:rFonts w:hint="eastAsia" w:ascii="宋体" w:hAnsi="宋体" w:eastAsia="宋体" w:cs="宋体"/>
          <w:sz w:val="24"/>
          <w:highlight w:val="none"/>
        </w:rPr>
      </w:pPr>
      <w:bookmarkStart w:id="65" w:name="_Toc17944"/>
      <w:r>
        <w:rPr>
          <w:rFonts w:hint="eastAsia" w:ascii="宋体" w:hAnsi="宋体" w:eastAsia="宋体" w:cs="宋体"/>
          <w:sz w:val="24"/>
          <w:highlight w:val="none"/>
        </w:rPr>
        <w:t>一、保证责任的情形及保证金额：</w:t>
      </w:r>
      <w:bookmarkEnd w:id="65"/>
    </w:p>
    <w:p>
      <w:pPr>
        <w:numPr>
          <w:ilvl w:val="0"/>
          <w:numId w:val="7"/>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在供应商出现下列情形之一时，我方承担保证责任：</w:t>
      </w:r>
    </w:p>
    <w:p>
      <w:pPr>
        <w:numPr>
          <w:ilvl w:val="0"/>
          <w:numId w:val="8"/>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成交后供应商无正当理由不与采购人或者采购代理机构签订《采购合同》；</w:t>
      </w:r>
    </w:p>
    <w:p>
      <w:pPr>
        <w:numPr>
          <w:ilvl w:val="0"/>
          <w:numId w:val="8"/>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文件规定的供应商应当</w:t>
      </w:r>
      <w:r>
        <w:rPr>
          <w:rFonts w:hint="eastAsia" w:ascii="宋体" w:hAnsi="宋体" w:eastAsia="宋体" w:cs="宋体"/>
          <w:sz w:val="24"/>
          <w:highlight w:val="none"/>
          <w:lang w:eastAsia="zh-CN"/>
        </w:rPr>
        <w:t>提交</w:t>
      </w:r>
      <w:r>
        <w:rPr>
          <w:rFonts w:hint="eastAsia" w:ascii="宋体" w:hAnsi="宋体" w:eastAsia="宋体" w:cs="宋体"/>
          <w:sz w:val="24"/>
          <w:highlight w:val="none"/>
        </w:rPr>
        <w:t>保证金的其他情形。</w:t>
      </w:r>
    </w:p>
    <w:p>
      <w:pPr>
        <w:numPr>
          <w:ilvl w:val="0"/>
          <w:numId w:val="7"/>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我方承担保证责任的最高金额为人民币X元（大写X），即本项目的</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保证金金额。</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66" w:name="_Toc21157"/>
      <w:r>
        <w:rPr>
          <w:rFonts w:hint="eastAsia" w:ascii="宋体" w:hAnsi="宋体" w:eastAsia="宋体" w:cs="宋体"/>
          <w:sz w:val="24"/>
          <w:highlight w:val="none"/>
        </w:rPr>
        <w:t>保证的方式及保证期间</w:t>
      </w:r>
      <w:bookmarkEnd w:id="66"/>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我方保证的方式为：连带责任保证。</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我方的保证期间为：自本保函生效之日起X个月止。</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67" w:name="_Toc20596"/>
      <w:r>
        <w:rPr>
          <w:rFonts w:hint="eastAsia" w:ascii="宋体" w:hAnsi="宋体" w:eastAsia="宋体" w:cs="宋体"/>
          <w:sz w:val="24"/>
          <w:highlight w:val="none"/>
        </w:rPr>
        <w:t>承担保证责任的程序</w:t>
      </w:r>
      <w:bookmarkEnd w:id="67"/>
    </w:p>
    <w:p>
      <w:pPr>
        <w:numPr>
          <w:ilvl w:val="0"/>
          <w:numId w:val="10"/>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你方要求我方承担保证责任的，应在本保函保证期间内向我方发出书面索赔通知。索赔通知应写明要求索赔的金额，支付款项应到达的账号，并附有证明供应商发生我方应承担保证责任情形的事实材料。</w:t>
      </w:r>
    </w:p>
    <w:p>
      <w:pPr>
        <w:numPr>
          <w:ilvl w:val="0"/>
          <w:numId w:val="10"/>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我方在收到索赔通知及相关证明材料后，在X个工作日内进行审查，符合应承担保证责任情形的，我方应按照你方的要求代供应商向你方支付</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68" w:name="_Toc30291"/>
      <w:r>
        <w:rPr>
          <w:rFonts w:hint="eastAsia" w:ascii="宋体" w:hAnsi="宋体" w:eastAsia="宋体" w:cs="宋体"/>
          <w:sz w:val="24"/>
          <w:highlight w:val="none"/>
        </w:rPr>
        <w:t>保证责任的终止</w:t>
      </w:r>
      <w:bookmarkEnd w:id="68"/>
    </w:p>
    <w:p>
      <w:pPr>
        <w:numPr>
          <w:ilvl w:val="0"/>
          <w:numId w:val="11"/>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保证期间届满你方未向我方书面主张保证责任的，自保证期间届满次日起，我方保证责任自动终止。</w:t>
      </w:r>
    </w:p>
    <w:p>
      <w:pPr>
        <w:numPr>
          <w:ilvl w:val="0"/>
          <w:numId w:val="11"/>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我方按照本保函向你贵方履行了保证责任后，自我方向你贵方支付款项（支付款项从我方账户划出）之日起，保证责任终止。</w:t>
      </w:r>
    </w:p>
    <w:p>
      <w:pPr>
        <w:numPr>
          <w:ilvl w:val="0"/>
          <w:numId w:val="11"/>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按照</w:t>
      </w:r>
      <w:r>
        <w:rPr>
          <w:rFonts w:hint="eastAsia" w:ascii="宋体" w:hAnsi="宋体" w:eastAsia="宋体" w:cs="宋体"/>
          <w:sz w:val="24"/>
          <w:highlight w:val="none"/>
          <w:lang w:val="en-US" w:eastAsia="zh-CN"/>
        </w:rPr>
        <w:t>相关</w:t>
      </w:r>
      <w:r>
        <w:rPr>
          <w:rFonts w:hint="eastAsia" w:ascii="宋体" w:hAnsi="宋体" w:eastAsia="宋体" w:cs="宋体"/>
          <w:sz w:val="24"/>
          <w:highlight w:val="none"/>
        </w:rPr>
        <w:t>规定或出现我方保证责任终止的其它情形的，我方在本保函项下的保证责任亦终止。</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69" w:name="_Toc18882"/>
      <w:r>
        <w:rPr>
          <w:rFonts w:hint="eastAsia" w:ascii="宋体" w:hAnsi="宋体" w:eastAsia="宋体" w:cs="宋体"/>
          <w:sz w:val="24"/>
          <w:highlight w:val="none"/>
        </w:rPr>
        <w:t>免责条款</w:t>
      </w:r>
      <w:bookmarkEnd w:id="69"/>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1．依照</w:t>
      </w:r>
      <w:r>
        <w:rPr>
          <w:rFonts w:hint="eastAsia" w:ascii="宋体" w:hAnsi="宋体" w:eastAsia="宋体" w:cs="宋体"/>
          <w:sz w:val="24"/>
          <w:highlight w:val="none"/>
          <w:lang w:val="en-US" w:eastAsia="zh-CN"/>
        </w:rPr>
        <w:t>相关</w:t>
      </w:r>
      <w:r>
        <w:rPr>
          <w:rFonts w:hint="eastAsia" w:ascii="宋体" w:hAnsi="宋体" w:eastAsia="宋体" w:cs="宋体"/>
          <w:sz w:val="24"/>
          <w:highlight w:val="none"/>
        </w:rPr>
        <w:t>规定或你方与供应商的另行约定，全部或者部分免除供应商</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保证金义务时，我方亦免除相应的保证责任。</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2.因你方原因致使供应商发生本保函第一条第（一）款约定情形的，我方不承担保证责任。</w:t>
      </w:r>
    </w:p>
    <w:p>
      <w:pPr>
        <w:numPr>
          <w:ilvl w:val="0"/>
          <w:numId w:val="10"/>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因不可抗力造成供应商发生本保函第一条约定情形的，我方不承担保证责任。</w:t>
      </w:r>
    </w:p>
    <w:p>
      <w:pPr>
        <w:numPr>
          <w:ilvl w:val="0"/>
          <w:numId w:val="10"/>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你方或其他有权机关对</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文件进行任何澄清或修改，加重我方保证责任的，我方对加重部分不承担保证责任，但该澄清或修改经我方事先书面同意的除外。</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70" w:name="_Toc22400"/>
      <w:r>
        <w:rPr>
          <w:rFonts w:hint="eastAsia" w:ascii="宋体" w:hAnsi="宋体" w:eastAsia="宋体" w:cs="宋体"/>
          <w:sz w:val="24"/>
          <w:highlight w:val="none"/>
        </w:rPr>
        <w:t>争议的解决</w:t>
      </w:r>
      <w:bookmarkEnd w:id="70"/>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因本保函发生的纠纷，由你我双方协商解决，协商不成的，通过诉讼程序解决，诉讼管辖地法院为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法院。</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71" w:name="_Toc20628"/>
      <w:r>
        <w:rPr>
          <w:rFonts w:hint="eastAsia" w:ascii="宋体" w:hAnsi="宋体" w:eastAsia="宋体" w:cs="宋体"/>
          <w:sz w:val="24"/>
          <w:highlight w:val="none"/>
        </w:rPr>
        <w:t>保函的生效</w:t>
      </w:r>
      <w:bookmarkEnd w:id="71"/>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本保函自我方加盖公章之日起生效。</w:t>
      </w:r>
    </w:p>
    <w:p>
      <w:pPr>
        <w:spacing w:line="360" w:lineRule="auto"/>
        <w:ind w:firstLine="5520" w:firstLineChars="2300"/>
        <w:outlineLvl w:val="9"/>
        <w:rPr>
          <w:rFonts w:hint="eastAsia" w:ascii="宋体" w:hAnsi="宋体" w:eastAsia="宋体" w:cs="宋体"/>
          <w:sz w:val="24"/>
          <w:highlight w:val="none"/>
        </w:rPr>
      </w:pPr>
      <w:r>
        <w:rPr>
          <w:rFonts w:hint="eastAsia" w:ascii="宋体" w:hAnsi="宋体" w:eastAsia="宋体" w:cs="宋体"/>
          <w:sz w:val="24"/>
          <w:highlight w:val="none"/>
        </w:rPr>
        <w:t>保证人：（公章）</w:t>
      </w:r>
    </w:p>
    <w:p>
      <w:pPr>
        <w:spacing w:line="360" w:lineRule="auto"/>
        <w:ind w:firstLine="5520" w:firstLineChars="2300"/>
        <w:outlineLvl w:val="9"/>
        <w:rPr>
          <w:rFonts w:hint="eastAsia" w:ascii="宋体" w:hAnsi="宋体" w:eastAsia="宋体" w:cs="宋体"/>
          <w:sz w:val="24"/>
          <w:highlight w:val="none"/>
        </w:rPr>
      </w:pPr>
      <w:r>
        <w:rPr>
          <w:rFonts w:hint="eastAsia" w:ascii="宋体" w:hAnsi="宋体" w:eastAsia="宋体" w:cs="宋体"/>
          <w:sz w:val="24"/>
          <w:highlight w:val="none"/>
        </w:rPr>
        <w:t>年   月   日</w:t>
      </w:r>
    </w:p>
    <w:sectPr>
      <w:footerReference r:id="rId11" w:type="default"/>
      <w:pgSz w:w="11906" w:h="16838"/>
      <w:pgMar w:top="1440" w:right="1247" w:bottom="1440" w:left="124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ju78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mu&#10;sj59gBrT7gMmpuGdH3Lu5Ad0ZtqDijZ/kRDBOKp7vqorh0REfrRerdcVhgTG5gvisIfnIUJ6L70l&#10;2WhoxPEVVfnpI6QxdU7J1Zy/08agn9fG/eNAzOxhufexx2ylYT9Mje99e0Y+PU6+oQ4XnRLzwaGw&#10;eUlmI87GfjaOIepDV7Yo14Nwe0zYROktVxhhp8I4ssJuWq+8E4/vJevhl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omO7vyQEAAJoDAAAOAAAAAAAAAAEAIAAAAB4BAABkcnMvZTJvRG9j&#10;LnhtbFBLBQYAAAAABgAGAFkBAABZ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1"/>
      <w:keepNext/>
      <w:pBdr>
        <w:bottom w:val="none" w:color="auto" w:sz="0" w:space="1"/>
      </w:pBdr>
      <w:ind w:right="-94"/>
      <w:jc w:val="right"/>
      <w:rPr>
        <w:rFonts w:hint="eastAsia" w:ascii="宋体" w:hAnsi="宋体" w:cs="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tabs>
        <w:tab w:val="left" w:pos="7307"/>
      </w:tabs>
      <w:jc w:val="left"/>
      <w:rPr>
        <w:rFonts w:hint="eastAsia" w:eastAsia="宋体"/>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3EFB0"/>
    <w:multiLevelType w:val="singleLevel"/>
    <w:tmpl w:val="8B33EFB0"/>
    <w:lvl w:ilvl="0" w:tentative="0">
      <w:start w:val="1"/>
      <w:numFmt w:val="decimal"/>
      <w:pStyle w:val="34"/>
      <w:lvlText w:val="%1."/>
      <w:lvlJc w:val="left"/>
      <w:pPr>
        <w:tabs>
          <w:tab w:val="left" w:pos="2040"/>
        </w:tabs>
        <w:ind w:left="2040" w:hanging="360"/>
      </w:pPr>
    </w:lvl>
  </w:abstractNum>
  <w:abstractNum w:abstractNumId="1">
    <w:nsid w:val="9973A931"/>
    <w:multiLevelType w:val="singleLevel"/>
    <w:tmpl w:val="9973A931"/>
    <w:lvl w:ilvl="0" w:tentative="0">
      <w:start w:val="1"/>
      <w:numFmt w:val="decimal"/>
      <w:suff w:val="nothing"/>
      <w:lvlText w:val="%1．"/>
      <w:lvlJc w:val="left"/>
    </w:lvl>
  </w:abstractNum>
  <w:abstractNum w:abstractNumId="2">
    <w:nsid w:val="AB24DB0D"/>
    <w:multiLevelType w:val="singleLevel"/>
    <w:tmpl w:val="AB24DB0D"/>
    <w:lvl w:ilvl="0" w:tentative="0">
      <w:start w:val="7"/>
      <w:numFmt w:val="decimal"/>
      <w:suff w:val="space"/>
      <w:lvlText w:val="%1."/>
      <w:lvlJc w:val="left"/>
    </w:lvl>
  </w:abstractNum>
  <w:abstractNum w:abstractNumId="3">
    <w:nsid w:val="D3D9DD2C"/>
    <w:multiLevelType w:val="singleLevel"/>
    <w:tmpl w:val="D3D9DD2C"/>
    <w:lvl w:ilvl="0" w:tentative="0">
      <w:start w:val="1"/>
      <w:numFmt w:val="decimal"/>
      <w:suff w:val="nothing"/>
      <w:lvlText w:val="%1．"/>
      <w:lvlJc w:val="left"/>
    </w:lvl>
  </w:abstractNum>
  <w:abstractNum w:abstractNumId="4">
    <w:nsid w:val="E50191DA"/>
    <w:multiLevelType w:val="singleLevel"/>
    <w:tmpl w:val="E50191DA"/>
    <w:lvl w:ilvl="0" w:tentative="0">
      <w:start w:val="2"/>
      <w:numFmt w:val="chineseCounting"/>
      <w:suff w:val="nothing"/>
      <w:lvlText w:val="%1、"/>
      <w:lvlJc w:val="left"/>
      <w:rPr>
        <w:rFonts w:hint="eastAsia"/>
      </w:rPr>
    </w:lvl>
  </w:abstractNum>
  <w:abstractNum w:abstractNumId="5">
    <w:nsid w:val="F09E42EE"/>
    <w:multiLevelType w:val="singleLevel"/>
    <w:tmpl w:val="F09E42EE"/>
    <w:lvl w:ilvl="0" w:tentative="0">
      <w:start w:val="6"/>
      <w:numFmt w:val="decimal"/>
      <w:suff w:val="nothing"/>
      <w:lvlText w:val="（%1）"/>
      <w:lvlJc w:val="left"/>
    </w:lvl>
  </w:abstractNum>
  <w:abstractNum w:abstractNumId="6">
    <w:nsid w:val="00000002"/>
    <w:multiLevelType w:val="multilevel"/>
    <w:tmpl w:val="00000002"/>
    <w:lvl w:ilvl="0" w:tentative="0">
      <w:start w:val="1"/>
      <w:numFmt w:val="decimal"/>
      <w:lvlText w:val="%1"/>
      <w:lvlJc w:val="left"/>
      <w:pPr>
        <w:ind w:left="-138" w:hanging="432"/>
      </w:pPr>
      <w:rPr>
        <w:rFonts w:hint="eastAsia"/>
      </w:rPr>
    </w:lvl>
    <w:lvl w:ilvl="1" w:tentative="0">
      <w:start w:val="1"/>
      <w:numFmt w:val="decimal"/>
      <w:lvlText w:val="%1.%2"/>
      <w:lvlJc w:val="left"/>
      <w:pPr>
        <w:ind w:left="6" w:hanging="576"/>
      </w:pPr>
      <w:rPr>
        <w:rFonts w:hint="eastAsia"/>
      </w:rPr>
    </w:lvl>
    <w:lvl w:ilvl="2" w:tentative="0">
      <w:start w:val="1"/>
      <w:numFmt w:val="decimal"/>
      <w:lvlText w:val="%1.%2.%3"/>
      <w:lvlJc w:val="left"/>
      <w:pPr>
        <w:ind w:left="150" w:hanging="720"/>
      </w:pPr>
      <w:rPr>
        <w:rFonts w:hint="eastAsia"/>
      </w:rPr>
    </w:lvl>
    <w:lvl w:ilvl="3" w:tentative="0">
      <w:start w:val="1"/>
      <w:numFmt w:val="decimal"/>
      <w:pStyle w:val="7"/>
      <w:lvlText w:val="%1.%2.%3.%4"/>
      <w:lvlJc w:val="left"/>
      <w:pPr>
        <w:ind w:left="294" w:hanging="864"/>
      </w:pPr>
      <w:rPr>
        <w:rFonts w:hint="eastAsia"/>
      </w:rPr>
    </w:lvl>
    <w:lvl w:ilvl="4" w:tentative="0">
      <w:start w:val="1"/>
      <w:numFmt w:val="decimal"/>
      <w:lvlText w:val="%1.%2.%3.%4.%5"/>
      <w:lvlJc w:val="left"/>
      <w:pPr>
        <w:ind w:left="438" w:hanging="1008"/>
      </w:pPr>
      <w:rPr>
        <w:rFonts w:hint="eastAsia"/>
      </w:rPr>
    </w:lvl>
    <w:lvl w:ilvl="5" w:tentative="0">
      <w:start w:val="1"/>
      <w:numFmt w:val="decimal"/>
      <w:lvlText w:val="%1.%2.%3.%4.%5.%6"/>
      <w:lvlJc w:val="left"/>
      <w:pPr>
        <w:ind w:left="582" w:hanging="1152"/>
      </w:pPr>
      <w:rPr>
        <w:rFonts w:hint="eastAsia"/>
      </w:rPr>
    </w:lvl>
    <w:lvl w:ilvl="6" w:tentative="0">
      <w:start w:val="1"/>
      <w:numFmt w:val="decimal"/>
      <w:lvlText w:val="%1.%2.%3.%4.%5.%6.%7"/>
      <w:lvlJc w:val="left"/>
      <w:pPr>
        <w:ind w:left="726" w:hanging="1296"/>
      </w:pPr>
      <w:rPr>
        <w:rFonts w:hint="eastAsia"/>
      </w:rPr>
    </w:lvl>
    <w:lvl w:ilvl="7" w:tentative="0">
      <w:start w:val="1"/>
      <w:numFmt w:val="decimal"/>
      <w:lvlText w:val="%1.%2.%3.%4.%5.%6.%7.%8"/>
      <w:lvlJc w:val="left"/>
      <w:pPr>
        <w:ind w:left="870" w:hanging="1440"/>
      </w:pPr>
      <w:rPr>
        <w:rFonts w:hint="eastAsia"/>
      </w:rPr>
    </w:lvl>
    <w:lvl w:ilvl="8" w:tentative="0">
      <w:start w:val="1"/>
      <w:numFmt w:val="decimal"/>
      <w:lvlText w:val="%1.%2.%3.%4.%5.%6.%7.%8.%9"/>
      <w:lvlJc w:val="left"/>
      <w:pPr>
        <w:ind w:left="1014" w:hanging="1584"/>
      </w:pPr>
      <w:rPr>
        <w:rFonts w:hint="eastAsia"/>
      </w:rPr>
    </w:lvl>
  </w:abstractNum>
  <w:abstractNum w:abstractNumId="7">
    <w:nsid w:val="34C2D66D"/>
    <w:multiLevelType w:val="singleLevel"/>
    <w:tmpl w:val="34C2D66D"/>
    <w:lvl w:ilvl="0" w:tentative="0">
      <w:start w:val="1"/>
      <w:numFmt w:val="decimal"/>
      <w:suff w:val="nothing"/>
      <w:lvlText w:val="%1．"/>
      <w:lvlJc w:val="left"/>
    </w:lvl>
  </w:abstractNum>
  <w:abstractNum w:abstractNumId="8">
    <w:nsid w:val="566685C3"/>
    <w:multiLevelType w:val="singleLevel"/>
    <w:tmpl w:val="566685C3"/>
    <w:lvl w:ilvl="0" w:tentative="0">
      <w:start w:val="1"/>
      <w:numFmt w:val="decimal"/>
      <w:pStyle w:val="117"/>
      <w:lvlText w:val="图%1. "/>
      <w:lvlJc w:val="left"/>
      <w:pPr>
        <w:tabs>
          <w:tab w:val="left" w:pos="777"/>
        </w:tabs>
        <w:ind w:left="777" w:hanging="420"/>
      </w:pPr>
      <w:rPr>
        <w:rFonts w:cs="Times New Roman"/>
      </w:rPr>
    </w:lvl>
  </w:abstractNum>
  <w:abstractNum w:abstractNumId="9">
    <w:nsid w:val="656D6133"/>
    <w:multiLevelType w:val="multilevel"/>
    <w:tmpl w:val="656D6133"/>
    <w:lvl w:ilvl="0" w:tentative="0">
      <w:start w:val="1"/>
      <w:numFmt w:val="chineseCountingThousand"/>
      <w:suff w:val="nothing"/>
      <w:lvlText w:val="第%1部分"/>
      <w:lvlJc w:val="center"/>
      <w:pPr>
        <w:widowControl/>
        <w:ind w:left="252" w:firstLine="288"/>
        <w:textAlignment w:val="baseline"/>
      </w:pPr>
      <w:rPr>
        <w:sz w:val="28"/>
        <w:szCs w:val="28"/>
      </w:rPr>
    </w:lvl>
    <w:lvl w:ilvl="1" w:tentative="0">
      <w:start w:val="1"/>
      <w:numFmt w:val="chineseCountingThousand"/>
      <w:suff w:val="nothing"/>
      <w:lvlText w:val="%1、"/>
      <w:lvlJc w:val="left"/>
      <w:pPr>
        <w:widowControl/>
        <w:ind w:left="543" w:firstLine="177"/>
        <w:textAlignment w:val="baseline"/>
      </w:pPr>
      <w:rPr>
        <w:rFonts w:ascii="仿宋_GB2312" w:hAnsi="宋体" w:eastAsia="仿宋_GB2312"/>
        <w:sz w:val="32"/>
        <w:szCs w:val="32"/>
        <w:lang w:val="en-US"/>
      </w:rPr>
    </w:lvl>
    <w:lvl w:ilvl="2" w:tentative="0">
      <w:start w:val="1"/>
      <w:numFmt w:val="chineseCountingThousand"/>
      <w:pStyle w:val="159"/>
      <w:suff w:val="nothing"/>
      <w:lvlText w:val="(%1)"/>
      <w:lvlJc w:val="left"/>
      <w:pPr>
        <w:widowControl/>
        <w:ind w:left="252" w:firstLine="0"/>
        <w:textAlignment w:val="baseline"/>
      </w:pPr>
      <w:rPr>
        <w:rFonts w:ascii="Times New Roman" w:hAnsi="Times New Roman" w:eastAsia="宋体"/>
        <w:b/>
        <w:i w:val="0"/>
        <w:position w:val="0"/>
        <w:sz w:val="21"/>
        <w:szCs w:val="21"/>
      </w:rPr>
    </w:lvl>
    <w:lvl w:ilvl="3" w:tentative="0">
      <w:start w:val="1"/>
      <w:numFmt w:val="decimal"/>
      <w:suff w:val="nothing"/>
      <w:lvlText w:val="%1、"/>
      <w:lvlJc w:val="left"/>
      <w:pPr>
        <w:widowControl/>
        <w:ind w:left="252" w:firstLine="0"/>
        <w:textAlignment w:val="baseline"/>
      </w:pPr>
    </w:lvl>
    <w:lvl w:ilvl="4" w:tentative="0">
      <w:start w:val="1"/>
      <w:numFmt w:val="upperLetter"/>
      <w:suff w:val="nothing"/>
      <w:lvlText w:val="%1、"/>
      <w:lvlJc w:val="left"/>
      <w:pPr>
        <w:widowControl/>
        <w:ind w:left="252" w:firstLine="0"/>
        <w:textAlignment w:val="baseline"/>
      </w:pPr>
    </w:lvl>
    <w:lvl w:ilvl="5" w:tentative="0">
      <w:start w:val="1"/>
      <w:numFmt w:val="decimal"/>
      <w:suff w:val="nothing"/>
      <w:lvlText w:val=""/>
      <w:lvlJc w:val="left"/>
      <w:pPr>
        <w:widowControl/>
        <w:ind w:left="252"/>
        <w:textAlignment w:val="baseline"/>
      </w:pPr>
    </w:lvl>
    <w:lvl w:ilvl="6" w:tentative="0">
      <w:start w:val="1"/>
      <w:numFmt w:val="decimal"/>
      <w:suff w:val="nothing"/>
      <w:lvlText w:val=""/>
      <w:lvlJc w:val="left"/>
      <w:pPr>
        <w:widowControl/>
        <w:ind w:left="252"/>
        <w:textAlignment w:val="baseline"/>
      </w:pPr>
    </w:lvl>
    <w:lvl w:ilvl="7" w:tentative="0">
      <w:start w:val="1"/>
      <w:numFmt w:val="decimal"/>
      <w:suff w:val="nothing"/>
      <w:lvlText w:val=""/>
      <w:lvlJc w:val="left"/>
      <w:pPr>
        <w:widowControl/>
        <w:ind w:left="252"/>
        <w:textAlignment w:val="baseline"/>
      </w:pPr>
    </w:lvl>
    <w:lvl w:ilvl="8" w:tentative="0">
      <w:start w:val="1"/>
      <w:numFmt w:val="decimal"/>
      <w:suff w:val="nothing"/>
      <w:lvlText w:val=""/>
      <w:lvlJc w:val="left"/>
      <w:pPr>
        <w:widowControl/>
        <w:ind w:left="252"/>
        <w:textAlignment w:val="baseline"/>
      </w:pPr>
    </w:lvl>
  </w:abstractNum>
  <w:abstractNum w:abstractNumId="10">
    <w:nsid w:val="72297B90"/>
    <w:multiLevelType w:val="singleLevel"/>
    <w:tmpl w:val="72297B90"/>
    <w:lvl w:ilvl="0" w:tentative="0">
      <w:start w:val="1"/>
      <w:numFmt w:val="chineseCounting"/>
      <w:suff w:val="nothing"/>
      <w:lvlText w:val="（%1）"/>
      <w:lvlJc w:val="left"/>
      <w:rPr>
        <w:rFonts w:hint="eastAsia"/>
      </w:rPr>
    </w:lvl>
  </w:abstractNum>
  <w:num w:numId="1">
    <w:abstractNumId w:val="6"/>
  </w:num>
  <w:num w:numId="2">
    <w:abstractNumId w:val="0"/>
  </w:num>
  <w:num w:numId="3">
    <w:abstractNumId w:val="8"/>
  </w:num>
  <w:num w:numId="4">
    <w:abstractNumId w:val="9"/>
  </w:num>
  <w:num w:numId="5">
    <w:abstractNumId w:val="5"/>
  </w:num>
  <w:num w:numId="6">
    <w:abstractNumId w:val="2"/>
  </w:num>
  <w:num w:numId="7">
    <w:abstractNumId w:val="10"/>
  </w:num>
  <w:num w:numId="8">
    <w:abstractNumId w:val="7"/>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ZDM4NGY5Njk2NDMxY2E3ODE4NWQzYTQ0YmI5MTEifQ=="/>
  </w:docVars>
  <w:rsids>
    <w:rsidRoot w:val="00172A27"/>
    <w:rsid w:val="00000746"/>
    <w:rsid w:val="00002497"/>
    <w:rsid w:val="0000273D"/>
    <w:rsid w:val="00007FD1"/>
    <w:rsid w:val="00013DAC"/>
    <w:rsid w:val="000156CC"/>
    <w:rsid w:val="000163A3"/>
    <w:rsid w:val="000210DA"/>
    <w:rsid w:val="00025629"/>
    <w:rsid w:val="00026739"/>
    <w:rsid w:val="00026752"/>
    <w:rsid w:val="000300A7"/>
    <w:rsid w:val="00032D19"/>
    <w:rsid w:val="000358BD"/>
    <w:rsid w:val="00044319"/>
    <w:rsid w:val="0004742A"/>
    <w:rsid w:val="000475DD"/>
    <w:rsid w:val="000500CE"/>
    <w:rsid w:val="000525C3"/>
    <w:rsid w:val="0005354A"/>
    <w:rsid w:val="00063C01"/>
    <w:rsid w:val="0006479D"/>
    <w:rsid w:val="00066793"/>
    <w:rsid w:val="00066A60"/>
    <w:rsid w:val="00067443"/>
    <w:rsid w:val="00071595"/>
    <w:rsid w:val="00072A83"/>
    <w:rsid w:val="0007442B"/>
    <w:rsid w:val="0007736D"/>
    <w:rsid w:val="00083E87"/>
    <w:rsid w:val="00086640"/>
    <w:rsid w:val="00086F85"/>
    <w:rsid w:val="00094176"/>
    <w:rsid w:val="000944A8"/>
    <w:rsid w:val="000951D8"/>
    <w:rsid w:val="000A34ED"/>
    <w:rsid w:val="000A364D"/>
    <w:rsid w:val="000A3B83"/>
    <w:rsid w:val="000B3012"/>
    <w:rsid w:val="000B3762"/>
    <w:rsid w:val="000B6D35"/>
    <w:rsid w:val="000B72D5"/>
    <w:rsid w:val="000C0417"/>
    <w:rsid w:val="000C5122"/>
    <w:rsid w:val="000C63E2"/>
    <w:rsid w:val="000C67AA"/>
    <w:rsid w:val="000D1379"/>
    <w:rsid w:val="000D1A64"/>
    <w:rsid w:val="000D2DCB"/>
    <w:rsid w:val="000E6CA6"/>
    <w:rsid w:val="000F1BE7"/>
    <w:rsid w:val="000F405E"/>
    <w:rsid w:val="000F7642"/>
    <w:rsid w:val="001009C7"/>
    <w:rsid w:val="00102DCE"/>
    <w:rsid w:val="001053BC"/>
    <w:rsid w:val="00106236"/>
    <w:rsid w:val="001078B5"/>
    <w:rsid w:val="00107E3C"/>
    <w:rsid w:val="0011029A"/>
    <w:rsid w:val="00110871"/>
    <w:rsid w:val="00120FAB"/>
    <w:rsid w:val="00122968"/>
    <w:rsid w:val="00122B7D"/>
    <w:rsid w:val="00127875"/>
    <w:rsid w:val="00130265"/>
    <w:rsid w:val="00140DA9"/>
    <w:rsid w:val="00140E2C"/>
    <w:rsid w:val="00144F56"/>
    <w:rsid w:val="00150557"/>
    <w:rsid w:val="00161E4B"/>
    <w:rsid w:val="00162109"/>
    <w:rsid w:val="001622E3"/>
    <w:rsid w:val="00163743"/>
    <w:rsid w:val="00165AD1"/>
    <w:rsid w:val="00165E27"/>
    <w:rsid w:val="001669A9"/>
    <w:rsid w:val="001678D8"/>
    <w:rsid w:val="001764B1"/>
    <w:rsid w:val="00176EB0"/>
    <w:rsid w:val="001770A1"/>
    <w:rsid w:val="00180B88"/>
    <w:rsid w:val="001817D6"/>
    <w:rsid w:val="001822ED"/>
    <w:rsid w:val="00182318"/>
    <w:rsid w:val="001838A7"/>
    <w:rsid w:val="00194BF2"/>
    <w:rsid w:val="001A0F7E"/>
    <w:rsid w:val="001A4AA5"/>
    <w:rsid w:val="001A6C96"/>
    <w:rsid w:val="001A7324"/>
    <w:rsid w:val="001A7FA1"/>
    <w:rsid w:val="001B17AC"/>
    <w:rsid w:val="001B258D"/>
    <w:rsid w:val="001B4D57"/>
    <w:rsid w:val="001C329B"/>
    <w:rsid w:val="001C3A57"/>
    <w:rsid w:val="001C4233"/>
    <w:rsid w:val="001C434B"/>
    <w:rsid w:val="001C568F"/>
    <w:rsid w:val="001C58B9"/>
    <w:rsid w:val="001C5FE9"/>
    <w:rsid w:val="001D3D87"/>
    <w:rsid w:val="001D4F2A"/>
    <w:rsid w:val="001D50CD"/>
    <w:rsid w:val="001D560B"/>
    <w:rsid w:val="001D5AD1"/>
    <w:rsid w:val="001D7F60"/>
    <w:rsid w:val="001E26B2"/>
    <w:rsid w:val="001E2BA3"/>
    <w:rsid w:val="001E56AE"/>
    <w:rsid w:val="001E5FBC"/>
    <w:rsid w:val="001E7172"/>
    <w:rsid w:val="001F14BA"/>
    <w:rsid w:val="001F2CE4"/>
    <w:rsid w:val="001F6B35"/>
    <w:rsid w:val="00200CD0"/>
    <w:rsid w:val="002013FA"/>
    <w:rsid w:val="0020265C"/>
    <w:rsid w:val="0020545A"/>
    <w:rsid w:val="00205586"/>
    <w:rsid w:val="00205F43"/>
    <w:rsid w:val="00212291"/>
    <w:rsid w:val="00213D36"/>
    <w:rsid w:val="00214717"/>
    <w:rsid w:val="00216B71"/>
    <w:rsid w:val="00221E87"/>
    <w:rsid w:val="002241C0"/>
    <w:rsid w:val="002269B0"/>
    <w:rsid w:val="00232C27"/>
    <w:rsid w:val="00236783"/>
    <w:rsid w:val="002378CD"/>
    <w:rsid w:val="00241BD4"/>
    <w:rsid w:val="00245C2B"/>
    <w:rsid w:val="0024792E"/>
    <w:rsid w:val="00253105"/>
    <w:rsid w:val="002548A9"/>
    <w:rsid w:val="00254C4E"/>
    <w:rsid w:val="0025504C"/>
    <w:rsid w:val="0025519A"/>
    <w:rsid w:val="002628F8"/>
    <w:rsid w:val="00262B38"/>
    <w:rsid w:val="00264EB4"/>
    <w:rsid w:val="00266664"/>
    <w:rsid w:val="00272F55"/>
    <w:rsid w:val="00273B6D"/>
    <w:rsid w:val="00290860"/>
    <w:rsid w:val="00290C90"/>
    <w:rsid w:val="00291AB3"/>
    <w:rsid w:val="00292C28"/>
    <w:rsid w:val="00293254"/>
    <w:rsid w:val="00296B19"/>
    <w:rsid w:val="002A2225"/>
    <w:rsid w:val="002A497A"/>
    <w:rsid w:val="002A4F70"/>
    <w:rsid w:val="002B0624"/>
    <w:rsid w:val="002B1439"/>
    <w:rsid w:val="002B2E49"/>
    <w:rsid w:val="002C08B4"/>
    <w:rsid w:val="002C0E7F"/>
    <w:rsid w:val="002C105A"/>
    <w:rsid w:val="002C24BA"/>
    <w:rsid w:val="002C2DA7"/>
    <w:rsid w:val="002D5DCC"/>
    <w:rsid w:val="002E01B4"/>
    <w:rsid w:val="002F0BE2"/>
    <w:rsid w:val="002F1106"/>
    <w:rsid w:val="002F1EF7"/>
    <w:rsid w:val="002F3A01"/>
    <w:rsid w:val="003023C8"/>
    <w:rsid w:val="0030243E"/>
    <w:rsid w:val="00302684"/>
    <w:rsid w:val="00303016"/>
    <w:rsid w:val="00303499"/>
    <w:rsid w:val="00303820"/>
    <w:rsid w:val="003101D2"/>
    <w:rsid w:val="003115A0"/>
    <w:rsid w:val="00312CC2"/>
    <w:rsid w:val="003134D3"/>
    <w:rsid w:val="00313D5D"/>
    <w:rsid w:val="00316C79"/>
    <w:rsid w:val="00323167"/>
    <w:rsid w:val="003232DA"/>
    <w:rsid w:val="003332A2"/>
    <w:rsid w:val="00336B0A"/>
    <w:rsid w:val="0033746B"/>
    <w:rsid w:val="00342ACB"/>
    <w:rsid w:val="00342E38"/>
    <w:rsid w:val="00346827"/>
    <w:rsid w:val="0035037F"/>
    <w:rsid w:val="00350DD9"/>
    <w:rsid w:val="0035262F"/>
    <w:rsid w:val="0035455B"/>
    <w:rsid w:val="00357162"/>
    <w:rsid w:val="00361240"/>
    <w:rsid w:val="00365555"/>
    <w:rsid w:val="00365D22"/>
    <w:rsid w:val="00366CCB"/>
    <w:rsid w:val="00367009"/>
    <w:rsid w:val="003673B7"/>
    <w:rsid w:val="00371540"/>
    <w:rsid w:val="00373A23"/>
    <w:rsid w:val="00374BFB"/>
    <w:rsid w:val="00374C24"/>
    <w:rsid w:val="00380A0B"/>
    <w:rsid w:val="00381040"/>
    <w:rsid w:val="00381675"/>
    <w:rsid w:val="00397238"/>
    <w:rsid w:val="00397DF5"/>
    <w:rsid w:val="003A0D1D"/>
    <w:rsid w:val="003A2562"/>
    <w:rsid w:val="003A4D68"/>
    <w:rsid w:val="003B2432"/>
    <w:rsid w:val="003B378B"/>
    <w:rsid w:val="003B405D"/>
    <w:rsid w:val="003B5259"/>
    <w:rsid w:val="003B5295"/>
    <w:rsid w:val="003B5EAC"/>
    <w:rsid w:val="003B7311"/>
    <w:rsid w:val="003D520C"/>
    <w:rsid w:val="003D7ECF"/>
    <w:rsid w:val="003E04AA"/>
    <w:rsid w:val="003E21E1"/>
    <w:rsid w:val="003E4681"/>
    <w:rsid w:val="003F12AB"/>
    <w:rsid w:val="003F1B1F"/>
    <w:rsid w:val="003F5352"/>
    <w:rsid w:val="003F6022"/>
    <w:rsid w:val="003F6E5F"/>
    <w:rsid w:val="00401910"/>
    <w:rsid w:val="0040427A"/>
    <w:rsid w:val="00405FCB"/>
    <w:rsid w:val="00412FBD"/>
    <w:rsid w:val="00413AE2"/>
    <w:rsid w:val="00424728"/>
    <w:rsid w:val="0043053A"/>
    <w:rsid w:val="00430755"/>
    <w:rsid w:val="004319E7"/>
    <w:rsid w:val="0043336E"/>
    <w:rsid w:val="00433F27"/>
    <w:rsid w:val="0043729B"/>
    <w:rsid w:val="00440161"/>
    <w:rsid w:val="00443547"/>
    <w:rsid w:val="00443BB6"/>
    <w:rsid w:val="00451472"/>
    <w:rsid w:val="00454D7F"/>
    <w:rsid w:val="0045585C"/>
    <w:rsid w:val="00457584"/>
    <w:rsid w:val="00460944"/>
    <w:rsid w:val="00463CB3"/>
    <w:rsid w:val="004656BE"/>
    <w:rsid w:val="004743BC"/>
    <w:rsid w:val="00475B90"/>
    <w:rsid w:val="00476E9C"/>
    <w:rsid w:val="004825E5"/>
    <w:rsid w:val="004826D1"/>
    <w:rsid w:val="00482C65"/>
    <w:rsid w:val="0048371B"/>
    <w:rsid w:val="00485A75"/>
    <w:rsid w:val="00487056"/>
    <w:rsid w:val="00492BC3"/>
    <w:rsid w:val="0049381B"/>
    <w:rsid w:val="00493F9D"/>
    <w:rsid w:val="00494BC5"/>
    <w:rsid w:val="004A25EB"/>
    <w:rsid w:val="004A295F"/>
    <w:rsid w:val="004A3148"/>
    <w:rsid w:val="004A3417"/>
    <w:rsid w:val="004A53A3"/>
    <w:rsid w:val="004A64C3"/>
    <w:rsid w:val="004A6672"/>
    <w:rsid w:val="004A73D8"/>
    <w:rsid w:val="004B1FC4"/>
    <w:rsid w:val="004B3D83"/>
    <w:rsid w:val="004B44F5"/>
    <w:rsid w:val="004B47F9"/>
    <w:rsid w:val="004B7BB6"/>
    <w:rsid w:val="004C33FA"/>
    <w:rsid w:val="004C5654"/>
    <w:rsid w:val="004C5667"/>
    <w:rsid w:val="004C5A3B"/>
    <w:rsid w:val="004C630A"/>
    <w:rsid w:val="004C6D1F"/>
    <w:rsid w:val="004D142A"/>
    <w:rsid w:val="004D2502"/>
    <w:rsid w:val="004D4CDA"/>
    <w:rsid w:val="004E446E"/>
    <w:rsid w:val="004E4711"/>
    <w:rsid w:val="004E76BD"/>
    <w:rsid w:val="004F1AF7"/>
    <w:rsid w:val="004F1D91"/>
    <w:rsid w:val="004F2AB9"/>
    <w:rsid w:val="004F550D"/>
    <w:rsid w:val="004F76D0"/>
    <w:rsid w:val="004F7F83"/>
    <w:rsid w:val="005024EB"/>
    <w:rsid w:val="0050365F"/>
    <w:rsid w:val="00505065"/>
    <w:rsid w:val="00505A1A"/>
    <w:rsid w:val="00506FB7"/>
    <w:rsid w:val="00506FBB"/>
    <w:rsid w:val="00510F7A"/>
    <w:rsid w:val="00511800"/>
    <w:rsid w:val="00512039"/>
    <w:rsid w:val="005224CE"/>
    <w:rsid w:val="00523170"/>
    <w:rsid w:val="00523496"/>
    <w:rsid w:val="00524B84"/>
    <w:rsid w:val="005311F3"/>
    <w:rsid w:val="00532AD6"/>
    <w:rsid w:val="005330A2"/>
    <w:rsid w:val="0053330C"/>
    <w:rsid w:val="00541BDC"/>
    <w:rsid w:val="00541FF4"/>
    <w:rsid w:val="005442C5"/>
    <w:rsid w:val="00546ABA"/>
    <w:rsid w:val="005520B1"/>
    <w:rsid w:val="00552790"/>
    <w:rsid w:val="005567E5"/>
    <w:rsid w:val="005662C1"/>
    <w:rsid w:val="0056691C"/>
    <w:rsid w:val="00567F30"/>
    <w:rsid w:val="00570772"/>
    <w:rsid w:val="005718A1"/>
    <w:rsid w:val="0057281B"/>
    <w:rsid w:val="00575A37"/>
    <w:rsid w:val="00576E20"/>
    <w:rsid w:val="0058071E"/>
    <w:rsid w:val="005831A2"/>
    <w:rsid w:val="005875A3"/>
    <w:rsid w:val="00590167"/>
    <w:rsid w:val="005913DD"/>
    <w:rsid w:val="00595308"/>
    <w:rsid w:val="005976FB"/>
    <w:rsid w:val="005A0D61"/>
    <w:rsid w:val="005A1C9E"/>
    <w:rsid w:val="005B0FA8"/>
    <w:rsid w:val="005B325A"/>
    <w:rsid w:val="005B5981"/>
    <w:rsid w:val="005C227D"/>
    <w:rsid w:val="005C2CA7"/>
    <w:rsid w:val="005C359A"/>
    <w:rsid w:val="005C6A64"/>
    <w:rsid w:val="005C74D7"/>
    <w:rsid w:val="005D268E"/>
    <w:rsid w:val="005D4003"/>
    <w:rsid w:val="005D5F11"/>
    <w:rsid w:val="005D648A"/>
    <w:rsid w:val="005D737E"/>
    <w:rsid w:val="005E1D77"/>
    <w:rsid w:val="005E1E03"/>
    <w:rsid w:val="005E348B"/>
    <w:rsid w:val="005E39A6"/>
    <w:rsid w:val="005E5055"/>
    <w:rsid w:val="005E6340"/>
    <w:rsid w:val="005F0644"/>
    <w:rsid w:val="005F1A34"/>
    <w:rsid w:val="005F2C40"/>
    <w:rsid w:val="005F68E6"/>
    <w:rsid w:val="0060282F"/>
    <w:rsid w:val="00602D04"/>
    <w:rsid w:val="00604D03"/>
    <w:rsid w:val="006109D1"/>
    <w:rsid w:val="00612792"/>
    <w:rsid w:val="0061348A"/>
    <w:rsid w:val="00613894"/>
    <w:rsid w:val="006142FD"/>
    <w:rsid w:val="00614495"/>
    <w:rsid w:val="00615EB0"/>
    <w:rsid w:val="00617177"/>
    <w:rsid w:val="00617579"/>
    <w:rsid w:val="00617580"/>
    <w:rsid w:val="006200BD"/>
    <w:rsid w:val="006204AF"/>
    <w:rsid w:val="00620AEB"/>
    <w:rsid w:val="00622842"/>
    <w:rsid w:val="00622F38"/>
    <w:rsid w:val="00623C9C"/>
    <w:rsid w:val="006319A2"/>
    <w:rsid w:val="00634486"/>
    <w:rsid w:val="00634894"/>
    <w:rsid w:val="00634EB4"/>
    <w:rsid w:val="0063732E"/>
    <w:rsid w:val="006407E1"/>
    <w:rsid w:val="00653244"/>
    <w:rsid w:val="00654141"/>
    <w:rsid w:val="00654CB1"/>
    <w:rsid w:val="00655C79"/>
    <w:rsid w:val="00655F93"/>
    <w:rsid w:val="00657892"/>
    <w:rsid w:val="006579E7"/>
    <w:rsid w:val="0066034B"/>
    <w:rsid w:val="00660590"/>
    <w:rsid w:val="00662409"/>
    <w:rsid w:val="00662F7C"/>
    <w:rsid w:val="00666EFB"/>
    <w:rsid w:val="006701BB"/>
    <w:rsid w:val="00670BC3"/>
    <w:rsid w:val="00672B01"/>
    <w:rsid w:val="00676B1D"/>
    <w:rsid w:val="00676B32"/>
    <w:rsid w:val="00685016"/>
    <w:rsid w:val="0068669E"/>
    <w:rsid w:val="00692EDF"/>
    <w:rsid w:val="00693233"/>
    <w:rsid w:val="006938E6"/>
    <w:rsid w:val="00696B94"/>
    <w:rsid w:val="006A216D"/>
    <w:rsid w:val="006A2E79"/>
    <w:rsid w:val="006A2F55"/>
    <w:rsid w:val="006A3167"/>
    <w:rsid w:val="006A595E"/>
    <w:rsid w:val="006A66B1"/>
    <w:rsid w:val="006B115D"/>
    <w:rsid w:val="006B340D"/>
    <w:rsid w:val="006B7974"/>
    <w:rsid w:val="006C2B25"/>
    <w:rsid w:val="006C2F1D"/>
    <w:rsid w:val="006C446C"/>
    <w:rsid w:val="006C7C07"/>
    <w:rsid w:val="006D1ECC"/>
    <w:rsid w:val="006D2446"/>
    <w:rsid w:val="006D478F"/>
    <w:rsid w:val="006D65AB"/>
    <w:rsid w:val="006E3228"/>
    <w:rsid w:val="006F30E3"/>
    <w:rsid w:val="006F4666"/>
    <w:rsid w:val="007016DA"/>
    <w:rsid w:val="0070322D"/>
    <w:rsid w:val="00705998"/>
    <w:rsid w:val="0070782D"/>
    <w:rsid w:val="007111D5"/>
    <w:rsid w:val="00711C41"/>
    <w:rsid w:val="00712A8E"/>
    <w:rsid w:val="00712D7E"/>
    <w:rsid w:val="00713426"/>
    <w:rsid w:val="00714377"/>
    <w:rsid w:val="00720352"/>
    <w:rsid w:val="00720725"/>
    <w:rsid w:val="00720D9A"/>
    <w:rsid w:val="00721AE2"/>
    <w:rsid w:val="00727511"/>
    <w:rsid w:val="0073175F"/>
    <w:rsid w:val="00736290"/>
    <w:rsid w:val="00736998"/>
    <w:rsid w:val="00737204"/>
    <w:rsid w:val="00740B60"/>
    <w:rsid w:val="00741152"/>
    <w:rsid w:val="00742B63"/>
    <w:rsid w:val="007431A4"/>
    <w:rsid w:val="0074416C"/>
    <w:rsid w:val="00744A70"/>
    <w:rsid w:val="00751397"/>
    <w:rsid w:val="00751E62"/>
    <w:rsid w:val="00752DE1"/>
    <w:rsid w:val="00761AA0"/>
    <w:rsid w:val="00762848"/>
    <w:rsid w:val="007635B9"/>
    <w:rsid w:val="00764E18"/>
    <w:rsid w:val="00766E4A"/>
    <w:rsid w:val="00767837"/>
    <w:rsid w:val="0077188E"/>
    <w:rsid w:val="007731FC"/>
    <w:rsid w:val="0077348D"/>
    <w:rsid w:val="00773521"/>
    <w:rsid w:val="0077417E"/>
    <w:rsid w:val="007749DA"/>
    <w:rsid w:val="00775728"/>
    <w:rsid w:val="007759B8"/>
    <w:rsid w:val="00781594"/>
    <w:rsid w:val="00787A50"/>
    <w:rsid w:val="00791F72"/>
    <w:rsid w:val="00794D49"/>
    <w:rsid w:val="00794E20"/>
    <w:rsid w:val="007A19BE"/>
    <w:rsid w:val="007A2D6A"/>
    <w:rsid w:val="007B5F25"/>
    <w:rsid w:val="007B6130"/>
    <w:rsid w:val="007B6606"/>
    <w:rsid w:val="007B745E"/>
    <w:rsid w:val="007C3964"/>
    <w:rsid w:val="007C4BD0"/>
    <w:rsid w:val="007C65FB"/>
    <w:rsid w:val="007D0472"/>
    <w:rsid w:val="007D1A93"/>
    <w:rsid w:val="007D272A"/>
    <w:rsid w:val="007D35B3"/>
    <w:rsid w:val="007D4855"/>
    <w:rsid w:val="007D56C5"/>
    <w:rsid w:val="007E179D"/>
    <w:rsid w:val="007E4129"/>
    <w:rsid w:val="007E4272"/>
    <w:rsid w:val="007E475E"/>
    <w:rsid w:val="007E6A4C"/>
    <w:rsid w:val="007F6318"/>
    <w:rsid w:val="00800606"/>
    <w:rsid w:val="008053BD"/>
    <w:rsid w:val="0080541A"/>
    <w:rsid w:val="008063A0"/>
    <w:rsid w:val="008067AF"/>
    <w:rsid w:val="00807DB3"/>
    <w:rsid w:val="008107ED"/>
    <w:rsid w:val="00811EDF"/>
    <w:rsid w:val="00811F5C"/>
    <w:rsid w:val="008167EC"/>
    <w:rsid w:val="00817ABD"/>
    <w:rsid w:val="00820B7A"/>
    <w:rsid w:val="00820D62"/>
    <w:rsid w:val="008218EF"/>
    <w:rsid w:val="00821BDB"/>
    <w:rsid w:val="00822AB7"/>
    <w:rsid w:val="0082329D"/>
    <w:rsid w:val="0082437D"/>
    <w:rsid w:val="00824A85"/>
    <w:rsid w:val="00824E70"/>
    <w:rsid w:val="00825495"/>
    <w:rsid w:val="00827567"/>
    <w:rsid w:val="00835752"/>
    <w:rsid w:val="0083644C"/>
    <w:rsid w:val="008405E6"/>
    <w:rsid w:val="00841342"/>
    <w:rsid w:val="00843B0A"/>
    <w:rsid w:val="0084400A"/>
    <w:rsid w:val="00850BE7"/>
    <w:rsid w:val="008527E9"/>
    <w:rsid w:val="00852B09"/>
    <w:rsid w:val="008638A8"/>
    <w:rsid w:val="008664E0"/>
    <w:rsid w:val="00871405"/>
    <w:rsid w:val="008746A1"/>
    <w:rsid w:val="00883151"/>
    <w:rsid w:val="00884A48"/>
    <w:rsid w:val="008877F5"/>
    <w:rsid w:val="00887F43"/>
    <w:rsid w:val="00895A99"/>
    <w:rsid w:val="00896C01"/>
    <w:rsid w:val="008A044A"/>
    <w:rsid w:val="008A6FC8"/>
    <w:rsid w:val="008B0F3C"/>
    <w:rsid w:val="008B1170"/>
    <w:rsid w:val="008B1422"/>
    <w:rsid w:val="008B1BC9"/>
    <w:rsid w:val="008B7C33"/>
    <w:rsid w:val="008C49B0"/>
    <w:rsid w:val="008D0060"/>
    <w:rsid w:val="008D19C4"/>
    <w:rsid w:val="008E1550"/>
    <w:rsid w:val="008E6DA7"/>
    <w:rsid w:val="008E7987"/>
    <w:rsid w:val="008F074D"/>
    <w:rsid w:val="008F24E0"/>
    <w:rsid w:val="00901050"/>
    <w:rsid w:val="00902A11"/>
    <w:rsid w:val="00912D5A"/>
    <w:rsid w:val="00913935"/>
    <w:rsid w:val="0091404A"/>
    <w:rsid w:val="009142C7"/>
    <w:rsid w:val="00917CDE"/>
    <w:rsid w:val="00917DC1"/>
    <w:rsid w:val="00922B9B"/>
    <w:rsid w:val="00923A59"/>
    <w:rsid w:val="009276FD"/>
    <w:rsid w:val="00930410"/>
    <w:rsid w:val="0093664E"/>
    <w:rsid w:val="00940173"/>
    <w:rsid w:val="00940F26"/>
    <w:rsid w:val="009417DB"/>
    <w:rsid w:val="0094423F"/>
    <w:rsid w:val="0094732E"/>
    <w:rsid w:val="0094750C"/>
    <w:rsid w:val="009514CF"/>
    <w:rsid w:val="00952033"/>
    <w:rsid w:val="00953116"/>
    <w:rsid w:val="009531B7"/>
    <w:rsid w:val="00953341"/>
    <w:rsid w:val="00955BB0"/>
    <w:rsid w:val="00960DA4"/>
    <w:rsid w:val="00962111"/>
    <w:rsid w:val="00965EEC"/>
    <w:rsid w:val="00971481"/>
    <w:rsid w:val="00975CE1"/>
    <w:rsid w:val="00976BF1"/>
    <w:rsid w:val="00977181"/>
    <w:rsid w:val="00977217"/>
    <w:rsid w:val="00980E36"/>
    <w:rsid w:val="0098145C"/>
    <w:rsid w:val="009846C4"/>
    <w:rsid w:val="009914A7"/>
    <w:rsid w:val="009928C5"/>
    <w:rsid w:val="009A1E60"/>
    <w:rsid w:val="009A4100"/>
    <w:rsid w:val="009A6D1C"/>
    <w:rsid w:val="009B15C2"/>
    <w:rsid w:val="009B2639"/>
    <w:rsid w:val="009B3C68"/>
    <w:rsid w:val="009B474D"/>
    <w:rsid w:val="009B5800"/>
    <w:rsid w:val="009B58C0"/>
    <w:rsid w:val="009B79EB"/>
    <w:rsid w:val="009B7ED8"/>
    <w:rsid w:val="009C3874"/>
    <w:rsid w:val="009C425E"/>
    <w:rsid w:val="009C572B"/>
    <w:rsid w:val="009D0EDD"/>
    <w:rsid w:val="009D1A77"/>
    <w:rsid w:val="009D1B8C"/>
    <w:rsid w:val="009D237D"/>
    <w:rsid w:val="009D4625"/>
    <w:rsid w:val="009E0316"/>
    <w:rsid w:val="009E4241"/>
    <w:rsid w:val="009E4A54"/>
    <w:rsid w:val="009E6646"/>
    <w:rsid w:val="009E68BB"/>
    <w:rsid w:val="009F0882"/>
    <w:rsid w:val="009F0D0A"/>
    <w:rsid w:val="009F1B75"/>
    <w:rsid w:val="009F4B2F"/>
    <w:rsid w:val="00A024E7"/>
    <w:rsid w:val="00A046AC"/>
    <w:rsid w:val="00A055D7"/>
    <w:rsid w:val="00A070FD"/>
    <w:rsid w:val="00A07508"/>
    <w:rsid w:val="00A11C44"/>
    <w:rsid w:val="00A12E8C"/>
    <w:rsid w:val="00A1496A"/>
    <w:rsid w:val="00A14C2C"/>
    <w:rsid w:val="00A161B8"/>
    <w:rsid w:val="00A20984"/>
    <w:rsid w:val="00A214DB"/>
    <w:rsid w:val="00A215B8"/>
    <w:rsid w:val="00A21D81"/>
    <w:rsid w:val="00A26891"/>
    <w:rsid w:val="00A30906"/>
    <w:rsid w:val="00A31985"/>
    <w:rsid w:val="00A33C1E"/>
    <w:rsid w:val="00A33C8C"/>
    <w:rsid w:val="00A344C3"/>
    <w:rsid w:val="00A37062"/>
    <w:rsid w:val="00A50508"/>
    <w:rsid w:val="00A52E43"/>
    <w:rsid w:val="00A54D53"/>
    <w:rsid w:val="00A56E4B"/>
    <w:rsid w:val="00A60111"/>
    <w:rsid w:val="00A60E03"/>
    <w:rsid w:val="00A649DE"/>
    <w:rsid w:val="00A67A9E"/>
    <w:rsid w:val="00A726F7"/>
    <w:rsid w:val="00A73E27"/>
    <w:rsid w:val="00A775A6"/>
    <w:rsid w:val="00A81014"/>
    <w:rsid w:val="00A8207A"/>
    <w:rsid w:val="00A822CC"/>
    <w:rsid w:val="00A8242B"/>
    <w:rsid w:val="00A87562"/>
    <w:rsid w:val="00A87F1E"/>
    <w:rsid w:val="00A91B40"/>
    <w:rsid w:val="00A91C02"/>
    <w:rsid w:val="00A91D06"/>
    <w:rsid w:val="00A942EF"/>
    <w:rsid w:val="00A9530C"/>
    <w:rsid w:val="00A9669C"/>
    <w:rsid w:val="00A970C4"/>
    <w:rsid w:val="00AA1C1C"/>
    <w:rsid w:val="00AA6157"/>
    <w:rsid w:val="00AA6264"/>
    <w:rsid w:val="00AA730D"/>
    <w:rsid w:val="00AB3955"/>
    <w:rsid w:val="00AB40E7"/>
    <w:rsid w:val="00AB43DC"/>
    <w:rsid w:val="00AC05E7"/>
    <w:rsid w:val="00AC1668"/>
    <w:rsid w:val="00AC4835"/>
    <w:rsid w:val="00AC7238"/>
    <w:rsid w:val="00AC7D6E"/>
    <w:rsid w:val="00AD31EB"/>
    <w:rsid w:val="00AD3936"/>
    <w:rsid w:val="00AD5056"/>
    <w:rsid w:val="00AE1031"/>
    <w:rsid w:val="00AE11A5"/>
    <w:rsid w:val="00AE2073"/>
    <w:rsid w:val="00AE3077"/>
    <w:rsid w:val="00AF61DA"/>
    <w:rsid w:val="00B036FE"/>
    <w:rsid w:val="00B11E36"/>
    <w:rsid w:val="00B13995"/>
    <w:rsid w:val="00B13DC7"/>
    <w:rsid w:val="00B17169"/>
    <w:rsid w:val="00B17173"/>
    <w:rsid w:val="00B22FAD"/>
    <w:rsid w:val="00B2317C"/>
    <w:rsid w:val="00B231B0"/>
    <w:rsid w:val="00B2375E"/>
    <w:rsid w:val="00B26285"/>
    <w:rsid w:val="00B300DB"/>
    <w:rsid w:val="00B304CA"/>
    <w:rsid w:val="00B324AC"/>
    <w:rsid w:val="00B32F7F"/>
    <w:rsid w:val="00B35B45"/>
    <w:rsid w:val="00B36401"/>
    <w:rsid w:val="00B4027B"/>
    <w:rsid w:val="00B40533"/>
    <w:rsid w:val="00B4220F"/>
    <w:rsid w:val="00B45BAB"/>
    <w:rsid w:val="00B50EED"/>
    <w:rsid w:val="00B52ACF"/>
    <w:rsid w:val="00B53024"/>
    <w:rsid w:val="00B55A6A"/>
    <w:rsid w:val="00B639AB"/>
    <w:rsid w:val="00B711B7"/>
    <w:rsid w:val="00B716A9"/>
    <w:rsid w:val="00B71C80"/>
    <w:rsid w:val="00B74461"/>
    <w:rsid w:val="00B7724D"/>
    <w:rsid w:val="00B773A3"/>
    <w:rsid w:val="00B808DB"/>
    <w:rsid w:val="00B811AB"/>
    <w:rsid w:val="00B81C22"/>
    <w:rsid w:val="00B8266E"/>
    <w:rsid w:val="00B82C74"/>
    <w:rsid w:val="00B8362B"/>
    <w:rsid w:val="00B87E31"/>
    <w:rsid w:val="00B90CE9"/>
    <w:rsid w:val="00B92917"/>
    <w:rsid w:val="00B946D6"/>
    <w:rsid w:val="00BA1506"/>
    <w:rsid w:val="00BA1800"/>
    <w:rsid w:val="00BA4954"/>
    <w:rsid w:val="00BA7222"/>
    <w:rsid w:val="00BB0642"/>
    <w:rsid w:val="00BB0D06"/>
    <w:rsid w:val="00BB2092"/>
    <w:rsid w:val="00BC09F9"/>
    <w:rsid w:val="00BC1D76"/>
    <w:rsid w:val="00BC3060"/>
    <w:rsid w:val="00BC79FC"/>
    <w:rsid w:val="00BD0BFC"/>
    <w:rsid w:val="00BD217C"/>
    <w:rsid w:val="00BD30AE"/>
    <w:rsid w:val="00BD4FD2"/>
    <w:rsid w:val="00BD6016"/>
    <w:rsid w:val="00BD6ADF"/>
    <w:rsid w:val="00BD7ABC"/>
    <w:rsid w:val="00BE6F6A"/>
    <w:rsid w:val="00BE6FFE"/>
    <w:rsid w:val="00BE72B2"/>
    <w:rsid w:val="00BF108B"/>
    <w:rsid w:val="00BF61A0"/>
    <w:rsid w:val="00C04440"/>
    <w:rsid w:val="00C04C58"/>
    <w:rsid w:val="00C04F53"/>
    <w:rsid w:val="00C10468"/>
    <w:rsid w:val="00C10685"/>
    <w:rsid w:val="00C11099"/>
    <w:rsid w:val="00C14E8C"/>
    <w:rsid w:val="00C14F0E"/>
    <w:rsid w:val="00C15691"/>
    <w:rsid w:val="00C1593B"/>
    <w:rsid w:val="00C22C69"/>
    <w:rsid w:val="00C25888"/>
    <w:rsid w:val="00C305EF"/>
    <w:rsid w:val="00C32E21"/>
    <w:rsid w:val="00C361D7"/>
    <w:rsid w:val="00C36ACC"/>
    <w:rsid w:val="00C36FEE"/>
    <w:rsid w:val="00C42F8E"/>
    <w:rsid w:val="00C44854"/>
    <w:rsid w:val="00C4513D"/>
    <w:rsid w:val="00C466CF"/>
    <w:rsid w:val="00C525DB"/>
    <w:rsid w:val="00C52E3A"/>
    <w:rsid w:val="00C60D2E"/>
    <w:rsid w:val="00C6170C"/>
    <w:rsid w:val="00C61B04"/>
    <w:rsid w:val="00C61D08"/>
    <w:rsid w:val="00C62CCD"/>
    <w:rsid w:val="00C62CE3"/>
    <w:rsid w:val="00C642CE"/>
    <w:rsid w:val="00C65643"/>
    <w:rsid w:val="00C71037"/>
    <w:rsid w:val="00C72949"/>
    <w:rsid w:val="00C72C68"/>
    <w:rsid w:val="00C757DE"/>
    <w:rsid w:val="00C76FE1"/>
    <w:rsid w:val="00C85D0B"/>
    <w:rsid w:val="00C91C98"/>
    <w:rsid w:val="00C9320B"/>
    <w:rsid w:val="00C93782"/>
    <w:rsid w:val="00C973ED"/>
    <w:rsid w:val="00C97EDD"/>
    <w:rsid w:val="00CA2A25"/>
    <w:rsid w:val="00CA5C30"/>
    <w:rsid w:val="00CA6115"/>
    <w:rsid w:val="00CA6772"/>
    <w:rsid w:val="00CB380A"/>
    <w:rsid w:val="00CB3D73"/>
    <w:rsid w:val="00CB6BD6"/>
    <w:rsid w:val="00CC38FD"/>
    <w:rsid w:val="00CC4966"/>
    <w:rsid w:val="00CD0408"/>
    <w:rsid w:val="00CD2BBA"/>
    <w:rsid w:val="00CD4436"/>
    <w:rsid w:val="00CD5656"/>
    <w:rsid w:val="00CD6B63"/>
    <w:rsid w:val="00CD7783"/>
    <w:rsid w:val="00CD7D52"/>
    <w:rsid w:val="00CE32AC"/>
    <w:rsid w:val="00CE707A"/>
    <w:rsid w:val="00CF1025"/>
    <w:rsid w:val="00CF193B"/>
    <w:rsid w:val="00CF2389"/>
    <w:rsid w:val="00CF2F1F"/>
    <w:rsid w:val="00CF360A"/>
    <w:rsid w:val="00CF435F"/>
    <w:rsid w:val="00D00B89"/>
    <w:rsid w:val="00D019A8"/>
    <w:rsid w:val="00D05698"/>
    <w:rsid w:val="00D05F4D"/>
    <w:rsid w:val="00D10329"/>
    <w:rsid w:val="00D1079D"/>
    <w:rsid w:val="00D12603"/>
    <w:rsid w:val="00D130A3"/>
    <w:rsid w:val="00D13A0C"/>
    <w:rsid w:val="00D162CF"/>
    <w:rsid w:val="00D218F3"/>
    <w:rsid w:val="00D236E9"/>
    <w:rsid w:val="00D24D56"/>
    <w:rsid w:val="00D2501F"/>
    <w:rsid w:val="00D3216F"/>
    <w:rsid w:val="00D3247F"/>
    <w:rsid w:val="00D34496"/>
    <w:rsid w:val="00D34742"/>
    <w:rsid w:val="00D36CED"/>
    <w:rsid w:val="00D40D25"/>
    <w:rsid w:val="00D41EB4"/>
    <w:rsid w:val="00D42346"/>
    <w:rsid w:val="00D470E7"/>
    <w:rsid w:val="00D519D3"/>
    <w:rsid w:val="00D53B5E"/>
    <w:rsid w:val="00D54E6D"/>
    <w:rsid w:val="00D623E1"/>
    <w:rsid w:val="00D64572"/>
    <w:rsid w:val="00D64582"/>
    <w:rsid w:val="00D70BFF"/>
    <w:rsid w:val="00D76AD0"/>
    <w:rsid w:val="00D7714B"/>
    <w:rsid w:val="00D7735C"/>
    <w:rsid w:val="00D776D4"/>
    <w:rsid w:val="00D83BB5"/>
    <w:rsid w:val="00D83DD7"/>
    <w:rsid w:val="00D8522D"/>
    <w:rsid w:val="00D916EE"/>
    <w:rsid w:val="00D91E94"/>
    <w:rsid w:val="00D937D1"/>
    <w:rsid w:val="00D94CD6"/>
    <w:rsid w:val="00D95134"/>
    <w:rsid w:val="00DA40D9"/>
    <w:rsid w:val="00DA6A52"/>
    <w:rsid w:val="00DB0537"/>
    <w:rsid w:val="00DB3FD4"/>
    <w:rsid w:val="00DC3337"/>
    <w:rsid w:val="00DC6ACF"/>
    <w:rsid w:val="00DD2699"/>
    <w:rsid w:val="00DD2CE9"/>
    <w:rsid w:val="00DD6D4C"/>
    <w:rsid w:val="00DE0067"/>
    <w:rsid w:val="00DE5DA1"/>
    <w:rsid w:val="00DF26AF"/>
    <w:rsid w:val="00DF2C67"/>
    <w:rsid w:val="00DF2E31"/>
    <w:rsid w:val="00DF3230"/>
    <w:rsid w:val="00DF6381"/>
    <w:rsid w:val="00DF69D1"/>
    <w:rsid w:val="00E041B4"/>
    <w:rsid w:val="00E05F23"/>
    <w:rsid w:val="00E10840"/>
    <w:rsid w:val="00E12A86"/>
    <w:rsid w:val="00E14DED"/>
    <w:rsid w:val="00E17236"/>
    <w:rsid w:val="00E17459"/>
    <w:rsid w:val="00E21383"/>
    <w:rsid w:val="00E224A1"/>
    <w:rsid w:val="00E3175A"/>
    <w:rsid w:val="00E3195A"/>
    <w:rsid w:val="00E353D1"/>
    <w:rsid w:val="00E401E1"/>
    <w:rsid w:val="00E41048"/>
    <w:rsid w:val="00E424FD"/>
    <w:rsid w:val="00E45EF3"/>
    <w:rsid w:val="00E508A9"/>
    <w:rsid w:val="00E50F1E"/>
    <w:rsid w:val="00E5357C"/>
    <w:rsid w:val="00E540DA"/>
    <w:rsid w:val="00E56BCD"/>
    <w:rsid w:val="00E56D36"/>
    <w:rsid w:val="00E56D74"/>
    <w:rsid w:val="00E603E1"/>
    <w:rsid w:val="00E60FDA"/>
    <w:rsid w:val="00E621F7"/>
    <w:rsid w:val="00E62717"/>
    <w:rsid w:val="00E64C50"/>
    <w:rsid w:val="00E667D8"/>
    <w:rsid w:val="00E70C24"/>
    <w:rsid w:val="00E74741"/>
    <w:rsid w:val="00E74D14"/>
    <w:rsid w:val="00E772F0"/>
    <w:rsid w:val="00E80E1D"/>
    <w:rsid w:val="00E81EA1"/>
    <w:rsid w:val="00E82149"/>
    <w:rsid w:val="00E83794"/>
    <w:rsid w:val="00E87C2F"/>
    <w:rsid w:val="00E91362"/>
    <w:rsid w:val="00E917A8"/>
    <w:rsid w:val="00E91F99"/>
    <w:rsid w:val="00E921F4"/>
    <w:rsid w:val="00E94FFC"/>
    <w:rsid w:val="00E9526E"/>
    <w:rsid w:val="00EA1DA1"/>
    <w:rsid w:val="00EA3843"/>
    <w:rsid w:val="00EA4C0F"/>
    <w:rsid w:val="00EA4C7E"/>
    <w:rsid w:val="00EB1951"/>
    <w:rsid w:val="00EB312D"/>
    <w:rsid w:val="00EB3F95"/>
    <w:rsid w:val="00EB6522"/>
    <w:rsid w:val="00ED10F6"/>
    <w:rsid w:val="00ED1855"/>
    <w:rsid w:val="00ED22F5"/>
    <w:rsid w:val="00EE389F"/>
    <w:rsid w:val="00EE6186"/>
    <w:rsid w:val="00EF056B"/>
    <w:rsid w:val="00EF33AB"/>
    <w:rsid w:val="00F0180E"/>
    <w:rsid w:val="00F02B78"/>
    <w:rsid w:val="00F0363B"/>
    <w:rsid w:val="00F03807"/>
    <w:rsid w:val="00F05364"/>
    <w:rsid w:val="00F11C8E"/>
    <w:rsid w:val="00F12FA6"/>
    <w:rsid w:val="00F139D7"/>
    <w:rsid w:val="00F14C63"/>
    <w:rsid w:val="00F15BEE"/>
    <w:rsid w:val="00F21B2C"/>
    <w:rsid w:val="00F23203"/>
    <w:rsid w:val="00F257DA"/>
    <w:rsid w:val="00F25BFE"/>
    <w:rsid w:val="00F33344"/>
    <w:rsid w:val="00F36BDD"/>
    <w:rsid w:val="00F3721A"/>
    <w:rsid w:val="00F502BD"/>
    <w:rsid w:val="00F51E59"/>
    <w:rsid w:val="00F52869"/>
    <w:rsid w:val="00F61A7D"/>
    <w:rsid w:val="00F652B1"/>
    <w:rsid w:val="00F669F1"/>
    <w:rsid w:val="00F676A8"/>
    <w:rsid w:val="00F6784D"/>
    <w:rsid w:val="00F67B9B"/>
    <w:rsid w:val="00F70BC0"/>
    <w:rsid w:val="00F73A27"/>
    <w:rsid w:val="00F75FBB"/>
    <w:rsid w:val="00F76E28"/>
    <w:rsid w:val="00F83D54"/>
    <w:rsid w:val="00F85206"/>
    <w:rsid w:val="00F87187"/>
    <w:rsid w:val="00F87B6F"/>
    <w:rsid w:val="00F9156A"/>
    <w:rsid w:val="00F945C5"/>
    <w:rsid w:val="00F95BCB"/>
    <w:rsid w:val="00FA4FBD"/>
    <w:rsid w:val="00FA7563"/>
    <w:rsid w:val="00FB1BD6"/>
    <w:rsid w:val="00FB1C5C"/>
    <w:rsid w:val="00FB4706"/>
    <w:rsid w:val="00FB54C7"/>
    <w:rsid w:val="00FB62A8"/>
    <w:rsid w:val="00FC2251"/>
    <w:rsid w:val="00FC478A"/>
    <w:rsid w:val="00FC4924"/>
    <w:rsid w:val="00FD682B"/>
    <w:rsid w:val="00FD6994"/>
    <w:rsid w:val="00FD6CDF"/>
    <w:rsid w:val="00FD6D7A"/>
    <w:rsid w:val="00FE2089"/>
    <w:rsid w:val="00FE22FF"/>
    <w:rsid w:val="00FE4F0C"/>
    <w:rsid w:val="00FE60B8"/>
    <w:rsid w:val="00FF5C11"/>
    <w:rsid w:val="010B7803"/>
    <w:rsid w:val="0139471A"/>
    <w:rsid w:val="013F0C8A"/>
    <w:rsid w:val="01423E5D"/>
    <w:rsid w:val="01485A7F"/>
    <w:rsid w:val="014F7F5C"/>
    <w:rsid w:val="01576E88"/>
    <w:rsid w:val="016212E9"/>
    <w:rsid w:val="016236B6"/>
    <w:rsid w:val="016D1F28"/>
    <w:rsid w:val="016F6E13"/>
    <w:rsid w:val="017A7DB4"/>
    <w:rsid w:val="019E57E5"/>
    <w:rsid w:val="01A71DD0"/>
    <w:rsid w:val="01B41D1F"/>
    <w:rsid w:val="01BF4099"/>
    <w:rsid w:val="01C0675A"/>
    <w:rsid w:val="01CB0BA8"/>
    <w:rsid w:val="01CD435F"/>
    <w:rsid w:val="01DB732C"/>
    <w:rsid w:val="01EC7EC2"/>
    <w:rsid w:val="01F778E3"/>
    <w:rsid w:val="01FA4689"/>
    <w:rsid w:val="01FD7E4B"/>
    <w:rsid w:val="02142EF3"/>
    <w:rsid w:val="02185D8E"/>
    <w:rsid w:val="02195E53"/>
    <w:rsid w:val="022F4339"/>
    <w:rsid w:val="02337E3D"/>
    <w:rsid w:val="023B7BEA"/>
    <w:rsid w:val="02671768"/>
    <w:rsid w:val="026A4D30"/>
    <w:rsid w:val="027F7B83"/>
    <w:rsid w:val="02883B50"/>
    <w:rsid w:val="02BF2BB1"/>
    <w:rsid w:val="02CA7B78"/>
    <w:rsid w:val="02E00930"/>
    <w:rsid w:val="02E17F75"/>
    <w:rsid w:val="02FC708C"/>
    <w:rsid w:val="030630E1"/>
    <w:rsid w:val="03071135"/>
    <w:rsid w:val="032D315A"/>
    <w:rsid w:val="03353615"/>
    <w:rsid w:val="033B421C"/>
    <w:rsid w:val="03560D3D"/>
    <w:rsid w:val="035B1DCC"/>
    <w:rsid w:val="035D0093"/>
    <w:rsid w:val="035F4CA2"/>
    <w:rsid w:val="03802AE2"/>
    <w:rsid w:val="03926C7A"/>
    <w:rsid w:val="03AC4A7F"/>
    <w:rsid w:val="03BA205D"/>
    <w:rsid w:val="03C51805"/>
    <w:rsid w:val="03C51BFA"/>
    <w:rsid w:val="03C6174E"/>
    <w:rsid w:val="03D1333D"/>
    <w:rsid w:val="03E752C7"/>
    <w:rsid w:val="042079AA"/>
    <w:rsid w:val="04241E6B"/>
    <w:rsid w:val="04334CDC"/>
    <w:rsid w:val="04346093"/>
    <w:rsid w:val="044406F7"/>
    <w:rsid w:val="046C24F8"/>
    <w:rsid w:val="04721DCF"/>
    <w:rsid w:val="047A0ACE"/>
    <w:rsid w:val="047D73B7"/>
    <w:rsid w:val="04842015"/>
    <w:rsid w:val="04943B46"/>
    <w:rsid w:val="04A774AB"/>
    <w:rsid w:val="04AC3F54"/>
    <w:rsid w:val="04AE367F"/>
    <w:rsid w:val="04B62E8D"/>
    <w:rsid w:val="04CB580D"/>
    <w:rsid w:val="04DF7CDC"/>
    <w:rsid w:val="04F44850"/>
    <w:rsid w:val="052244D2"/>
    <w:rsid w:val="05233238"/>
    <w:rsid w:val="052E2878"/>
    <w:rsid w:val="054128B3"/>
    <w:rsid w:val="055F15BC"/>
    <w:rsid w:val="05654685"/>
    <w:rsid w:val="05687987"/>
    <w:rsid w:val="056F7AB7"/>
    <w:rsid w:val="05807942"/>
    <w:rsid w:val="05851FD6"/>
    <w:rsid w:val="05904979"/>
    <w:rsid w:val="059D108C"/>
    <w:rsid w:val="05A056BD"/>
    <w:rsid w:val="05A73F70"/>
    <w:rsid w:val="05A82AAB"/>
    <w:rsid w:val="05AB6C8D"/>
    <w:rsid w:val="05B83F96"/>
    <w:rsid w:val="05C71EF0"/>
    <w:rsid w:val="05CA1E72"/>
    <w:rsid w:val="05DE159A"/>
    <w:rsid w:val="05DF5004"/>
    <w:rsid w:val="05E23E82"/>
    <w:rsid w:val="05ED017B"/>
    <w:rsid w:val="06007CB5"/>
    <w:rsid w:val="06077D18"/>
    <w:rsid w:val="06133F5C"/>
    <w:rsid w:val="061D7FB7"/>
    <w:rsid w:val="062948E2"/>
    <w:rsid w:val="06295A0F"/>
    <w:rsid w:val="06452979"/>
    <w:rsid w:val="064E5FFC"/>
    <w:rsid w:val="06515DF8"/>
    <w:rsid w:val="06573666"/>
    <w:rsid w:val="06852E23"/>
    <w:rsid w:val="068C19AE"/>
    <w:rsid w:val="06AB799B"/>
    <w:rsid w:val="06BA27AF"/>
    <w:rsid w:val="06BA6960"/>
    <w:rsid w:val="06C30B97"/>
    <w:rsid w:val="06C539FA"/>
    <w:rsid w:val="06D04128"/>
    <w:rsid w:val="06DA2116"/>
    <w:rsid w:val="06DA59A3"/>
    <w:rsid w:val="06F9314A"/>
    <w:rsid w:val="070441B5"/>
    <w:rsid w:val="074E2EF7"/>
    <w:rsid w:val="074F739B"/>
    <w:rsid w:val="076D02F7"/>
    <w:rsid w:val="07714C07"/>
    <w:rsid w:val="07751E71"/>
    <w:rsid w:val="07A236AB"/>
    <w:rsid w:val="07A57B8F"/>
    <w:rsid w:val="07A76405"/>
    <w:rsid w:val="07B07034"/>
    <w:rsid w:val="07C27FB6"/>
    <w:rsid w:val="07C70F2F"/>
    <w:rsid w:val="07CB7A97"/>
    <w:rsid w:val="07DA0120"/>
    <w:rsid w:val="07F01D79"/>
    <w:rsid w:val="082A1A98"/>
    <w:rsid w:val="08346E96"/>
    <w:rsid w:val="08354AE4"/>
    <w:rsid w:val="084D26E6"/>
    <w:rsid w:val="088475D0"/>
    <w:rsid w:val="08A94E46"/>
    <w:rsid w:val="08AB3ED7"/>
    <w:rsid w:val="08AB7D6F"/>
    <w:rsid w:val="08BA0E7C"/>
    <w:rsid w:val="08BE553F"/>
    <w:rsid w:val="08C23218"/>
    <w:rsid w:val="08D46499"/>
    <w:rsid w:val="08DA386B"/>
    <w:rsid w:val="08DD09D6"/>
    <w:rsid w:val="08E23DAC"/>
    <w:rsid w:val="08E45D51"/>
    <w:rsid w:val="08F55BDC"/>
    <w:rsid w:val="08F74CF5"/>
    <w:rsid w:val="09154E05"/>
    <w:rsid w:val="09385C0D"/>
    <w:rsid w:val="095A091D"/>
    <w:rsid w:val="095C1A79"/>
    <w:rsid w:val="09634145"/>
    <w:rsid w:val="09661CF5"/>
    <w:rsid w:val="09673123"/>
    <w:rsid w:val="097653C0"/>
    <w:rsid w:val="09831EC5"/>
    <w:rsid w:val="099466CD"/>
    <w:rsid w:val="099D19D4"/>
    <w:rsid w:val="09A84333"/>
    <w:rsid w:val="09B67BD6"/>
    <w:rsid w:val="09C12CCE"/>
    <w:rsid w:val="0A140428"/>
    <w:rsid w:val="0A1B2526"/>
    <w:rsid w:val="0A544DC0"/>
    <w:rsid w:val="0A5B410A"/>
    <w:rsid w:val="0A6752E5"/>
    <w:rsid w:val="0A751CC7"/>
    <w:rsid w:val="0A8263DE"/>
    <w:rsid w:val="0A862CD2"/>
    <w:rsid w:val="0A9463CD"/>
    <w:rsid w:val="0AA202BE"/>
    <w:rsid w:val="0AB24496"/>
    <w:rsid w:val="0AB757DA"/>
    <w:rsid w:val="0AC864D3"/>
    <w:rsid w:val="0ACE4635"/>
    <w:rsid w:val="0ADB2441"/>
    <w:rsid w:val="0AE977B2"/>
    <w:rsid w:val="0AFD54C1"/>
    <w:rsid w:val="0B1B0B51"/>
    <w:rsid w:val="0B2958D3"/>
    <w:rsid w:val="0B2E74EE"/>
    <w:rsid w:val="0B5670B1"/>
    <w:rsid w:val="0B5F1131"/>
    <w:rsid w:val="0B5F20F4"/>
    <w:rsid w:val="0B8C3A82"/>
    <w:rsid w:val="0B9863DC"/>
    <w:rsid w:val="0BA10113"/>
    <w:rsid w:val="0BB3050A"/>
    <w:rsid w:val="0BB329B5"/>
    <w:rsid w:val="0BB810E0"/>
    <w:rsid w:val="0BBA2359"/>
    <w:rsid w:val="0BBD1D28"/>
    <w:rsid w:val="0BBD26D8"/>
    <w:rsid w:val="0BDC0615"/>
    <w:rsid w:val="0BDC6D23"/>
    <w:rsid w:val="0BE14CA1"/>
    <w:rsid w:val="0BEC3D32"/>
    <w:rsid w:val="0BEE2235"/>
    <w:rsid w:val="0BFC68BC"/>
    <w:rsid w:val="0C0034E6"/>
    <w:rsid w:val="0C065030"/>
    <w:rsid w:val="0C0A6A27"/>
    <w:rsid w:val="0C114E11"/>
    <w:rsid w:val="0C274DCE"/>
    <w:rsid w:val="0C281F69"/>
    <w:rsid w:val="0C46607E"/>
    <w:rsid w:val="0C5548A9"/>
    <w:rsid w:val="0C7B6E46"/>
    <w:rsid w:val="0C937D2A"/>
    <w:rsid w:val="0CA914B2"/>
    <w:rsid w:val="0CAF0C7F"/>
    <w:rsid w:val="0CC254EF"/>
    <w:rsid w:val="0CC66451"/>
    <w:rsid w:val="0CD3159D"/>
    <w:rsid w:val="0CF55AE9"/>
    <w:rsid w:val="0D014D4B"/>
    <w:rsid w:val="0D21285D"/>
    <w:rsid w:val="0D422E35"/>
    <w:rsid w:val="0D470DA4"/>
    <w:rsid w:val="0D594CA9"/>
    <w:rsid w:val="0D5E2FCB"/>
    <w:rsid w:val="0D6B4EEA"/>
    <w:rsid w:val="0D701983"/>
    <w:rsid w:val="0D8A5AB3"/>
    <w:rsid w:val="0DAD2D22"/>
    <w:rsid w:val="0DB41372"/>
    <w:rsid w:val="0DBF61BF"/>
    <w:rsid w:val="0DCA5914"/>
    <w:rsid w:val="0DD0098F"/>
    <w:rsid w:val="0DDE50B5"/>
    <w:rsid w:val="0DEE6BC9"/>
    <w:rsid w:val="0DEF4F76"/>
    <w:rsid w:val="0DF3248B"/>
    <w:rsid w:val="0DF54CB4"/>
    <w:rsid w:val="0DF80309"/>
    <w:rsid w:val="0DFA028E"/>
    <w:rsid w:val="0E1E00DB"/>
    <w:rsid w:val="0E2660EF"/>
    <w:rsid w:val="0E2749CA"/>
    <w:rsid w:val="0E3376C7"/>
    <w:rsid w:val="0E4B0373"/>
    <w:rsid w:val="0E4E358F"/>
    <w:rsid w:val="0E5C05EF"/>
    <w:rsid w:val="0E5F3788"/>
    <w:rsid w:val="0E620CBD"/>
    <w:rsid w:val="0E745BF7"/>
    <w:rsid w:val="0E814AC2"/>
    <w:rsid w:val="0E9F3CE0"/>
    <w:rsid w:val="0EA31D7A"/>
    <w:rsid w:val="0EB10D42"/>
    <w:rsid w:val="0EB12F48"/>
    <w:rsid w:val="0EB61BC7"/>
    <w:rsid w:val="0EC92AC2"/>
    <w:rsid w:val="0ED81E7B"/>
    <w:rsid w:val="0EE04614"/>
    <w:rsid w:val="0EF22070"/>
    <w:rsid w:val="0EF97F24"/>
    <w:rsid w:val="0EFA26DD"/>
    <w:rsid w:val="0EFC78C7"/>
    <w:rsid w:val="0EFF4172"/>
    <w:rsid w:val="0F150CBF"/>
    <w:rsid w:val="0F1A6A9A"/>
    <w:rsid w:val="0F1B228F"/>
    <w:rsid w:val="0F1D17B9"/>
    <w:rsid w:val="0F1E4BA4"/>
    <w:rsid w:val="0F2B634D"/>
    <w:rsid w:val="0F552F8F"/>
    <w:rsid w:val="0F596F11"/>
    <w:rsid w:val="0F693E64"/>
    <w:rsid w:val="0F6B012B"/>
    <w:rsid w:val="0F7A4074"/>
    <w:rsid w:val="0F830A0B"/>
    <w:rsid w:val="0F844A1D"/>
    <w:rsid w:val="0F881D49"/>
    <w:rsid w:val="0F9D2C6D"/>
    <w:rsid w:val="0FA147D2"/>
    <w:rsid w:val="0FAB2CAE"/>
    <w:rsid w:val="0FAE2FD6"/>
    <w:rsid w:val="0FC21792"/>
    <w:rsid w:val="0FE465FF"/>
    <w:rsid w:val="10032DBD"/>
    <w:rsid w:val="100A4CF4"/>
    <w:rsid w:val="1019168E"/>
    <w:rsid w:val="10277530"/>
    <w:rsid w:val="10466E61"/>
    <w:rsid w:val="10491B9E"/>
    <w:rsid w:val="104B261C"/>
    <w:rsid w:val="104B5321"/>
    <w:rsid w:val="105F6456"/>
    <w:rsid w:val="10671C97"/>
    <w:rsid w:val="108161A6"/>
    <w:rsid w:val="10940F58"/>
    <w:rsid w:val="10AB3168"/>
    <w:rsid w:val="10BE18E1"/>
    <w:rsid w:val="10BE2681"/>
    <w:rsid w:val="10C413AC"/>
    <w:rsid w:val="10CC7CB9"/>
    <w:rsid w:val="10D635E2"/>
    <w:rsid w:val="10E2712E"/>
    <w:rsid w:val="10F301AB"/>
    <w:rsid w:val="110872AC"/>
    <w:rsid w:val="1149082D"/>
    <w:rsid w:val="116352C6"/>
    <w:rsid w:val="11835237"/>
    <w:rsid w:val="118D4B17"/>
    <w:rsid w:val="11911CFF"/>
    <w:rsid w:val="11A2586B"/>
    <w:rsid w:val="11A73024"/>
    <w:rsid w:val="11AF0658"/>
    <w:rsid w:val="11B04EDA"/>
    <w:rsid w:val="11B2197B"/>
    <w:rsid w:val="11D87871"/>
    <w:rsid w:val="11E37594"/>
    <w:rsid w:val="11EC0FAD"/>
    <w:rsid w:val="11F76931"/>
    <w:rsid w:val="11FD0ED4"/>
    <w:rsid w:val="120F3255"/>
    <w:rsid w:val="12137694"/>
    <w:rsid w:val="122409CA"/>
    <w:rsid w:val="12305068"/>
    <w:rsid w:val="12390166"/>
    <w:rsid w:val="123D60DE"/>
    <w:rsid w:val="12442950"/>
    <w:rsid w:val="124D3856"/>
    <w:rsid w:val="12555FAC"/>
    <w:rsid w:val="127F48AC"/>
    <w:rsid w:val="127F7D85"/>
    <w:rsid w:val="128A4EA9"/>
    <w:rsid w:val="128E60CC"/>
    <w:rsid w:val="129C32B8"/>
    <w:rsid w:val="12A9616E"/>
    <w:rsid w:val="12B72298"/>
    <w:rsid w:val="12B84553"/>
    <w:rsid w:val="12C25781"/>
    <w:rsid w:val="12D578D1"/>
    <w:rsid w:val="12F57FA6"/>
    <w:rsid w:val="12F84E17"/>
    <w:rsid w:val="130104E0"/>
    <w:rsid w:val="132C0B2A"/>
    <w:rsid w:val="13386F35"/>
    <w:rsid w:val="134043C9"/>
    <w:rsid w:val="1348446B"/>
    <w:rsid w:val="136125AA"/>
    <w:rsid w:val="136F2421"/>
    <w:rsid w:val="13716116"/>
    <w:rsid w:val="13860B95"/>
    <w:rsid w:val="13940C3A"/>
    <w:rsid w:val="139F1234"/>
    <w:rsid w:val="13C41ACB"/>
    <w:rsid w:val="13D10F57"/>
    <w:rsid w:val="13D34413"/>
    <w:rsid w:val="13D41B21"/>
    <w:rsid w:val="13D87D61"/>
    <w:rsid w:val="13FD7DCA"/>
    <w:rsid w:val="140464E6"/>
    <w:rsid w:val="140E44FE"/>
    <w:rsid w:val="14146B9E"/>
    <w:rsid w:val="142D01F1"/>
    <w:rsid w:val="143251C4"/>
    <w:rsid w:val="1432607A"/>
    <w:rsid w:val="143B0CDB"/>
    <w:rsid w:val="143F4529"/>
    <w:rsid w:val="144172C2"/>
    <w:rsid w:val="1443377F"/>
    <w:rsid w:val="144B14ED"/>
    <w:rsid w:val="14502EB0"/>
    <w:rsid w:val="14532C24"/>
    <w:rsid w:val="1459086F"/>
    <w:rsid w:val="14625840"/>
    <w:rsid w:val="14737B7E"/>
    <w:rsid w:val="1476059A"/>
    <w:rsid w:val="149413C2"/>
    <w:rsid w:val="14A07DD7"/>
    <w:rsid w:val="14A70D57"/>
    <w:rsid w:val="14AE62DF"/>
    <w:rsid w:val="14B230D8"/>
    <w:rsid w:val="14B35D02"/>
    <w:rsid w:val="14B7549C"/>
    <w:rsid w:val="14BA6F9C"/>
    <w:rsid w:val="14CC10C7"/>
    <w:rsid w:val="14CE0F76"/>
    <w:rsid w:val="14DA695E"/>
    <w:rsid w:val="14EE49D2"/>
    <w:rsid w:val="14F9485C"/>
    <w:rsid w:val="15057B34"/>
    <w:rsid w:val="1528122B"/>
    <w:rsid w:val="153175C1"/>
    <w:rsid w:val="1539636E"/>
    <w:rsid w:val="157C6AE7"/>
    <w:rsid w:val="158758C4"/>
    <w:rsid w:val="158B7A09"/>
    <w:rsid w:val="1591395D"/>
    <w:rsid w:val="159B7CAF"/>
    <w:rsid w:val="15A22F07"/>
    <w:rsid w:val="15D42430"/>
    <w:rsid w:val="15D728FD"/>
    <w:rsid w:val="15DE73F4"/>
    <w:rsid w:val="15E74C42"/>
    <w:rsid w:val="15EB4B64"/>
    <w:rsid w:val="15F67012"/>
    <w:rsid w:val="160504A4"/>
    <w:rsid w:val="160C1048"/>
    <w:rsid w:val="16173D0B"/>
    <w:rsid w:val="162C08A7"/>
    <w:rsid w:val="163158B3"/>
    <w:rsid w:val="16395056"/>
    <w:rsid w:val="16567FC8"/>
    <w:rsid w:val="166123C5"/>
    <w:rsid w:val="1663620B"/>
    <w:rsid w:val="166B3977"/>
    <w:rsid w:val="1676101E"/>
    <w:rsid w:val="167E75CC"/>
    <w:rsid w:val="16A36C4C"/>
    <w:rsid w:val="16A3742D"/>
    <w:rsid w:val="16A400DD"/>
    <w:rsid w:val="16A843D2"/>
    <w:rsid w:val="16BE60D0"/>
    <w:rsid w:val="16C55E45"/>
    <w:rsid w:val="16C62043"/>
    <w:rsid w:val="16D05280"/>
    <w:rsid w:val="16D24731"/>
    <w:rsid w:val="16D91566"/>
    <w:rsid w:val="16EB7DDE"/>
    <w:rsid w:val="170A1912"/>
    <w:rsid w:val="170C2100"/>
    <w:rsid w:val="17237EFC"/>
    <w:rsid w:val="17491FFB"/>
    <w:rsid w:val="174A2477"/>
    <w:rsid w:val="17504DAC"/>
    <w:rsid w:val="17615087"/>
    <w:rsid w:val="176B77AA"/>
    <w:rsid w:val="1785392A"/>
    <w:rsid w:val="17865ECB"/>
    <w:rsid w:val="178E6D8E"/>
    <w:rsid w:val="17910EDC"/>
    <w:rsid w:val="17A11B4E"/>
    <w:rsid w:val="17A17716"/>
    <w:rsid w:val="17B15508"/>
    <w:rsid w:val="17B60618"/>
    <w:rsid w:val="17B83755"/>
    <w:rsid w:val="17CF3D95"/>
    <w:rsid w:val="17D42FA4"/>
    <w:rsid w:val="17E80C04"/>
    <w:rsid w:val="17E82972"/>
    <w:rsid w:val="17F41CBA"/>
    <w:rsid w:val="17F83F41"/>
    <w:rsid w:val="180866DF"/>
    <w:rsid w:val="181D33B8"/>
    <w:rsid w:val="18241C20"/>
    <w:rsid w:val="182513DA"/>
    <w:rsid w:val="184E506A"/>
    <w:rsid w:val="185D743E"/>
    <w:rsid w:val="1865086B"/>
    <w:rsid w:val="18750CD3"/>
    <w:rsid w:val="1885124F"/>
    <w:rsid w:val="18855377"/>
    <w:rsid w:val="188A571E"/>
    <w:rsid w:val="1892587B"/>
    <w:rsid w:val="18A078FE"/>
    <w:rsid w:val="18A30C02"/>
    <w:rsid w:val="18C02C4C"/>
    <w:rsid w:val="18DB14E5"/>
    <w:rsid w:val="18E57559"/>
    <w:rsid w:val="18EF076E"/>
    <w:rsid w:val="19007FD2"/>
    <w:rsid w:val="19064E0D"/>
    <w:rsid w:val="192813CB"/>
    <w:rsid w:val="19295104"/>
    <w:rsid w:val="1931118D"/>
    <w:rsid w:val="193D1BDC"/>
    <w:rsid w:val="193E5E46"/>
    <w:rsid w:val="194C13BF"/>
    <w:rsid w:val="19691470"/>
    <w:rsid w:val="197F7C83"/>
    <w:rsid w:val="199E2404"/>
    <w:rsid w:val="19A570A0"/>
    <w:rsid w:val="19A74CA4"/>
    <w:rsid w:val="19B3135A"/>
    <w:rsid w:val="19C06477"/>
    <w:rsid w:val="19CF596B"/>
    <w:rsid w:val="19D30994"/>
    <w:rsid w:val="19EA566C"/>
    <w:rsid w:val="19F13777"/>
    <w:rsid w:val="19F34064"/>
    <w:rsid w:val="19F91830"/>
    <w:rsid w:val="1A172818"/>
    <w:rsid w:val="1A211A0F"/>
    <w:rsid w:val="1A2A1716"/>
    <w:rsid w:val="1A324E43"/>
    <w:rsid w:val="1A4B173C"/>
    <w:rsid w:val="1A5168C1"/>
    <w:rsid w:val="1A605518"/>
    <w:rsid w:val="1A731652"/>
    <w:rsid w:val="1A733B5A"/>
    <w:rsid w:val="1A830457"/>
    <w:rsid w:val="1AA94D25"/>
    <w:rsid w:val="1AAC7843"/>
    <w:rsid w:val="1AB00DC1"/>
    <w:rsid w:val="1AB34123"/>
    <w:rsid w:val="1AB772D9"/>
    <w:rsid w:val="1AD926B7"/>
    <w:rsid w:val="1ADA0BE2"/>
    <w:rsid w:val="1ADC4FA7"/>
    <w:rsid w:val="1AE172C8"/>
    <w:rsid w:val="1AF6285F"/>
    <w:rsid w:val="1B09565B"/>
    <w:rsid w:val="1B0A4E28"/>
    <w:rsid w:val="1B0E4247"/>
    <w:rsid w:val="1B327F56"/>
    <w:rsid w:val="1B34728D"/>
    <w:rsid w:val="1B433206"/>
    <w:rsid w:val="1B845B60"/>
    <w:rsid w:val="1BA218CD"/>
    <w:rsid w:val="1BB67C2B"/>
    <w:rsid w:val="1BBA32AD"/>
    <w:rsid w:val="1BBC1FC0"/>
    <w:rsid w:val="1BC936EA"/>
    <w:rsid w:val="1BD23C9F"/>
    <w:rsid w:val="1BD66AC6"/>
    <w:rsid w:val="1BEC6B0F"/>
    <w:rsid w:val="1BF34341"/>
    <w:rsid w:val="1BF41BC1"/>
    <w:rsid w:val="1BF71672"/>
    <w:rsid w:val="1BF818DE"/>
    <w:rsid w:val="1C0202BB"/>
    <w:rsid w:val="1C1C3D1B"/>
    <w:rsid w:val="1C2F353E"/>
    <w:rsid w:val="1C345F49"/>
    <w:rsid w:val="1C36064E"/>
    <w:rsid w:val="1C425A89"/>
    <w:rsid w:val="1C4D6F6D"/>
    <w:rsid w:val="1C4E0CFD"/>
    <w:rsid w:val="1C4E7BFF"/>
    <w:rsid w:val="1C566D93"/>
    <w:rsid w:val="1C642685"/>
    <w:rsid w:val="1C741C4A"/>
    <w:rsid w:val="1C790C21"/>
    <w:rsid w:val="1C7C536C"/>
    <w:rsid w:val="1C9D16D9"/>
    <w:rsid w:val="1C9E4662"/>
    <w:rsid w:val="1CA3601B"/>
    <w:rsid w:val="1CA760F9"/>
    <w:rsid w:val="1CB6082B"/>
    <w:rsid w:val="1CC87CDF"/>
    <w:rsid w:val="1CD13655"/>
    <w:rsid w:val="1CD24707"/>
    <w:rsid w:val="1CE03091"/>
    <w:rsid w:val="1CEE68B6"/>
    <w:rsid w:val="1CF63540"/>
    <w:rsid w:val="1CF7445F"/>
    <w:rsid w:val="1CFF6D16"/>
    <w:rsid w:val="1D006C9E"/>
    <w:rsid w:val="1D2104FF"/>
    <w:rsid w:val="1D35158E"/>
    <w:rsid w:val="1D490807"/>
    <w:rsid w:val="1D6E4BC9"/>
    <w:rsid w:val="1D8232BF"/>
    <w:rsid w:val="1D9A3A9C"/>
    <w:rsid w:val="1DB24038"/>
    <w:rsid w:val="1DBA2C3C"/>
    <w:rsid w:val="1DD76C4A"/>
    <w:rsid w:val="1DE67D95"/>
    <w:rsid w:val="1DEC5EA4"/>
    <w:rsid w:val="1E1D621F"/>
    <w:rsid w:val="1E2D340E"/>
    <w:rsid w:val="1E6A4D1F"/>
    <w:rsid w:val="1E791650"/>
    <w:rsid w:val="1E7A152E"/>
    <w:rsid w:val="1E98285E"/>
    <w:rsid w:val="1EB606F1"/>
    <w:rsid w:val="1EB853A6"/>
    <w:rsid w:val="1EBB0EE5"/>
    <w:rsid w:val="1ECE699F"/>
    <w:rsid w:val="1EE52950"/>
    <w:rsid w:val="1F046AF5"/>
    <w:rsid w:val="1F087761"/>
    <w:rsid w:val="1F132C50"/>
    <w:rsid w:val="1F153930"/>
    <w:rsid w:val="1F156A91"/>
    <w:rsid w:val="1F2812F9"/>
    <w:rsid w:val="1F3031B6"/>
    <w:rsid w:val="1F594DB9"/>
    <w:rsid w:val="1F7004B6"/>
    <w:rsid w:val="1F860802"/>
    <w:rsid w:val="1F8D1F0C"/>
    <w:rsid w:val="1F91697C"/>
    <w:rsid w:val="1FA3607E"/>
    <w:rsid w:val="1FCF341B"/>
    <w:rsid w:val="1FD223CC"/>
    <w:rsid w:val="1FD91978"/>
    <w:rsid w:val="1FDA2E88"/>
    <w:rsid w:val="1FDB3601"/>
    <w:rsid w:val="1FF20A3D"/>
    <w:rsid w:val="200306C1"/>
    <w:rsid w:val="200A3CB9"/>
    <w:rsid w:val="20231F1D"/>
    <w:rsid w:val="20275C3B"/>
    <w:rsid w:val="202A223A"/>
    <w:rsid w:val="203E357E"/>
    <w:rsid w:val="20444074"/>
    <w:rsid w:val="204D6DBD"/>
    <w:rsid w:val="20537965"/>
    <w:rsid w:val="207312A1"/>
    <w:rsid w:val="20887022"/>
    <w:rsid w:val="208B0796"/>
    <w:rsid w:val="20947338"/>
    <w:rsid w:val="209D3B47"/>
    <w:rsid w:val="20B87907"/>
    <w:rsid w:val="20BE2A44"/>
    <w:rsid w:val="20C31470"/>
    <w:rsid w:val="20EB6E90"/>
    <w:rsid w:val="20ED6CCA"/>
    <w:rsid w:val="20FA75EC"/>
    <w:rsid w:val="21004E0A"/>
    <w:rsid w:val="21020728"/>
    <w:rsid w:val="21043F34"/>
    <w:rsid w:val="210A3C50"/>
    <w:rsid w:val="210D083B"/>
    <w:rsid w:val="21117017"/>
    <w:rsid w:val="211F1FFC"/>
    <w:rsid w:val="212D00FC"/>
    <w:rsid w:val="213F3143"/>
    <w:rsid w:val="21466CC1"/>
    <w:rsid w:val="214C7AE4"/>
    <w:rsid w:val="215E1B43"/>
    <w:rsid w:val="215E44D7"/>
    <w:rsid w:val="216040F6"/>
    <w:rsid w:val="21611C79"/>
    <w:rsid w:val="21615D70"/>
    <w:rsid w:val="21684497"/>
    <w:rsid w:val="21716E21"/>
    <w:rsid w:val="217D0AF0"/>
    <w:rsid w:val="21842E27"/>
    <w:rsid w:val="219911A6"/>
    <w:rsid w:val="21A34113"/>
    <w:rsid w:val="21A92F1A"/>
    <w:rsid w:val="21B46321"/>
    <w:rsid w:val="21CB7225"/>
    <w:rsid w:val="22052D36"/>
    <w:rsid w:val="220B1CB9"/>
    <w:rsid w:val="220E1916"/>
    <w:rsid w:val="222436B1"/>
    <w:rsid w:val="223664CB"/>
    <w:rsid w:val="22376329"/>
    <w:rsid w:val="224B14A9"/>
    <w:rsid w:val="22585DC2"/>
    <w:rsid w:val="225E2D0D"/>
    <w:rsid w:val="22781750"/>
    <w:rsid w:val="228608D2"/>
    <w:rsid w:val="228A670A"/>
    <w:rsid w:val="22975FF9"/>
    <w:rsid w:val="22A13562"/>
    <w:rsid w:val="22A86F1F"/>
    <w:rsid w:val="22B833DD"/>
    <w:rsid w:val="22CD304D"/>
    <w:rsid w:val="22D03523"/>
    <w:rsid w:val="22D336DA"/>
    <w:rsid w:val="22D51B13"/>
    <w:rsid w:val="22D64270"/>
    <w:rsid w:val="22E937A0"/>
    <w:rsid w:val="22EC6D11"/>
    <w:rsid w:val="22F36D55"/>
    <w:rsid w:val="230F55FD"/>
    <w:rsid w:val="232A43C0"/>
    <w:rsid w:val="233A26D6"/>
    <w:rsid w:val="233A51D6"/>
    <w:rsid w:val="234E60FE"/>
    <w:rsid w:val="23682737"/>
    <w:rsid w:val="23757D3B"/>
    <w:rsid w:val="237B45D9"/>
    <w:rsid w:val="238816F3"/>
    <w:rsid w:val="23961705"/>
    <w:rsid w:val="239857CE"/>
    <w:rsid w:val="239C4CD0"/>
    <w:rsid w:val="23B62C1D"/>
    <w:rsid w:val="23CF396C"/>
    <w:rsid w:val="23D33853"/>
    <w:rsid w:val="23E2297A"/>
    <w:rsid w:val="23E52AD0"/>
    <w:rsid w:val="23F41363"/>
    <w:rsid w:val="23FA49B5"/>
    <w:rsid w:val="240A5181"/>
    <w:rsid w:val="240F3CE2"/>
    <w:rsid w:val="241648EC"/>
    <w:rsid w:val="243A226C"/>
    <w:rsid w:val="2457471E"/>
    <w:rsid w:val="24594F73"/>
    <w:rsid w:val="245F7590"/>
    <w:rsid w:val="24872001"/>
    <w:rsid w:val="24B574D7"/>
    <w:rsid w:val="24B765CC"/>
    <w:rsid w:val="24B81D65"/>
    <w:rsid w:val="24BF0568"/>
    <w:rsid w:val="24C01953"/>
    <w:rsid w:val="24C61655"/>
    <w:rsid w:val="24CA5217"/>
    <w:rsid w:val="24D5113B"/>
    <w:rsid w:val="24D56E85"/>
    <w:rsid w:val="24DB2AAA"/>
    <w:rsid w:val="24DE2601"/>
    <w:rsid w:val="24E076A0"/>
    <w:rsid w:val="24F044B8"/>
    <w:rsid w:val="24FC1555"/>
    <w:rsid w:val="25035E75"/>
    <w:rsid w:val="25154C96"/>
    <w:rsid w:val="25326339"/>
    <w:rsid w:val="25427F6D"/>
    <w:rsid w:val="25470319"/>
    <w:rsid w:val="25750C7F"/>
    <w:rsid w:val="259D314D"/>
    <w:rsid w:val="259F0103"/>
    <w:rsid w:val="25BA6FAE"/>
    <w:rsid w:val="25C1250D"/>
    <w:rsid w:val="25C813DF"/>
    <w:rsid w:val="25E23ACA"/>
    <w:rsid w:val="25E90563"/>
    <w:rsid w:val="25F04EBA"/>
    <w:rsid w:val="25F07496"/>
    <w:rsid w:val="26056DC6"/>
    <w:rsid w:val="260723BB"/>
    <w:rsid w:val="260B6605"/>
    <w:rsid w:val="26186D14"/>
    <w:rsid w:val="262320D6"/>
    <w:rsid w:val="263016B8"/>
    <w:rsid w:val="26644341"/>
    <w:rsid w:val="26842299"/>
    <w:rsid w:val="26A31741"/>
    <w:rsid w:val="26B4291F"/>
    <w:rsid w:val="26DA7180"/>
    <w:rsid w:val="26F254F3"/>
    <w:rsid w:val="26F51F02"/>
    <w:rsid w:val="26F67C1E"/>
    <w:rsid w:val="27055E4D"/>
    <w:rsid w:val="270A23EE"/>
    <w:rsid w:val="27107456"/>
    <w:rsid w:val="271309AE"/>
    <w:rsid w:val="271C608E"/>
    <w:rsid w:val="271E3733"/>
    <w:rsid w:val="27435A51"/>
    <w:rsid w:val="27502994"/>
    <w:rsid w:val="27571307"/>
    <w:rsid w:val="27592458"/>
    <w:rsid w:val="2763650E"/>
    <w:rsid w:val="276514C0"/>
    <w:rsid w:val="27823584"/>
    <w:rsid w:val="279B3ADF"/>
    <w:rsid w:val="27C859DC"/>
    <w:rsid w:val="27DD6B49"/>
    <w:rsid w:val="27DE47AE"/>
    <w:rsid w:val="27DF6684"/>
    <w:rsid w:val="27F94EF0"/>
    <w:rsid w:val="27F956BA"/>
    <w:rsid w:val="28022FDE"/>
    <w:rsid w:val="28073B02"/>
    <w:rsid w:val="28095657"/>
    <w:rsid w:val="280F280D"/>
    <w:rsid w:val="28150960"/>
    <w:rsid w:val="281A5A62"/>
    <w:rsid w:val="282805B7"/>
    <w:rsid w:val="282B73F2"/>
    <w:rsid w:val="2836526E"/>
    <w:rsid w:val="284E15BF"/>
    <w:rsid w:val="284F3643"/>
    <w:rsid w:val="28502791"/>
    <w:rsid w:val="285F5A84"/>
    <w:rsid w:val="28906A22"/>
    <w:rsid w:val="289134BD"/>
    <w:rsid w:val="289E1222"/>
    <w:rsid w:val="28AF39C7"/>
    <w:rsid w:val="28B02EE9"/>
    <w:rsid w:val="28B6075C"/>
    <w:rsid w:val="28B87CA9"/>
    <w:rsid w:val="28DB240F"/>
    <w:rsid w:val="28F74C7C"/>
    <w:rsid w:val="28FB72BE"/>
    <w:rsid w:val="29120A7A"/>
    <w:rsid w:val="291D7D57"/>
    <w:rsid w:val="29244A4C"/>
    <w:rsid w:val="2934155A"/>
    <w:rsid w:val="2944603F"/>
    <w:rsid w:val="296E5D94"/>
    <w:rsid w:val="29783C39"/>
    <w:rsid w:val="2978457F"/>
    <w:rsid w:val="2985325F"/>
    <w:rsid w:val="29933664"/>
    <w:rsid w:val="29966622"/>
    <w:rsid w:val="299D6F2A"/>
    <w:rsid w:val="299F1D6F"/>
    <w:rsid w:val="29A520FC"/>
    <w:rsid w:val="29A6760D"/>
    <w:rsid w:val="29AA3EF2"/>
    <w:rsid w:val="29AE1244"/>
    <w:rsid w:val="29BE366D"/>
    <w:rsid w:val="29C410CB"/>
    <w:rsid w:val="29D9188C"/>
    <w:rsid w:val="29F721E7"/>
    <w:rsid w:val="2A1E41F0"/>
    <w:rsid w:val="2A3859A2"/>
    <w:rsid w:val="2A495BEF"/>
    <w:rsid w:val="2A4B3E78"/>
    <w:rsid w:val="2A4D0D63"/>
    <w:rsid w:val="2A583412"/>
    <w:rsid w:val="2A5F15EA"/>
    <w:rsid w:val="2A632D14"/>
    <w:rsid w:val="2A810DF9"/>
    <w:rsid w:val="2A8C6DFE"/>
    <w:rsid w:val="2A94785F"/>
    <w:rsid w:val="2AAF7EC2"/>
    <w:rsid w:val="2AB915B6"/>
    <w:rsid w:val="2ABC2E13"/>
    <w:rsid w:val="2ACC4969"/>
    <w:rsid w:val="2ACD2201"/>
    <w:rsid w:val="2ACD4E60"/>
    <w:rsid w:val="2AD021DE"/>
    <w:rsid w:val="2AD72ECE"/>
    <w:rsid w:val="2AE008A0"/>
    <w:rsid w:val="2AE1726A"/>
    <w:rsid w:val="2AF1233F"/>
    <w:rsid w:val="2AF524B8"/>
    <w:rsid w:val="2B066F4B"/>
    <w:rsid w:val="2B103845"/>
    <w:rsid w:val="2B1566B9"/>
    <w:rsid w:val="2B187016"/>
    <w:rsid w:val="2B1C6552"/>
    <w:rsid w:val="2B217FDB"/>
    <w:rsid w:val="2B2558B1"/>
    <w:rsid w:val="2B2A4A35"/>
    <w:rsid w:val="2B2A5090"/>
    <w:rsid w:val="2B355335"/>
    <w:rsid w:val="2B392C00"/>
    <w:rsid w:val="2B4A6823"/>
    <w:rsid w:val="2B5B259F"/>
    <w:rsid w:val="2B5C0678"/>
    <w:rsid w:val="2B622D38"/>
    <w:rsid w:val="2B6A7A50"/>
    <w:rsid w:val="2B88437A"/>
    <w:rsid w:val="2B8C1DED"/>
    <w:rsid w:val="2BA9637C"/>
    <w:rsid w:val="2BBE1D45"/>
    <w:rsid w:val="2BBF1858"/>
    <w:rsid w:val="2BC91706"/>
    <w:rsid w:val="2BCB1158"/>
    <w:rsid w:val="2BDC1BE5"/>
    <w:rsid w:val="2BDD601E"/>
    <w:rsid w:val="2BF57163"/>
    <w:rsid w:val="2C0676E9"/>
    <w:rsid w:val="2C0A4015"/>
    <w:rsid w:val="2C1160C8"/>
    <w:rsid w:val="2C1267C7"/>
    <w:rsid w:val="2C2C1647"/>
    <w:rsid w:val="2C2C2449"/>
    <w:rsid w:val="2C365B84"/>
    <w:rsid w:val="2C532427"/>
    <w:rsid w:val="2C56241F"/>
    <w:rsid w:val="2C626634"/>
    <w:rsid w:val="2C70239B"/>
    <w:rsid w:val="2C7C3B77"/>
    <w:rsid w:val="2C9A6AE5"/>
    <w:rsid w:val="2CA31924"/>
    <w:rsid w:val="2CA32CB5"/>
    <w:rsid w:val="2CAD3CDB"/>
    <w:rsid w:val="2CCD158E"/>
    <w:rsid w:val="2CD45F3F"/>
    <w:rsid w:val="2CD52537"/>
    <w:rsid w:val="2CD9778E"/>
    <w:rsid w:val="2CDD6663"/>
    <w:rsid w:val="2CF45EA7"/>
    <w:rsid w:val="2CFC6B5F"/>
    <w:rsid w:val="2D0910DD"/>
    <w:rsid w:val="2D2F4553"/>
    <w:rsid w:val="2D3B78F6"/>
    <w:rsid w:val="2D4F0725"/>
    <w:rsid w:val="2D6F4242"/>
    <w:rsid w:val="2D744BB6"/>
    <w:rsid w:val="2D765249"/>
    <w:rsid w:val="2D7E3C87"/>
    <w:rsid w:val="2D8669BE"/>
    <w:rsid w:val="2D9F5F69"/>
    <w:rsid w:val="2DB13887"/>
    <w:rsid w:val="2DDD0F1B"/>
    <w:rsid w:val="2DE018B7"/>
    <w:rsid w:val="2DE947AC"/>
    <w:rsid w:val="2DE96790"/>
    <w:rsid w:val="2DEF2E22"/>
    <w:rsid w:val="2E0903B5"/>
    <w:rsid w:val="2E1351A1"/>
    <w:rsid w:val="2E1D22A5"/>
    <w:rsid w:val="2E295242"/>
    <w:rsid w:val="2E2F36FE"/>
    <w:rsid w:val="2E340188"/>
    <w:rsid w:val="2E344345"/>
    <w:rsid w:val="2E484A86"/>
    <w:rsid w:val="2E5F4C07"/>
    <w:rsid w:val="2E8C6F30"/>
    <w:rsid w:val="2E904CC8"/>
    <w:rsid w:val="2E9A3308"/>
    <w:rsid w:val="2EA428CB"/>
    <w:rsid w:val="2ECD6EB1"/>
    <w:rsid w:val="2ECE6F73"/>
    <w:rsid w:val="2ECF45C2"/>
    <w:rsid w:val="2ED85E31"/>
    <w:rsid w:val="2EE42E67"/>
    <w:rsid w:val="2EF100EE"/>
    <w:rsid w:val="2F0E6E69"/>
    <w:rsid w:val="2F1608F5"/>
    <w:rsid w:val="2F1C20A0"/>
    <w:rsid w:val="2F1F2F0D"/>
    <w:rsid w:val="2F2271E4"/>
    <w:rsid w:val="2F3E4B63"/>
    <w:rsid w:val="2F406BC4"/>
    <w:rsid w:val="2F440C38"/>
    <w:rsid w:val="2F4D7598"/>
    <w:rsid w:val="2F527BB8"/>
    <w:rsid w:val="2F596BED"/>
    <w:rsid w:val="2F7F4F70"/>
    <w:rsid w:val="2F85342B"/>
    <w:rsid w:val="2F9B6DD0"/>
    <w:rsid w:val="2FA13C7D"/>
    <w:rsid w:val="2FA17100"/>
    <w:rsid w:val="2FB55056"/>
    <w:rsid w:val="2FCF5E3F"/>
    <w:rsid w:val="2FD5259C"/>
    <w:rsid w:val="2FEC7EE9"/>
    <w:rsid w:val="2FFA60F1"/>
    <w:rsid w:val="2FFD70E5"/>
    <w:rsid w:val="30000E8B"/>
    <w:rsid w:val="3002199C"/>
    <w:rsid w:val="30052AD8"/>
    <w:rsid w:val="300E3493"/>
    <w:rsid w:val="3031223E"/>
    <w:rsid w:val="30454052"/>
    <w:rsid w:val="304F3298"/>
    <w:rsid w:val="30501E72"/>
    <w:rsid w:val="305853BF"/>
    <w:rsid w:val="30637280"/>
    <w:rsid w:val="30670A02"/>
    <w:rsid w:val="30724FBA"/>
    <w:rsid w:val="307561B4"/>
    <w:rsid w:val="307E23AE"/>
    <w:rsid w:val="309159EE"/>
    <w:rsid w:val="30930A9B"/>
    <w:rsid w:val="3097524D"/>
    <w:rsid w:val="30997E21"/>
    <w:rsid w:val="30A348B4"/>
    <w:rsid w:val="30AA4F46"/>
    <w:rsid w:val="30CE4322"/>
    <w:rsid w:val="30DB07C9"/>
    <w:rsid w:val="30DC1321"/>
    <w:rsid w:val="30EB254E"/>
    <w:rsid w:val="30F03E57"/>
    <w:rsid w:val="30F076B5"/>
    <w:rsid w:val="30FB7CA3"/>
    <w:rsid w:val="310061F3"/>
    <w:rsid w:val="31084B15"/>
    <w:rsid w:val="31111920"/>
    <w:rsid w:val="312471BF"/>
    <w:rsid w:val="312E7F36"/>
    <w:rsid w:val="313962E7"/>
    <w:rsid w:val="31432B26"/>
    <w:rsid w:val="315640CE"/>
    <w:rsid w:val="31647755"/>
    <w:rsid w:val="316A3890"/>
    <w:rsid w:val="317361D7"/>
    <w:rsid w:val="317C5486"/>
    <w:rsid w:val="3180616D"/>
    <w:rsid w:val="319A03C4"/>
    <w:rsid w:val="31AF6778"/>
    <w:rsid w:val="31B34727"/>
    <w:rsid w:val="31BA5F8C"/>
    <w:rsid w:val="31BD7164"/>
    <w:rsid w:val="31C90FDC"/>
    <w:rsid w:val="31D22D8A"/>
    <w:rsid w:val="31DD1910"/>
    <w:rsid w:val="31EC1380"/>
    <w:rsid w:val="320D7ABE"/>
    <w:rsid w:val="3214150F"/>
    <w:rsid w:val="323B2146"/>
    <w:rsid w:val="3242018E"/>
    <w:rsid w:val="32565F56"/>
    <w:rsid w:val="32642F06"/>
    <w:rsid w:val="32662F17"/>
    <w:rsid w:val="326673F3"/>
    <w:rsid w:val="32713F92"/>
    <w:rsid w:val="32985010"/>
    <w:rsid w:val="32A70330"/>
    <w:rsid w:val="32BD25FF"/>
    <w:rsid w:val="32DC52F6"/>
    <w:rsid w:val="32E320FF"/>
    <w:rsid w:val="32E661F0"/>
    <w:rsid w:val="330627BA"/>
    <w:rsid w:val="330826E2"/>
    <w:rsid w:val="330A3CD4"/>
    <w:rsid w:val="331000DD"/>
    <w:rsid w:val="331B7BC4"/>
    <w:rsid w:val="331F55C4"/>
    <w:rsid w:val="33324454"/>
    <w:rsid w:val="334A6263"/>
    <w:rsid w:val="335A6627"/>
    <w:rsid w:val="33640566"/>
    <w:rsid w:val="336477C1"/>
    <w:rsid w:val="336F30D7"/>
    <w:rsid w:val="33703F2A"/>
    <w:rsid w:val="33771BF8"/>
    <w:rsid w:val="33787492"/>
    <w:rsid w:val="338673F1"/>
    <w:rsid w:val="338D64EF"/>
    <w:rsid w:val="33921573"/>
    <w:rsid w:val="33940DAA"/>
    <w:rsid w:val="3399686E"/>
    <w:rsid w:val="339A6815"/>
    <w:rsid w:val="33A764A6"/>
    <w:rsid w:val="33B22C96"/>
    <w:rsid w:val="33BC72B7"/>
    <w:rsid w:val="33D5378C"/>
    <w:rsid w:val="33D62E34"/>
    <w:rsid w:val="33E732A6"/>
    <w:rsid w:val="34081C7A"/>
    <w:rsid w:val="340A0783"/>
    <w:rsid w:val="34103ED2"/>
    <w:rsid w:val="3422544F"/>
    <w:rsid w:val="342876AB"/>
    <w:rsid w:val="34303209"/>
    <w:rsid w:val="343A4D6E"/>
    <w:rsid w:val="34512184"/>
    <w:rsid w:val="34621846"/>
    <w:rsid w:val="34641FD3"/>
    <w:rsid w:val="348953EB"/>
    <w:rsid w:val="34966D17"/>
    <w:rsid w:val="34C40978"/>
    <w:rsid w:val="34CC7122"/>
    <w:rsid w:val="34E24ED4"/>
    <w:rsid w:val="34EE3225"/>
    <w:rsid w:val="34F00132"/>
    <w:rsid w:val="34F87471"/>
    <w:rsid w:val="34FF7986"/>
    <w:rsid w:val="350034C2"/>
    <w:rsid w:val="35114C39"/>
    <w:rsid w:val="352207CD"/>
    <w:rsid w:val="352434FF"/>
    <w:rsid w:val="353D1152"/>
    <w:rsid w:val="354632DC"/>
    <w:rsid w:val="35474F9A"/>
    <w:rsid w:val="35536ABC"/>
    <w:rsid w:val="35747AC1"/>
    <w:rsid w:val="35B77E4B"/>
    <w:rsid w:val="35BE377F"/>
    <w:rsid w:val="35CE5853"/>
    <w:rsid w:val="35DD0948"/>
    <w:rsid w:val="35F31F0C"/>
    <w:rsid w:val="35F52DE5"/>
    <w:rsid w:val="35FF51B6"/>
    <w:rsid w:val="361B2EDF"/>
    <w:rsid w:val="36344A13"/>
    <w:rsid w:val="36374023"/>
    <w:rsid w:val="363E322F"/>
    <w:rsid w:val="3646785A"/>
    <w:rsid w:val="36654692"/>
    <w:rsid w:val="367D3306"/>
    <w:rsid w:val="36832151"/>
    <w:rsid w:val="3684218C"/>
    <w:rsid w:val="36857DF2"/>
    <w:rsid w:val="368E130B"/>
    <w:rsid w:val="36914775"/>
    <w:rsid w:val="3691496A"/>
    <w:rsid w:val="36950F5B"/>
    <w:rsid w:val="369D3B9D"/>
    <w:rsid w:val="369F0656"/>
    <w:rsid w:val="36B667BF"/>
    <w:rsid w:val="36BF3C07"/>
    <w:rsid w:val="36CB0519"/>
    <w:rsid w:val="36CB118D"/>
    <w:rsid w:val="36D718AE"/>
    <w:rsid w:val="36E37484"/>
    <w:rsid w:val="36EF4567"/>
    <w:rsid w:val="37144F80"/>
    <w:rsid w:val="371B3AEA"/>
    <w:rsid w:val="37381826"/>
    <w:rsid w:val="373E5A60"/>
    <w:rsid w:val="37432CF5"/>
    <w:rsid w:val="37440580"/>
    <w:rsid w:val="37456064"/>
    <w:rsid w:val="375901E0"/>
    <w:rsid w:val="375E3EA0"/>
    <w:rsid w:val="37604E68"/>
    <w:rsid w:val="37623CBA"/>
    <w:rsid w:val="376557EC"/>
    <w:rsid w:val="376E6B1A"/>
    <w:rsid w:val="377C61DA"/>
    <w:rsid w:val="377D09E1"/>
    <w:rsid w:val="37803142"/>
    <w:rsid w:val="37832FE7"/>
    <w:rsid w:val="378412F3"/>
    <w:rsid w:val="37870141"/>
    <w:rsid w:val="378A1825"/>
    <w:rsid w:val="379425DE"/>
    <w:rsid w:val="37A24019"/>
    <w:rsid w:val="37A851C8"/>
    <w:rsid w:val="37A9003C"/>
    <w:rsid w:val="37B46FC0"/>
    <w:rsid w:val="37C1344D"/>
    <w:rsid w:val="37D309F1"/>
    <w:rsid w:val="37D33BAC"/>
    <w:rsid w:val="37E23E96"/>
    <w:rsid w:val="37EF4C44"/>
    <w:rsid w:val="37F0180F"/>
    <w:rsid w:val="37F60B61"/>
    <w:rsid w:val="380134EA"/>
    <w:rsid w:val="38016A94"/>
    <w:rsid w:val="38075B70"/>
    <w:rsid w:val="380A3C20"/>
    <w:rsid w:val="381F3005"/>
    <w:rsid w:val="38227218"/>
    <w:rsid w:val="38352ED1"/>
    <w:rsid w:val="3838056E"/>
    <w:rsid w:val="3838690F"/>
    <w:rsid w:val="383A223B"/>
    <w:rsid w:val="38507D0B"/>
    <w:rsid w:val="385F3394"/>
    <w:rsid w:val="3860039D"/>
    <w:rsid w:val="3861037A"/>
    <w:rsid w:val="386C056B"/>
    <w:rsid w:val="38865F9F"/>
    <w:rsid w:val="388C36FB"/>
    <w:rsid w:val="389D1A4C"/>
    <w:rsid w:val="38A1734A"/>
    <w:rsid w:val="38B247E4"/>
    <w:rsid w:val="38BD06FF"/>
    <w:rsid w:val="38DA0686"/>
    <w:rsid w:val="38E04980"/>
    <w:rsid w:val="38F90665"/>
    <w:rsid w:val="39033759"/>
    <w:rsid w:val="39115BB5"/>
    <w:rsid w:val="39192B25"/>
    <w:rsid w:val="391A2AB5"/>
    <w:rsid w:val="391A7B5A"/>
    <w:rsid w:val="394764D6"/>
    <w:rsid w:val="39751A39"/>
    <w:rsid w:val="39772BFE"/>
    <w:rsid w:val="39787BA5"/>
    <w:rsid w:val="398D6F59"/>
    <w:rsid w:val="39A213E7"/>
    <w:rsid w:val="39A5622D"/>
    <w:rsid w:val="39AE0B4E"/>
    <w:rsid w:val="39B72D5C"/>
    <w:rsid w:val="39BA2A00"/>
    <w:rsid w:val="39CD537F"/>
    <w:rsid w:val="39DF3829"/>
    <w:rsid w:val="39E26049"/>
    <w:rsid w:val="39EF71E5"/>
    <w:rsid w:val="39F07CBA"/>
    <w:rsid w:val="3A0A3680"/>
    <w:rsid w:val="3A1039F1"/>
    <w:rsid w:val="3A193F22"/>
    <w:rsid w:val="3A205CA4"/>
    <w:rsid w:val="3A25480C"/>
    <w:rsid w:val="3A34705F"/>
    <w:rsid w:val="3A3F169A"/>
    <w:rsid w:val="3A4356CA"/>
    <w:rsid w:val="3A442FC4"/>
    <w:rsid w:val="3A4818A4"/>
    <w:rsid w:val="3A5108E8"/>
    <w:rsid w:val="3A547FC6"/>
    <w:rsid w:val="3A59192B"/>
    <w:rsid w:val="3A8C138C"/>
    <w:rsid w:val="3A9D7BC6"/>
    <w:rsid w:val="3ACD1DA9"/>
    <w:rsid w:val="3ACE5FF1"/>
    <w:rsid w:val="3AD82C28"/>
    <w:rsid w:val="3AED001E"/>
    <w:rsid w:val="3B027CA5"/>
    <w:rsid w:val="3B044817"/>
    <w:rsid w:val="3B0C16BC"/>
    <w:rsid w:val="3B132235"/>
    <w:rsid w:val="3B304812"/>
    <w:rsid w:val="3B4D5941"/>
    <w:rsid w:val="3B5155A9"/>
    <w:rsid w:val="3B8128D4"/>
    <w:rsid w:val="3B815B43"/>
    <w:rsid w:val="3B847728"/>
    <w:rsid w:val="3B8839E4"/>
    <w:rsid w:val="3BA06EE2"/>
    <w:rsid w:val="3BA539AE"/>
    <w:rsid w:val="3BAA1FFC"/>
    <w:rsid w:val="3BAA3175"/>
    <w:rsid w:val="3BAD35A4"/>
    <w:rsid w:val="3BC211E2"/>
    <w:rsid w:val="3BD36CD0"/>
    <w:rsid w:val="3BEE7243"/>
    <w:rsid w:val="3BF65A18"/>
    <w:rsid w:val="3C106524"/>
    <w:rsid w:val="3C120E2B"/>
    <w:rsid w:val="3C122D1E"/>
    <w:rsid w:val="3C187054"/>
    <w:rsid w:val="3C1F4862"/>
    <w:rsid w:val="3C3154F5"/>
    <w:rsid w:val="3C3B61ED"/>
    <w:rsid w:val="3C4A137C"/>
    <w:rsid w:val="3C4F62B4"/>
    <w:rsid w:val="3C600975"/>
    <w:rsid w:val="3C7500AF"/>
    <w:rsid w:val="3C797AF3"/>
    <w:rsid w:val="3C7B17EA"/>
    <w:rsid w:val="3C801FE9"/>
    <w:rsid w:val="3C862CE9"/>
    <w:rsid w:val="3C874ED1"/>
    <w:rsid w:val="3C940DD1"/>
    <w:rsid w:val="3C9C0D0C"/>
    <w:rsid w:val="3CAF7D73"/>
    <w:rsid w:val="3CC830CE"/>
    <w:rsid w:val="3CD03CE6"/>
    <w:rsid w:val="3CDC7305"/>
    <w:rsid w:val="3CDD654C"/>
    <w:rsid w:val="3CEF6007"/>
    <w:rsid w:val="3CFA013B"/>
    <w:rsid w:val="3CFA6A40"/>
    <w:rsid w:val="3D0F5271"/>
    <w:rsid w:val="3D1045CE"/>
    <w:rsid w:val="3D131C11"/>
    <w:rsid w:val="3D184748"/>
    <w:rsid w:val="3D3E1E24"/>
    <w:rsid w:val="3D49671A"/>
    <w:rsid w:val="3D4B12FF"/>
    <w:rsid w:val="3D513E86"/>
    <w:rsid w:val="3D5C3D28"/>
    <w:rsid w:val="3D672041"/>
    <w:rsid w:val="3D69336C"/>
    <w:rsid w:val="3D6D5298"/>
    <w:rsid w:val="3D8F157A"/>
    <w:rsid w:val="3DA212CB"/>
    <w:rsid w:val="3DA94D72"/>
    <w:rsid w:val="3DC915E2"/>
    <w:rsid w:val="3DCD7D82"/>
    <w:rsid w:val="3DD66EC1"/>
    <w:rsid w:val="3DD82B91"/>
    <w:rsid w:val="3DE552EB"/>
    <w:rsid w:val="3DE57608"/>
    <w:rsid w:val="3DE90E74"/>
    <w:rsid w:val="3E034B91"/>
    <w:rsid w:val="3E0C1899"/>
    <w:rsid w:val="3E1D00DA"/>
    <w:rsid w:val="3E360810"/>
    <w:rsid w:val="3E43514A"/>
    <w:rsid w:val="3E475B03"/>
    <w:rsid w:val="3E520FFB"/>
    <w:rsid w:val="3E524C8D"/>
    <w:rsid w:val="3E676AF4"/>
    <w:rsid w:val="3E6A3464"/>
    <w:rsid w:val="3E6C4C38"/>
    <w:rsid w:val="3E8876A9"/>
    <w:rsid w:val="3E9A7C36"/>
    <w:rsid w:val="3EB251E1"/>
    <w:rsid w:val="3EB374F3"/>
    <w:rsid w:val="3EB47B21"/>
    <w:rsid w:val="3EBD646C"/>
    <w:rsid w:val="3EC033AD"/>
    <w:rsid w:val="3ED43691"/>
    <w:rsid w:val="3EF0795B"/>
    <w:rsid w:val="3EF367B4"/>
    <w:rsid w:val="3F0038A2"/>
    <w:rsid w:val="3F052EC1"/>
    <w:rsid w:val="3F0F7E15"/>
    <w:rsid w:val="3F12565B"/>
    <w:rsid w:val="3F1349A2"/>
    <w:rsid w:val="3F227D84"/>
    <w:rsid w:val="3F246F20"/>
    <w:rsid w:val="3F255785"/>
    <w:rsid w:val="3F3B508A"/>
    <w:rsid w:val="3F6108CD"/>
    <w:rsid w:val="3F614D87"/>
    <w:rsid w:val="3F696545"/>
    <w:rsid w:val="3F737AFF"/>
    <w:rsid w:val="3F8B2A44"/>
    <w:rsid w:val="3F9666BA"/>
    <w:rsid w:val="3F981BF4"/>
    <w:rsid w:val="3FA24D81"/>
    <w:rsid w:val="3FA36B07"/>
    <w:rsid w:val="3FA6532D"/>
    <w:rsid w:val="3FA7111C"/>
    <w:rsid w:val="3FA956B6"/>
    <w:rsid w:val="3FC64AD2"/>
    <w:rsid w:val="3FC97372"/>
    <w:rsid w:val="3FD51A89"/>
    <w:rsid w:val="3FDB7C7B"/>
    <w:rsid w:val="3FE6385B"/>
    <w:rsid w:val="3FF044FA"/>
    <w:rsid w:val="4024246B"/>
    <w:rsid w:val="40292467"/>
    <w:rsid w:val="4073629E"/>
    <w:rsid w:val="407E431D"/>
    <w:rsid w:val="408015DF"/>
    <w:rsid w:val="40833636"/>
    <w:rsid w:val="408C21A3"/>
    <w:rsid w:val="409D1B4C"/>
    <w:rsid w:val="40B66BE2"/>
    <w:rsid w:val="40C03E2E"/>
    <w:rsid w:val="40C07A91"/>
    <w:rsid w:val="40CC1B34"/>
    <w:rsid w:val="40EF5CFD"/>
    <w:rsid w:val="40F071D8"/>
    <w:rsid w:val="410143E1"/>
    <w:rsid w:val="41041F04"/>
    <w:rsid w:val="41045F07"/>
    <w:rsid w:val="4106459E"/>
    <w:rsid w:val="410C45D5"/>
    <w:rsid w:val="41107AAC"/>
    <w:rsid w:val="411C7A18"/>
    <w:rsid w:val="411D5696"/>
    <w:rsid w:val="412C4C99"/>
    <w:rsid w:val="413C0B99"/>
    <w:rsid w:val="4141580D"/>
    <w:rsid w:val="41433C48"/>
    <w:rsid w:val="415F0818"/>
    <w:rsid w:val="416D2471"/>
    <w:rsid w:val="417C790A"/>
    <w:rsid w:val="41A25322"/>
    <w:rsid w:val="41AA0F0C"/>
    <w:rsid w:val="41B96BE3"/>
    <w:rsid w:val="41BC7637"/>
    <w:rsid w:val="41BD0129"/>
    <w:rsid w:val="41E15D6F"/>
    <w:rsid w:val="41F13390"/>
    <w:rsid w:val="41F67FF3"/>
    <w:rsid w:val="42277FF1"/>
    <w:rsid w:val="423954B4"/>
    <w:rsid w:val="424663F2"/>
    <w:rsid w:val="425608D6"/>
    <w:rsid w:val="42591AE9"/>
    <w:rsid w:val="425D5724"/>
    <w:rsid w:val="425E2DCE"/>
    <w:rsid w:val="42604FAD"/>
    <w:rsid w:val="4268256A"/>
    <w:rsid w:val="42853741"/>
    <w:rsid w:val="42982C9D"/>
    <w:rsid w:val="42A45AE6"/>
    <w:rsid w:val="42B07FBF"/>
    <w:rsid w:val="42D21FD1"/>
    <w:rsid w:val="42D4430F"/>
    <w:rsid w:val="42FC322C"/>
    <w:rsid w:val="4311272D"/>
    <w:rsid w:val="431C1918"/>
    <w:rsid w:val="4323065F"/>
    <w:rsid w:val="432B7E32"/>
    <w:rsid w:val="432C6EEA"/>
    <w:rsid w:val="432E090D"/>
    <w:rsid w:val="43554343"/>
    <w:rsid w:val="435A43E0"/>
    <w:rsid w:val="4364594E"/>
    <w:rsid w:val="436547FA"/>
    <w:rsid w:val="436C19CD"/>
    <w:rsid w:val="43701198"/>
    <w:rsid w:val="437422AF"/>
    <w:rsid w:val="43742DC5"/>
    <w:rsid w:val="437B2D96"/>
    <w:rsid w:val="4380059F"/>
    <w:rsid w:val="43823DE1"/>
    <w:rsid w:val="43AA2776"/>
    <w:rsid w:val="43DE3ACF"/>
    <w:rsid w:val="43ED0DC6"/>
    <w:rsid w:val="43EF7F77"/>
    <w:rsid w:val="4419187F"/>
    <w:rsid w:val="44241593"/>
    <w:rsid w:val="4437003B"/>
    <w:rsid w:val="44376BFC"/>
    <w:rsid w:val="44386F8F"/>
    <w:rsid w:val="443F215E"/>
    <w:rsid w:val="44530349"/>
    <w:rsid w:val="4480696D"/>
    <w:rsid w:val="44A41847"/>
    <w:rsid w:val="44B024B9"/>
    <w:rsid w:val="44C41AAC"/>
    <w:rsid w:val="44D44D05"/>
    <w:rsid w:val="44F3065E"/>
    <w:rsid w:val="44FD2AE6"/>
    <w:rsid w:val="44FE1A28"/>
    <w:rsid w:val="4501349E"/>
    <w:rsid w:val="4503512F"/>
    <w:rsid w:val="452179CD"/>
    <w:rsid w:val="45273940"/>
    <w:rsid w:val="45282E8A"/>
    <w:rsid w:val="453255E7"/>
    <w:rsid w:val="4537640B"/>
    <w:rsid w:val="455709BD"/>
    <w:rsid w:val="455916BD"/>
    <w:rsid w:val="455D7B39"/>
    <w:rsid w:val="458470E0"/>
    <w:rsid w:val="45A90E82"/>
    <w:rsid w:val="45AB28E0"/>
    <w:rsid w:val="45AD12E1"/>
    <w:rsid w:val="45CB095B"/>
    <w:rsid w:val="45D340A4"/>
    <w:rsid w:val="45D718EF"/>
    <w:rsid w:val="45D8477C"/>
    <w:rsid w:val="45D96140"/>
    <w:rsid w:val="45DB7E69"/>
    <w:rsid w:val="45EF68F7"/>
    <w:rsid w:val="45F60C0D"/>
    <w:rsid w:val="45F72D18"/>
    <w:rsid w:val="45FD2EDB"/>
    <w:rsid w:val="460A2378"/>
    <w:rsid w:val="46115CF7"/>
    <w:rsid w:val="4636093C"/>
    <w:rsid w:val="4640003D"/>
    <w:rsid w:val="46472A10"/>
    <w:rsid w:val="464E7DBF"/>
    <w:rsid w:val="464F6BFC"/>
    <w:rsid w:val="4674757D"/>
    <w:rsid w:val="46897D8E"/>
    <w:rsid w:val="468C4838"/>
    <w:rsid w:val="4693774C"/>
    <w:rsid w:val="46997B6B"/>
    <w:rsid w:val="46A161A2"/>
    <w:rsid w:val="46A31364"/>
    <w:rsid w:val="46BA5BFB"/>
    <w:rsid w:val="46BB78DE"/>
    <w:rsid w:val="46CA1450"/>
    <w:rsid w:val="46D267A3"/>
    <w:rsid w:val="46DA56D2"/>
    <w:rsid w:val="47104813"/>
    <w:rsid w:val="471335D1"/>
    <w:rsid w:val="471E259E"/>
    <w:rsid w:val="4729778F"/>
    <w:rsid w:val="473110DC"/>
    <w:rsid w:val="473D5FB2"/>
    <w:rsid w:val="474776C4"/>
    <w:rsid w:val="474A3DF8"/>
    <w:rsid w:val="47532164"/>
    <w:rsid w:val="476016C9"/>
    <w:rsid w:val="47605F31"/>
    <w:rsid w:val="476759D9"/>
    <w:rsid w:val="477C1BFA"/>
    <w:rsid w:val="477E3F35"/>
    <w:rsid w:val="477F421B"/>
    <w:rsid w:val="47885E65"/>
    <w:rsid w:val="479F3E52"/>
    <w:rsid w:val="47B02F9D"/>
    <w:rsid w:val="47B205E1"/>
    <w:rsid w:val="47C32CB4"/>
    <w:rsid w:val="47C823C8"/>
    <w:rsid w:val="47D02AEA"/>
    <w:rsid w:val="47D46525"/>
    <w:rsid w:val="47DA17A0"/>
    <w:rsid w:val="47DC3AFC"/>
    <w:rsid w:val="47E92395"/>
    <w:rsid w:val="47F24C46"/>
    <w:rsid w:val="47F25130"/>
    <w:rsid w:val="47F25FE2"/>
    <w:rsid w:val="4824005B"/>
    <w:rsid w:val="482C324F"/>
    <w:rsid w:val="483E7EA5"/>
    <w:rsid w:val="48404C8A"/>
    <w:rsid w:val="484B2B7C"/>
    <w:rsid w:val="48522993"/>
    <w:rsid w:val="487023A7"/>
    <w:rsid w:val="48760693"/>
    <w:rsid w:val="4879128B"/>
    <w:rsid w:val="48884357"/>
    <w:rsid w:val="489D4A80"/>
    <w:rsid w:val="48B82140"/>
    <w:rsid w:val="48C8444F"/>
    <w:rsid w:val="48C86FDB"/>
    <w:rsid w:val="48DA58FE"/>
    <w:rsid w:val="48ED0B47"/>
    <w:rsid w:val="48F4330A"/>
    <w:rsid w:val="48F71047"/>
    <w:rsid w:val="491B40AB"/>
    <w:rsid w:val="491E28A0"/>
    <w:rsid w:val="49227F34"/>
    <w:rsid w:val="492C2B15"/>
    <w:rsid w:val="492D4DF1"/>
    <w:rsid w:val="49320189"/>
    <w:rsid w:val="49363C4C"/>
    <w:rsid w:val="494468DB"/>
    <w:rsid w:val="49486C39"/>
    <w:rsid w:val="494E5AF4"/>
    <w:rsid w:val="4952431A"/>
    <w:rsid w:val="49583DC3"/>
    <w:rsid w:val="495F3F28"/>
    <w:rsid w:val="496E6AB0"/>
    <w:rsid w:val="497A72F2"/>
    <w:rsid w:val="497B4A59"/>
    <w:rsid w:val="497D6CB5"/>
    <w:rsid w:val="49871020"/>
    <w:rsid w:val="499F3CC2"/>
    <w:rsid w:val="49B95283"/>
    <w:rsid w:val="49D05114"/>
    <w:rsid w:val="49D96075"/>
    <w:rsid w:val="49DD676E"/>
    <w:rsid w:val="49DE5070"/>
    <w:rsid w:val="49E3044C"/>
    <w:rsid w:val="49E306C4"/>
    <w:rsid w:val="49EA5A52"/>
    <w:rsid w:val="49F11987"/>
    <w:rsid w:val="49FD3DA4"/>
    <w:rsid w:val="49FD689B"/>
    <w:rsid w:val="4A0C3EEF"/>
    <w:rsid w:val="4A0C77D5"/>
    <w:rsid w:val="4A0F4D24"/>
    <w:rsid w:val="4A107B70"/>
    <w:rsid w:val="4A1109C2"/>
    <w:rsid w:val="4A317A07"/>
    <w:rsid w:val="4A376C0B"/>
    <w:rsid w:val="4A53054D"/>
    <w:rsid w:val="4A5B400C"/>
    <w:rsid w:val="4A5C4911"/>
    <w:rsid w:val="4A6655DE"/>
    <w:rsid w:val="4A685442"/>
    <w:rsid w:val="4A707340"/>
    <w:rsid w:val="4A8C7766"/>
    <w:rsid w:val="4A9A10DE"/>
    <w:rsid w:val="4A9A6616"/>
    <w:rsid w:val="4A9D0CF7"/>
    <w:rsid w:val="4AA276CC"/>
    <w:rsid w:val="4AAC3789"/>
    <w:rsid w:val="4AB32D6A"/>
    <w:rsid w:val="4AB366A6"/>
    <w:rsid w:val="4ACD2BCD"/>
    <w:rsid w:val="4AD506B0"/>
    <w:rsid w:val="4AE10A28"/>
    <w:rsid w:val="4AE514D5"/>
    <w:rsid w:val="4AF56EDE"/>
    <w:rsid w:val="4AF75704"/>
    <w:rsid w:val="4AFB7130"/>
    <w:rsid w:val="4B1F607D"/>
    <w:rsid w:val="4B227759"/>
    <w:rsid w:val="4B2300F9"/>
    <w:rsid w:val="4B32364D"/>
    <w:rsid w:val="4B3978B9"/>
    <w:rsid w:val="4B433FFC"/>
    <w:rsid w:val="4B4C7CE0"/>
    <w:rsid w:val="4B603AEF"/>
    <w:rsid w:val="4B6709B3"/>
    <w:rsid w:val="4B676EF5"/>
    <w:rsid w:val="4B695D60"/>
    <w:rsid w:val="4B774789"/>
    <w:rsid w:val="4B92269A"/>
    <w:rsid w:val="4BB21EC3"/>
    <w:rsid w:val="4BB40E37"/>
    <w:rsid w:val="4BC67541"/>
    <w:rsid w:val="4BC94807"/>
    <w:rsid w:val="4BCE2452"/>
    <w:rsid w:val="4BD81F99"/>
    <w:rsid w:val="4BD95327"/>
    <w:rsid w:val="4BDB63B4"/>
    <w:rsid w:val="4BE00653"/>
    <w:rsid w:val="4BE1505C"/>
    <w:rsid w:val="4BFA6D6B"/>
    <w:rsid w:val="4C133305"/>
    <w:rsid w:val="4C143297"/>
    <w:rsid w:val="4C231CE0"/>
    <w:rsid w:val="4C4A4231"/>
    <w:rsid w:val="4C691027"/>
    <w:rsid w:val="4C780B54"/>
    <w:rsid w:val="4C7C272B"/>
    <w:rsid w:val="4C8865DB"/>
    <w:rsid w:val="4C8C459D"/>
    <w:rsid w:val="4C986615"/>
    <w:rsid w:val="4CA912C4"/>
    <w:rsid w:val="4CED3278"/>
    <w:rsid w:val="4CEE1EBB"/>
    <w:rsid w:val="4CFD6F45"/>
    <w:rsid w:val="4D11496B"/>
    <w:rsid w:val="4D202615"/>
    <w:rsid w:val="4D207466"/>
    <w:rsid w:val="4D21045F"/>
    <w:rsid w:val="4D2E14E8"/>
    <w:rsid w:val="4D323F2E"/>
    <w:rsid w:val="4D3A507C"/>
    <w:rsid w:val="4D3C2D0F"/>
    <w:rsid w:val="4D474CBA"/>
    <w:rsid w:val="4D4E1D01"/>
    <w:rsid w:val="4D532C45"/>
    <w:rsid w:val="4D5337B3"/>
    <w:rsid w:val="4D7A1193"/>
    <w:rsid w:val="4D8415F5"/>
    <w:rsid w:val="4D8644E7"/>
    <w:rsid w:val="4D953EA9"/>
    <w:rsid w:val="4DB93F49"/>
    <w:rsid w:val="4DD56CDD"/>
    <w:rsid w:val="4DDD0E3C"/>
    <w:rsid w:val="4DE62553"/>
    <w:rsid w:val="4E137967"/>
    <w:rsid w:val="4E137A06"/>
    <w:rsid w:val="4E1A3BBD"/>
    <w:rsid w:val="4E1F5083"/>
    <w:rsid w:val="4E3E36FA"/>
    <w:rsid w:val="4E594503"/>
    <w:rsid w:val="4E5F3C0E"/>
    <w:rsid w:val="4E6B5F56"/>
    <w:rsid w:val="4E7D4F73"/>
    <w:rsid w:val="4E8401CC"/>
    <w:rsid w:val="4E9702AC"/>
    <w:rsid w:val="4E9A318D"/>
    <w:rsid w:val="4EAC63C2"/>
    <w:rsid w:val="4EB81BDD"/>
    <w:rsid w:val="4EBA6D0C"/>
    <w:rsid w:val="4EBB1E2C"/>
    <w:rsid w:val="4EBB4F24"/>
    <w:rsid w:val="4EBE0CD4"/>
    <w:rsid w:val="4EDC5567"/>
    <w:rsid w:val="4EDD4E87"/>
    <w:rsid w:val="4F0E4A13"/>
    <w:rsid w:val="4F104B17"/>
    <w:rsid w:val="4F1A1F77"/>
    <w:rsid w:val="4F2C19CA"/>
    <w:rsid w:val="4F2F0816"/>
    <w:rsid w:val="4F454A30"/>
    <w:rsid w:val="4F4C4795"/>
    <w:rsid w:val="4F707ECE"/>
    <w:rsid w:val="4F7649C6"/>
    <w:rsid w:val="4F780B20"/>
    <w:rsid w:val="4F7A725D"/>
    <w:rsid w:val="4F8C6B1C"/>
    <w:rsid w:val="4F9732E3"/>
    <w:rsid w:val="4FBB7E0E"/>
    <w:rsid w:val="4FBE0C2C"/>
    <w:rsid w:val="4FE7195D"/>
    <w:rsid w:val="4FE8753F"/>
    <w:rsid w:val="4FEC4CEB"/>
    <w:rsid w:val="4FF777CE"/>
    <w:rsid w:val="4FFB4594"/>
    <w:rsid w:val="50020B57"/>
    <w:rsid w:val="50275637"/>
    <w:rsid w:val="502D4654"/>
    <w:rsid w:val="50377F99"/>
    <w:rsid w:val="50424BA4"/>
    <w:rsid w:val="50453083"/>
    <w:rsid w:val="50471C77"/>
    <w:rsid w:val="504A4535"/>
    <w:rsid w:val="507765E7"/>
    <w:rsid w:val="50797A37"/>
    <w:rsid w:val="508934B4"/>
    <w:rsid w:val="50974594"/>
    <w:rsid w:val="509A2CBA"/>
    <w:rsid w:val="509E2A81"/>
    <w:rsid w:val="50D41A71"/>
    <w:rsid w:val="50DD56F5"/>
    <w:rsid w:val="50E630E6"/>
    <w:rsid w:val="50EA0B67"/>
    <w:rsid w:val="50EE50AA"/>
    <w:rsid w:val="50F63F3C"/>
    <w:rsid w:val="50FE5BDB"/>
    <w:rsid w:val="51176CD2"/>
    <w:rsid w:val="51192FBC"/>
    <w:rsid w:val="512A5408"/>
    <w:rsid w:val="514647C4"/>
    <w:rsid w:val="51482EBC"/>
    <w:rsid w:val="51552BCA"/>
    <w:rsid w:val="515F6310"/>
    <w:rsid w:val="51691EE8"/>
    <w:rsid w:val="516C1B00"/>
    <w:rsid w:val="51742A7C"/>
    <w:rsid w:val="51833371"/>
    <w:rsid w:val="51A6580B"/>
    <w:rsid w:val="51AD0FF6"/>
    <w:rsid w:val="51B70B10"/>
    <w:rsid w:val="51CA6B6D"/>
    <w:rsid w:val="51D82A76"/>
    <w:rsid w:val="51E05DF7"/>
    <w:rsid w:val="51EF575C"/>
    <w:rsid w:val="51F021D8"/>
    <w:rsid w:val="51F37F7D"/>
    <w:rsid w:val="5211175A"/>
    <w:rsid w:val="52235F2E"/>
    <w:rsid w:val="522620B1"/>
    <w:rsid w:val="522A7287"/>
    <w:rsid w:val="522C14F8"/>
    <w:rsid w:val="523D347E"/>
    <w:rsid w:val="52496079"/>
    <w:rsid w:val="524C447E"/>
    <w:rsid w:val="52703ECF"/>
    <w:rsid w:val="52773B0F"/>
    <w:rsid w:val="527860C5"/>
    <w:rsid w:val="528148AE"/>
    <w:rsid w:val="52916568"/>
    <w:rsid w:val="529E1C09"/>
    <w:rsid w:val="52B60086"/>
    <w:rsid w:val="52BB4D40"/>
    <w:rsid w:val="52CD7B4F"/>
    <w:rsid w:val="52CF6607"/>
    <w:rsid w:val="52D10231"/>
    <w:rsid w:val="52E54407"/>
    <w:rsid w:val="533818EF"/>
    <w:rsid w:val="533A1041"/>
    <w:rsid w:val="53480EBC"/>
    <w:rsid w:val="53507A5A"/>
    <w:rsid w:val="53552F76"/>
    <w:rsid w:val="535D1AC5"/>
    <w:rsid w:val="5360066A"/>
    <w:rsid w:val="537231EE"/>
    <w:rsid w:val="538404AA"/>
    <w:rsid w:val="53A235B0"/>
    <w:rsid w:val="53A54D55"/>
    <w:rsid w:val="53A613E3"/>
    <w:rsid w:val="53A81D25"/>
    <w:rsid w:val="53AD2E61"/>
    <w:rsid w:val="53B0514F"/>
    <w:rsid w:val="53D6547D"/>
    <w:rsid w:val="53E3341B"/>
    <w:rsid w:val="53E77615"/>
    <w:rsid w:val="53F87760"/>
    <w:rsid w:val="53FB6A6C"/>
    <w:rsid w:val="540B0DA8"/>
    <w:rsid w:val="540C4D41"/>
    <w:rsid w:val="5417505A"/>
    <w:rsid w:val="5418797C"/>
    <w:rsid w:val="54352F71"/>
    <w:rsid w:val="543F16F8"/>
    <w:rsid w:val="54422235"/>
    <w:rsid w:val="544362C4"/>
    <w:rsid w:val="54443661"/>
    <w:rsid w:val="5455279C"/>
    <w:rsid w:val="54710D30"/>
    <w:rsid w:val="5476381C"/>
    <w:rsid w:val="54804FF1"/>
    <w:rsid w:val="54860FFD"/>
    <w:rsid w:val="54896FBA"/>
    <w:rsid w:val="548D323E"/>
    <w:rsid w:val="54A14E6F"/>
    <w:rsid w:val="54B40981"/>
    <w:rsid w:val="54CE7219"/>
    <w:rsid w:val="54DC32F5"/>
    <w:rsid w:val="54F458C7"/>
    <w:rsid w:val="550D0146"/>
    <w:rsid w:val="552164B9"/>
    <w:rsid w:val="55295E52"/>
    <w:rsid w:val="552A3C28"/>
    <w:rsid w:val="553327FD"/>
    <w:rsid w:val="55365CBA"/>
    <w:rsid w:val="553C2D5D"/>
    <w:rsid w:val="555542B9"/>
    <w:rsid w:val="5578540C"/>
    <w:rsid w:val="558D2F8A"/>
    <w:rsid w:val="55A5435D"/>
    <w:rsid w:val="55BB4F44"/>
    <w:rsid w:val="55C649A1"/>
    <w:rsid w:val="55CD2AD1"/>
    <w:rsid w:val="55D310BC"/>
    <w:rsid w:val="55E26967"/>
    <w:rsid w:val="55E57759"/>
    <w:rsid w:val="55F126EF"/>
    <w:rsid w:val="561A4E5F"/>
    <w:rsid w:val="56225975"/>
    <w:rsid w:val="562C6DCC"/>
    <w:rsid w:val="562D1854"/>
    <w:rsid w:val="562D6C01"/>
    <w:rsid w:val="56463E1B"/>
    <w:rsid w:val="564672A2"/>
    <w:rsid w:val="56513437"/>
    <w:rsid w:val="56535D36"/>
    <w:rsid w:val="56542DF4"/>
    <w:rsid w:val="566E6955"/>
    <w:rsid w:val="567B7D71"/>
    <w:rsid w:val="56850BD8"/>
    <w:rsid w:val="56A86162"/>
    <w:rsid w:val="56AB3A07"/>
    <w:rsid w:val="56B67AAC"/>
    <w:rsid w:val="56B9271B"/>
    <w:rsid w:val="56DF5E39"/>
    <w:rsid w:val="56E30533"/>
    <w:rsid w:val="5704341D"/>
    <w:rsid w:val="57292DA4"/>
    <w:rsid w:val="572D7AB5"/>
    <w:rsid w:val="57382FCD"/>
    <w:rsid w:val="574134AB"/>
    <w:rsid w:val="57415E59"/>
    <w:rsid w:val="5756623A"/>
    <w:rsid w:val="57575EC4"/>
    <w:rsid w:val="57587ADA"/>
    <w:rsid w:val="576069FC"/>
    <w:rsid w:val="576553EC"/>
    <w:rsid w:val="57692BC2"/>
    <w:rsid w:val="57700813"/>
    <w:rsid w:val="57700938"/>
    <w:rsid w:val="577426C5"/>
    <w:rsid w:val="57744FCF"/>
    <w:rsid w:val="57751211"/>
    <w:rsid w:val="578E11FE"/>
    <w:rsid w:val="578F2813"/>
    <w:rsid w:val="57960179"/>
    <w:rsid w:val="579853FF"/>
    <w:rsid w:val="579C4636"/>
    <w:rsid w:val="579D7D23"/>
    <w:rsid w:val="57AA3350"/>
    <w:rsid w:val="57B23579"/>
    <w:rsid w:val="57D47188"/>
    <w:rsid w:val="57E27A16"/>
    <w:rsid w:val="57E30688"/>
    <w:rsid w:val="57ED4063"/>
    <w:rsid w:val="58117E59"/>
    <w:rsid w:val="581D7E8D"/>
    <w:rsid w:val="58302A2D"/>
    <w:rsid w:val="58313520"/>
    <w:rsid w:val="58355A1A"/>
    <w:rsid w:val="584B51AF"/>
    <w:rsid w:val="584C1E00"/>
    <w:rsid w:val="584E39BA"/>
    <w:rsid w:val="585C73D1"/>
    <w:rsid w:val="58A43CF2"/>
    <w:rsid w:val="58B42B52"/>
    <w:rsid w:val="58C86066"/>
    <w:rsid w:val="58CF4FA5"/>
    <w:rsid w:val="58F419B4"/>
    <w:rsid w:val="59002A1B"/>
    <w:rsid w:val="591A794F"/>
    <w:rsid w:val="592076F9"/>
    <w:rsid w:val="592117E6"/>
    <w:rsid w:val="5921200E"/>
    <w:rsid w:val="59214282"/>
    <w:rsid w:val="5925478E"/>
    <w:rsid w:val="59402CF7"/>
    <w:rsid w:val="594557BD"/>
    <w:rsid w:val="59485F23"/>
    <w:rsid w:val="594A43BB"/>
    <w:rsid w:val="596C2FAF"/>
    <w:rsid w:val="5970791E"/>
    <w:rsid w:val="5971468D"/>
    <w:rsid w:val="5976568E"/>
    <w:rsid w:val="59861898"/>
    <w:rsid w:val="59970011"/>
    <w:rsid w:val="59B937CD"/>
    <w:rsid w:val="59CC52AE"/>
    <w:rsid w:val="59DA7F65"/>
    <w:rsid w:val="59F037E5"/>
    <w:rsid w:val="5A275AF4"/>
    <w:rsid w:val="5A2F098D"/>
    <w:rsid w:val="5A350FBA"/>
    <w:rsid w:val="5A353E66"/>
    <w:rsid w:val="5A417C33"/>
    <w:rsid w:val="5A4A6CAA"/>
    <w:rsid w:val="5A50656F"/>
    <w:rsid w:val="5A6E53CE"/>
    <w:rsid w:val="5A74048D"/>
    <w:rsid w:val="5A8351B5"/>
    <w:rsid w:val="5A843329"/>
    <w:rsid w:val="5A8823EB"/>
    <w:rsid w:val="5A9E20A4"/>
    <w:rsid w:val="5AA31872"/>
    <w:rsid w:val="5AAB010C"/>
    <w:rsid w:val="5AB04BD0"/>
    <w:rsid w:val="5AC405C3"/>
    <w:rsid w:val="5AC67FF3"/>
    <w:rsid w:val="5ACB47AD"/>
    <w:rsid w:val="5ACE5A33"/>
    <w:rsid w:val="5B143B83"/>
    <w:rsid w:val="5B230F45"/>
    <w:rsid w:val="5B294E57"/>
    <w:rsid w:val="5B3313A3"/>
    <w:rsid w:val="5B3716FA"/>
    <w:rsid w:val="5B3823B7"/>
    <w:rsid w:val="5B3955A3"/>
    <w:rsid w:val="5B4661F0"/>
    <w:rsid w:val="5B486978"/>
    <w:rsid w:val="5B497374"/>
    <w:rsid w:val="5B5F03A4"/>
    <w:rsid w:val="5B5F6406"/>
    <w:rsid w:val="5B666426"/>
    <w:rsid w:val="5B720D75"/>
    <w:rsid w:val="5B754B64"/>
    <w:rsid w:val="5B8322E4"/>
    <w:rsid w:val="5B8A7B52"/>
    <w:rsid w:val="5B986F53"/>
    <w:rsid w:val="5BBB5E91"/>
    <w:rsid w:val="5BC20698"/>
    <w:rsid w:val="5BC75EC1"/>
    <w:rsid w:val="5BCF72D8"/>
    <w:rsid w:val="5BDB2E1C"/>
    <w:rsid w:val="5C3420F0"/>
    <w:rsid w:val="5C3426CD"/>
    <w:rsid w:val="5C462116"/>
    <w:rsid w:val="5CA0710F"/>
    <w:rsid w:val="5CB00EB7"/>
    <w:rsid w:val="5CB14E2D"/>
    <w:rsid w:val="5CD27100"/>
    <w:rsid w:val="5CE47403"/>
    <w:rsid w:val="5CFB2159"/>
    <w:rsid w:val="5CFE17AD"/>
    <w:rsid w:val="5D065E59"/>
    <w:rsid w:val="5D066354"/>
    <w:rsid w:val="5D15241D"/>
    <w:rsid w:val="5D212866"/>
    <w:rsid w:val="5D331AE8"/>
    <w:rsid w:val="5D3870E9"/>
    <w:rsid w:val="5D3C60B3"/>
    <w:rsid w:val="5D423AD9"/>
    <w:rsid w:val="5D571309"/>
    <w:rsid w:val="5D57436A"/>
    <w:rsid w:val="5D7040E7"/>
    <w:rsid w:val="5D770706"/>
    <w:rsid w:val="5D784E08"/>
    <w:rsid w:val="5D791089"/>
    <w:rsid w:val="5D7F04A6"/>
    <w:rsid w:val="5D89672C"/>
    <w:rsid w:val="5D8A2491"/>
    <w:rsid w:val="5D9E1FC6"/>
    <w:rsid w:val="5DAC1EF0"/>
    <w:rsid w:val="5DBD3D1B"/>
    <w:rsid w:val="5DD5792B"/>
    <w:rsid w:val="5DDC5CDC"/>
    <w:rsid w:val="5DDE7424"/>
    <w:rsid w:val="5DED732E"/>
    <w:rsid w:val="5DF11B7B"/>
    <w:rsid w:val="5E007C1C"/>
    <w:rsid w:val="5E04179E"/>
    <w:rsid w:val="5E0D29CF"/>
    <w:rsid w:val="5E0F7B42"/>
    <w:rsid w:val="5E205A9F"/>
    <w:rsid w:val="5E221E79"/>
    <w:rsid w:val="5E5A095D"/>
    <w:rsid w:val="5E5D5C6E"/>
    <w:rsid w:val="5E662172"/>
    <w:rsid w:val="5E7352D9"/>
    <w:rsid w:val="5E760CC6"/>
    <w:rsid w:val="5E765DF7"/>
    <w:rsid w:val="5E7C575D"/>
    <w:rsid w:val="5E7F546E"/>
    <w:rsid w:val="5E8455EC"/>
    <w:rsid w:val="5E99597B"/>
    <w:rsid w:val="5EAC5EC6"/>
    <w:rsid w:val="5EB13E13"/>
    <w:rsid w:val="5EC21360"/>
    <w:rsid w:val="5EC32EBA"/>
    <w:rsid w:val="5EFB3585"/>
    <w:rsid w:val="5EFC4888"/>
    <w:rsid w:val="5F027AD6"/>
    <w:rsid w:val="5F0C44C1"/>
    <w:rsid w:val="5F1277DF"/>
    <w:rsid w:val="5F3145ED"/>
    <w:rsid w:val="5F436FFC"/>
    <w:rsid w:val="5F4E53AC"/>
    <w:rsid w:val="5F67600A"/>
    <w:rsid w:val="5F7469AC"/>
    <w:rsid w:val="5F851BFD"/>
    <w:rsid w:val="5FAC31D0"/>
    <w:rsid w:val="5FAD14D8"/>
    <w:rsid w:val="5FC545A1"/>
    <w:rsid w:val="5FCA6734"/>
    <w:rsid w:val="5FCD3DCF"/>
    <w:rsid w:val="5FD163BD"/>
    <w:rsid w:val="5FDC33F4"/>
    <w:rsid w:val="5FF36036"/>
    <w:rsid w:val="5FF408FE"/>
    <w:rsid w:val="602E4F4A"/>
    <w:rsid w:val="60337058"/>
    <w:rsid w:val="60397008"/>
    <w:rsid w:val="603D0C9F"/>
    <w:rsid w:val="60501D16"/>
    <w:rsid w:val="60553791"/>
    <w:rsid w:val="6068545D"/>
    <w:rsid w:val="606D1AFD"/>
    <w:rsid w:val="607757D2"/>
    <w:rsid w:val="607D64E0"/>
    <w:rsid w:val="60827C72"/>
    <w:rsid w:val="609B59DA"/>
    <w:rsid w:val="60A111F4"/>
    <w:rsid w:val="60BB5B66"/>
    <w:rsid w:val="60C56332"/>
    <w:rsid w:val="60D951D1"/>
    <w:rsid w:val="60D97A2B"/>
    <w:rsid w:val="60DB2826"/>
    <w:rsid w:val="60F547CB"/>
    <w:rsid w:val="60FC3D67"/>
    <w:rsid w:val="610749A5"/>
    <w:rsid w:val="6115369D"/>
    <w:rsid w:val="613C3B46"/>
    <w:rsid w:val="61565FDE"/>
    <w:rsid w:val="616A57A1"/>
    <w:rsid w:val="618F5533"/>
    <w:rsid w:val="61AD249A"/>
    <w:rsid w:val="61B63144"/>
    <w:rsid w:val="61B75100"/>
    <w:rsid w:val="61BC2215"/>
    <w:rsid w:val="61C47D27"/>
    <w:rsid w:val="61C64B34"/>
    <w:rsid w:val="61CB5A65"/>
    <w:rsid w:val="61DE2022"/>
    <w:rsid w:val="61DF23E2"/>
    <w:rsid w:val="61E115B4"/>
    <w:rsid w:val="61E62B9F"/>
    <w:rsid w:val="61FF01EB"/>
    <w:rsid w:val="62034CA4"/>
    <w:rsid w:val="62182F9D"/>
    <w:rsid w:val="622710AF"/>
    <w:rsid w:val="622F535F"/>
    <w:rsid w:val="62410803"/>
    <w:rsid w:val="62436D76"/>
    <w:rsid w:val="62487433"/>
    <w:rsid w:val="624E30EC"/>
    <w:rsid w:val="6257590F"/>
    <w:rsid w:val="62685C9E"/>
    <w:rsid w:val="626D04E8"/>
    <w:rsid w:val="628D6C8A"/>
    <w:rsid w:val="62A74353"/>
    <w:rsid w:val="62B0002C"/>
    <w:rsid w:val="62B471C6"/>
    <w:rsid w:val="62B618A4"/>
    <w:rsid w:val="62B7213F"/>
    <w:rsid w:val="62CE3322"/>
    <w:rsid w:val="62D442BD"/>
    <w:rsid w:val="62DE42A4"/>
    <w:rsid w:val="62E76981"/>
    <w:rsid w:val="63026EEE"/>
    <w:rsid w:val="630F0DC3"/>
    <w:rsid w:val="630F26C0"/>
    <w:rsid w:val="631B3FD5"/>
    <w:rsid w:val="631F0B45"/>
    <w:rsid w:val="633865C9"/>
    <w:rsid w:val="63490425"/>
    <w:rsid w:val="6351496B"/>
    <w:rsid w:val="6355186C"/>
    <w:rsid w:val="636A7EBA"/>
    <w:rsid w:val="636D56F4"/>
    <w:rsid w:val="63831332"/>
    <w:rsid w:val="6398181F"/>
    <w:rsid w:val="639E22CE"/>
    <w:rsid w:val="63A47E58"/>
    <w:rsid w:val="63AB11A2"/>
    <w:rsid w:val="63AD0ED9"/>
    <w:rsid w:val="63B909BE"/>
    <w:rsid w:val="63D062E3"/>
    <w:rsid w:val="63DB6B44"/>
    <w:rsid w:val="63E37DC4"/>
    <w:rsid w:val="63FA4639"/>
    <w:rsid w:val="640225F8"/>
    <w:rsid w:val="64142ABF"/>
    <w:rsid w:val="641461DA"/>
    <w:rsid w:val="64234161"/>
    <w:rsid w:val="64242C20"/>
    <w:rsid w:val="642B52C7"/>
    <w:rsid w:val="64337342"/>
    <w:rsid w:val="643E14BD"/>
    <w:rsid w:val="64426791"/>
    <w:rsid w:val="644B5969"/>
    <w:rsid w:val="64544572"/>
    <w:rsid w:val="645A2BE0"/>
    <w:rsid w:val="648000BF"/>
    <w:rsid w:val="648762BD"/>
    <w:rsid w:val="64977C57"/>
    <w:rsid w:val="64A22908"/>
    <w:rsid w:val="64A75904"/>
    <w:rsid w:val="64A82C8F"/>
    <w:rsid w:val="64B247C2"/>
    <w:rsid w:val="64B74246"/>
    <w:rsid w:val="64B94377"/>
    <w:rsid w:val="64BD0615"/>
    <w:rsid w:val="64BD2B26"/>
    <w:rsid w:val="64D059DB"/>
    <w:rsid w:val="64EC70C1"/>
    <w:rsid w:val="64FF2087"/>
    <w:rsid w:val="65060431"/>
    <w:rsid w:val="650641E4"/>
    <w:rsid w:val="65143317"/>
    <w:rsid w:val="651670B3"/>
    <w:rsid w:val="65262602"/>
    <w:rsid w:val="65282759"/>
    <w:rsid w:val="653008B7"/>
    <w:rsid w:val="655E6F21"/>
    <w:rsid w:val="65603C28"/>
    <w:rsid w:val="656E1459"/>
    <w:rsid w:val="657458BB"/>
    <w:rsid w:val="658A42E8"/>
    <w:rsid w:val="658C7FE7"/>
    <w:rsid w:val="658F2701"/>
    <w:rsid w:val="65922A6B"/>
    <w:rsid w:val="65990691"/>
    <w:rsid w:val="65AC3B4A"/>
    <w:rsid w:val="65C54440"/>
    <w:rsid w:val="65CE1B16"/>
    <w:rsid w:val="65E067B2"/>
    <w:rsid w:val="65E120E1"/>
    <w:rsid w:val="65E82B19"/>
    <w:rsid w:val="660F25F8"/>
    <w:rsid w:val="660F5E32"/>
    <w:rsid w:val="66130061"/>
    <w:rsid w:val="662F1A16"/>
    <w:rsid w:val="66410E9E"/>
    <w:rsid w:val="66475B5E"/>
    <w:rsid w:val="664F3C0E"/>
    <w:rsid w:val="6658290C"/>
    <w:rsid w:val="665D1D8A"/>
    <w:rsid w:val="66682803"/>
    <w:rsid w:val="6670017A"/>
    <w:rsid w:val="668459BA"/>
    <w:rsid w:val="669F43F6"/>
    <w:rsid w:val="66C31A47"/>
    <w:rsid w:val="66C70B33"/>
    <w:rsid w:val="66EF694D"/>
    <w:rsid w:val="66FF15A7"/>
    <w:rsid w:val="67324D00"/>
    <w:rsid w:val="67397B35"/>
    <w:rsid w:val="673D32F5"/>
    <w:rsid w:val="67410A8B"/>
    <w:rsid w:val="67435E8A"/>
    <w:rsid w:val="67500089"/>
    <w:rsid w:val="675B63FB"/>
    <w:rsid w:val="676B4F15"/>
    <w:rsid w:val="677B0314"/>
    <w:rsid w:val="677C23FB"/>
    <w:rsid w:val="678C1EB9"/>
    <w:rsid w:val="679503C8"/>
    <w:rsid w:val="67A26FCA"/>
    <w:rsid w:val="67B333ED"/>
    <w:rsid w:val="67D07518"/>
    <w:rsid w:val="67D6379C"/>
    <w:rsid w:val="67E46F3F"/>
    <w:rsid w:val="67F52607"/>
    <w:rsid w:val="67FD4761"/>
    <w:rsid w:val="684255C8"/>
    <w:rsid w:val="68461633"/>
    <w:rsid w:val="68534A64"/>
    <w:rsid w:val="6871774C"/>
    <w:rsid w:val="68724939"/>
    <w:rsid w:val="687B1BAE"/>
    <w:rsid w:val="689B3412"/>
    <w:rsid w:val="68A83FA0"/>
    <w:rsid w:val="68AA35A6"/>
    <w:rsid w:val="68AB0534"/>
    <w:rsid w:val="68AE5E2B"/>
    <w:rsid w:val="68B0477B"/>
    <w:rsid w:val="68B90C01"/>
    <w:rsid w:val="68BC4858"/>
    <w:rsid w:val="68D0332F"/>
    <w:rsid w:val="68D76D89"/>
    <w:rsid w:val="68E43DF7"/>
    <w:rsid w:val="690F0855"/>
    <w:rsid w:val="690F3CFE"/>
    <w:rsid w:val="691D5EF5"/>
    <w:rsid w:val="6920358E"/>
    <w:rsid w:val="69240166"/>
    <w:rsid w:val="69550725"/>
    <w:rsid w:val="69891419"/>
    <w:rsid w:val="699B6250"/>
    <w:rsid w:val="69CB7D62"/>
    <w:rsid w:val="69D40965"/>
    <w:rsid w:val="69DB7E1F"/>
    <w:rsid w:val="69E5416A"/>
    <w:rsid w:val="69F20580"/>
    <w:rsid w:val="6A033F70"/>
    <w:rsid w:val="6A2D2B5F"/>
    <w:rsid w:val="6A303421"/>
    <w:rsid w:val="6A3265C5"/>
    <w:rsid w:val="6A5C4586"/>
    <w:rsid w:val="6A611A43"/>
    <w:rsid w:val="6A647BEA"/>
    <w:rsid w:val="6A6D2036"/>
    <w:rsid w:val="6A723C50"/>
    <w:rsid w:val="6A7907FB"/>
    <w:rsid w:val="6A7C13BC"/>
    <w:rsid w:val="6A7F636D"/>
    <w:rsid w:val="6A833842"/>
    <w:rsid w:val="6A8C1112"/>
    <w:rsid w:val="6A9516EC"/>
    <w:rsid w:val="6ABE47D2"/>
    <w:rsid w:val="6AC064A8"/>
    <w:rsid w:val="6AD167ED"/>
    <w:rsid w:val="6AD4543B"/>
    <w:rsid w:val="6AD541DF"/>
    <w:rsid w:val="6AE34248"/>
    <w:rsid w:val="6AF40B09"/>
    <w:rsid w:val="6AFB4068"/>
    <w:rsid w:val="6B013977"/>
    <w:rsid w:val="6B076875"/>
    <w:rsid w:val="6B1B42CF"/>
    <w:rsid w:val="6B2209B8"/>
    <w:rsid w:val="6B263627"/>
    <w:rsid w:val="6B3001FD"/>
    <w:rsid w:val="6B3028DF"/>
    <w:rsid w:val="6B513A9E"/>
    <w:rsid w:val="6B6042BE"/>
    <w:rsid w:val="6B60563D"/>
    <w:rsid w:val="6B7F6D95"/>
    <w:rsid w:val="6B932783"/>
    <w:rsid w:val="6BA91FE8"/>
    <w:rsid w:val="6BCD5551"/>
    <w:rsid w:val="6BD71C34"/>
    <w:rsid w:val="6BD954AC"/>
    <w:rsid w:val="6BDC1113"/>
    <w:rsid w:val="6BE96E14"/>
    <w:rsid w:val="6BEB2649"/>
    <w:rsid w:val="6BF3601B"/>
    <w:rsid w:val="6C037AAE"/>
    <w:rsid w:val="6C0A1567"/>
    <w:rsid w:val="6C151358"/>
    <w:rsid w:val="6C175ECD"/>
    <w:rsid w:val="6C1C34A2"/>
    <w:rsid w:val="6C35406D"/>
    <w:rsid w:val="6C4213FF"/>
    <w:rsid w:val="6C461165"/>
    <w:rsid w:val="6C476F10"/>
    <w:rsid w:val="6C515264"/>
    <w:rsid w:val="6C52703B"/>
    <w:rsid w:val="6C536932"/>
    <w:rsid w:val="6C56625E"/>
    <w:rsid w:val="6C57134F"/>
    <w:rsid w:val="6C5C373D"/>
    <w:rsid w:val="6C6422F0"/>
    <w:rsid w:val="6C6D3885"/>
    <w:rsid w:val="6C77613D"/>
    <w:rsid w:val="6C800773"/>
    <w:rsid w:val="6C822ABB"/>
    <w:rsid w:val="6C845330"/>
    <w:rsid w:val="6C8E4B2D"/>
    <w:rsid w:val="6CBC2ADE"/>
    <w:rsid w:val="6CC06D8E"/>
    <w:rsid w:val="6CD470DA"/>
    <w:rsid w:val="6CDE4271"/>
    <w:rsid w:val="6CE42393"/>
    <w:rsid w:val="6CEF1588"/>
    <w:rsid w:val="6CF767BC"/>
    <w:rsid w:val="6CFB656C"/>
    <w:rsid w:val="6D012BE3"/>
    <w:rsid w:val="6D13040E"/>
    <w:rsid w:val="6D163C0D"/>
    <w:rsid w:val="6D16611A"/>
    <w:rsid w:val="6D1B3696"/>
    <w:rsid w:val="6D3459F4"/>
    <w:rsid w:val="6D350F65"/>
    <w:rsid w:val="6D5459CA"/>
    <w:rsid w:val="6D6A0C01"/>
    <w:rsid w:val="6D6C298D"/>
    <w:rsid w:val="6D6F2A16"/>
    <w:rsid w:val="6D703EBA"/>
    <w:rsid w:val="6D845D01"/>
    <w:rsid w:val="6D890366"/>
    <w:rsid w:val="6D9B671E"/>
    <w:rsid w:val="6DA047E6"/>
    <w:rsid w:val="6DAC0372"/>
    <w:rsid w:val="6DB11863"/>
    <w:rsid w:val="6DC04684"/>
    <w:rsid w:val="6DCD6FE0"/>
    <w:rsid w:val="6DDA6C9C"/>
    <w:rsid w:val="6DE51EC1"/>
    <w:rsid w:val="6DFE7431"/>
    <w:rsid w:val="6E075659"/>
    <w:rsid w:val="6E0A5677"/>
    <w:rsid w:val="6E0F1569"/>
    <w:rsid w:val="6E0F2735"/>
    <w:rsid w:val="6E1A6D91"/>
    <w:rsid w:val="6E212062"/>
    <w:rsid w:val="6E2B3514"/>
    <w:rsid w:val="6E2F2E5B"/>
    <w:rsid w:val="6E3C6B08"/>
    <w:rsid w:val="6E3D7873"/>
    <w:rsid w:val="6E413567"/>
    <w:rsid w:val="6E441B47"/>
    <w:rsid w:val="6E453F5D"/>
    <w:rsid w:val="6E5421EA"/>
    <w:rsid w:val="6E5A44DB"/>
    <w:rsid w:val="6E612B09"/>
    <w:rsid w:val="6E661B63"/>
    <w:rsid w:val="6E66587A"/>
    <w:rsid w:val="6E725396"/>
    <w:rsid w:val="6E7757DF"/>
    <w:rsid w:val="6E7A11C2"/>
    <w:rsid w:val="6E8364CE"/>
    <w:rsid w:val="6E8F792D"/>
    <w:rsid w:val="6E965D6A"/>
    <w:rsid w:val="6E9A0656"/>
    <w:rsid w:val="6E9D69C6"/>
    <w:rsid w:val="6EAA3AC0"/>
    <w:rsid w:val="6EAC21FF"/>
    <w:rsid w:val="6EB112DF"/>
    <w:rsid w:val="6EC42C69"/>
    <w:rsid w:val="6EC65406"/>
    <w:rsid w:val="6ECA70DA"/>
    <w:rsid w:val="6EF7632B"/>
    <w:rsid w:val="6F00081E"/>
    <w:rsid w:val="6F0308D0"/>
    <w:rsid w:val="6F0575FF"/>
    <w:rsid w:val="6F0F4163"/>
    <w:rsid w:val="6F2367E0"/>
    <w:rsid w:val="6F295434"/>
    <w:rsid w:val="6F3C2505"/>
    <w:rsid w:val="6F3E0559"/>
    <w:rsid w:val="6F5036DA"/>
    <w:rsid w:val="6F505234"/>
    <w:rsid w:val="6F5B4ADC"/>
    <w:rsid w:val="6F60207D"/>
    <w:rsid w:val="6F7854BD"/>
    <w:rsid w:val="6F942D95"/>
    <w:rsid w:val="6F946416"/>
    <w:rsid w:val="6F975876"/>
    <w:rsid w:val="6FA23E77"/>
    <w:rsid w:val="6FAA7066"/>
    <w:rsid w:val="6FAB4645"/>
    <w:rsid w:val="6FE169C0"/>
    <w:rsid w:val="6FF017DD"/>
    <w:rsid w:val="6FF22845"/>
    <w:rsid w:val="6FF969CC"/>
    <w:rsid w:val="6FFD31A8"/>
    <w:rsid w:val="70060AD7"/>
    <w:rsid w:val="700A03E0"/>
    <w:rsid w:val="70115B72"/>
    <w:rsid w:val="70147401"/>
    <w:rsid w:val="702123AB"/>
    <w:rsid w:val="702A12B0"/>
    <w:rsid w:val="702A79F9"/>
    <w:rsid w:val="702D2F8B"/>
    <w:rsid w:val="702F613F"/>
    <w:rsid w:val="70345356"/>
    <w:rsid w:val="703C1B89"/>
    <w:rsid w:val="705C7800"/>
    <w:rsid w:val="7069352E"/>
    <w:rsid w:val="706D528F"/>
    <w:rsid w:val="707A09B2"/>
    <w:rsid w:val="707A2FF4"/>
    <w:rsid w:val="707A619D"/>
    <w:rsid w:val="708650FD"/>
    <w:rsid w:val="709B1240"/>
    <w:rsid w:val="70C40670"/>
    <w:rsid w:val="70D33642"/>
    <w:rsid w:val="70E82AE1"/>
    <w:rsid w:val="70EF1651"/>
    <w:rsid w:val="70F53E40"/>
    <w:rsid w:val="70FA3DCC"/>
    <w:rsid w:val="710C413B"/>
    <w:rsid w:val="71193079"/>
    <w:rsid w:val="712F1461"/>
    <w:rsid w:val="71397275"/>
    <w:rsid w:val="713B5110"/>
    <w:rsid w:val="713C7869"/>
    <w:rsid w:val="715025B2"/>
    <w:rsid w:val="71546C19"/>
    <w:rsid w:val="717C7DC3"/>
    <w:rsid w:val="719721EE"/>
    <w:rsid w:val="71B923DD"/>
    <w:rsid w:val="71C91C30"/>
    <w:rsid w:val="71DC2574"/>
    <w:rsid w:val="71EB552E"/>
    <w:rsid w:val="7205474C"/>
    <w:rsid w:val="720C5839"/>
    <w:rsid w:val="723649EE"/>
    <w:rsid w:val="7238355A"/>
    <w:rsid w:val="724750C8"/>
    <w:rsid w:val="724C37F9"/>
    <w:rsid w:val="72576F60"/>
    <w:rsid w:val="72593B18"/>
    <w:rsid w:val="726A199F"/>
    <w:rsid w:val="7278568D"/>
    <w:rsid w:val="727E14BF"/>
    <w:rsid w:val="727F300D"/>
    <w:rsid w:val="72805848"/>
    <w:rsid w:val="72913A68"/>
    <w:rsid w:val="729D386D"/>
    <w:rsid w:val="729E57DF"/>
    <w:rsid w:val="72AC2313"/>
    <w:rsid w:val="72BF01E5"/>
    <w:rsid w:val="72C07522"/>
    <w:rsid w:val="72C54B45"/>
    <w:rsid w:val="72D26138"/>
    <w:rsid w:val="72D7378F"/>
    <w:rsid w:val="72D74A1A"/>
    <w:rsid w:val="72F45F47"/>
    <w:rsid w:val="72F930E2"/>
    <w:rsid w:val="730C3744"/>
    <w:rsid w:val="730F27D1"/>
    <w:rsid w:val="731109BF"/>
    <w:rsid w:val="7317702C"/>
    <w:rsid w:val="73251C34"/>
    <w:rsid w:val="7329331A"/>
    <w:rsid w:val="734671F6"/>
    <w:rsid w:val="73543815"/>
    <w:rsid w:val="73557B3E"/>
    <w:rsid w:val="73634AC1"/>
    <w:rsid w:val="73697950"/>
    <w:rsid w:val="736A3EA5"/>
    <w:rsid w:val="737F0690"/>
    <w:rsid w:val="73A203CF"/>
    <w:rsid w:val="73AE1E08"/>
    <w:rsid w:val="73CF1694"/>
    <w:rsid w:val="73E73DBC"/>
    <w:rsid w:val="73EB6821"/>
    <w:rsid w:val="73FE5B77"/>
    <w:rsid w:val="743326A2"/>
    <w:rsid w:val="74341F76"/>
    <w:rsid w:val="743D2D83"/>
    <w:rsid w:val="74546174"/>
    <w:rsid w:val="74594DBE"/>
    <w:rsid w:val="746740F9"/>
    <w:rsid w:val="74757EB3"/>
    <w:rsid w:val="74780B72"/>
    <w:rsid w:val="7490204A"/>
    <w:rsid w:val="749A2E3E"/>
    <w:rsid w:val="749D5CE3"/>
    <w:rsid w:val="74B823BF"/>
    <w:rsid w:val="74DB3F53"/>
    <w:rsid w:val="74E939F5"/>
    <w:rsid w:val="74FE77AB"/>
    <w:rsid w:val="750244AD"/>
    <w:rsid w:val="750C2254"/>
    <w:rsid w:val="75262018"/>
    <w:rsid w:val="75271F09"/>
    <w:rsid w:val="753E5E4B"/>
    <w:rsid w:val="75691DD5"/>
    <w:rsid w:val="75733F57"/>
    <w:rsid w:val="757C3B39"/>
    <w:rsid w:val="75971745"/>
    <w:rsid w:val="75A56007"/>
    <w:rsid w:val="75A841DE"/>
    <w:rsid w:val="75AA13B1"/>
    <w:rsid w:val="75CA7CFF"/>
    <w:rsid w:val="75F00F0C"/>
    <w:rsid w:val="76220433"/>
    <w:rsid w:val="763B6F6A"/>
    <w:rsid w:val="763C0060"/>
    <w:rsid w:val="763E2413"/>
    <w:rsid w:val="765C7798"/>
    <w:rsid w:val="765F7F3E"/>
    <w:rsid w:val="76703E63"/>
    <w:rsid w:val="76794470"/>
    <w:rsid w:val="76802C08"/>
    <w:rsid w:val="76877BBB"/>
    <w:rsid w:val="768954EE"/>
    <w:rsid w:val="769C7484"/>
    <w:rsid w:val="769F401E"/>
    <w:rsid w:val="76A532DE"/>
    <w:rsid w:val="76B80F6D"/>
    <w:rsid w:val="76DE213A"/>
    <w:rsid w:val="76E32CA6"/>
    <w:rsid w:val="76EA796D"/>
    <w:rsid w:val="76F945AF"/>
    <w:rsid w:val="77544DFB"/>
    <w:rsid w:val="77654885"/>
    <w:rsid w:val="777A6E7A"/>
    <w:rsid w:val="779B51D1"/>
    <w:rsid w:val="77A568D9"/>
    <w:rsid w:val="77AB07A1"/>
    <w:rsid w:val="77B148CB"/>
    <w:rsid w:val="77B5238D"/>
    <w:rsid w:val="77C061FC"/>
    <w:rsid w:val="77C07E62"/>
    <w:rsid w:val="77C10587"/>
    <w:rsid w:val="77C651FE"/>
    <w:rsid w:val="77D01E5A"/>
    <w:rsid w:val="77E34BBF"/>
    <w:rsid w:val="77EF7FFA"/>
    <w:rsid w:val="77F12389"/>
    <w:rsid w:val="77FB576D"/>
    <w:rsid w:val="78005915"/>
    <w:rsid w:val="780B4B39"/>
    <w:rsid w:val="7818433A"/>
    <w:rsid w:val="781D6824"/>
    <w:rsid w:val="782642CC"/>
    <w:rsid w:val="783A1D29"/>
    <w:rsid w:val="784150C1"/>
    <w:rsid w:val="78537123"/>
    <w:rsid w:val="7862209E"/>
    <w:rsid w:val="786E5350"/>
    <w:rsid w:val="787A3B4F"/>
    <w:rsid w:val="78860A6B"/>
    <w:rsid w:val="789B7D51"/>
    <w:rsid w:val="789D458E"/>
    <w:rsid w:val="78A60C9D"/>
    <w:rsid w:val="78AA40D0"/>
    <w:rsid w:val="78AA55C3"/>
    <w:rsid w:val="78AD3DA8"/>
    <w:rsid w:val="78B41DA4"/>
    <w:rsid w:val="78B67752"/>
    <w:rsid w:val="78BB2005"/>
    <w:rsid w:val="78C55892"/>
    <w:rsid w:val="78E174A0"/>
    <w:rsid w:val="78ED635D"/>
    <w:rsid w:val="78EF0E65"/>
    <w:rsid w:val="79142E45"/>
    <w:rsid w:val="791E69F3"/>
    <w:rsid w:val="79282EC8"/>
    <w:rsid w:val="792A7C9E"/>
    <w:rsid w:val="7935446A"/>
    <w:rsid w:val="793941EF"/>
    <w:rsid w:val="794227C9"/>
    <w:rsid w:val="7950464B"/>
    <w:rsid w:val="795D6255"/>
    <w:rsid w:val="796322DB"/>
    <w:rsid w:val="79674EC3"/>
    <w:rsid w:val="798149FE"/>
    <w:rsid w:val="798B3692"/>
    <w:rsid w:val="799612FF"/>
    <w:rsid w:val="799C4845"/>
    <w:rsid w:val="799F7317"/>
    <w:rsid w:val="79A60AF5"/>
    <w:rsid w:val="79B01CAA"/>
    <w:rsid w:val="79D95E19"/>
    <w:rsid w:val="79E12616"/>
    <w:rsid w:val="79E63D12"/>
    <w:rsid w:val="79E838B0"/>
    <w:rsid w:val="79FF6B82"/>
    <w:rsid w:val="7A041D3D"/>
    <w:rsid w:val="7A04504C"/>
    <w:rsid w:val="7A174616"/>
    <w:rsid w:val="7A195E96"/>
    <w:rsid w:val="7A226ED7"/>
    <w:rsid w:val="7A297F06"/>
    <w:rsid w:val="7A3367AD"/>
    <w:rsid w:val="7A3909AC"/>
    <w:rsid w:val="7A3F4C21"/>
    <w:rsid w:val="7A4E6872"/>
    <w:rsid w:val="7A7604B4"/>
    <w:rsid w:val="7A7C03DC"/>
    <w:rsid w:val="7A7D7422"/>
    <w:rsid w:val="7A822BDE"/>
    <w:rsid w:val="7A8B7AA6"/>
    <w:rsid w:val="7A996FD7"/>
    <w:rsid w:val="7AAA42BF"/>
    <w:rsid w:val="7AB73ADB"/>
    <w:rsid w:val="7AC55253"/>
    <w:rsid w:val="7ACF29F8"/>
    <w:rsid w:val="7AD8539E"/>
    <w:rsid w:val="7AEC5D56"/>
    <w:rsid w:val="7B0C4963"/>
    <w:rsid w:val="7B114B62"/>
    <w:rsid w:val="7B1623D5"/>
    <w:rsid w:val="7B4E54EE"/>
    <w:rsid w:val="7B5D7805"/>
    <w:rsid w:val="7B6F3122"/>
    <w:rsid w:val="7B71009B"/>
    <w:rsid w:val="7BB66ED3"/>
    <w:rsid w:val="7BB942BC"/>
    <w:rsid w:val="7BC462D5"/>
    <w:rsid w:val="7BC62168"/>
    <w:rsid w:val="7BCC7D9A"/>
    <w:rsid w:val="7BD021B0"/>
    <w:rsid w:val="7BD07B0D"/>
    <w:rsid w:val="7BD346E8"/>
    <w:rsid w:val="7BE47E99"/>
    <w:rsid w:val="7BF841F7"/>
    <w:rsid w:val="7C036440"/>
    <w:rsid w:val="7C04595F"/>
    <w:rsid w:val="7C0954EE"/>
    <w:rsid w:val="7C0F3EEB"/>
    <w:rsid w:val="7C1E2FC9"/>
    <w:rsid w:val="7C1E363B"/>
    <w:rsid w:val="7C201D60"/>
    <w:rsid w:val="7C2056B4"/>
    <w:rsid w:val="7C22164F"/>
    <w:rsid w:val="7C2D1102"/>
    <w:rsid w:val="7C3243A5"/>
    <w:rsid w:val="7C5B282A"/>
    <w:rsid w:val="7C5D5FB1"/>
    <w:rsid w:val="7C891ADF"/>
    <w:rsid w:val="7CA11609"/>
    <w:rsid w:val="7CBD3FD1"/>
    <w:rsid w:val="7CC5693D"/>
    <w:rsid w:val="7CCA171C"/>
    <w:rsid w:val="7CCE4433"/>
    <w:rsid w:val="7CEA1583"/>
    <w:rsid w:val="7D001E2E"/>
    <w:rsid w:val="7D125F97"/>
    <w:rsid w:val="7D2B5692"/>
    <w:rsid w:val="7D303BC9"/>
    <w:rsid w:val="7D4144EC"/>
    <w:rsid w:val="7D4A31BE"/>
    <w:rsid w:val="7D50202E"/>
    <w:rsid w:val="7D5A2DE0"/>
    <w:rsid w:val="7D721C99"/>
    <w:rsid w:val="7D725E26"/>
    <w:rsid w:val="7D7C458C"/>
    <w:rsid w:val="7D872F52"/>
    <w:rsid w:val="7DA53F92"/>
    <w:rsid w:val="7DC412E7"/>
    <w:rsid w:val="7DC7750D"/>
    <w:rsid w:val="7E111C11"/>
    <w:rsid w:val="7E253C4B"/>
    <w:rsid w:val="7E276C0A"/>
    <w:rsid w:val="7E2E7A36"/>
    <w:rsid w:val="7E347F9D"/>
    <w:rsid w:val="7E451D84"/>
    <w:rsid w:val="7E4A4AEE"/>
    <w:rsid w:val="7E4B4B1D"/>
    <w:rsid w:val="7E671A54"/>
    <w:rsid w:val="7E685AFC"/>
    <w:rsid w:val="7E7C4C45"/>
    <w:rsid w:val="7E8D384B"/>
    <w:rsid w:val="7E9808BB"/>
    <w:rsid w:val="7EA83DD7"/>
    <w:rsid w:val="7ECA0D69"/>
    <w:rsid w:val="7ECD56E8"/>
    <w:rsid w:val="7ED22AB7"/>
    <w:rsid w:val="7EF2520D"/>
    <w:rsid w:val="7EF57B33"/>
    <w:rsid w:val="7F0E1092"/>
    <w:rsid w:val="7F13766E"/>
    <w:rsid w:val="7F2946C0"/>
    <w:rsid w:val="7F58401B"/>
    <w:rsid w:val="7F6407D8"/>
    <w:rsid w:val="7F710BE2"/>
    <w:rsid w:val="7F857B2A"/>
    <w:rsid w:val="7F8F2F20"/>
    <w:rsid w:val="7F933E41"/>
    <w:rsid w:val="7FA145D5"/>
    <w:rsid w:val="7FAA081A"/>
    <w:rsid w:val="7FB00373"/>
    <w:rsid w:val="7FB21C9D"/>
    <w:rsid w:val="7FB7766D"/>
    <w:rsid w:val="7FC30B5C"/>
    <w:rsid w:val="7FD20763"/>
    <w:rsid w:val="7FD72402"/>
    <w:rsid w:val="7FE46157"/>
    <w:rsid w:val="7FE764B1"/>
    <w:rsid w:val="C4E67FEF"/>
    <w:rsid w:val="DB7749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9"/>
    <w:pPr>
      <w:keepNext/>
      <w:keepLines/>
      <w:spacing w:before="340" w:after="330" w:line="576" w:lineRule="auto"/>
      <w:outlineLvl w:val="0"/>
    </w:pPr>
    <w:rPr>
      <w:b/>
      <w:bCs/>
      <w:kern w:val="44"/>
      <w:sz w:val="44"/>
      <w:szCs w:val="44"/>
    </w:rPr>
  </w:style>
  <w:style w:type="paragraph" w:styleId="5">
    <w:name w:val="heading 2"/>
    <w:basedOn w:val="1"/>
    <w:next w:val="1"/>
    <w:link w:val="56"/>
    <w:qFormat/>
    <w:uiPriority w:val="9"/>
    <w:pPr>
      <w:keepNext/>
      <w:keepLines/>
      <w:spacing w:before="260" w:after="260" w:line="412" w:lineRule="auto"/>
      <w:outlineLvl w:val="1"/>
    </w:pPr>
    <w:rPr>
      <w:rFonts w:ascii="Arial" w:hAnsi="Arial" w:eastAsia="黑体"/>
      <w:b/>
      <w:kern w:val="0"/>
      <w:sz w:val="32"/>
      <w:szCs w:val="20"/>
    </w:rPr>
  </w:style>
  <w:style w:type="paragraph" w:styleId="6">
    <w:name w:val="heading 3"/>
    <w:basedOn w:val="1"/>
    <w:next w:val="1"/>
    <w:link w:val="57"/>
    <w:qFormat/>
    <w:uiPriority w:val="9"/>
    <w:pPr>
      <w:keepNext/>
      <w:keepLines/>
      <w:adjustRightInd w:val="0"/>
      <w:spacing w:before="260" w:after="260" w:line="416" w:lineRule="atLeast"/>
      <w:outlineLvl w:val="2"/>
    </w:pPr>
    <w:rPr>
      <w:b/>
      <w:kern w:val="0"/>
      <w:sz w:val="24"/>
      <w:szCs w:val="20"/>
    </w:rPr>
  </w:style>
  <w:style w:type="paragraph" w:styleId="7">
    <w:name w:val="heading 4"/>
    <w:basedOn w:val="1"/>
    <w:next w:val="1"/>
    <w:qFormat/>
    <w:uiPriority w:val="0"/>
    <w:pPr>
      <w:keepNext/>
      <w:keepLines/>
      <w:numPr>
        <w:ilvl w:val="3"/>
        <w:numId w:val="1"/>
      </w:numPr>
      <w:spacing w:before="120" w:after="120"/>
      <w:ind w:firstLineChars="0"/>
      <w:outlineLvl w:val="3"/>
    </w:pPr>
    <w:rPr>
      <w:rFonts w:ascii="Arial" w:hAnsi="Arial" w:eastAsia="宋体" w:cs="Times New Roman"/>
      <w:b/>
      <w:bCs/>
      <w:sz w:val="24"/>
    </w:rPr>
  </w:style>
  <w:style w:type="paragraph" w:styleId="8">
    <w:name w:val="heading 5"/>
    <w:basedOn w:val="1"/>
    <w:next w:val="1"/>
    <w:qFormat/>
    <w:uiPriority w:val="0"/>
    <w:pPr>
      <w:keepNext/>
      <w:keepLines/>
      <w:spacing w:before="280" w:after="290" w:line="374" w:lineRule="auto"/>
      <w:outlineLvl w:val="4"/>
    </w:pPr>
    <w:rPr>
      <w:b/>
      <w:bCs/>
      <w:sz w:val="28"/>
      <w:szCs w:val="28"/>
    </w:rPr>
  </w:style>
  <w:style w:type="character" w:default="1" w:styleId="47">
    <w:name w:val="Default Paragraph Font"/>
    <w:unhideWhenUsed/>
    <w:qFormat/>
    <w:uiPriority w:val="1"/>
  </w:style>
  <w:style w:type="table" w:default="1" w:styleId="4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64"/>
    <w:unhideWhenUsed/>
    <w:qFormat/>
    <w:uiPriority w:val="99"/>
    <w:pPr>
      <w:spacing w:after="120"/>
    </w:pPr>
    <w:rPr>
      <w:kern w:val="0"/>
      <w:sz w:val="20"/>
    </w:rPr>
  </w:style>
  <w:style w:type="paragraph" w:customStyle="1" w:styleId="3">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9">
    <w:name w:val="toc 7"/>
    <w:basedOn w:val="1"/>
    <w:next w:val="1"/>
    <w:unhideWhenUsed/>
    <w:qFormat/>
    <w:uiPriority w:val="39"/>
    <w:pPr>
      <w:ind w:left="1260"/>
      <w:jc w:val="left"/>
    </w:pPr>
    <w:rPr>
      <w:rFonts w:ascii="等线" w:eastAsia="等线"/>
      <w:sz w:val="18"/>
      <w:szCs w:val="18"/>
    </w:rPr>
  </w:style>
  <w:style w:type="paragraph" w:styleId="10">
    <w:name w:val="table of authorities"/>
    <w:basedOn w:val="1"/>
    <w:next w:val="1"/>
    <w:qFormat/>
    <w:uiPriority w:val="0"/>
    <w:pPr>
      <w:widowControl w:val="0"/>
      <w:ind w:left="420" w:leftChars="200"/>
      <w:jc w:val="both"/>
    </w:pPr>
    <w:rPr>
      <w:rFonts w:ascii="Calibri" w:hAnsi="Calibri"/>
      <w:kern w:val="2"/>
      <w:sz w:val="21"/>
      <w:szCs w:val="22"/>
      <w:lang w:val="en-US" w:eastAsia="zh-CN" w:bidi="ar-SA"/>
    </w:rPr>
  </w:style>
  <w:style w:type="paragraph" w:styleId="11">
    <w:name w:val="Note Heading"/>
    <w:basedOn w:val="1"/>
    <w:next w:val="1"/>
    <w:link w:val="58"/>
    <w:qFormat/>
    <w:uiPriority w:val="0"/>
    <w:pPr>
      <w:jc w:val="center"/>
    </w:pPr>
    <w:rPr>
      <w:szCs w:val="20"/>
    </w:rPr>
  </w:style>
  <w:style w:type="paragraph" w:styleId="12">
    <w:name w:val="Normal Indent"/>
    <w:basedOn w:val="1"/>
    <w:next w:val="1"/>
    <w:link w:val="59"/>
    <w:unhideWhenUsed/>
    <w:qFormat/>
    <w:uiPriority w:val="99"/>
    <w:pPr>
      <w:ind w:firstLine="420" w:firstLineChars="200"/>
    </w:pPr>
    <w:rPr>
      <w:kern w:val="0"/>
      <w:sz w:val="20"/>
    </w:rPr>
  </w:style>
  <w:style w:type="paragraph" w:styleId="13">
    <w:name w:val="Document Map"/>
    <w:basedOn w:val="1"/>
    <w:link w:val="61"/>
    <w:unhideWhenUsed/>
    <w:qFormat/>
    <w:uiPriority w:val="0"/>
    <w:rPr>
      <w:rFonts w:ascii="宋体"/>
      <w:kern w:val="0"/>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next w:val="16"/>
    <w:link w:val="62"/>
    <w:unhideWhenUsed/>
    <w:qFormat/>
    <w:uiPriority w:val="0"/>
    <w:pPr>
      <w:jc w:val="left"/>
    </w:pPr>
    <w:rPr>
      <w:kern w:val="0"/>
      <w:sz w:val="20"/>
    </w:rPr>
  </w:style>
  <w:style w:type="paragraph" w:styleId="16">
    <w:name w:val="Body Text 3"/>
    <w:basedOn w:val="1"/>
    <w:next w:val="17"/>
    <w:qFormat/>
    <w:uiPriority w:val="0"/>
    <w:pPr>
      <w:widowControl w:val="0"/>
      <w:autoSpaceDE/>
      <w:autoSpaceDN/>
      <w:spacing w:before="0" w:after="120" w:line="240" w:lineRule="auto"/>
      <w:ind w:left="0" w:firstLine="3584"/>
      <w:jc w:val="both"/>
    </w:pPr>
  </w:style>
  <w:style w:type="paragraph" w:styleId="17">
    <w:name w:val="Balloon Text"/>
    <w:basedOn w:val="1"/>
    <w:next w:val="1"/>
    <w:link w:val="63"/>
    <w:unhideWhenUsed/>
    <w:qFormat/>
    <w:uiPriority w:val="99"/>
    <w:rPr>
      <w:kern w:val="0"/>
      <w:sz w:val="18"/>
      <w:szCs w:val="18"/>
    </w:rPr>
  </w:style>
  <w:style w:type="paragraph" w:styleId="18">
    <w:name w:val="Body Text Indent"/>
    <w:basedOn w:val="1"/>
    <w:next w:val="19"/>
    <w:link w:val="54"/>
    <w:unhideWhenUsed/>
    <w:qFormat/>
    <w:uiPriority w:val="0"/>
    <w:pPr>
      <w:ind w:left="199" w:leftChars="95"/>
    </w:pPr>
    <w:rPr>
      <w:kern w:val="0"/>
      <w:sz w:val="32"/>
    </w:rPr>
  </w:style>
  <w:style w:type="paragraph" w:styleId="19">
    <w:name w:val="Body Text First Indent 2"/>
    <w:basedOn w:val="18"/>
    <w:next w:val="1"/>
    <w:qFormat/>
    <w:uiPriority w:val="0"/>
    <w:pPr>
      <w:ind w:left="420" w:firstLine="420" w:firstLineChars="200"/>
    </w:pPr>
  </w:style>
  <w:style w:type="paragraph" w:styleId="20">
    <w:name w:val="List 2"/>
    <w:basedOn w:val="1"/>
    <w:qFormat/>
    <w:uiPriority w:val="0"/>
    <w:pPr>
      <w:ind w:left="100" w:leftChars="200" w:hanging="200" w:hangingChars="200"/>
    </w:pPr>
  </w:style>
  <w:style w:type="paragraph" w:styleId="21">
    <w:name w:val="List Continue"/>
    <w:basedOn w:val="1"/>
    <w:qFormat/>
    <w:uiPriority w:val="99"/>
    <w:pPr>
      <w:widowControl/>
      <w:spacing w:after="119" w:line="351" w:lineRule="atLeast"/>
      <w:ind w:firstLine="419"/>
    </w:pPr>
    <w:rPr>
      <w:rFonts w:ascii="仿宋_GB2312" w:hAnsi="Times New Roman" w:eastAsia="仿宋_GB2312"/>
      <w:color w:val="000000"/>
      <w:sz w:val="28"/>
      <w:u w:val="none" w:color="000000"/>
    </w:rPr>
  </w:style>
  <w:style w:type="paragraph" w:styleId="22">
    <w:name w:val="Block Text"/>
    <w:basedOn w:val="1"/>
    <w:unhideWhenUsed/>
    <w:qFormat/>
    <w:uiPriority w:val="0"/>
    <w:pPr>
      <w:adjustRightInd w:val="0"/>
      <w:ind w:left="420" w:right="33"/>
      <w:jc w:val="left"/>
    </w:pPr>
    <w:rPr>
      <w:kern w:val="0"/>
      <w:sz w:val="24"/>
      <w:szCs w:val="20"/>
    </w:rPr>
  </w:style>
  <w:style w:type="paragraph" w:styleId="23">
    <w:name w:val="toc 5"/>
    <w:basedOn w:val="1"/>
    <w:next w:val="1"/>
    <w:unhideWhenUsed/>
    <w:qFormat/>
    <w:uiPriority w:val="39"/>
    <w:pPr>
      <w:ind w:left="840"/>
      <w:jc w:val="left"/>
    </w:pPr>
    <w:rPr>
      <w:rFonts w:ascii="等线" w:eastAsia="等线"/>
      <w:sz w:val="18"/>
      <w:szCs w:val="18"/>
    </w:rPr>
  </w:style>
  <w:style w:type="paragraph" w:styleId="24">
    <w:name w:val="toc 3"/>
    <w:basedOn w:val="1"/>
    <w:next w:val="1"/>
    <w:unhideWhenUsed/>
    <w:qFormat/>
    <w:uiPriority w:val="39"/>
    <w:pPr>
      <w:ind w:left="420"/>
      <w:jc w:val="left"/>
    </w:pPr>
    <w:rPr>
      <w:rFonts w:ascii="等线" w:eastAsia="等线"/>
      <w:i/>
      <w:iCs/>
      <w:sz w:val="20"/>
      <w:szCs w:val="20"/>
    </w:rPr>
  </w:style>
  <w:style w:type="paragraph" w:styleId="25">
    <w:name w:val="Plain Text"/>
    <w:basedOn w:val="1"/>
    <w:link w:val="65"/>
    <w:unhideWhenUsed/>
    <w:qFormat/>
    <w:uiPriority w:val="0"/>
    <w:rPr>
      <w:rFonts w:ascii="宋体" w:hAnsi="Courier New"/>
      <w:kern w:val="0"/>
      <w:sz w:val="20"/>
      <w:szCs w:val="21"/>
    </w:rPr>
  </w:style>
  <w:style w:type="paragraph" w:styleId="26">
    <w:name w:val="toc 8"/>
    <w:basedOn w:val="1"/>
    <w:next w:val="1"/>
    <w:unhideWhenUsed/>
    <w:qFormat/>
    <w:uiPriority w:val="39"/>
    <w:pPr>
      <w:ind w:left="1470"/>
      <w:jc w:val="left"/>
    </w:pPr>
    <w:rPr>
      <w:rFonts w:ascii="等线" w:eastAsia="等线"/>
      <w:sz w:val="18"/>
      <w:szCs w:val="18"/>
    </w:rPr>
  </w:style>
  <w:style w:type="paragraph" w:styleId="27">
    <w:name w:val="Date"/>
    <w:basedOn w:val="1"/>
    <w:next w:val="1"/>
    <w:link w:val="66"/>
    <w:qFormat/>
    <w:uiPriority w:val="0"/>
  </w:style>
  <w:style w:type="paragraph" w:styleId="28">
    <w:name w:val="Body Text Indent 2"/>
    <w:basedOn w:val="1"/>
    <w:link w:val="60"/>
    <w:qFormat/>
    <w:uiPriority w:val="99"/>
    <w:pPr>
      <w:widowControl/>
      <w:spacing w:before="100" w:beforeAutospacing="1" w:after="100" w:afterAutospacing="1"/>
      <w:jc w:val="left"/>
    </w:pPr>
    <w:rPr>
      <w:rFonts w:ascii="宋体" w:hAnsi="宋体"/>
      <w:kern w:val="0"/>
      <w:sz w:val="24"/>
    </w:rPr>
  </w:style>
  <w:style w:type="paragraph" w:styleId="29">
    <w:name w:val="footer"/>
    <w:basedOn w:val="1"/>
    <w:link w:val="67"/>
    <w:unhideWhenUsed/>
    <w:qFormat/>
    <w:uiPriority w:val="99"/>
    <w:pPr>
      <w:tabs>
        <w:tab w:val="center" w:pos="4153"/>
        <w:tab w:val="right" w:pos="8306"/>
      </w:tabs>
      <w:snapToGrid w:val="0"/>
      <w:jc w:val="left"/>
    </w:pPr>
    <w:rPr>
      <w:kern w:val="0"/>
      <w:sz w:val="18"/>
      <w:szCs w:val="18"/>
    </w:rPr>
  </w:style>
  <w:style w:type="paragraph" w:styleId="30">
    <w:name w:val="header"/>
    <w:basedOn w:val="1"/>
    <w:link w:val="6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unhideWhenUsed/>
    <w:qFormat/>
    <w:uiPriority w:val="39"/>
    <w:pPr>
      <w:spacing w:before="120" w:after="120"/>
      <w:jc w:val="left"/>
    </w:pPr>
    <w:rPr>
      <w:rFonts w:ascii="等线" w:hAnsi="等线" w:eastAsia="宋体"/>
      <w:bCs/>
      <w:caps/>
      <w:sz w:val="28"/>
      <w:szCs w:val="20"/>
    </w:rPr>
  </w:style>
  <w:style w:type="paragraph" w:styleId="32">
    <w:name w:val="toc 4"/>
    <w:basedOn w:val="1"/>
    <w:next w:val="1"/>
    <w:unhideWhenUsed/>
    <w:qFormat/>
    <w:uiPriority w:val="39"/>
    <w:pPr>
      <w:ind w:left="630"/>
      <w:jc w:val="left"/>
    </w:pPr>
    <w:rPr>
      <w:rFonts w:ascii="等线" w:eastAsia="等线"/>
      <w:sz w:val="18"/>
      <w:szCs w:val="18"/>
    </w:rPr>
  </w:style>
  <w:style w:type="paragraph" w:styleId="33">
    <w:name w:val="Subtitle"/>
    <w:basedOn w:val="1"/>
    <w:next w:val="1"/>
    <w:link w:val="69"/>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34">
    <w:name w:val="List Number 5"/>
    <w:basedOn w:val="1"/>
    <w:unhideWhenUsed/>
    <w:qFormat/>
    <w:uiPriority w:val="99"/>
    <w:pPr>
      <w:numPr>
        <w:ilvl w:val="0"/>
        <w:numId w:val="2"/>
      </w:numPr>
    </w:pPr>
  </w:style>
  <w:style w:type="paragraph" w:styleId="35">
    <w:name w:val="toc 6"/>
    <w:basedOn w:val="1"/>
    <w:next w:val="1"/>
    <w:unhideWhenUsed/>
    <w:qFormat/>
    <w:uiPriority w:val="39"/>
    <w:pPr>
      <w:ind w:left="1050"/>
      <w:jc w:val="left"/>
    </w:pPr>
    <w:rPr>
      <w:rFonts w:ascii="等线" w:eastAsia="等线"/>
      <w:sz w:val="18"/>
      <w:szCs w:val="18"/>
    </w:rPr>
  </w:style>
  <w:style w:type="paragraph" w:styleId="36">
    <w:name w:val="Body Text Indent 3"/>
    <w:basedOn w:val="1"/>
    <w:link w:val="70"/>
    <w:unhideWhenUsed/>
    <w:qFormat/>
    <w:uiPriority w:val="99"/>
    <w:pPr>
      <w:spacing w:after="120"/>
      <w:ind w:left="420" w:leftChars="200"/>
    </w:pPr>
    <w:rPr>
      <w:kern w:val="0"/>
      <w:sz w:val="16"/>
      <w:szCs w:val="16"/>
    </w:rPr>
  </w:style>
  <w:style w:type="paragraph" w:styleId="37">
    <w:name w:val="toc 2"/>
    <w:basedOn w:val="1"/>
    <w:next w:val="1"/>
    <w:unhideWhenUsed/>
    <w:qFormat/>
    <w:uiPriority w:val="39"/>
    <w:pPr>
      <w:ind w:left="210"/>
      <w:jc w:val="left"/>
    </w:pPr>
    <w:rPr>
      <w:rFonts w:ascii="等线" w:hAnsi="等线" w:eastAsia="宋体"/>
      <w:smallCaps/>
      <w:sz w:val="28"/>
      <w:szCs w:val="20"/>
    </w:rPr>
  </w:style>
  <w:style w:type="paragraph" w:styleId="38">
    <w:name w:val="toc 9"/>
    <w:basedOn w:val="1"/>
    <w:next w:val="1"/>
    <w:unhideWhenUsed/>
    <w:qFormat/>
    <w:uiPriority w:val="39"/>
    <w:pPr>
      <w:ind w:left="1680"/>
      <w:jc w:val="left"/>
    </w:pPr>
    <w:rPr>
      <w:rFonts w:ascii="等线" w:eastAsia="等线"/>
      <w:sz w:val="18"/>
      <w:szCs w:val="18"/>
    </w:rPr>
  </w:style>
  <w:style w:type="paragraph" w:styleId="39">
    <w:name w:val="Body Text 2"/>
    <w:basedOn w:val="1"/>
    <w:next w:val="38"/>
    <w:link w:val="71"/>
    <w:unhideWhenUsed/>
    <w:qFormat/>
    <w:uiPriority w:val="99"/>
    <w:pPr>
      <w:spacing w:after="120" w:line="480" w:lineRule="auto"/>
    </w:pPr>
  </w:style>
  <w:style w:type="paragraph" w:styleId="40">
    <w:name w:val="HTML Preformatted"/>
    <w:basedOn w:val="1"/>
    <w:next w:val="1"/>
    <w:link w:val="7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Title"/>
    <w:basedOn w:val="1"/>
    <w:next w:val="1"/>
    <w:link w:val="73"/>
    <w:qFormat/>
    <w:uiPriority w:val="10"/>
    <w:pPr>
      <w:spacing w:before="240" w:after="60"/>
      <w:jc w:val="center"/>
      <w:outlineLvl w:val="0"/>
    </w:pPr>
    <w:rPr>
      <w:rFonts w:ascii="Cambria" w:hAnsi="Cambria"/>
      <w:b/>
      <w:bCs/>
      <w:sz w:val="32"/>
      <w:szCs w:val="32"/>
    </w:rPr>
  </w:style>
  <w:style w:type="paragraph" w:styleId="43">
    <w:name w:val="annotation subject"/>
    <w:basedOn w:val="15"/>
    <w:next w:val="15"/>
    <w:link w:val="74"/>
    <w:unhideWhenUsed/>
    <w:qFormat/>
    <w:uiPriority w:val="99"/>
    <w:rPr>
      <w:b/>
      <w:bCs/>
    </w:rPr>
  </w:style>
  <w:style w:type="paragraph" w:styleId="44">
    <w:name w:val="Body Text First Indent"/>
    <w:basedOn w:val="2"/>
    <w:link w:val="75"/>
    <w:unhideWhenUsed/>
    <w:qFormat/>
    <w:uiPriority w:val="99"/>
    <w:pPr>
      <w:ind w:firstLine="420" w:firstLineChars="100"/>
    </w:pPr>
    <w:rPr>
      <w:rFonts w:ascii="仿宋_GB2312" w:eastAsia="仿宋_GB2312"/>
      <w:kern w:val="2"/>
      <w:sz w:val="21"/>
    </w:rPr>
  </w:style>
  <w:style w:type="table" w:styleId="46">
    <w:name w:val="Table Grid"/>
    <w:basedOn w:val="4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kern w:val="0"/>
    </w:rPr>
  </w:style>
  <w:style w:type="character" w:styleId="49">
    <w:name w:val="page number"/>
    <w:qFormat/>
    <w:uiPriority w:val="0"/>
  </w:style>
  <w:style w:type="character" w:styleId="50">
    <w:name w:val="FollowedHyperlink"/>
    <w:unhideWhenUsed/>
    <w:qFormat/>
    <w:uiPriority w:val="99"/>
    <w:rPr>
      <w:color w:val="156356"/>
      <w:u w:val="none"/>
    </w:rPr>
  </w:style>
  <w:style w:type="character" w:styleId="51">
    <w:name w:val="Emphasis"/>
    <w:qFormat/>
    <w:uiPriority w:val="20"/>
    <w:rPr>
      <w:color w:val="CC0000"/>
    </w:rPr>
  </w:style>
  <w:style w:type="character" w:styleId="52">
    <w:name w:val="Hyperlink"/>
    <w:unhideWhenUsed/>
    <w:qFormat/>
    <w:uiPriority w:val="99"/>
    <w:rPr>
      <w:color w:val="156356"/>
      <w:u w:val="none"/>
    </w:rPr>
  </w:style>
  <w:style w:type="character" w:styleId="53">
    <w:name w:val="annotation reference"/>
    <w:unhideWhenUsed/>
    <w:qFormat/>
    <w:uiPriority w:val="0"/>
    <w:rPr>
      <w:sz w:val="21"/>
      <w:szCs w:val="21"/>
    </w:rPr>
  </w:style>
  <w:style w:type="character" w:customStyle="1" w:styleId="54">
    <w:name w:val="正文文本缩进 字符"/>
    <w:link w:val="18"/>
    <w:qFormat/>
    <w:uiPriority w:val="0"/>
    <w:rPr>
      <w:rFonts w:ascii="Times New Roman" w:hAnsi="Times New Roman" w:eastAsia="宋体" w:cs="Times New Roman"/>
      <w:sz w:val="32"/>
      <w:szCs w:val="24"/>
    </w:rPr>
  </w:style>
  <w:style w:type="character" w:customStyle="1" w:styleId="55">
    <w:name w:val="标题 1 字符"/>
    <w:link w:val="4"/>
    <w:qFormat/>
    <w:uiPriority w:val="9"/>
    <w:rPr>
      <w:rFonts w:ascii="Times New Roman" w:hAnsi="Times New Roman" w:eastAsia="宋体" w:cs="Times New Roman"/>
      <w:b/>
      <w:bCs/>
      <w:kern w:val="44"/>
      <w:sz w:val="44"/>
      <w:szCs w:val="44"/>
    </w:rPr>
  </w:style>
  <w:style w:type="character" w:customStyle="1" w:styleId="56">
    <w:name w:val="标题 2 字符"/>
    <w:link w:val="5"/>
    <w:qFormat/>
    <w:uiPriority w:val="9"/>
    <w:rPr>
      <w:rFonts w:ascii="Arial" w:hAnsi="Arial" w:eastAsia="黑体" w:cs="Times New Roman"/>
      <w:b/>
      <w:sz w:val="32"/>
      <w:szCs w:val="20"/>
    </w:rPr>
  </w:style>
  <w:style w:type="character" w:customStyle="1" w:styleId="57">
    <w:name w:val="标题 3 字符"/>
    <w:link w:val="6"/>
    <w:qFormat/>
    <w:uiPriority w:val="9"/>
    <w:rPr>
      <w:rFonts w:ascii="Times New Roman" w:hAnsi="Times New Roman" w:eastAsia="宋体" w:cs="Times New Roman"/>
      <w:b/>
      <w:kern w:val="0"/>
      <w:sz w:val="24"/>
      <w:szCs w:val="20"/>
    </w:rPr>
  </w:style>
  <w:style w:type="character" w:customStyle="1" w:styleId="58">
    <w:name w:val="注释标题 字符"/>
    <w:link w:val="11"/>
    <w:qFormat/>
    <w:uiPriority w:val="0"/>
    <w:rPr>
      <w:rFonts w:ascii="Times New Roman" w:hAnsi="Times New Roman"/>
      <w:kern w:val="2"/>
      <w:sz w:val="21"/>
    </w:rPr>
  </w:style>
  <w:style w:type="character" w:customStyle="1" w:styleId="59">
    <w:name w:val="正文缩进 字符"/>
    <w:link w:val="12"/>
    <w:semiHidden/>
    <w:qFormat/>
    <w:locked/>
    <w:uiPriority w:val="99"/>
    <w:rPr>
      <w:rFonts w:ascii="Times New Roman" w:hAnsi="Times New Roman" w:eastAsia="宋体" w:cs="Times New Roman"/>
      <w:szCs w:val="24"/>
    </w:rPr>
  </w:style>
  <w:style w:type="character" w:customStyle="1" w:styleId="60">
    <w:name w:val="正文文本缩进 2 字符"/>
    <w:link w:val="28"/>
    <w:qFormat/>
    <w:uiPriority w:val="99"/>
    <w:rPr>
      <w:rFonts w:ascii="宋体" w:hAnsi="宋体" w:cs="宋体"/>
      <w:sz w:val="24"/>
      <w:szCs w:val="24"/>
    </w:rPr>
  </w:style>
  <w:style w:type="character" w:customStyle="1" w:styleId="61">
    <w:name w:val="文档结构图 字符"/>
    <w:link w:val="13"/>
    <w:qFormat/>
    <w:uiPriority w:val="0"/>
    <w:rPr>
      <w:rFonts w:ascii="宋体" w:hAnsi="Times New Roman" w:eastAsia="宋体" w:cs="Times New Roman"/>
      <w:sz w:val="18"/>
      <w:szCs w:val="18"/>
    </w:rPr>
  </w:style>
  <w:style w:type="character" w:customStyle="1" w:styleId="62">
    <w:name w:val="批注文字 字符"/>
    <w:link w:val="15"/>
    <w:qFormat/>
    <w:uiPriority w:val="0"/>
    <w:rPr>
      <w:rFonts w:ascii="Times New Roman" w:hAnsi="Times New Roman" w:eastAsia="宋体" w:cs="Times New Roman"/>
      <w:szCs w:val="24"/>
    </w:rPr>
  </w:style>
  <w:style w:type="character" w:customStyle="1" w:styleId="63">
    <w:name w:val="批注框文本 字符"/>
    <w:link w:val="17"/>
    <w:qFormat/>
    <w:uiPriority w:val="99"/>
    <w:rPr>
      <w:rFonts w:ascii="Times New Roman" w:hAnsi="Times New Roman" w:eastAsia="宋体" w:cs="Times New Roman"/>
      <w:sz w:val="18"/>
      <w:szCs w:val="18"/>
    </w:rPr>
  </w:style>
  <w:style w:type="character" w:customStyle="1" w:styleId="64">
    <w:name w:val="正文文本 字符"/>
    <w:link w:val="2"/>
    <w:qFormat/>
    <w:uiPriority w:val="99"/>
    <w:rPr>
      <w:rFonts w:ascii="Times New Roman" w:hAnsi="Times New Roman" w:eastAsia="宋体" w:cs="Times New Roman"/>
      <w:szCs w:val="24"/>
    </w:rPr>
  </w:style>
  <w:style w:type="character" w:customStyle="1" w:styleId="65">
    <w:name w:val="纯文本 字符"/>
    <w:link w:val="25"/>
    <w:qFormat/>
    <w:uiPriority w:val="99"/>
    <w:rPr>
      <w:rFonts w:ascii="宋体" w:hAnsi="Courier New" w:eastAsia="宋体" w:cs="Courier New"/>
      <w:szCs w:val="21"/>
    </w:rPr>
  </w:style>
  <w:style w:type="character" w:customStyle="1" w:styleId="66">
    <w:name w:val="日期 字符"/>
    <w:link w:val="27"/>
    <w:qFormat/>
    <w:uiPriority w:val="0"/>
    <w:rPr>
      <w:kern w:val="2"/>
      <w:sz w:val="21"/>
      <w:szCs w:val="24"/>
    </w:rPr>
  </w:style>
  <w:style w:type="character" w:customStyle="1" w:styleId="67">
    <w:name w:val="页脚 字符"/>
    <w:link w:val="29"/>
    <w:qFormat/>
    <w:uiPriority w:val="99"/>
    <w:rPr>
      <w:rFonts w:ascii="Times New Roman" w:hAnsi="Times New Roman" w:eastAsia="宋体" w:cs="Times New Roman"/>
      <w:sz w:val="18"/>
      <w:szCs w:val="18"/>
    </w:rPr>
  </w:style>
  <w:style w:type="character" w:customStyle="1" w:styleId="68">
    <w:name w:val="页眉 字符"/>
    <w:link w:val="30"/>
    <w:qFormat/>
    <w:uiPriority w:val="99"/>
    <w:rPr>
      <w:rFonts w:ascii="Times New Roman" w:hAnsi="Times New Roman" w:eastAsia="宋体" w:cs="Times New Roman"/>
      <w:sz w:val="18"/>
      <w:szCs w:val="18"/>
    </w:rPr>
  </w:style>
  <w:style w:type="character" w:customStyle="1" w:styleId="69">
    <w:name w:val="副标题 字符"/>
    <w:link w:val="33"/>
    <w:qFormat/>
    <w:uiPriority w:val="11"/>
    <w:rPr>
      <w:rFonts w:ascii="Cambria" w:hAnsi="Cambria"/>
      <w:b/>
      <w:bCs/>
      <w:kern w:val="28"/>
      <w:sz w:val="28"/>
      <w:szCs w:val="32"/>
    </w:rPr>
  </w:style>
  <w:style w:type="character" w:customStyle="1" w:styleId="70">
    <w:name w:val="正文文本缩进 3 字符"/>
    <w:link w:val="36"/>
    <w:qFormat/>
    <w:uiPriority w:val="99"/>
    <w:rPr>
      <w:rFonts w:ascii="Times New Roman" w:hAnsi="Times New Roman" w:eastAsia="宋体" w:cs="Times New Roman"/>
      <w:sz w:val="16"/>
      <w:szCs w:val="16"/>
    </w:rPr>
  </w:style>
  <w:style w:type="character" w:customStyle="1" w:styleId="71">
    <w:name w:val="正文文本 2 字符"/>
    <w:link w:val="39"/>
    <w:qFormat/>
    <w:uiPriority w:val="99"/>
    <w:rPr>
      <w:kern w:val="2"/>
      <w:sz w:val="21"/>
      <w:szCs w:val="24"/>
    </w:rPr>
  </w:style>
  <w:style w:type="character" w:customStyle="1" w:styleId="72">
    <w:name w:val="HTML 预设格式 字符"/>
    <w:link w:val="40"/>
    <w:qFormat/>
    <w:uiPriority w:val="99"/>
    <w:rPr>
      <w:rFonts w:ascii="Arial" w:hAnsi="Arial" w:cs="Arial"/>
      <w:sz w:val="21"/>
      <w:szCs w:val="21"/>
    </w:rPr>
  </w:style>
  <w:style w:type="character" w:customStyle="1" w:styleId="73">
    <w:name w:val="标题 字符"/>
    <w:link w:val="42"/>
    <w:qFormat/>
    <w:uiPriority w:val="10"/>
    <w:rPr>
      <w:rFonts w:ascii="Cambria" w:hAnsi="Cambria"/>
      <w:b/>
      <w:bCs/>
      <w:kern w:val="2"/>
      <w:sz w:val="32"/>
      <w:szCs w:val="32"/>
    </w:rPr>
  </w:style>
  <w:style w:type="character" w:customStyle="1" w:styleId="74">
    <w:name w:val="批注主题 字符"/>
    <w:link w:val="43"/>
    <w:semiHidden/>
    <w:qFormat/>
    <w:uiPriority w:val="99"/>
    <w:rPr>
      <w:rFonts w:ascii="Times New Roman" w:hAnsi="Times New Roman" w:eastAsia="宋体" w:cs="Times New Roman"/>
      <w:b/>
      <w:bCs/>
      <w:szCs w:val="24"/>
    </w:rPr>
  </w:style>
  <w:style w:type="character" w:customStyle="1" w:styleId="75">
    <w:name w:val="正文文本首行缩进 字符"/>
    <w:link w:val="44"/>
    <w:qFormat/>
    <w:uiPriority w:val="99"/>
    <w:rPr>
      <w:rFonts w:ascii="仿宋_GB2312" w:eastAsia="仿宋_GB2312"/>
      <w:kern w:val="2"/>
      <w:sz w:val="21"/>
      <w:szCs w:val="24"/>
    </w:rPr>
  </w:style>
  <w:style w:type="character" w:customStyle="1" w:styleId="76">
    <w:name w:val="NormalCharacter"/>
    <w:qFormat/>
    <w:uiPriority w:val="0"/>
    <w:rPr>
      <w:kern w:val="2"/>
      <w:sz w:val="21"/>
      <w:szCs w:val="24"/>
      <w:lang w:val="en-US" w:eastAsia="zh-CN" w:bidi="ar-SA"/>
    </w:rPr>
  </w:style>
  <w:style w:type="character" w:customStyle="1" w:styleId="77">
    <w:name w:val="文档结构图 Char1"/>
    <w:semiHidden/>
    <w:qFormat/>
    <w:uiPriority w:val="99"/>
    <w:rPr>
      <w:rFonts w:hint="eastAsia" w:ascii="宋体" w:hAnsi="宋体" w:eastAsia="宋体"/>
      <w:kern w:val="2"/>
      <w:sz w:val="18"/>
      <w:szCs w:val="18"/>
    </w:rPr>
  </w:style>
  <w:style w:type="character" w:customStyle="1" w:styleId="78">
    <w:name w:val="纯文本 Char2"/>
    <w:semiHidden/>
    <w:qFormat/>
    <w:uiPriority w:val="99"/>
    <w:rPr>
      <w:rFonts w:hint="eastAsia" w:ascii="宋体" w:hAnsi="Courier New" w:eastAsia="宋体" w:cs="Courier New"/>
      <w:kern w:val="2"/>
      <w:sz w:val="21"/>
      <w:szCs w:val="21"/>
    </w:rPr>
  </w:style>
  <w:style w:type="character" w:customStyle="1" w:styleId="79">
    <w:name w:val="环小四12345 Char"/>
    <w:link w:val="80"/>
    <w:qFormat/>
    <w:locked/>
    <w:uiPriority w:val="0"/>
    <w:rPr>
      <w:rFonts w:ascii="宋体" w:hAnsi="宋体"/>
      <w:b/>
      <w:kern w:val="2"/>
      <w:sz w:val="24"/>
      <w:szCs w:val="24"/>
      <w:lang w:val="en-US" w:eastAsia="zh-CN" w:bidi="ar-SA"/>
    </w:rPr>
  </w:style>
  <w:style w:type="paragraph" w:customStyle="1" w:styleId="80">
    <w:name w:val="环小四12345"/>
    <w:link w:val="79"/>
    <w:qFormat/>
    <w:uiPriority w:val="0"/>
    <w:pPr>
      <w:widowControl w:val="0"/>
      <w:snapToGrid w:val="0"/>
      <w:ind w:firstLine="200" w:firstLineChars="200"/>
    </w:pPr>
    <w:rPr>
      <w:rFonts w:ascii="宋体" w:hAnsi="宋体" w:eastAsia="宋体" w:cs="Times New Roman"/>
      <w:b/>
      <w:kern w:val="2"/>
      <w:sz w:val="24"/>
      <w:szCs w:val="24"/>
      <w:lang w:val="en-US" w:eastAsia="zh-CN" w:bidi="ar-SA"/>
    </w:rPr>
  </w:style>
  <w:style w:type="character" w:customStyle="1" w:styleId="81">
    <w:name w:val="环小四文中说明 Char"/>
    <w:link w:val="82"/>
    <w:qFormat/>
    <w:locked/>
    <w:uiPriority w:val="0"/>
    <w:rPr>
      <w:rFonts w:ascii="宋体" w:hAnsi="宋体"/>
      <w:kern w:val="2"/>
      <w:sz w:val="24"/>
      <w:szCs w:val="24"/>
      <w:lang w:val="en-US" w:eastAsia="zh-CN" w:bidi="ar-SA"/>
    </w:rPr>
  </w:style>
  <w:style w:type="paragraph" w:customStyle="1" w:styleId="82">
    <w:name w:val="环小四文中说明"/>
    <w:link w:val="81"/>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character" w:customStyle="1" w:styleId="83">
    <w:name w:val="font01"/>
    <w:qFormat/>
    <w:uiPriority w:val="0"/>
    <w:rPr>
      <w:rFonts w:hint="eastAsia" w:ascii="宋体" w:hAnsi="宋体" w:eastAsia="宋体" w:cs="宋体"/>
      <w:color w:val="FF0000"/>
      <w:kern w:val="0"/>
      <w:sz w:val="18"/>
      <w:szCs w:val="18"/>
      <w:u w:val="none"/>
    </w:rPr>
  </w:style>
  <w:style w:type="character" w:customStyle="1" w:styleId="84">
    <w:name w:val="正文文本缩进 2 字符1"/>
    <w:semiHidden/>
    <w:qFormat/>
    <w:uiPriority w:val="99"/>
    <w:rPr>
      <w:kern w:val="2"/>
      <w:sz w:val="21"/>
      <w:szCs w:val="24"/>
    </w:rPr>
  </w:style>
  <w:style w:type="character" w:customStyle="1" w:styleId="85">
    <w:name w:val="样式11 Char"/>
    <w:link w:val="86"/>
    <w:qFormat/>
    <w:locked/>
    <w:uiPriority w:val="0"/>
    <w:rPr>
      <w:sz w:val="28"/>
      <w:szCs w:val="28"/>
    </w:rPr>
  </w:style>
  <w:style w:type="paragraph" w:customStyle="1" w:styleId="86">
    <w:name w:val="样式11"/>
    <w:basedOn w:val="1"/>
    <w:link w:val="85"/>
    <w:qFormat/>
    <w:uiPriority w:val="0"/>
    <w:pPr>
      <w:ind w:firstLine="200" w:firstLineChars="200"/>
    </w:pPr>
    <w:rPr>
      <w:kern w:val="0"/>
      <w:sz w:val="28"/>
      <w:szCs w:val="28"/>
    </w:rPr>
  </w:style>
  <w:style w:type="character" w:customStyle="1" w:styleId="87">
    <w:name w:val="px_10"/>
    <w:qFormat/>
    <w:uiPriority w:val="0"/>
  </w:style>
  <w:style w:type="character" w:customStyle="1" w:styleId="88">
    <w:name w:val="px10"/>
    <w:qFormat/>
    <w:uiPriority w:val="0"/>
  </w:style>
  <w:style w:type="character" w:customStyle="1" w:styleId="89">
    <w:name w:val="环小四1.1.1（三级） Char"/>
    <w:link w:val="90"/>
    <w:qFormat/>
    <w:locked/>
    <w:uiPriority w:val="0"/>
    <w:rPr>
      <w:rFonts w:ascii="宋体" w:hAnsi="宋体" w:eastAsia="楷体_GB2312"/>
      <w:b/>
      <w:bCs/>
      <w:kern w:val="44"/>
      <w:sz w:val="24"/>
      <w:szCs w:val="24"/>
      <w:lang w:val="en-US" w:eastAsia="zh-CN" w:bidi="ar-SA"/>
    </w:rPr>
  </w:style>
  <w:style w:type="paragraph" w:customStyle="1" w:styleId="90">
    <w:name w:val="环小四1.1.1（三级）"/>
    <w:link w:val="89"/>
    <w:qFormat/>
    <w:uiPriority w:val="0"/>
    <w:pPr>
      <w:widowControl w:val="0"/>
      <w:snapToGrid w:val="0"/>
      <w:spacing w:line="500" w:lineRule="exact"/>
      <w:outlineLvl w:val="2"/>
    </w:pPr>
    <w:rPr>
      <w:rFonts w:ascii="宋体" w:hAnsi="宋体" w:eastAsia="楷体_GB2312" w:cs="Times New Roman"/>
      <w:b/>
      <w:bCs/>
      <w:kern w:val="44"/>
      <w:sz w:val="24"/>
      <w:szCs w:val="24"/>
      <w:lang w:val="en-US" w:eastAsia="zh-CN" w:bidi="ar-SA"/>
    </w:rPr>
  </w:style>
  <w:style w:type="character" w:customStyle="1" w:styleId="91">
    <w:name w:val="title"/>
    <w:qFormat/>
    <w:uiPriority w:val="0"/>
  </w:style>
  <w:style w:type="character" w:customStyle="1" w:styleId="92">
    <w:name w:val="apple-converted-space"/>
    <w:qFormat/>
    <w:uiPriority w:val="0"/>
  </w:style>
  <w:style w:type="character" w:customStyle="1" w:styleId="93">
    <w:name w:val="layui-laypage-curr"/>
    <w:qFormat/>
    <w:uiPriority w:val="0"/>
  </w:style>
  <w:style w:type="character" w:customStyle="1" w:styleId="94">
    <w:name w:val="批注文字 Char1"/>
    <w:qFormat/>
    <w:uiPriority w:val="99"/>
    <w:rPr>
      <w:kern w:val="2"/>
      <w:sz w:val="21"/>
      <w:szCs w:val="24"/>
    </w:rPr>
  </w:style>
  <w:style w:type="character" w:customStyle="1" w:styleId="95">
    <w:name w:val="副标题 字符1"/>
    <w:qFormat/>
    <w:uiPriority w:val="11"/>
    <w:rPr>
      <w:rFonts w:ascii="等线 Light" w:hAnsi="等线 Light" w:cs="Times New Roman"/>
      <w:b/>
      <w:bCs/>
      <w:kern w:val="28"/>
      <w:sz w:val="32"/>
      <w:szCs w:val="32"/>
    </w:rPr>
  </w:style>
  <w:style w:type="character" w:customStyle="1" w:styleId="96">
    <w:name w:val="正文文本 2 字符1"/>
    <w:semiHidden/>
    <w:qFormat/>
    <w:uiPriority w:val="99"/>
    <w:rPr>
      <w:kern w:val="2"/>
      <w:sz w:val="21"/>
      <w:szCs w:val="24"/>
    </w:rPr>
  </w:style>
  <w:style w:type="character" w:customStyle="1" w:styleId="97">
    <w:name w:val="正文文本缩进 3 Char1"/>
    <w:semiHidden/>
    <w:qFormat/>
    <w:uiPriority w:val="99"/>
    <w:rPr>
      <w:kern w:val="2"/>
      <w:sz w:val="16"/>
      <w:szCs w:val="16"/>
    </w:rPr>
  </w:style>
  <w:style w:type="character" w:customStyle="1" w:styleId="98">
    <w:name w:val="标题 字符1"/>
    <w:qFormat/>
    <w:uiPriority w:val="10"/>
    <w:rPr>
      <w:rFonts w:ascii="等线 Light" w:hAnsi="等线 Light" w:cs="Times New Roman"/>
      <w:b/>
      <w:bCs/>
      <w:kern w:val="2"/>
      <w:sz w:val="32"/>
      <w:szCs w:val="32"/>
    </w:rPr>
  </w:style>
  <w:style w:type="character" w:customStyle="1" w:styleId="99">
    <w:name w:val="label"/>
    <w:qFormat/>
    <w:uiPriority w:val="0"/>
    <w:rPr>
      <w:color w:val="999999"/>
    </w:rPr>
  </w:style>
  <w:style w:type="character" w:customStyle="1" w:styleId="100">
    <w:name w:val="zizicopy1"/>
    <w:qFormat/>
    <w:uiPriority w:val="0"/>
    <w:rPr>
      <w:color w:val="E8E8E8"/>
      <w:spacing w:val="14"/>
      <w:sz w:val="18"/>
      <w:szCs w:val="18"/>
    </w:rPr>
  </w:style>
  <w:style w:type="character" w:customStyle="1" w:styleId="101">
    <w:name w:val="环小四1.1（二级） Char"/>
    <w:link w:val="102"/>
    <w:qFormat/>
    <w:locked/>
    <w:uiPriority w:val="0"/>
    <w:rPr>
      <w:rFonts w:ascii="宋体" w:hAnsi="宋体"/>
      <w:b/>
      <w:bCs/>
      <w:kern w:val="24"/>
      <w:sz w:val="24"/>
      <w:szCs w:val="24"/>
      <w:lang w:val="en-US" w:eastAsia="zh-CN" w:bidi="ar-SA"/>
    </w:rPr>
  </w:style>
  <w:style w:type="paragraph" w:customStyle="1" w:styleId="102">
    <w:name w:val="环小四1.1（二级）"/>
    <w:link w:val="101"/>
    <w:qFormat/>
    <w:uiPriority w:val="0"/>
    <w:pPr>
      <w:widowControl w:val="0"/>
      <w:jc w:val="both"/>
      <w:outlineLvl w:val="1"/>
    </w:pPr>
    <w:rPr>
      <w:rFonts w:ascii="宋体" w:hAnsi="宋体" w:eastAsia="宋体" w:cs="Times New Roman"/>
      <w:b/>
      <w:bCs/>
      <w:kern w:val="24"/>
      <w:sz w:val="24"/>
      <w:szCs w:val="24"/>
      <w:lang w:val="en-US" w:eastAsia="zh-CN" w:bidi="ar-SA"/>
    </w:rPr>
  </w:style>
  <w:style w:type="character" w:customStyle="1" w:styleId="103">
    <w:name w:val="font11"/>
    <w:basedOn w:val="47"/>
    <w:qFormat/>
    <w:uiPriority w:val="0"/>
    <w:rPr>
      <w:rFonts w:hint="eastAsia" w:ascii="宋体" w:hAnsi="宋体" w:eastAsia="宋体" w:cs="宋体"/>
      <w:color w:val="000000"/>
      <w:kern w:val="0"/>
      <w:sz w:val="18"/>
      <w:szCs w:val="18"/>
      <w:u w:val="none"/>
    </w:rPr>
  </w:style>
  <w:style w:type="character" w:customStyle="1" w:styleId="104">
    <w:name w:val="apple-style-span"/>
    <w:qFormat/>
    <w:uiPriority w:val="0"/>
  </w:style>
  <w:style w:type="character" w:customStyle="1" w:styleId="105">
    <w:name w:val="正文文本首行缩进 字符1"/>
    <w:semiHidden/>
    <w:qFormat/>
    <w:uiPriority w:val="99"/>
    <w:rPr>
      <w:rFonts w:ascii="Times New Roman" w:hAnsi="Times New Roman" w:eastAsia="宋体" w:cs="Times New Roman"/>
      <w:kern w:val="2"/>
      <w:sz w:val="21"/>
      <w:szCs w:val="24"/>
    </w:rPr>
  </w:style>
  <w:style w:type="character" w:customStyle="1" w:styleId="106">
    <w:name w:val="页脚 Char1"/>
    <w:semiHidden/>
    <w:qFormat/>
    <w:uiPriority w:val="99"/>
    <w:rPr>
      <w:kern w:val="2"/>
      <w:sz w:val="18"/>
      <w:szCs w:val="18"/>
    </w:rPr>
  </w:style>
  <w:style w:type="character" w:customStyle="1" w:styleId="107">
    <w:name w:val="日期 字符1"/>
    <w:semiHidden/>
    <w:qFormat/>
    <w:uiPriority w:val="99"/>
    <w:rPr>
      <w:kern w:val="2"/>
      <w:sz w:val="21"/>
      <w:szCs w:val="24"/>
    </w:rPr>
  </w:style>
  <w:style w:type="character" w:customStyle="1" w:styleId="108">
    <w:name w:val="15"/>
    <w:qFormat/>
    <w:uiPriority w:val="0"/>
  </w:style>
  <w:style w:type="character" w:customStyle="1" w:styleId="109">
    <w:name w:val="纯文本 Char1"/>
    <w:qFormat/>
    <w:locked/>
    <w:uiPriority w:val="0"/>
    <w:rPr>
      <w:rFonts w:hint="eastAsia" w:ascii="宋体" w:hAnsi="Courier New" w:eastAsia="宋体" w:cs="Courier New"/>
      <w:kern w:val="2"/>
      <w:sz w:val="21"/>
      <w:szCs w:val="21"/>
    </w:rPr>
  </w:style>
  <w:style w:type="character" w:customStyle="1" w:styleId="110">
    <w:name w:val="环小四内容 Char Char"/>
    <w:link w:val="111"/>
    <w:qFormat/>
    <w:locked/>
    <w:uiPriority w:val="0"/>
    <w:rPr>
      <w:rFonts w:ascii="宋体" w:hAnsi="Calibri" w:eastAsia="宋体"/>
      <w:sz w:val="24"/>
      <w:szCs w:val="24"/>
    </w:rPr>
  </w:style>
  <w:style w:type="paragraph" w:customStyle="1" w:styleId="111">
    <w:name w:val="环小四内容"/>
    <w:basedOn w:val="1"/>
    <w:link w:val="110"/>
    <w:qFormat/>
    <w:uiPriority w:val="0"/>
    <w:pPr>
      <w:ind w:firstLine="200" w:firstLineChars="200"/>
      <w:jc w:val="left"/>
    </w:pPr>
    <w:rPr>
      <w:rFonts w:ascii="宋体" w:hAnsi="Calibri"/>
      <w:kern w:val="0"/>
      <w:sz w:val="24"/>
    </w:rPr>
  </w:style>
  <w:style w:type="character" w:customStyle="1" w:styleId="112">
    <w:name w:val="正文文本 Char"/>
    <w:qFormat/>
    <w:uiPriority w:val="99"/>
    <w:rPr>
      <w:kern w:val="2"/>
      <w:sz w:val="21"/>
      <w:szCs w:val="24"/>
    </w:rPr>
  </w:style>
  <w:style w:type="paragraph" w:customStyle="1" w:styleId="113">
    <w:name w:val="样式 标题 3h3H3sect1.2.3 + 五号 段前: 6 磅 段后: 6 磅 行距: 单倍行距"/>
    <w:basedOn w:val="6"/>
    <w:qFormat/>
    <w:uiPriority w:val="0"/>
    <w:pPr>
      <w:adjustRightInd/>
      <w:spacing w:before="120" w:after="120" w:line="240" w:lineRule="auto"/>
    </w:pPr>
    <w:rPr>
      <w:rFonts w:ascii="Times New Roman" w:hAnsi="Times New Roman"/>
      <w:bCs/>
      <w:kern w:val="2"/>
      <w:sz w:val="21"/>
    </w:rPr>
  </w:style>
  <w:style w:type="paragraph" w:customStyle="1" w:styleId="114">
    <w:name w:val="xl23"/>
    <w:basedOn w:val="1"/>
    <w:qFormat/>
    <w:uiPriority w:val="99"/>
    <w:pPr>
      <w:widowControl/>
      <w:spacing w:before="100" w:beforeAutospacing="1" w:after="100" w:afterAutospacing="1" w:line="360" w:lineRule="auto"/>
    </w:pPr>
    <w:rPr>
      <w:kern w:val="0"/>
      <w:sz w:val="24"/>
    </w:rPr>
  </w:style>
  <w:style w:type="paragraph" w:customStyle="1" w:styleId="115">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17">
    <w:name w:val="图1"/>
    <w:basedOn w:val="1"/>
    <w:next w:val="1"/>
    <w:qFormat/>
    <w:uiPriority w:val="99"/>
    <w:pPr>
      <w:numPr>
        <w:ilvl w:val="0"/>
        <w:numId w:val="3"/>
      </w:numPr>
      <w:spacing w:beforeLines="50" w:line="360" w:lineRule="auto"/>
      <w:ind w:left="4420" w:hanging="748"/>
      <w:jc w:val="center"/>
    </w:pPr>
    <w:rPr>
      <w:kern w:val="0"/>
      <w:sz w:val="24"/>
    </w:rPr>
  </w:style>
  <w:style w:type="paragraph" w:customStyle="1" w:styleId="118">
    <w:name w:val="arialblack10"/>
    <w:basedOn w:val="1"/>
    <w:qFormat/>
    <w:uiPriority w:val="99"/>
    <w:pPr>
      <w:widowControl/>
      <w:spacing w:before="100" w:beforeAutospacing="1" w:after="100" w:afterAutospacing="1"/>
      <w:jc w:val="left"/>
    </w:pPr>
    <w:rPr>
      <w:rFonts w:ascii="Arial" w:hAnsi="Arial" w:cs="Arial"/>
      <w:color w:val="000000"/>
      <w:kern w:val="0"/>
      <w:sz w:val="17"/>
      <w:szCs w:val="17"/>
    </w:rPr>
  </w:style>
  <w:style w:type="paragraph" w:customStyle="1" w:styleId="119">
    <w:name w:val="正文－恩普"/>
    <w:basedOn w:val="12"/>
    <w:qFormat/>
    <w:uiPriority w:val="0"/>
    <w:pPr>
      <w:widowControl/>
      <w:spacing w:after="156" w:afterLines="50" w:line="360" w:lineRule="auto"/>
      <w:ind w:firstLine="480"/>
      <w:jc w:val="left"/>
    </w:pPr>
    <w:rPr>
      <w:rFonts w:ascii="Times New Roman" w:hAnsi="Times New Roman"/>
      <w:sz w:val="24"/>
      <w:szCs w:val="20"/>
    </w:rPr>
  </w:style>
  <w:style w:type="paragraph" w:styleId="120">
    <w:name w:val="List Paragraph"/>
    <w:basedOn w:val="1"/>
    <w:qFormat/>
    <w:uiPriority w:val="34"/>
    <w:pPr>
      <w:ind w:firstLine="420" w:firstLineChars="200"/>
    </w:pPr>
    <w:rPr>
      <w:szCs w:val="22"/>
    </w:rPr>
  </w:style>
  <w:style w:type="paragraph" w:customStyle="1" w:styleId="121">
    <w:name w:val="Body Text Indent 21"/>
    <w:basedOn w:val="1"/>
    <w:qFormat/>
    <w:uiPriority w:val="99"/>
    <w:pPr>
      <w:spacing w:before="120" w:after="120"/>
      <w:ind w:left="540"/>
    </w:pPr>
    <w:rPr>
      <w:sz w:val="24"/>
      <w:szCs w:val="22"/>
    </w:rPr>
  </w:style>
  <w:style w:type="paragraph" w:customStyle="1" w:styleId="122">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23">
    <w:name w:val="List Paragraph1"/>
    <w:basedOn w:val="1"/>
    <w:qFormat/>
    <w:uiPriority w:val="0"/>
    <w:pPr>
      <w:ind w:firstLine="420" w:firstLineChars="200"/>
    </w:pPr>
  </w:style>
  <w:style w:type="paragraph" w:customStyle="1" w:styleId="124">
    <w:name w:val=" Char"/>
    <w:basedOn w:val="1"/>
    <w:qFormat/>
    <w:uiPriority w:val="0"/>
    <w:rPr>
      <w:rFonts w:ascii="Tahoma" w:hAnsi="Tahoma"/>
      <w:sz w:val="24"/>
      <w:szCs w:val="20"/>
    </w:rPr>
  </w:style>
  <w:style w:type="paragraph" w:customStyle="1" w:styleId="125">
    <w:name w:val="样式 标题 1 + 四号 居中 段前: 12 磅 段后: 12 磅 行距: 单倍行距"/>
    <w:basedOn w:val="4"/>
    <w:qFormat/>
    <w:uiPriority w:val="0"/>
    <w:pPr>
      <w:spacing w:before="240" w:after="240" w:line="240" w:lineRule="auto"/>
      <w:jc w:val="center"/>
    </w:pPr>
    <w:rPr>
      <w:rFonts w:ascii="Times New Roman" w:hAnsi="Times New Roman" w:cs="宋体"/>
      <w:sz w:val="28"/>
      <w:szCs w:val="20"/>
    </w:rPr>
  </w:style>
  <w:style w:type="paragraph" w:customStyle="1" w:styleId="126">
    <w:name w:val="112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样式 标题 2 + 宋体 五号 非加粗 黑色"/>
    <w:basedOn w:val="5"/>
    <w:qFormat/>
    <w:uiPriority w:val="0"/>
    <w:pPr>
      <w:spacing w:line="416" w:lineRule="atLeast"/>
    </w:pPr>
    <w:rPr>
      <w:rFonts w:ascii="宋体" w:hAnsi="宋体" w:eastAsia="宋体"/>
      <w:b w:val="0"/>
      <w:color w:val="000000"/>
      <w:kern w:val="2"/>
      <w:sz w:val="21"/>
      <w:szCs w:val="32"/>
    </w:rPr>
  </w:style>
  <w:style w:type="paragraph" w:customStyle="1" w:styleId="128">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Char"/>
    <w:basedOn w:val="1"/>
    <w:qFormat/>
    <w:uiPriority w:val="99"/>
    <w:pPr>
      <w:widowControl/>
      <w:spacing w:after="160" w:line="240" w:lineRule="exact"/>
      <w:jc w:val="left"/>
    </w:pPr>
    <w:rPr>
      <w:rFonts w:ascii="Verdana" w:hAnsi="Verdana" w:eastAsia="楷体_GB2312"/>
      <w:kern w:val="0"/>
      <w:sz w:val="18"/>
      <w:szCs w:val="20"/>
      <w:lang w:eastAsia="en-US"/>
    </w:rPr>
  </w:style>
  <w:style w:type="paragraph" w:customStyle="1" w:styleId="131">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32">
    <w:name w:val="Char Char"/>
    <w:basedOn w:val="1"/>
    <w:qFormat/>
    <w:uiPriority w:val="0"/>
    <w:rPr>
      <w:rFonts w:ascii="Times New Roman" w:hAnsi="Times New Roman" w:eastAsia="Times New Roman"/>
      <w:kern w:val="0"/>
      <w:sz w:val="20"/>
      <w:szCs w:val="20"/>
    </w:rPr>
  </w:style>
  <w:style w:type="paragraph" w:customStyle="1" w:styleId="133">
    <w:name w:val="_Style 1"/>
    <w:basedOn w:val="1"/>
    <w:qFormat/>
    <w:uiPriority w:val="0"/>
    <w:pPr>
      <w:ind w:firstLine="420" w:firstLineChars="200"/>
    </w:pPr>
  </w:style>
  <w:style w:type="paragraph" w:customStyle="1" w:styleId="134">
    <w:name w:val="列出段落1"/>
    <w:basedOn w:val="1"/>
    <w:qFormat/>
    <w:uiPriority w:val="0"/>
    <w:pPr>
      <w:ind w:firstLine="420" w:firstLineChars="200"/>
    </w:pPr>
    <w:rPr>
      <w:rFonts w:ascii="Times New Roman" w:hAnsi="Times New Roman"/>
    </w:rPr>
  </w:style>
  <w:style w:type="paragraph" w:customStyle="1" w:styleId="13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Char Char Char Char"/>
    <w:basedOn w:val="1"/>
    <w:qFormat/>
    <w:uiPriority w:val="0"/>
    <w:rPr>
      <w:szCs w:val="20"/>
    </w:rPr>
  </w:style>
  <w:style w:type="paragraph" w:customStyle="1" w:styleId="137">
    <w:name w:val="列出段落11"/>
    <w:basedOn w:val="1"/>
    <w:qFormat/>
    <w:uiPriority w:val="0"/>
    <w:pPr>
      <w:ind w:firstLine="420" w:firstLineChars="200"/>
    </w:pPr>
    <w:rPr>
      <w:szCs w:val="22"/>
    </w:rPr>
  </w:style>
  <w:style w:type="paragraph" w:customStyle="1" w:styleId="138">
    <w:name w:val="型号"/>
    <w:basedOn w:val="1"/>
    <w:qFormat/>
    <w:uiPriority w:val="0"/>
    <w:pPr>
      <w:ind w:left="357"/>
      <w:jc w:val="left"/>
    </w:pPr>
    <w:rPr>
      <w:rFonts w:ascii="宋体" w:hAnsi="宋体"/>
      <w:sz w:val="18"/>
      <w:szCs w:val="18"/>
    </w:rPr>
  </w:style>
  <w:style w:type="paragraph" w:customStyle="1" w:styleId="139">
    <w:name w:val="默认段落字体 Para Char Char Char Char Char Char Char"/>
    <w:basedOn w:val="1"/>
    <w:qFormat/>
    <w:uiPriority w:val="0"/>
    <w:pPr>
      <w:adjustRightInd w:val="0"/>
      <w:spacing w:line="360" w:lineRule="auto"/>
      <w:ind w:left="200" w:hanging="200" w:hangingChars="200"/>
    </w:pPr>
  </w:style>
  <w:style w:type="paragraph" w:customStyle="1" w:styleId="140">
    <w:name w:val="_Style 2"/>
    <w:basedOn w:val="1"/>
    <w:qFormat/>
    <w:uiPriority w:val="34"/>
    <w:pPr>
      <w:ind w:firstLine="420" w:firstLineChars="200"/>
    </w:pPr>
  </w:style>
  <w:style w:type="paragraph" w:customStyle="1" w:styleId="141">
    <w:name w:val="样式1"/>
    <w:basedOn w:val="1"/>
    <w:next w:val="7"/>
    <w:qFormat/>
    <w:uiPriority w:val="0"/>
    <w:pPr>
      <w:jc w:val="center"/>
    </w:pPr>
    <w:rPr>
      <w:rFonts w:ascii="宋体" w:hAnsi="宋体"/>
      <w:sz w:val="30"/>
      <w:szCs w:val="28"/>
    </w:rPr>
  </w:style>
  <w:style w:type="paragraph" w:customStyle="1" w:styleId="142">
    <w:name w:val="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3">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44">
    <w:name w:val="Char2"/>
    <w:basedOn w:val="1"/>
    <w:qFormat/>
    <w:uiPriority w:val="99"/>
    <w:rPr>
      <w:sz w:val="24"/>
      <w:szCs w:val="20"/>
    </w:rPr>
  </w:style>
  <w:style w:type="paragraph" w:customStyle="1" w:styleId="145">
    <w:name w:val="列出段落2"/>
    <w:basedOn w:val="1"/>
    <w:qFormat/>
    <w:uiPriority w:val="0"/>
    <w:pPr>
      <w:ind w:firstLine="420" w:firstLineChars="200"/>
    </w:pPr>
    <w:rPr>
      <w:rFonts w:ascii="Times New Roman" w:hAnsi="Times New Roman"/>
    </w:rPr>
  </w:style>
  <w:style w:type="paragraph" w:customStyle="1" w:styleId="146">
    <w:name w:val="Char Char1"/>
    <w:basedOn w:val="1"/>
    <w:qFormat/>
    <w:uiPriority w:val="99"/>
    <w:rPr>
      <w:szCs w:val="21"/>
    </w:rPr>
  </w:style>
  <w:style w:type="paragraph" w:customStyle="1" w:styleId="147">
    <w:name w:val="WPSOffice手动目录 1"/>
    <w:qFormat/>
    <w:uiPriority w:val="0"/>
    <w:rPr>
      <w:rFonts w:ascii="Times New Roman" w:hAnsi="Times New Roman" w:eastAsia="宋体" w:cs="Times New Roman"/>
      <w:lang w:val="en-US" w:eastAsia="zh-CN" w:bidi="ar-SA"/>
    </w:rPr>
  </w:style>
  <w:style w:type="paragraph" w:customStyle="1" w:styleId="148">
    <w:name w:val="Char1"/>
    <w:basedOn w:val="1"/>
    <w:qFormat/>
    <w:uiPriority w:val="99"/>
    <w:pPr>
      <w:widowControl/>
      <w:spacing w:after="160" w:line="240" w:lineRule="exact"/>
      <w:jc w:val="left"/>
    </w:pPr>
    <w:rPr>
      <w:kern w:val="0"/>
      <w:sz w:val="24"/>
    </w:rPr>
  </w:style>
  <w:style w:type="paragraph" w:customStyle="1" w:styleId="149">
    <w:name w:val="正文2"/>
    <w:basedOn w:val="1"/>
    <w:qFormat/>
    <w:uiPriority w:val="99"/>
    <w:pPr>
      <w:widowControl/>
      <w:snapToGrid w:val="0"/>
      <w:spacing w:line="500" w:lineRule="atLeast"/>
      <w:ind w:firstLine="200" w:firstLineChars="200"/>
      <w:jc w:val="left"/>
    </w:pPr>
    <w:rPr>
      <w:sz w:val="24"/>
      <w:szCs w:val="20"/>
    </w:rPr>
  </w:style>
  <w:style w:type="paragraph" w:customStyle="1" w:styleId="150">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51">
    <w:name w:val="Normal (Web)"/>
    <w:basedOn w:val="1"/>
    <w:qFormat/>
    <w:uiPriority w:val="0"/>
    <w:pPr>
      <w:widowControl/>
      <w:spacing w:before="100" w:beforeAutospacing="1" w:after="100" w:afterAutospacing="1"/>
      <w:jc w:val="left"/>
    </w:pPr>
    <w:rPr>
      <w:rFonts w:hint="eastAsia" w:ascii="宋体" w:hAnsi="宋体"/>
      <w:sz w:val="24"/>
      <w:szCs w:val="20"/>
    </w:rPr>
  </w:style>
  <w:style w:type="paragraph" w:styleId="1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2级正文"/>
    <w:basedOn w:val="1"/>
    <w:qFormat/>
    <w:uiPriority w:val="0"/>
    <w:pPr>
      <w:ind w:left="721" w:hanging="420"/>
      <w:jc w:val="left"/>
    </w:pPr>
    <w:rPr>
      <w:rFonts w:ascii="宋体" w:hAnsi="宋体" w:cs="宋体"/>
      <w:szCs w:val="21"/>
    </w:rPr>
  </w:style>
  <w:style w:type="paragraph" w:customStyle="1" w:styleId="154">
    <w:name w:val=" Char Char Char Char"/>
    <w:basedOn w:val="1"/>
    <w:qFormat/>
    <w:uiPriority w:val="0"/>
    <w:rPr>
      <w:rFonts w:ascii="Tahoma" w:hAnsi="Tahoma"/>
      <w:sz w:val="24"/>
      <w:szCs w:val="20"/>
    </w:rPr>
  </w:style>
  <w:style w:type="paragraph" w:customStyle="1" w:styleId="155">
    <w:name w:val="Char Char Char2 Char Char Char Char"/>
    <w:basedOn w:val="1"/>
    <w:qFormat/>
    <w:uiPriority w:val="99"/>
    <w:pPr>
      <w:spacing w:line="360" w:lineRule="auto"/>
      <w:ind w:firstLine="200" w:firstLineChars="200"/>
    </w:pPr>
    <w:rPr>
      <w:rFonts w:ascii="宋体" w:hAnsi="宋体" w:cs="宋体"/>
      <w:sz w:val="24"/>
    </w:rPr>
  </w:style>
  <w:style w:type="paragraph" w:customStyle="1" w:styleId="156">
    <w:name w:val="正文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7">
    <w:name w:val="标题ZY-2"/>
    <w:basedOn w:val="1"/>
    <w:qFormat/>
    <w:uiPriority w:val="0"/>
    <w:rPr>
      <w:szCs w:val="20"/>
    </w:rPr>
  </w:style>
  <w:style w:type="paragraph" w:customStyle="1" w:styleId="158">
    <w:name w:val="列表段落1"/>
    <w:basedOn w:val="1"/>
    <w:qFormat/>
    <w:uiPriority w:val="99"/>
    <w:pPr>
      <w:ind w:firstLine="420" w:firstLineChars="200"/>
    </w:pPr>
  </w:style>
  <w:style w:type="paragraph" w:customStyle="1" w:styleId="159">
    <w:name w:val="Heading3"/>
    <w:basedOn w:val="1"/>
    <w:next w:val="160"/>
    <w:qFormat/>
    <w:uiPriority w:val="0"/>
    <w:pPr>
      <w:keepNext/>
      <w:keepLines/>
      <w:numPr>
        <w:ilvl w:val="2"/>
        <w:numId w:val="4"/>
      </w:numPr>
      <w:spacing w:before="260" w:after="260" w:line="416" w:lineRule="atLeast"/>
      <w:jc w:val="left"/>
      <w:textAlignment w:val="baseline"/>
    </w:pPr>
    <w:rPr>
      <w:rFonts w:cs="Times New Roman"/>
      <w:b/>
      <w:bCs/>
      <w:kern w:val="0"/>
      <w:sz w:val="32"/>
      <w:szCs w:val="32"/>
      <w:lang w:val="en-US" w:eastAsia="zh-CN" w:bidi="ar-SA"/>
    </w:rPr>
  </w:style>
  <w:style w:type="paragraph" w:customStyle="1" w:styleId="160">
    <w:name w:val="NormalIndent"/>
    <w:basedOn w:val="1"/>
    <w:next w:val="1"/>
    <w:qFormat/>
    <w:uiPriority w:val="0"/>
    <w:pPr>
      <w:ind w:firstLine="420"/>
      <w:jc w:val="left"/>
      <w:textAlignment w:val="baseline"/>
    </w:pPr>
    <w:rPr>
      <w:rFonts w:ascii="宋体"/>
      <w:kern w:val="0"/>
      <w:sz w:val="24"/>
      <w:szCs w:val="24"/>
      <w:lang w:val="en-US" w:eastAsia="zh-CN" w:bidi="ar-SA"/>
    </w:rPr>
  </w:style>
  <w:style w:type="paragraph" w:customStyle="1" w:styleId="161">
    <w:name w:val="文档正文"/>
    <w:qFormat/>
    <w:uiPriority w:val="0"/>
    <w:pPr>
      <w:widowControl w:val="0"/>
      <w:adjustRightInd w:val="0"/>
      <w:spacing w:line="480" w:lineRule="atLeast"/>
      <w:jc w:val="both"/>
      <w:textAlignment w:val="baseline"/>
    </w:pPr>
    <w:rPr>
      <w:rFonts w:ascii="宋体" w:hAnsi="Arial" w:eastAsia="宋体" w:cs="Times New Roman"/>
      <w:sz w:val="21"/>
      <w:szCs w:val="24"/>
      <w:lang w:val="en-US" w:eastAsia="zh-CN" w:bidi="ar-SA"/>
    </w:rPr>
  </w:style>
  <w:style w:type="paragraph" w:customStyle="1" w:styleId="162">
    <w:name w:val="DAS正文"/>
    <w:basedOn w:val="1"/>
    <w:qFormat/>
    <w:uiPriority w:val="0"/>
    <w:pPr>
      <w:ind w:right="181" w:firstLine="480" w:firstLineChars="200"/>
    </w:pPr>
    <w:rPr>
      <w:rFonts w:ascii="Verdana" w:hAnsi="Verdana"/>
    </w:rPr>
  </w:style>
  <w:style w:type="character" w:customStyle="1" w:styleId="163">
    <w:name w:val="font21"/>
    <w:basedOn w:val="47"/>
    <w:qFormat/>
    <w:uiPriority w:val="0"/>
    <w:rPr>
      <w:rFonts w:hint="eastAsia" w:ascii="宋体" w:hAnsi="宋体" w:eastAsia="宋体" w:cs="宋体"/>
      <w:color w:val="000000"/>
      <w:sz w:val="24"/>
      <w:szCs w:val="24"/>
      <w:u w:val="none"/>
    </w:rPr>
  </w:style>
  <w:style w:type="character" w:customStyle="1" w:styleId="164">
    <w:name w:val="font31"/>
    <w:basedOn w:val="47"/>
    <w:qFormat/>
    <w:uiPriority w:val="0"/>
    <w:rPr>
      <w:rFonts w:hint="eastAsia" w:ascii="宋体" w:hAnsi="宋体" w:eastAsia="宋体" w:cs="宋体"/>
      <w:color w:val="FF0000"/>
      <w:sz w:val="24"/>
      <w:szCs w:val="24"/>
      <w:u w:val="none"/>
    </w:rPr>
  </w:style>
  <w:style w:type="paragraph" w:customStyle="1" w:styleId="16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Char Char Char"/>
    <w:basedOn w:val="1"/>
    <w:qFormat/>
    <w:uiPriority w:val="0"/>
    <w:rPr>
      <w:rFonts w:ascii="Tahoma" w:hAnsi="Tahoma" w:eastAsia="宋体" w:cs="Times New Roman"/>
      <w:sz w:val="24"/>
      <w:szCs w:val="20"/>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表格主体"/>
    <w:basedOn w:val="1"/>
    <w:qFormat/>
    <w:uiPriority w:val="0"/>
    <w:pPr>
      <w:contextualSpacing/>
      <w:jc w:val="center"/>
    </w:pPr>
    <w:rPr>
      <w:rFonts w:ascii="Times New Roman" w:hAnsi="Times New Roman" w:eastAsia="宋体" w:cs="宋体"/>
      <w:color w:val="auto"/>
      <w:kern w:val="2"/>
      <w:sz w:val="21"/>
    </w:rPr>
  </w:style>
  <w:style w:type="paragraph" w:customStyle="1" w:styleId="169">
    <w:name w:val="_正文"/>
    <w:basedOn w:val="1"/>
    <w:qFormat/>
    <w:uiPriority w:val="0"/>
    <w:pPr>
      <w:tabs>
        <w:tab w:val="left" w:pos="840"/>
      </w:tabs>
      <w:adjustRightInd/>
      <w:spacing w:line="360" w:lineRule="auto"/>
      <w:ind w:firstLine="200" w:firstLineChars="200"/>
    </w:pPr>
    <w:rPr>
      <w:sz w:val="24"/>
    </w:rPr>
  </w:style>
  <w:style w:type="paragraph" w:customStyle="1" w:styleId="170">
    <w:name w:val="TOC 标题1"/>
    <w:basedOn w:val="4"/>
    <w:next w:val="1"/>
    <w:unhideWhenUsed/>
    <w:qFormat/>
    <w:uiPriority w:val="99"/>
    <w:pPr>
      <w:outlineLvl w:val="9"/>
    </w:pPr>
    <w:rPr>
      <w:rFonts w:ascii="Calibri" w:hAnsi="Calibri"/>
    </w:rPr>
  </w:style>
  <w:style w:type="paragraph" w:customStyle="1" w:styleId="1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41058</Words>
  <Characters>42842</Characters>
  <Lines>1</Lines>
  <Paragraphs>1</Paragraphs>
  <TotalTime>5</TotalTime>
  <ScaleCrop>false</ScaleCrop>
  <LinksUpToDate>false</LinksUpToDate>
  <CharactersWithSpaces>47653</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2019-06-05T16:45:00Z</dcterms:created>
  <dc:creator>asd</dc:creator>
  <cp:lastModifiedBy>lee</cp:lastModifiedBy>
  <cp:lastPrinted>2023-11-01T17:10:00Z</cp:lastPrinted>
  <dcterms:modified xsi:type="dcterms:W3CDTF">2026-05-05T04:03:57Z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A2D8DE3B4C14427E80BE10E50B9A69D0_13</vt:lpwstr>
  </property>
  <property fmtid="{D5CDD505-2E9C-101B-9397-08002B2CF9AE}" pid="4" name="KSOTemplateDocerSaveRecord">
    <vt:lpwstr>eyJoZGlkIjoiNmEyNTQ5ZWUzNjM5MjU4YmVlMDJkYTk4NjNiMTgwMWQiLCJ1c2VySWQiOiIzMjU1OTUzMDkifQ==</vt:lpwstr>
  </property>
</Properties>
</file>