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总体服务要求</w:t>
      </w:r>
    </w:p>
    <w:p>
      <w:pPr>
        <w:pStyle w:val="4"/>
        <w:keepNext/>
        <w:keepLines/>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此项目中医疗业务云部分为租赁方式，提供服务的机房与院区间采用裸光纤构建双物理路由冗余架构，传输路径彼此独立，单条链路带宽≥10Gbps。使用65500字节数据包进行Ping测试，需满足双向端到端全链路时延≤3ms，且实现零丢包。所涉及硬件配置不能低于本标书所写配置参数。</w:t>
      </w:r>
    </w:p>
    <w:p>
      <w:pPr>
        <w:pStyle w:val="4"/>
        <w:pageBreakBefore w:val="0"/>
        <w:widowControl w:val="0"/>
        <w:numPr>
          <w:ilvl w:val="0"/>
          <w:numId w:val="1"/>
        </w:numPr>
        <w:kinsoku/>
        <w:wordWrap/>
        <w:overflowPunct/>
        <w:topLinePunct w:val="0"/>
        <w:autoSpaceDE/>
        <w:autoSpaceDN/>
        <w:bidi w:val="0"/>
        <w:adjustRightInd/>
        <w:snapToGrid/>
        <w:spacing w:line="400" w:lineRule="exact"/>
        <w:ind w:left="0" w:leftChars="0" w:firstLine="482"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原卫生部要求三级甲等医院核心业务信息系统安全保护等级不低于第三级，完善实施国家信息安全等级保护制度，实行信息系统操作权限分级管理，保障网络信息安全，保护患者隐私；推动系统运行维护的规范化管理，落实突发事件响应机制，保证业务的连续性，所提供的机房租赁的环境必须达到三级等级保护的要求</w:t>
      </w:r>
      <w:r>
        <w:rPr>
          <w:rFonts w:hint="default" w:ascii="仿宋" w:hAnsi="仿宋" w:eastAsia="仿宋" w:cs="仿宋"/>
          <w:sz w:val="24"/>
          <w:lang w:val="en-US" w:eastAsia="zh-CN"/>
        </w:rPr>
        <w:t>。</w:t>
      </w:r>
    </w:p>
    <w:p>
      <w:pPr>
        <w:pStyle w:val="4"/>
        <w:pageBreakBefore w:val="0"/>
        <w:widowControl w:val="0"/>
        <w:numPr>
          <w:ilvl w:val="0"/>
          <w:numId w:val="1"/>
        </w:numPr>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此次招标内容包含了云资源服务、云网络服务、云存储服务、云安全服务、IDC托管服务、云备份服务、数据库运维以及业务迁移服务</w:t>
      </w:r>
      <w:r>
        <w:rPr>
          <w:rFonts w:hint="eastAsia" w:ascii="仿宋" w:hAnsi="仿宋" w:eastAsia="仿宋" w:cs="仿宋"/>
          <w:sz w:val="24"/>
          <w:highlight w:val="none"/>
          <w:lang w:val="en-US" w:eastAsia="zh-CN"/>
        </w:rPr>
        <w:t>，需按照博尔塔拉蒙古自治州人民医院的要求</w:t>
      </w:r>
      <w:r>
        <w:rPr>
          <w:rFonts w:hint="default" w:ascii="仿宋" w:hAnsi="仿宋" w:eastAsia="仿宋" w:cs="仿宋"/>
          <w:sz w:val="24"/>
          <w:highlight w:val="none"/>
          <w:lang w:val="en-US" w:eastAsia="zh-CN"/>
        </w:rPr>
        <w:t>提供云服务</w:t>
      </w:r>
      <w:r>
        <w:rPr>
          <w:rFonts w:hint="eastAsia" w:ascii="仿宋" w:hAnsi="仿宋" w:eastAsia="仿宋" w:cs="仿宋"/>
          <w:sz w:val="24"/>
          <w:highlight w:val="none"/>
          <w:lang w:val="en-US" w:eastAsia="zh-CN"/>
        </w:rPr>
        <w:t>。</w:t>
      </w:r>
    </w:p>
    <w:p>
      <w:pPr>
        <w:pStyle w:val="4"/>
        <w:pageBreakBefore w:val="0"/>
        <w:widowControl w:val="0"/>
        <w:numPr>
          <w:ilvl w:val="0"/>
          <w:numId w:val="1"/>
        </w:numPr>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此次招标内容包含了ITO维保服务，要求RTO&lt;=2小时，RPO=0。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411C4"/>
    <w:multiLevelType w:val="singleLevel"/>
    <w:tmpl w:val="8B5411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14D02"/>
    <w:rsid w:val="40B1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Body Text"/>
    <w:basedOn w:val="1"/>
    <w:unhideWhenUsed/>
    <w:qFormat/>
    <w:uiPriority w:val="0"/>
    <w:pPr>
      <w:spacing w:line="300" w:lineRule="exact"/>
      <w:ind w:firstLine="460" w:firstLineChars="200"/>
      <w:jc w:val="left"/>
    </w:pPr>
    <w:rPr>
      <w:rFonts w:ascii="宋体" w:hAnsi="宋体"/>
      <w:kern w:val="0"/>
      <w:sz w:val="23"/>
      <w:szCs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2026-04-30T07:37:00Z</dcterms:created>
  <dc:creator>小怪兽</dc:creator>
  <cp:lastModifiedBy>小怪兽</cp:lastModifiedBy>
  <dcterms:modified xsi:type="dcterms:W3CDTF">2026-04-30T07:37:57Z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927900133B664EFFA530875023524E12</vt:lpwstr>
  </property>
</Properties>
</file>