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2A409">
      <w:pPr>
        <w:jc w:val="center"/>
        <w:rPr>
          <w:rFonts w:ascii="微软雅黑" w:eastAsia="微软雅黑"/>
          <w:bCs/>
          <w:color w:val="auto"/>
          <w:sz w:val="44"/>
          <w:szCs w:val="44"/>
        </w:rPr>
      </w:pPr>
      <w:r>
        <w:rPr>
          <w:rFonts w:hint="eastAsia" w:ascii="微软雅黑" w:eastAsia="微软雅黑"/>
          <w:bCs/>
          <w:color w:val="auto"/>
          <w:sz w:val="44"/>
          <w:szCs w:val="44"/>
        </w:rPr>
        <w:t>《浙江省中学实验仪器设备购置项目》</w:t>
      </w:r>
    </w:p>
    <w:p w14:paraId="22F0DE92">
      <w:pPr>
        <w:jc w:val="center"/>
        <w:rPr>
          <w:rFonts w:ascii="Times New Roman" w:hAnsi="Times New Roman" w:eastAsia="仿宋_GB2312"/>
          <w:b/>
          <w:color w:val="auto"/>
          <w:sz w:val="36"/>
          <w:szCs w:val="40"/>
        </w:rPr>
      </w:pPr>
      <w:r>
        <w:rPr>
          <w:rFonts w:hint="eastAsia" w:ascii="微软雅黑" w:eastAsia="微软雅黑"/>
          <w:bCs/>
          <w:color w:val="auto"/>
          <w:sz w:val="44"/>
          <w:szCs w:val="44"/>
        </w:rPr>
        <w:t>第二批采购项目（湖州）</w:t>
      </w:r>
    </w:p>
    <w:p w14:paraId="255EE46B">
      <w:pPr>
        <w:jc w:val="center"/>
        <w:rPr>
          <w:rFonts w:ascii="Times New Roman" w:hAnsi="Times New Roman" w:eastAsia="仿宋_GB2312"/>
          <w:b/>
          <w:color w:val="auto"/>
          <w:sz w:val="36"/>
          <w:szCs w:val="40"/>
        </w:rPr>
      </w:pPr>
    </w:p>
    <w:p w14:paraId="1A4D5633">
      <w:pPr>
        <w:jc w:val="center"/>
        <w:rPr>
          <w:rFonts w:ascii="楷体_GB2312" w:hAnsi="Times New Roman" w:eastAsia="楷体_GB2312"/>
          <w:b/>
          <w:color w:val="auto"/>
          <w:sz w:val="36"/>
          <w:szCs w:val="40"/>
        </w:rPr>
      </w:pPr>
      <w:r>
        <w:rPr>
          <w:rFonts w:hint="eastAsia" w:ascii="楷体_GB2312" w:hAnsi="Times New Roman" w:eastAsia="楷体_GB2312"/>
          <w:b/>
          <w:color w:val="auto"/>
          <w:sz w:val="36"/>
          <w:szCs w:val="40"/>
        </w:rPr>
        <w:t>项目编号：2026-SJYT-11</w:t>
      </w:r>
    </w:p>
    <w:p w14:paraId="593BC40D">
      <w:pPr>
        <w:jc w:val="center"/>
        <w:rPr>
          <w:rFonts w:eastAsia="仿宋_GB2312"/>
          <w:b/>
          <w:color w:val="auto"/>
          <w:sz w:val="48"/>
          <w:szCs w:val="48"/>
        </w:rPr>
      </w:pPr>
    </w:p>
    <w:p w14:paraId="5E5DF4C3">
      <w:pPr>
        <w:spacing w:before="120" w:beforeLines="50" w:after="120" w:afterLines="50"/>
        <w:jc w:val="center"/>
        <w:rPr>
          <w:rFonts w:eastAsia="仿宋_GB2312"/>
          <w:b/>
          <w:color w:val="auto"/>
          <w:sz w:val="84"/>
        </w:rPr>
      </w:pPr>
      <w:r>
        <w:rPr>
          <w:rFonts w:hint="eastAsia" w:eastAsia="仿宋_GB2312"/>
          <w:b/>
          <w:color w:val="auto"/>
          <w:sz w:val="84"/>
        </w:rPr>
        <w:t>公</w:t>
      </w:r>
    </w:p>
    <w:p w14:paraId="2C7185F5">
      <w:pPr>
        <w:spacing w:before="120" w:beforeLines="50" w:after="120" w:afterLines="50"/>
        <w:jc w:val="center"/>
        <w:rPr>
          <w:rFonts w:eastAsia="仿宋_GB2312"/>
          <w:b/>
          <w:color w:val="auto"/>
          <w:sz w:val="84"/>
        </w:rPr>
      </w:pPr>
      <w:r>
        <w:rPr>
          <w:rFonts w:hint="eastAsia" w:eastAsia="仿宋_GB2312"/>
          <w:b/>
          <w:color w:val="auto"/>
          <w:sz w:val="84"/>
        </w:rPr>
        <w:t>开</w:t>
      </w:r>
    </w:p>
    <w:p w14:paraId="5F11419C">
      <w:pPr>
        <w:spacing w:before="120" w:beforeLines="50" w:after="120" w:afterLines="50"/>
        <w:jc w:val="center"/>
        <w:rPr>
          <w:rFonts w:eastAsia="仿宋_GB2312"/>
          <w:b/>
          <w:color w:val="auto"/>
          <w:sz w:val="84"/>
        </w:rPr>
      </w:pPr>
      <w:r>
        <w:rPr>
          <w:rFonts w:hint="eastAsia" w:eastAsia="仿宋_GB2312"/>
          <w:b/>
          <w:color w:val="auto"/>
          <w:sz w:val="84"/>
        </w:rPr>
        <w:t>招</w:t>
      </w:r>
    </w:p>
    <w:p w14:paraId="42B8D673">
      <w:pPr>
        <w:spacing w:before="120" w:beforeLines="50" w:after="120" w:afterLines="50"/>
        <w:jc w:val="center"/>
        <w:rPr>
          <w:rFonts w:eastAsia="仿宋_GB2312"/>
          <w:b/>
          <w:color w:val="auto"/>
          <w:sz w:val="84"/>
        </w:rPr>
      </w:pPr>
      <w:r>
        <w:rPr>
          <w:rFonts w:hint="eastAsia" w:eastAsia="仿宋_GB2312"/>
          <w:b/>
          <w:color w:val="auto"/>
          <w:sz w:val="84"/>
        </w:rPr>
        <w:t>标</w:t>
      </w:r>
    </w:p>
    <w:p w14:paraId="77A9B212">
      <w:pPr>
        <w:spacing w:before="120" w:beforeLines="50" w:after="120" w:afterLines="50"/>
        <w:jc w:val="center"/>
        <w:rPr>
          <w:rFonts w:eastAsia="仿宋_GB2312"/>
          <w:b/>
          <w:color w:val="auto"/>
          <w:sz w:val="84"/>
        </w:rPr>
      </w:pPr>
      <w:r>
        <w:rPr>
          <w:rFonts w:hint="eastAsia" w:eastAsia="仿宋_GB2312"/>
          <w:b/>
          <w:color w:val="auto"/>
          <w:sz w:val="84"/>
        </w:rPr>
        <w:t>文</w:t>
      </w:r>
    </w:p>
    <w:p w14:paraId="2E0947D8">
      <w:pPr>
        <w:spacing w:before="120" w:beforeLines="50" w:after="120" w:afterLines="50"/>
        <w:jc w:val="center"/>
        <w:rPr>
          <w:rFonts w:eastAsia="仿宋_GB2312"/>
          <w:b/>
          <w:color w:val="auto"/>
          <w:sz w:val="84"/>
        </w:rPr>
      </w:pPr>
      <w:r>
        <w:rPr>
          <w:rFonts w:hint="eastAsia" w:eastAsia="仿宋_GB2312"/>
          <w:b/>
          <w:color w:val="auto"/>
          <w:sz w:val="84"/>
        </w:rPr>
        <w:t>件</w:t>
      </w:r>
    </w:p>
    <w:p w14:paraId="11378A94">
      <w:pPr>
        <w:jc w:val="center"/>
        <w:rPr>
          <w:rFonts w:ascii="Times New Roman" w:hAnsi="Times New Roman" w:eastAsia="仿宋_GB2312"/>
          <w:b/>
          <w:color w:val="auto"/>
          <w:sz w:val="36"/>
          <w:szCs w:val="40"/>
        </w:rPr>
      </w:pPr>
    </w:p>
    <w:p w14:paraId="22523D1C">
      <w:pPr>
        <w:jc w:val="center"/>
        <w:rPr>
          <w:rFonts w:ascii="Times New Roman" w:hAnsi="Times New Roman" w:eastAsia="仿宋_GB2312"/>
          <w:b/>
          <w:color w:val="auto"/>
          <w:sz w:val="36"/>
          <w:szCs w:val="40"/>
        </w:rPr>
      </w:pPr>
    </w:p>
    <w:p w14:paraId="724F5E8E">
      <w:pPr>
        <w:spacing w:line="640" w:lineRule="exact"/>
        <w:jc w:val="center"/>
        <w:rPr>
          <w:rFonts w:ascii="Times New Roman" w:hAnsi="Times New Roman" w:eastAsia="仿宋_GB2312"/>
          <w:b/>
          <w:color w:val="auto"/>
          <w:sz w:val="36"/>
          <w:szCs w:val="40"/>
        </w:rPr>
      </w:pPr>
      <w:r>
        <w:rPr>
          <w:rFonts w:hint="eastAsia" w:ascii="Times New Roman" w:hAnsi="Times New Roman" w:eastAsia="仿宋_GB2312"/>
          <w:b/>
          <w:color w:val="auto"/>
          <w:sz w:val="36"/>
          <w:szCs w:val="40"/>
        </w:rPr>
        <w:t>浙江省教育技术中心</w:t>
      </w:r>
    </w:p>
    <w:p w14:paraId="1FF0162A">
      <w:pPr>
        <w:jc w:val="center"/>
        <w:rPr>
          <w:rFonts w:eastAsia="仿宋_GB2312"/>
          <w:b/>
          <w:color w:val="auto"/>
          <w:sz w:val="36"/>
          <w:szCs w:val="40"/>
        </w:rPr>
      </w:pPr>
      <w:r>
        <w:rPr>
          <w:rFonts w:hint="eastAsia" w:eastAsia="仿宋_GB2312"/>
          <w:b/>
          <w:color w:val="auto"/>
          <w:sz w:val="36"/>
          <w:szCs w:val="40"/>
        </w:rPr>
        <w:t>2026年４月８日</w:t>
      </w:r>
    </w:p>
    <w:p w14:paraId="47E803F1">
      <w:pPr>
        <w:pStyle w:val="3"/>
        <w:rPr>
          <w:color w:val="auto"/>
        </w:rPr>
      </w:pPr>
    </w:p>
    <w:p w14:paraId="0E795622">
      <w:pPr>
        <w:pStyle w:val="15"/>
        <w:pageBreakBefore/>
        <w:spacing w:before="600" w:beforeLines="250" w:after="360" w:afterLines="150" w:line="360" w:lineRule="auto"/>
        <w:jc w:val="center"/>
        <w:rPr>
          <w:rFonts w:ascii="Times New Roman" w:hAnsi="Times New Roman" w:eastAsia="仿宋_GB2312"/>
          <w:b/>
          <w:color w:val="auto"/>
          <w:sz w:val="48"/>
          <w:szCs w:val="48"/>
        </w:rPr>
      </w:pPr>
      <w:r>
        <w:rPr>
          <w:rFonts w:hint="eastAsia" w:ascii="Times New Roman" w:hAnsi="Times New Roman" w:eastAsia="仿宋_GB2312"/>
          <w:b/>
          <w:color w:val="auto"/>
          <w:sz w:val="48"/>
          <w:szCs w:val="48"/>
        </w:rPr>
        <w:t>目    录</w:t>
      </w:r>
    </w:p>
    <w:p w14:paraId="0AB345F1">
      <w:pPr>
        <w:pStyle w:val="25"/>
        <w:tabs>
          <w:tab w:val="right" w:leader="dot" w:pos="8306"/>
        </w:tabs>
        <w:rPr>
          <w:rFonts w:eastAsia="仿宋_GB2312"/>
          <w:color w:val="auto"/>
          <w:kern w:val="0"/>
          <w:sz w:val="30"/>
          <w:szCs w:val="30"/>
        </w:rPr>
      </w:pPr>
      <w:r>
        <w:rPr>
          <w:rFonts w:hint="eastAsia" w:ascii="仿宋_GB2312" w:hAnsi="仿宋_GB2312" w:eastAsia="仿宋_GB2312" w:cs="仿宋_GB2312"/>
          <w:b/>
          <w:bCs/>
          <w:color w:val="auto"/>
          <w:sz w:val="32"/>
          <w:szCs w:val="32"/>
        </w:rPr>
        <w:fldChar w:fldCharType="begin"/>
      </w:r>
      <w:r>
        <w:rPr>
          <w:rFonts w:hint="eastAsia" w:ascii="仿宋_GB2312" w:hAnsi="仿宋_GB2312" w:eastAsia="仿宋_GB2312" w:cs="仿宋_GB2312"/>
          <w:b/>
          <w:bCs/>
          <w:color w:val="auto"/>
          <w:sz w:val="32"/>
          <w:szCs w:val="32"/>
        </w:rPr>
        <w:instrText xml:space="preserve"> TOC \o "1-1" \h \z \u </w:instrText>
      </w:r>
      <w:r>
        <w:rPr>
          <w:rFonts w:hint="eastAsia" w:ascii="仿宋_GB2312" w:hAnsi="仿宋_GB2312" w:eastAsia="仿宋_GB2312" w:cs="仿宋_GB2312"/>
          <w:b/>
          <w:bCs/>
          <w:color w:val="auto"/>
          <w:sz w:val="32"/>
          <w:szCs w:val="32"/>
        </w:rPr>
        <w:fldChar w:fldCharType="separate"/>
      </w:r>
      <w:r>
        <w:rPr>
          <w:color w:val="auto"/>
        </w:rPr>
        <w:fldChar w:fldCharType="begin"/>
      </w:r>
      <w:r>
        <w:rPr>
          <w:color w:val="auto"/>
        </w:rPr>
        <w:instrText xml:space="preserve"> HYPERLINK \l "_Toc268730810" </w:instrText>
      </w:r>
      <w:r>
        <w:rPr>
          <w:color w:val="auto"/>
        </w:rPr>
        <w:fldChar w:fldCharType="separate"/>
      </w:r>
      <w:r>
        <w:rPr>
          <w:rFonts w:hint="eastAsia" w:eastAsia="仿宋_GB2312"/>
          <w:color w:val="auto"/>
          <w:kern w:val="0"/>
          <w:sz w:val="30"/>
          <w:szCs w:val="30"/>
        </w:rPr>
        <w:t>第一章  公开招标采购公告</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_Toc268730810 \h </w:instrText>
      </w:r>
      <w:r>
        <w:rPr>
          <w:rFonts w:hint="eastAsia" w:eastAsia="仿宋_GB2312"/>
          <w:color w:val="auto"/>
          <w:kern w:val="0"/>
          <w:sz w:val="30"/>
          <w:szCs w:val="30"/>
        </w:rPr>
        <w:fldChar w:fldCharType="separate"/>
      </w:r>
      <w:r>
        <w:rPr>
          <w:rFonts w:hint="eastAsia" w:eastAsia="仿宋_GB2312"/>
          <w:color w:val="auto"/>
          <w:kern w:val="0"/>
          <w:sz w:val="30"/>
          <w:szCs w:val="30"/>
        </w:rPr>
        <w:t>3</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4C54C59A">
      <w:pPr>
        <w:pStyle w:val="25"/>
        <w:tabs>
          <w:tab w:val="right" w:leader="dot" w:pos="8306"/>
        </w:tabs>
        <w:rPr>
          <w:rFonts w:eastAsia="仿宋_GB2312"/>
          <w:color w:val="auto"/>
          <w:kern w:val="0"/>
          <w:sz w:val="30"/>
          <w:szCs w:val="30"/>
        </w:rPr>
      </w:pPr>
      <w:r>
        <w:rPr>
          <w:color w:val="auto"/>
        </w:rPr>
        <w:fldChar w:fldCharType="begin"/>
      </w:r>
      <w:r>
        <w:rPr>
          <w:color w:val="auto"/>
        </w:rPr>
        <w:instrText xml:space="preserve"> HYPERLINK \l "_Toc1469892836" </w:instrText>
      </w:r>
      <w:r>
        <w:rPr>
          <w:color w:val="auto"/>
        </w:rPr>
        <w:fldChar w:fldCharType="separate"/>
      </w:r>
      <w:r>
        <w:rPr>
          <w:rFonts w:hint="eastAsia" w:eastAsia="仿宋_GB2312"/>
          <w:color w:val="auto"/>
          <w:kern w:val="0"/>
          <w:sz w:val="30"/>
          <w:szCs w:val="30"/>
        </w:rPr>
        <w:t>第二章 投标人须知</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_Toc1469892836 \h </w:instrText>
      </w:r>
      <w:r>
        <w:rPr>
          <w:rFonts w:hint="eastAsia" w:eastAsia="仿宋_GB2312"/>
          <w:color w:val="auto"/>
          <w:kern w:val="0"/>
          <w:sz w:val="30"/>
          <w:szCs w:val="30"/>
        </w:rPr>
        <w:fldChar w:fldCharType="separate"/>
      </w:r>
      <w:r>
        <w:rPr>
          <w:rFonts w:hint="eastAsia" w:eastAsia="仿宋_GB2312"/>
          <w:color w:val="auto"/>
          <w:kern w:val="0"/>
          <w:sz w:val="30"/>
          <w:szCs w:val="30"/>
        </w:rPr>
        <w:t>8</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4C06DA90">
      <w:pPr>
        <w:pStyle w:val="25"/>
        <w:tabs>
          <w:tab w:val="right" w:leader="dot" w:pos="8306"/>
        </w:tabs>
        <w:rPr>
          <w:rFonts w:eastAsia="仿宋_GB2312"/>
          <w:color w:val="auto"/>
          <w:kern w:val="0"/>
          <w:sz w:val="30"/>
          <w:szCs w:val="30"/>
        </w:rPr>
      </w:pPr>
      <w:r>
        <w:rPr>
          <w:color w:val="auto"/>
        </w:rPr>
        <w:fldChar w:fldCharType="begin"/>
      </w:r>
      <w:r>
        <w:rPr>
          <w:color w:val="auto"/>
        </w:rPr>
        <w:instrText xml:space="preserve"> HYPERLINK \l "_Toc425792908" </w:instrText>
      </w:r>
      <w:r>
        <w:rPr>
          <w:color w:val="auto"/>
        </w:rPr>
        <w:fldChar w:fldCharType="separate"/>
      </w:r>
      <w:r>
        <w:rPr>
          <w:rFonts w:hint="eastAsia" w:eastAsia="仿宋_GB2312"/>
          <w:color w:val="auto"/>
          <w:kern w:val="0"/>
          <w:sz w:val="30"/>
          <w:szCs w:val="30"/>
        </w:rPr>
        <w:t>第三章  评标办法及评分标准</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_Toc425792908 \h </w:instrText>
      </w:r>
      <w:r>
        <w:rPr>
          <w:rFonts w:hint="eastAsia" w:eastAsia="仿宋_GB2312"/>
          <w:color w:val="auto"/>
          <w:kern w:val="0"/>
          <w:sz w:val="30"/>
          <w:szCs w:val="30"/>
        </w:rPr>
        <w:fldChar w:fldCharType="separate"/>
      </w:r>
      <w:r>
        <w:rPr>
          <w:rFonts w:hint="eastAsia" w:eastAsia="仿宋_GB2312"/>
          <w:color w:val="auto"/>
          <w:kern w:val="0"/>
          <w:sz w:val="30"/>
          <w:szCs w:val="30"/>
        </w:rPr>
        <w:t>31</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0A2D8609">
      <w:pPr>
        <w:pStyle w:val="25"/>
        <w:tabs>
          <w:tab w:val="right" w:leader="dot" w:pos="8306"/>
        </w:tabs>
        <w:rPr>
          <w:rFonts w:eastAsia="仿宋_GB2312"/>
          <w:color w:val="auto"/>
          <w:kern w:val="0"/>
          <w:sz w:val="30"/>
          <w:szCs w:val="30"/>
        </w:rPr>
      </w:pPr>
      <w:r>
        <w:rPr>
          <w:color w:val="auto"/>
        </w:rPr>
        <w:fldChar w:fldCharType="begin"/>
      </w:r>
      <w:r>
        <w:rPr>
          <w:color w:val="auto"/>
        </w:rPr>
        <w:instrText xml:space="preserve"> HYPERLINK \l "_Toc1784233009" </w:instrText>
      </w:r>
      <w:r>
        <w:rPr>
          <w:color w:val="auto"/>
        </w:rPr>
        <w:fldChar w:fldCharType="separate"/>
      </w:r>
      <w:r>
        <w:rPr>
          <w:rFonts w:hint="eastAsia" w:eastAsia="仿宋_GB2312"/>
          <w:color w:val="auto"/>
          <w:kern w:val="0"/>
          <w:sz w:val="30"/>
          <w:szCs w:val="30"/>
        </w:rPr>
        <w:t>第四章  招标需</w:t>
      </w:r>
      <w:bookmarkStart w:id="38" w:name="_GoBack"/>
      <w:bookmarkEnd w:id="38"/>
      <w:r>
        <w:rPr>
          <w:rFonts w:hint="eastAsia" w:eastAsia="仿宋_GB2312"/>
          <w:color w:val="auto"/>
          <w:kern w:val="0"/>
          <w:sz w:val="30"/>
          <w:szCs w:val="30"/>
        </w:rPr>
        <w:t>求</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_Toc1784233009 \h </w:instrText>
      </w:r>
      <w:r>
        <w:rPr>
          <w:rFonts w:hint="eastAsia" w:eastAsia="仿宋_GB2312"/>
          <w:color w:val="auto"/>
          <w:kern w:val="0"/>
          <w:sz w:val="30"/>
          <w:szCs w:val="30"/>
        </w:rPr>
        <w:fldChar w:fldCharType="separate"/>
      </w:r>
      <w:r>
        <w:rPr>
          <w:rFonts w:hint="eastAsia" w:eastAsia="仿宋_GB2312"/>
          <w:color w:val="auto"/>
          <w:kern w:val="0"/>
          <w:sz w:val="30"/>
          <w:szCs w:val="30"/>
        </w:rPr>
        <w:t>39</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79B61724">
      <w:pPr>
        <w:pStyle w:val="25"/>
        <w:tabs>
          <w:tab w:val="right" w:leader="dot" w:pos="8306"/>
        </w:tabs>
        <w:rPr>
          <w:rFonts w:eastAsia="仿宋_GB2312"/>
          <w:color w:val="auto"/>
          <w:kern w:val="0"/>
          <w:sz w:val="30"/>
          <w:szCs w:val="30"/>
        </w:rPr>
      </w:pPr>
      <w:r>
        <w:rPr>
          <w:color w:val="auto"/>
        </w:rPr>
        <w:fldChar w:fldCharType="begin"/>
      </w:r>
      <w:r>
        <w:rPr>
          <w:color w:val="auto"/>
        </w:rPr>
        <w:instrText xml:space="preserve"> HYPERLINK \l "_Toc1082454221" </w:instrText>
      </w:r>
      <w:r>
        <w:rPr>
          <w:color w:val="auto"/>
        </w:rPr>
        <w:fldChar w:fldCharType="separate"/>
      </w:r>
      <w:r>
        <w:rPr>
          <w:rFonts w:hint="eastAsia" w:eastAsia="仿宋_GB2312"/>
          <w:color w:val="auto"/>
          <w:kern w:val="0"/>
          <w:sz w:val="30"/>
          <w:szCs w:val="30"/>
        </w:rPr>
        <w:t>第五章 带量集中采购协议和政府采购合同主要条款指引</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_Toc1082454221 \h </w:instrText>
      </w:r>
      <w:r>
        <w:rPr>
          <w:rFonts w:hint="eastAsia" w:eastAsia="仿宋_GB2312"/>
          <w:color w:val="auto"/>
          <w:kern w:val="0"/>
          <w:sz w:val="30"/>
          <w:szCs w:val="30"/>
        </w:rPr>
        <w:fldChar w:fldCharType="separate"/>
      </w:r>
      <w:r>
        <w:rPr>
          <w:rFonts w:hint="eastAsia" w:eastAsia="仿宋_GB2312"/>
          <w:color w:val="auto"/>
          <w:kern w:val="0"/>
          <w:sz w:val="30"/>
          <w:szCs w:val="30"/>
        </w:rPr>
        <w:t>46</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51B3B0BA">
      <w:pPr>
        <w:pStyle w:val="25"/>
        <w:tabs>
          <w:tab w:val="right" w:leader="dot" w:pos="8306"/>
        </w:tabs>
        <w:rPr>
          <w:color w:val="auto"/>
        </w:rPr>
      </w:pPr>
      <w:r>
        <w:rPr>
          <w:color w:val="auto"/>
        </w:rPr>
        <w:fldChar w:fldCharType="begin"/>
      </w:r>
      <w:r>
        <w:rPr>
          <w:color w:val="auto"/>
        </w:rPr>
        <w:instrText xml:space="preserve"> HYPERLINK \l "_Toc1487369185" </w:instrText>
      </w:r>
      <w:r>
        <w:rPr>
          <w:color w:val="auto"/>
        </w:rPr>
        <w:fldChar w:fldCharType="separate"/>
      </w:r>
      <w:r>
        <w:rPr>
          <w:rFonts w:hint="eastAsia" w:eastAsia="仿宋_GB2312"/>
          <w:color w:val="auto"/>
          <w:kern w:val="0"/>
          <w:sz w:val="30"/>
          <w:szCs w:val="30"/>
        </w:rPr>
        <w:t>第六章  投标文件格式附件</w:t>
      </w:r>
      <w:r>
        <w:rPr>
          <w:rFonts w:hint="eastAsia" w:eastAsia="仿宋_GB2312"/>
          <w:color w:val="auto"/>
          <w:kern w:val="0"/>
          <w:sz w:val="30"/>
          <w:szCs w:val="30"/>
        </w:rPr>
        <w:tab/>
      </w:r>
      <w:r>
        <w:rPr>
          <w:rFonts w:hint="eastAsia" w:eastAsia="仿宋_GB2312"/>
          <w:color w:val="auto"/>
          <w:kern w:val="0"/>
          <w:sz w:val="30"/>
          <w:szCs w:val="30"/>
        </w:rPr>
        <w:fldChar w:fldCharType="begin"/>
      </w:r>
      <w:r>
        <w:rPr>
          <w:rFonts w:hint="eastAsia" w:eastAsia="仿宋_GB2312"/>
          <w:color w:val="auto"/>
          <w:kern w:val="0"/>
          <w:sz w:val="30"/>
          <w:szCs w:val="30"/>
        </w:rPr>
        <w:instrText xml:space="preserve"> PAGEREF _Toc1487369185 \h </w:instrText>
      </w:r>
      <w:r>
        <w:rPr>
          <w:rFonts w:hint="eastAsia" w:eastAsia="仿宋_GB2312"/>
          <w:color w:val="auto"/>
          <w:kern w:val="0"/>
          <w:sz w:val="30"/>
          <w:szCs w:val="30"/>
        </w:rPr>
        <w:fldChar w:fldCharType="separate"/>
      </w:r>
      <w:r>
        <w:rPr>
          <w:rFonts w:hint="eastAsia" w:eastAsia="仿宋_GB2312"/>
          <w:color w:val="auto"/>
          <w:kern w:val="0"/>
          <w:sz w:val="30"/>
          <w:szCs w:val="30"/>
        </w:rPr>
        <w:t>53</w:t>
      </w:r>
      <w:r>
        <w:rPr>
          <w:rFonts w:hint="eastAsia" w:eastAsia="仿宋_GB2312"/>
          <w:color w:val="auto"/>
          <w:kern w:val="0"/>
          <w:sz w:val="30"/>
          <w:szCs w:val="30"/>
        </w:rPr>
        <w:fldChar w:fldCharType="end"/>
      </w:r>
      <w:r>
        <w:rPr>
          <w:rFonts w:hint="eastAsia" w:eastAsia="仿宋_GB2312"/>
          <w:color w:val="auto"/>
          <w:kern w:val="0"/>
          <w:sz w:val="30"/>
          <w:szCs w:val="30"/>
        </w:rPr>
        <w:fldChar w:fldCharType="end"/>
      </w:r>
    </w:p>
    <w:p w14:paraId="128DA408">
      <w:pPr>
        <w:rPr>
          <w:rFonts w:eastAsia="仿宋_GB2312"/>
          <w:color w:val="auto"/>
        </w:rPr>
      </w:pPr>
      <w:r>
        <w:rPr>
          <w:rFonts w:hint="eastAsia" w:ascii="仿宋_GB2312" w:hAnsi="仿宋_GB2312" w:eastAsia="仿宋_GB2312" w:cs="仿宋_GB2312"/>
          <w:b/>
          <w:bCs/>
          <w:color w:val="auto"/>
          <w:sz w:val="32"/>
          <w:szCs w:val="32"/>
        </w:rPr>
        <w:fldChar w:fldCharType="end"/>
      </w:r>
    </w:p>
    <w:p w14:paraId="0BD5E985">
      <w:pPr>
        <w:spacing w:line="360" w:lineRule="auto"/>
        <w:rPr>
          <w:color w:val="auto"/>
        </w:rPr>
        <w:sectPr>
          <w:headerReference r:id="rId3" w:type="default"/>
          <w:footerReference r:id="rId4" w:type="default"/>
          <w:footerReference r:id="rId5" w:type="even"/>
          <w:pgSz w:w="11906" w:h="16838"/>
          <w:pgMar w:top="1440" w:right="1800" w:bottom="1440" w:left="1800" w:header="851" w:footer="851" w:gutter="0"/>
          <w:pgNumType w:start="1"/>
          <w:cols w:space="720" w:num="1"/>
          <w:docGrid w:linePitch="312" w:charSpace="0"/>
        </w:sectPr>
      </w:pPr>
    </w:p>
    <w:p w14:paraId="67191FA3">
      <w:pPr>
        <w:pStyle w:val="2"/>
        <w:pageBreakBefore/>
        <w:spacing w:line="480" w:lineRule="exact"/>
        <w:rPr>
          <w:rFonts w:ascii="仿宋_GB2312" w:eastAsia="仿宋_GB2312"/>
          <w:color w:val="auto"/>
        </w:rPr>
      </w:pPr>
      <w:bookmarkStart w:id="0" w:name="_Toc268730810"/>
      <w:bookmarkStart w:id="1" w:name="_Toc27030"/>
      <w:bookmarkStart w:id="2" w:name="_Toc19899"/>
      <w:bookmarkStart w:id="3" w:name="_Toc9436"/>
      <w:bookmarkStart w:id="4" w:name="_Toc109755336"/>
      <w:bookmarkStart w:id="5" w:name="_Toc31559"/>
      <w:bookmarkStart w:id="6" w:name="_Toc421107141"/>
      <w:bookmarkStart w:id="7" w:name="_Toc421271076"/>
      <w:bookmarkStart w:id="8" w:name="_Toc421271109"/>
      <w:bookmarkStart w:id="9" w:name="_Toc396135428"/>
      <w:bookmarkStart w:id="10" w:name="_Toc421107143"/>
      <w:r>
        <w:rPr>
          <w:rFonts w:hint="eastAsia" w:ascii="仿宋_GB2312" w:eastAsia="仿宋_GB2312"/>
          <w:color w:val="auto"/>
        </w:rPr>
        <w:t>第一章  公开招标采购公告</w:t>
      </w:r>
      <w:bookmarkEnd w:id="0"/>
      <w:bookmarkEnd w:id="1"/>
      <w:bookmarkEnd w:id="2"/>
      <w:bookmarkEnd w:id="3"/>
      <w:bookmarkEnd w:id="4"/>
      <w:bookmarkEnd w:id="5"/>
      <w:bookmarkEnd w:id="6"/>
      <w:bookmarkEnd w:id="7"/>
    </w:p>
    <w:p w14:paraId="60B4B63C">
      <w:pPr>
        <w:pStyle w:val="137"/>
        <w:widowControl w:val="0"/>
        <w:spacing w:afterLines="0" w:line="440" w:lineRule="exact"/>
        <w:ind w:firstLine="600"/>
        <w:rPr>
          <w:rFonts w:eastAsia="仿宋_GB2312"/>
          <w:color w:val="auto"/>
          <w:sz w:val="30"/>
          <w:szCs w:val="30"/>
        </w:rPr>
      </w:pPr>
    </w:p>
    <w:p w14:paraId="5E4E6C86">
      <w:pPr>
        <w:pStyle w:val="137"/>
        <w:widowControl w:val="0"/>
        <w:spacing w:afterLines="0" w:line="460" w:lineRule="exact"/>
        <w:ind w:firstLine="600"/>
        <w:rPr>
          <w:rFonts w:eastAsia="仿宋_GB2312"/>
          <w:color w:val="auto"/>
          <w:sz w:val="30"/>
          <w:szCs w:val="30"/>
        </w:rPr>
      </w:pPr>
      <w:r>
        <w:rPr>
          <w:rFonts w:hint="eastAsia" w:eastAsia="仿宋_GB2312"/>
          <w:color w:val="auto"/>
          <w:sz w:val="30"/>
          <w:szCs w:val="30"/>
        </w:rPr>
        <w:t>根据《中华人民共和国政府采购法》《中华人民共和国政府采购法实施条例》《政府采购货物和服务招标投标管理办法》等规定，现就下列项目进行公开招标采购，欢迎提供本国货物、服务的</w:t>
      </w:r>
      <w:r>
        <w:rPr>
          <w:rFonts w:hint="eastAsia" w:eastAsia="仿宋_GB2312"/>
          <w:color w:val="auto"/>
          <w:sz w:val="30"/>
          <w:szCs w:val="30"/>
          <w:lang w:bidi="ar"/>
        </w:rPr>
        <w:t>单位或个人</w:t>
      </w:r>
      <w:r>
        <w:rPr>
          <w:rFonts w:hint="eastAsia" w:eastAsia="仿宋_GB2312"/>
          <w:color w:val="auto"/>
          <w:sz w:val="30"/>
          <w:szCs w:val="30"/>
        </w:rPr>
        <w:t>前来投标。</w:t>
      </w:r>
    </w:p>
    <w:p w14:paraId="57D65EAD">
      <w:pPr>
        <w:snapToGrid w:val="0"/>
        <w:spacing w:line="46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一、项目基本情况</w:t>
      </w:r>
    </w:p>
    <w:p w14:paraId="077492C7">
      <w:pPr>
        <w:snapToGrid w:val="0"/>
        <w:spacing w:line="460" w:lineRule="exact"/>
        <w:ind w:firstLine="602" w:firstLineChars="200"/>
        <w:rPr>
          <w:rFonts w:eastAsia="仿宋_GB2312"/>
          <w:b/>
          <w:color w:val="auto"/>
          <w:kern w:val="0"/>
          <w:sz w:val="30"/>
          <w:szCs w:val="30"/>
        </w:rPr>
      </w:pPr>
      <w:r>
        <w:rPr>
          <w:rFonts w:hint="eastAsia" w:eastAsia="仿宋_GB2312" w:cs="Arial"/>
          <w:b/>
          <w:bCs/>
          <w:color w:val="auto"/>
          <w:sz w:val="30"/>
          <w:szCs w:val="30"/>
        </w:rPr>
        <w:t>（一）项目编号：</w:t>
      </w:r>
      <w:r>
        <w:rPr>
          <w:rFonts w:hint="eastAsia" w:eastAsia="仿宋_GB2312"/>
          <w:b/>
          <w:color w:val="auto"/>
          <w:kern w:val="0"/>
          <w:sz w:val="30"/>
          <w:szCs w:val="30"/>
        </w:rPr>
        <w:t>2026-SJYT-11</w:t>
      </w:r>
    </w:p>
    <w:p w14:paraId="68CFEC2A">
      <w:pPr>
        <w:snapToGrid w:val="0"/>
        <w:spacing w:line="460" w:lineRule="exact"/>
        <w:ind w:firstLine="602" w:firstLineChars="200"/>
        <w:rPr>
          <w:rFonts w:eastAsia="仿宋_GB2312" w:cs="Arial"/>
          <w:b/>
          <w:bCs/>
          <w:color w:val="auto"/>
          <w:sz w:val="30"/>
          <w:szCs w:val="30"/>
        </w:rPr>
      </w:pPr>
      <w:r>
        <w:rPr>
          <w:rFonts w:hint="eastAsia" w:eastAsia="仿宋_GB2312"/>
          <w:b/>
          <w:color w:val="auto"/>
          <w:kern w:val="0"/>
          <w:sz w:val="30"/>
          <w:szCs w:val="30"/>
        </w:rPr>
        <w:t>（二）项目名称：《浙江省中学实验仪器设备购置项目》第二批采购项目（湖州）</w:t>
      </w:r>
    </w:p>
    <w:p w14:paraId="5CD761E0">
      <w:pPr>
        <w:snapToGrid w:val="0"/>
        <w:spacing w:line="460" w:lineRule="exact"/>
        <w:ind w:firstLine="600" w:firstLineChars="200"/>
        <w:rPr>
          <w:rFonts w:eastAsia="仿宋_GB2312" w:cs="Arial"/>
          <w:b/>
          <w:bCs/>
          <w:color w:val="auto"/>
          <w:sz w:val="30"/>
          <w:szCs w:val="30"/>
        </w:rPr>
      </w:pPr>
      <w:r>
        <w:rPr>
          <w:rFonts w:hint="eastAsia" w:eastAsia="仿宋_GB2312"/>
          <w:color w:val="auto"/>
          <w:kern w:val="0"/>
          <w:sz w:val="30"/>
          <w:szCs w:val="30"/>
        </w:rPr>
        <w:t>（三）</w:t>
      </w:r>
      <w:r>
        <w:rPr>
          <w:rFonts w:hint="eastAsia" w:eastAsia="仿宋_GB2312" w:cs="Arial"/>
          <w:b/>
          <w:bCs/>
          <w:color w:val="auto"/>
          <w:sz w:val="30"/>
          <w:szCs w:val="30"/>
        </w:rPr>
        <w:t>采购类型：部门集中</w:t>
      </w:r>
    </w:p>
    <w:p w14:paraId="4797B0A1">
      <w:pPr>
        <w:snapToGrid w:val="0"/>
        <w:spacing w:line="460" w:lineRule="exact"/>
        <w:ind w:firstLine="602" w:firstLineChars="200"/>
        <w:rPr>
          <w:rFonts w:eastAsia="仿宋_GB2312" w:cs="Arial"/>
          <w:b/>
          <w:bCs/>
          <w:color w:val="auto"/>
          <w:sz w:val="30"/>
          <w:szCs w:val="30"/>
        </w:rPr>
      </w:pPr>
      <w:r>
        <w:rPr>
          <w:rFonts w:hint="eastAsia" w:eastAsia="仿宋_GB2312" w:cs="Arial"/>
          <w:b/>
          <w:bCs/>
          <w:color w:val="auto"/>
          <w:sz w:val="30"/>
          <w:szCs w:val="30"/>
        </w:rPr>
        <w:t>（四）采购方式：公开招标</w:t>
      </w:r>
    </w:p>
    <w:p w14:paraId="55E9F2D4">
      <w:pPr>
        <w:snapToGrid w:val="0"/>
        <w:spacing w:line="460" w:lineRule="exact"/>
        <w:ind w:firstLine="602" w:firstLineChars="200"/>
        <w:rPr>
          <w:rFonts w:eastAsia="仿宋_GB2312" w:cs="Arial"/>
          <w:b/>
          <w:bCs/>
          <w:color w:val="auto"/>
          <w:sz w:val="30"/>
          <w:szCs w:val="30"/>
        </w:rPr>
      </w:pPr>
      <w:r>
        <w:rPr>
          <w:rFonts w:hint="eastAsia" w:eastAsia="仿宋_GB2312" w:cs="Arial"/>
          <w:b/>
          <w:bCs/>
          <w:color w:val="auto"/>
          <w:sz w:val="30"/>
          <w:szCs w:val="30"/>
        </w:rPr>
        <w:t>（五）采购内容、数量及预算</w:t>
      </w:r>
    </w:p>
    <w:tbl>
      <w:tblPr>
        <w:tblStyle w:val="37"/>
        <w:tblW w:w="8569" w:type="dxa"/>
        <w:jc w:val="center"/>
        <w:tblLayout w:type="fixed"/>
        <w:tblCellMar>
          <w:top w:w="0" w:type="dxa"/>
          <w:left w:w="108" w:type="dxa"/>
          <w:bottom w:w="0" w:type="dxa"/>
          <w:right w:w="108" w:type="dxa"/>
        </w:tblCellMar>
      </w:tblPr>
      <w:tblGrid>
        <w:gridCol w:w="457"/>
        <w:gridCol w:w="876"/>
        <w:gridCol w:w="550"/>
        <w:gridCol w:w="491"/>
        <w:gridCol w:w="971"/>
        <w:gridCol w:w="1026"/>
        <w:gridCol w:w="2958"/>
        <w:gridCol w:w="1240"/>
      </w:tblGrid>
      <w:tr w14:paraId="5818F7BA">
        <w:tblPrEx>
          <w:tblCellMar>
            <w:top w:w="0" w:type="dxa"/>
            <w:left w:w="108" w:type="dxa"/>
            <w:bottom w:w="0" w:type="dxa"/>
            <w:right w:w="108" w:type="dxa"/>
          </w:tblCellMar>
        </w:tblPrEx>
        <w:trPr>
          <w:trHeight w:val="1920" w:hRule="atLeast"/>
          <w:jc w:val="center"/>
        </w:trPr>
        <w:tc>
          <w:tcPr>
            <w:tcW w:w="457" w:type="dxa"/>
            <w:tcBorders>
              <w:top w:val="single" w:color="000000" w:sz="4" w:space="0"/>
              <w:left w:val="single" w:color="000000" w:sz="4" w:space="0"/>
              <w:bottom w:val="single" w:color="000000" w:sz="4" w:space="0"/>
              <w:right w:val="single" w:color="000000" w:sz="4" w:space="0"/>
            </w:tcBorders>
            <w:vAlign w:val="center"/>
          </w:tcPr>
          <w:p w14:paraId="1C022D59">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标项序号</w:t>
            </w:r>
          </w:p>
        </w:tc>
        <w:tc>
          <w:tcPr>
            <w:tcW w:w="876" w:type="dxa"/>
            <w:tcBorders>
              <w:top w:val="single" w:color="000000" w:sz="4" w:space="0"/>
              <w:left w:val="single" w:color="000000" w:sz="4" w:space="0"/>
              <w:bottom w:val="single" w:color="000000" w:sz="4" w:space="0"/>
              <w:right w:val="single" w:color="000000" w:sz="4" w:space="0"/>
            </w:tcBorders>
            <w:vAlign w:val="center"/>
          </w:tcPr>
          <w:p w14:paraId="76D4483E">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标项名称</w:t>
            </w:r>
          </w:p>
        </w:tc>
        <w:tc>
          <w:tcPr>
            <w:tcW w:w="550" w:type="dxa"/>
            <w:tcBorders>
              <w:top w:val="single" w:color="000000" w:sz="4" w:space="0"/>
              <w:left w:val="single" w:color="000000" w:sz="4" w:space="0"/>
              <w:bottom w:val="single" w:color="000000" w:sz="4" w:space="0"/>
              <w:right w:val="single" w:color="000000" w:sz="4" w:space="0"/>
            </w:tcBorders>
            <w:vAlign w:val="center"/>
          </w:tcPr>
          <w:p w14:paraId="76A585E0">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数量</w:t>
            </w:r>
          </w:p>
        </w:tc>
        <w:tc>
          <w:tcPr>
            <w:tcW w:w="491" w:type="dxa"/>
            <w:tcBorders>
              <w:top w:val="single" w:color="000000" w:sz="4" w:space="0"/>
              <w:left w:val="single" w:color="000000" w:sz="4" w:space="0"/>
              <w:bottom w:val="single" w:color="000000" w:sz="4" w:space="0"/>
              <w:right w:val="single" w:color="000000" w:sz="4" w:space="0"/>
            </w:tcBorders>
            <w:vAlign w:val="center"/>
          </w:tcPr>
          <w:p w14:paraId="7D5EFF69">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单位</w:t>
            </w:r>
          </w:p>
        </w:tc>
        <w:tc>
          <w:tcPr>
            <w:tcW w:w="9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C4E4B8B">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采购预算（人民币万元）</w:t>
            </w:r>
          </w:p>
        </w:tc>
        <w:tc>
          <w:tcPr>
            <w:tcW w:w="1026" w:type="dxa"/>
            <w:tcBorders>
              <w:top w:val="single" w:color="000000" w:sz="4" w:space="0"/>
              <w:left w:val="single" w:color="000000" w:sz="4" w:space="0"/>
              <w:bottom w:val="single" w:color="000000" w:sz="4" w:space="0"/>
              <w:right w:val="single" w:color="000000" w:sz="4" w:space="0"/>
            </w:tcBorders>
            <w:vAlign w:val="center"/>
          </w:tcPr>
          <w:p w14:paraId="345DDA74">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采购人（牵头单位）</w:t>
            </w:r>
          </w:p>
        </w:tc>
        <w:tc>
          <w:tcPr>
            <w:tcW w:w="2958" w:type="dxa"/>
            <w:tcBorders>
              <w:top w:val="single" w:color="000000" w:sz="4" w:space="0"/>
              <w:left w:val="single" w:color="000000" w:sz="4" w:space="0"/>
              <w:bottom w:val="single" w:color="000000" w:sz="4" w:space="0"/>
              <w:right w:val="single" w:color="000000" w:sz="4" w:space="0"/>
            </w:tcBorders>
            <w:vAlign w:val="center"/>
          </w:tcPr>
          <w:p w14:paraId="106F4CE2">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采购人</w:t>
            </w:r>
            <w:r>
              <w:rPr>
                <w:rFonts w:hint="eastAsia" w:ascii="仿宋_GB2312" w:hAnsi="仿宋_GB2312" w:eastAsia="仿宋_GB2312" w:cs="仿宋_GB2312"/>
                <w:b/>
                <w:bCs/>
                <w:color w:val="auto"/>
                <w:kern w:val="0"/>
                <w:sz w:val="24"/>
                <w:szCs w:val="24"/>
              </w:rPr>
              <w:br w:type="textWrapping"/>
            </w:r>
            <w:r>
              <w:rPr>
                <w:rFonts w:hint="eastAsia" w:ascii="仿宋_GB2312" w:hAnsi="仿宋_GB2312" w:eastAsia="仿宋_GB2312" w:cs="仿宋_GB2312"/>
                <w:b/>
                <w:bCs/>
                <w:color w:val="auto"/>
                <w:kern w:val="0"/>
                <w:sz w:val="24"/>
                <w:szCs w:val="24"/>
              </w:rPr>
              <w:t>（参与单位）</w:t>
            </w:r>
          </w:p>
        </w:tc>
        <w:tc>
          <w:tcPr>
            <w:tcW w:w="1240" w:type="dxa"/>
            <w:tcBorders>
              <w:top w:val="single" w:color="000000" w:sz="4" w:space="0"/>
              <w:left w:val="single" w:color="000000" w:sz="4" w:space="0"/>
              <w:bottom w:val="single" w:color="000000" w:sz="4" w:space="0"/>
              <w:right w:val="single" w:color="000000" w:sz="4" w:space="0"/>
            </w:tcBorders>
            <w:vAlign w:val="center"/>
          </w:tcPr>
          <w:p w14:paraId="15B238B7">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rPr>
              <w:t>采购人</w:t>
            </w:r>
            <w:r>
              <w:rPr>
                <w:rFonts w:hint="eastAsia" w:ascii="仿宋_GB2312" w:hAnsi="仿宋_GB2312" w:eastAsia="仿宋_GB2312" w:cs="仿宋_GB2312"/>
                <w:b/>
                <w:bCs/>
                <w:color w:val="auto"/>
                <w:kern w:val="0"/>
                <w:sz w:val="24"/>
                <w:szCs w:val="24"/>
              </w:rPr>
              <w:br w:type="textWrapping"/>
            </w:r>
            <w:r>
              <w:rPr>
                <w:rFonts w:hint="eastAsia" w:ascii="仿宋_GB2312" w:hAnsi="仿宋_GB2312" w:eastAsia="仿宋_GB2312" w:cs="仿宋_GB2312"/>
                <w:b/>
                <w:bCs/>
                <w:color w:val="auto"/>
                <w:kern w:val="0"/>
                <w:sz w:val="24"/>
                <w:szCs w:val="24"/>
              </w:rPr>
              <w:t>（参与单位）预算（人民币万元）</w:t>
            </w:r>
          </w:p>
        </w:tc>
      </w:tr>
      <w:tr w14:paraId="32F3EE96">
        <w:tblPrEx>
          <w:tblCellMar>
            <w:top w:w="0" w:type="dxa"/>
            <w:left w:w="108" w:type="dxa"/>
            <w:bottom w:w="0" w:type="dxa"/>
            <w:right w:w="108" w:type="dxa"/>
          </w:tblCellMar>
        </w:tblPrEx>
        <w:trPr>
          <w:trHeight w:val="288" w:hRule="atLeast"/>
          <w:jc w:val="center"/>
        </w:trPr>
        <w:tc>
          <w:tcPr>
            <w:tcW w:w="457" w:type="dxa"/>
            <w:vMerge w:val="restart"/>
            <w:tcBorders>
              <w:top w:val="single" w:color="000000" w:sz="4" w:space="0"/>
              <w:left w:val="single" w:color="000000" w:sz="4" w:space="0"/>
              <w:bottom w:val="single" w:color="000000" w:sz="4" w:space="0"/>
              <w:right w:val="single" w:color="000000" w:sz="4" w:space="0"/>
            </w:tcBorders>
            <w:vAlign w:val="center"/>
          </w:tcPr>
          <w:p w14:paraId="2F0D87F4">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标项1</w:t>
            </w:r>
          </w:p>
        </w:tc>
        <w:tc>
          <w:tcPr>
            <w:tcW w:w="876" w:type="dxa"/>
            <w:vMerge w:val="restart"/>
            <w:tcBorders>
              <w:top w:val="single" w:color="000000" w:sz="4" w:space="0"/>
              <w:left w:val="single" w:color="000000" w:sz="4" w:space="0"/>
              <w:bottom w:val="single" w:color="000000" w:sz="4" w:space="0"/>
              <w:right w:val="single" w:color="000000" w:sz="4" w:space="0"/>
            </w:tcBorders>
            <w:noWrap/>
            <w:vAlign w:val="center"/>
          </w:tcPr>
          <w:p w14:paraId="67A9B337">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湖州</w:t>
            </w:r>
          </w:p>
        </w:tc>
        <w:tc>
          <w:tcPr>
            <w:tcW w:w="550" w:type="dxa"/>
            <w:vMerge w:val="restart"/>
            <w:tcBorders>
              <w:top w:val="single" w:color="000000" w:sz="4" w:space="0"/>
              <w:left w:val="single" w:color="000000" w:sz="4" w:space="0"/>
              <w:bottom w:val="single" w:color="000000" w:sz="4" w:space="0"/>
              <w:right w:val="single" w:color="000000" w:sz="4" w:space="0"/>
            </w:tcBorders>
            <w:noWrap/>
            <w:vAlign w:val="center"/>
          </w:tcPr>
          <w:p w14:paraId="1FF653BC">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1</w:t>
            </w:r>
          </w:p>
        </w:tc>
        <w:tc>
          <w:tcPr>
            <w:tcW w:w="491" w:type="dxa"/>
            <w:vMerge w:val="restart"/>
            <w:tcBorders>
              <w:top w:val="single" w:color="000000" w:sz="4" w:space="0"/>
              <w:left w:val="single" w:color="000000" w:sz="4" w:space="0"/>
              <w:bottom w:val="single" w:color="000000" w:sz="4" w:space="0"/>
              <w:right w:val="single" w:color="000000" w:sz="4" w:space="0"/>
            </w:tcBorders>
            <w:noWrap/>
            <w:vAlign w:val="center"/>
          </w:tcPr>
          <w:p w14:paraId="24D3575F">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批</w:t>
            </w:r>
          </w:p>
        </w:tc>
        <w:tc>
          <w:tcPr>
            <w:tcW w:w="971" w:type="dxa"/>
            <w:vMerge w:val="restart"/>
            <w:tcBorders>
              <w:top w:val="single" w:color="000000" w:sz="4" w:space="0"/>
              <w:left w:val="single" w:color="000000" w:sz="4" w:space="0"/>
              <w:bottom w:val="single" w:color="000000" w:sz="4" w:space="0"/>
              <w:right w:val="single" w:color="000000" w:sz="4" w:space="0"/>
            </w:tcBorders>
            <w:noWrap/>
            <w:vAlign w:val="center"/>
          </w:tcPr>
          <w:p w14:paraId="5987A8DF">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1555</w:t>
            </w:r>
          </w:p>
        </w:tc>
        <w:tc>
          <w:tcPr>
            <w:tcW w:w="1026" w:type="dxa"/>
            <w:vMerge w:val="restart"/>
            <w:tcBorders>
              <w:top w:val="single" w:color="000000" w:sz="4" w:space="0"/>
              <w:left w:val="single" w:color="000000" w:sz="4" w:space="0"/>
              <w:bottom w:val="single" w:color="000000" w:sz="4" w:space="0"/>
              <w:right w:val="single" w:color="000000" w:sz="4" w:space="0"/>
            </w:tcBorders>
            <w:vAlign w:val="center"/>
          </w:tcPr>
          <w:p w14:paraId="69AFFDC2">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浙江省教育厅</w:t>
            </w:r>
          </w:p>
        </w:tc>
        <w:tc>
          <w:tcPr>
            <w:tcW w:w="2958" w:type="dxa"/>
            <w:tcBorders>
              <w:top w:val="single" w:color="000000" w:sz="4" w:space="0"/>
              <w:left w:val="single" w:color="000000" w:sz="4" w:space="0"/>
              <w:bottom w:val="single" w:color="000000" w:sz="4" w:space="0"/>
              <w:right w:val="single" w:color="000000" w:sz="4" w:space="0"/>
            </w:tcBorders>
            <w:vAlign w:val="center"/>
          </w:tcPr>
          <w:p w14:paraId="5965D76A">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湖州中学</w:t>
            </w:r>
          </w:p>
        </w:tc>
        <w:tc>
          <w:tcPr>
            <w:tcW w:w="1240" w:type="dxa"/>
            <w:tcBorders>
              <w:top w:val="single" w:color="000000" w:sz="4" w:space="0"/>
              <w:left w:val="single" w:color="000000" w:sz="4" w:space="0"/>
              <w:bottom w:val="single" w:color="000000" w:sz="4" w:space="0"/>
              <w:right w:val="single" w:color="000000" w:sz="4" w:space="0"/>
            </w:tcBorders>
            <w:vAlign w:val="center"/>
          </w:tcPr>
          <w:p w14:paraId="02BCF0E1">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334</w:t>
            </w:r>
          </w:p>
        </w:tc>
      </w:tr>
      <w:tr w14:paraId="79DD183F">
        <w:tblPrEx>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5FE0C8B9">
            <w:pPr>
              <w:jc w:val="center"/>
              <w:rPr>
                <w:rFonts w:ascii="仿宋_GB2312" w:hAnsi="仿宋_GB2312" w:eastAsia="仿宋_GB2312" w:cs="仿宋_GB2312"/>
                <w:color w:val="auto"/>
                <w:sz w:val="24"/>
                <w:szCs w:val="24"/>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1CACBFF0">
            <w:pPr>
              <w:jc w:val="center"/>
              <w:rPr>
                <w:rFonts w:ascii="仿宋_GB2312" w:hAnsi="仿宋_GB2312" w:eastAsia="仿宋_GB2312" w:cs="仿宋_GB2312"/>
                <w:color w:val="auto"/>
                <w:sz w:val="24"/>
                <w:szCs w:val="24"/>
              </w:rPr>
            </w:pPr>
          </w:p>
        </w:tc>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14:paraId="43D05C48">
            <w:pPr>
              <w:jc w:val="center"/>
              <w:rPr>
                <w:rFonts w:ascii="仿宋_GB2312" w:hAnsi="仿宋_GB2312" w:eastAsia="仿宋_GB2312" w:cs="仿宋_GB2312"/>
                <w:color w:val="auto"/>
                <w:sz w:val="24"/>
                <w:szCs w:val="24"/>
              </w:rPr>
            </w:pPr>
          </w:p>
        </w:tc>
        <w:tc>
          <w:tcPr>
            <w:tcW w:w="491" w:type="dxa"/>
            <w:vMerge w:val="continue"/>
            <w:tcBorders>
              <w:top w:val="single" w:color="000000" w:sz="4" w:space="0"/>
              <w:left w:val="single" w:color="000000" w:sz="4" w:space="0"/>
              <w:bottom w:val="single" w:color="000000" w:sz="4" w:space="0"/>
              <w:right w:val="single" w:color="000000" w:sz="4" w:space="0"/>
            </w:tcBorders>
            <w:noWrap/>
            <w:vAlign w:val="center"/>
          </w:tcPr>
          <w:p w14:paraId="39615307">
            <w:pPr>
              <w:jc w:val="center"/>
              <w:rPr>
                <w:rFonts w:ascii="仿宋_GB2312" w:hAnsi="仿宋_GB2312" w:eastAsia="仿宋_GB2312" w:cs="仿宋_GB2312"/>
                <w:color w:val="auto"/>
                <w:sz w:val="24"/>
                <w:szCs w:val="24"/>
              </w:rPr>
            </w:pPr>
          </w:p>
        </w:tc>
        <w:tc>
          <w:tcPr>
            <w:tcW w:w="971" w:type="dxa"/>
            <w:vMerge w:val="continue"/>
            <w:tcBorders>
              <w:top w:val="single" w:color="000000" w:sz="4" w:space="0"/>
              <w:left w:val="single" w:color="000000" w:sz="4" w:space="0"/>
              <w:bottom w:val="single" w:color="000000" w:sz="4" w:space="0"/>
              <w:right w:val="single" w:color="000000" w:sz="4" w:space="0"/>
            </w:tcBorders>
            <w:noWrap/>
            <w:vAlign w:val="center"/>
          </w:tcPr>
          <w:p w14:paraId="6AF59626">
            <w:pPr>
              <w:jc w:val="center"/>
              <w:rPr>
                <w:rFonts w:ascii="仿宋_GB2312" w:hAnsi="仿宋_GB2312" w:eastAsia="仿宋_GB2312" w:cs="仿宋_GB2312"/>
                <w:color w:val="auto"/>
                <w:sz w:val="24"/>
                <w:szCs w:val="24"/>
              </w:rPr>
            </w:pPr>
          </w:p>
        </w:tc>
        <w:tc>
          <w:tcPr>
            <w:tcW w:w="1026" w:type="dxa"/>
            <w:vMerge w:val="continue"/>
            <w:tcBorders>
              <w:top w:val="single" w:color="000000" w:sz="4" w:space="0"/>
              <w:left w:val="single" w:color="000000" w:sz="4" w:space="0"/>
              <w:bottom w:val="single" w:color="000000" w:sz="4" w:space="0"/>
              <w:right w:val="single" w:color="000000" w:sz="4" w:space="0"/>
            </w:tcBorders>
            <w:vAlign w:val="center"/>
          </w:tcPr>
          <w:p w14:paraId="6A2E8D42">
            <w:pPr>
              <w:jc w:val="center"/>
              <w:rPr>
                <w:rFonts w:ascii="仿宋_GB2312" w:hAnsi="仿宋_GB2312" w:eastAsia="仿宋_GB2312" w:cs="仿宋_GB2312"/>
                <w:color w:val="auto"/>
                <w:sz w:val="24"/>
                <w:szCs w:val="24"/>
              </w:rPr>
            </w:pPr>
          </w:p>
        </w:tc>
        <w:tc>
          <w:tcPr>
            <w:tcW w:w="2958" w:type="dxa"/>
            <w:tcBorders>
              <w:top w:val="single" w:color="000000" w:sz="4" w:space="0"/>
              <w:left w:val="single" w:color="000000" w:sz="4" w:space="0"/>
              <w:bottom w:val="single" w:color="000000" w:sz="4" w:space="0"/>
              <w:right w:val="single" w:color="000000" w:sz="4" w:space="0"/>
            </w:tcBorders>
            <w:vAlign w:val="center"/>
          </w:tcPr>
          <w:p w14:paraId="69E2B0D8">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上海世外南浔实验学校</w:t>
            </w:r>
          </w:p>
        </w:tc>
        <w:tc>
          <w:tcPr>
            <w:tcW w:w="1240" w:type="dxa"/>
            <w:tcBorders>
              <w:top w:val="single" w:color="000000" w:sz="4" w:space="0"/>
              <w:left w:val="single" w:color="000000" w:sz="4" w:space="0"/>
              <w:bottom w:val="single" w:color="000000" w:sz="4" w:space="0"/>
              <w:right w:val="single" w:color="000000" w:sz="4" w:space="0"/>
            </w:tcBorders>
            <w:vAlign w:val="center"/>
          </w:tcPr>
          <w:p w14:paraId="5EABC34B">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329</w:t>
            </w:r>
          </w:p>
        </w:tc>
      </w:tr>
      <w:tr w14:paraId="6AD85638">
        <w:tblPrEx>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0CF7F9FA">
            <w:pPr>
              <w:jc w:val="center"/>
              <w:rPr>
                <w:rFonts w:ascii="仿宋_GB2312" w:hAnsi="仿宋_GB2312" w:eastAsia="仿宋_GB2312" w:cs="仿宋_GB2312"/>
                <w:color w:val="auto"/>
                <w:sz w:val="24"/>
                <w:szCs w:val="24"/>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2A13A8CF">
            <w:pPr>
              <w:jc w:val="center"/>
              <w:rPr>
                <w:rFonts w:ascii="仿宋_GB2312" w:hAnsi="仿宋_GB2312" w:eastAsia="仿宋_GB2312" w:cs="仿宋_GB2312"/>
                <w:color w:val="auto"/>
                <w:sz w:val="24"/>
                <w:szCs w:val="24"/>
              </w:rPr>
            </w:pPr>
          </w:p>
        </w:tc>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14:paraId="31649AB6">
            <w:pPr>
              <w:jc w:val="center"/>
              <w:rPr>
                <w:rFonts w:ascii="仿宋_GB2312" w:hAnsi="仿宋_GB2312" w:eastAsia="仿宋_GB2312" w:cs="仿宋_GB2312"/>
                <w:color w:val="auto"/>
                <w:sz w:val="24"/>
                <w:szCs w:val="24"/>
              </w:rPr>
            </w:pPr>
          </w:p>
        </w:tc>
        <w:tc>
          <w:tcPr>
            <w:tcW w:w="491" w:type="dxa"/>
            <w:vMerge w:val="continue"/>
            <w:tcBorders>
              <w:top w:val="single" w:color="000000" w:sz="4" w:space="0"/>
              <w:left w:val="single" w:color="000000" w:sz="4" w:space="0"/>
              <w:bottom w:val="single" w:color="000000" w:sz="4" w:space="0"/>
              <w:right w:val="single" w:color="000000" w:sz="4" w:space="0"/>
            </w:tcBorders>
            <w:noWrap/>
            <w:vAlign w:val="center"/>
          </w:tcPr>
          <w:p w14:paraId="20D720CF">
            <w:pPr>
              <w:jc w:val="center"/>
              <w:rPr>
                <w:rFonts w:ascii="仿宋_GB2312" w:hAnsi="仿宋_GB2312" w:eastAsia="仿宋_GB2312" w:cs="仿宋_GB2312"/>
                <w:color w:val="auto"/>
                <w:sz w:val="24"/>
                <w:szCs w:val="24"/>
              </w:rPr>
            </w:pPr>
          </w:p>
        </w:tc>
        <w:tc>
          <w:tcPr>
            <w:tcW w:w="971" w:type="dxa"/>
            <w:vMerge w:val="continue"/>
            <w:tcBorders>
              <w:top w:val="single" w:color="000000" w:sz="4" w:space="0"/>
              <w:left w:val="single" w:color="000000" w:sz="4" w:space="0"/>
              <w:bottom w:val="single" w:color="000000" w:sz="4" w:space="0"/>
              <w:right w:val="single" w:color="000000" w:sz="4" w:space="0"/>
            </w:tcBorders>
            <w:noWrap/>
            <w:vAlign w:val="center"/>
          </w:tcPr>
          <w:p w14:paraId="182593DD">
            <w:pPr>
              <w:jc w:val="center"/>
              <w:rPr>
                <w:rFonts w:ascii="仿宋_GB2312" w:hAnsi="仿宋_GB2312" w:eastAsia="仿宋_GB2312" w:cs="仿宋_GB2312"/>
                <w:color w:val="auto"/>
                <w:sz w:val="24"/>
                <w:szCs w:val="24"/>
              </w:rPr>
            </w:pPr>
          </w:p>
        </w:tc>
        <w:tc>
          <w:tcPr>
            <w:tcW w:w="1026" w:type="dxa"/>
            <w:vMerge w:val="continue"/>
            <w:tcBorders>
              <w:top w:val="single" w:color="000000" w:sz="4" w:space="0"/>
              <w:left w:val="single" w:color="000000" w:sz="4" w:space="0"/>
              <w:bottom w:val="single" w:color="000000" w:sz="4" w:space="0"/>
              <w:right w:val="single" w:color="000000" w:sz="4" w:space="0"/>
            </w:tcBorders>
            <w:vAlign w:val="center"/>
          </w:tcPr>
          <w:p w14:paraId="71C8D063">
            <w:pPr>
              <w:jc w:val="center"/>
              <w:rPr>
                <w:rFonts w:ascii="仿宋_GB2312" w:hAnsi="仿宋_GB2312" w:eastAsia="仿宋_GB2312" w:cs="仿宋_GB2312"/>
                <w:color w:val="auto"/>
                <w:sz w:val="24"/>
                <w:szCs w:val="24"/>
              </w:rPr>
            </w:pPr>
          </w:p>
        </w:tc>
        <w:tc>
          <w:tcPr>
            <w:tcW w:w="2958" w:type="dxa"/>
            <w:tcBorders>
              <w:top w:val="single" w:color="000000" w:sz="4" w:space="0"/>
              <w:left w:val="single" w:color="000000" w:sz="4" w:space="0"/>
              <w:bottom w:val="single" w:color="000000" w:sz="4" w:space="0"/>
              <w:right w:val="single" w:color="000000" w:sz="4" w:space="0"/>
            </w:tcBorders>
            <w:vAlign w:val="center"/>
          </w:tcPr>
          <w:p w14:paraId="782DEEFB">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南浔经济开发区塘北新城学校</w:t>
            </w:r>
          </w:p>
        </w:tc>
        <w:tc>
          <w:tcPr>
            <w:tcW w:w="1240" w:type="dxa"/>
            <w:tcBorders>
              <w:top w:val="single" w:color="000000" w:sz="4" w:space="0"/>
              <w:left w:val="single" w:color="000000" w:sz="4" w:space="0"/>
              <w:bottom w:val="single" w:color="000000" w:sz="4" w:space="0"/>
              <w:right w:val="single" w:color="000000" w:sz="4" w:space="0"/>
            </w:tcBorders>
            <w:vAlign w:val="center"/>
          </w:tcPr>
          <w:p w14:paraId="6D9C9A35">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327</w:t>
            </w:r>
          </w:p>
        </w:tc>
      </w:tr>
      <w:tr w14:paraId="583E9442">
        <w:tblPrEx>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4DF4D555">
            <w:pPr>
              <w:jc w:val="center"/>
              <w:rPr>
                <w:rFonts w:ascii="仿宋_GB2312" w:hAnsi="仿宋_GB2312" w:eastAsia="仿宋_GB2312" w:cs="仿宋_GB2312"/>
                <w:color w:val="auto"/>
                <w:sz w:val="24"/>
                <w:szCs w:val="24"/>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4BB28530">
            <w:pPr>
              <w:jc w:val="center"/>
              <w:rPr>
                <w:rFonts w:ascii="仿宋_GB2312" w:hAnsi="仿宋_GB2312" w:eastAsia="仿宋_GB2312" w:cs="仿宋_GB2312"/>
                <w:color w:val="auto"/>
                <w:sz w:val="24"/>
                <w:szCs w:val="24"/>
              </w:rPr>
            </w:pPr>
          </w:p>
        </w:tc>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14:paraId="5A3C64E3">
            <w:pPr>
              <w:jc w:val="center"/>
              <w:rPr>
                <w:rFonts w:ascii="仿宋_GB2312" w:hAnsi="仿宋_GB2312" w:eastAsia="仿宋_GB2312" w:cs="仿宋_GB2312"/>
                <w:color w:val="auto"/>
                <w:sz w:val="24"/>
                <w:szCs w:val="24"/>
              </w:rPr>
            </w:pPr>
          </w:p>
        </w:tc>
        <w:tc>
          <w:tcPr>
            <w:tcW w:w="491" w:type="dxa"/>
            <w:vMerge w:val="continue"/>
            <w:tcBorders>
              <w:top w:val="single" w:color="000000" w:sz="4" w:space="0"/>
              <w:left w:val="single" w:color="000000" w:sz="4" w:space="0"/>
              <w:bottom w:val="single" w:color="000000" w:sz="4" w:space="0"/>
              <w:right w:val="single" w:color="000000" w:sz="4" w:space="0"/>
            </w:tcBorders>
            <w:noWrap/>
            <w:vAlign w:val="center"/>
          </w:tcPr>
          <w:p w14:paraId="752D7F7E">
            <w:pPr>
              <w:jc w:val="center"/>
              <w:rPr>
                <w:rFonts w:ascii="仿宋_GB2312" w:hAnsi="仿宋_GB2312" w:eastAsia="仿宋_GB2312" w:cs="仿宋_GB2312"/>
                <w:color w:val="auto"/>
                <w:sz w:val="24"/>
                <w:szCs w:val="24"/>
              </w:rPr>
            </w:pPr>
          </w:p>
        </w:tc>
        <w:tc>
          <w:tcPr>
            <w:tcW w:w="971" w:type="dxa"/>
            <w:vMerge w:val="continue"/>
            <w:tcBorders>
              <w:top w:val="single" w:color="000000" w:sz="4" w:space="0"/>
              <w:left w:val="single" w:color="000000" w:sz="4" w:space="0"/>
              <w:bottom w:val="single" w:color="000000" w:sz="4" w:space="0"/>
              <w:right w:val="single" w:color="000000" w:sz="4" w:space="0"/>
            </w:tcBorders>
            <w:noWrap/>
            <w:vAlign w:val="center"/>
          </w:tcPr>
          <w:p w14:paraId="04958231">
            <w:pPr>
              <w:jc w:val="center"/>
              <w:rPr>
                <w:rFonts w:ascii="仿宋_GB2312" w:hAnsi="仿宋_GB2312" w:eastAsia="仿宋_GB2312" w:cs="仿宋_GB2312"/>
                <w:color w:val="auto"/>
                <w:sz w:val="24"/>
                <w:szCs w:val="24"/>
              </w:rPr>
            </w:pPr>
          </w:p>
        </w:tc>
        <w:tc>
          <w:tcPr>
            <w:tcW w:w="1026" w:type="dxa"/>
            <w:vMerge w:val="continue"/>
            <w:tcBorders>
              <w:top w:val="single" w:color="000000" w:sz="4" w:space="0"/>
              <w:left w:val="single" w:color="000000" w:sz="4" w:space="0"/>
              <w:bottom w:val="single" w:color="000000" w:sz="4" w:space="0"/>
              <w:right w:val="single" w:color="000000" w:sz="4" w:space="0"/>
            </w:tcBorders>
            <w:vAlign w:val="center"/>
          </w:tcPr>
          <w:p w14:paraId="6C23EFA2">
            <w:pPr>
              <w:jc w:val="center"/>
              <w:rPr>
                <w:rFonts w:ascii="仿宋_GB2312" w:hAnsi="仿宋_GB2312" w:eastAsia="仿宋_GB2312" w:cs="仿宋_GB2312"/>
                <w:color w:val="auto"/>
                <w:sz w:val="24"/>
                <w:szCs w:val="24"/>
              </w:rPr>
            </w:pPr>
          </w:p>
        </w:tc>
        <w:tc>
          <w:tcPr>
            <w:tcW w:w="2958" w:type="dxa"/>
            <w:tcBorders>
              <w:top w:val="single" w:color="000000" w:sz="4" w:space="0"/>
              <w:left w:val="single" w:color="000000" w:sz="4" w:space="0"/>
              <w:bottom w:val="single" w:color="000000" w:sz="4" w:space="0"/>
              <w:right w:val="single" w:color="000000" w:sz="4" w:space="0"/>
            </w:tcBorders>
            <w:vAlign w:val="center"/>
          </w:tcPr>
          <w:p w14:paraId="7EB764F9">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长兴县实验中学</w:t>
            </w:r>
          </w:p>
        </w:tc>
        <w:tc>
          <w:tcPr>
            <w:tcW w:w="1240" w:type="dxa"/>
            <w:tcBorders>
              <w:top w:val="single" w:color="000000" w:sz="4" w:space="0"/>
              <w:left w:val="single" w:color="000000" w:sz="4" w:space="0"/>
              <w:bottom w:val="single" w:color="000000" w:sz="4" w:space="0"/>
              <w:right w:val="single" w:color="000000" w:sz="4" w:space="0"/>
            </w:tcBorders>
            <w:vAlign w:val="center"/>
          </w:tcPr>
          <w:p w14:paraId="3B271256">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188</w:t>
            </w:r>
          </w:p>
        </w:tc>
      </w:tr>
      <w:tr w14:paraId="7415F84B">
        <w:tblPrEx>
          <w:tblCellMar>
            <w:top w:w="0" w:type="dxa"/>
            <w:left w:w="108" w:type="dxa"/>
            <w:bottom w:w="0" w:type="dxa"/>
            <w:right w:w="108" w:type="dxa"/>
          </w:tblCellMar>
        </w:tblPrEx>
        <w:trPr>
          <w:trHeight w:val="90"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1887B035">
            <w:pPr>
              <w:jc w:val="center"/>
              <w:rPr>
                <w:rFonts w:ascii="仿宋_GB2312" w:hAnsi="仿宋_GB2312" w:eastAsia="仿宋_GB2312" w:cs="仿宋_GB2312"/>
                <w:color w:val="auto"/>
                <w:sz w:val="24"/>
                <w:szCs w:val="24"/>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420650CC">
            <w:pPr>
              <w:jc w:val="center"/>
              <w:rPr>
                <w:rFonts w:ascii="仿宋_GB2312" w:hAnsi="仿宋_GB2312" w:eastAsia="仿宋_GB2312" w:cs="仿宋_GB2312"/>
                <w:color w:val="auto"/>
                <w:sz w:val="24"/>
                <w:szCs w:val="24"/>
              </w:rPr>
            </w:pPr>
          </w:p>
        </w:tc>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14:paraId="4730827B">
            <w:pPr>
              <w:jc w:val="center"/>
              <w:rPr>
                <w:rFonts w:ascii="仿宋_GB2312" w:hAnsi="仿宋_GB2312" w:eastAsia="仿宋_GB2312" w:cs="仿宋_GB2312"/>
                <w:color w:val="auto"/>
                <w:sz w:val="24"/>
                <w:szCs w:val="24"/>
              </w:rPr>
            </w:pPr>
          </w:p>
        </w:tc>
        <w:tc>
          <w:tcPr>
            <w:tcW w:w="491" w:type="dxa"/>
            <w:vMerge w:val="continue"/>
            <w:tcBorders>
              <w:top w:val="single" w:color="000000" w:sz="4" w:space="0"/>
              <w:left w:val="single" w:color="000000" w:sz="4" w:space="0"/>
              <w:bottom w:val="single" w:color="000000" w:sz="4" w:space="0"/>
              <w:right w:val="single" w:color="000000" w:sz="4" w:space="0"/>
            </w:tcBorders>
            <w:noWrap/>
            <w:vAlign w:val="center"/>
          </w:tcPr>
          <w:p w14:paraId="6F32F0E7">
            <w:pPr>
              <w:jc w:val="center"/>
              <w:rPr>
                <w:rFonts w:ascii="仿宋_GB2312" w:hAnsi="仿宋_GB2312" w:eastAsia="仿宋_GB2312" w:cs="仿宋_GB2312"/>
                <w:color w:val="auto"/>
                <w:sz w:val="24"/>
                <w:szCs w:val="24"/>
              </w:rPr>
            </w:pPr>
          </w:p>
        </w:tc>
        <w:tc>
          <w:tcPr>
            <w:tcW w:w="971" w:type="dxa"/>
            <w:vMerge w:val="continue"/>
            <w:tcBorders>
              <w:top w:val="single" w:color="000000" w:sz="4" w:space="0"/>
              <w:left w:val="single" w:color="000000" w:sz="4" w:space="0"/>
              <w:bottom w:val="single" w:color="000000" w:sz="4" w:space="0"/>
              <w:right w:val="single" w:color="000000" w:sz="4" w:space="0"/>
            </w:tcBorders>
            <w:noWrap/>
            <w:vAlign w:val="center"/>
          </w:tcPr>
          <w:p w14:paraId="76AA1D8D">
            <w:pPr>
              <w:jc w:val="center"/>
              <w:rPr>
                <w:rFonts w:ascii="仿宋_GB2312" w:hAnsi="仿宋_GB2312" w:eastAsia="仿宋_GB2312" w:cs="仿宋_GB2312"/>
                <w:color w:val="auto"/>
                <w:sz w:val="24"/>
                <w:szCs w:val="24"/>
              </w:rPr>
            </w:pPr>
          </w:p>
        </w:tc>
        <w:tc>
          <w:tcPr>
            <w:tcW w:w="1026" w:type="dxa"/>
            <w:vMerge w:val="continue"/>
            <w:tcBorders>
              <w:top w:val="single" w:color="000000" w:sz="4" w:space="0"/>
              <w:left w:val="single" w:color="000000" w:sz="4" w:space="0"/>
              <w:bottom w:val="single" w:color="000000" w:sz="4" w:space="0"/>
              <w:right w:val="single" w:color="000000" w:sz="4" w:space="0"/>
            </w:tcBorders>
            <w:vAlign w:val="center"/>
          </w:tcPr>
          <w:p w14:paraId="6E02E1AA">
            <w:pPr>
              <w:jc w:val="center"/>
              <w:rPr>
                <w:rFonts w:ascii="仿宋_GB2312" w:hAnsi="仿宋_GB2312" w:eastAsia="仿宋_GB2312" w:cs="仿宋_GB2312"/>
                <w:color w:val="auto"/>
                <w:sz w:val="24"/>
                <w:szCs w:val="24"/>
              </w:rPr>
            </w:pPr>
          </w:p>
        </w:tc>
        <w:tc>
          <w:tcPr>
            <w:tcW w:w="2958" w:type="dxa"/>
            <w:tcBorders>
              <w:top w:val="single" w:color="000000" w:sz="4" w:space="0"/>
              <w:left w:val="single" w:color="000000" w:sz="4" w:space="0"/>
              <w:bottom w:val="single" w:color="000000" w:sz="4" w:space="0"/>
              <w:right w:val="single" w:color="000000" w:sz="4" w:space="0"/>
            </w:tcBorders>
            <w:vAlign w:val="center"/>
          </w:tcPr>
          <w:p w14:paraId="2B6A32FC">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德清县阜溪学校</w:t>
            </w:r>
          </w:p>
        </w:tc>
        <w:tc>
          <w:tcPr>
            <w:tcW w:w="1240" w:type="dxa"/>
            <w:tcBorders>
              <w:top w:val="single" w:color="000000" w:sz="4" w:space="0"/>
              <w:left w:val="single" w:color="000000" w:sz="4" w:space="0"/>
              <w:bottom w:val="single" w:color="000000" w:sz="4" w:space="0"/>
              <w:right w:val="single" w:color="000000" w:sz="4" w:space="0"/>
            </w:tcBorders>
            <w:vAlign w:val="center"/>
          </w:tcPr>
          <w:p w14:paraId="19D02CA9">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111</w:t>
            </w:r>
          </w:p>
        </w:tc>
      </w:tr>
      <w:tr w14:paraId="7901FEE0">
        <w:tblPrEx>
          <w:tblCellMar>
            <w:top w:w="0" w:type="dxa"/>
            <w:left w:w="108" w:type="dxa"/>
            <w:bottom w:w="0" w:type="dxa"/>
            <w:right w:w="108" w:type="dxa"/>
          </w:tblCellMar>
        </w:tblPrEx>
        <w:trPr>
          <w:trHeight w:val="288" w:hRule="atLeast"/>
          <w:jc w:val="center"/>
        </w:trPr>
        <w:tc>
          <w:tcPr>
            <w:tcW w:w="457" w:type="dxa"/>
            <w:vMerge w:val="continue"/>
            <w:tcBorders>
              <w:top w:val="single" w:color="000000" w:sz="4" w:space="0"/>
              <w:left w:val="single" w:color="000000" w:sz="4" w:space="0"/>
              <w:bottom w:val="single" w:color="000000" w:sz="4" w:space="0"/>
              <w:right w:val="single" w:color="000000" w:sz="4" w:space="0"/>
            </w:tcBorders>
            <w:vAlign w:val="center"/>
          </w:tcPr>
          <w:p w14:paraId="27B917CE">
            <w:pPr>
              <w:jc w:val="center"/>
              <w:rPr>
                <w:rFonts w:ascii="仿宋_GB2312" w:hAnsi="仿宋_GB2312" w:eastAsia="仿宋_GB2312" w:cs="仿宋_GB2312"/>
                <w:color w:val="auto"/>
                <w:sz w:val="24"/>
                <w:szCs w:val="24"/>
              </w:rPr>
            </w:pPr>
          </w:p>
        </w:tc>
        <w:tc>
          <w:tcPr>
            <w:tcW w:w="876" w:type="dxa"/>
            <w:vMerge w:val="continue"/>
            <w:tcBorders>
              <w:top w:val="single" w:color="000000" w:sz="4" w:space="0"/>
              <w:left w:val="single" w:color="000000" w:sz="4" w:space="0"/>
              <w:bottom w:val="single" w:color="000000" w:sz="4" w:space="0"/>
              <w:right w:val="single" w:color="000000" w:sz="4" w:space="0"/>
            </w:tcBorders>
            <w:noWrap/>
            <w:vAlign w:val="center"/>
          </w:tcPr>
          <w:p w14:paraId="20083435">
            <w:pPr>
              <w:jc w:val="center"/>
              <w:rPr>
                <w:rFonts w:ascii="仿宋_GB2312" w:hAnsi="仿宋_GB2312" w:eastAsia="仿宋_GB2312" w:cs="仿宋_GB2312"/>
                <w:color w:val="auto"/>
                <w:sz w:val="24"/>
                <w:szCs w:val="24"/>
              </w:rPr>
            </w:pPr>
          </w:p>
        </w:tc>
        <w:tc>
          <w:tcPr>
            <w:tcW w:w="550" w:type="dxa"/>
            <w:vMerge w:val="continue"/>
            <w:tcBorders>
              <w:top w:val="single" w:color="000000" w:sz="4" w:space="0"/>
              <w:left w:val="single" w:color="000000" w:sz="4" w:space="0"/>
              <w:bottom w:val="single" w:color="000000" w:sz="4" w:space="0"/>
              <w:right w:val="single" w:color="000000" w:sz="4" w:space="0"/>
            </w:tcBorders>
            <w:noWrap/>
            <w:vAlign w:val="center"/>
          </w:tcPr>
          <w:p w14:paraId="548D3497">
            <w:pPr>
              <w:jc w:val="center"/>
              <w:rPr>
                <w:rFonts w:ascii="仿宋_GB2312" w:hAnsi="仿宋_GB2312" w:eastAsia="仿宋_GB2312" w:cs="仿宋_GB2312"/>
                <w:color w:val="auto"/>
                <w:sz w:val="24"/>
                <w:szCs w:val="24"/>
              </w:rPr>
            </w:pPr>
          </w:p>
        </w:tc>
        <w:tc>
          <w:tcPr>
            <w:tcW w:w="491" w:type="dxa"/>
            <w:vMerge w:val="continue"/>
            <w:tcBorders>
              <w:top w:val="single" w:color="000000" w:sz="4" w:space="0"/>
              <w:left w:val="single" w:color="000000" w:sz="4" w:space="0"/>
              <w:bottom w:val="single" w:color="000000" w:sz="4" w:space="0"/>
              <w:right w:val="single" w:color="000000" w:sz="4" w:space="0"/>
            </w:tcBorders>
            <w:noWrap/>
            <w:vAlign w:val="center"/>
          </w:tcPr>
          <w:p w14:paraId="784CF7FB">
            <w:pPr>
              <w:jc w:val="center"/>
              <w:rPr>
                <w:rFonts w:ascii="仿宋_GB2312" w:hAnsi="仿宋_GB2312" w:eastAsia="仿宋_GB2312" w:cs="仿宋_GB2312"/>
                <w:color w:val="auto"/>
                <w:sz w:val="24"/>
                <w:szCs w:val="24"/>
              </w:rPr>
            </w:pPr>
          </w:p>
        </w:tc>
        <w:tc>
          <w:tcPr>
            <w:tcW w:w="971" w:type="dxa"/>
            <w:vMerge w:val="continue"/>
            <w:tcBorders>
              <w:top w:val="single" w:color="000000" w:sz="4" w:space="0"/>
              <w:left w:val="single" w:color="000000" w:sz="4" w:space="0"/>
              <w:bottom w:val="single" w:color="000000" w:sz="4" w:space="0"/>
              <w:right w:val="single" w:color="000000" w:sz="4" w:space="0"/>
            </w:tcBorders>
            <w:noWrap/>
            <w:vAlign w:val="center"/>
          </w:tcPr>
          <w:p w14:paraId="7844B58F">
            <w:pPr>
              <w:jc w:val="center"/>
              <w:rPr>
                <w:rFonts w:ascii="仿宋_GB2312" w:hAnsi="仿宋_GB2312" w:eastAsia="仿宋_GB2312" w:cs="仿宋_GB2312"/>
                <w:color w:val="auto"/>
                <w:sz w:val="24"/>
                <w:szCs w:val="24"/>
              </w:rPr>
            </w:pPr>
          </w:p>
        </w:tc>
        <w:tc>
          <w:tcPr>
            <w:tcW w:w="1026" w:type="dxa"/>
            <w:vMerge w:val="continue"/>
            <w:tcBorders>
              <w:top w:val="single" w:color="000000" w:sz="4" w:space="0"/>
              <w:left w:val="single" w:color="000000" w:sz="4" w:space="0"/>
              <w:bottom w:val="single" w:color="000000" w:sz="4" w:space="0"/>
              <w:right w:val="single" w:color="000000" w:sz="4" w:space="0"/>
            </w:tcBorders>
            <w:vAlign w:val="center"/>
          </w:tcPr>
          <w:p w14:paraId="23BB2869">
            <w:pPr>
              <w:jc w:val="center"/>
              <w:rPr>
                <w:rFonts w:ascii="仿宋_GB2312" w:hAnsi="仿宋_GB2312" w:eastAsia="仿宋_GB2312" w:cs="仿宋_GB2312"/>
                <w:color w:val="auto"/>
                <w:sz w:val="24"/>
                <w:szCs w:val="24"/>
              </w:rPr>
            </w:pPr>
          </w:p>
        </w:tc>
        <w:tc>
          <w:tcPr>
            <w:tcW w:w="2958" w:type="dxa"/>
            <w:tcBorders>
              <w:top w:val="single" w:color="000000" w:sz="4" w:space="0"/>
              <w:left w:val="single" w:color="000000" w:sz="4" w:space="0"/>
              <w:bottom w:val="single" w:color="000000" w:sz="4" w:space="0"/>
              <w:right w:val="single" w:color="000000" w:sz="4" w:space="0"/>
            </w:tcBorders>
            <w:vAlign w:val="center"/>
          </w:tcPr>
          <w:p w14:paraId="7309E996">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德清县第六中学</w:t>
            </w:r>
          </w:p>
        </w:tc>
        <w:tc>
          <w:tcPr>
            <w:tcW w:w="1240" w:type="dxa"/>
            <w:tcBorders>
              <w:top w:val="single" w:color="000000" w:sz="4" w:space="0"/>
              <w:left w:val="single" w:color="000000" w:sz="4" w:space="0"/>
              <w:bottom w:val="single" w:color="000000" w:sz="4" w:space="0"/>
              <w:right w:val="single" w:color="000000" w:sz="4" w:space="0"/>
            </w:tcBorders>
            <w:vAlign w:val="center"/>
          </w:tcPr>
          <w:p w14:paraId="15451063">
            <w:pPr>
              <w:widowControl/>
              <w:jc w:val="center"/>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266</w:t>
            </w:r>
          </w:p>
        </w:tc>
      </w:tr>
    </w:tbl>
    <w:p w14:paraId="13DE9BB2">
      <w:pPr>
        <w:snapToGrid w:val="0"/>
        <w:spacing w:line="460" w:lineRule="exact"/>
        <w:ind w:firstLine="602" w:firstLineChars="200"/>
        <w:rPr>
          <w:rFonts w:eastAsia="仿宋_GB2312" w:cs="Arial"/>
          <w:b/>
          <w:bCs/>
          <w:color w:val="auto"/>
          <w:sz w:val="30"/>
          <w:szCs w:val="30"/>
        </w:rPr>
      </w:pPr>
    </w:p>
    <w:p w14:paraId="3ADA9F17">
      <w:pPr>
        <w:pStyle w:val="137"/>
        <w:spacing w:afterLines="0" w:line="440" w:lineRule="exact"/>
        <w:ind w:firstLine="602"/>
        <w:rPr>
          <w:rFonts w:eastAsia="仿宋_GB2312"/>
          <w:b/>
          <w:bCs/>
          <w:color w:val="auto"/>
          <w:sz w:val="30"/>
          <w:szCs w:val="30"/>
        </w:rPr>
      </w:pPr>
      <w:r>
        <w:rPr>
          <w:rFonts w:hint="eastAsia" w:eastAsia="仿宋_GB2312"/>
          <w:b/>
          <w:bCs/>
          <w:color w:val="auto"/>
          <w:sz w:val="30"/>
          <w:szCs w:val="30"/>
        </w:rPr>
        <w:t>特别说明：</w:t>
      </w:r>
    </w:p>
    <w:p w14:paraId="124892ED">
      <w:pPr>
        <w:pStyle w:val="137"/>
        <w:spacing w:afterLines="0" w:line="440" w:lineRule="exact"/>
        <w:ind w:firstLine="600"/>
        <w:rPr>
          <w:rFonts w:eastAsia="仿宋_GB2312"/>
          <w:color w:val="auto"/>
          <w:sz w:val="30"/>
          <w:szCs w:val="30"/>
        </w:rPr>
      </w:pPr>
      <w:r>
        <w:rPr>
          <w:rFonts w:hint="eastAsia" w:eastAsia="仿宋_GB2312"/>
          <w:color w:val="auto"/>
          <w:sz w:val="30"/>
          <w:szCs w:val="30"/>
        </w:rPr>
        <w:t>1.本项目属性：☑货物类/□服务类/□工程类</w:t>
      </w:r>
    </w:p>
    <w:p w14:paraId="06C310E4">
      <w:pPr>
        <w:snapToGrid w:val="0"/>
        <w:spacing w:line="440" w:lineRule="exact"/>
        <w:ind w:firstLine="600" w:firstLineChars="200"/>
        <w:rPr>
          <w:rFonts w:ascii="Times New Roman" w:hAnsi="Times New Roman" w:eastAsia="仿宋_GB2312"/>
          <w:color w:val="auto"/>
          <w:sz w:val="30"/>
          <w:szCs w:val="30"/>
        </w:rPr>
      </w:pPr>
      <w:r>
        <w:rPr>
          <w:rFonts w:hint="eastAsia" w:eastAsia="仿宋_GB2312"/>
          <w:color w:val="auto"/>
          <w:sz w:val="30"/>
          <w:szCs w:val="30"/>
        </w:rPr>
        <w:t>2.</w:t>
      </w:r>
      <w:r>
        <w:rPr>
          <w:rFonts w:hint="eastAsia" w:ascii="Times New Roman" w:hAnsi="Times New Roman" w:eastAsia="仿宋_GB2312"/>
          <w:color w:val="auto"/>
          <w:sz w:val="30"/>
          <w:szCs w:val="30"/>
        </w:rPr>
        <w:t>具体采购清单详见“第四章 招标需求”。</w:t>
      </w:r>
    </w:p>
    <w:p w14:paraId="08996611">
      <w:pPr>
        <w:widowControl/>
        <w:spacing w:line="400" w:lineRule="atLeast"/>
        <w:ind w:firstLine="600" w:firstLineChars="200"/>
        <w:jc w:val="left"/>
        <w:rPr>
          <w:rFonts w:eastAsia="仿宋_GB2312"/>
          <w:color w:val="auto"/>
          <w:sz w:val="30"/>
          <w:szCs w:val="30"/>
          <w:lang w:bidi="ar"/>
        </w:rPr>
      </w:pPr>
      <w:r>
        <w:rPr>
          <w:rFonts w:hint="eastAsia" w:eastAsia="仿宋_GB2312"/>
          <w:color w:val="auto"/>
          <w:sz w:val="30"/>
          <w:szCs w:val="30"/>
        </w:rPr>
        <w:t>3.根据《关于印发中小企业划型标准规定的通知》（工信部联企业〔2011〕300号），采购标的对应的中小企业划分标准所属行业：</w:t>
      </w:r>
      <w:r>
        <w:rPr>
          <w:rFonts w:hint="eastAsia" w:ascii="仿宋_GB2312" w:hAnsi="仿宋_GB2312" w:eastAsia="仿宋_GB2312" w:cs="仿宋_GB2312"/>
          <w:color w:val="auto"/>
          <w:sz w:val="30"/>
          <w:szCs w:val="30"/>
        </w:rPr>
        <w:t>工业</w:t>
      </w:r>
      <w:r>
        <w:rPr>
          <w:rFonts w:hint="eastAsia" w:eastAsia="仿宋_GB2312"/>
          <w:color w:val="auto"/>
          <w:sz w:val="30"/>
          <w:szCs w:val="30"/>
          <w:lang w:bidi="ar"/>
        </w:rPr>
        <w:t>。</w:t>
      </w:r>
    </w:p>
    <w:p w14:paraId="0BBE95D8">
      <w:pPr>
        <w:snapToGrid w:val="0"/>
        <w:spacing w:line="44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二、合格投标人的资格要求</w:t>
      </w:r>
    </w:p>
    <w:p w14:paraId="02E0E4EE">
      <w:pPr>
        <w:spacing w:line="440" w:lineRule="exact"/>
        <w:ind w:firstLine="600"/>
        <w:jc w:val="left"/>
        <w:rPr>
          <w:rFonts w:eastAsia="仿宋_GB2312"/>
          <w:color w:val="auto"/>
          <w:sz w:val="30"/>
          <w:szCs w:val="30"/>
        </w:rPr>
      </w:pPr>
      <w:r>
        <w:rPr>
          <w:rFonts w:hint="eastAsia" w:eastAsia="仿宋_GB2312"/>
          <w:color w:val="auto"/>
          <w:sz w:val="30"/>
          <w:szCs w:val="30"/>
        </w:rPr>
        <w:t>（一）符合《中华人民共和国政府采购法》第二十二条规定</w:t>
      </w:r>
      <w:r>
        <w:rPr>
          <w:rFonts w:eastAsia="仿宋_GB2312"/>
          <w:color w:val="auto"/>
          <w:sz w:val="30"/>
          <w:szCs w:val="30"/>
        </w:rPr>
        <w:t>，</w:t>
      </w:r>
      <w:r>
        <w:rPr>
          <w:rFonts w:hint="eastAsia" w:eastAsia="仿宋_GB2312"/>
          <w:color w:val="auto"/>
          <w:sz w:val="30"/>
          <w:szCs w:val="30"/>
        </w:rPr>
        <w:t>且未被“信用中国”（www.creditchina.gov.cn）、中国政府采购网（www.ccgp.gov.cn）列入失信被执行人、重大税收违法案件当事人名单、政府采购严重违法失信行为记录名单。</w:t>
      </w:r>
    </w:p>
    <w:p w14:paraId="279CC16B">
      <w:pPr>
        <w:spacing w:line="440" w:lineRule="exact"/>
        <w:ind w:firstLine="600"/>
        <w:jc w:val="left"/>
        <w:rPr>
          <w:rFonts w:eastAsia="仿宋_GB2312"/>
          <w:color w:val="auto"/>
          <w:sz w:val="30"/>
          <w:szCs w:val="30"/>
        </w:rPr>
      </w:pPr>
      <w:r>
        <w:rPr>
          <w:rFonts w:hint="eastAsia" w:eastAsia="仿宋_GB2312"/>
          <w:color w:val="auto"/>
          <w:sz w:val="30"/>
          <w:szCs w:val="30"/>
        </w:rPr>
        <w:t>（二）本项目的特定资格要求：无。</w:t>
      </w:r>
    </w:p>
    <w:p w14:paraId="3E1A9222">
      <w:pPr>
        <w:spacing w:line="440" w:lineRule="exact"/>
        <w:ind w:firstLine="600"/>
        <w:jc w:val="left"/>
        <w:rPr>
          <w:rFonts w:eastAsia="仿宋_GB2312"/>
          <w:color w:val="auto"/>
          <w:sz w:val="30"/>
          <w:szCs w:val="30"/>
          <w:lang w:bidi="ar"/>
        </w:rPr>
      </w:pPr>
      <w:r>
        <w:rPr>
          <w:rFonts w:hint="eastAsia" w:eastAsia="仿宋_GB2312"/>
          <w:color w:val="auto"/>
          <w:sz w:val="30"/>
          <w:szCs w:val="30"/>
        </w:rPr>
        <w:t>（三）落实政府采购政策需满足的资格要求：不</w:t>
      </w:r>
      <w:r>
        <w:rPr>
          <w:rFonts w:hint="eastAsia" w:eastAsia="仿宋_GB2312"/>
          <w:color w:val="auto"/>
          <w:sz w:val="30"/>
          <w:szCs w:val="30"/>
          <w:lang w:bidi="ar"/>
        </w:rPr>
        <w:t>属于专门面向中小企业采购的项目。</w:t>
      </w:r>
    </w:p>
    <w:p w14:paraId="170BF4F7">
      <w:pPr>
        <w:spacing w:line="440" w:lineRule="exact"/>
        <w:ind w:firstLine="600"/>
        <w:jc w:val="left"/>
        <w:rPr>
          <w:rFonts w:eastAsia="仿宋_GB2312"/>
          <w:color w:val="auto"/>
          <w:sz w:val="30"/>
          <w:szCs w:val="30"/>
        </w:rPr>
      </w:pPr>
      <w:r>
        <w:rPr>
          <w:rFonts w:hint="eastAsia" w:eastAsia="仿宋_GB2312"/>
          <w:color w:val="auto"/>
          <w:sz w:val="30"/>
          <w:szCs w:val="30"/>
        </w:rPr>
        <w:t>（四）是否允许联合体投标：是。</w:t>
      </w:r>
    </w:p>
    <w:p w14:paraId="27684DF5">
      <w:pPr>
        <w:snapToGrid w:val="0"/>
        <w:spacing w:line="44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三、获取采购文件</w:t>
      </w:r>
    </w:p>
    <w:p w14:paraId="09F72DD6">
      <w:pPr>
        <w:snapToGrid w:val="0"/>
        <w:spacing w:line="440" w:lineRule="exact"/>
        <w:ind w:firstLine="594" w:firstLineChars="198"/>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（一）获取时间：公告发布时间至投标截止时间止。</w:t>
      </w:r>
    </w:p>
    <w:p w14:paraId="7646EB29">
      <w:pPr>
        <w:snapToGrid w:val="0"/>
        <w:spacing w:line="440" w:lineRule="exact"/>
        <w:ind w:firstLine="594" w:firstLineChars="198"/>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（二）获取方式：本项目采购文件实行网上免费获取。供应商通过账号、密码登录浙江政府采购网（https://zfcg.czt.zj.gov.cn）进入政采云系统“项目采购”模块“获取采购文件”菜单，自行免费下载采购文件。</w:t>
      </w:r>
    </w:p>
    <w:p w14:paraId="29CBAEDC">
      <w:pPr>
        <w:snapToGrid w:val="0"/>
        <w:spacing w:line="440" w:lineRule="exact"/>
        <w:ind w:firstLine="600" w:firstLineChars="200"/>
        <w:rPr>
          <w:rFonts w:ascii="黑体" w:hAnsi="黑体" w:eastAsia="黑体" w:cs="黑体"/>
          <w:color w:val="auto"/>
          <w:kern w:val="0"/>
          <w:sz w:val="30"/>
          <w:szCs w:val="30"/>
        </w:rPr>
      </w:pPr>
      <w:r>
        <w:rPr>
          <w:rFonts w:hint="eastAsia" w:ascii="黑体" w:hAnsi="黑体" w:eastAsia="黑体" w:cs="黑体"/>
          <w:color w:val="auto"/>
          <w:kern w:val="0"/>
          <w:sz w:val="30"/>
          <w:szCs w:val="30"/>
        </w:rPr>
        <w:t>四、提交投标文件截止时间和地点</w:t>
      </w:r>
    </w:p>
    <w:p w14:paraId="0020E8ED">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（一）投标截止时间：2026年</w:t>
      </w:r>
      <w:r>
        <w:rPr>
          <w:rFonts w:ascii="Times New Roman" w:hAnsi="Times New Roman" w:eastAsia="仿宋_GB2312" w:cs="Arial"/>
          <w:color w:val="auto"/>
          <w:kern w:val="0"/>
          <w:sz w:val="30"/>
          <w:szCs w:val="30"/>
        </w:rPr>
        <w:t>5</w:t>
      </w:r>
      <w:r>
        <w:rPr>
          <w:rFonts w:hint="eastAsia" w:ascii="Times New Roman" w:hAnsi="Times New Roman" w:eastAsia="仿宋_GB2312" w:cs="Arial"/>
          <w:color w:val="auto"/>
          <w:kern w:val="0"/>
          <w:sz w:val="30"/>
          <w:szCs w:val="30"/>
        </w:rPr>
        <w:t>月</w:t>
      </w:r>
      <w:r>
        <w:rPr>
          <w:rFonts w:hint="default" w:ascii="Times New Roman" w:hAnsi="Times New Roman" w:eastAsia="仿宋_GB2312" w:cs="Arial"/>
          <w:color w:val="auto"/>
          <w:kern w:val="0"/>
          <w:sz w:val="30"/>
          <w:szCs w:val="30"/>
          <w:woUserID w:val="1"/>
        </w:rPr>
        <w:t>18</w:t>
      </w:r>
      <w:r>
        <w:rPr>
          <w:rFonts w:hint="eastAsia" w:ascii="Times New Roman" w:hAnsi="Times New Roman" w:eastAsia="仿宋_GB2312" w:cs="Arial"/>
          <w:color w:val="auto"/>
          <w:kern w:val="0"/>
          <w:sz w:val="30"/>
          <w:szCs w:val="30"/>
        </w:rPr>
        <w:t>日9:00止（北京时间）。</w:t>
      </w:r>
    </w:p>
    <w:p w14:paraId="3BC1BA12">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（二）投标地点（网址）：请登录政采云电子交易客户端投标。</w:t>
      </w:r>
    </w:p>
    <w:p w14:paraId="6CCC2F01">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本项目采用电子投标。投标文件应按照本项目招标文件和电子交易平台的要求编制、加密，并应当在投标截止时间前通过政采云电子交易平台完成传输递交，投标截止时间后递交的投标文件，将被电子交易平台拒收。本项目不接收纸质投标文件。</w:t>
      </w:r>
    </w:p>
    <w:p w14:paraId="02D2B644">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如认为需要，投标人可以选择递交备份投标文件，须采用不可编辑的</w:t>
      </w:r>
      <w:bookmarkStart w:id="11" w:name="_Hlk70415185"/>
      <w:r>
        <w:rPr>
          <w:rFonts w:hint="eastAsia" w:ascii="Times New Roman" w:hAnsi="Times New Roman" w:eastAsia="仿宋_GB2312" w:cs="Arial"/>
          <w:color w:val="auto"/>
          <w:kern w:val="0"/>
          <w:sz w:val="30"/>
          <w:szCs w:val="30"/>
        </w:rPr>
        <w:t>数据电文</w:t>
      </w:r>
      <w:bookmarkEnd w:id="11"/>
      <w:r>
        <w:rPr>
          <w:rFonts w:hint="eastAsia" w:ascii="Times New Roman" w:hAnsi="Times New Roman" w:eastAsia="仿宋_GB2312" w:cs="Arial"/>
          <w:color w:val="auto"/>
          <w:kern w:val="0"/>
          <w:sz w:val="30"/>
          <w:szCs w:val="30"/>
        </w:rPr>
        <w:t>形式，以U盘形式存储，并在投标截止时间前，以邮寄或者直接递交方式送达指定地点，逾期送达、到付件或未按照招标文件要求密封的予以拒收。</w:t>
      </w:r>
    </w:p>
    <w:p w14:paraId="2B9D469C">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如有演示要求，投标人须将演示过程录制成视频存于U盘，U盘需密封并加盖投标人公章，并于开标前寄送至接收人。</w:t>
      </w:r>
    </w:p>
    <w:p w14:paraId="1E17ABD5">
      <w:pPr>
        <w:snapToGrid w:val="0"/>
        <w:spacing w:line="440" w:lineRule="exact"/>
        <w:ind w:firstLine="600" w:firstLineChars="200"/>
        <w:rPr>
          <w:rFonts w:ascii="Times New Roman" w:hAnsi="Times New Roman" w:eastAsia="仿宋_GB2312" w:cs="Arial"/>
          <w:color w:val="auto"/>
          <w:kern w:val="0"/>
          <w:sz w:val="30"/>
          <w:szCs w:val="30"/>
        </w:rPr>
      </w:pPr>
      <w:r>
        <w:rPr>
          <w:rFonts w:hint="eastAsia" w:ascii="Times New Roman" w:hAnsi="Times New Roman" w:eastAsia="仿宋_GB2312" w:cs="Arial"/>
          <w:color w:val="auto"/>
          <w:kern w:val="0"/>
          <w:sz w:val="30"/>
          <w:szCs w:val="30"/>
        </w:rPr>
        <w:t>若同时递交备份投标文件和演示文档，备份投标文件和演示文档可存放于同一U盘并邮寄。</w:t>
      </w:r>
    </w:p>
    <w:p w14:paraId="1E61FA1F">
      <w:pPr>
        <w:pStyle w:val="15"/>
        <w:adjustRightInd w:val="0"/>
        <w:spacing w:before="120" w:after="120" w:line="500" w:lineRule="exact"/>
        <w:ind w:firstLine="602" w:firstLineChars="201"/>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备份投标文件和演示文档接收人：雷老师，联系方式：0571-87880802；地址：</w:t>
      </w:r>
      <w:bookmarkStart w:id="12" w:name="_Hlk70411724"/>
      <w:r>
        <w:rPr>
          <w:rFonts w:hint="eastAsia" w:ascii="Times New Roman" w:hAnsi="Times New Roman" w:eastAsia="仿宋_GB2312" w:cs="Arial"/>
          <w:color w:val="auto"/>
          <w:sz w:val="30"/>
          <w:szCs w:val="30"/>
        </w:rPr>
        <w:t>浙江省杭州市西湖区学院路35号浙江教育综合大楼</w:t>
      </w:r>
      <w:bookmarkEnd w:id="12"/>
      <w:r>
        <w:rPr>
          <w:rFonts w:hint="eastAsia" w:ascii="Times New Roman" w:hAnsi="Times New Roman" w:eastAsia="仿宋_GB2312" w:cs="Arial"/>
          <w:color w:val="auto"/>
          <w:sz w:val="30"/>
          <w:szCs w:val="30"/>
        </w:rPr>
        <w:t>13楼1304室；收件时间：8:30-11:30，14:00-17:00，节假日、双休日除外（如直接递交的，递交人员需填写送件人姓名及联系电话、送达时间等相关信息；如采用邮寄方式，推荐使用中国邮政速递和顺丰快递，快递人员投递时须同时登记邮寄单号等相关信息。）</w:t>
      </w:r>
    </w:p>
    <w:p w14:paraId="59CB67D9">
      <w:pPr>
        <w:snapToGrid w:val="0"/>
        <w:spacing w:line="44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五、开标时间及地点</w:t>
      </w:r>
    </w:p>
    <w:p w14:paraId="65ADD012">
      <w:pPr>
        <w:autoSpaceDE w:val="0"/>
        <w:spacing w:line="520" w:lineRule="exact"/>
        <w:rPr>
          <w:rFonts w:ascii="国标仿宋" w:hAnsi="国标仿宋"/>
          <w:color w:val="auto"/>
          <w:sz w:val="24"/>
          <w:szCs w:val="24"/>
        </w:rPr>
      </w:pPr>
      <w:r>
        <w:rPr>
          <w:rFonts w:hint="eastAsia" w:ascii="国标仿宋" w:hAnsi="国标仿宋"/>
          <w:color w:val="auto"/>
          <w:sz w:val="24"/>
          <w:szCs w:val="24"/>
        </w:rPr>
        <w:t>（一）</w:t>
      </w:r>
      <w:r>
        <w:rPr>
          <w:rFonts w:ascii="国标仿宋" w:hAnsi="国标仿宋"/>
          <w:color w:val="auto"/>
          <w:sz w:val="24"/>
          <w:szCs w:val="24"/>
        </w:rPr>
        <w:t>开标时间：2026年5月</w:t>
      </w:r>
      <w:r>
        <w:rPr>
          <w:rFonts w:ascii="国标仿宋" w:hAnsi="国标仿宋"/>
          <w:color w:val="auto"/>
          <w:sz w:val="24"/>
          <w:szCs w:val="24"/>
          <w:woUserID w:val="1"/>
        </w:rPr>
        <w:t>18</w:t>
      </w:r>
      <w:r>
        <w:rPr>
          <w:rFonts w:ascii="国标仿宋" w:hAnsi="国标仿宋"/>
          <w:color w:val="auto"/>
          <w:sz w:val="24"/>
          <w:szCs w:val="24"/>
        </w:rPr>
        <w:t>日上午9:00整。</w:t>
      </w:r>
    </w:p>
    <w:p w14:paraId="047CF99A">
      <w:pPr>
        <w:numPr>
          <w:ilvl w:val="0"/>
          <w:numId w:val="2"/>
        </w:numPr>
        <w:suppressAutoHyphens/>
        <w:autoSpaceDE w:val="0"/>
        <w:spacing w:line="520" w:lineRule="exact"/>
        <w:jc w:val="center"/>
        <w:rPr>
          <w:rFonts w:ascii="国标仿宋" w:hAnsi="国标仿宋"/>
          <w:color w:val="auto"/>
          <w:sz w:val="24"/>
          <w:szCs w:val="24"/>
        </w:rPr>
      </w:pPr>
      <w:r>
        <w:rPr>
          <w:rFonts w:ascii="国标仿宋" w:hAnsi="国标仿宋"/>
          <w:color w:val="auto"/>
          <w:sz w:val="24"/>
          <w:szCs w:val="24"/>
        </w:rPr>
        <w:t>开标地点：浙江省杭州市西湖区保俶北路58号浙江师范大学杭州幼儿师</w:t>
      </w:r>
    </w:p>
    <w:p w14:paraId="6980B183">
      <w:pPr>
        <w:suppressAutoHyphens/>
        <w:autoSpaceDE w:val="0"/>
        <w:spacing w:line="520" w:lineRule="exact"/>
        <w:rPr>
          <w:rFonts w:ascii="国标仿宋" w:hAnsi="国标仿宋"/>
          <w:color w:val="auto"/>
          <w:sz w:val="24"/>
          <w:szCs w:val="24"/>
        </w:rPr>
      </w:pPr>
      <w:r>
        <w:rPr>
          <w:rFonts w:ascii="国标仿宋" w:hAnsi="国标仿宋"/>
          <w:color w:val="auto"/>
          <w:sz w:val="24"/>
          <w:szCs w:val="24"/>
        </w:rPr>
        <w:t>范学院新大楼14楼会议室</w:t>
      </w:r>
    </w:p>
    <w:p w14:paraId="276238A8">
      <w:pPr>
        <w:snapToGrid w:val="0"/>
        <w:spacing w:line="440" w:lineRule="exact"/>
        <w:rPr>
          <w:rFonts w:ascii="国标仿宋" w:hAnsi="国标仿宋" w:cs="宋体"/>
          <w:color w:val="auto"/>
          <w:sz w:val="24"/>
          <w:szCs w:val="24"/>
        </w:rPr>
      </w:pPr>
      <w:r>
        <w:rPr>
          <w:rFonts w:hint="eastAsia" w:ascii="国标仿宋" w:hAnsi="国标仿宋" w:cs="宋体"/>
          <w:color w:val="auto"/>
          <w:sz w:val="24"/>
          <w:szCs w:val="24"/>
        </w:rPr>
        <w:t>（三）</w:t>
      </w:r>
      <w:r>
        <w:rPr>
          <w:rFonts w:ascii="国标仿宋" w:hAnsi="国标仿宋" w:cs="宋体"/>
          <w:color w:val="auto"/>
          <w:sz w:val="24"/>
          <w:szCs w:val="24"/>
        </w:rPr>
        <w:t>项目采用在线开评标，投标人无须派代表到现场出席开标会议。开评标现场咨询电话：开评标现场咨询电话：0571-88833422/0571-87880788</w:t>
      </w:r>
    </w:p>
    <w:p w14:paraId="2EAFED28">
      <w:pPr>
        <w:snapToGrid w:val="0"/>
        <w:spacing w:line="440" w:lineRule="exact"/>
        <w:rPr>
          <w:rFonts w:ascii="黑体" w:hAnsi="黑体" w:eastAsia="黑体" w:cs="Arial"/>
          <w:color w:val="auto"/>
          <w:sz w:val="30"/>
          <w:szCs w:val="30"/>
        </w:rPr>
      </w:pPr>
      <w:r>
        <w:rPr>
          <w:rFonts w:hint="eastAsia" w:ascii="黑体" w:hAnsi="黑体" w:eastAsia="黑体" w:cs="Arial"/>
          <w:color w:val="auto"/>
          <w:sz w:val="30"/>
          <w:szCs w:val="30"/>
        </w:rPr>
        <w:t>六、公告期限</w:t>
      </w:r>
    </w:p>
    <w:p w14:paraId="1E940DAA">
      <w:pPr>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自本公告发布之日起5个工作日。</w:t>
      </w:r>
    </w:p>
    <w:p w14:paraId="123A0228">
      <w:pPr>
        <w:snapToGrid w:val="0"/>
        <w:spacing w:line="44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七、电子交易平台网络地址和登录方法</w:t>
      </w:r>
    </w:p>
    <w:p w14:paraId="13DEA054">
      <w:pPr>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（一）网络地址：浙江政府采购网（</w:t>
      </w:r>
      <w:r>
        <w:rPr>
          <w:color w:val="auto"/>
        </w:rPr>
        <w:fldChar w:fldCharType="begin"/>
      </w:r>
      <w:r>
        <w:rPr>
          <w:color w:val="auto"/>
        </w:rPr>
        <w:instrText xml:space="preserve"> HYPERLINK "http://zfcg.czt.zj.gov.cn/" </w:instrText>
      </w:r>
      <w:r>
        <w:rPr>
          <w:color w:val="auto"/>
        </w:rPr>
        <w:fldChar w:fldCharType="separate"/>
      </w:r>
      <w:r>
        <w:rPr>
          <w:rFonts w:hint="eastAsia" w:ascii="Times New Roman" w:hAnsi="Times New Roman" w:eastAsia="仿宋_GB2312" w:cs="Arial"/>
          <w:color w:val="auto"/>
          <w:sz w:val="30"/>
          <w:szCs w:val="30"/>
        </w:rPr>
        <w:t>http://zfcg.czt.zj.gov.cn/</w:t>
      </w:r>
      <w:r>
        <w:rPr>
          <w:rFonts w:hint="eastAsia" w:ascii="Times New Roman" w:hAnsi="Times New Roman" w:eastAsia="仿宋_GB2312" w:cs="Arial"/>
          <w:color w:val="auto"/>
          <w:sz w:val="30"/>
          <w:szCs w:val="30"/>
        </w:rPr>
        <w:fldChar w:fldCharType="end"/>
      </w:r>
      <w:r>
        <w:rPr>
          <w:rFonts w:hint="eastAsia" w:ascii="Times New Roman" w:hAnsi="Times New Roman" w:eastAsia="仿宋_GB2312" w:cs="Arial"/>
          <w:color w:val="auto"/>
          <w:sz w:val="30"/>
          <w:szCs w:val="30"/>
        </w:rPr>
        <w:t>）。</w:t>
      </w:r>
    </w:p>
    <w:p w14:paraId="3A45F014">
      <w:pPr>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（二）登录方法：供应商须先完成供应商注册并申请CA（CA管理学习专题：</w:t>
      </w:r>
      <w:r>
        <w:rPr>
          <w:color w:val="auto"/>
        </w:rPr>
        <w:fldChar w:fldCharType="begin"/>
      </w:r>
      <w:r>
        <w:rPr>
          <w:color w:val="auto"/>
        </w:rPr>
        <w:instrText xml:space="preserve"> HYPERLINK "https://edu.zcygov.cn/luban/ca" </w:instrText>
      </w:r>
      <w:r>
        <w:rPr>
          <w:color w:val="auto"/>
        </w:rPr>
        <w:fldChar w:fldCharType="separate"/>
      </w:r>
      <w:r>
        <w:rPr>
          <w:rFonts w:hint="eastAsia" w:ascii="Times New Roman" w:hAnsi="Times New Roman" w:eastAsia="仿宋_GB2312" w:cs="Arial"/>
          <w:color w:val="auto"/>
          <w:sz w:val="30"/>
          <w:szCs w:val="30"/>
        </w:rPr>
        <w:t>https://edu.zcygov.cn/luban/ca</w:t>
      </w:r>
      <w:r>
        <w:rPr>
          <w:rFonts w:hint="eastAsia" w:ascii="Times New Roman" w:hAnsi="Times New Roman" w:eastAsia="仿宋_GB2312" w:cs="Arial"/>
          <w:color w:val="auto"/>
          <w:sz w:val="30"/>
          <w:szCs w:val="30"/>
        </w:rPr>
        <w:fldChar w:fldCharType="end"/>
      </w:r>
      <w:r>
        <w:rPr>
          <w:rFonts w:hint="eastAsia" w:ascii="Times New Roman" w:hAnsi="Times New Roman" w:eastAsia="仿宋_GB2312" w:cs="Arial"/>
          <w:color w:val="auto"/>
          <w:sz w:val="30"/>
          <w:szCs w:val="30"/>
        </w:rPr>
        <w:t>），再下载客户端编制、加密电子响应文件，最后应在浙江政府采购网政采云用户登录窗口登录，完成电子响应文件传输递交（具体详见“第二章 投标人须知”）。</w:t>
      </w:r>
    </w:p>
    <w:p w14:paraId="552203CD">
      <w:pPr>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（三）特别提示：本项目采用在线开评标，供应商可进入电子卖场服务中心采云学院（https://e-learning.zcygov.cn/）自行提前学习。</w:t>
      </w:r>
    </w:p>
    <w:p w14:paraId="35DF726C">
      <w:pPr>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（四）网站系统问题（注册、账号、系统操作等）咨询电话：95763</w:t>
      </w:r>
    </w:p>
    <w:p w14:paraId="250EE138">
      <w:pPr>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（五）CA问题联系电话（人工）：汇信CA 400-888-4636；天谷CA 400-087-8198。</w:t>
      </w:r>
    </w:p>
    <w:p w14:paraId="7A71DCEC">
      <w:pPr>
        <w:snapToGrid w:val="0"/>
        <w:spacing w:line="440" w:lineRule="exact"/>
        <w:ind w:firstLine="600" w:firstLineChars="200"/>
        <w:rPr>
          <w:rFonts w:ascii="黑体" w:hAnsi="黑体" w:eastAsia="黑体" w:cs="Arial"/>
          <w:color w:val="auto"/>
          <w:sz w:val="30"/>
          <w:szCs w:val="30"/>
        </w:rPr>
      </w:pPr>
      <w:r>
        <w:rPr>
          <w:rFonts w:hint="eastAsia" w:ascii="黑体" w:hAnsi="黑体" w:eastAsia="黑体" w:cs="Arial"/>
          <w:color w:val="auto"/>
          <w:sz w:val="30"/>
          <w:szCs w:val="30"/>
        </w:rPr>
        <w:t>八、对本次采购提出询问、质疑、投诉，请按以下方式联系</w:t>
      </w:r>
    </w:p>
    <w:p w14:paraId="7A220078">
      <w:pPr>
        <w:tabs>
          <w:tab w:val="left" w:pos="3015"/>
        </w:tabs>
        <w:snapToGrid w:val="0"/>
        <w:spacing w:line="440" w:lineRule="exact"/>
        <w:ind w:firstLine="602" w:firstLineChars="200"/>
        <w:rPr>
          <w:rFonts w:ascii="Times New Roman" w:hAnsi="Times New Roman" w:eastAsia="仿宋_GB2312" w:cs="Arial"/>
          <w:color w:val="auto"/>
          <w:sz w:val="30"/>
          <w:szCs w:val="30"/>
        </w:rPr>
      </w:pPr>
      <w:r>
        <w:rPr>
          <w:rFonts w:hint="eastAsia" w:eastAsia="仿宋_GB2312" w:cs="Arial"/>
          <w:b/>
          <w:bCs/>
          <w:color w:val="auto"/>
          <w:sz w:val="30"/>
          <w:szCs w:val="30"/>
        </w:rPr>
        <w:t>（一）</w:t>
      </w:r>
      <w:r>
        <w:rPr>
          <w:rFonts w:hint="eastAsia" w:ascii="Times New Roman" w:hAnsi="Times New Roman" w:eastAsia="仿宋_GB2312" w:cs="Arial"/>
          <w:color w:val="auto"/>
          <w:sz w:val="30"/>
          <w:szCs w:val="30"/>
        </w:rPr>
        <w:t>采购人</w:t>
      </w:r>
    </w:p>
    <w:p w14:paraId="4E5DD315">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牵头单位名称：</w:t>
      </w:r>
      <w:r>
        <w:rPr>
          <w:rFonts w:ascii="Times New Roman" w:hAnsi="Times New Roman" w:eastAsia="仿宋_GB2312" w:cs="Arial"/>
          <w:color w:val="auto"/>
          <w:sz w:val="30"/>
          <w:szCs w:val="30"/>
        </w:rPr>
        <w:t>浙江省教育厅</w:t>
      </w:r>
      <w:r>
        <w:rPr>
          <w:rFonts w:hint="eastAsia" w:ascii="Times New Roman" w:hAnsi="Times New Roman" w:eastAsia="仿宋_GB2312" w:cs="Arial"/>
          <w:color w:val="auto"/>
          <w:sz w:val="30"/>
          <w:szCs w:val="30"/>
        </w:rPr>
        <w:t xml:space="preserve">  </w:t>
      </w:r>
      <w:r>
        <w:rPr>
          <w:rFonts w:hint="eastAsia" w:ascii="Times New Roman" w:hAnsi="Times New Roman" w:eastAsia="仿宋_GB2312" w:cs="Arial"/>
          <w:color w:val="auto"/>
          <w:sz w:val="30"/>
          <w:szCs w:val="30"/>
          <w:lang w:eastAsia="zh-Hans"/>
        </w:rPr>
        <w:t>湖州</w:t>
      </w:r>
      <w:r>
        <w:rPr>
          <w:rFonts w:hint="eastAsia" w:ascii="Times New Roman" w:hAnsi="Times New Roman" w:eastAsia="仿宋_GB2312" w:cs="Arial"/>
          <w:color w:val="auto"/>
          <w:sz w:val="30"/>
          <w:szCs w:val="30"/>
        </w:rPr>
        <w:t>市教育局</w:t>
      </w:r>
    </w:p>
    <w:p w14:paraId="603B9509">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地    址：</w:t>
      </w:r>
      <w:r>
        <w:rPr>
          <w:rFonts w:hint="eastAsia" w:ascii="Times New Roman" w:hAnsi="Times New Roman" w:eastAsia="仿宋_GB2312" w:cs="Arial"/>
          <w:color w:val="auto"/>
          <w:sz w:val="30"/>
          <w:szCs w:val="30"/>
        </w:rPr>
        <w:t>杭州市文晖路321号</w:t>
      </w:r>
    </w:p>
    <w:p w14:paraId="3ECACC26">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联系人（询问）：</w:t>
      </w:r>
      <w:r>
        <w:rPr>
          <w:rFonts w:hint="eastAsia" w:ascii="Times New Roman" w:hAnsi="Times New Roman" w:eastAsia="仿宋_GB2312" w:cs="Arial"/>
          <w:color w:val="auto"/>
          <w:sz w:val="30"/>
          <w:szCs w:val="30"/>
          <w:lang w:eastAsia="zh-Hans"/>
        </w:rPr>
        <w:t>姚</w:t>
      </w:r>
      <w:r>
        <w:rPr>
          <w:rFonts w:hint="eastAsia" w:ascii="Times New Roman" w:hAnsi="Times New Roman" w:eastAsia="仿宋_GB2312" w:cs="Arial"/>
          <w:color w:val="auto"/>
          <w:sz w:val="30"/>
          <w:szCs w:val="30"/>
        </w:rPr>
        <w:t>老师  应老师</w:t>
      </w:r>
    </w:p>
    <w:p w14:paraId="338EB7F2">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联系方式（询问）：0572-2899059</w:t>
      </w:r>
      <w:r>
        <w:rPr>
          <w:rFonts w:hint="eastAsia" w:ascii="Times New Roman" w:hAnsi="Times New Roman" w:eastAsia="仿宋_GB2312" w:cs="Arial"/>
          <w:color w:val="auto"/>
          <w:sz w:val="30"/>
          <w:szCs w:val="30"/>
        </w:rPr>
        <w:t xml:space="preserve">、 </w:t>
      </w:r>
      <w:r>
        <w:rPr>
          <w:rFonts w:ascii="Times New Roman" w:hAnsi="Times New Roman" w:eastAsia="仿宋_GB2312" w:cs="Arial"/>
          <w:color w:val="auto"/>
          <w:sz w:val="30"/>
          <w:szCs w:val="30"/>
        </w:rPr>
        <w:t>0571-88008915</w:t>
      </w:r>
    </w:p>
    <w:p w14:paraId="26C773EC">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质疑联系人：</w:t>
      </w:r>
      <w:r>
        <w:rPr>
          <w:rFonts w:hint="eastAsia" w:ascii="Times New Roman" w:hAnsi="Times New Roman" w:eastAsia="仿宋_GB2312" w:cs="Arial"/>
          <w:color w:val="auto"/>
          <w:sz w:val="30"/>
          <w:szCs w:val="30"/>
        </w:rPr>
        <w:t>王老师</w:t>
      </w:r>
    </w:p>
    <w:p w14:paraId="5D3FFEE3">
      <w:pPr>
        <w:tabs>
          <w:tab w:val="left" w:pos="3015"/>
        </w:tabs>
        <w:snapToGrid w:val="0"/>
        <w:spacing w:line="440" w:lineRule="exact"/>
        <w:ind w:firstLine="600" w:firstLineChars="200"/>
        <w:rPr>
          <w:color w:val="auto"/>
        </w:rPr>
      </w:pPr>
      <w:r>
        <w:rPr>
          <w:rFonts w:ascii="Times New Roman" w:hAnsi="Times New Roman" w:eastAsia="仿宋_GB2312" w:cs="Arial"/>
          <w:color w:val="auto"/>
          <w:sz w:val="30"/>
          <w:szCs w:val="30"/>
        </w:rPr>
        <w:t>质疑联系方式：</w:t>
      </w:r>
      <w:r>
        <w:rPr>
          <w:rFonts w:hint="eastAsia" w:ascii="Times New Roman" w:hAnsi="Times New Roman" w:eastAsia="仿宋_GB2312" w:cs="Arial"/>
          <w:color w:val="auto"/>
          <w:sz w:val="30"/>
          <w:szCs w:val="30"/>
        </w:rPr>
        <w:t>0571-88008761</w:t>
      </w:r>
    </w:p>
    <w:p w14:paraId="6C13FC82">
      <w:pPr>
        <w:tabs>
          <w:tab w:val="left" w:pos="3015"/>
        </w:tabs>
        <w:snapToGrid w:val="0"/>
        <w:spacing w:line="440" w:lineRule="exact"/>
        <w:ind w:firstLine="600" w:firstLineChars="200"/>
        <w:rPr>
          <w:rFonts w:ascii="Times New Roman" w:hAnsi="Times New Roman" w:eastAsia="仿宋_GB2312" w:cs="Arial"/>
          <w:color w:val="auto"/>
          <w:sz w:val="30"/>
          <w:szCs w:val="30"/>
        </w:rPr>
      </w:pPr>
    </w:p>
    <w:p w14:paraId="478D1476">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参与单位名称：湖州中学、上海世外南浔实验学校、南浔经济开发区塘北新城学校、长兴县实验中学、德清县阜溪学校、德清县第六中学</w:t>
      </w:r>
    </w:p>
    <w:p w14:paraId="35521ED2">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联系人</w:t>
      </w:r>
      <w:r>
        <w:rPr>
          <w:rFonts w:ascii="Times New Roman" w:hAnsi="Times New Roman" w:eastAsia="仿宋_GB2312" w:cs="Arial"/>
          <w:color w:val="auto"/>
          <w:sz w:val="30"/>
          <w:szCs w:val="30"/>
        </w:rPr>
        <w:t>（询问）</w:t>
      </w:r>
      <w:r>
        <w:rPr>
          <w:rFonts w:hint="eastAsia" w:ascii="Times New Roman" w:hAnsi="Times New Roman" w:eastAsia="仿宋_GB2312" w:cs="Arial"/>
          <w:color w:val="auto"/>
          <w:sz w:val="30"/>
          <w:szCs w:val="30"/>
        </w:rPr>
        <w:t>：</w:t>
      </w:r>
      <w:r>
        <w:rPr>
          <w:rFonts w:hint="eastAsia" w:ascii="Times New Roman" w:hAnsi="Times New Roman" w:eastAsia="仿宋_GB2312" w:cs="Arial"/>
          <w:color w:val="auto"/>
          <w:sz w:val="30"/>
          <w:szCs w:val="30"/>
          <w:lang w:eastAsia="zh-Hans"/>
        </w:rPr>
        <w:t>沈</w:t>
      </w:r>
      <w:r>
        <w:rPr>
          <w:rFonts w:hint="eastAsia" w:ascii="Times New Roman" w:hAnsi="Times New Roman" w:eastAsia="仿宋_GB2312" w:cs="Arial"/>
          <w:color w:val="auto"/>
          <w:sz w:val="30"/>
          <w:szCs w:val="30"/>
        </w:rPr>
        <w:t>老师</w:t>
      </w:r>
    </w:p>
    <w:p w14:paraId="635C73C9">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联系方式</w:t>
      </w:r>
      <w:r>
        <w:rPr>
          <w:rFonts w:ascii="Times New Roman" w:hAnsi="Times New Roman" w:eastAsia="仿宋_GB2312" w:cs="Arial"/>
          <w:color w:val="auto"/>
          <w:sz w:val="30"/>
          <w:szCs w:val="30"/>
        </w:rPr>
        <w:t>（询问）</w:t>
      </w:r>
      <w:r>
        <w:rPr>
          <w:rFonts w:hint="eastAsia" w:ascii="Times New Roman" w:hAnsi="Times New Roman" w:eastAsia="仿宋_GB2312" w:cs="Arial"/>
          <w:color w:val="auto"/>
          <w:sz w:val="30"/>
          <w:szCs w:val="30"/>
        </w:rPr>
        <w:t>：0572-2397501</w:t>
      </w:r>
    </w:p>
    <w:p w14:paraId="5F6E66E4">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质疑联系人：姚老师</w:t>
      </w:r>
    </w:p>
    <w:p w14:paraId="6947E9F9">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质疑联系方式：0572-2899059</w:t>
      </w:r>
    </w:p>
    <w:p w14:paraId="47D594F4">
      <w:pPr>
        <w:tabs>
          <w:tab w:val="left" w:pos="3015"/>
        </w:tabs>
        <w:snapToGrid w:val="0"/>
        <w:spacing w:line="440" w:lineRule="exact"/>
        <w:rPr>
          <w:rFonts w:eastAsia="仿宋_GB2312" w:cs="Arial"/>
          <w:b/>
          <w:bCs/>
          <w:color w:val="auto"/>
          <w:sz w:val="30"/>
          <w:szCs w:val="30"/>
        </w:rPr>
      </w:pPr>
    </w:p>
    <w:p w14:paraId="12F4DD80">
      <w:pPr>
        <w:tabs>
          <w:tab w:val="left" w:pos="3015"/>
        </w:tabs>
        <w:snapToGrid w:val="0"/>
        <w:spacing w:line="440" w:lineRule="exact"/>
        <w:ind w:firstLine="602" w:firstLineChars="200"/>
        <w:rPr>
          <w:rFonts w:ascii="Times New Roman" w:hAnsi="Times New Roman" w:eastAsia="仿宋_GB2312" w:cs="Arial"/>
          <w:color w:val="auto"/>
          <w:sz w:val="30"/>
          <w:szCs w:val="30"/>
        </w:rPr>
      </w:pPr>
      <w:r>
        <w:rPr>
          <w:rFonts w:hint="eastAsia" w:eastAsia="仿宋_GB2312" w:cs="Arial"/>
          <w:b/>
          <w:bCs/>
          <w:color w:val="auto"/>
          <w:sz w:val="30"/>
          <w:szCs w:val="30"/>
        </w:rPr>
        <w:t>（二）</w:t>
      </w:r>
      <w:r>
        <w:rPr>
          <w:rFonts w:hint="eastAsia" w:ascii="Times New Roman" w:hAnsi="Times New Roman" w:eastAsia="仿宋_GB2312" w:cs="Arial"/>
          <w:color w:val="auto"/>
          <w:sz w:val="30"/>
          <w:szCs w:val="30"/>
        </w:rPr>
        <w:t>采购代理机构</w:t>
      </w:r>
    </w:p>
    <w:p w14:paraId="674176E6">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名    称：浙江省教育技术中心</w:t>
      </w:r>
    </w:p>
    <w:p w14:paraId="44141223">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地    址：浙江省杭州市西湖区学院路35号</w:t>
      </w:r>
    </w:p>
    <w:p w14:paraId="4D3408F5">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传    真：</w:t>
      </w:r>
      <w:r>
        <w:rPr>
          <w:rFonts w:ascii="Times New Roman" w:hAnsi="Times New Roman" w:eastAsia="仿宋_GB2312" w:cs="Arial"/>
          <w:color w:val="auto"/>
          <w:sz w:val="30"/>
          <w:szCs w:val="30"/>
        </w:rPr>
        <w:t>0571-87880802</w:t>
      </w:r>
    </w:p>
    <w:p w14:paraId="6D631570">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联系人（询问）袁老师</w:t>
      </w:r>
    </w:p>
    <w:p w14:paraId="39A19C72">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联系方式（询问）：0571-87027718</w:t>
      </w:r>
    </w:p>
    <w:p w14:paraId="04DBD4C0">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质疑联系人：蒋老师</w:t>
      </w:r>
    </w:p>
    <w:p w14:paraId="619B48FC">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质疑联系方式：0571-88062771</w:t>
      </w:r>
    </w:p>
    <w:p w14:paraId="0E84EAFC">
      <w:pPr>
        <w:rPr>
          <w:color w:val="auto"/>
        </w:rPr>
      </w:pPr>
    </w:p>
    <w:p w14:paraId="76B0D6DF">
      <w:pPr>
        <w:tabs>
          <w:tab w:val="left" w:pos="3015"/>
        </w:tabs>
        <w:snapToGrid w:val="0"/>
        <w:spacing w:line="440" w:lineRule="exact"/>
        <w:ind w:firstLine="600" w:firstLineChars="200"/>
        <w:rPr>
          <w:rFonts w:ascii="Times New Roman" w:hAnsi="Times New Roman" w:eastAsia="仿宋_GB2312" w:cs="Arial"/>
          <w:color w:val="auto"/>
          <w:sz w:val="30"/>
          <w:szCs w:val="30"/>
        </w:rPr>
      </w:pPr>
    </w:p>
    <w:p w14:paraId="05AD46C4">
      <w:pPr>
        <w:numPr>
          <w:ilvl w:val="0"/>
          <w:numId w:val="3"/>
        </w:num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hint="eastAsia" w:ascii="Times New Roman" w:hAnsi="Times New Roman" w:eastAsia="仿宋_GB2312" w:cs="Arial"/>
          <w:color w:val="auto"/>
          <w:sz w:val="30"/>
          <w:szCs w:val="30"/>
        </w:rPr>
        <w:t>同级政府采购监督管理部门</w:t>
      </w:r>
    </w:p>
    <w:p w14:paraId="367E6977">
      <w:pPr>
        <w:pStyle w:val="14"/>
        <w:ind w:firstLine="640" w:firstLineChars="200"/>
        <w:jc w:val="left"/>
        <w:rPr>
          <w:rFonts w:ascii="仿宋" w:hAnsi="仿宋" w:eastAsia="仿宋" w:cs="仿宋"/>
          <w:color w:val="auto"/>
          <w:sz w:val="32"/>
          <w:szCs w:val="32"/>
        </w:rPr>
      </w:pPr>
      <w:r>
        <w:rPr>
          <w:rFonts w:hint="eastAsia" w:ascii="仿宋" w:hAnsi="仿宋" w:eastAsia="仿宋" w:cs="仿宋"/>
          <w:color w:val="auto"/>
          <w:sz w:val="32"/>
          <w:szCs w:val="32"/>
        </w:rPr>
        <w:t>供应商投诉按照采购人所属预算级次，由本级财政部门处理。</w:t>
      </w:r>
    </w:p>
    <w:p w14:paraId="4E8B3A50">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名   称：</w:t>
      </w:r>
      <w:r>
        <w:rPr>
          <w:rFonts w:hint="eastAsia" w:ascii="Times New Roman" w:hAnsi="Times New Roman" w:eastAsia="仿宋_GB2312" w:cs="Arial"/>
          <w:color w:val="auto"/>
          <w:sz w:val="30"/>
          <w:szCs w:val="30"/>
        </w:rPr>
        <w:t>湖州市财政局</w:t>
      </w:r>
    </w:p>
    <w:p w14:paraId="7D4D57C6">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地   址：</w:t>
      </w:r>
      <w:r>
        <w:rPr>
          <w:rFonts w:hint="eastAsia" w:ascii="Times New Roman" w:hAnsi="Times New Roman" w:eastAsia="仿宋_GB2312" w:cs="Arial"/>
          <w:color w:val="auto"/>
          <w:sz w:val="30"/>
          <w:szCs w:val="30"/>
        </w:rPr>
        <w:t>湖州市龙王山路518号</w:t>
      </w:r>
    </w:p>
    <w:p w14:paraId="244A23EE">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联系人：</w:t>
      </w:r>
      <w:r>
        <w:rPr>
          <w:rFonts w:hint="eastAsia" w:ascii="Times New Roman" w:hAnsi="Times New Roman" w:eastAsia="仿宋_GB2312" w:cs="Arial"/>
          <w:color w:val="auto"/>
          <w:sz w:val="30"/>
          <w:szCs w:val="30"/>
        </w:rPr>
        <w:t>程先生</w:t>
      </w:r>
    </w:p>
    <w:p w14:paraId="10D5D506">
      <w:pPr>
        <w:tabs>
          <w:tab w:val="left" w:pos="3015"/>
        </w:tabs>
        <w:snapToGrid w:val="0"/>
        <w:spacing w:line="440" w:lineRule="exact"/>
        <w:ind w:firstLine="600" w:firstLineChars="200"/>
        <w:rPr>
          <w:rFonts w:ascii="Times New Roman" w:hAnsi="Times New Roman" w:eastAsia="仿宋_GB2312" w:cs="Arial"/>
          <w:color w:val="auto"/>
          <w:sz w:val="30"/>
          <w:szCs w:val="30"/>
        </w:rPr>
      </w:pPr>
      <w:r>
        <w:rPr>
          <w:rFonts w:ascii="Times New Roman" w:hAnsi="Times New Roman" w:eastAsia="仿宋_GB2312" w:cs="Arial"/>
          <w:color w:val="auto"/>
          <w:sz w:val="30"/>
          <w:szCs w:val="30"/>
        </w:rPr>
        <w:t>监督投诉电话</w:t>
      </w:r>
      <w:r>
        <w:rPr>
          <w:rFonts w:hint="eastAsia" w:ascii="Times New Roman" w:hAnsi="Times New Roman" w:eastAsia="仿宋_GB2312" w:cs="Arial"/>
          <w:color w:val="auto"/>
          <w:sz w:val="30"/>
          <w:szCs w:val="30"/>
        </w:rPr>
        <w:t>：0572-2150216</w:t>
      </w:r>
    </w:p>
    <w:p w14:paraId="34AB7E2D">
      <w:pPr>
        <w:pStyle w:val="35"/>
        <w:ind w:firstLine="344"/>
        <w:rPr>
          <w:color w:val="auto"/>
        </w:rPr>
      </w:pPr>
    </w:p>
    <w:p w14:paraId="0A4AA85F">
      <w:pPr>
        <w:tabs>
          <w:tab w:val="left" w:pos="3015"/>
        </w:tabs>
        <w:snapToGrid w:val="0"/>
        <w:spacing w:line="440" w:lineRule="exact"/>
        <w:ind w:firstLine="600" w:firstLineChars="200"/>
        <w:rPr>
          <w:rFonts w:ascii="Times New Roman" w:hAnsi="Times New Roman" w:eastAsia="仿宋_GB2312" w:cs="Arial"/>
          <w:color w:val="auto"/>
          <w:sz w:val="30"/>
          <w:szCs w:val="30"/>
        </w:rPr>
      </w:pPr>
    </w:p>
    <w:p w14:paraId="655536B0">
      <w:pPr>
        <w:snapToGrid w:val="0"/>
        <w:spacing w:line="440" w:lineRule="exact"/>
        <w:ind w:firstLine="600" w:firstLineChars="200"/>
        <w:rPr>
          <w:rFonts w:ascii="Times New Roman" w:hAnsi="Times New Roman" w:eastAsia="仿宋_GB2312" w:cs="Arial"/>
          <w:color w:val="auto"/>
          <w:sz w:val="30"/>
          <w:szCs w:val="30"/>
        </w:rPr>
      </w:pPr>
    </w:p>
    <w:p w14:paraId="0AC611EB">
      <w:pPr>
        <w:snapToGrid w:val="0"/>
        <w:spacing w:line="440" w:lineRule="exact"/>
        <w:ind w:firstLine="600" w:firstLineChars="200"/>
        <w:rPr>
          <w:rFonts w:ascii="Times New Roman" w:hAnsi="Times New Roman" w:eastAsia="仿宋_GB2312" w:cs="Arial"/>
          <w:color w:val="auto"/>
          <w:sz w:val="30"/>
          <w:szCs w:val="30"/>
        </w:rPr>
      </w:pPr>
    </w:p>
    <w:p w14:paraId="453B5682">
      <w:pPr>
        <w:snapToGrid w:val="0"/>
        <w:spacing w:line="440" w:lineRule="exact"/>
        <w:ind w:firstLine="5460" w:firstLineChars="1820"/>
        <w:rPr>
          <w:rFonts w:ascii="Times New Roman" w:hAnsi="Times New Roman" w:eastAsia="仿宋_GB2312"/>
          <w:color w:val="auto"/>
          <w:sz w:val="30"/>
          <w:szCs w:val="30"/>
        </w:rPr>
      </w:pPr>
      <w:r>
        <w:rPr>
          <w:rFonts w:hint="eastAsia" w:ascii="Times New Roman" w:hAnsi="Times New Roman" w:eastAsia="仿宋_GB2312" w:cs="Arial"/>
          <w:color w:val="auto"/>
          <w:sz w:val="30"/>
          <w:szCs w:val="30"/>
        </w:rPr>
        <w:t>浙江省教育技术中心</w:t>
      </w:r>
    </w:p>
    <w:p w14:paraId="1E44D3CB">
      <w:pPr>
        <w:snapToGrid w:val="0"/>
        <w:spacing w:line="440" w:lineRule="exact"/>
        <w:ind w:firstLine="5700" w:firstLineChars="1900"/>
        <w:jc w:val="left"/>
        <w:rPr>
          <w:rFonts w:ascii="Times New Roman" w:hAnsi="Times New Roman" w:eastAsia="仿宋_GB2312"/>
          <w:color w:val="auto"/>
          <w:sz w:val="30"/>
          <w:szCs w:val="30"/>
        </w:rPr>
      </w:pPr>
      <w:bookmarkStart w:id="13" w:name="_Toc15689"/>
      <w:bookmarkStart w:id="14" w:name="_Toc15177"/>
      <w:bookmarkStart w:id="15" w:name="_Toc109755337"/>
      <w:r>
        <w:rPr>
          <w:rFonts w:hint="eastAsia" w:ascii="Times New Roman" w:hAnsi="Times New Roman" w:eastAsia="仿宋_GB2312"/>
          <w:color w:val="auto"/>
          <w:sz w:val="30"/>
          <w:szCs w:val="30"/>
        </w:rPr>
        <w:t>2026年</w:t>
      </w:r>
      <w:bookmarkStart w:id="16" w:name="_Toc9030"/>
      <w:r>
        <w:rPr>
          <w:rFonts w:hint="eastAsia" w:ascii="Times New Roman" w:hAnsi="Times New Roman" w:eastAsia="仿宋_GB2312"/>
          <w:color w:val="auto"/>
          <w:sz w:val="30"/>
          <w:szCs w:val="30"/>
        </w:rPr>
        <w:t>4月</w:t>
      </w:r>
      <w:r>
        <w:rPr>
          <w:rFonts w:ascii="Times New Roman" w:hAnsi="Times New Roman" w:eastAsia="仿宋_GB2312"/>
          <w:color w:val="auto"/>
          <w:sz w:val="30"/>
          <w:szCs w:val="30"/>
        </w:rPr>
        <w:t>22</w:t>
      </w:r>
      <w:r>
        <w:rPr>
          <w:rFonts w:hint="eastAsia" w:ascii="Times New Roman" w:hAnsi="Times New Roman" w:eastAsia="仿宋_GB2312"/>
          <w:color w:val="auto"/>
          <w:sz w:val="30"/>
          <w:szCs w:val="30"/>
        </w:rPr>
        <w:t>日</w:t>
      </w:r>
    </w:p>
    <w:p w14:paraId="02717935">
      <w:pPr>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br w:type="page"/>
      </w:r>
    </w:p>
    <w:p w14:paraId="36C13C01">
      <w:pPr>
        <w:snapToGrid w:val="0"/>
        <w:spacing w:line="440" w:lineRule="exact"/>
        <w:jc w:val="center"/>
        <w:outlineLvl w:val="0"/>
        <w:rPr>
          <w:rFonts w:ascii="仿宋_GB2312" w:hAnsi="仿宋" w:eastAsia="仿宋_GB2312"/>
          <w:b/>
          <w:color w:val="auto"/>
          <w:kern w:val="0"/>
          <w:sz w:val="36"/>
          <w:szCs w:val="36"/>
        </w:rPr>
      </w:pPr>
      <w:bookmarkStart w:id="17" w:name="_Toc14788"/>
      <w:bookmarkStart w:id="18" w:name="_Toc1469892836"/>
      <w:bookmarkStart w:id="19" w:name="_Toc13932"/>
      <w:r>
        <w:rPr>
          <w:rFonts w:hint="eastAsia" w:ascii="仿宋_GB2312" w:hAnsi="仿宋" w:eastAsia="仿宋_GB2312"/>
          <w:b/>
          <w:color w:val="auto"/>
          <w:kern w:val="0"/>
          <w:sz w:val="36"/>
          <w:szCs w:val="36"/>
        </w:rPr>
        <w:t>第二章 投标人须知</w:t>
      </w:r>
      <w:bookmarkEnd w:id="17"/>
      <w:bookmarkEnd w:id="18"/>
      <w:bookmarkEnd w:id="19"/>
    </w:p>
    <w:p w14:paraId="38F45405">
      <w:pPr>
        <w:snapToGrid w:val="0"/>
        <w:rPr>
          <w:rFonts w:ascii="仿宋_GB2312" w:hAnsi="仿宋" w:eastAsia="仿宋_GB2312"/>
          <w:color w:val="auto"/>
          <w:sz w:val="30"/>
          <w:szCs w:val="30"/>
        </w:rPr>
      </w:pPr>
      <w:r>
        <w:rPr>
          <w:rFonts w:hint="eastAsia" w:ascii="仿宋_GB2312" w:hAnsi="仿宋" w:eastAsia="仿宋_GB2312"/>
          <w:color w:val="auto"/>
          <w:sz w:val="30"/>
          <w:szCs w:val="30"/>
        </w:rPr>
        <w:t>前附表</w:t>
      </w:r>
    </w:p>
    <w:tbl>
      <w:tblPr>
        <w:tblStyle w:val="37"/>
        <w:tblW w:w="9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683"/>
        <w:gridCol w:w="7404"/>
      </w:tblGrid>
      <w:tr w14:paraId="64DC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838" w:type="dxa"/>
            <w:vAlign w:val="center"/>
          </w:tcPr>
          <w:p w14:paraId="0B4A979E">
            <w:pPr>
              <w:snapToGrid w:val="0"/>
              <w:spacing w:line="320" w:lineRule="exact"/>
              <w:jc w:val="center"/>
              <w:rPr>
                <w:rFonts w:ascii="黑体" w:hAnsi="黑体" w:eastAsia="黑体"/>
                <w:color w:val="auto"/>
                <w:sz w:val="28"/>
                <w:szCs w:val="28"/>
              </w:rPr>
            </w:pPr>
            <w:r>
              <w:rPr>
                <w:rFonts w:hint="eastAsia" w:ascii="黑体" w:hAnsi="黑体" w:eastAsia="黑体"/>
                <w:color w:val="auto"/>
                <w:sz w:val="28"/>
                <w:szCs w:val="28"/>
              </w:rPr>
              <w:t>序号</w:t>
            </w:r>
          </w:p>
        </w:tc>
        <w:tc>
          <w:tcPr>
            <w:tcW w:w="1683" w:type="dxa"/>
            <w:vAlign w:val="center"/>
          </w:tcPr>
          <w:p w14:paraId="0E2F684F">
            <w:pPr>
              <w:snapToGrid w:val="0"/>
              <w:spacing w:line="320" w:lineRule="exact"/>
              <w:jc w:val="center"/>
              <w:rPr>
                <w:rFonts w:ascii="黑体" w:hAnsi="黑体" w:eastAsia="黑体"/>
                <w:color w:val="auto"/>
                <w:sz w:val="28"/>
                <w:szCs w:val="28"/>
              </w:rPr>
            </w:pPr>
            <w:r>
              <w:rPr>
                <w:rFonts w:hint="eastAsia" w:ascii="黑体" w:hAnsi="黑体" w:eastAsia="黑体"/>
                <w:color w:val="auto"/>
                <w:sz w:val="28"/>
                <w:szCs w:val="28"/>
              </w:rPr>
              <w:t>内容</w:t>
            </w:r>
          </w:p>
        </w:tc>
        <w:tc>
          <w:tcPr>
            <w:tcW w:w="7404" w:type="dxa"/>
            <w:vAlign w:val="center"/>
          </w:tcPr>
          <w:p w14:paraId="5B62C2F7">
            <w:pPr>
              <w:snapToGrid w:val="0"/>
              <w:spacing w:line="320" w:lineRule="exact"/>
              <w:jc w:val="center"/>
              <w:rPr>
                <w:rFonts w:ascii="黑体" w:hAnsi="黑体" w:eastAsia="黑体"/>
                <w:color w:val="auto"/>
                <w:sz w:val="28"/>
                <w:szCs w:val="28"/>
              </w:rPr>
            </w:pPr>
            <w:r>
              <w:rPr>
                <w:rFonts w:hint="eastAsia" w:ascii="黑体" w:hAnsi="黑体" w:eastAsia="黑体"/>
                <w:color w:val="auto"/>
                <w:sz w:val="28"/>
                <w:szCs w:val="28"/>
              </w:rPr>
              <w:t>要求</w:t>
            </w:r>
          </w:p>
        </w:tc>
      </w:tr>
      <w:tr w14:paraId="3AD7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310487C3">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w:t>
            </w:r>
          </w:p>
        </w:tc>
        <w:tc>
          <w:tcPr>
            <w:tcW w:w="1683" w:type="dxa"/>
            <w:vAlign w:val="center"/>
          </w:tcPr>
          <w:p w14:paraId="4EFD7E0D">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项目名称及数量</w:t>
            </w:r>
          </w:p>
        </w:tc>
        <w:tc>
          <w:tcPr>
            <w:tcW w:w="7404" w:type="dxa"/>
            <w:vAlign w:val="center"/>
          </w:tcPr>
          <w:p w14:paraId="3679D10A">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bCs/>
                <w:color w:val="auto"/>
                <w:sz w:val="28"/>
                <w:szCs w:val="28"/>
              </w:rPr>
              <w:t>详见“第四章 招标需求”。</w:t>
            </w:r>
          </w:p>
        </w:tc>
      </w:tr>
      <w:tr w14:paraId="6718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4709F687">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w:t>
            </w:r>
          </w:p>
        </w:tc>
        <w:tc>
          <w:tcPr>
            <w:tcW w:w="1683" w:type="dxa"/>
            <w:vAlign w:val="center"/>
          </w:tcPr>
          <w:p w14:paraId="75E11C8E">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信用记录</w:t>
            </w:r>
          </w:p>
        </w:tc>
        <w:tc>
          <w:tcPr>
            <w:tcW w:w="7404" w:type="dxa"/>
            <w:vAlign w:val="center"/>
          </w:tcPr>
          <w:p w14:paraId="2F6660E5">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根据财库〔2016〕125号文件，通过“信用中国”网站（www.creditchina.gov.cn）、中国政府采购网（www.ccgp.gov.cn）查询供应商信用记录（以开标当日网页查询记录为准）。</w:t>
            </w:r>
            <w:r>
              <w:rPr>
                <w:rFonts w:hint="eastAsia" w:ascii="Times New Roman" w:hAnsi="Times New Roman" w:eastAsia="楷体_GB2312"/>
                <w:b/>
                <w:bCs/>
                <w:color w:val="auto"/>
                <w:sz w:val="28"/>
                <w:szCs w:val="28"/>
              </w:rPr>
              <w:t>对列入失信被执行人、重大税收违法案件当事人名单、政府采购严重违法失信行为记录名单的供应商，其投标将作无效投标处理。</w:t>
            </w:r>
          </w:p>
        </w:tc>
      </w:tr>
      <w:tr w14:paraId="45C8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30C62301">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3</w:t>
            </w:r>
          </w:p>
        </w:tc>
        <w:tc>
          <w:tcPr>
            <w:tcW w:w="1683" w:type="dxa"/>
            <w:vAlign w:val="center"/>
          </w:tcPr>
          <w:p w14:paraId="543F2DB0">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中小企业预留份额情况</w:t>
            </w:r>
          </w:p>
        </w:tc>
        <w:tc>
          <w:tcPr>
            <w:tcW w:w="7404" w:type="dxa"/>
            <w:vAlign w:val="center"/>
          </w:tcPr>
          <w:p w14:paraId="55BC213A">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根据《政府采购促进中小企业发展管理办法》（财库〔2020〕46号）、《关于进一步加大政府采购支持中小企业力度的通知》（财库〔2022〕19号）文件的规定，本项目</w:t>
            </w:r>
            <w:r>
              <w:rPr>
                <w:rFonts w:hint="eastAsia" w:ascii="Times New Roman" w:hAnsi="Times New Roman" w:eastAsia="楷体_GB2312"/>
                <w:b/>
                <w:bCs/>
                <w:color w:val="auto"/>
                <w:sz w:val="28"/>
                <w:szCs w:val="28"/>
                <w:u w:val="single"/>
              </w:rPr>
              <w:t>不</w:t>
            </w:r>
            <w:r>
              <w:rPr>
                <w:rFonts w:hint="eastAsia" w:ascii="Times New Roman" w:hAnsi="Times New Roman" w:eastAsia="楷体_GB2312"/>
                <w:color w:val="auto"/>
                <w:sz w:val="28"/>
                <w:szCs w:val="28"/>
              </w:rPr>
              <w:t>属于预留份额专门面向中小企业采购的项目</w:t>
            </w:r>
            <w:r>
              <w:rPr>
                <w:rFonts w:hint="eastAsia" w:ascii="楷体_GB2312" w:hAnsi="Times New Roman" w:eastAsia="楷体_GB2312"/>
                <w:b/>
                <w:bCs/>
                <w:color w:val="auto"/>
                <w:sz w:val="28"/>
                <w:szCs w:val="28"/>
                <w:lang w:bidi="ar"/>
              </w:rPr>
              <w:t>。</w:t>
            </w:r>
          </w:p>
        </w:tc>
      </w:tr>
      <w:tr w14:paraId="35EE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26F10458">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4</w:t>
            </w:r>
          </w:p>
        </w:tc>
        <w:tc>
          <w:tcPr>
            <w:tcW w:w="1683" w:type="dxa"/>
            <w:vAlign w:val="center"/>
          </w:tcPr>
          <w:p w14:paraId="51FD6307">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中小企业优惠政策</w:t>
            </w:r>
          </w:p>
        </w:tc>
        <w:tc>
          <w:tcPr>
            <w:tcW w:w="7404" w:type="dxa"/>
            <w:vAlign w:val="center"/>
          </w:tcPr>
          <w:p w14:paraId="11D876ED">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财政部、工业和信息化部制定的《政府采购促进中小企业发展管理办法》（财库〔20</w:t>
            </w:r>
            <w:r>
              <w:rPr>
                <w:rFonts w:ascii="Times New Roman" w:hAnsi="Times New Roman" w:eastAsia="楷体_GB2312"/>
                <w:color w:val="auto"/>
                <w:sz w:val="28"/>
                <w:szCs w:val="28"/>
              </w:rPr>
              <w:t>20</w:t>
            </w:r>
            <w:r>
              <w:rPr>
                <w:rFonts w:hint="eastAsia" w:ascii="Times New Roman" w:hAnsi="Times New Roman" w:eastAsia="楷体_GB2312"/>
                <w:color w:val="auto"/>
                <w:sz w:val="28"/>
                <w:szCs w:val="28"/>
              </w:rPr>
              <w:t>〕46 号）。</w:t>
            </w:r>
          </w:p>
          <w:p w14:paraId="3704E193">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财政部、民政部和中国残疾人联合会《关于促进残疾人就业政府采购政策的通知》（财库〔2017〕141号）。</w:t>
            </w:r>
          </w:p>
          <w:p w14:paraId="2883325F">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财政部和司法部《关于政府采购支持监狱企业发展有关问题的通知》（财库〔201</w:t>
            </w:r>
            <w:r>
              <w:rPr>
                <w:rFonts w:ascii="Times New Roman" w:hAnsi="Times New Roman" w:eastAsia="楷体_GB2312"/>
                <w:color w:val="auto"/>
                <w:sz w:val="28"/>
                <w:szCs w:val="28"/>
              </w:rPr>
              <w:t>4</w:t>
            </w:r>
            <w:r>
              <w:rPr>
                <w:rFonts w:hint="eastAsia" w:ascii="Times New Roman" w:hAnsi="Times New Roman" w:eastAsia="楷体_GB2312"/>
                <w:color w:val="auto"/>
                <w:sz w:val="28"/>
                <w:szCs w:val="28"/>
              </w:rPr>
              <w:t>〕68号）。</w:t>
            </w:r>
          </w:p>
          <w:p w14:paraId="1E6465CB">
            <w:pPr>
              <w:snapToGrid w:val="0"/>
              <w:spacing w:line="320" w:lineRule="exact"/>
              <w:rPr>
                <w:rFonts w:ascii="Times New Roman" w:hAnsi="Times New Roman" w:eastAsia="楷体_GB2312"/>
                <w:b/>
                <w:color w:val="auto"/>
                <w:sz w:val="28"/>
                <w:szCs w:val="28"/>
              </w:rPr>
            </w:pPr>
            <w:r>
              <w:rPr>
                <w:rFonts w:hint="eastAsia" w:ascii="Times New Roman" w:hAnsi="Times New Roman" w:eastAsia="楷体_GB2312"/>
                <w:color w:val="auto"/>
                <w:sz w:val="28"/>
                <w:szCs w:val="28"/>
              </w:rPr>
              <w:t>详见“第三章 评审办法及评审标准”。</w:t>
            </w:r>
          </w:p>
        </w:tc>
      </w:tr>
      <w:tr w14:paraId="6599E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07E9791B">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5</w:t>
            </w:r>
          </w:p>
        </w:tc>
        <w:tc>
          <w:tcPr>
            <w:tcW w:w="1683" w:type="dxa"/>
            <w:vAlign w:val="center"/>
          </w:tcPr>
          <w:p w14:paraId="3F09C0F7">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政府采购节能环保产品</w:t>
            </w:r>
          </w:p>
        </w:tc>
        <w:tc>
          <w:tcPr>
            <w:tcW w:w="7404" w:type="dxa"/>
            <w:vAlign w:val="center"/>
          </w:tcPr>
          <w:p w14:paraId="7D5C8BF0">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产品若属于节能（环保）产品的，请提供参与实施政府采购节能（环境标志）产品认证机构出具的认证证书或证书发布平台的投标产品认证证书查询截图；参与实施政府采购节能（环境标志）产品认证机构详见《市场监管总局关于发布参与实施政府采购节能产品、环境标志产品认证机构名录的公告》（〔2019〕16号）；证书发布平台详见《财政部 发展改革委 生态环境部 市场监管总局关于调整优化节能产品、环境标志产品政府采购执行机制的通知》（财库〔2019〕9号）。</w:t>
            </w:r>
          </w:p>
          <w:p w14:paraId="445AD1F9">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产品属于政府强制采购节能品目的（详见《关于印发节能产品政府采购品目清单的通知》财库〔2019〕19号），投标人须按上款要求提供节能产品认证证书或规定网站证书查询截图。</w:t>
            </w:r>
            <w:r>
              <w:rPr>
                <w:rFonts w:hint="eastAsia" w:ascii="Times New Roman" w:hAnsi="Times New Roman" w:eastAsia="楷体_GB2312"/>
                <w:b/>
                <w:bCs/>
                <w:color w:val="auto"/>
                <w:sz w:val="28"/>
                <w:szCs w:val="28"/>
              </w:rPr>
              <w:t>产品属于政府强制采购节能产品品目的，投标人未提供节能产品的</w:t>
            </w:r>
            <w:r>
              <w:rPr>
                <w:rFonts w:hint="eastAsia" w:ascii="Times New Roman" w:hAnsi="Times New Roman" w:eastAsia="楷体_GB2312"/>
                <w:b/>
                <w:bCs/>
                <w:color w:val="auto"/>
                <w:sz w:val="28"/>
                <w:szCs w:val="28"/>
                <w:u w:val="single"/>
              </w:rPr>
              <w:t>（须提供认证证书作为佐证材料）</w:t>
            </w:r>
            <w:r>
              <w:rPr>
                <w:rFonts w:hint="eastAsia" w:ascii="Times New Roman" w:hAnsi="Times New Roman" w:eastAsia="楷体_GB2312"/>
                <w:b/>
                <w:bCs/>
                <w:color w:val="auto"/>
                <w:sz w:val="28"/>
                <w:szCs w:val="28"/>
              </w:rPr>
              <w:t>，其投标将作无效标处理；本文件“第四章 招标需求”另有规定的除外。</w:t>
            </w:r>
          </w:p>
        </w:tc>
      </w:tr>
      <w:tr w14:paraId="2F63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38" w:type="dxa"/>
            <w:vAlign w:val="center"/>
          </w:tcPr>
          <w:p w14:paraId="3E0A8657">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6</w:t>
            </w:r>
          </w:p>
        </w:tc>
        <w:tc>
          <w:tcPr>
            <w:tcW w:w="1683" w:type="dxa"/>
            <w:vAlign w:val="center"/>
          </w:tcPr>
          <w:p w14:paraId="4556027F">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促进绿色发展有关政策</w:t>
            </w:r>
          </w:p>
        </w:tc>
        <w:tc>
          <w:tcPr>
            <w:tcW w:w="7404" w:type="dxa"/>
            <w:vAlign w:val="center"/>
          </w:tcPr>
          <w:p w14:paraId="2242A544">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涉及商品包装和快递包装的，包装要参考财政部办公厅、生态环境部办公厅、国家邮政局办公室印发的《商品包装政府采购需求标准（试行）》《快递包装政府采购需求标准（试行）》（财办库〔2020〕123号）文件。提倡供应商优先采购绿色包装产品、绿色物流配送服务以及循环利用产品。</w:t>
            </w:r>
          </w:p>
        </w:tc>
      </w:tr>
      <w:tr w14:paraId="0858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617AF06A">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7</w:t>
            </w:r>
          </w:p>
        </w:tc>
        <w:tc>
          <w:tcPr>
            <w:tcW w:w="1683" w:type="dxa"/>
            <w:vAlign w:val="center"/>
          </w:tcPr>
          <w:p w14:paraId="3EF754EE">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首台套政策</w:t>
            </w:r>
          </w:p>
        </w:tc>
        <w:tc>
          <w:tcPr>
            <w:tcW w:w="7404" w:type="dxa"/>
            <w:vAlign w:val="center"/>
          </w:tcPr>
          <w:p w14:paraId="1F3584B0">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优先推荐专精特新中小企业、创新产品参加政府采购活动。对省级以上主管部门认定的首台套产品，自纳入《省推广应用指导目录》起三年内参加政府采购活动，视同已具备相应销售业绩，业绩分为满分。</w:t>
            </w:r>
          </w:p>
        </w:tc>
      </w:tr>
      <w:tr w14:paraId="691F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7F4BA520">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8</w:t>
            </w:r>
          </w:p>
        </w:tc>
        <w:tc>
          <w:tcPr>
            <w:tcW w:w="1683" w:type="dxa"/>
            <w:vAlign w:val="center"/>
          </w:tcPr>
          <w:p w14:paraId="4579A78E">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质疑</w:t>
            </w:r>
          </w:p>
        </w:tc>
        <w:tc>
          <w:tcPr>
            <w:tcW w:w="7404" w:type="dxa"/>
            <w:vAlign w:val="center"/>
          </w:tcPr>
          <w:p w14:paraId="145399AE">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具体格式及内容要求详见总则（五）质疑。</w:t>
            </w:r>
          </w:p>
        </w:tc>
      </w:tr>
      <w:tr w14:paraId="60EB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02CCAC95">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9</w:t>
            </w:r>
          </w:p>
        </w:tc>
        <w:tc>
          <w:tcPr>
            <w:tcW w:w="1683" w:type="dxa"/>
            <w:vAlign w:val="center"/>
          </w:tcPr>
          <w:p w14:paraId="05F2DF7C">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是否允许采购进口产品</w:t>
            </w:r>
          </w:p>
        </w:tc>
        <w:tc>
          <w:tcPr>
            <w:tcW w:w="7404" w:type="dxa"/>
            <w:vAlign w:val="center"/>
          </w:tcPr>
          <w:p w14:paraId="1EA10C62">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否。</w:t>
            </w:r>
          </w:p>
        </w:tc>
      </w:tr>
      <w:tr w14:paraId="3A1F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737A9320">
            <w:pPr>
              <w:snapToGrid w:val="0"/>
              <w:spacing w:line="36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10</w:t>
            </w:r>
          </w:p>
          <w:p w14:paraId="68354194">
            <w:pPr>
              <w:snapToGrid w:val="0"/>
              <w:spacing w:line="360" w:lineRule="exact"/>
              <w:jc w:val="center"/>
              <w:rPr>
                <w:rFonts w:ascii="Times New Roman" w:hAnsi="Times New Roman" w:eastAsia="楷体_GB2312"/>
                <w:color w:val="auto"/>
                <w:sz w:val="28"/>
                <w:szCs w:val="28"/>
              </w:rPr>
            </w:pPr>
          </w:p>
        </w:tc>
        <w:tc>
          <w:tcPr>
            <w:tcW w:w="1683" w:type="dxa"/>
            <w:vAlign w:val="center"/>
          </w:tcPr>
          <w:p w14:paraId="047C0F04">
            <w:pPr>
              <w:snapToGrid w:val="0"/>
              <w:spacing w:line="360" w:lineRule="exact"/>
              <w:jc w:val="center"/>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lang w:bidi="ar"/>
              </w:rPr>
              <w:t>是否适用本国产品标准</w:t>
            </w:r>
          </w:p>
        </w:tc>
        <w:tc>
          <w:tcPr>
            <w:tcW w:w="7404" w:type="dxa"/>
            <w:vAlign w:val="center"/>
          </w:tcPr>
          <w:p w14:paraId="5DD33833">
            <w:pPr>
              <w:widowControl/>
              <w:snapToGrid w:val="0"/>
              <w:spacing w:line="360" w:lineRule="exact"/>
              <w:jc w:val="left"/>
              <w:rPr>
                <w:rFonts w:ascii="Times New Roman" w:hAnsi="Times New Roman" w:eastAsia="楷体_GB2312"/>
                <w:b/>
                <w:bCs/>
                <w:color w:val="auto"/>
                <w:sz w:val="28"/>
                <w:szCs w:val="28"/>
                <w:lang w:bidi="ar"/>
              </w:rPr>
            </w:pPr>
            <w:r>
              <w:rPr>
                <w:rFonts w:hint="eastAsia" w:ascii="Times New Roman" w:hAnsi="Times New Roman" w:eastAsia="楷体_GB2312"/>
                <w:b/>
                <w:bCs/>
                <w:color w:val="auto"/>
                <w:sz w:val="28"/>
                <w:szCs w:val="28"/>
              </w:rPr>
              <w:t>政府采购货物项目和服务项目中涉及货物的，采购产品是否包含不适用本国产品标准的货物：☑否/□是，不适用本国标准的货物：</w:t>
            </w:r>
            <w:r>
              <w:rPr>
                <w:rFonts w:hint="eastAsia" w:ascii="Times New Roman" w:hAnsi="Times New Roman" w:eastAsia="楷体_GB2312"/>
                <w:b/>
                <w:bCs/>
                <w:color w:val="auto"/>
                <w:sz w:val="28"/>
                <w:szCs w:val="28"/>
                <w:u w:val="single"/>
              </w:rPr>
              <w:t xml:space="preserve">  无   </w:t>
            </w:r>
            <w:r>
              <w:rPr>
                <w:rFonts w:hint="eastAsia" w:ascii="Times New Roman" w:hAnsi="Times New Roman" w:eastAsia="楷体_GB2312"/>
                <w:b/>
                <w:bCs/>
                <w:color w:val="auto"/>
                <w:sz w:val="28"/>
                <w:szCs w:val="28"/>
              </w:rPr>
              <w:t xml:space="preserve"> 。        </w:t>
            </w:r>
          </w:p>
          <w:p w14:paraId="05B90FE8">
            <w:pPr>
              <w:widowControl/>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lang w:bidi="ar"/>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59F6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1D5EC189">
            <w:pPr>
              <w:snapToGrid w:val="0"/>
              <w:spacing w:line="36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11</w:t>
            </w:r>
          </w:p>
        </w:tc>
        <w:tc>
          <w:tcPr>
            <w:tcW w:w="1683" w:type="dxa"/>
            <w:vAlign w:val="center"/>
          </w:tcPr>
          <w:p w14:paraId="3CFE06DF">
            <w:pPr>
              <w:snapToGrid w:val="0"/>
              <w:spacing w:line="360" w:lineRule="exact"/>
              <w:ind w:left="280" w:hanging="281" w:hangingChars="100"/>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lang w:bidi="ar"/>
              </w:rPr>
              <w:t>本国产品优惠措施</w:t>
            </w:r>
          </w:p>
        </w:tc>
        <w:tc>
          <w:tcPr>
            <w:tcW w:w="7404" w:type="dxa"/>
            <w:vAlign w:val="center"/>
          </w:tcPr>
          <w:p w14:paraId="3553E1B6">
            <w:pPr>
              <w:widowControl/>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根据《国务院办公厅关于在政府采购中实施本国产品标准及相关政策的通知》（国办发〔2025〕34号），《财政部 工业和信息化部关于贯彻落实〈国务院办公厅关于在政府采购中实施本国产品标准及相关政策的通知〉的意见》（财库〔2025〕30号）以及《关于落实在政府采购中实施本国产品标准及相关政策的通知》相关规定：</w:t>
            </w:r>
          </w:p>
          <w:p w14:paraId="437B0795">
            <w:pPr>
              <w:widowControl/>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１）如是本国产品，供应商应当对提供的产品出具《关于符合本国产品标准的声明函》（格式见附件）或财政部会同有关部门规定的有关证明文件，若未出具声明函或财政部会同有关部门规定的有关证明文件的，则不视为本国产品，不适用本国产品标准的货物类产品除外。</w:t>
            </w:r>
          </w:p>
          <w:p w14:paraId="65B0A432">
            <w:pPr>
              <w:widowControl/>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　　既有本国产品又有非本国产品参与竞争的，依法对本国产品给予价格评审优惠（须提供《关于符合本国产品标准的声明函》或财政部会同有关部门规定的有关证明文件），对本国产品的报价给予20%的价格扣除，用扣除后的价格参与评审。当采购项目或者采购包中含有多种产品，供应商为该采购项目或者采购包提供的符合本国产品标准的产品成本之和占该供应商提供的全部产品成本之和的比例达到80%以上时（另须提供关于符合本国产品标准的成本占比的承诺函，格式见附件），依法对该供应商提供的全部产品给予价格评审优惠，即对该供应商提供的全部产品的总报价给予20%的价格扣除，用扣除后的价格参与评审。</w:t>
            </w:r>
          </w:p>
          <w:p w14:paraId="13F46479">
            <w:pPr>
              <w:widowControl/>
              <w:snapToGrid w:val="0"/>
              <w:spacing w:line="360" w:lineRule="exact"/>
              <w:jc w:val="left"/>
              <w:rPr>
                <w:rFonts w:ascii="Times New Roman" w:hAnsi="Times New Roman" w:eastAsia="楷体_GB2312"/>
                <w:b/>
                <w:bCs/>
                <w:color w:val="auto"/>
                <w:sz w:val="28"/>
                <w:szCs w:val="28"/>
                <w:lang w:bidi="ar"/>
              </w:rPr>
            </w:pPr>
            <w:r>
              <w:rPr>
                <w:rFonts w:hint="eastAsia" w:ascii="Times New Roman" w:hAnsi="Times New Roman" w:eastAsia="楷体_GB2312"/>
                <w:b/>
                <w:bCs/>
                <w:color w:val="auto"/>
                <w:sz w:val="28"/>
                <w:szCs w:val="28"/>
              </w:rPr>
              <w:t>（２）在财政部、工业和信息化部制定出台在中国境内生产的组件成本占比要求，以及特定产品的关键组件、关键工序要求之前，目前，在中国境内生产的产品即视为符合本国产品标准，享受政府采购本国产品支持政策。</w:t>
            </w:r>
          </w:p>
          <w:p w14:paraId="150A0B5E">
            <w:pPr>
              <w:widowControl/>
              <w:snapToGrid w:val="0"/>
              <w:spacing w:line="360" w:lineRule="exact"/>
              <w:jc w:val="left"/>
              <w:rPr>
                <w:rFonts w:ascii="Times New Roman" w:hAnsi="Times New Roman" w:eastAsia="楷体_GB2312"/>
                <w:b/>
                <w:bCs/>
                <w:color w:val="auto"/>
                <w:sz w:val="28"/>
                <w:szCs w:val="28"/>
                <w:lang w:bidi="ar"/>
              </w:rPr>
            </w:pPr>
            <w:r>
              <w:rPr>
                <w:rFonts w:hint="eastAsia" w:ascii="Times New Roman" w:hAnsi="Times New Roman" w:eastAsia="楷体_GB2312"/>
                <w:b/>
                <w:bCs/>
                <w:color w:val="auto"/>
                <w:sz w:val="28"/>
                <w:szCs w:val="28"/>
              </w:rPr>
              <w:t>（３）</w:t>
            </w:r>
            <w:r>
              <w:rPr>
                <w:rFonts w:hint="eastAsia" w:ascii="Times New Roman" w:hAnsi="Times New Roman" w:eastAsia="楷体_GB2312"/>
                <w:b/>
                <w:bCs/>
                <w:color w:val="auto"/>
                <w:sz w:val="28"/>
                <w:szCs w:val="28"/>
                <w:lang w:bidi="ar"/>
              </w:rPr>
              <w:t>产品在中国境内生产的组件成本，按照《中国境内生产的组件成本核算基本规则》计算。</w:t>
            </w:r>
          </w:p>
          <w:p w14:paraId="2F0122C4">
            <w:pPr>
              <w:widowControl/>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详见“第三章 评审办法及评审标准”</w:t>
            </w:r>
            <w:r>
              <w:rPr>
                <w:rFonts w:hint="eastAsia" w:ascii="Times New Roman" w:hAnsi="Times New Roman" w:eastAsia="楷体_GB2312"/>
                <w:b/>
                <w:bCs/>
                <w:color w:val="auto"/>
                <w:sz w:val="28"/>
                <w:szCs w:val="28"/>
                <w:lang w:bidi="ar"/>
              </w:rPr>
              <w:t>。</w:t>
            </w:r>
          </w:p>
        </w:tc>
      </w:tr>
      <w:tr w14:paraId="0D109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7CAF5914">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12</w:t>
            </w:r>
          </w:p>
        </w:tc>
        <w:tc>
          <w:tcPr>
            <w:tcW w:w="1683" w:type="dxa"/>
            <w:vAlign w:val="center"/>
          </w:tcPr>
          <w:p w14:paraId="4919CA38">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是否接受联合体投标</w:t>
            </w:r>
          </w:p>
        </w:tc>
        <w:tc>
          <w:tcPr>
            <w:tcW w:w="7404" w:type="dxa"/>
            <w:vAlign w:val="center"/>
          </w:tcPr>
          <w:p w14:paraId="5887519A">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是。</w:t>
            </w:r>
          </w:p>
          <w:p w14:paraId="68034851">
            <w:pPr>
              <w:snapToGrid w:val="0"/>
              <w:spacing w:line="320" w:lineRule="exact"/>
              <w:rPr>
                <w:rFonts w:ascii="Times New Roman" w:hAnsi="Times New Roman" w:eastAsia="楷体_GB2312"/>
                <w:color w:val="auto"/>
                <w:sz w:val="28"/>
                <w:szCs w:val="28"/>
                <w:lang w:bidi="ar"/>
              </w:rPr>
            </w:pPr>
            <w:r>
              <w:rPr>
                <w:rFonts w:hint="eastAsia" w:ascii="Times New Roman" w:hAnsi="Times New Roman" w:eastAsia="楷体_GB2312"/>
                <w:color w:val="auto"/>
                <w:sz w:val="28"/>
                <w:szCs w:val="28"/>
                <w:lang w:bidi="ar"/>
              </w:rPr>
              <w:t>1.</w:t>
            </w:r>
            <w:r>
              <w:rPr>
                <w:rFonts w:ascii="Times New Roman" w:hAnsi="Times New Roman" w:eastAsia="楷体_GB2312"/>
                <w:color w:val="auto"/>
                <w:sz w:val="28"/>
                <w:szCs w:val="28"/>
                <w:lang w:bidi="ar"/>
              </w:rPr>
              <w:t>联合体业绩（作为资格条件时）认定：联合体投标的，联合体各方分别提供与联合体协议中规定的分工内容相应的业绩证明材料，业绩数量以提供材料较少的一方为准。</w:t>
            </w:r>
          </w:p>
          <w:p w14:paraId="7A0BBF93">
            <w:pPr>
              <w:snapToGrid w:val="0"/>
              <w:spacing w:line="320" w:lineRule="exact"/>
              <w:rPr>
                <w:rFonts w:ascii="Times New Roman" w:hAnsi="Times New Roman" w:eastAsia="楷体_GB2312"/>
                <w:color w:val="auto"/>
                <w:sz w:val="28"/>
                <w:szCs w:val="28"/>
                <w:lang w:bidi="ar"/>
              </w:rPr>
            </w:pPr>
            <w:r>
              <w:rPr>
                <w:rFonts w:hint="eastAsia" w:ascii="Times New Roman" w:hAnsi="Times New Roman" w:eastAsia="楷体_GB2312"/>
                <w:color w:val="auto"/>
                <w:sz w:val="28"/>
                <w:szCs w:val="28"/>
                <w:lang w:bidi="ar"/>
              </w:rPr>
              <w:t>2.</w:t>
            </w:r>
            <w:r>
              <w:rPr>
                <w:rFonts w:ascii="Times New Roman" w:hAnsi="Times New Roman" w:eastAsia="楷体_GB2312"/>
                <w:color w:val="auto"/>
                <w:sz w:val="28"/>
                <w:szCs w:val="28"/>
                <w:lang w:bidi="ar"/>
              </w:rPr>
              <w:t>联合体商务和技术证明材料认定：</w:t>
            </w:r>
          </w:p>
          <w:p w14:paraId="795ADACD">
            <w:pPr>
              <w:snapToGrid w:val="0"/>
              <w:spacing w:line="320" w:lineRule="exact"/>
              <w:rPr>
                <w:rFonts w:ascii="Times New Roman" w:hAnsi="Times New Roman" w:eastAsia="楷体_GB2312"/>
                <w:color w:val="auto"/>
                <w:sz w:val="28"/>
                <w:szCs w:val="28"/>
                <w:lang w:bidi="ar"/>
              </w:rPr>
            </w:pPr>
            <w:r>
              <w:rPr>
                <w:rFonts w:hint="eastAsia" w:ascii="Times New Roman" w:hAnsi="Times New Roman" w:eastAsia="楷体_GB2312"/>
                <w:color w:val="auto"/>
                <w:sz w:val="28"/>
                <w:szCs w:val="28"/>
                <w:lang w:bidi="ar"/>
              </w:rPr>
              <w:t>□</w:t>
            </w:r>
            <w:r>
              <w:rPr>
                <w:rFonts w:ascii="Times New Roman" w:hAnsi="Times New Roman" w:eastAsia="楷体_GB2312"/>
                <w:color w:val="auto"/>
                <w:sz w:val="28"/>
                <w:szCs w:val="28"/>
                <w:lang w:bidi="ar"/>
              </w:rPr>
              <w:t>联合体投标的，联合体各方均需按招标文件“第三章评标办法及评分标准”要求提供商务和技术证明材料，否则视为不符合相关要求。</w:t>
            </w:r>
          </w:p>
          <w:p w14:paraId="6FD4E5DB">
            <w:pPr>
              <w:snapToGrid w:val="0"/>
              <w:spacing w:line="320" w:lineRule="exact"/>
              <w:rPr>
                <w:rFonts w:ascii="Times New Roman" w:hAnsi="Times New Roman" w:eastAsia="楷体_GB2312"/>
                <w:color w:val="auto"/>
                <w:sz w:val="28"/>
                <w:szCs w:val="28"/>
                <w:lang w:bidi="ar"/>
              </w:rPr>
            </w:pPr>
            <w:r>
              <w:rPr>
                <w:rFonts w:hint="eastAsia" w:ascii="Times New Roman" w:hAnsi="Times New Roman" w:eastAsia="楷体_GB2312"/>
                <w:color w:val="auto"/>
                <w:sz w:val="28"/>
                <w:szCs w:val="28"/>
                <w:lang w:bidi="ar"/>
              </w:rPr>
              <w:t>☑</w:t>
            </w:r>
            <w:r>
              <w:rPr>
                <w:rFonts w:ascii="Times New Roman" w:hAnsi="Times New Roman" w:eastAsia="楷体_GB2312"/>
                <w:color w:val="auto"/>
                <w:sz w:val="28"/>
                <w:szCs w:val="28"/>
                <w:lang w:bidi="ar"/>
              </w:rPr>
              <w:t>联合体投标的，联合体中有一方或者联合体成员根据分工按招标文件“第三章评标办法及评分标准”要求提供了商务和技术证明材料的，视为符合了相关要求。</w:t>
            </w:r>
          </w:p>
          <w:p w14:paraId="1167E765">
            <w:pPr>
              <w:snapToGrid w:val="0"/>
              <w:spacing w:line="320" w:lineRule="exact"/>
              <w:rPr>
                <w:rFonts w:ascii="Times New Roman" w:hAnsi="Times New Roman" w:eastAsia="楷体_GB2312"/>
                <w:color w:val="auto"/>
                <w:sz w:val="28"/>
                <w:szCs w:val="28"/>
                <w:lang w:bidi="ar"/>
              </w:rPr>
            </w:pPr>
            <w:r>
              <w:rPr>
                <w:rFonts w:ascii="Times New Roman" w:hAnsi="Times New Roman" w:eastAsia="楷体_GB2312"/>
                <w:color w:val="auto"/>
                <w:sz w:val="28"/>
                <w:szCs w:val="28"/>
                <w:lang w:bidi="ar"/>
              </w:rPr>
              <w:t>注：“第三章评标办法及评分标准”有其他约定的，以“第三章评标办法及评分标准”为准。</w:t>
            </w:r>
          </w:p>
        </w:tc>
      </w:tr>
      <w:tr w14:paraId="23AB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5B23C6F9">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13</w:t>
            </w:r>
          </w:p>
        </w:tc>
        <w:tc>
          <w:tcPr>
            <w:tcW w:w="1683" w:type="dxa"/>
            <w:vAlign w:val="center"/>
          </w:tcPr>
          <w:p w14:paraId="7100EECD">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是否允许转包与分包</w:t>
            </w:r>
          </w:p>
        </w:tc>
        <w:tc>
          <w:tcPr>
            <w:tcW w:w="7404" w:type="dxa"/>
            <w:vAlign w:val="center"/>
          </w:tcPr>
          <w:p w14:paraId="4635AA05">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转包：否。</w:t>
            </w:r>
          </w:p>
          <w:p w14:paraId="65471111">
            <w:pPr>
              <w:snapToGrid w:val="0"/>
              <w:spacing w:line="320" w:lineRule="exac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分包：否。</w:t>
            </w:r>
          </w:p>
          <w:p w14:paraId="47D3D41A">
            <w:pPr>
              <w:snapToGrid w:val="0"/>
              <w:spacing w:line="320" w:lineRule="exac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说明：当分包份额占到合同总金额100%时，视为转包。此情况根据《中华人民共和国政府采购法实施条例》（国务院令第658号）文件第七十二条规定，将依照政府采购法第七十七条第一款的规定追究相应法律责任。</w:t>
            </w:r>
          </w:p>
          <w:p w14:paraId="6B7141C8">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依据《政府采购促进中小企业发展管理办法》（财库〔2020〕46 号）规定享受扶持政策获得政府采购合同的，小微企业不得将合同分包给大中型企业，中型企业不得将合同分包给大型企业。</w:t>
            </w:r>
          </w:p>
        </w:tc>
      </w:tr>
      <w:tr w14:paraId="2A0C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4E53BFE3">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14</w:t>
            </w:r>
          </w:p>
        </w:tc>
        <w:tc>
          <w:tcPr>
            <w:tcW w:w="1683" w:type="dxa"/>
            <w:vAlign w:val="center"/>
          </w:tcPr>
          <w:p w14:paraId="2FDEB7E9">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是否现场踏勘</w:t>
            </w:r>
          </w:p>
        </w:tc>
        <w:tc>
          <w:tcPr>
            <w:tcW w:w="7404" w:type="dxa"/>
            <w:vAlign w:val="center"/>
          </w:tcPr>
          <w:p w14:paraId="1732D53C">
            <w:pPr>
              <w:pStyle w:val="3"/>
              <w:rPr>
                <w:color w:val="auto"/>
              </w:rPr>
            </w:pPr>
            <w:r>
              <w:rPr>
                <w:rFonts w:hint="eastAsia" w:ascii="Times New Roman" w:hAnsi="Times New Roman" w:eastAsia="楷体_GB2312"/>
                <w:color w:val="auto"/>
                <w:sz w:val="28"/>
                <w:szCs w:val="28"/>
              </w:rPr>
              <w:t>否。</w:t>
            </w:r>
          </w:p>
        </w:tc>
      </w:tr>
      <w:tr w14:paraId="14C6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38" w:type="dxa"/>
            <w:shd w:val="clear" w:color="auto" w:fill="auto"/>
            <w:vAlign w:val="center"/>
          </w:tcPr>
          <w:p w14:paraId="50634A20">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1</w:t>
            </w:r>
            <w:r>
              <w:rPr>
                <w:rFonts w:ascii="Times New Roman" w:hAnsi="Times New Roman" w:eastAsia="楷体_GB2312"/>
                <w:color w:val="auto"/>
                <w:sz w:val="28"/>
                <w:szCs w:val="28"/>
              </w:rPr>
              <w:t>5</w:t>
            </w:r>
          </w:p>
        </w:tc>
        <w:tc>
          <w:tcPr>
            <w:tcW w:w="1683" w:type="dxa"/>
            <w:vAlign w:val="center"/>
          </w:tcPr>
          <w:p w14:paraId="63B69773">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是否提供演示或讲解</w:t>
            </w:r>
          </w:p>
        </w:tc>
        <w:tc>
          <w:tcPr>
            <w:tcW w:w="7404" w:type="dxa"/>
            <w:vAlign w:val="center"/>
          </w:tcPr>
          <w:p w14:paraId="482AA7EF">
            <w:pPr>
              <w:snapToGrid w:val="0"/>
              <w:spacing w:line="320" w:lineRule="exac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否。</w:t>
            </w:r>
          </w:p>
        </w:tc>
      </w:tr>
      <w:tr w14:paraId="4A39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43F871A1">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16</w:t>
            </w:r>
          </w:p>
        </w:tc>
        <w:tc>
          <w:tcPr>
            <w:tcW w:w="1683" w:type="dxa"/>
            <w:vAlign w:val="center"/>
          </w:tcPr>
          <w:p w14:paraId="451A0E3D">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是否提供样品</w:t>
            </w:r>
          </w:p>
        </w:tc>
        <w:tc>
          <w:tcPr>
            <w:tcW w:w="7404" w:type="dxa"/>
            <w:vAlign w:val="center"/>
          </w:tcPr>
          <w:p w14:paraId="032EAE29">
            <w:pPr>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是。</w:t>
            </w:r>
          </w:p>
          <w:p w14:paraId="786B3FA9">
            <w:pPr>
              <w:snapToGrid w:val="0"/>
              <w:spacing w:line="360" w:lineRule="exact"/>
              <w:jc w:val="lef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样品的数量、规格、标准及提交时间地点等要求详见“第四章 招标需求”。投标人按招标文件要求提供样品并安装完毕，超过截止时间的，采购人将不予接收。</w:t>
            </w:r>
          </w:p>
          <w:p w14:paraId="2926F511">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b/>
                <w:bCs/>
                <w:color w:val="auto"/>
                <w:sz w:val="28"/>
                <w:szCs w:val="28"/>
              </w:rPr>
              <w:t>注：样品保管相关工作由采购人负责。投标人不得擅自对其他投标人的样品进行拍照、摄像等。</w:t>
            </w:r>
          </w:p>
        </w:tc>
      </w:tr>
      <w:tr w14:paraId="0695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jc w:val="center"/>
        </w:trPr>
        <w:tc>
          <w:tcPr>
            <w:tcW w:w="838" w:type="dxa"/>
            <w:shd w:val="clear" w:color="auto" w:fill="auto"/>
            <w:vAlign w:val="center"/>
          </w:tcPr>
          <w:p w14:paraId="7EBC7DE0">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17</w:t>
            </w:r>
          </w:p>
        </w:tc>
        <w:tc>
          <w:tcPr>
            <w:tcW w:w="1683" w:type="dxa"/>
            <w:vAlign w:val="center"/>
          </w:tcPr>
          <w:p w14:paraId="2B65489C">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投标文件组成</w:t>
            </w:r>
          </w:p>
        </w:tc>
        <w:tc>
          <w:tcPr>
            <w:tcW w:w="7404" w:type="dxa"/>
            <w:vAlign w:val="center"/>
          </w:tcPr>
          <w:p w14:paraId="5615DA9B">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本项目采用电子投标。电子投标文件由资质文件、技术及商务文件、报价文件组成，通过电子交易平台上传。</w:t>
            </w:r>
          </w:p>
          <w:p w14:paraId="13B1777E">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投标人提供备份投标文件的，数量为1份。</w:t>
            </w:r>
          </w:p>
        </w:tc>
      </w:tr>
      <w:tr w14:paraId="6604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67737F6C">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1</w:t>
            </w:r>
            <w:r>
              <w:rPr>
                <w:rFonts w:ascii="Times New Roman" w:hAnsi="Times New Roman" w:eastAsia="楷体_GB2312"/>
                <w:color w:val="auto"/>
                <w:sz w:val="28"/>
                <w:szCs w:val="28"/>
              </w:rPr>
              <w:t>8</w:t>
            </w:r>
          </w:p>
        </w:tc>
        <w:tc>
          <w:tcPr>
            <w:tcW w:w="1683" w:type="dxa"/>
            <w:vAlign w:val="center"/>
          </w:tcPr>
          <w:p w14:paraId="5D3E0E22">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电子交易平台登录方法</w:t>
            </w:r>
          </w:p>
        </w:tc>
        <w:tc>
          <w:tcPr>
            <w:tcW w:w="7404" w:type="dxa"/>
            <w:vAlign w:val="center"/>
          </w:tcPr>
          <w:p w14:paraId="311F95A0">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第一步：供应商注册</w:t>
            </w:r>
          </w:p>
          <w:p w14:paraId="0FD08A93">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投标人应在投标前注册成为浙江政府采购网的正式供应商（注册网址：</w:t>
            </w:r>
            <w:r>
              <w:rPr>
                <w:color w:val="auto"/>
              </w:rPr>
              <w:fldChar w:fldCharType="begin"/>
            </w:r>
            <w:r>
              <w:rPr>
                <w:color w:val="auto"/>
              </w:rPr>
              <w:instrText xml:space="preserve"> HYPERLINK "https://middle.zcygov.cn/v-settle-front/registry" </w:instrText>
            </w:r>
            <w:r>
              <w:rPr>
                <w:color w:val="auto"/>
              </w:rPr>
              <w:fldChar w:fldCharType="separate"/>
            </w:r>
            <w:r>
              <w:rPr>
                <w:rStyle w:val="44"/>
                <w:rFonts w:hint="eastAsia" w:ascii="Times New Roman" w:hAnsi="Times New Roman" w:eastAsia="楷体_GB2312"/>
                <w:color w:val="auto"/>
                <w:sz w:val="28"/>
                <w:szCs w:val="28"/>
              </w:rPr>
              <w:t>https://middle.zcygov.cn/v-settle-front/registry</w:t>
            </w:r>
            <w:r>
              <w:rPr>
                <w:rStyle w:val="44"/>
                <w:rFonts w:hint="eastAsia" w:ascii="Times New Roman" w:hAnsi="Times New Roman" w:eastAsia="楷体_GB2312"/>
                <w:color w:val="auto"/>
                <w:sz w:val="28"/>
                <w:szCs w:val="28"/>
              </w:rPr>
              <w:fldChar w:fldCharType="end"/>
            </w:r>
            <w:r>
              <w:rPr>
                <w:rFonts w:hint="eastAsia" w:ascii="Times New Roman" w:hAnsi="Times New Roman" w:eastAsia="楷体_GB2312"/>
                <w:color w:val="auto"/>
                <w:sz w:val="28"/>
                <w:szCs w:val="28"/>
              </w:rPr>
              <w:t xml:space="preserve"> ）；</w:t>
            </w:r>
          </w:p>
          <w:p w14:paraId="4378FB7C">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第二步：申请CA</w:t>
            </w:r>
          </w:p>
          <w:p w14:paraId="5B36BDD9">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投标人应在投标前完成CA数字证书办理（办理流程详见</w:t>
            </w:r>
            <w:r>
              <w:rPr>
                <w:rFonts w:ascii="Times New Roman" w:hAnsi="Times New Roman" w:eastAsia="楷体_GB2312"/>
                <w:color w:val="auto"/>
                <w:sz w:val="28"/>
                <w:szCs w:val="28"/>
              </w:rPr>
              <w:t>https://helpcenter.zcygov.cn/document/#/document/detail?siteCode=beijing&amp;manualId=795&amp;topicId=4083</w:t>
            </w:r>
            <w:r>
              <w:rPr>
                <w:rFonts w:hint="eastAsia" w:ascii="Times New Roman" w:hAnsi="Times New Roman" w:eastAsia="楷体_GB2312"/>
                <w:color w:val="auto"/>
                <w:sz w:val="28"/>
                <w:szCs w:val="28"/>
              </w:rPr>
              <w:t>）。完成CA数字证书办理预计一周左右，建议各投标人抓紧时间办理；</w:t>
            </w:r>
          </w:p>
          <w:p w14:paraId="01F512B1">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第三步：下载客户端</w:t>
            </w:r>
          </w:p>
          <w:p w14:paraId="35EB8E5E">
            <w:pPr>
              <w:autoSpaceDE w:val="0"/>
              <w:autoSpaceDN w:val="0"/>
              <w:snapToGrid w:val="0"/>
              <w:spacing w:line="320" w:lineRule="exact"/>
              <w:textAlignment w:val="bottom"/>
              <w:rPr>
                <w:rFonts w:ascii="Times New Roman" w:hAnsi="Times New Roman" w:eastAsia="楷体_GB2312"/>
                <w:color w:val="auto"/>
                <w:sz w:val="28"/>
                <w:szCs w:val="28"/>
              </w:rPr>
            </w:pPr>
            <w:r>
              <w:rPr>
                <w:rFonts w:ascii="Times New Roman" w:hAnsi="Times New Roman" w:eastAsia="楷体_GB2312"/>
                <w:color w:val="auto"/>
                <w:sz w:val="28"/>
                <w:szCs w:val="28"/>
              </w:rPr>
              <w:t>投标人通过政采云电子交易客户端制作投标文件，请在浙江政府采购网（https://zfcg.czt.zj.gov.cn</w:t>
            </w:r>
            <w:r>
              <w:rPr>
                <w:rFonts w:hint="eastAsia" w:ascii="Times New Roman" w:hAnsi="Times New Roman" w:eastAsia="楷体_GB2312"/>
                <w:color w:val="auto"/>
                <w:sz w:val="28"/>
                <w:szCs w:val="28"/>
              </w:rPr>
              <w:t>）</w:t>
            </w:r>
            <w:r>
              <w:rPr>
                <w:rFonts w:ascii="Times New Roman" w:hAnsi="Times New Roman" w:eastAsia="楷体_GB2312"/>
                <w:color w:val="auto"/>
                <w:sz w:val="28"/>
                <w:szCs w:val="28"/>
              </w:rPr>
              <w:t>下载专区（下载专区→ 电子交易客户端→政采云电子交易客户端）；</w:t>
            </w:r>
          </w:p>
          <w:p w14:paraId="2CF35197">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第四步：具体流程</w:t>
            </w:r>
          </w:p>
          <w:p w14:paraId="44708475">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详见浙江省“电子交易/不见面开评标”学习专题（https://edu.zcygov.cn/luban/e-biding）。</w:t>
            </w:r>
          </w:p>
          <w:p w14:paraId="1535149A">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提醒：</w:t>
            </w:r>
          </w:p>
          <w:p w14:paraId="2B7F932A">
            <w:pPr>
              <w:autoSpaceDE w:val="0"/>
              <w:autoSpaceDN w:val="0"/>
              <w:snapToGrid w:val="0"/>
              <w:spacing w:line="320" w:lineRule="exact"/>
              <w:textAlignment w:val="bottom"/>
              <w:rPr>
                <w:rFonts w:ascii="Times New Roman" w:hAnsi="Times New Roman" w:eastAsia="楷体_GB2312"/>
                <w:b/>
                <w:bCs/>
                <w:color w:val="auto"/>
                <w:sz w:val="28"/>
                <w:szCs w:val="28"/>
              </w:rPr>
            </w:pPr>
            <w:r>
              <w:rPr>
                <w:rFonts w:ascii="Times New Roman" w:hAnsi="Times New Roman" w:eastAsia="楷体_GB2312"/>
                <w:b/>
                <w:bCs/>
                <w:color w:val="auto"/>
                <w:sz w:val="28"/>
                <w:szCs w:val="28"/>
              </w:rPr>
              <w:t>1.</w:t>
            </w:r>
            <w:r>
              <w:rPr>
                <w:rFonts w:hint="eastAsia" w:ascii="Times New Roman" w:hAnsi="Times New Roman" w:eastAsia="楷体_GB2312"/>
                <w:b/>
                <w:bCs/>
                <w:color w:val="auto"/>
                <w:sz w:val="28"/>
                <w:szCs w:val="28"/>
              </w:rPr>
              <w:t>请各投标人合理安排时间，尽快完成第一、二、三步骤，避免影响投标。</w:t>
            </w:r>
          </w:p>
          <w:p w14:paraId="092B96F8">
            <w:pPr>
              <w:autoSpaceDE w:val="0"/>
              <w:autoSpaceDN w:val="0"/>
              <w:snapToGrid w:val="0"/>
              <w:spacing w:line="32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2</w:t>
            </w:r>
            <w:r>
              <w:rPr>
                <w:rFonts w:ascii="Times New Roman" w:hAnsi="Times New Roman" w:eastAsia="楷体_GB2312"/>
                <w:b/>
                <w:bCs/>
                <w:color w:val="auto"/>
                <w:sz w:val="28"/>
                <w:szCs w:val="28"/>
              </w:rPr>
              <w:t>.</w:t>
            </w:r>
            <w:r>
              <w:rPr>
                <w:rFonts w:hint="eastAsia" w:ascii="Times New Roman" w:hAnsi="Times New Roman" w:eastAsia="楷体_GB2312"/>
                <w:b/>
                <w:bCs/>
                <w:color w:val="auto"/>
                <w:sz w:val="28"/>
                <w:szCs w:val="28"/>
              </w:rPr>
              <w:t>为避免页面存在兼容性等问题，投标人使用谷歌Chrome浏览器或360浏览器极速模式，涉及视频会议等功能的，还应安装摄像头和麦克风。</w:t>
            </w:r>
          </w:p>
        </w:tc>
      </w:tr>
      <w:tr w14:paraId="0B38C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7DA10710">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ascii="Times New Roman" w:hAnsi="Times New Roman" w:eastAsia="楷体_GB2312"/>
                <w:color w:val="auto"/>
                <w:sz w:val="28"/>
                <w:szCs w:val="28"/>
              </w:rPr>
              <w:t>19</w:t>
            </w:r>
          </w:p>
        </w:tc>
        <w:tc>
          <w:tcPr>
            <w:tcW w:w="1683" w:type="dxa"/>
            <w:vAlign w:val="center"/>
          </w:tcPr>
          <w:p w14:paraId="2E26210D">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投标文件的递交与接收</w:t>
            </w:r>
          </w:p>
        </w:tc>
        <w:tc>
          <w:tcPr>
            <w:tcW w:w="7404" w:type="dxa"/>
            <w:vAlign w:val="center"/>
          </w:tcPr>
          <w:p w14:paraId="16475B95">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人应当在投标截止时间前完成电子投标文件的传输递交，可以补充、修改或者撤回电子投标文件。补充或者修改电子投标文件的，应当先行撤回原文件，补充、修改后重新传输递交。投标截止时间前未完成传输的，视为撤回投标文件。投标截止时间后送达的投标文件，将被电子交易平台拒收。</w:t>
            </w:r>
          </w:p>
          <w:p w14:paraId="79DE9936">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投标文件的接收以本项目公告规定的时间、地点和“第二章”的“投标文件的编制”等要求为准。</w:t>
            </w:r>
          </w:p>
          <w:p w14:paraId="2DA27D8C">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投标人递交备份投标文件，出现下列情况之一的，将被拒收：</w:t>
            </w:r>
          </w:p>
          <w:p w14:paraId="180A5430">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1.未按招标文件规定密封或标记的；</w:t>
            </w:r>
          </w:p>
          <w:p w14:paraId="7545BE29">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2.由于包装不妥，在送交途中严重破损或失散的；</w:t>
            </w:r>
          </w:p>
          <w:p w14:paraId="1DD5253A">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3.超过投标截止时间送达的；</w:t>
            </w:r>
          </w:p>
          <w:p w14:paraId="1DDDDD57">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4.通过邮寄方式送达的到付件。</w:t>
            </w:r>
          </w:p>
        </w:tc>
      </w:tr>
      <w:tr w14:paraId="5F4E6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266776EA">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20</w:t>
            </w:r>
          </w:p>
        </w:tc>
        <w:tc>
          <w:tcPr>
            <w:tcW w:w="1683" w:type="dxa"/>
            <w:vAlign w:val="center"/>
          </w:tcPr>
          <w:p w14:paraId="42CD9B7A">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投标撤销（撤回）</w:t>
            </w:r>
          </w:p>
        </w:tc>
        <w:tc>
          <w:tcPr>
            <w:tcW w:w="7404" w:type="dxa"/>
            <w:vAlign w:val="center"/>
          </w:tcPr>
          <w:p w14:paraId="3B431A2E">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1</w:t>
            </w:r>
            <w:r>
              <w:rPr>
                <w:rFonts w:ascii="Times New Roman" w:hAnsi="Times New Roman" w:eastAsia="楷体_GB2312"/>
                <w:color w:val="auto"/>
                <w:sz w:val="28"/>
                <w:szCs w:val="28"/>
              </w:rPr>
              <w:t>.</w:t>
            </w:r>
            <w:r>
              <w:rPr>
                <w:rFonts w:hint="eastAsia" w:ascii="Times New Roman" w:hAnsi="Times New Roman" w:eastAsia="楷体_GB2312"/>
                <w:color w:val="auto"/>
                <w:sz w:val="28"/>
                <w:szCs w:val="28"/>
              </w:rPr>
              <w:t>在投标截止时间起至投标有效期届满，供应商投标文件不可撤销。</w:t>
            </w:r>
          </w:p>
          <w:p w14:paraId="4A0B29C6">
            <w:pPr>
              <w:autoSpaceDE w:val="0"/>
              <w:autoSpaceDN w:val="0"/>
              <w:snapToGrid w:val="0"/>
              <w:spacing w:line="320" w:lineRule="exact"/>
              <w:textAlignment w:val="bottom"/>
              <w:rPr>
                <w:rFonts w:ascii="Times New Roman" w:hAnsi="Times New Roman" w:eastAsia="楷体_GB2312"/>
                <w:color w:val="auto"/>
                <w:sz w:val="28"/>
                <w:szCs w:val="28"/>
              </w:rPr>
            </w:pPr>
            <w:r>
              <w:rPr>
                <w:rFonts w:ascii="Times New Roman" w:hAnsi="Times New Roman" w:eastAsia="楷体_GB2312"/>
                <w:color w:val="auto"/>
                <w:sz w:val="28"/>
                <w:szCs w:val="28"/>
              </w:rPr>
              <w:t>2.</w:t>
            </w:r>
            <w:r>
              <w:rPr>
                <w:rFonts w:hint="eastAsia" w:ascii="Times New Roman" w:hAnsi="Times New Roman" w:eastAsia="楷体_GB2312"/>
                <w:color w:val="auto"/>
                <w:sz w:val="28"/>
                <w:szCs w:val="28"/>
              </w:rPr>
              <w:t>供应商撤销（撤回）投标不得损害国家利益、社会公共利益、采购人利益、代理机构利益、其他供应商利益，否则，供应商撤销（撤回）投标无效。</w:t>
            </w:r>
          </w:p>
        </w:tc>
      </w:tr>
      <w:tr w14:paraId="33B2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5D4DD6C8">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21</w:t>
            </w:r>
          </w:p>
        </w:tc>
        <w:tc>
          <w:tcPr>
            <w:tcW w:w="1683" w:type="dxa"/>
            <w:vAlign w:val="center"/>
          </w:tcPr>
          <w:p w14:paraId="7BAACEFC">
            <w:pPr>
              <w:autoSpaceDE w:val="0"/>
              <w:autoSpaceDN w:val="0"/>
              <w:snapToGrid w:val="0"/>
              <w:spacing w:line="320" w:lineRule="exact"/>
              <w:jc w:val="center"/>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投标资料复核</w:t>
            </w:r>
          </w:p>
        </w:tc>
        <w:tc>
          <w:tcPr>
            <w:tcW w:w="7404" w:type="dxa"/>
            <w:vAlign w:val="center"/>
          </w:tcPr>
          <w:p w14:paraId="41C7E156">
            <w:pPr>
              <w:autoSpaceDE w:val="0"/>
              <w:autoSpaceDN w:val="0"/>
              <w:snapToGrid w:val="0"/>
              <w:spacing w:line="360" w:lineRule="exact"/>
              <w:textAlignment w:val="bottom"/>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采购人在评审结束后、确认采购结果前，应及时通过网站查询、原件核对等方式对中标（成交）供应商在投标（响应）文件中涉及客观分评审内容的检测报告、认证证书等资料的真实性进行复核，复核情况详细记录，并纳入采购档案。发现供应商提供虚假材料的，将书面报告同级财政部门。中标（成交）供应商须在接到通知后2个工作日内将有关资料原件送达采购人指定地点。</w:t>
            </w:r>
          </w:p>
        </w:tc>
      </w:tr>
      <w:tr w14:paraId="1BF0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0D72BE86">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ascii="Times New Roman" w:hAnsi="Times New Roman" w:eastAsia="楷体_GB2312"/>
                <w:color w:val="auto"/>
                <w:sz w:val="28"/>
                <w:szCs w:val="28"/>
              </w:rPr>
              <w:t>22</w:t>
            </w:r>
          </w:p>
        </w:tc>
        <w:tc>
          <w:tcPr>
            <w:tcW w:w="1683" w:type="dxa"/>
            <w:vAlign w:val="center"/>
          </w:tcPr>
          <w:p w14:paraId="5CA28594">
            <w:pPr>
              <w:autoSpaceDE w:val="0"/>
              <w:autoSpaceDN w:val="0"/>
              <w:snapToGrid w:val="0"/>
              <w:spacing w:line="320" w:lineRule="exact"/>
              <w:jc w:val="center"/>
              <w:textAlignment w:val="bottom"/>
              <w:rPr>
                <w:rFonts w:ascii="Times New Roman" w:hAnsi="Times New Roman" w:eastAsia="楷体_GB2312"/>
                <w:color w:val="auto"/>
                <w:sz w:val="28"/>
                <w:szCs w:val="28"/>
                <w:lang w:bidi="ar"/>
              </w:rPr>
            </w:pPr>
            <w:r>
              <w:rPr>
                <w:rFonts w:hint="eastAsia" w:ascii="Times New Roman" w:hAnsi="Times New Roman" w:eastAsia="楷体_GB2312"/>
                <w:color w:val="auto"/>
                <w:sz w:val="28"/>
                <w:szCs w:val="28"/>
                <w:lang w:bidi="ar"/>
              </w:rPr>
              <w:t>中标结果</w:t>
            </w:r>
          </w:p>
          <w:p w14:paraId="5F9CC632">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lang w:bidi="ar"/>
              </w:rPr>
              <w:t>公告</w:t>
            </w:r>
          </w:p>
        </w:tc>
        <w:tc>
          <w:tcPr>
            <w:tcW w:w="7404" w:type="dxa"/>
            <w:vAlign w:val="center"/>
          </w:tcPr>
          <w:p w14:paraId="71B7E8A9">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中标供应商确定之日起2个工作日内，将在浙江政府采购网（https://zfcg.czt.zj.gov.cn)发布中标公告</w:t>
            </w:r>
            <w:r>
              <w:rPr>
                <w:rFonts w:hint="eastAsia" w:ascii="Times New Roman" w:hAnsi="Times New Roman" w:eastAsia="楷体_GB2312"/>
                <w:b/>
                <w:bCs/>
                <w:color w:val="auto"/>
                <w:sz w:val="28"/>
                <w:szCs w:val="28"/>
              </w:rPr>
              <w:t>【中标人为中小企业的，其声明函将随中标结果同时公告；中标供应商提供的产品为本国产品的（不适用本国产品标准的货物类产品除外），其《关于符合本国产品标准的声明函》或财政部会同有关部门规定的有关证明文件、《关于符合本国产品标准的成本占比的承诺函》（如有）将随中标结果同时公告】）</w:t>
            </w:r>
            <w:r>
              <w:rPr>
                <w:rFonts w:hint="eastAsia" w:ascii="Times New Roman" w:hAnsi="Times New Roman" w:eastAsia="楷体_GB2312"/>
                <w:color w:val="auto"/>
                <w:sz w:val="28"/>
                <w:szCs w:val="28"/>
              </w:rPr>
              <w:t>，公告期限为1个工作日。</w:t>
            </w:r>
          </w:p>
        </w:tc>
      </w:tr>
      <w:tr w14:paraId="6CF69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2760F93C">
            <w:pPr>
              <w:snapToGrid w:val="0"/>
              <w:spacing w:line="320" w:lineRule="exact"/>
              <w:jc w:val="center"/>
              <w:rPr>
                <w:rFonts w:ascii="Times New Roman" w:hAnsi="Times New Roman" w:eastAsia="楷体_GB2312"/>
                <w:color w:val="auto"/>
                <w:sz w:val="28"/>
                <w:szCs w:val="28"/>
              </w:rPr>
            </w:pPr>
            <w:r>
              <w:rPr>
                <w:rFonts w:ascii="Times New Roman" w:hAnsi="Times New Roman" w:eastAsia="楷体_GB2312"/>
                <w:color w:val="auto"/>
                <w:sz w:val="28"/>
                <w:szCs w:val="28"/>
              </w:rPr>
              <w:t>23</w:t>
            </w:r>
          </w:p>
        </w:tc>
        <w:tc>
          <w:tcPr>
            <w:tcW w:w="1683" w:type="dxa"/>
            <w:vAlign w:val="center"/>
          </w:tcPr>
          <w:p w14:paraId="2CFCD001">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签订合同</w:t>
            </w:r>
          </w:p>
          <w:p w14:paraId="7BBE0A13">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时间</w:t>
            </w:r>
          </w:p>
        </w:tc>
        <w:tc>
          <w:tcPr>
            <w:tcW w:w="7404" w:type="dxa"/>
            <w:vAlign w:val="center"/>
          </w:tcPr>
          <w:p w14:paraId="6442E167">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中标通知书发出后30日内。</w:t>
            </w:r>
          </w:p>
        </w:tc>
      </w:tr>
      <w:tr w14:paraId="7520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3FB6B51A">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w:t>
            </w:r>
            <w:r>
              <w:rPr>
                <w:rFonts w:ascii="Times New Roman" w:hAnsi="Times New Roman" w:eastAsia="楷体_GB2312"/>
                <w:color w:val="auto"/>
                <w:sz w:val="28"/>
                <w:szCs w:val="28"/>
              </w:rPr>
              <w:t>4</w:t>
            </w:r>
          </w:p>
        </w:tc>
        <w:tc>
          <w:tcPr>
            <w:tcW w:w="1683" w:type="dxa"/>
            <w:vAlign w:val="center"/>
          </w:tcPr>
          <w:p w14:paraId="24326834">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放弃中标</w:t>
            </w:r>
          </w:p>
          <w:p w14:paraId="28757017">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赔偿责任</w:t>
            </w:r>
          </w:p>
        </w:tc>
        <w:tc>
          <w:tcPr>
            <w:tcW w:w="7404" w:type="dxa"/>
            <w:vAlign w:val="center"/>
          </w:tcPr>
          <w:p w14:paraId="62769FBA">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中标供应商放弃中标资格导致重新采购的，应当承担支付专家评审费等费用在内的赔偿责任（不可抗力除外）。</w:t>
            </w:r>
          </w:p>
        </w:tc>
      </w:tr>
      <w:tr w14:paraId="0AE2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338B0604">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w:t>
            </w:r>
            <w:r>
              <w:rPr>
                <w:rFonts w:ascii="Times New Roman" w:hAnsi="Times New Roman" w:eastAsia="楷体_GB2312"/>
                <w:color w:val="auto"/>
                <w:sz w:val="28"/>
                <w:szCs w:val="28"/>
              </w:rPr>
              <w:t>5</w:t>
            </w:r>
          </w:p>
        </w:tc>
        <w:tc>
          <w:tcPr>
            <w:tcW w:w="1683" w:type="dxa"/>
            <w:vAlign w:val="center"/>
          </w:tcPr>
          <w:p w14:paraId="544EA1EE">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履约保证金</w:t>
            </w:r>
          </w:p>
        </w:tc>
        <w:tc>
          <w:tcPr>
            <w:tcW w:w="7404" w:type="dxa"/>
            <w:vAlign w:val="center"/>
          </w:tcPr>
          <w:p w14:paraId="0A8953D8">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采购人按《中华人民共和国政府采购法实施条例》《浙江省财政厅关于进一步发挥政府采购政策功能全力推进经济稳进提质的通知》《浙江省人民政府关于印发浙江省贯彻落实国务院扎实稳住经济一揽子政策措施实施方案的通知》有关规定自行收取项目履约保证金。采购人要求中标供应商提交履约保证金的，供应商应当以支票、汇票、本票等非现金形式提交，也可以以银行、保险公司出具保函形式提交。履约保证金的数额不得超过政府采购合同金额的</w:t>
            </w:r>
            <w:r>
              <w:rPr>
                <w:rFonts w:ascii="Times New Roman" w:hAnsi="Times New Roman" w:eastAsia="楷体_GB2312"/>
                <w:color w:val="auto"/>
                <w:sz w:val="28"/>
                <w:szCs w:val="28"/>
              </w:rPr>
              <w:t>1</w:t>
            </w:r>
            <w:r>
              <w:rPr>
                <w:rFonts w:hint="eastAsia" w:ascii="Times New Roman" w:hAnsi="Times New Roman" w:eastAsia="楷体_GB2312"/>
                <w:color w:val="auto"/>
                <w:sz w:val="28"/>
                <w:szCs w:val="28"/>
              </w:rPr>
              <w:t>%。履约完毕，采购人及时办理履约保证金退还手续。</w:t>
            </w:r>
          </w:p>
        </w:tc>
      </w:tr>
      <w:tr w14:paraId="5C5CA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atLeast"/>
          <w:jc w:val="center"/>
        </w:trPr>
        <w:tc>
          <w:tcPr>
            <w:tcW w:w="838" w:type="dxa"/>
            <w:shd w:val="clear" w:color="auto" w:fill="auto"/>
            <w:vAlign w:val="center"/>
          </w:tcPr>
          <w:p w14:paraId="43F85D29">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w:t>
            </w:r>
            <w:r>
              <w:rPr>
                <w:rFonts w:ascii="Times New Roman" w:hAnsi="Times New Roman" w:eastAsia="楷体_GB2312"/>
                <w:color w:val="auto"/>
                <w:sz w:val="28"/>
                <w:szCs w:val="28"/>
              </w:rPr>
              <w:t>6</w:t>
            </w:r>
          </w:p>
        </w:tc>
        <w:tc>
          <w:tcPr>
            <w:tcW w:w="1683" w:type="dxa"/>
            <w:vAlign w:val="center"/>
          </w:tcPr>
          <w:p w14:paraId="05DFF0C8">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付款方式</w:t>
            </w:r>
          </w:p>
        </w:tc>
        <w:tc>
          <w:tcPr>
            <w:tcW w:w="7404" w:type="dxa"/>
            <w:vAlign w:val="center"/>
          </w:tcPr>
          <w:p w14:paraId="7B34CA41">
            <w:pPr>
              <w:autoSpaceDE w:val="0"/>
              <w:autoSpaceDN w:val="0"/>
              <w:snapToGrid w:val="0"/>
              <w:jc w:val="left"/>
              <w:textAlignment w:val="bottom"/>
              <w:rPr>
                <w:rFonts w:ascii="仿宋_GB2312" w:hAnsi="仿宋" w:eastAsia="仿宋_GB2312" w:cs="仿宋_GB2312"/>
                <w:color w:val="auto"/>
                <w:sz w:val="24"/>
                <w:szCs w:val="24"/>
              </w:rPr>
            </w:pPr>
            <w:r>
              <w:rPr>
                <w:rFonts w:hint="eastAsia" w:ascii="Times New Roman" w:hAnsi="Times New Roman" w:eastAsia="楷体_GB2312"/>
                <w:color w:val="auto"/>
                <w:sz w:val="28"/>
                <w:szCs w:val="28"/>
                <w:lang w:bidi="ar"/>
              </w:rPr>
              <w:t>国库集中支付（采购人自行支付）详见各标项的商务要求表</w:t>
            </w:r>
            <w:r>
              <w:rPr>
                <w:rFonts w:hint="eastAsia" w:ascii="仿宋_GB2312" w:hAnsi="仿宋" w:eastAsia="仿宋_GB2312" w:cs="仿宋_GB2312"/>
                <w:color w:val="auto"/>
                <w:sz w:val="24"/>
                <w:szCs w:val="24"/>
                <w:lang w:bidi="ar"/>
              </w:rPr>
              <w:t>。</w:t>
            </w:r>
          </w:p>
          <w:p w14:paraId="158E99F6">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olor w:val="auto"/>
                <w:sz w:val="28"/>
                <w:szCs w:val="28"/>
              </w:rPr>
              <w:t>根据《中华人民共和国中小企业促进法》《保障中小企业款项支付条例》《浙江省财政厅关于进一步发挥政府采购政策功能全力推动经济稳进提质的通知》《浙江省财政厅  浙江省机关事务管理局关于进一步加强全省预算单位政府采购工作管理的通知》等规定要求，采购人认为符合条件的，在“第四章 招标需求”资信及商务要求表的付款条件中，明确对相关企业在资金支付期限、预付款比例等方面的优惠措施。</w:t>
            </w:r>
          </w:p>
          <w:p w14:paraId="69F16518">
            <w:pPr>
              <w:snapToGrid w:val="0"/>
              <w:spacing w:line="320" w:lineRule="exact"/>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备注：采购单位应当在政府采购合同中约定预付款，对中小企业合同预付款比例原则上不低于合同金额的30％，不高于合同金额的70%；项目分年安排预算的，每年预付款比例不低于项目年度计划支付资金额的30％，不高于年度计划支付资金额的70%；采购项目实施以人工投入为主的，可适当降低预付款比例，但不得低于20%。对供应商为大型企业的项目或者以人工投入为主且实行按月定期结算支付款项的项目，预付款可低于上述比例或者不约定预付款。）</w:t>
            </w:r>
          </w:p>
        </w:tc>
      </w:tr>
      <w:tr w14:paraId="33B31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shd w:val="clear" w:color="auto" w:fill="auto"/>
            <w:vAlign w:val="center"/>
          </w:tcPr>
          <w:p w14:paraId="2513ADB1">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27</w:t>
            </w:r>
          </w:p>
        </w:tc>
        <w:tc>
          <w:tcPr>
            <w:tcW w:w="1683" w:type="dxa"/>
            <w:vAlign w:val="center"/>
          </w:tcPr>
          <w:p w14:paraId="0A1C88E9">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投标文件有效期</w:t>
            </w:r>
          </w:p>
        </w:tc>
        <w:tc>
          <w:tcPr>
            <w:tcW w:w="7404" w:type="dxa"/>
            <w:vAlign w:val="center"/>
          </w:tcPr>
          <w:p w14:paraId="5F60A479">
            <w:pPr>
              <w:snapToGrid w:val="0"/>
              <w:spacing w:line="320" w:lineRule="exact"/>
              <w:rPr>
                <w:rFonts w:ascii="Times New Roman" w:hAnsi="Times New Roman" w:eastAsia="楷体_GB2312"/>
                <w:color w:val="auto"/>
                <w:sz w:val="28"/>
                <w:szCs w:val="28"/>
              </w:rPr>
            </w:pPr>
            <w:r>
              <w:rPr>
                <w:rFonts w:hint="eastAsia" w:ascii="Times New Roman" w:hAnsi="Times New Roman" w:eastAsia="楷体_GB2312" w:cs="Arial"/>
                <w:color w:val="auto"/>
                <w:sz w:val="28"/>
                <w:szCs w:val="28"/>
              </w:rPr>
              <w:t>从递交投标文件的截止之日起90日。</w:t>
            </w:r>
          </w:p>
        </w:tc>
      </w:tr>
      <w:tr w14:paraId="5952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72E5825F">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28</w:t>
            </w:r>
          </w:p>
        </w:tc>
        <w:tc>
          <w:tcPr>
            <w:tcW w:w="1683" w:type="dxa"/>
            <w:vAlign w:val="center"/>
          </w:tcPr>
          <w:p w14:paraId="3F6327EB">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招标方代理费用</w:t>
            </w:r>
          </w:p>
        </w:tc>
        <w:tc>
          <w:tcPr>
            <w:tcW w:w="7404" w:type="dxa"/>
            <w:vAlign w:val="center"/>
          </w:tcPr>
          <w:p w14:paraId="6EF02971">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0元。</w:t>
            </w:r>
          </w:p>
        </w:tc>
      </w:tr>
      <w:tr w14:paraId="3018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8" w:type="dxa"/>
            <w:vAlign w:val="center"/>
          </w:tcPr>
          <w:p w14:paraId="4CD7AA48">
            <w:pPr>
              <w:snapToGrid w:val="0"/>
              <w:spacing w:line="320" w:lineRule="exact"/>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29</w:t>
            </w:r>
          </w:p>
        </w:tc>
        <w:tc>
          <w:tcPr>
            <w:tcW w:w="1683" w:type="dxa"/>
            <w:vAlign w:val="center"/>
          </w:tcPr>
          <w:p w14:paraId="098237B8">
            <w:pPr>
              <w:autoSpaceDE w:val="0"/>
              <w:autoSpaceDN w:val="0"/>
              <w:snapToGrid w:val="0"/>
              <w:spacing w:line="320" w:lineRule="exact"/>
              <w:jc w:val="center"/>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特别说明</w:t>
            </w:r>
          </w:p>
        </w:tc>
        <w:tc>
          <w:tcPr>
            <w:tcW w:w="7404" w:type="dxa"/>
            <w:vAlign w:val="center"/>
          </w:tcPr>
          <w:p w14:paraId="5C7F29B0">
            <w:pPr>
              <w:autoSpaceDE w:val="0"/>
              <w:autoSpaceDN w:val="0"/>
              <w:snapToGrid w:val="0"/>
              <w:spacing w:line="320" w:lineRule="exact"/>
              <w:textAlignment w:val="bottom"/>
              <w:rPr>
                <w:rFonts w:ascii="Times New Roman" w:hAnsi="Times New Roman" w:eastAsia="楷体_GB2312"/>
                <w:color w:val="auto"/>
                <w:sz w:val="28"/>
                <w:szCs w:val="28"/>
              </w:rPr>
            </w:pPr>
            <w:r>
              <w:rPr>
                <w:rFonts w:hint="eastAsia" w:ascii="Times New Roman" w:hAnsi="Times New Roman" w:eastAsia="楷体_GB2312"/>
                <w:color w:val="auto"/>
                <w:sz w:val="28"/>
                <w:szCs w:val="28"/>
              </w:rPr>
              <w:t>公益一类事业单位不属于政府购买服务的承接主体，不得参与承接购买服务。</w:t>
            </w:r>
          </w:p>
        </w:tc>
      </w:tr>
    </w:tbl>
    <w:p w14:paraId="0F7BCE87">
      <w:pPr>
        <w:pageBreakBefore/>
        <w:spacing w:line="440" w:lineRule="exact"/>
        <w:ind w:firstLine="600" w:firstLineChars="200"/>
        <w:outlineLvl w:val="1"/>
        <w:rPr>
          <w:rFonts w:ascii="黑体" w:hAnsi="黑体" w:eastAsia="黑体"/>
          <w:color w:val="auto"/>
        </w:rPr>
      </w:pPr>
      <w:r>
        <w:rPr>
          <w:rFonts w:hint="eastAsia" w:ascii="黑体" w:hAnsi="黑体" w:eastAsia="黑体"/>
          <w:color w:val="auto"/>
          <w:sz w:val="30"/>
          <w:szCs w:val="30"/>
        </w:rPr>
        <w:t>一、总则</w:t>
      </w:r>
    </w:p>
    <w:p w14:paraId="11F80D70">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（一）适用范围</w:t>
      </w:r>
    </w:p>
    <w:p w14:paraId="2AE08AE3">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仅适用于本次招标文件中采购项目的招标、投标、评标、定标、验收、合同履约、付款等行为（法律法规另有规定的，从其规定）。</w:t>
      </w:r>
    </w:p>
    <w:p w14:paraId="445F4FE5">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（二）定义</w:t>
      </w:r>
    </w:p>
    <w:p w14:paraId="1F6A0523">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1.“招标方”：指组织本次招标的浙江省教育技术中心。</w:t>
      </w:r>
    </w:p>
    <w:p w14:paraId="492063C7">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2.“投标人”：指响应招标、参加投标竞争的法人、其他组织或者自然人。</w:t>
      </w:r>
    </w:p>
    <w:p w14:paraId="2A8898E8">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3.“采购人”：指委托招标方采购本次项目的国家机关、事业单位和团体组织。</w:t>
      </w:r>
    </w:p>
    <w:p w14:paraId="2C2C6970">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w:t>
      </w:r>
      <w:r>
        <w:rPr>
          <w:rFonts w:hint="eastAsia"/>
          <w:color w:val="auto"/>
        </w:rPr>
        <w:t xml:space="preserve"> </w:t>
      </w:r>
      <w:r>
        <w:rPr>
          <w:rFonts w:hint="eastAsia" w:ascii="Times New Roman" w:hAnsi="Times New Roman" w:eastAsia="仿宋_GB2312"/>
          <w:color w:val="auto"/>
          <w:sz w:val="30"/>
        </w:rPr>
        <w:t>货物：指招标文件规定投标人须向采购人提供的一切材料、设备、机械、仪器仪表、工具及其它有关技术资料和文字材料。</w:t>
      </w:r>
    </w:p>
    <w:p w14:paraId="7F9EDD6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5.“服务”：指招标文件规定投标人须承担的</w:t>
      </w:r>
      <w:r>
        <w:rPr>
          <w:rFonts w:hint="eastAsia" w:ascii="仿宋_GB2312" w:hAnsi="仿宋" w:eastAsia="仿宋_GB2312" w:cs="Arial"/>
          <w:color w:val="auto"/>
          <w:sz w:val="30"/>
          <w:szCs w:val="30"/>
        </w:rPr>
        <w:t>安装、调试、技术协助、校准、培训、技术指导</w:t>
      </w:r>
      <w:r>
        <w:rPr>
          <w:rFonts w:hint="eastAsia" w:ascii="Times New Roman" w:hAnsi="Times New Roman" w:eastAsia="仿宋_GB2312"/>
          <w:color w:val="auto"/>
          <w:sz w:val="30"/>
        </w:rPr>
        <w:t>等劳务以及其他类似的义务。</w:t>
      </w:r>
    </w:p>
    <w:p w14:paraId="2955E87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6.“项目”：指投标人按招标文件规定向采购人提供的需求总称。</w:t>
      </w:r>
    </w:p>
    <w:p w14:paraId="575EF4CF">
      <w:pPr>
        <w:spacing w:line="440" w:lineRule="exact"/>
        <w:ind w:firstLine="600" w:firstLineChars="200"/>
        <w:rPr>
          <w:rFonts w:ascii="Times New Roman" w:hAnsi="Times New Roman" w:eastAsia="仿宋_GB2312"/>
          <w:b/>
          <w:bCs/>
          <w:color w:val="auto"/>
          <w:sz w:val="30"/>
        </w:rPr>
      </w:pPr>
      <w:r>
        <w:rPr>
          <w:rFonts w:hint="eastAsia" w:ascii="Times New Roman" w:hAnsi="Times New Roman" w:eastAsia="仿宋_GB2312"/>
          <w:color w:val="auto"/>
          <w:sz w:val="30"/>
        </w:rPr>
        <w:t>7.</w:t>
      </w:r>
      <w:r>
        <w:rPr>
          <w:rFonts w:hint="eastAsia" w:ascii="Times New Roman" w:hAnsi="Times New Roman" w:eastAsia="仿宋_GB2312"/>
          <w:b/>
          <w:bCs/>
          <w:color w:val="auto"/>
          <w:sz w:val="30"/>
        </w:rPr>
        <w:t>中小企业：指在中华人民共和国境内依法设立，依据国务院批准的中小企业划分标准确定的中型企业、小型企业和微型企业，但与大企业的负责人为同一人，或者与大企业存在直接控股、管理关系的除外。</w:t>
      </w:r>
    </w:p>
    <w:p w14:paraId="421BAE00">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符合中小企业划分标准的个体工商户，在政府采购活动中视同中小企业。</w:t>
      </w:r>
    </w:p>
    <w:p w14:paraId="05536C98">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8.电子交易平台：指政府采购项目电子交易平台，即政采云平台。</w:t>
      </w:r>
    </w:p>
    <w:p w14:paraId="4B4502E5">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（三）投标人及委托有关说明</w:t>
      </w:r>
    </w:p>
    <w:p w14:paraId="241D51A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如授权代表不是法定代表人，须有法定代表人出具的授权委托书（格式见附件）。投标人委派不在本单位缴纳社保的人员作为授权代表的，应当在投标文件中，说明具体原因、授权代表缴纳社保的单位，并附列该授权代表缴纳社保清单。</w:t>
      </w:r>
    </w:p>
    <w:p w14:paraId="51191A85">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2</w:t>
      </w:r>
      <w:r>
        <w:rPr>
          <w:rFonts w:hint="eastAsia" w:ascii="Times New Roman" w:hAnsi="Times New Roman" w:eastAsia="仿宋_GB2312"/>
          <w:color w:val="auto"/>
          <w:sz w:val="30"/>
        </w:rPr>
        <w:t>.投标人投标所使用的资格、信誉、荣誉、业绩与企业认证必须为本法人所拥有。投标人投标所使用的采购项目实施人员必须为本法人员工（或必须为本法人或控股公司正式员工）。</w:t>
      </w:r>
    </w:p>
    <w:p w14:paraId="01466EBE">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3</w:t>
      </w:r>
      <w:r>
        <w:rPr>
          <w:rFonts w:hint="eastAsia" w:ascii="Times New Roman" w:hAnsi="Times New Roman" w:eastAsia="仿宋_GB2312"/>
          <w:color w:val="auto"/>
          <w:sz w:val="30"/>
        </w:rPr>
        <w:t>.单位负责人为同一人或者存在直接控股、管理关系的不同供应商，不得参加同一合同项下的政府采购活动。</w:t>
      </w:r>
    </w:p>
    <w:p w14:paraId="5A8C5CF1">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4</w:t>
      </w:r>
      <w:r>
        <w:rPr>
          <w:rFonts w:hint="eastAsia" w:ascii="Times New Roman" w:hAnsi="Times New Roman" w:eastAsia="仿宋_GB2312"/>
          <w:color w:val="auto"/>
          <w:sz w:val="30"/>
        </w:rPr>
        <w:t>.投标人应仔细阅读招标文件的所有内容，按照招标文件的要求提交投标文件，并对所提供的全部资料的真实性承担法律责任。</w:t>
      </w:r>
    </w:p>
    <w:p w14:paraId="3A6E51DF">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（四）投标费用</w:t>
      </w:r>
    </w:p>
    <w:p w14:paraId="7B9E3917">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不论投标结果如何，投标人均应自行承担所有与投标有关的全部费用（招标文件有其他相反规定除外）。</w:t>
      </w:r>
    </w:p>
    <w:p w14:paraId="319039C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（五）询问和质疑</w:t>
      </w:r>
    </w:p>
    <w:p w14:paraId="19AE8799">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供应商对政府采购活动事项有疑问的，可以提出询问，采购人或招标方应当在3个工作日内对投标人依法提出的询问作出答复，但答复的内容不得涉及商业秘密。投标人提出的询问超出采购人对招标方委托授权范围的，招标方应当告知投标人向采购人提出。</w:t>
      </w:r>
    </w:p>
    <w:p w14:paraId="2862B988">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2.投标人认为采购文件使自己的权益受到损害的，可以自获取采购文件之日或者采购公告期限届满之日（公告期限届满后获取采购文件的，以公告期限届满之日为准）起7个工作日内，</w:t>
      </w:r>
      <w:r>
        <w:rPr>
          <w:rFonts w:hint="eastAsia" w:ascii="楷体" w:hAnsi="楷体" w:eastAsia="楷体" w:cs="楷体"/>
          <w:b/>
          <w:bCs/>
          <w:color w:val="auto"/>
          <w:sz w:val="30"/>
        </w:rPr>
        <w:t>对采购文件需求及评分标准，以书面形式向采购人提出质疑；对其他内容的，以书面形式向采购人和招标方提出质疑</w:t>
      </w:r>
      <w:r>
        <w:rPr>
          <w:rFonts w:hint="eastAsia" w:ascii="Times New Roman" w:hAnsi="Times New Roman" w:eastAsia="仿宋_GB2312"/>
          <w:color w:val="auto"/>
          <w:sz w:val="30"/>
        </w:rPr>
        <w:t>。</w:t>
      </w:r>
    </w:p>
    <w:p w14:paraId="57784AF1">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3.投标人认为招标过程使自己的合法权益受到损害的，可以在</w:t>
      </w:r>
      <w:r>
        <w:rPr>
          <w:rFonts w:ascii="仿宋" w:hAnsi="仿宋" w:eastAsia="仿宋" w:cs="仿宋"/>
          <w:color w:val="auto"/>
          <w:spacing w:val="8"/>
          <w:sz w:val="31"/>
          <w:szCs w:val="31"/>
        </w:rPr>
        <w:t>开标、资格审查、符合性审查和评审等</w:t>
      </w:r>
      <w:r>
        <w:rPr>
          <w:rFonts w:ascii="仿宋" w:hAnsi="仿宋" w:eastAsia="仿宋" w:cs="仿宋"/>
          <w:color w:val="auto"/>
          <w:spacing w:val="1"/>
          <w:sz w:val="30"/>
          <w:szCs w:val="30"/>
        </w:rPr>
        <w:t>环节结束之日</w:t>
      </w:r>
      <w:r>
        <w:rPr>
          <w:rFonts w:hint="eastAsia" w:ascii="Times New Roman" w:hAnsi="Times New Roman" w:eastAsia="仿宋_GB2312"/>
          <w:color w:val="auto"/>
          <w:sz w:val="30"/>
        </w:rPr>
        <w:t>起7个工作日内，</w:t>
      </w:r>
      <w:r>
        <w:rPr>
          <w:rFonts w:hint="eastAsia" w:ascii="楷体" w:hAnsi="楷体" w:eastAsia="楷体" w:cs="楷体"/>
          <w:b/>
          <w:bCs/>
          <w:color w:val="auto"/>
          <w:sz w:val="30"/>
        </w:rPr>
        <w:t>对“资格审查”等由采购人负责的环节，以书面形式向采购人提出质疑；对其他环节的，以书面形式向采购人和招标方提出质疑。</w:t>
      </w:r>
    </w:p>
    <w:p w14:paraId="574C579E">
      <w:pPr>
        <w:spacing w:line="299" w:lineRule="auto"/>
        <w:ind w:left="148" w:right="208" w:firstLine="659"/>
        <w:rPr>
          <w:rFonts w:ascii="楷体" w:hAnsi="楷体" w:eastAsia="楷体" w:cs="楷体"/>
          <w:b/>
          <w:bCs/>
          <w:color w:val="auto"/>
          <w:sz w:val="30"/>
        </w:rPr>
      </w:pPr>
      <w:r>
        <w:rPr>
          <w:rFonts w:hint="eastAsia" w:ascii="Times New Roman" w:hAnsi="Times New Roman" w:eastAsia="仿宋_GB2312"/>
          <w:color w:val="auto"/>
          <w:sz w:val="30"/>
        </w:rPr>
        <w:t>4.投标人认为中标</w:t>
      </w:r>
      <w:r>
        <w:rPr>
          <w:rFonts w:ascii="仿宋" w:hAnsi="仿宋" w:eastAsia="仿宋" w:cs="仿宋"/>
          <w:color w:val="auto"/>
          <w:spacing w:val="4"/>
          <w:sz w:val="30"/>
          <w:szCs w:val="30"/>
        </w:rPr>
        <w:t>或者成</w:t>
      </w:r>
      <w:r>
        <w:rPr>
          <w:rFonts w:ascii="仿宋" w:hAnsi="仿宋" w:eastAsia="仿宋" w:cs="仿宋"/>
          <w:color w:val="auto"/>
          <w:spacing w:val="3"/>
          <w:sz w:val="30"/>
          <w:szCs w:val="30"/>
        </w:rPr>
        <w:t>交</w:t>
      </w:r>
      <w:r>
        <w:rPr>
          <w:rFonts w:hint="eastAsia" w:ascii="Times New Roman" w:hAnsi="Times New Roman" w:eastAsia="仿宋_GB2312"/>
          <w:color w:val="auto"/>
          <w:sz w:val="30"/>
        </w:rPr>
        <w:t>结果使自己的合法权益受到损害的，可以在</w:t>
      </w:r>
      <w:r>
        <w:rPr>
          <w:rFonts w:ascii="仿宋" w:hAnsi="仿宋" w:eastAsia="仿宋" w:cs="仿宋"/>
          <w:color w:val="auto"/>
          <w:spacing w:val="4"/>
          <w:sz w:val="30"/>
          <w:szCs w:val="30"/>
        </w:rPr>
        <w:t>中标或者成</w:t>
      </w:r>
      <w:r>
        <w:rPr>
          <w:rFonts w:ascii="仿宋" w:hAnsi="仿宋" w:eastAsia="仿宋" w:cs="仿宋"/>
          <w:color w:val="auto"/>
          <w:spacing w:val="3"/>
          <w:sz w:val="30"/>
          <w:szCs w:val="30"/>
        </w:rPr>
        <w:t>交结</w:t>
      </w:r>
      <w:r>
        <w:rPr>
          <w:rFonts w:ascii="仿宋" w:hAnsi="仿宋" w:eastAsia="仿宋" w:cs="仿宋"/>
          <w:color w:val="auto"/>
          <w:spacing w:val="-2"/>
          <w:sz w:val="30"/>
          <w:szCs w:val="30"/>
        </w:rPr>
        <w:t>果公告期限届满之日</w:t>
      </w:r>
      <w:r>
        <w:rPr>
          <w:rFonts w:hint="eastAsia" w:ascii="Times New Roman" w:hAnsi="Times New Roman" w:eastAsia="仿宋_GB2312"/>
          <w:color w:val="auto"/>
          <w:sz w:val="30"/>
        </w:rPr>
        <w:t>起7个工作日内，</w:t>
      </w:r>
      <w:r>
        <w:rPr>
          <w:rFonts w:hint="eastAsia" w:ascii="楷体" w:hAnsi="楷体" w:eastAsia="楷体" w:cs="楷体"/>
          <w:b/>
          <w:bCs/>
          <w:color w:val="auto"/>
          <w:sz w:val="30"/>
        </w:rPr>
        <w:t>以书面形式向采购人和招标方提出质疑。</w:t>
      </w:r>
    </w:p>
    <w:p w14:paraId="4CB271A4">
      <w:pPr>
        <w:spacing w:line="299" w:lineRule="auto"/>
        <w:ind w:left="148" w:right="208" w:firstLine="659"/>
        <w:rPr>
          <w:rFonts w:ascii="楷体" w:hAnsi="楷体" w:eastAsia="楷体" w:cs="楷体"/>
          <w:b/>
          <w:bCs/>
          <w:color w:val="auto"/>
          <w:sz w:val="30"/>
        </w:rPr>
      </w:pPr>
      <w:r>
        <w:rPr>
          <w:rFonts w:hint="eastAsia" w:ascii="楷体" w:hAnsi="楷体" w:eastAsia="楷体" w:cs="楷体"/>
          <w:b/>
          <w:bCs/>
          <w:color w:val="auto"/>
          <w:sz w:val="30"/>
        </w:rPr>
        <w:t>5.投标人认为采购文件、采购过程、中标或者成交结果发生澄清、修改、更正的内容使自己的合法权益受到损害的，可以在通知送达供应商之日或者澄清公告、更正公告发布之日起7个工作日内，对经澄清、修改、更正的部分内容以书面形式提出质疑，质疑对象参照前述2-4条。</w:t>
      </w:r>
    </w:p>
    <w:p w14:paraId="7579034C">
      <w:pPr>
        <w:spacing w:line="300" w:lineRule="auto"/>
        <w:ind w:left="148" w:right="208" w:firstLine="659"/>
        <w:rPr>
          <w:rFonts w:ascii="楷体" w:hAnsi="楷体" w:eastAsia="楷体" w:cs="楷体"/>
          <w:b/>
          <w:bCs/>
          <w:color w:val="auto"/>
          <w:sz w:val="30"/>
        </w:rPr>
      </w:pPr>
      <w:r>
        <w:rPr>
          <w:rFonts w:hint="eastAsia" w:ascii="楷体" w:hAnsi="楷体" w:eastAsia="楷体" w:cs="楷体"/>
          <w:b/>
          <w:bCs/>
          <w:color w:val="auto"/>
          <w:sz w:val="30"/>
        </w:rPr>
        <w:t>6.提出质疑的供应商应当是参与所质疑项目（采购包）采购活动的供应商，且已依法获取采购文件。项目设立、项目预算、采购方式、组织形式、进口产品核准、采购需求调查过程、专门面向中小企业采购、合同履约等不属于可质疑事项。</w:t>
      </w:r>
    </w:p>
    <w:p w14:paraId="7CDC1636">
      <w:pPr>
        <w:spacing w:line="300" w:lineRule="auto"/>
        <w:ind w:right="44" w:firstLine="629"/>
        <w:rPr>
          <w:rFonts w:ascii="楷体" w:hAnsi="楷体" w:eastAsia="楷体" w:cs="楷体"/>
          <w:b/>
          <w:bCs/>
          <w:color w:val="auto"/>
          <w:sz w:val="30"/>
        </w:rPr>
      </w:pPr>
      <w:r>
        <w:rPr>
          <w:rFonts w:hint="eastAsia" w:ascii="Times New Roman" w:hAnsi="Times New Roman" w:eastAsia="仿宋_GB2312"/>
          <w:color w:val="auto"/>
          <w:sz w:val="30"/>
        </w:rPr>
        <w:t>7.质疑应当以书面形式提出，格式见《政府采购质疑和投诉办法》（财政部令第94号）附件范本，下载网址：浙江政府采购网（</w:t>
      </w:r>
      <w:r>
        <w:rPr>
          <w:color w:val="auto"/>
        </w:rPr>
        <w:fldChar w:fldCharType="begin"/>
      </w:r>
      <w:r>
        <w:rPr>
          <w:color w:val="auto"/>
        </w:rPr>
        <w:instrText xml:space="preserve"> HYPERLINK "http://zfcg.czt.zj.gov.cn/" </w:instrText>
      </w:r>
      <w:r>
        <w:rPr>
          <w:color w:val="auto"/>
        </w:rPr>
        <w:fldChar w:fldCharType="separate"/>
      </w:r>
      <w:r>
        <w:rPr>
          <w:rFonts w:hint="eastAsia" w:ascii="Times New Roman" w:hAnsi="Times New Roman" w:eastAsia="仿宋_GB2312"/>
          <w:color w:val="auto"/>
          <w:sz w:val="30"/>
        </w:rPr>
        <w:t>http://zfcg.czt.zj.gov.cn</w:t>
      </w:r>
      <w:r>
        <w:rPr>
          <w:rFonts w:hint="eastAsia" w:ascii="Times New Roman" w:hAnsi="Times New Roman" w:eastAsia="仿宋_GB2312"/>
          <w:color w:val="auto"/>
          <w:sz w:val="30"/>
        </w:rPr>
        <w:fldChar w:fldCharType="end"/>
      </w:r>
      <w:r>
        <w:rPr>
          <w:rFonts w:hint="eastAsia" w:ascii="Times New Roman" w:hAnsi="Times New Roman" w:eastAsia="仿宋_GB2312"/>
          <w:color w:val="auto"/>
          <w:sz w:val="30"/>
        </w:rPr>
        <w:t>），位置：“首页-下载专区-质疑投诉模板”。</w:t>
      </w:r>
      <w:r>
        <w:rPr>
          <w:rFonts w:hint="eastAsia" w:ascii="楷体" w:hAnsi="楷体" w:eastAsia="楷体" w:cs="楷体"/>
          <w:b/>
          <w:bCs/>
          <w:color w:val="auto"/>
          <w:sz w:val="30"/>
        </w:rPr>
        <w:t>供应商提出质疑应当提交质疑函和必要的证明材料。供应商应当在法定质疑期内一次性提出针对同一采购程序环节的质疑。</w:t>
      </w:r>
    </w:p>
    <w:p w14:paraId="035B2176">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质疑函应当包括下列内容：</w:t>
      </w:r>
    </w:p>
    <w:p w14:paraId="51D1067F">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（1）</w:t>
      </w:r>
      <w:r>
        <w:rPr>
          <w:rFonts w:hint="eastAsia" w:ascii="Times New Roman" w:hAnsi="Times New Roman" w:eastAsia="仿宋_GB2312"/>
          <w:color w:val="auto"/>
          <w:sz w:val="30"/>
        </w:rPr>
        <w:t>供应商的姓名或者名称、地址、邮编、联系人及联系电话；</w:t>
      </w:r>
    </w:p>
    <w:p w14:paraId="3DB78E85">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（2）</w:t>
      </w:r>
      <w:r>
        <w:rPr>
          <w:rFonts w:hint="eastAsia" w:ascii="Times New Roman" w:hAnsi="Times New Roman" w:eastAsia="仿宋_GB2312"/>
          <w:color w:val="auto"/>
          <w:sz w:val="30"/>
        </w:rPr>
        <w:t>质疑项目的名称、编号；</w:t>
      </w:r>
    </w:p>
    <w:p w14:paraId="5540A70E">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（3）</w:t>
      </w:r>
      <w:r>
        <w:rPr>
          <w:rFonts w:hint="eastAsia" w:ascii="Times New Roman" w:hAnsi="Times New Roman" w:eastAsia="仿宋_GB2312"/>
          <w:color w:val="auto"/>
          <w:sz w:val="30"/>
        </w:rPr>
        <w:t>具体、明确的质疑事项和与质疑事项相关的请求；</w:t>
      </w:r>
    </w:p>
    <w:p w14:paraId="766AAD07">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（4）</w:t>
      </w:r>
      <w:r>
        <w:rPr>
          <w:rFonts w:hint="eastAsia" w:ascii="Times New Roman" w:hAnsi="Times New Roman" w:eastAsia="仿宋_GB2312"/>
          <w:color w:val="auto"/>
          <w:sz w:val="30"/>
        </w:rPr>
        <w:t>事实依据；</w:t>
      </w:r>
    </w:p>
    <w:p w14:paraId="60DA9F50">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（5）</w:t>
      </w:r>
      <w:r>
        <w:rPr>
          <w:rFonts w:hint="eastAsia" w:ascii="Times New Roman" w:hAnsi="Times New Roman" w:eastAsia="仿宋_GB2312"/>
          <w:color w:val="auto"/>
          <w:sz w:val="30"/>
        </w:rPr>
        <w:t>必要的法律依据；</w:t>
      </w:r>
    </w:p>
    <w:p w14:paraId="7CF7CCB4">
      <w:pPr>
        <w:spacing w:line="440" w:lineRule="exact"/>
        <w:ind w:firstLine="600" w:firstLineChars="200"/>
        <w:rPr>
          <w:rFonts w:ascii="Times New Roman" w:hAnsi="Times New Roman" w:eastAsia="仿宋_GB2312"/>
          <w:color w:val="auto"/>
          <w:sz w:val="30"/>
        </w:rPr>
      </w:pPr>
      <w:r>
        <w:rPr>
          <w:rFonts w:hint="eastAsia" w:ascii="仿宋_GB2312" w:hAnsi="仿宋_GB2312" w:eastAsia="仿宋_GB2312" w:cs="仿宋_GB2312"/>
          <w:color w:val="auto"/>
          <w:sz w:val="30"/>
          <w:szCs w:val="30"/>
        </w:rPr>
        <w:t>（6）</w:t>
      </w:r>
      <w:r>
        <w:rPr>
          <w:rFonts w:hint="eastAsia" w:ascii="Times New Roman" w:hAnsi="Times New Roman" w:eastAsia="仿宋_GB2312"/>
          <w:color w:val="auto"/>
          <w:sz w:val="30"/>
        </w:rPr>
        <w:t>提出质疑的日期。</w:t>
      </w:r>
    </w:p>
    <w:p w14:paraId="7541AD32">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供应商为自然人的，应当由本人签字；供应商为法人或者其他组织的，应当由法定代表人、主要负责人，或者其授权代表签字或者盖章，并加盖公章。质疑应明确阐述招标过程或中标结果中使自己合法权益受到损害的实质性内容，提供相关事实、依据和证据及其来源或线索，便于有关单位调查、答复和处理。质疑函不符合《政府采购质疑和投诉办法》相关规定的，应在规定期限内补齐，招标方自收到补齐材料之日起受理；逾期未补齐的，按自动撤回质疑处理。</w:t>
      </w:r>
    </w:p>
    <w:p w14:paraId="08E3955D">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8.</w:t>
      </w:r>
      <w:r>
        <w:rPr>
          <w:rFonts w:hint="eastAsia"/>
          <w:color w:val="auto"/>
        </w:rPr>
        <w:t xml:space="preserve"> </w:t>
      </w:r>
      <w:r>
        <w:rPr>
          <w:rFonts w:hint="eastAsia" w:ascii="Times New Roman" w:hAnsi="Times New Roman" w:eastAsia="仿宋_GB2312"/>
          <w:color w:val="auto"/>
          <w:sz w:val="30"/>
        </w:rPr>
        <w:t>供应商可以通过浙江省政府采购云平台（以下简称电子交易平台）向采购人、采购代理机构提出询问和质疑。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4CEF981">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因特殊原因无法通过电子交易平台提出的，可以按照采购文件中载明的接收供应商质疑函的方式、联系部门、联系人、联系电话和通讯地址等信息，向采购人、采购代理机构邮寄、现场递交质疑函。</w:t>
      </w:r>
    </w:p>
    <w:p w14:paraId="7CB468E6">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（六）招标文件的澄清与修改</w:t>
      </w:r>
    </w:p>
    <w:p w14:paraId="17885892">
      <w:pPr>
        <w:spacing w:line="440" w:lineRule="exact"/>
        <w:ind w:firstLine="600" w:firstLineChars="200"/>
        <w:rPr>
          <w:rFonts w:ascii="Times New Roman" w:hAnsi="Times New Roman" w:eastAsia="仿宋_GB2312"/>
          <w:b/>
          <w:bCs/>
          <w:color w:val="auto"/>
          <w:sz w:val="30"/>
        </w:rPr>
      </w:pPr>
      <w:r>
        <w:rPr>
          <w:rFonts w:hint="eastAsia" w:ascii="Times New Roman" w:hAnsi="Times New Roman" w:eastAsia="仿宋_GB2312"/>
          <w:color w:val="auto"/>
          <w:sz w:val="30"/>
        </w:rPr>
        <w:t>1.投标人应认真阅读本招标文件，发现其中表述不清楚、有错误或有不合理要求的，投标人应当在获取招标文件或者招标文件公告期限届满之日起7个工作日内以书面形式向采购人、招标方提出。采购人、招标方将在规定的时间内，在财政部门指定的政府采购信息发布媒体上发布更正公告，并以书面形式通知所有招标文件收受人。</w:t>
      </w:r>
      <w:r>
        <w:rPr>
          <w:rFonts w:hint="eastAsia" w:ascii="Times New Roman" w:hAnsi="Times New Roman" w:eastAsia="仿宋_GB2312"/>
          <w:b/>
          <w:bCs/>
          <w:color w:val="auto"/>
          <w:sz w:val="30"/>
        </w:rPr>
        <w:t>逾期提出的采购人、招标方将不予受理。</w:t>
      </w:r>
    </w:p>
    <w:p w14:paraId="3D2748E8">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2.采购人、招标方无论出于何种原因，均可主动对招标文件中的相关事项，用补充文件等方式进行澄清和修改。</w:t>
      </w:r>
    </w:p>
    <w:p w14:paraId="4F7008B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3.招标文件澄清、答复、修改、补充的内容为招标文件的组成部分。当招标文件与招标文件的答复、澄清、修改、补充通知就同一内容的表述不一致时，以最后发出的书面文件为准。</w:t>
      </w:r>
    </w:p>
    <w:p w14:paraId="726BFABB">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二、投标文件的编制</w:t>
      </w:r>
    </w:p>
    <w:p w14:paraId="421DA496">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（一）投标文件编制工具</w:t>
      </w:r>
    </w:p>
    <w:p w14:paraId="098EB4FC">
      <w:pPr>
        <w:wordWrap w:val="0"/>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投标文件编制工具为政采云电子交易客户端，请在浙江政府采购网（https://zfcg.czt.zj.gov.cn）下载专区（下载专区→ 电子交易客户端→政采云电子交易客户端）自行下载并安装。</w:t>
      </w:r>
    </w:p>
    <w:p w14:paraId="206116D4">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（二）投标文件的组成</w:t>
      </w:r>
    </w:p>
    <w:p w14:paraId="4CCD612E">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本项目所称投标文件系指电子投标文件或备份投标文件。投标文件需按照本招标文件和电子交易平台的要求制作、加密并递交。</w:t>
      </w:r>
    </w:p>
    <w:p w14:paraId="740D71F6">
      <w:pPr>
        <w:spacing w:line="440" w:lineRule="exact"/>
        <w:ind w:firstLine="602" w:firstLineChars="200"/>
        <w:rPr>
          <w:rFonts w:ascii="仿宋_GB2312" w:hAnsi="Times New Roman" w:eastAsia="仿宋_GB2312"/>
          <w:b/>
          <w:bCs/>
          <w:color w:val="auto"/>
          <w:sz w:val="30"/>
          <w:szCs w:val="30"/>
        </w:rPr>
      </w:pPr>
      <w:r>
        <w:rPr>
          <w:rFonts w:hint="eastAsia" w:ascii="仿宋_GB2312" w:hAnsi="仿宋" w:eastAsia="仿宋_GB2312"/>
          <w:b/>
          <w:bCs/>
          <w:color w:val="auto"/>
          <w:sz w:val="30"/>
          <w:szCs w:val="30"/>
        </w:rPr>
        <w:t>“电子投标文件”系指通过政采云电子投标客户端完成投标文件编制后生成并加密的数据电文形式的投标文件（文件扩展名为.jmbs），“备份投标文件”系指与“电子投标文件”同时生成的数据电文形式的电子文件（文件扩展名为.bfbs）。</w:t>
      </w:r>
    </w:p>
    <w:p w14:paraId="7323E437">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每个标项的电子投标文件由资质文件、技术商务文件、投标报价文件三部分组成，具体详见“第六章  投标文件格式附件”。备份投标文件的组成和内容等同电子投标文件。</w:t>
      </w:r>
    </w:p>
    <w:p w14:paraId="578F95DF">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注：法定代表人授权委托书、投标声明书、投标报价明细表必须按招标文件格式要求正确签署并加盖投标人公章。投标文件中所须加盖公章部分均采用CA签章。</w:t>
      </w:r>
    </w:p>
    <w:p w14:paraId="13A56DA9">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（三）投标文件的效力</w:t>
      </w:r>
    </w:p>
    <w:p w14:paraId="2A7D0B82">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电子投标文件未按时解密，投标人提供了备份投标文件的，以备份投标文件作为依据，否则视为投标文件撤回。电子投标文件已按时解密的，备份投标文件自动失效。</w:t>
      </w:r>
    </w:p>
    <w:p w14:paraId="66B7C81B">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（四）投标文件的语言及计量</w:t>
      </w:r>
    </w:p>
    <w:p w14:paraId="6D2E915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1.投标文件以及投标人与招标方就有关投标事宜的所有来往函电，均应以中文汉语简体字书写。除签字、盖章、专用名称等特殊情形外，以中文汉语以外的文字表述的投标文件视同未提供。</w:t>
      </w:r>
    </w:p>
    <w:p w14:paraId="4895DD6D">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2.投标计量单位，招标文件已有明确规定的，使用招标文件规定的计量单位；招标文件没有规定的，应采用中华人民共和国法定计量单位（货币单位：人民币元），否则视同未响应。</w:t>
      </w:r>
    </w:p>
    <w:p w14:paraId="5B8DB468">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（五）投标报价</w:t>
      </w:r>
    </w:p>
    <w:p w14:paraId="51A2067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1.投标文件只允许有一个报价，投标报价应按招标文件中相关附表格式填报，该投标报价应与明细报价汇总相等，且不允许出现报价优惠等字样。投标总价不为零，报价明细表中部分产品、服务单价为零的，视作已包含在总价中。</w:t>
      </w:r>
    </w:p>
    <w:p w14:paraId="657A0CF1">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w:t>
      </w:r>
      <w:r>
        <w:rPr>
          <w:rFonts w:hint="eastAsia"/>
          <w:color w:val="auto"/>
        </w:rPr>
        <w:t xml:space="preserve"> </w:t>
      </w:r>
      <w:r>
        <w:rPr>
          <w:rFonts w:hint="eastAsia" w:ascii="Times New Roman" w:hAnsi="Times New Roman" w:eastAsia="仿宋_GB2312"/>
          <w:color w:val="auto"/>
          <w:sz w:val="30"/>
        </w:rPr>
        <w:t>投标报价应包含项目所需全部产品和（或）服务，不得缺漏，是履行合同的最终价格，</w:t>
      </w:r>
      <w:r>
        <w:rPr>
          <w:rFonts w:hint="eastAsia" w:ascii="楷体" w:hAnsi="楷体" w:eastAsia="楷体" w:cs="楷体"/>
          <w:b/>
          <w:bCs/>
          <w:color w:val="auto"/>
          <w:sz w:val="30"/>
          <w:u w:val="single"/>
        </w:rPr>
        <w:t>包括实验室基础改造（修复）、</w:t>
      </w:r>
      <w:r>
        <w:rPr>
          <w:rFonts w:hint="eastAsia" w:ascii="Times New Roman" w:hAnsi="Times New Roman" w:eastAsia="仿宋_GB2312"/>
          <w:color w:val="auto"/>
          <w:sz w:val="30"/>
        </w:rPr>
        <w:t>货款和（或）服务费、标准附件、备品备件、专用工具、包装、运输、装卸、保险、货到就位以及安装、调试、培训、保修、税费等一切费用。</w:t>
      </w:r>
    </w:p>
    <w:p w14:paraId="106A02A9">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3.投标报价单位金额到元为止，如投标报价总价出现角、分，将被抹除。</w:t>
      </w:r>
    </w:p>
    <w:p w14:paraId="17679085">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4.资格文件、技术商务文件中不得出现投标报价信息，否则按无效标处理。</w:t>
      </w:r>
    </w:p>
    <w:p w14:paraId="1FA979F4">
      <w:pPr>
        <w:spacing w:line="440" w:lineRule="exact"/>
        <w:ind w:firstLine="602" w:firstLineChars="200"/>
        <w:rPr>
          <w:rFonts w:ascii="楷体" w:hAnsi="楷体" w:eastAsia="楷体" w:cs="楷体"/>
          <w:b/>
          <w:bCs/>
          <w:color w:val="auto"/>
          <w:sz w:val="30"/>
        </w:rPr>
      </w:pPr>
      <w:r>
        <w:rPr>
          <w:rFonts w:hint="eastAsia" w:ascii="楷体" w:hAnsi="楷体" w:eastAsia="楷体" w:cs="楷体"/>
          <w:b/>
          <w:bCs/>
          <w:color w:val="auto"/>
          <w:sz w:val="30"/>
        </w:rPr>
        <w:t>5.投标人不得进行影响产品质量或者诚信履约的恶意报价。投标人在项目评审前准备好报价核算、报价明细、报价说明等材料，以备评审专家核查。投标人报价低于项目预算50%的，应当在报价文件中详细阐述不影响产品质量或者诚信履约的具体原因。</w:t>
      </w:r>
    </w:p>
    <w:p w14:paraId="01190DD7">
      <w:pPr>
        <w:pStyle w:val="15"/>
        <w:snapToGrid w:val="0"/>
        <w:spacing w:before="120" w:after="120" w:line="460" w:lineRule="exact"/>
        <w:ind w:firstLine="602" w:firstLineChars="200"/>
        <w:jc w:val="left"/>
        <w:rPr>
          <w:rFonts w:ascii="楷体" w:hAnsi="楷体" w:eastAsia="楷体" w:cs="楷体"/>
          <w:b/>
          <w:bCs/>
          <w:color w:val="auto"/>
          <w:kern w:val="2"/>
          <w:sz w:val="30"/>
          <w:szCs w:val="22"/>
        </w:rPr>
      </w:pPr>
      <w:r>
        <w:rPr>
          <w:rFonts w:hint="eastAsia" w:ascii="楷体" w:hAnsi="楷体" w:eastAsia="楷体" w:cs="楷体"/>
          <w:b/>
          <w:bCs/>
          <w:color w:val="auto"/>
          <w:kern w:val="2"/>
          <w:sz w:val="30"/>
          <w:szCs w:val="22"/>
        </w:rPr>
        <w:t>6.投标报价出现下列情形之一的，评标委员会将对相关供应商进行询标：（一）投标报价低于全部通过符合性审查供应商投标报价平均值50%的，即投标报价&lt;全部通过符合性审查供应商投标报价平均值×50%；（二）投标报价低于通过符合性审查且报价次低供应商投标报价50%的，即投标报价&lt;通过符合性审查且报价次低供应商投标报价×50%；（三）投标报价低于采购项目最高限价45%的，即投标报价&lt;采购项目最高限价×45%；（四）其他评标委员会认为供应商报价过低，有可能影响产品质量或者不能诚信履约的情形。</w:t>
      </w:r>
    </w:p>
    <w:p w14:paraId="09279924">
      <w:pPr>
        <w:pStyle w:val="15"/>
        <w:snapToGrid w:val="0"/>
        <w:spacing w:before="120" w:after="120" w:line="460" w:lineRule="exact"/>
        <w:ind w:firstLine="602" w:firstLineChars="200"/>
        <w:jc w:val="left"/>
        <w:rPr>
          <w:rFonts w:ascii="楷体" w:hAnsi="楷体" w:eastAsia="楷体" w:cs="楷体"/>
          <w:b/>
          <w:bCs/>
          <w:color w:val="auto"/>
          <w:kern w:val="2"/>
          <w:sz w:val="30"/>
          <w:szCs w:val="22"/>
        </w:rPr>
      </w:pPr>
      <w:r>
        <w:rPr>
          <w:rFonts w:hint="eastAsia" w:ascii="楷体" w:hAnsi="楷体" w:eastAsia="楷体" w:cs="楷体"/>
          <w:b/>
          <w:bCs/>
          <w:color w:val="auto"/>
          <w:kern w:val="2"/>
          <w:sz w:val="30"/>
          <w:szCs w:val="22"/>
        </w:rPr>
        <w:t>评标委员会发起询标后，投标人必须在评审现场合理的时间内提供书面说明及必要的证明材料，对投标价格作出解释。书面说明、证明材料主要是项目具体成本测算等与报价合理性相关的说明、材料。</w:t>
      </w:r>
    </w:p>
    <w:p w14:paraId="0C7FC78F">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（六）投标文件的有效期</w:t>
      </w:r>
    </w:p>
    <w:p w14:paraId="098AEF0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1.自投标截止日起90日内投标文件应保持有效。有效期不足的投标文件将被拒绝。</w:t>
      </w:r>
    </w:p>
    <w:p w14:paraId="6AE9A33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2.中标供应商的投标文件自开标之日起至合同履行完毕止均应保持有效。</w:t>
      </w:r>
    </w:p>
    <w:p w14:paraId="15439FEC">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（七）投标文件的签署和包装</w:t>
      </w:r>
    </w:p>
    <w:p w14:paraId="7F57AD2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1.电子投标文件</w:t>
      </w:r>
    </w:p>
    <w:p w14:paraId="6EB0B5F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1）投标人应根据本项目招标文件和电子交易平台规定的格式和顺序编制电子投标文件并进行关联定位，投标文件内容不完整、编排混乱、关联错误导致投标文件被误读、漏读或者查找不到相关内容的，是投标人的责任。</w:t>
      </w:r>
    </w:p>
    <w:p w14:paraId="1BFDF31D">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（2）投标文件须由投标人在规定位置盖章并由法定代表人或法定代表人的授权委托人签署，投标人应写全称。</w:t>
      </w:r>
    </w:p>
    <w:p w14:paraId="3754966C">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（3）投标文件不得涂改，若有修改错漏处，须加盖投标人公章或者法定代表人或授权委托人签名或盖章。投标文件因字迹潦草或表达不清所引起的后果由投标人负责。</w:t>
      </w:r>
    </w:p>
    <w:p w14:paraId="386ADD60">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2.投标人选择递交备份投标文件的，备份投标文件另须满足以下条件：</w:t>
      </w:r>
    </w:p>
    <w:p w14:paraId="75C005C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（1）储存形式：以不可编辑的数据电文存入U盘；</w:t>
      </w:r>
    </w:p>
    <w:p w14:paraId="6127B07E">
      <w:pPr>
        <w:spacing w:line="440" w:lineRule="exact"/>
        <w:ind w:firstLine="602" w:firstLineChars="200"/>
        <w:rPr>
          <w:rFonts w:ascii="楷体" w:hAnsi="楷体" w:eastAsia="楷体" w:cs="楷体"/>
          <w:b/>
          <w:bCs/>
          <w:color w:val="auto"/>
          <w:sz w:val="30"/>
        </w:rPr>
      </w:pPr>
      <w:r>
        <w:rPr>
          <w:rFonts w:hint="eastAsia" w:ascii="楷体" w:hAnsi="楷体" w:eastAsia="楷体" w:cs="楷体"/>
          <w:b/>
          <w:bCs/>
          <w:color w:val="auto"/>
          <w:sz w:val="30"/>
        </w:rPr>
        <w:t>（2）密封要求：外包装封面上应注明投标人名称、投标人地址、投标人联系方式（授权代表手机号码）、投标文件名称（备份投标文件）、投标项目名称、项目编号、标项及“开标时启封”字样，并加盖投标人公章。</w:t>
      </w:r>
    </w:p>
    <w:p w14:paraId="4888C3BE">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（八）串通投标认定</w:t>
      </w:r>
    </w:p>
    <w:p w14:paraId="0C12A7B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有下列情形之一的，视为投标人串通投标，其投标无效：</w:t>
      </w:r>
    </w:p>
    <w:p w14:paraId="2194BB53">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w:t>
      </w:r>
      <w:r>
        <w:rPr>
          <w:rFonts w:hint="eastAsia" w:ascii="Times New Roman" w:hAnsi="Times New Roman" w:eastAsia="仿宋_GB2312"/>
          <w:color w:val="auto"/>
          <w:sz w:val="30"/>
          <w:lang w:bidi="ar"/>
        </w:rPr>
        <w:t>不同投标人的电子投标文件上传计算机的IP地址、网卡MAC地址、CPU序列号或硬盘序列号等硬件信息相同的；</w:t>
      </w:r>
    </w:p>
    <w:p w14:paraId="51B40A78">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2.不同投标人委托同一单位或者个人办理投标事宜；</w:t>
      </w:r>
    </w:p>
    <w:p w14:paraId="6BF8828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3.不同投标人的投标文件载明的项目管理成员或者联系人员为同一人；</w:t>
      </w:r>
    </w:p>
    <w:p w14:paraId="5DD74E0A">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4.不同投标人的投标文件异常一致或者投标报价呈规律性差异；</w:t>
      </w:r>
    </w:p>
    <w:p w14:paraId="74BA7567">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5.不同投标人的投标文件相互混装。</w:t>
      </w:r>
    </w:p>
    <w:p w14:paraId="5A13996D">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（九）投标无效的情形</w:t>
      </w:r>
    </w:p>
    <w:p w14:paraId="4EDACBA9">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shd w:val="clear" w:color="auto" w:fill="FFFFFF"/>
        </w:rPr>
        <w:t>在商务、技术、报价符合性审查中，存在下列情形之一的，经评标委员会认定后作无效标处理：</w:t>
      </w:r>
    </w:p>
    <w:p w14:paraId="0F22055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1.投标人未能提供合格的资</w:t>
      </w:r>
      <w:r>
        <w:rPr>
          <w:rFonts w:ascii="Times New Roman" w:hAnsi="Times New Roman" w:eastAsia="仿宋_GB2312"/>
          <w:color w:val="auto"/>
          <w:sz w:val="30"/>
        </w:rPr>
        <w:t>质</w:t>
      </w:r>
      <w:r>
        <w:rPr>
          <w:rFonts w:hint="eastAsia" w:ascii="Times New Roman" w:hAnsi="Times New Roman" w:eastAsia="仿宋_GB2312"/>
          <w:color w:val="auto"/>
          <w:sz w:val="30"/>
        </w:rPr>
        <w:t>文件、投标有效期不足的；</w:t>
      </w:r>
    </w:p>
    <w:p w14:paraId="49A0D6B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2.投标人被列入失信被执行人、重大税收违法案件当事人名单、政府采购严重违法失信行为记录名单的；</w:t>
      </w:r>
    </w:p>
    <w:p w14:paraId="548DF6A9">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3.仅提供备份投标文件的；</w:t>
      </w:r>
    </w:p>
    <w:p w14:paraId="10319E2D">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4.电子投标文件解密失败，且未在规定时间内提交备份投标文件的；</w:t>
      </w:r>
    </w:p>
    <w:p w14:paraId="7718A2D8">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5.电子投标文件解密失败，虽然在规定时间内提交了备份投标文件，但是备份投标文件无法导入或者无法读取或者不符合本招标文件和电子交易平台要求的；</w:t>
      </w:r>
    </w:p>
    <w:p w14:paraId="4712A0C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6.投标文件未按招标文件要求签署、盖章的；</w:t>
      </w:r>
    </w:p>
    <w:p w14:paraId="0009C849">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7.与招标文件有重大偏离、未满足带“▲”号实质性指标的投标文件；</w:t>
      </w:r>
    </w:p>
    <w:p w14:paraId="0BA7613C">
      <w:pPr>
        <w:spacing w:line="440" w:lineRule="exact"/>
        <w:ind w:firstLine="602" w:firstLineChars="200"/>
        <w:rPr>
          <w:rFonts w:ascii="楷体" w:hAnsi="楷体" w:eastAsia="楷体" w:cs="楷体"/>
          <w:b/>
          <w:bCs/>
          <w:color w:val="auto"/>
          <w:sz w:val="30"/>
          <w:u w:val="single"/>
          <w:lang w:bidi="ar"/>
        </w:rPr>
      </w:pPr>
      <w:r>
        <w:rPr>
          <w:rFonts w:hint="eastAsia" w:ascii="楷体" w:hAnsi="楷体" w:eastAsia="楷体" w:cs="楷体"/>
          <w:b/>
          <w:bCs/>
          <w:color w:val="auto"/>
          <w:sz w:val="30"/>
          <w:u w:val="single"/>
          <w:lang w:bidi="ar"/>
        </w:rPr>
        <w:t>8.</w:t>
      </w:r>
      <w:r>
        <w:rPr>
          <w:rFonts w:ascii="楷体" w:hAnsi="楷体" w:eastAsia="楷体" w:cs="楷体"/>
          <w:b/>
          <w:bCs/>
          <w:color w:val="auto"/>
          <w:sz w:val="30"/>
          <w:u w:val="single"/>
          <w:lang w:bidi="ar"/>
        </w:rPr>
        <w:t>招标</w:t>
      </w:r>
      <w:r>
        <w:rPr>
          <w:rFonts w:hint="eastAsia" w:ascii="楷体" w:hAnsi="楷体" w:eastAsia="楷体" w:cs="楷体"/>
          <w:b/>
          <w:bCs/>
          <w:color w:val="auto"/>
          <w:sz w:val="30"/>
          <w:u w:val="single"/>
          <w:lang w:bidi="ar"/>
        </w:rPr>
        <w:t>文件中明确属于政府强制采购节能产品品目范围的产品，投标人未随投标文件提供有效的节能产品认证证书为佐证材料或证书无效的；</w:t>
      </w:r>
    </w:p>
    <w:p w14:paraId="0DE15828">
      <w:pPr>
        <w:spacing w:line="440" w:lineRule="exact"/>
        <w:ind w:firstLine="420" w:firstLineChars="200"/>
        <w:rPr>
          <w:rFonts w:ascii="楷体" w:hAnsi="楷体" w:eastAsia="楷体" w:cs="楷体"/>
          <w:b/>
          <w:bCs/>
          <w:color w:val="auto"/>
          <w:sz w:val="30"/>
          <w:u w:val="single"/>
          <w:lang w:bidi="ar"/>
        </w:rPr>
      </w:pPr>
      <w:r>
        <w:rPr>
          <w:rFonts w:hint="eastAsia"/>
          <w:color w:val="auto"/>
        </w:rPr>
        <w:t xml:space="preserve"> </w:t>
      </w:r>
      <w:r>
        <w:rPr>
          <w:rFonts w:hint="eastAsia" w:ascii="楷体" w:hAnsi="楷体" w:eastAsia="楷体" w:cs="楷体"/>
          <w:b/>
          <w:bCs/>
          <w:color w:val="auto"/>
          <w:sz w:val="30"/>
          <w:u w:val="single"/>
          <w:lang w:bidi="ar"/>
        </w:rPr>
        <w:t>9.招标文件中明确属于国家强制性产品认证（CCC）目录范围内的产品，投标人未按要求提供在有效期内的《强制性产品认证证书》或符合过渡期政策的《强制性认证产品符合性自我声明》作为佐证材料，或其提供的证书、声明已失效的。</w:t>
      </w:r>
    </w:p>
    <w:p w14:paraId="43DC3F93">
      <w:pPr>
        <w:spacing w:line="440" w:lineRule="exact"/>
        <w:ind w:firstLine="602" w:firstLineChars="200"/>
        <w:rPr>
          <w:rFonts w:ascii="楷体" w:hAnsi="楷体" w:eastAsia="楷体" w:cs="楷体"/>
          <w:b/>
          <w:bCs/>
          <w:color w:val="auto"/>
          <w:sz w:val="30"/>
          <w:u w:val="single"/>
          <w:lang w:bidi="ar"/>
        </w:rPr>
      </w:pPr>
      <w:r>
        <w:rPr>
          <w:rFonts w:hint="eastAsia" w:ascii="楷体" w:hAnsi="楷体" w:eastAsia="楷体" w:cs="楷体"/>
          <w:b/>
          <w:bCs/>
          <w:color w:val="auto"/>
          <w:sz w:val="30"/>
          <w:u w:val="single"/>
          <w:lang w:bidi="ar"/>
        </w:rPr>
        <w:t>10.投标报价超过标项总预算、任一学校预算或招标文件设定的最高限价的；</w:t>
      </w:r>
    </w:p>
    <w:p w14:paraId="703BD80E">
      <w:pPr>
        <w:spacing w:line="440" w:lineRule="exact"/>
        <w:ind w:firstLine="602" w:firstLineChars="200"/>
        <w:rPr>
          <w:rFonts w:ascii="楷体" w:hAnsi="楷体" w:eastAsia="楷体" w:cs="楷体"/>
          <w:b/>
          <w:bCs/>
          <w:color w:val="auto"/>
          <w:sz w:val="30"/>
          <w:u w:val="single"/>
          <w:lang w:bidi="ar"/>
        </w:rPr>
      </w:pPr>
      <w:r>
        <w:rPr>
          <w:rFonts w:hint="eastAsia" w:ascii="楷体" w:hAnsi="楷体" w:eastAsia="楷体" w:cs="楷体"/>
          <w:b/>
          <w:bCs/>
          <w:color w:val="auto"/>
          <w:sz w:val="30"/>
          <w:u w:val="single"/>
          <w:lang w:bidi="ar"/>
        </w:rPr>
        <w:t>11.投标人未提供样品（含样品不全）或提供样品不满足采购需求实质性条件的。</w:t>
      </w:r>
    </w:p>
    <w:p w14:paraId="52FA4390">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12.标项以赠送方式投标的、对一个标项提供两个投标方案或两个报价的；</w:t>
      </w:r>
    </w:p>
    <w:p w14:paraId="413BB022">
      <w:pPr>
        <w:spacing w:line="440" w:lineRule="exact"/>
        <w:ind w:firstLine="602" w:firstLineChars="200"/>
        <w:rPr>
          <w:rFonts w:ascii="Times New Roman" w:hAnsi="Times New Roman" w:eastAsia="仿宋_GB2312"/>
          <w:b/>
          <w:bCs/>
          <w:color w:val="auto"/>
          <w:sz w:val="30"/>
          <w:u w:val="single"/>
        </w:rPr>
      </w:pPr>
      <w:r>
        <w:rPr>
          <w:rFonts w:hint="eastAsia" w:ascii="Times New Roman" w:hAnsi="Times New Roman" w:eastAsia="仿宋_GB2312"/>
          <w:b/>
          <w:bCs/>
          <w:color w:val="auto"/>
          <w:sz w:val="30"/>
          <w:u w:val="single"/>
        </w:rPr>
        <w:t>13.评标委员会根据“二、投标文件的编制”“（五）投标报价”第6点规定情形发起询标后，投标人不提供书面说明、证明材料，或者评标委员会认为其提供的书面说明、证明材料不能证明其报价合理性的；</w:t>
      </w:r>
    </w:p>
    <w:p w14:paraId="349C98A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14.投标人不接受报价文件中修正后的报价的；</w:t>
      </w:r>
    </w:p>
    <w:p w14:paraId="29C9DF09">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15.未按第二章 投标人须知“二、投标文件的编制”第</w:t>
      </w:r>
      <w:r>
        <w:rPr>
          <w:rFonts w:ascii="Times New Roman" w:hAnsi="Times New Roman" w:eastAsia="仿宋_GB2312"/>
          <w:color w:val="auto"/>
          <w:sz w:val="30"/>
        </w:rPr>
        <w:t>五</w:t>
      </w:r>
      <w:r>
        <w:rPr>
          <w:rFonts w:hint="eastAsia" w:ascii="Times New Roman" w:hAnsi="Times New Roman" w:eastAsia="仿宋_GB2312"/>
          <w:color w:val="auto"/>
          <w:sz w:val="30"/>
        </w:rPr>
        <w:t>点投标报价要求报价的；</w:t>
      </w:r>
    </w:p>
    <w:p w14:paraId="181CDE8B">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16.投标文件含有采购人不能接受的附加条件的；</w:t>
      </w:r>
    </w:p>
    <w:p w14:paraId="631F88E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17.投标人被视为串通投标的；</w:t>
      </w:r>
    </w:p>
    <w:p w14:paraId="32634F6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18.不符合法律、法规和本招标文件规定的其他实质性要求的。</w:t>
      </w:r>
    </w:p>
    <w:p w14:paraId="30B91CAC">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（十）错误修正</w:t>
      </w:r>
    </w:p>
    <w:p w14:paraId="248C9F0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电子交易平台客户端里开标一览表录入的投标报价信息与扫描上传的报价文件不一致的，以扫描上传的报价文件为准。</w:t>
      </w:r>
    </w:p>
    <w:p w14:paraId="44269C8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投标文件报价出现前后不一致的，除招标文件另有规定外，按照下列规定修正：</w:t>
      </w:r>
    </w:p>
    <w:p w14:paraId="32CFEB8F">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1.投标文件中开标一览表（报价表）内容与投标文件中相应内容不一致的，以开标一览表（报价表）为准；</w:t>
      </w:r>
    </w:p>
    <w:p w14:paraId="28054744">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2.大写金额和小写金额不一致的，以大写金额为准；</w:t>
      </w:r>
    </w:p>
    <w:p w14:paraId="4A4F1E7A">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3.单价金额小数点或者百分比有明显错位的，以开标一览表的总价为准，并修改单价；</w:t>
      </w:r>
    </w:p>
    <w:p w14:paraId="152FA5EF">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4.总价金额与按单价汇总金额不一致的，以单价金额计算结果为准。</w:t>
      </w:r>
    </w:p>
    <w:p w14:paraId="6AA2ED0D">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同时出现两种以上不一致的，按照前款规定的顺序修正。修正后的报价经投标人加盖公章后产生约束力，投标人不确认的，其投标无效。</w:t>
      </w:r>
    </w:p>
    <w:p w14:paraId="2223E496">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（十一）采购过程中的异常情况及处理措施</w:t>
      </w:r>
    </w:p>
    <w:p w14:paraId="1675557B">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采购过程中出现以下情形，导致电子交易平台无法正常运行，或者无法保证电子交易的公平、公正和安全时，招标方可中止电子交易活动：</w:t>
      </w:r>
    </w:p>
    <w:p w14:paraId="7F811DB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1.电子交易平台发生故障而无法登录访问的；</w:t>
      </w:r>
    </w:p>
    <w:p w14:paraId="477E3CC7">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2.电子交易平台应用或数据库出现错误，不能进行正常操作的；</w:t>
      </w:r>
    </w:p>
    <w:p w14:paraId="719E5DFA">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3.电子交易平台发现严重安全漏洞，有潜在泄密危险的；</w:t>
      </w:r>
    </w:p>
    <w:p w14:paraId="03E4038B">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4.病毒等情况导致不能进行正常操作的；</w:t>
      </w:r>
    </w:p>
    <w:p w14:paraId="47D2DC6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5.其他无法保证电子交易的公平、公正和安全的情况。</w:t>
      </w:r>
    </w:p>
    <w:p w14:paraId="7B38CFF1">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出现前款规定情形，不影响采购公平、公正性的，招标方可以待上述情形消除后继续组织电子交易活动，也可以决定某些环节以纸质形式进行；影响或可能影响采购公平、公正性的，应当重新组织采购活动。</w:t>
      </w:r>
    </w:p>
    <w:p w14:paraId="0F90AB8F">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三、组织开评标程序及评标委员会的评审程序</w:t>
      </w:r>
    </w:p>
    <w:p w14:paraId="46D6F552">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（一）组建评标委员会</w:t>
      </w:r>
    </w:p>
    <w:p w14:paraId="111742DD">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本项目评标委员会由政府采购评审专家或政府采购评审专家和采购人代表按《中华人民共和国政府采购法》相关要求组成，政府采购评审专家在专家库中依法抽取，评标委员会成员由7人（含）以上奇数组成。</w:t>
      </w:r>
    </w:p>
    <w:p w14:paraId="49609B28">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（二）组织开标程序</w:t>
      </w:r>
    </w:p>
    <w:p w14:paraId="67B068B5">
      <w:pPr>
        <w:spacing w:line="440" w:lineRule="exact"/>
        <w:ind w:firstLine="600" w:firstLineChars="200"/>
        <w:rPr>
          <w:rFonts w:ascii="Times New Roman" w:hAnsi="Times New Roman" w:eastAsia="仿宋_GB2312"/>
          <w:b/>
          <w:bCs/>
          <w:color w:val="auto"/>
          <w:sz w:val="30"/>
        </w:rPr>
      </w:pPr>
      <w:r>
        <w:rPr>
          <w:rFonts w:hint="eastAsia" w:ascii="Times New Roman" w:hAnsi="Times New Roman" w:eastAsia="仿宋_GB2312"/>
          <w:color w:val="auto"/>
          <w:sz w:val="30"/>
        </w:rPr>
        <w:t>招标方将按照招标文件规定的时间、地点和程序组织开标，</w:t>
      </w:r>
      <w:r>
        <w:rPr>
          <w:rFonts w:hint="eastAsia" w:ascii="Times New Roman" w:hAnsi="Times New Roman" w:eastAsia="仿宋_GB2312"/>
          <w:b/>
          <w:bCs/>
          <w:color w:val="auto"/>
          <w:sz w:val="30"/>
        </w:rPr>
        <w:t>各投标人授权代表及相关人员均应当准时在线参加</w:t>
      </w:r>
      <w:r>
        <w:rPr>
          <w:rFonts w:hint="eastAsia" w:ascii="Times New Roman" w:hAnsi="Times New Roman" w:eastAsia="仿宋_GB2312"/>
          <w:color w:val="auto"/>
          <w:sz w:val="30"/>
        </w:rPr>
        <w:t>，无关人员不得进入开标现场。</w:t>
      </w:r>
      <w:r>
        <w:rPr>
          <w:rFonts w:hint="eastAsia" w:ascii="Times New Roman" w:hAnsi="Times New Roman" w:eastAsia="仿宋_GB2312"/>
          <w:b/>
          <w:bCs/>
          <w:color w:val="auto"/>
          <w:sz w:val="30"/>
        </w:rPr>
        <w:t>投标人如未准时在线参加的，事后不得对采购相关人员、开标过程和开标结果提出异议。</w:t>
      </w:r>
    </w:p>
    <w:p w14:paraId="0DEFC4D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1.落实工作场地、设施，检查录音录像采集设备运行情况，验证电子交易平台是否能正常登录。</w:t>
      </w:r>
    </w:p>
    <w:p w14:paraId="74152C82">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2.开标会由招标方主持，主持人介绍开标现场的人员情况，宣读递交投标文件的供应商名单、开标纪律、应当回避的情形等注意事项。</w:t>
      </w:r>
    </w:p>
    <w:p w14:paraId="6762427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3.投标截止时，电子交易平台自动提取所有电子投标文件。招标方点击[开始解密]按钮后，投标人可以在线解密，解密时限为30分钟。</w:t>
      </w:r>
    </w:p>
    <w:p w14:paraId="33E5491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4.投标人应当在解密时限内完成解密，如所有投标人的电子投标文件都已经解密完成的，则电子交易平台自动结束解密。如有任一投标人未解密，电子交易平台会在解密时限截止时自动结束解密。</w:t>
      </w:r>
    </w:p>
    <w:p w14:paraId="414EA35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解密时限内未完成解密且按规定提供了备份投标文件的，招标方将拆封其备份投标文件，并导入电子交易平台。</w:t>
      </w:r>
    </w:p>
    <w:p w14:paraId="019973D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5.资信及商务、技术评审结束后，主持人通过电子交易平台宣告资信及商务、技术评审无效供应商名称及理由，有效供应商的资信及商务、技术得分情况。</w:t>
      </w:r>
    </w:p>
    <w:p w14:paraId="28A86F05">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6</w:t>
      </w:r>
      <w:r>
        <w:rPr>
          <w:rFonts w:hint="eastAsia" w:ascii="Times New Roman" w:hAnsi="Times New Roman" w:eastAsia="仿宋_GB2312"/>
          <w:color w:val="auto"/>
          <w:sz w:val="30"/>
        </w:rPr>
        <w:t>.招标方在电子交易平台开启供应商报价文件，投标人对报价信息进行确认。投标人对报价信息不予确认的不影响后续评标过程。</w:t>
      </w:r>
    </w:p>
    <w:p w14:paraId="53E76EDD">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7</w:t>
      </w:r>
      <w:r>
        <w:rPr>
          <w:rFonts w:hint="eastAsia" w:ascii="Times New Roman" w:hAnsi="Times New Roman" w:eastAsia="仿宋_GB2312"/>
          <w:color w:val="auto"/>
          <w:sz w:val="30"/>
        </w:rPr>
        <w:t>.评标委员会经商议认为需要投标人作出必要澄清或说明的，应当通过电子交易平台交换数据电文。评标委员会给予投标人提交澄清或说明的时间为半小时，投标人已经明确表示澄清或说明完毕的除外。</w:t>
      </w:r>
    </w:p>
    <w:p w14:paraId="7B6CAD34">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8</w:t>
      </w:r>
      <w:r>
        <w:rPr>
          <w:rFonts w:hint="eastAsia" w:ascii="Times New Roman" w:hAnsi="Times New Roman" w:eastAsia="仿宋_GB2312"/>
          <w:color w:val="auto"/>
          <w:sz w:val="30"/>
        </w:rPr>
        <w:t>.在电子交易平台上公布评审结果。</w:t>
      </w:r>
    </w:p>
    <w:p w14:paraId="25D1CC97">
      <w:pPr>
        <w:spacing w:line="440" w:lineRule="exact"/>
        <w:ind w:firstLine="602" w:firstLineChars="200"/>
        <w:rPr>
          <w:rFonts w:ascii="Times New Roman" w:hAnsi="Times New Roman" w:eastAsia="仿宋_GB2312"/>
          <w:b/>
          <w:bCs/>
          <w:color w:val="auto"/>
          <w:sz w:val="30"/>
        </w:rPr>
      </w:pPr>
      <w:r>
        <w:rPr>
          <w:rFonts w:hint="eastAsia" w:ascii="Times New Roman" w:hAnsi="Times New Roman" w:eastAsia="仿宋_GB2312"/>
          <w:b/>
          <w:bCs/>
          <w:color w:val="auto"/>
          <w:sz w:val="30"/>
        </w:rPr>
        <w:t>特别说明：政采云公司如对电子化开标及评审程序有调整的，按调整后的程序操作。</w:t>
      </w:r>
    </w:p>
    <w:p w14:paraId="6BB2984F">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（三）组织评标程序</w:t>
      </w:r>
    </w:p>
    <w:p w14:paraId="71F7B020">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招标方将按照招标文件规定的时间、地点和程序组织评标，各评审专家及相关人员应参加评审活动并接受核验、签到，无关人员不得进入评审现场。</w:t>
      </w:r>
    </w:p>
    <w:p w14:paraId="5428FCE1">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w:t>
      </w:r>
      <w:r>
        <w:rPr>
          <w:rFonts w:ascii="Times New Roman" w:hAnsi="Times New Roman" w:eastAsia="仿宋_GB2312"/>
          <w:color w:val="auto"/>
          <w:sz w:val="30"/>
        </w:rPr>
        <w:t>.</w:t>
      </w:r>
      <w:r>
        <w:rPr>
          <w:rFonts w:hint="eastAsia" w:ascii="Times New Roman" w:hAnsi="Times New Roman" w:eastAsia="仿宋_GB2312"/>
          <w:color w:val="auto"/>
          <w:sz w:val="30"/>
        </w:rPr>
        <w:t>开启评标场地录音录像采集设备，并确保正常运行。</w:t>
      </w:r>
    </w:p>
    <w:p w14:paraId="37D48B90">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2</w:t>
      </w:r>
      <w:r>
        <w:rPr>
          <w:rFonts w:hint="eastAsia" w:ascii="Times New Roman" w:hAnsi="Times New Roman" w:eastAsia="仿宋_GB2312"/>
          <w:color w:val="auto"/>
          <w:sz w:val="30"/>
        </w:rPr>
        <w:t>.核验出席评审活动现场的评标委员会各成员和相关监督人员身份，并要求其分别登记、签到，按规定统一收缴、保存其通讯工具，无关人员一律拒绝其进入评审现场。</w:t>
      </w:r>
    </w:p>
    <w:p w14:paraId="7EED8BDF">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3</w:t>
      </w:r>
      <w:r>
        <w:rPr>
          <w:rFonts w:hint="eastAsia" w:ascii="Times New Roman" w:hAnsi="Times New Roman" w:eastAsia="仿宋_GB2312"/>
          <w:color w:val="auto"/>
          <w:sz w:val="30"/>
        </w:rPr>
        <w:t>.介绍评审现场的人员情况，宣布评审工作纪律，告知评审人员应当回避情形；组织推选组长。</w:t>
      </w:r>
    </w:p>
    <w:p w14:paraId="42015F9A">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4</w:t>
      </w:r>
      <w:r>
        <w:rPr>
          <w:rFonts w:hint="eastAsia" w:ascii="Times New Roman" w:hAnsi="Times New Roman" w:eastAsia="仿宋_GB2312"/>
          <w:color w:val="auto"/>
          <w:sz w:val="30"/>
        </w:rPr>
        <w:t>.宣读提交投标文件的供应商名单，组织评标委员会各位成员签订《政府采购评审人员廉洁自律承诺书》。</w:t>
      </w:r>
    </w:p>
    <w:p w14:paraId="40D4D178">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5</w:t>
      </w:r>
      <w:r>
        <w:rPr>
          <w:rFonts w:hint="eastAsia" w:ascii="Times New Roman" w:hAnsi="Times New Roman" w:eastAsia="仿宋_GB2312"/>
          <w:color w:val="auto"/>
          <w:sz w:val="30"/>
        </w:rPr>
        <w:t>.采购人可以在评标前说明项目背景和采购需求，说明内容不得含有歧视性、倾向性意见，不得超出招标文件所述范围。说明应当提交书面材料，并随采购文件一并存档。</w:t>
      </w:r>
    </w:p>
    <w:p w14:paraId="10E43E70">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6</w:t>
      </w:r>
      <w:r>
        <w:rPr>
          <w:rFonts w:hint="eastAsia" w:ascii="Times New Roman" w:hAnsi="Times New Roman" w:eastAsia="仿宋_GB2312"/>
          <w:color w:val="auto"/>
          <w:sz w:val="30"/>
        </w:rPr>
        <w:t>.根据需要简要介绍招标文件（含补充文件）制定及质疑答复情况、按书面陈述项目基本情况及评审工作需注意事项等，让评审专家尽快知悉和了解所评审项目的采购需求、评审依据、评审标准、工作程序等；提醒评标委员会对客观评审项目应统一评审依据和评审标准，对主观评审项目应确定大致的评审要求和评审尺度；对评审人员提出的有关招标文件、投标文件的问题进行必要的说明、解释或讨论。</w:t>
      </w:r>
    </w:p>
    <w:p w14:paraId="368B3D1C">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7</w:t>
      </w:r>
      <w:r>
        <w:rPr>
          <w:rFonts w:hint="eastAsia" w:ascii="Times New Roman" w:hAnsi="Times New Roman" w:eastAsia="仿宋_GB2312"/>
          <w:color w:val="auto"/>
          <w:sz w:val="30"/>
        </w:rPr>
        <w:t>.采购人代表对投标人资格文件进行审查并以开标当日为准对投标人“信用中国”网站（www.creditchina.gov.cn）、中国政府采购网（www.ccgp.gov.cn）信用记录情况进行核实，资格不符合的，应组织相关投标人代表进行陈述、澄清或申辩。</w:t>
      </w:r>
    </w:p>
    <w:p w14:paraId="0F1F7345">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8</w:t>
      </w:r>
      <w:r>
        <w:rPr>
          <w:rFonts w:hint="eastAsia" w:ascii="Times New Roman" w:hAnsi="Times New Roman" w:eastAsia="仿宋_GB2312"/>
          <w:color w:val="auto"/>
          <w:sz w:val="30"/>
        </w:rPr>
        <w:t>.评标委员会组长组织评审人员独立评审。评标委员会对拟认定为投标文件无效、供应商资格不符合的，应组织相关供应商代表进行陈述、澄清或申辩；招标方可协助评标委员会组长对打分结果进行校对、核对并汇总统计；对明显畸高、畸低的评分（其总评分偏离平均分30%以上的），评标委员会组长应提醒相关评审人员进行复核或书面说明理由，评审人员拒绝说明的，由现场监督员据实记录；评审人员的评审、修改记录应保留原件，随项目其他资料一并存档。</w:t>
      </w:r>
    </w:p>
    <w:p w14:paraId="05EFF1D9">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9</w:t>
      </w:r>
      <w:r>
        <w:rPr>
          <w:rFonts w:hint="eastAsia" w:ascii="Times New Roman" w:hAnsi="Times New Roman" w:eastAsia="仿宋_GB2312"/>
          <w:color w:val="auto"/>
          <w:sz w:val="30"/>
        </w:rPr>
        <w:t>.做好评审现场相关记录，协助评标委员会组长做好评审报告起草、有关内容电脑文字录入等工作，并要求评标委员会各成员签字确认。</w:t>
      </w:r>
    </w:p>
    <w:p w14:paraId="6D232991">
      <w:pPr>
        <w:spacing w:line="440" w:lineRule="exact"/>
        <w:ind w:firstLine="600" w:firstLineChars="200"/>
        <w:rPr>
          <w:rFonts w:ascii="Times New Roman" w:hAnsi="Times New Roman" w:eastAsia="仿宋_GB2312"/>
          <w:color w:val="auto"/>
          <w:sz w:val="30"/>
        </w:rPr>
      </w:pPr>
      <w:r>
        <w:rPr>
          <w:rFonts w:ascii="Times New Roman" w:hAnsi="Times New Roman" w:eastAsia="仿宋_GB2312"/>
          <w:color w:val="auto"/>
          <w:sz w:val="30"/>
        </w:rPr>
        <w:t>10</w:t>
      </w:r>
      <w:r>
        <w:rPr>
          <w:rFonts w:hint="eastAsia" w:ascii="Times New Roman" w:hAnsi="Times New Roman" w:eastAsia="仿宋_GB2312"/>
          <w:color w:val="auto"/>
          <w:sz w:val="30"/>
        </w:rPr>
        <w:t>.评审结束后，招标方应对评标委员会各成员的专业水平、职业道德、遵纪守法等情况进行评价；同时按规定向评审专家发放评审费，并交还评审人员及其他现场相关人员的通讯工具。</w:t>
      </w:r>
    </w:p>
    <w:p w14:paraId="17DE8333">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11.招标方将在《中标公告》中，公开评标委员会对每个投标人的《评分明细》以及《得分汇总表》情况。</w:t>
      </w:r>
    </w:p>
    <w:p w14:paraId="76EC8567">
      <w:pPr>
        <w:spacing w:line="440" w:lineRule="exac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（四）评标委员会评审程序</w:t>
      </w:r>
    </w:p>
    <w:p w14:paraId="0A65018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1.在评审专家中推选评标委员会组长。</w:t>
      </w:r>
    </w:p>
    <w:p w14:paraId="5829A4A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2.评标委员会组长召集成员认真阅读招标文件以及相关补充、质疑、答复文件、项目书面说明等材料，熟悉采购项目的基本概况，采购项目的质量要求、数量、主要技术标准或服务需求，采购合同主要条款，投标文件无效情形，评审方法、评审依据、评审标准等。</w:t>
      </w:r>
    </w:p>
    <w:p w14:paraId="20BBA76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3.评审人员对各供应商投标文件的有效性、完整性和响应程度进行审查，确定是否对招标文件作出实质性响应。</w:t>
      </w:r>
    </w:p>
    <w:p w14:paraId="0809D8A4">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4.评审人员按招标文件规定的评审方法和评审标准，依法独立对供应商投标文件进行评估、比较，并给予评价或打分，不受任何单位和个人的干预。</w:t>
      </w:r>
    </w:p>
    <w:p w14:paraId="3BE5271C">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5.评审人员对各供应商投标文件非实质性内容有疑议或异议，或者审查发现明显的文字或计算错误等，及时向评标委员会组长提出。经评标委员会经商议认为需要供应商作出必要澄清或说明的，通知投标人以书面形式（通过电子交易平台交换数据电文）作出澄清或说明。澄清或说明有关的数据电文应作为政府采购项目档案归档留存。授权代表未按时确认或拒绝澄清说明或澄清说明的内容改变了投标文件的实质性内容的，评标委员会有权对该投标文件作出不利于投标人的评判。</w:t>
      </w:r>
    </w:p>
    <w:p w14:paraId="488791EE">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6.评审人员需对招标方工作人员唱票或统计的评审结果进行确认，现场监督员应对评审结果签署监督意见。如发现分值汇总计算错误、分项评分超出评分标准范围、客观评分不一致以及存在评分畸高、畸低情形的，应由相关人员当场改正或作出说明；拒不改正又不作说明的，由现场监督员如实记载后存入项目档案资料。</w:t>
      </w:r>
    </w:p>
    <w:p w14:paraId="6C15EB3D">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7.评标委员会根据评审汇总情况和招标文件规定确定中标候选供应商排序名单。</w:t>
      </w:r>
    </w:p>
    <w:p w14:paraId="23C2D16F">
      <w:pPr>
        <w:spacing w:line="440" w:lineRule="exact"/>
        <w:ind w:firstLine="600" w:firstLineChars="200"/>
        <w:rPr>
          <w:rFonts w:ascii="Times New Roman" w:hAnsi="Times New Roman" w:eastAsia="仿宋_GB2312"/>
          <w:color w:val="auto"/>
          <w:sz w:val="30"/>
        </w:rPr>
      </w:pPr>
      <w:r>
        <w:rPr>
          <w:rFonts w:hint="eastAsia" w:ascii="Times New Roman" w:hAnsi="Times New Roman" w:eastAsia="仿宋_GB2312"/>
          <w:color w:val="auto"/>
          <w:sz w:val="30"/>
        </w:rPr>
        <w:t>8.起草评审报告，所有评审人员须在评审报告上签字确认。</w:t>
      </w:r>
    </w:p>
    <w:p w14:paraId="426E2A36">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四、评审原则</w:t>
      </w:r>
    </w:p>
    <w:p w14:paraId="15D678A6">
      <w:pPr>
        <w:snapToGrid w:val="0"/>
        <w:spacing w:line="440" w:lineRule="exact"/>
        <w:ind w:firstLine="590" w:firstLineChars="196"/>
        <w:rPr>
          <w:rFonts w:ascii="仿宋_GB2312" w:hAnsi="仿宋" w:eastAsia="仿宋_GB2312"/>
          <w:bCs/>
          <w:color w:val="auto"/>
          <w:kern w:val="0"/>
          <w:sz w:val="30"/>
          <w:szCs w:val="30"/>
        </w:rPr>
      </w:pPr>
      <w:r>
        <w:rPr>
          <w:rFonts w:hint="eastAsia" w:eastAsia="仿宋_GB2312" w:cs="Arial"/>
          <w:b/>
          <w:bCs/>
          <w:color w:val="auto"/>
          <w:sz w:val="30"/>
          <w:szCs w:val="30"/>
        </w:rPr>
        <w:t>（一）</w:t>
      </w:r>
      <w:r>
        <w:rPr>
          <w:rFonts w:hint="eastAsia" w:ascii="仿宋_GB2312" w:hAnsi="仿宋" w:eastAsia="仿宋_GB2312"/>
          <w:bCs/>
          <w:color w:val="auto"/>
          <w:kern w:val="0"/>
          <w:sz w:val="30"/>
          <w:szCs w:val="30"/>
        </w:rPr>
        <w:t>评标委员会必须公平、公正、客观，不带任何倾向性和启发性；不得向外界透露任何与评标有关的内容；评标委员会及有关工作人员不得私下与投标人接触；任何单位和个人不得干扰、影响评标的正常进行。</w:t>
      </w:r>
    </w:p>
    <w:p w14:paraId="1A1DF608">
      <w:pPr>
        <w:snapToGrid w:val="0"/>
        <w:spacing w:line="440" w:lineRule="exact"/>
        <w:ind w:firstLine="590" w:firstLineChars="196"/>
        <w:rPr>
          <w:rFonts w:ascii="仿宋_GB2312" w:hAnsi="仿宋" w:eastAsia="仿宋_GB2312"/>
          <w:bCs/>
          <w:color w:val="auto"/>
          <w:kern w:val="0"/>
          <w:sz w:val="30"/>
          <w:szCs w:val="30"/>
        </w:rPr>
      </w:pPr>
      <w:r>
        <w:rPr>
          <w:rFonts w:hint="eastAsia" w:eastAsia="仿宋_GB2312" w:cs="Arial"/>
          <w:b/>
          <w:bCs/>
          <w:color w:val="auto"/>
          <w:sz w:val="30"/>
          <w:szCs w:val="30"/>
        </w:rPr>
        <w:t>（二）</w:t>
      </w:r>
      <w:r>
        <w:rPr>
          <w:rFonts w:hint="eastAsia" w:ascii="仿宋_GB2312" w:hAnsi="仿宋" w:eastAsia="仿宋_GB2312"/>
          <w:bCs/>
          <w:color w:val="auto"/>
          <w:kern w:val="0"/>
          <w:sz w:val="30"/>
          <w:szCs w:val="30"/>
        </w:rPr>
        <w:t>评审人员因回避、临时缺席或健康原因等特殊情况不能继续参加评审工作的，应按规定更换评审人员，被更换的评审人员之前所作出的评审意见不再予以采纳，由更换后的评审人员重新进行评审。无法及时更换专家的，要立即停止评审工作、封存评审资料，并告知供应商择期重新评审的时间和地点。</w:t>
      </w:r>
    </w:p>
    <w:p w14:paraId="71A29FA8">
      <w:pPr>
        <w:snapToGrid w:val="0"/>
        <w:spacing w:line="440" w:lineRule="exact"/>
        <w:ind w:firstLine="590" w:firstLineChars="196"/>
        <w:rPr>
          <w:rFonts w:ascii="仿宋_GB2312" w:hAnsi="仿宋" w:eastAsia="仿宋_GB2312"/>
          <w:bCs/>
          <w:color w:val="auto"/>
          <w:kern w:val="0"/>
          <w:sz w:val="30"/>
          <w:szCs w:val="30"/>
        </w:rPr>
      </w:pPr>
      <w:r>
        <w:rPr>
          <w:rFonts w:hint="eastAsia" w:eastAsia="仿宋_GB2312" w:cs="Arial"/>
          <w:b/>
          <w:bCs/>
          <w:color w:val="auto"/>
          <w:sz w:val="30"/>
          <w:szCs w:val="30"/>
        </w:rPr>
        <w:t>（三）</w:t>
      </w:r>
      <w:r>
        <w:rPr>
          <w:rFonts w:hint="eastAsia" w:ascii="仿宋_GB2312" w:hAnsi="仿宋" w:eastAsia="仿宋_GB2312"/>
          <w:bCs/>
          <w:color w:val="auto"/>
          <w:kern w:val="0"/>
          <w:sz w:val="30"/>
          <w:szCs w:val="30"/>
        </w:rPr>
        <w:t>评审人员对有关招标文件、投标文件、样品、现场演示（如有）的说明、解释、要求、标准存在不同意见的，持不同意见的评审人员及其意见或理由应予以完整记录，并在评审过程中按照少数服从多数的原则表决执行。对招标文件本身不明确或存在歧义、矛盾的内容，应作对供应商而非采购人有利的解释；对因招标文件中有关产品技术参数需求表述不清导致供应商实质性响应不一致时，应终止评审，重新组织采购。评审人员拒绝在评审报告中签字又不说明其不同意见或理由的，由现场监督员记录在案后，可视为同意评审结果。</w:t>
      </w:r>
    </w:p>
    <w:p w14:paraId="700D29FE">
      <w:pPr>
        <w:spacing w:line="440" w:lineRule="exact"/>
        <w:ind w:firstLine="590" w:firstLineChars="196"/>
        <w:rPr>
          <w:rFonts w:ascii="仿宋_GB2312" w:hAnsi="仿宋" w:eastAsia="仿宋_GB2312"/>
          <w:bCs/>
          <w:color w:val="auto"/>
          <w:kern w:val="0"/>
          <w:sz w:val="30"/>
          <w:szCs w:val="30"/>
        </w:rPr>
      </w:pPr>
      <w:r>
        <w:rPr>
          <w:rFonts w:hint="eastAsia" w:eastAsia="仿宋_GB2312" w:cs="Arial"/>
          <w:b/>
          <w:bCs/>
          <w:color w:val="auto"/>
          <w:sz w:val="30"/>
          <w:szCs w:val="30"/>
        </w:rPr>
        <w:t>（四）</w:t>
      </w:r>
      <w:r>
        <w:rPr>
          <w:rFonts w:hint="eastAsia" w:ascii="仿宋_GB2312" w:hAnsi="仿宋" w:eastAsia="仿宋_GB2312"/>
          <w:bCs/>
          <w:color w:val="auto"/>
          <w:kern w:val="0"/>
          <w:sz w:val="30"/>
          <w:szCs w:val="30"/>
        </w:rPr>
        <w:t>财政部令第87号《政府采购货物和服务招标投标管理办法》第三十一条规定：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E69AD2">
      <w:pPr>
        <w:spacing w:line="440" w:lineRule="exact"/>
        <w:ind w:firstLine="588" w:firstLineChars="196"/>
        <w:rPr>
          <w:rFonts w:ascii="仿宋_GB2312" w:hAnsi="仿宋" w:eastAsia="仿宋_GB2312"/>
          <w:bCs/>
          <w:color w:val="auto"/>
          <w:kern w:val="0"/>
          <w:sz w:val="30"/>
          <w:szCs w:val="30"/>
        </w:rPr>
      </w:pPr>
      <w:r>
        <w:rPr>
          <w:rFonts w:hint="eastAsia" w:ascii="仿宋_GB2312" w:hAnsi="仿宋" w:eastAsia="仿宋_GB2312"/>
          <w:bCs/>
          <w:color w:val="auto"/>
          <w:kern w:val="0"/>
          <w:sz w:val="30"/>
          <w:szCs w:val="30"/>
        </w:rPr>
        <w:t>非单一产品采购项目，采购人应当根据采购项目技术构成、产品价格比重等合理确定核心产品，并在招标文件中载明。多家投标人提供的核心产品品牌相同的，按前款规定处理。</w:t>
      </w:r>
    </w:p>
    <w:p w14:paraId="4577A47A">
      <w:pPr>
        <w:spacing w:line="440" w:lineRule="exact"/>
        <w:ind w:firstLine="590" w:firstLineChars="196"/>
        <w:rPr>
          <w:rFonts w:ascii="仿宋_GB2312" w:hAnsi="仿宋" w:eastAsia="仿宋_GB2312"/>
          <w:bCs/>
          <w:color w:val="auto"/>
          <w:kern w:val="0"/>
          <w:sz w:val="30"/>
          <w:szCs w:val="30"/>
        </w:rPr>
      </w:pPr>
      <w:r>
        <w:rPr>
          <w:rFonts w:hint="eastAsia" w:eastAsia="仿宋_GB2312" w:cs="Arial"/>
          <w:b/>
          <w:bCs/>
          <w:color w:val="auto"/>
          <w:sz w:val="30"/>
          <w:szCs w:val="30"/>
        </w:rPr>
        <w:t>（五）</w:t>
      </w:r>
      <w:r>
        <w:rPr>
          <w:rFonts w:hint="eastAsia" w:ascii="仿宋_GB2312" w:hAnsi="仿宋" w:eastAsia="仿宋_GB2312"/>
          <w:bCs/>
          <w:color w:val="auto"/>
          <w:kern w:val="0"/>
          <w:sz w:val="30"/>
          <w:szCs w:val="30"/>
        </w:rPr>
        <w:t>财政部令第87号《政府采购货物和服务招标投标管理办法》第六十条规定：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DAC46A9">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五、确定中标供应商的原则</w:t>
      </w:r>
    </w:p>
    <w:p w14:paraId="7D2560DC">
      <w:pPr>
        <w:snapToGrid w:val="0"/>
        <w:spacing w:line="440" w:lineRule="exact"/>
        <w:ind w:firstLine="602" w:firstLineChars="200"/>
        <w:rPr>
          <w:rFonts w:ascii="仿宋_GB2312" w:hAnsi="仿宋" w:eastAsia="仿宋_GB2312"/>
          <w:color w:val="auto"/>
          <w:kern w:val="0"/>
          <w:sz w:val="30"/>
          <w:szCs w:val="30"/>
        </w:rPr>
      </w:pPr>
      <w:r>
        <w:rPr>
          <w:rFonts w:hint="eastAsia" w:eastAsia="仿宋_GB2312" w:cs="Arial"/>
          <w:b/>
          <w:bCs/>
          <w:color w:val="auto"/>
          <w:sz w:val="30"/>
          <w:szCs w:val="30"/>
        </w:rPr>
        <w:t>（一）</w:t>
      </w:r>
      <w:r>
        <w:rPr>
          <w:rFonts w:hint="eastAsia" w:ascii="仿宋_GB2312" w:hAnsi="仿宋" w:eastAsia="仿宋_GB2312"/>
          <w:color w:val="auto"/>
          <w:kern w:val="0"/>
          <w:sz w:val="30"/>
          <w:szCs w:val="30"/>
        </w:rPr>
        <w:t>项目由评标委员会根据第三章《评标办法与评分标准》规定提出中标候选人排序。</w:t>
      </w:r>
    </w:p>
    <w:p w14:paraId="4C549D75">
      <w:pPr>
        <w:spacing w:line="440" w:lineRule="exact"/>
        <w:ind w:firstLine="602" w:firstLineChars="200"/>
        <w:rPr>
          <w:rFonts w:ascii="仿宋_GB2312" w:hAnsi="仿宋" w:eastAsia="仿宋_GB2312"/>
          <w:b/>
          <w:bCs/>
          <w:color w:val="auto"/>
          <w:kern w:val="0"/>
          <w:sz w:val="30"/>
          <w:szCs w:val="30"/>
          <w:u w:val="single"/>
        </w:rPr>
      </w:pPr>
      <w:r>
        <w:rPr>
          <w:rFonts w:hint="eastAsia" w:eastAsia="仿宋_GB2312" w:cs="Arial"/>
          <w:b/>
          <w:bCs/>
          <w:color w:val="auto"/>
          <w:sz w:val="30"/>
          <w:szCs w:val="30"/>
          <w:u w:val="single"/>
        </w:rPr>
        <w:t>（二）采购人在评审结束后、确认采购结果前，应及时通过网站查询、原件核对等方式对中标供应商在投标文件中涉及客观分评审内容的检测报告、认证证书等资料的真实性进行复核，复核情况详细记录，并纳入采购档案。发现供应商提供虚假材料的，将书面报告同级财政部门。中标供应商须在接到通知后2个工作日内将有关资料原件送达采购人指定地点。</w:t>
      </w:r>
    </w:p>
    <w:p w14:paraId="6CA10EE0">
      <w:pPr>
        <w:snapToGrid w:val="0"/>
        <w:spacing w:line="440" w:lineRule="exact"/>
        <w:ind w:firstLine="600" w:firstLineChars="200"/>
        <w:rPr>
          <w:rFonts w:ascii="仿宋_GB2312" w:hAnsi="仿宋" w:eastAsia="仿宋_GB2312"/>
          <w:color w:val="auto"/>
          <w:kern w:val="0"/>
          <w:sz w:val="30"/>
          <w:szCs w:val="30"/>
        </w:rPr>
      </w:pPr>
      <w:r>
        <w:rPr>
          <w:rFonts w:hint="eastAsia" w:ascii="仿宋_GB2312" w:hAnsi="仿宋" w:eastAsia="仿宋_GB2312"/>
          <w:color w:val="auto"/>
          <w:kern w:val="0"/>
          <w:sz w:val="30"/>
          <w:szCs w:val="30"/>
        </w:rPr>
        <w:t>（三）采购人应当自收到评标报告之日起5个工作日内，评标委员会按得分由高到低顺序推荐3名中标候选供应商，在评标报告确定的中标候选人名单中按顺序确定中标人，或者采购人委托评标委员会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在采购结果确认环节，中标候选人撤销投标文件不能成为采购人不确认采购结果的正当理由。</w:t>
      </w:r>
    </w:p>
    <w:p w14:paraId="239AF41C">
      <w:pPr>
        <w:snapToGrid w:val="0"/>
        <w:spacing w:line="440" w:lineRule="exact"/>
        <w:ind w:firstLine="600" w:firstLineChars="200"/>
        <w:rPr>
          <w:rFonts w:ascii="仿宋_GB2312" w:hAnsi="仿宋" w:eastAsia="仿宋_GB2312"/>
          <w:color w:val="auto"/>
          <w:kern w:val="0"/>
          <w:sz w:val="30"/>
          <w:szCs w:val="30"/>
        </w:rPr>
      </w:pPr>
      <w:r>
        <w:rPr>
          <w:rFonts w:hint="eastAsia" w:ascii="仿宋_GB2312" w:hAnsi="仿宋" w:eastAsia="仿宋_GB2312"/>
          <w:color w:val="auto"/>
          <w:kern w:val="0"/>
          <w:sz w:val="30"/>
          <w:szCs w:val="30"/>
        </w:rPr>
        <w:t>（四）若排名第一的中标候选人放弃中标、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14:paraId="14DDCD67">
      <w:pPr>
        <w:spacing w:line="440" w:lineRule="exact"/>
        <w:ind w:firstLine="600" w:firstLineChars="200"/>
        <w:rPr>
          <w:rFonts w:ascii="仿宋_GB2312" w:hAnsi="仿宋" w:eastAsia="仿宋_GB2312"/>
          <w:color w:val="auto"/>
          <w:kern w:val="0"/>
          <w:sz w:val="30"/>
          <w:szCs w:val="30"/>
        </w:rPr>
      </w:pPr>
      <w:r>
        <w:rPr>
          <w:rFonts w:hint="eastAsia" w:ascii="仿宋_GB2312" w:hAnsi="仿宋" w:eastAsia="仿宋_GB2312"/>
          <w:color w:val="auto"/>
          <w:kern w:val="0"/>
          <w:sz w:val="30"/>
          <w:szCs w:val="30"/>
        </w:rPr>
        <w:t>（五）采购结果经采购人确认后，招标方将于2个工作日内在浙江省政府采购网上发布中标公告</w:t>
      </w:r>
      <w:r>
        <w:rPr>
          <w:rFonts w:hint="eastAsia" w:ascii="仿宋_GB2312" w:hAnsi="仿宋" w:eastAsia="仿宋_GB2312"/>
          <w:b/>
          <w:bCs/>
          <w:color w:val="auto"/>
          <w:kern w:val="0"/>
          <w:sz w:val="30"/>
          <w:szCs w:val="30"/>
        </w:rPr>
        <w:t>【中标人为中小企业的，其声明函将随中标结果同时公告；中标供应商提供的产品为本国产品的（不适用本国产品标准的货物类产品除外），其《关于符合本国产品标准的声明函》或财政部会同有关部门规定的有关证明文件、《关于符合本国产品标准的成本占比的承诺函》（如有）将随中标结果同时公告】</w:t>
      </w:r>
      <w:r>
        <w:rPr>
          <w:rFonts w:hint="eastAsia" w:ascii="仿宋_GB2312" w:hAnsi="仿宋" w:eastAsia="仿宋_GB2312"/>
          <w:color w:val="auto"/>
          <w:kern w:val="0"/>
          <w:sz w:val="30"/>
          <w:szCs w:val="30"/>
        </w:rPr>
        <w:t>，并向中标人签发书面《中标通知书》，</w:t>
      </w:r>
      <w:r>
        <w:rPr>
          <w:rFonts w:hint="eastAsia" w:ascii="仿宋_GB2312" w:eastAsia="仿宋_GB2312"/>
          <w:color w:val="auto"/>
          <w:sz w:val="30"/>
          <w:szCs w:val="30"/>
        </w:rPr>
        <w:t>根据获取采购文件时预留地址寄送或以其他方式提供中标通知书。</w:t>
      </w:r>
    </w:p>
    <w:p w14:paraId="734FB9C1">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六、合同授予</w:t>
      </w:r>
    </w:p>
    <w:p w14:paraId="6CEBDBBA">
      <w:pPr>
        <w:snapToGrid w:val="0"/>
        <w:spacing w:line="440" w:lineRule="exact"/>
        <w:ind w:firstLine="602" w:firstLineChars="200"/>
        <w:contextualSpacing/>
        <w:rPr>
          <w:rFonts w:ascii="仿宋_GB2312" w:hAnsi="仿宋" w:eastAsia="仿宋_GB2312"/>
          <w:color w:val="auto"/>
          <w:sz w:val="30"/>
          <w:szCs w:val="30"/>
        </w:rPr>
      </w:pPr>
      <w:r>
        <w:rPr>
          <w:rFonts w:hint="eastAsia" w:eastAsia="仿宋_GB2312" w:cs="Arial"/>
          <w:b/>
          <w:bCs/>
          <w:color w:val="auto"/>
          <w:sz w:val="30"/>
          <w:szCs w:val="30"/>
        </w:rPr>
        <w:t>（一）</w:t>
      </w:r>
      <w:r>
        <w:rPr>
          <w:rFonts w:hint="eastAsia" w:ascii="仿宋_GB2312" w:hAnsi="仿宋" w:eastAsia="仿宋_GB2312"/>
          <w:b/>
          <w:bCs/>
          <w:color w:val="auto"/>
          <w:sz w:val="30"/>
          <w:szCs w:val="30"/>
        </w:rPr>
        <w:t>采购人与中标人应当在《中标通知书》发出之日起</w:t>
      </w:r>
      <w:r>
        <w:rPr>
          <w:rFonts w:ascii="仿宋_GB2312" w:hAnsi="仿宋" w:eastAsia="仿宋_GB2312"/>
          <w:b/>
          <w:bCs/>
          <w:color w:val="auto"/>
          <w:sz w:val="30"/>
          <w:szCs w:val="30"/>
        </w:rPr>
        <w:t>30</w:t>
      </w:r>
      <w:r>
        <w:rPr>
          <w:rFonts w:hint="eastAsia" w:ascii="仿宋_GB2312" w:hAnsi="仿宋" w:eastAsia="仿宋_GB2312"/>
          <w:b/>
          <w:bCs/>
          <w:color w:val="auto"/>
          <w:sz w:val="30"/>
          <w:szCs w:val="30"/>
        </w:rPr>
        <w:t>日内，按照政府采购文件确定的事项签订政府采购合同。</w:t>
      </w:r>
      <w:r>
        <w:rPr>
          <w:rFonts w:hint="eastAsia" w:ascii="仿宋_GB2312" w:hAnsi="仿宋" w:eastAsia="仿宋_GB2312"/>
          <w:color w:val="auto"/>
          <w:sz w:val="30"/>
          <w:szCs w:val="30"/>
        </w:rPr>
        <w:t>政府采购合同不得对政府采购文件作出实质性修改。</w:t>
      </w:r>
    </w:p>
    <w:p w14:paraId="6275E476">
      <w:pPr>
        <w:snapToGrid w:val="0"/>
        <w:spacing w:line="440" w:lineRule="exact"/>
        <w:ind w:firstLine="602" w:firstLineChars="200"/>
        <w:contextualSpacing/>
        <w:rPr>
          <w:rFonts w:ascii="仿宋_GB2312" w:hAnsi="仿宋" w:eastAsia="仿宋_GB2312"/>
          <w:color w:val="auto"/>
          <w:sz w:val="30"/>
          <w:szCs w:val="30"/>
        </w:rPr>
      </w:pPr>
      <w:r>
        <w:rPr>
          <w:rFonts w:hint="eastAsia" w:eastAsia="仿宋_GB2312" w:cs="Arial"/>
          <w:b/>
          <w:bCs/>
          <w:color w:val="auto"/>
          <w:sz w:val="30"/>
          <w:szCs w:val="30"/>
        </w:rPr>
        <w:t>（二）</w:t>
      </w:r>
      <w:r>
        <w:rPr>
          <w:rFonts w:hint="eastAsia" w:ascii="仿宋_GB2312" w:hAnsi="仿宋" w:eastAsia="仿宋_GB2312"/>
          <w:color w:val="auto"/>
          <w:sz w:val="30"/>
          <w:szCs w:val="30"/>
        </w:rPr>
        <w:t>采购人不得向中标人提出任何不合理的要求作为签订政府采购合同的条件，不得与中标人签订背离合同实质性内容的其他协议。</w:t>
      </w:r>
    </w:p>
    <w:p w14:paraId="2C866260">
      <w:pPr>
        <w:snapToGrid w:val="0"/>
        <w:spacing w:line="440" w:lineRule="exact"/>
        <w:ind w:firstLine="602" w:firstLineChars="200"/>
        <w:contextualSpacing/>
        <w:rPr>
          <w:rFonts w:ascii="仿宋_GB2312" w:hAnsi="仿宋" w:eastAsia="仿宋_GB2312"/>
          <w:color w:val="auto"/>
          <w:sz w:val="30"/>
          <w:szCs w:val="30"/>
        </w:rPr>
      </w:pPr>
      <w:r>
        <w:rPr>
          <w:rFonts w:hint="eastAsia" w:eastAsia="仿宋_GB2312" w:cs="Arial"/>
          <w:b/>
          <w:bCs/>
          <w:color w:val="auto"/>
          <w:sz w:val="30"/>
          <w:szCs w:val="30"/>
        </w:rPr>
        <w:t>（三）</w:t>
      </w:r>
      <w:r>
        <w:rPr>
          <w:rFonts w:hint="eastAsia" w:ascii="仿宋_GB2312" w:hAnsi="仿宋" w:eastAsia="仿宋_GB2312"/>
          <w:color w:val="auto"/>
          <w:sz w:val="30"/>
          <w:szCs w:val="30"/>
        </w:rPr>
        <w:t>中标人不得向他人转让中标项目，也不得将中标项目肢解后分别向他人转让。采购人不得同意中标人将中标项目全部或者部分向他人转让。</w:t>
      </w:r>
    </w:p>
    <w:p w14:paraId="379BFB4B">
      <w:pPr>
        <w:spacing w:line="440" w:lineRule="exact"/>
        <w:ind w:firstLine="602" w:firstLineChars="200"/>
        <w:contextualSpacing/>
        <w:rPr>
          <w:rFonts w:ascii="仿宋_GB2312" w:hAnsi="仿宋" w:eastAsia="仿宋_GB2312"/>
          <w:color w:val="auto"/>
          <w:sz w:val="30"/>
          <w:szCs w:val="30"/>
        </w:rPr>
      </w:pPr>
      <w:r>
        <w:rPr>
          <w:rFonts w:hint="eastAsia" w:eastAsia="仿宋_GB2312" w:cs="Arial"/>
          <w:b/>
          <w:bCs/>
          <w:color w:val="auto"/>
          <w:sz w:val="30"/>
          <w:szCs w:val="30"/>
        </w:rPr>
        <w:t>（四）</w:t>
      </w:r>
      <w:r>
        <w:rPr>
          <w:rFonts w:hint="eastAsia" w:ascii="仿宋_GB2312" w:hAnsi="仿宋" w:eastAsia="仿宋_GB2312"/>
          <w:color w:val="auto"/>
          <w:sz w:val="30"/>
          <w:szCs w:val="30"/>
        </w:rPr>
        <w:t>中标人拖延、拒签合同的,将被取消中标资格。</w:t>
      </w:r>
    </w:p>
    <w:p w14:paraId="4D42D1E8">
      <w:pPr>
        <w:spacing w:line="440" w:lineRule="exact"/>
        <w:ind w:firstLine="602" w:firstLineChars="200"/>
        <w:contextualSpacing/>
        <w:rPr>
          <w:rFonts w:ascii="仿宋_GB2312" w:hAnsi="仿宋" w:eastAsia="仿宋_GB2312"/>
          <w:b/>
          <w:bCs/>
          <w:color w:val="auto"/>
          <w:sz w:val="30"/>
          <w:szCs w:val="30"/>
        </w:rPr>
      </w:pPr>
      <w:r>
        <w:rPr>
          <w:rFonts w:hint="eastAsia" w:eastAsia="仿宋_GB2312" w:cs="Arial"/>
          <w:b/>
          <w:bCs/>
          <w:color w:val="auto"/>
          <w:sz w:val="30"/>
          <w:szCs w:val="30"/>
        </w:rPr>
        <w:t>（五）</w:t>
      </w:r>
      <w:r>
        <w:rPr>
          <w:rFonts w:hint="eastAsia" w:ascii="仿宋_GB2312" w:hAnsi="仿宋" w:eastAsia="仿宋_GB2312"/>
          <w:b/>
          <w:bCs/>
          <w:color w:val="auto"/>
          <w:sz w:val="30"/>
          <w:szCs w:val="30"/>
        </w:rPr>
        <w:t>对于通过预留采购项目、预留专门标项、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E65BFD9">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七、货款的结算</w:t>
      </w:r>
    </w:p>
    <w:p w14:paraId="252E38AB">
      <w:pPr>
        <w:spacing w:line="440" w:lineRule="exact"/>
        <w:ind w:firstLine="602" w:firstLineChars="200"/>
        <w:contextualSpacing/>
        <w:rPr>
          <w:rFonts w:eastAsia="仿宋_GB2312" w:cs="Arial"/>
          <w:b/>
          <w:bCs/>
          <w:color w:val="auto"/>
          <w:sz w:val="30"/>
          <w:szCs w:val="30"/>
        </w:rPr>
      </w:pPr>
      <w:r>
        <w:rPr>
          <w:rFonts w:hint="eastAsia" w:eastAsia="仿宋_GB2312" w:cs="Arial"/>
          <w:b/>
          <w:bCs/>
          <w:color w:val="auto"/>
          <w:sz w:val="30"/>
          <w:szCs w:val="30"/>
        </w:rPr>
        <w:t>货款由采购人按采购文件规定的付款方式自行支付。纳入国库集中支付的，按照国库集中支付有关规定付款。</w:t>
      </w:r>
    </w:p>
    <w:p w14:paraId="1C3D6B9C">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（一）资金支付进度：采购人对于满足合同约定支付条件的，自收到发票后7个工作日内将资金支付到合同约定的供应商账户。迟延支付中小企业款项的，供应商可要求采购人支付逾期利息。</w:t>
      </w:r>
    </w:p>
    <w:p w14:paraId="1ABCB615">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（二）预付款：根据《中华人民共和国中小企业促进法》《保障中小企业款项支付条例》《浙江省财政厅  浙江省机关事务管理局关于进一步加强全省预算单位政府采购工作管理的通知》等相关规范，对预付款支付要求如下：</w:t>
      </w:r>
    </w:p>
    <w:p w14:paraId="220D00B2">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1.对中小企业合同预付款比例原则上不低于合同金额的30％，不高于合同金额的70%；</w:t>
      </w:r>
    </w:p>
    <w:p w14:paraId="5EDB9802">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2.项目分年安排预算的，每年预付款比例不低于项目年度计划支付资金额的30％，不高于年度计划支付资金额的70%；</w:t>
      </w:r>
    </w:p>
    <w:p w14:paraId="0C1538E7">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3.采购项目实施以人工投入为主的，可适当降低预付款比例，但不得低于20%。</w:t>
      </w:r>
    </w:p>
    <w:p w14:paraId="1FB2EA1F">
      <w:pPr>
        <w:spacing w:before="240" w:beforeLines="100" w:line="440" w:lineRule="exact"/>
        <w:ind w:firstLine="602" w:firstLineChars="200"/>
        <w:contextualSpacing/>
        <w:rPr>
          <w:rFonts w:ascii="仿宋_GB2312" w:hAnsi="仿宋" w:eastAsia="仿宋_GB2312"/>
          <w:b/>
          <w:bCs/>
          <w:color w:val="auto"/>
          <w:sz w:val="30"/>
          <w:szCs w:val="30"/>
        </w:rPr>
      </w:pPr>
      <w:r>
        <w:rPr>
          <w:rFonts w:hint="eastAsia" w:ascii="仿宋_GB2312" w:hAnsi="仿宋" w:eastAsia="仿宋_GB2312"/>
          <w:b/>
          <w:bCs/>
          <w:color w:val="auto"/>
          <w:sz w:val="30"/>
          <w:szCs w:val="30"/>
        </w:rPr>
        <w:t>4.对供应商为大型企业的项目或者以人工投入为主且实行按月定期结算支付款项的项目，预付款可低于上述比例或者不约定预付款。</w:t>
      </w:r>
    </w:p>
    <w:p w14:paraId="5493B235">
      <w:pPr>
        <w:spacing w:before="240" w:beforeLines="100" w:line="460" w:lineRule="exact"/>
        <w:ind w:firstLine="602" w:firstLineChars="200"/>
        <w:jc w:val="left"/>
        <w:outlineLvl w:val="0"/>
        <w:rPr>
          <w:rFonts w:ascii="仿宋_GB2312" w:eastAsia="仿宋_GB2312"/>
          <w:color w:val="auto"/>
        </w:rPr>
      </w:pPr>
      <w:bookmarkStart w:id="20" w:name="_Toc1783959097"/>
      <w:r>
        <w:rPr>
          <w:rFonts w:hint="eastAsia" w:ascii="仿宋_GB2312" w:hAnsi="仿宋" w:eastAsia="仿宋_GB2312"/>
          <w:b/>
          <w:bCs/>
          <w:color w:val="auto"/>
          <w:sz w:val="30"/>
          <w:szCs w:val="30"/>
        </w:rPr>
        <w:t>说明：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w:t>
      </w:r>
      <w:r>
        <w:rPr>
          <w:rFonts w:ascii="仿宋_GB2312" w:hAnsi="仿宋" w:eastAsia="仿宋_GB2312"/>
          <w:b/>
          <w:bCs/>
          <w:color w:val="auto"/>
          <w:sz w:val="30"/>
          <w:szCs w:val="30"/>
        </w:rPr>
        <w:cr/>
      </w:r>
      <w:bookmarkEnd w:id="20"/>
      <w:bookmarkStart w:id="21" w:name="_Toc26332"/>
      <w:bookmarkStart w:id="22" w:name="_Toc23734"/>
    </w:p>
    <w:p w14:paraId="7640A139">
      <w:pPr>
        <w:spacing w:before="240" w:beforeLines="100" w:line="460" w:lineRule="exact"/>
        <w:jc w:val="center"/>
        <w:outlineLvl w:val="0"/>
        <w:rPr>
          <w:rFonts w:ascii="仿宋_GB2312" w:eastAsia="仿宋_GB2312"/>
          <w:b/>
          <w:bCs/>
          <w:color w:val="auto"/>
          <w:kern w:val="0"/>
          <w:sz w:val="36"/>
          <w:szCs w:val="36"/>
        </w:rPr>
      </w:pPr>
    </w:p>
    <w:p w14:paraId="12A0BC08">
      <w:pPr>
        <w:jc w:val="left"/>
        <w:rPr>
          <w:rFonts w:ascii="仿宋_GB2312" w:eastAsia="仿宋_GB2312"/>
          <w:b/>
          <w:bCs/>
          <w:color w:val="auto"/>
          <w:kern w:val="0"/>
          <w:sz w:val="36"/>
          <w:szCs w:val="36"/>
        </w:rPr>
      </w:pPr>
      <w:bookmarkStart w:id="23" w:name="_Toc425792908"/>
      <w:r>
        <w:rPr>
          <w:rFonts w:hint="eastAsia" w:ascii="仿宋_GB2312" w:eastAsia="仿宋_GB2312"/>
          <w:b/>
          <w:bCs/>
          <w:color w:val="auto"/>
          <w:kern w:val="0"/>
          <w:sz w:val="36"/>
          <w:szCs w:val="36"/>
        </w:rPr>
        <w:br w:type="page"/>
      </w:r>
    </w:p>
    <w:p w14:paraId="5228ED7E">
      <w:pPr>
        <w:spacing w:before="240" w:beforeLines="100" w:line="460" w:lineRule="exact"/>
        <w:jc w:val="center"/>
        <w:outlineLvl w:val="0"/>
        <w:rPr>
          <w:rFonts w:ascii="仿宋_GB2312" w:eastAsia="仿宋_GB2312"/>
          <w:color w:val="auto"/>
        </w:rPr>
      </w:pPr>
      <w:r>
        <w:rPr>
          <w:rFonts w:hint="eastAsia" w:ascii="仿宋_GB2312" w:eastAsia="仿宋_GB2312"/>
          <w:b/>
          <w:bCs/>
          <w:color w:val="auto"/>
          <w:kern w:val="0"/>
          <w:sz w:val="36"/>
          <w:szCs w:val="36"/>
        </w:rPr>
        <w:t>第三章  评标办法及评分标准</w:t>
      </w:r>
      <w:bookmarkEnd w:id="23"/>
    </w:p>
    <w:p w14:paraId="080850DC">
      <w:pPr>
        <w:spacing w:line="440" w:lineRule="exact"/>
        <w:ind w:firstLine="600" w:firstLineChars="200"/>
        <w:rPr>
          <w:rFonts w:eastAsia="仿宋_GB2312"/>
          <w:color w:val="auto"/>
          <w:sz w:val="30"/>
          <w:szCs w:val="30"/>
        </w:rPr>
      </w:pPr>
      <w:r>
        <w:rPr>
          <w:rFonts w:hint="eastAsia" w:eastAsia="仿宋_GB2312"/>
          <w:color w:val="auto"/>
          <w:sz w:val="30"/>
          <w:szCs w:val="30"/>
        </w:rPr>
        <w:t>根据《中华人民共和国政府采购法》《政府采购货物和服务招标投标管理办法》《中华人民共和国政府采购法实施条例》等有关法律法规，结合本项目的实际需求，制定本办法。</w:t>
      </w:r>
    </w:p>
    <w:p w14:paraId="2EBBAB4F">
      <w:p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一、总则</w:t>
      </w:r>
    </w:p>
    <w:p w14:paraId="35C880B2">
      <w:pPr>
        <w:spacing w:line="440" w:lineRule="exact"/>
        <w:ind w:firstLine="600" w:firstLineChars="200"/>
        <w:rPr>
          <w:rFonts w:eastAsia="仿宋_GB2312"/>
          <w:color w:val="auto"/>
          <w:sz w:val="30"/>
          <w:szCs w:val="30"/>
        </w:rPr>
      </w:pPr>
      <w:r>
        <w:rPr>
          <w:rFonts w:hint="eastAsia" w:eastAsia="仿宋_GB2312"/>
          <w:color w:val="auto"/>
          <w:sz w:val="30"/>
          <w:szCs w:val="30"/>
        </w:rPr>
        <w:t>本项目评标采用综合评分法，总分为100分。合格投标人的评标得分为各项目汇总得分，评标委员会按得分由高到低顺序推荐3名中标候选供应商，中标候选资格按评标得分由高到低顺序排列，得分相同的，按投标报价由低到高顺序排列；得分且投标报价相同的，按技术得分由高到低顺序排列。评分过程中采用四舍五入法，并保留小数2位。采购人按照评标报告推荐的中标候选人顺序确定排名第一的中标候选人为中标人。排名第一的中标候选人放弃中标、因不可抗力不能履行合同、不按照招标文件要求提交履约保证金，或者被查实存在影响中标结果的违法行为等情形，不符合中标条件的，采购人可以按照评标委员会提出的中标候选人名单排序依次确定其他中标候选人为中标人，也可以重新招标。</w:t>
      </w:r>
    </w:p>
    <w:p w14:paraId="1A85C582">
      <w:pPr>
        <w:numPr>
          <w:ilvl w:val="0"/>
          <w:numId w:val="4"/>
        </w:numPr>
        <w:spacing w:line="440" w:lineRule="exact"/>
        <w:ind w:left="120" w:firstLine="600"/>
        <w:outlineLvl w:val="1"/>
        <w:rPr>
          <w:rFonts w:ascii="黑体" w:hAnsi="黑体" w:eastAsia="黑体"/>
          <w:color w:val="auto"/>
          <w:sz w:val="30"/>
          <w:szCs w:val="30"/>
        </w:rPr>
      </w:pPr>
      <w:r>
        <w:rPr>
          <w:rFonts w:hint="eastAsia" w:ascii="黑体" w:hAnsi="黑体" w:eastAsia="黑体"/>
          <w:color w:val="auto"/>
          <w:sz w:val="30"/>
          <w:szCs w:val="30"/>
        </w:rPr>
        <w:t>分值的计算</w:t>
      </w:r>
    </w:p>
    <w:p w14:paraId="4AB31716">
      <w:pPr>
        <w:spacing w:line="440" w:lineRule="exact"/>
        <w:ind w:firstLine="600" w:firstLineChars="200"/>
        <w:rPr>
          <w:rFonts w:eastAsia="仿宋_GB2312"/>
          <w:color w:val="auto"/>
          <w:sz w:val="30"/>
          <w:szCs w:val="30"/>
        </w:rPr>
      </w:pPr>
      <w:r>
        <w:rPr>
          <w:rFonts w:hint="eastAsia" w:eastAsia="仿宋_GB2312"/>
          <w:color w:val="auto"/>
          <w:sz w:val="30"/>
          <w:szCs w:val="30"/>
          <w:lang w:bidi="ar"/>
        </w:rPr>
        <w:t>价格分=（评标基准价/投标报价）×</w:t>
      </w:r>
      <w:r>
        <w:rPr>
          <w:rFonts w:eastAsia="仿宋_GB2312"/>
          <w:color w:val="auto"/>
          <w:sz w:val="30"/>
          <w:szCs w:val="30"/>
          <w:lang w:bidi="ar"/>
        </w:rPr>
        <w:t>价格权值</w:t>
      </w:r>
      <w:r>
        <w:rPr>
          <w:rFonts w:hint="eastAsia" w:eastAsia="仿宋_GB2312"/>
          <w:color w:val="auto"/>
          <w:sz w:val="30"/>
          <w:szCs w:val="30"/>
          <w:lang w:bidi="ar"/>
        </w:rPr>
        <w:t>（30%）×100</w:t>
      </w:r>
      <w:r>
        <w:rPr>
          <w:rFonts w:eastAsia="仿宋_GB2312"/>
          <w:color w:val="auto"/>
          <w:sz w:val="30"/>
          <w:szCs w:val="30"/>
          <w:lang w:bidi="ar"/>
        </w:rPr>
        <w:t>。</w:t>
      </w:r>
    </w:p>
    <w:p w14:paraId="370EDAA9">
      <w:pPr>
        <w:spacing w:line="440" w:lineRule="exact"/>
        <w:ind w:firstLine="600" w:firstLineChars="200"/>
        <w:rPr>
          <w:rFonts w:eastAsia="仿宋_GB2312"/>
          <w:color w:val="auto"/>
          <w:sz w:val="30"/>
          <w:szCs w:val="30"/>
        </w:rPr>
      </w:pPr>
      <w:r>
        <w:rPr>
          <w:rFonts w:hint="eastAsia" w:eastAsia="仿宋_GB2312"/>
          <w:color w:val="auto"/>
          <w:sz w:val="30"/>
          <w:szCs w:val="30"/>
        </w:rPr>
        <w:t>商务、技术分按照评标委员会成员的独立评分结果汇总后的算术平均分计算，计算公式为：</w:t>
      </w:r>
    </w:p>
    <w:p w14:paraId="28EA3348">
      <w:pPr>
        <w:spacing w:line="440" w:lineRule="exact"/>
        <w:ind w:firstLine="600" w:firstLineChars="200"/>
        <w:rPr>
          <w:rFonts w:eastAsia="仿宋_GB2312"/>
          <w:color w:val="auto"/>
          <w:sz w:val="30"/>
          <w:szCs w:val="30"/>
        </w:rPr>
      </w:pPr>
      <w:r>
        <w:rPr>
          <w:rFonts w:hint="eastAsia" w:eastAsia="仿宋_GB2312"/>
          <w:color w:val="auto"/>
          <w:sz w:val="30"/>
          <w:szCs w:val="30"/>
        </w:rPr>
        <w:t>商务、技术分=评标委员会所有成员商务、技术分评分合计数/评标委员会组成人员数</w:t>
      </w:r>
    </w:p>
    <w:p w14:paraId="709025D8">
      <w:pPr>
        <w:spacing w:line="440" w:lineRule="exact"/>
        <w:ind w:firstLine="600" w:firstLineChars="200"/>
        <w:rPr>
          <w:rFonts w:eastAsia="仿宋_GB2312"/>
          <w:bCs/>
          <w:color w:val="auto"/>
          <w:sz w:val="30"/>
          <w:szCs w:val="30"/>
        </w:rPr>
      </w:pPr>
      <w:r>
        <w:rPr>
          <w:rFonts w:hint="eastAsia" w:eastAsia="仿宋_GB2312"/>
          <w:color w:val="auto"/>
          <w:sz w:val="30"/>
          <w:szCs w:val="30"/>
        </w:rPr>
        <w:t>评标</w:t>
      </w:r>
      <w:r>
        <w:rPr>
          <w:rFonts w:hint="eastAsia" w:eastAsia="仿宋_GB2312"/>
          <w:bCs/>
          <w:color w:val="auto"/>
          <w:sz w:val="30"/>
          <w:szCs w:val="30"/>
        </w:rPr>
        <w:t>综合得分=商务、技术分+价格分</w:t>
      </w:r>
    </w:p>
    <w:p w14:paraId="618D2AC6">
      <w:pPr>
        <w:spacing w:line="440" w:lineRule="exact"/>
        <w:ind w:firstLine="602" w:firstLineChars="200"/>
        <w:rPr>
          <w:rFonts w:eastAsia="仿宋_GB2312"/>
          <w:bCs/>
          <w:color w:val="auto"/>
          <w:sz w:val="30"/>
          <w:szCs w:val="30"/>
        </w:rPr>
      </w:pPr>
      <w:r>
        <w:rPr>
          <w:rFonts w:hint="eastAsia" w:eastAsia="仿宋_GB2312"/>
          <w:b/>
          <w:color w:val="auto"/>
          <w:sz w:val="30"/>
          <w:szCs w:val="30"/>
        </w:rPr>
        <w:t>特别提醒：</w:t>
      </w:r>
      <w:r>
        <w:rPr>
          <w:rFonts w:hint="eastAsia" w:eastAsia="仿宋_GB2312"/>
          <w:bCs/>
          <w:color w:val="auto"/>
          <w:sz w:val="30"/>
          <w:szCs w:val="30"/>
        </w:rPr>
        <w:t>1.评标委员会对每个投标人的评分明细以及得分汇总表情况在中标公告中公布。</w:t>
      </w:r>
    </w:p>
    <w:p w14:paraId="7CF93DF8">
      <w:pPr>
        <w:spacing w:line="440" w:lineRule="exact"/>
        <w:ind w:firstLine="600" w:firstLineChars="200"/>
        <w:rPr>
          <w:rFonts w:eastAsia="仿宋_GB2312"/>
          <w:bCs/>
          <w:color w:val="auto"/>
          <w:sz w:val="30"/>
          <w:szCs w:val="30"/>
        </w:rPr>
      </w:pPr>
      <w:r>
        <w:rPr>
          <w:rFonts w:hint="eastAsia" w:eastAsia="仿宋_GB2312"/>
          <w:bCs/>
          <w:color w:val="auto"/>
          <w:sz w:val="30"/>
          <w:szCs w:val="30"/>
        </w:rPr>
        <w:t>2.在评审时对符合中小企业优惠措施的投标报价给予扣除；在评审时对符合本国产品优惠措施的投标报价给予20%的扣除。同时满足以上两项条件时，扣除按叠加计算，具体计算公式为：参加评审价格（此价格仅用于参加价格评审）=产品报价-产品报价*（小微企业价格扣除率+本国产品价格扣除率）。</w:t>
      </w:r>
    </w:p>
    <w:p w14:paraId="70A2AB92">
      <w:pPr>
        <w:spacing w:line="440" w:lineRule="exact"/>
        <w:ind w:firstLine="600" w:firstLineChars="200"/>
        <w:rPr>
          <w:rFonts w:eastAsia="仿宋_GB2312"/>
          <w:bCs/>
          <w:color w:val="auto"/>
          <w:sz w:val="30"/>
          <w:szCs w:val="30"/>
        </w:rPr>
      </w:pPr>
    </w:p>
    <w:p w14:paraId="4006899D">
      <w:pPr>
        <w:spacing w:line="440" w:lineRule="exact"/>
        <w:ind w:firstLine="602" w:firstLineChars="200"/>
        <w:rPr>
          <w:rFonts w:ascii="Times New Roman" w:hAnsi="Times New Roman" w:eastAsia="仿宋_GB2312"/>
          <w:b/>
          <w:color w:val="auto"/>
          <w:sz w:val="30"/>
          <w:szCs w:val="30"/>
          <w:u w:val="double"/>
        </w:rPr>
      </w:pPr>
      <w:r>
        <w:rPr>
          <w:rFonts w:hint="eastAsia" w:ascii="Times New Roman" w:hAnsi="Times New Roman" w:eastAsia="仿宋_GB2312"/>
          <w:b/>
          <w:color w:val="auto"/>
          <w:sz w:val="30"/>
          <w:szCs w:val="30"/>
          <w:u w:val="double"/>
        </w:rPr>
        <w:t>（一）落实扶持中小企业政府采购政策：</w:t>
      </w:r>
    </w:p>
    <w:p w14:paraId="7971B8BE">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1</w:t>
      </w:r>
      <w:r>
        <w:rPr>
          <w:rFonts w:ascii="Times New Roman" w:hAnsi="Times New Roman" w:eastAsia="仿宋_GB2312"/>
          <w:b/>
          <w:color w:val="auto"/>
          <w:sz w:val="30"/>
          <w:szCs w:val="30"/>
        </w:rPr>
        <w:t>.</w:t>
      </w:r>
      <w:r>
        <w:rPr>
          <w:rFonts w:hint="eastAsia" w:ascii="Times New Roman" w:hAnsi="Times New Roman" w:eastAsia="仿宋_GB2312"/>
          <w:b/>
          <w:color w:val="auto"/>
          <w:sz w:val="30"/>
          <w:szCs w:val="30"/>
        </w:rPr>
        <w:t>根据财政部、工业和信息化部制定的《政府采购促进中小企业发展管理办法》（财库〔20</w:t>
      </w:r>
      <w:r>
        <w:rPr>
          <w:rFonts w:ascii="Times New Roman" w:hAnsi="Times New Roman" w:eastAsia="仿宋_GB2312"/>
          <w:b/>
          <w:color w:val="auto"/>
          <w:sz w:val="30"/>
          <w:szCs w:val="30"/>
        </w:rPr>
        <w:t>20</w:t>
      </w:r>
      <w:r>
        <w:rPr>
          <w:rFonts w:hint="eastAsia" w:ascii="Times New Roman" w:hAnsi="Times New Roman" w:eastAsia="仿宋_GB2312"/>
          <w:b/>
          <w:color w:val="auto"/>
          <w:sz w:val="30"/>
          <w:szCs w:val="30"/>
        </w:rPr>
        <w:t>〕46 号）、《关于进一步加大政府采购支持中小企业力度的通知》（财库〔2022〕19号）的相关规定，在货物政府采购项目中，货物均为小型或微型企业生产的，在服务政府采购项目中，服务均由小型或微型企业承接的，投标人的投标报价给予</w:t>
      </w:r>
      <w:r>
        <w:rPr>
          <w:rFonts w:hint="eastAsia" w:ascii="Times New Roman" w:hAnsi="Times New Roman" w:eastAsia="仿宋_GB2312"/>
          <w:b/>
          <w:color w:val="auto"/>
          <w:sz w:val="30"/>
          <w:szCs w:val="30"/>
          <w:u w:val="single"/>
        </w:rPr>
        <w:t>10%</w:t>
      </w:r>
      <w:r>
        <w:rPr>
          <w:rFonts w:hint="eastAsia" w:ascii="Times New Roman" w:hAnsi="Times New Roman" w:eastAsia="仿宋_GB2312"/>
          <w:b/>
          <w:color w:val="auto"/>
          <w:sz w:val="30"/>
          <w:szCs w:val="30"/>
        </w:rPr>
        <w:t>扣除，并用扣除后的价格作为价格分计算。属于小型或微型企业的，投标人应在投标文件中出具《中小企业声明函》（见附件），否则不得享受相关中小企业扶持政策。</w:t>
      </w:r>
    </w:p>
    <w:p w14:paraId="408469DB">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Times New Roman" w:hAnsi="Times New Roman" w:eastAsia="仿宋_GB2312"/>
          <w:b/>
          <w:color w:val="auto"/>
          <w:sz w:val="30"/>
          <w:szCs w:val="30"/>
          <w:u w:val="single"/>
        </w:rPr>
        <w:t xml:space="preserve"> 4% </w:t>
      </w:r>
      <w:r>
        <w:rPr>
          <w:rFonts w:hint="eastAsia" w:ascii="Times New Roman" w:hAnsi="Times New Roman" w:eastAsia="仿宋_GB2312"/>
          <w:b/>
          <w:color w:val="auto"/>
          <w:sz w:val="30"/>
          <w:szCs w:val="30"/>
        </w:rPr>
        <w:t>的扣除，用扣除后的价格参加评审。</w:t>
      </w:r>
    </w:p>
    <w:p w14:paraId="0BB3E06B">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组成联合体或者接受分包的小微企业与联合体内其他企业、分包企业之间存在直接控股、管理关系的，不享受价格扣除优惠政策。</w:t>
      </w:r>
    </w:p>
    <w:p w14:paraId="78D51BCF">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其中小型或微型企业，是指按《中小企业划型标准规定》的所属行业规定为小型、微型企业。</w:t>
      </w:r>
    </w:p>
    <w:p w14:paraId="1646E7CF">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注意：专门面向中小企业采购的项目，不再执行价格评审优惠的扶持政策。</w:t>
      </w:r>
    </w:p>
    <w:p w14:paraId="0BB47570">
      <w:pPr>
        <w:spacing w:line="440" w:lineRule="exact"/>
        <w:ind w:firstLine="602" w:firstLineChars="200"/>
        <w:rPr>
          <w:rFonts w:ascii="Times New Roman" w:hAnsi="Times New Roman" w:eastAsia="仿宋_GB2312"/>
          <w:b/>
          <w:color w:val="auto"/>
          <w:sz w:val="30"/>
          <w:szCs w:val="30"/>
          <w:u w:val="single"/>
        </w:rPr>
      </w:pPr>
      <w:r>
        <w:rPr>
          <w:rFonts w:hint="eastAsia" w:ascii="Times New Roman" w:hAnsi="Times New Roman" w:eastAsia="仿宋_GB2312"/>
          <w:b/>
          <w:color w:val="auto"/>
          <w:sz w:val="30"/>
          <w:szCs w:val="30"/>
        </w:rPr>
        <w:t>2</w:t>
      </w:r>
      <w:r>
        <w:rPr>
          <w:rFonts w:ascii="Times New Roman" w:hAnsi="Times New Roman" w:eastAsia="仿宋_GB2312"/>
          <w:b/>
          <w:color w:val="auto"/>
          <w:sz w:val="30"/>
          <w:szCs w:val="30"/>
        </w:rPr>
        <w:t>.</w:t>
      </w:r>
      <w:r>
        <w:rPr>
          <w:rFonts w:hint="eastAsia" w:ascii="Times New Roman" w:hAnsi="Times New Roman" w:eastAsia="仿宋_GB2312"/>
          <w:b/>
          <w:color w:val="auto"/>
          <w:sz w:val="30"/>
          <w:szCs w:val="30"/>
        </w:rPr>
        <w:t>根据财政部、民政部和中国残疾人联合会《关于促进残疾人就业政府采购政策的通知》（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r>
        <w:rPr>
          <w:rFonts w:hint="eastAsia" w:ascii="Times New Roman" w:hAnsi="Times New Roman" w:eastAsia="仿宋_GB2312"/>
          <w:b/>
          <w:color w:val="auto"/>
          <w:sz w:val="30"/>
          <w:szCs w:val="30"/>
          <w:u w:val="single"/>
        </w:rPr>
        <w:t>残疾人福利性单位属于小型、微型企业的，不重复享受政策。</w:t>
      </w:r>
    </w:p>
    <w:p w14:paraId="3F2B7EE8">
      <w:pPr>
        <w:spacing w:line="440" w:lineRule="exact"/>
        <w:ind w:firstLine="602" w:firstLineChars="200"/>
        <w:rPr>
          <w:rFonts w:ascii="Times New Roman" w:hAnsi="Times New Roman" w:eastAsia="仿宋_GB2312"/>
          <w:b/>
          <w:color w:val="auto"/>
          <w:sz w:val="30"/>
          <w:szCs w:val="30"/>
          <w:u w:val="single"/>
        </w:rPr>
      </w:pPr>
      <w:r>
        <w:rPr>
          <w:rFonts w:hint="eastAsia" w:ascii="Times New Roman" w:hAnsi="Times New Roman" w:eastAsia="仿宋_GB2312"/>
          <w:b/>
          <w:color w:val="auto"/>
          <w:sz w:val="30"/>
          <w:szCs w:val="30"/>
        </w:rPr>
        <w:t>3.根据财政部和司法部《关于政府采购支持监狱企业发展有关问题的通知》（〔2014〕68号）的相关规定，在政府采购活动中，监狱企业视同小型、微型企业，享受评审中价格扣除政策，并在投标文件中提供由省级以上监狱管理局、戒毒管理局（含新疆生产建设兵团）出具的属于监狱企业的声明函（格式自拟）。</w:t>
      </w:r>
      <w:r>
        <w:rPr>
          <w:rFonts w:hint="eastAsia" w:ascii="Times New Roman" w:hAnsi="Times New Roman" w:eastAsia="仿宋_GB2312"/>
          <w:b/>
          <w:color w:val="auto"/>
          <w:sz w:val="30"/>
          <w:szCs w:val="30"/>
          <w:u w:val="single"/>
        </w:rPr>
        <w:t>监狱企业属于小型、微型企业的，不重复享受政策。</w:t>
      </w:r>
    </w:p>
    <w:p w14:paraId="0E96BDE9">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4</w:t>
      </w:r>
      <w:r>
        <w:rPr>
          <w:rFonts w:ascii="Times New Roman" w:hAnsi="Times New Roman" w:eastAsia="仿宋_GB2312"/>
          <w:b/>
          <w:color w:val="auto"/>
          <w:sz w:val="30"/>
          <w:szCs w:val="30"/>
        </w:rPr>
        <w:t>.</w:t>
      </w:r>
      <w:r>
        <w:rPr>
          <w:rFonts w:hint="eastAsia" w:ascii="Times New Roman" w:hAnsi="Times New Roman" w:eastAsia="仿宋_GB2312"/>
          <w:b/>
          <w:color w:val="auto"/>
          <w:sz w:val="30"/>
          <w:szCs w:val="30"/>
        </w:rPr>
        <w:t>符合中小企业划分标准的个体工商户，在政府采购活动中视同中小企业。</w:t>
      </w:r>
    </w:p>
    <w:p w14:paraId="01A7FB0E">
      <w:pPr>
        <w:spacing w:line="440" w:lineRule="exact"/>
        <w:ind w:firstLine="602" w:firstLineChars="200"/>
        <w:rPr>
          <w:rFonts w:ascii="Times New Roman" w:hAnsi="Times New Roman" w:eastAsia="仿宋_GB2312"/>
          <w:b/>
          <w:color w:val="auto"/>
          <w:sz w:val="30"/>
          <w:szCs w:val="30"/>
          <w:u w:val="double"/>
        </w:rPr>
      </w:pPr>
      <w:r>
        <w:rPr>
          <w:rFonts w:ascii="Times New Roman" w:hAnsi="Times New Roman" w:eastAsia="仿宋_GB2312"/>
          <w:b/>
          <w:color w:val="auto"/>
          <w:sz w:val="30"/>
          <w:szCs w:val="30"/>
          <w:u w:val="double"/>
        </w:rPr>
        <w:t>5.</w:t>
      </w:r>
      <w:r>
        <w:rPr>
          <w:rFonts w:hint="eastAsia" w:ascii="Times New Roman" w:hAnsi="Times New Roman" w:eastAsia="仿宋_GB2312"/>
          <w:b/>
          <w:color w:val="auto"/>
          <w:sz w:val="30"/>
          <w:szCs w:val="30"/>
          <w:u w:val="double"/>
        </w:rPr>
        <w:t>特别说明：</w:t>
      </w:r>
    </w:p>
    <w:p w14:paraId="37278C87">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1）未提供以上声明函的，均不给予价格扣除。投标人按照规定提供声明函内容不实的，属于提供虚假材料谋取中标、成交，依照《中华人民共和国政府采购法》等国家有关规定追究相应责任。（2）依据《政府采购促进中小企业发展管理办法》（财库〔2020〕46 号）规定享受扶持政策获得政府采购合同的，小微企业不得将合同分包给大中型企业，中型企业不得将合同分包给大型企业。</w:t>
      </w:r>
    </w:p>
    <w:p w14:paraId="47EEAF98">
      <w:pPr>
        <w:spacing w:line="440" w:lineRule="exact"/>
        <w:ind w:firstLine="602" w:firstLineChars="200"/>
        <w:rPr>
          <w:rFonts w:ascii="Times New Roman" w:hAnsi="Times New Roman" w:eastAsia="仿宋_GB2312"/>
          <w:b/>
          <w:color w:val="auto"/>
          <w:sz w:val="30"/>
          <w:szCs w:val="30"/>
          <w:u w:val="double"/>
        </w:rPr>
      </w:pPr>
    </w:p>
    <w:p w14:paraId="4F2D6A55">
      <w:pPr>
        <w:spacing w:line="440" w:lineRule="exact"/>
        <w:ind w:firstLine="602" w:firstLineChars="200"/>
        <w:rPr>
          <w:rFonts w:ascii="Times New Roman" w:hAnsi="Times New Roman" w:eastAsia="仿宋_GB2312"/>
          <w:b/>
          <w:color w:val="auto"/>
          <w:sz w:val="30"/>
          <w:szCs w:val="30"/>
          <w:u w:val="double"/>
        </w:rPr>
      </w:pPr>
      <w:r>
        <w:rPr>
          <w:rFonts w:hint="eastAsia" w:ascii="Times New Roman" w:hAnsi="Times New Roman" w:eastAsia="仿宋_GB2312"/>
          <w:b/>
          <w:color w:val="auto"/>
          <w:sz w:val="30"/>
          <w:szCs w:val="30"/>
          <w:u w:val="double"/>
        </w:rPr>
        <w:t>（二）落实实施本国产品标准及相关政策</w:t>
      </w:r>
    </w:p>
    <w:p w14:paraId="02699DE6">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１.根据《国务院办公厅关于在政府采购中实施本国产品标准及相关政策的通知》（国办发〔2025〕34号），《财政部 工业和信息化部关于贯彻落实〈国务院办公厅关于在政府采购中实施本国产品标准及相关政策的通知〉的意见》（财库〔2025〕30号）以及《浙江省财政厅关于落实在政府采购中实施本国产品标准及相关政策的通知》相关规定：</w:t>
      </w:r>
    </w:p>
    <w:p w14:paraId="37B3C5B2">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（1）政府采购活动中既有本国产品又有非本国产品参与竞争的，依法对本国产品的报价给予20%的价格扣除，用扣除后的价格参与评审。</w:t>
      </w:r>
    </w:p>
    <w:p w14:paraId="0B29E1FE">
      <w:p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B1C698">
      <w:pPr>
        <w:numPr>
          <w:ilvl w:val="0"/>
          <w:numId w:val="5"/>
        </w:num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在财政部、工业和信息化部制定出台在中国境内生产的组件成本占比要求，以及特定产品的关键组件、关键工序要求之前，目前，在中国境内生产的产品即视为符合本国产品标准，享受政府采购本国产品支持政策。</w:t>
      </w:r>
    </w:p>
    <w:p w14:paraId="27492F2C">
      <w:pPr>
        <w:numPr>
          <w:ilvl w:val="255"/>
          <w:numId w:val="0"/>
        </w:numPr>
        <w:spacing w:line="440" w:lineRule="exact"/>
        <w:ind w:firstLine="602" w:firstLineChars="200"/>
        <w:rPr>
          <w:rFonts w:ascii="Times New Roman" w:hAnsi="Times New Roman" w:eastAsia="仿宋_GB2312"/>
          <w:b/>
          <w:color w:val="auto"/>
          <w:sz w:val="30"/>
          <w:szCs w:val="30"/>
          <w:lang w:bidi="ar"/>
        </w:rPr>
      </w:pPr>
      <w:r>
        <w:rPr>
          <w:rFonts w:hint="eastAsia" w:ascii="Times New Roman" w:hAnsi="Times New Roman" w:eastAsia="仿宋_GB2312"/>
          <w:b/>
          <w:color w:val="auto"/>
          <w:sz w:val="30"/>
          <w:szCs w:val="30"/>
        </w:rPr>
        <w:t>（3）</w:t>
      </w:r>
      <w:r>
        <w:rPr>
          <w:rFonts w:hint="eastAsia" w:ascii="Times New Roman" w:hAnsi="Times New Roman" w:eastAsia="仿宋_GB2312"/>
          <w:b/>
          <w:color w:val="auto"/>
          <w:sz w:val="30"/>
          <w:szCs w:val="30"/>
          <w:lang w:bidi="ar"/>
        </w:rPr>
        <w:t>产品在中国境内生产的组件成本，按照《中国境内生产的组件成本核算基本规则》计算。</w:t>
      </w:r>
    </w:p>
    <w:p w14:paraId="76F65F89">
      <w:pPr>
        <w:numPr>
          <w:ilvl w:val="255"/>
          <w:numId w:val="0"/>
        </w:numPr>
        <w:spacing w:line="440" w:lineRule="exact"/>
        <w:ind w:firstLine="602" w:firstLineChars="200"/>
        <w:rPr>
          <w:rFonts w:ascii="Times New Roman" w:hAnsi="Times New Roman" w:eastAsia="仿宋_GB2312"/>
          <w:b/>
          <w:color w:val="auto"/>
          <w:sz w:val="30"/>
          <w:szCs w:val="30"/>
        </w:rPr>
      </w:pPr>
      <w:r>
        <w:rPr>
          <w:rFonts w:hint="eastAsia" w:ascii="Times New Roman" w:hAnsi="Times New Roman" w:eastAsia="仿宋_GB2312"/>
          <w:b/>
          <w:color w:val="auto"/>
          <w:sz w:val="30"/>
          <w:szCs w:val="30"/>
          <w:lang w:bidi="ar"/>
        </w:rPr>
        <w:t>（4）如是本国产品，供应商应当对提供的产品出具《关于符合本国产品标准的声明函》（格式见附件）或财政部会同有关部门规定的有关证明文件，若未出具声明函或财政部会同有关部门规定的有关证明文件的，则不视为本国产品，均不给予价格扣除。投标人按照规定提供声明函内容不实的，属于提供虚假材料谋取中标、成交，依照《中华人民共和国政府采购法》等国家有关规定追究相应责任。</w:t>
      </w:r>
    </w:p>
    <w:p w14:paraId="2CE134AF">
      <w:pPr>
        <w:numPr>
          <w:ilvl w:val="255"/>
          <w:numId w:val="0"/>
        </w:numPr>
        <w:rPr>
          <w:rFonts w:ascii="Times New Roman" w:hAnsi="Times New Roman" w:eastAsia="仿宋_GB2312"/>
          <w:b/>
          <w:color w:val="auto"/>
          <w:sz w:val="30"/>
          <w:szCs w:val="30"/>
        </w:rPr>
      </w:pPr>
      <w:r>
        <w:rPr>
          <w:rFonts w:hint="eastAsia" w:ascii="Times New Roman" w:hAnsi="Times New Roman" w:eastAsia="仿宋_GB2312"/>
          <w:b/>
          <w:color w:val="auto"/>
          <w:sz w:val="30"/>
          <w:szCs w:val="30"/>
          <w:lang w:bidi="ar"/>
        </w:rPr>
        <w:br w:type="page"/>
      </w:r>
    </w:p>
    <w:p w14:paraId="4B904E8F">
      <w:pPr>
        <w:numPr>
          <w:ilvl w:val="0"/>
          <w:numId w:val="4"/>
        </w:numPr>
        <w:spacing w:line="440" w:lineRule="exact"/>
        <w:ind w:left="120" w:firstLine="600"/>
        <w:outlineLvl w:val="1"/>
        <w:rPr>
          <w:rFonts w:ascii="黑体" w:hAnsi="黑体" w:eastAsia="黑体"/>
          <w:color w:val="auto"/>
          <w:sz w:val="30"/>
          <w:szCs w:val="30"/>
        </w:rPr>
      </w:pPr>
      <w:r>
        <w:rPr>
          <w:rFonts w:hint="eastAsia" w:ascii="黑体" w:hAnsi="黑体" w:eastAsia="黑体"/>
          <w:color w:val="auto"/>
          <w:sz w:val="30"/>
          <w:szCs w:val="30"/>
        </w:rPr>
        <w:t>评标</w:t>
      </w:r>
      <w:r>
        <w:rPr>
          <w:rFonts w:hint="eastAsia" w:ascii="黑体" w:hAnsi="黑体" w:eastAsia="黑体"/>
          <w:color w:val="auto"/>
          <w:sz w:val="30"/>
          <w:szCs w:val="30"/>
          <w:lang w:bidi="ar"/>
        </w:rPr>
        <w:t>内容</w:t>
      </w:r>
      <w:r>
        <w:rPr>
          <w:rFonts w:hint="eastAsia" w:ascii="黑体" w:hAnsi="黑体" w:eastAsia="黑体"/>
          <w:color w:val="auto"/>
          <w:sz w:val="30"/>
          <w:szCs w:val="30"/>
        </w:rPr>
        <w:t>及标准</w:t>
      </w:r>
    </w:p>
    <w:p w14:paraId="53CF16C6">
      <w:pPr>
        <w:tabs>
          <w:tab w:val="right" w:pos="9412"/>
        </w:tabs>
        <w:spacing w:line="300" w:lineRule="exact"/>
        <w:jc w:val="left"/>
        <w:outlineLvl w:val="2"/>
        <w:rPr>
          <w:rFonts w:eastAsia="仿宋_GB2312"/>
          <w:b/>
          <w:color w:val="auto"/>
          <w:sz w:val="28"/>
        </w:rPr>
      </w:pPr>
    </w:p>
    <w:p w14:paraId="2CA0E0D6">
      <w:pPr>
        <w:tabs>
          <w:tab w:val="right" w:pos="9412"/>
        </w:tabs>
        <w:spacing w:line="300" w:lineRule="exact"/>
        <w:jc w:val="center"/>
        <w:outlineLvl w:val="2"/>
        <w:rPr>
          <w:rFonts w:eastAsia="仿宋_GB2312"/>
          <w:b/>
          <w:color w:val="auto"/>
          <w:sz w:val="28"/>
        </w:rPr>
      </w:pPr>
      <w:r>
        <w:rPr>
          <w:rFonts w:hint="eastAsia" w:eastAsia="仿宋_GB2312"/>
          <w:b/>
          <w:color w:val="auto"/>
          <w:sz w:val="28"/>
        </w:rPr>
        <w:t>项目编号：2026-SJYT-11                标项1  总分:100</w:t>
      </w:r>
    </w:p>
    <w:tbl>
      <w:tblPr>
        <w:tblStyle w:val="37"/>
        <w:tblpPr w:leftFromText="180" w:rightFromText="180" w:vertAnchor="text" w:horzAnchor="page" w:tblpX="1792" w:tblpY="451"/>
        <w:tblOverlap w:val="never"/>
        <w:tblW w:w="8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863"/>
        <w:gridCol w:w="714"/>
        <w:gridCol w:w="5703"/>
        <w:gridCol w:w="1031"/>
      </w:tblGrid>
      <w:tr w14:paraId="19D2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541" w:type="dxa"/>
            <w:vAlign w:val="center"/>
          </w:tcPr>
          <w:p w14:paraId="5008B037">
            <w:pPr>
              <w:widowControl/>
              <w:adjustRightInd w:val="0"/>
              <w:spacing w:line="300" w:lineRule="exact"/>
              <w:jc w:val="center"/>
              <w:textAlignment w:val="baseline"/>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序号</w:t>
            </w:r>
          </w:p>
        </w:tc>
        <w:tc>
          <w:tcPr>
            <w:tcW w:w="863" w:type="dxa"/>
            <w:vAlign w:val="center"/>
          </w:tcPr>
          <w:p w14:paraId="3264CDCB">
            <w:pPr>
              <w:widowControl/>
              <w:adjustRightInd w:val="0"/>
              <w:spacing w:line="300" w:lineRule="exact"/>
              <w:jc w:val="center"/>
              <w:textAlignment w:val="baseline"/>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评分项目</w:t>
            </w:r>
          </w:p>
        </w:tc>
        <w:tc>
          <w:tcPr>
            <w:tcW w:w="714" w:type="dxa"/>
            <w:vAlign w:val="center"/>
          </w:tcPr>
          <w:p w14:paraId="3CC2839B">
            <w:pPr>
              <w:widowControl/>
              <w:adjustRightInd w:val="0"/>
              <w:spacing w:line="300" w:lineRule="exact"/>
              <w:jc w:val="center"/>
              <w:textAlignment w:val="baseline"/>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分值</w:t>
            </w:r>
          </w:p>
        </w:tc>
        <w:tc>
          <w:tcPr>
            <w:tcW w:w="5703" w:type="dxa"/>
            <w:vAlign w:val="center"/>
          </w:tcPr>
          <w:p w14:paraId="3E1AE49E">
            <w:pPr>
              <w:adjustRightInd w:val="0"/>
              <w:spacing w:line="300" w:lineRule="exact"/>
              <w:jc w:val="center"/>
              <w:textAlignment w:val="baseline"/>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 xml:space="preserve">评标要点及说明 </w:t>
            </w:r>
          </w:p>
        </w:tc>
        <w:tc>
          <w:tcPr>
            <w:tcW w:w="1031" w:type="dxa"/>
            <w:vAlign w:val="center"/>
          </w:tcPr>
          <w:p w14:paraId="68B7DCC5">
            <w:pPr>
              <w:adjustRightInd w:val="0"/>
              <w:spacing w:line="300" w:lineRule="exact"/>
              <w:jc w:val="center"/>
              <w:textAlignment w:val="baseline"/>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分值</w:t>
            </w:r>
          </w:p>
          <w:p w14:paraId="19EB48B5">
            <w:pPr>
              <w:adjustRightInd w:val="0"/>
              <w:spacing w:line="300" w:lineRule="exact"/>
              <w:jc w:val="center"/>
              <w:textAlignment w:val="baseline"/>
              <w:rPr>
                <w:rFonts w:ascii="仿宋_GB2312" w:hAnsi="仿宋_GB2312" w:eastAsia="仿宋_GB2312" w:cs="仿宋_GB2312"/>
                <w:color w:val="auto"/>
                <w:sz w:val="24"/>
                <w:szCs w:val="24"/>
              </w:rPr>
            </w:pPr>
            <w:r>
              <w:rPr>
                <w:rFonts w:hint="eastAsia" w:ascii="仿宋_GB2312" w:hAnsi="仿宋_GB2312" w:eastAsia="仿宋_GB2312" w:cs="仿宋_GB2312"/>
                <w:b/>
                <w:color w:val="auto"/>
                <w:sz w:val="24"/>
                <w:szCs w:val="24"/>
              </w:rPr>
              <w:t>属性</w:t>
            </w:r>
          </w:p>
        </w:tc>
      </w:tr>
      <w:tr w14:paraId="3AA3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541" w:type="dxa"/>
            <w:vAlign w:val="center"/>
          </w:tcPr>
          <w:p w14:paraId="1872EF8C">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863" w:type="dxa"/>
            <w:vAlign w:val="center"/>
          </w:tcPr>
          <w:p w14:paraId="6D36CD01">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报价</w:t>
            </w:r>
          </w:p>
        </w:tc>
        <w:tc>
          <w:tcPr>
            <w:tcW w:w="714" w:type="dxa"/>
            <w:vAlign w:val="center"/>
          </w:tcPr>
          <w:p w14:paraId="6FD8DAE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w:t>
            </w:r>
          </w:p>
        </w:tc>
        <w:tc>
          <w:tcPr>
            <w:tcW w:w="5703" w:type="dxa"/>
            <w:vAlign w:val="center"/>
          </w:tcPr>
          <w:p w14:paraId="22E31CEC">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满足招标文件要求且投标价格最低的投标报价为评标基准价，其价格分为满分。其他投标人的价格分统一按照下列公式计算：投标报价得分＝(评标基准价／有效投标报价）*最大分值</w:t>
            </w:r>
          </w:p>
        </w:tc>
        <w:tc>
          <w:tcPr>
            <w:tcW w:w="1031" w:type="dxa"/>
            <w:vAlign w:val="center"/>
          </w:tcPr>
          <w:p w14:paraId="5B68F333">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客观分</w:t>
            </w:r>
          </w:p>
        </w:tc>
      </w:tr>
      <w:tr w14:paraId="7CE4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dxa"/>
            <w:vAlign w:val="center"/>
          </w:tcPr>
          <w:p w14:paraId="1B5B26EB">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863" w:type="dxa"/>
            <w:vAlign w:val="center"/>
          </w:tcPr>
          <w:p w14:paraId="6879D1DB">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商务</w:t>
            </w:r>
          </w:p>
        </w:tc>
        <w:tc>
          <w:tcPr>
            <w:tcW w:w="714" w:type="dxa"/>
            <w:vAlign w:val="center"/>
          </w:tcPr>
          <w:p w14:paraId="0B0092CD">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5703" w:type="dxa"/>
            <w:vAlign w:val="center"/>
          </w:tcPr>
          <w:p w14:paraId="45368B93">
            <w:pPr>
              <w:widowControl/>
              <w:spacing w:line="300" w:lineRule="exact"/>
              <w:rPr>
                <w:rFonts w:ascii="仿宋_GB2312" w:eastAsia="仿宋_GB2312" w:cs="仿宋_GB2312"/>
                <w:b/>
                <w:color w:val="auto"/>
                <w:sz w:val="24"/>
                <w:szCs w:val="24"/>
                <w:lang w:bidi="ar"/>
              </w:rPr>
            </w:pPr>
            <w:r>
              <w:rPr>
                <w:rFonts w:ascii="仿宋_GB2312" w:eastAsia="仿宋_GB2312" w:cs="仿宋_GB2312"/>
                <w:b/>
                <w:color w:val="auto"/>
                <w:sz w:val="24"/>
                <w:szCs w:val="24"/>
                <w:lang w:bidi="ar"/>
              </w:rPr>
              <w:t>供应商综合实力</w:t>
            </w:r>
          </w:p>
          <w:p w14:paraId="10467F1D">
            <w:pPr>
              <w:widowControl/>
              <w:spacing w:line="300" w:lineRule="exact"/>
              <w:rPr>
                <w:rFonts w:ascii="仿宋_GB2312" w:hAnsi="仿宋_GB2312" w:eastAsia="仿宋_GB2312" w:cs="仿宋_GB2312"/>
                <w:color w:val="auto"/>
                <w:sz w:val="24"/>
                <w:szCs w:val="24"/>
              </w:rPr>
            </w:pPr>
            <w:r>
              <w:rPr>
                <w:rFonts w:ascii="仿宋_GB2312" w:eastAsia="仿宋_GB2312" w:cs="仿宋_GB2312"/>
                <w:bCs/>
                <w:color w:val="auto"/>
                <w:sz w:val="24"/>
                <w:szCs w:val="24"/>
                <w:lang w:bidi="ar"/>
              </w:rPr>
              <w:t>投标人提供有效期内的ISO9001质量管理体系认证证书、ISO14001环境管理体系认证证书、ISO45001职业健康安全管理体系认证证书。每有1个有效期内的得1分，最多得3分，不提供不得分。（注：认证证书除证书复印件加盖公章外，还须提供证书在中国认证认可委员会认证认可业务信息统一查询平台</w:t>
            </w:r>
            <w:r>
              <w:rPr>
                <w:rFonts w:hint="eastAsia" w:ascii="仿宋_GB2312" w:eastAsia="仿宋_GB2312" w:cs="仿宋_GB2312"/>
                <w:bCs/>
                <w:color w:val="auto"/>
                <w:sz w:val="24"/>
                <w:szCs w:val="24"/>
                <w:lang w:bidi="ar"/>
              </w:rPr>
              <w:t>&lt;</w:t>
            </w:r>
            <w:r>
              <w:rPr>
                <w:rFonts w:ascii="仿宋_GB2312" w:eastAsia="仿宋_GB2312" w:cs="仿宋_GB2312"/>
                <w:bCs/>
                <w:color w:val="auto"/>
                <w:sz w:val="24"/>
                <w:szCs w:val="24"/>
                <w:lang w:bidi="ar"/>
              </w:rPr>
              <w:t>网址http://cx.cnca.cn</w:t>
            </w:r>
            <w:r>
              <w:rPr>
                <w:rFonts w:hint="eastAsia" w:ascii="仿宋_GB2312" w:eastAsia="仿宋_GB2312" w:cs="仿宋_GB2312"/>
                <w:bCs/>
                <w:color w:val="auto"/>
                <w:sz w:val="24"/>
                <w:szCs w:val="24"/>
                <w:lang w:bidi="ar"/>
              </w:rPr>
              <w:t>&gt;</w:t>
            </w:r>
            <w:r>
              <w:rPr>
                <w:rFonts w:ascii="仿宋_GB2312" w:eastAsia="仿宋_GB2312" w:cs="仿宋_GB2312"/>
                <w:bCs/>
                <w:color w:val="auto"/>
                <w:sz w:val="24"/>
                <w:szCs w:val="24"/>
                <w:lang w:bidi="ar"/>
              </w:rPr>
              <w:t>查询结果打印件，并加盖投标人公章）</w:t>
            </w:r>
            <w:r>
              <w:rPr>
                <w:rFonts w:hint="eastAsia" w:ascii="仿宋_GB2312" w:eastAsia="仿宋_GB2312" w:cs="仿宋_GB2312"/>
                <w:bCs/>
                <w:color w:val="auto"/>
                <w:sz w:val="24"/>
                <w:szCs w:val="24"/>
                <w:lang w:bidi="ar"/>
              </w:rPr>
              <w:t>。</w:t>
            </w:r>
          </w:p>
        </w:tc>
        <w:tc>
          <w:tcPr>
            <w:tcW w:w="1031" w:type="dxa"/>
            <w:vAlign w:val="center"/>
          </w:tcPr>
          <w:p w14:paraId="134D4406">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客观分</w:t>
            </w:r>
          </w:p>
        </w:tc>
      </w:tr>
      <w:tr w14:paraId="2F71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1" w:type="dxa"/>
            <w:vAlign w:val="center"/>
          </w:tcPr>
          <w:p w14:paraId="48C12332">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863" w:type="dxa"/>
            <w:vAlign w:val="center"/>
          </w:tcPr>
          <w:p w14:paraId="6A2FDFA4">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商务</w:t>
            </w:r>
          </w:p>
        </w:tc>
        <w:tc>
          <w:tcPr>
            <w:tcW w:w="714" w:type="dxa"/>
            <w:vAlign w:val="center"/>
          </w:tcPr>
          <w:p w14:paraId="0559DD11">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5703" w:type="dxa"/>
            <w:vAlign w:val="center"/>
          </w:tcPr>
          <w:p w14:paraId="4F38F137">
            <w:pPr>
              <w:spacing w:line="300" w:lineRule="exact"/>
              <w:rPr>
                <w:rFonts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案例及业绩</w:t>
            </w:r>
          </w:p>
          <w:p w14:paraId="2B631D26">
            <w:pPr>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投标人提供自2023年1月1日以来至投标截止日前完成的同类（同类案例指理化生实验室设备类的供货业绩。以合同签订时间为准，需提供合同和用户验收报告），每个案例得0.5分，最高得2分，未提供不得分。</w:t>
            </w:r>
          </w:p>
        </w:tc>
        <w:tc>
          <w:tcPr>
            <w:tcW w:w="1031" w:type="dxa"/>
            <w:vAlign w:val="center"/>
          </w:tcPr>
          <w:p w14:paraId="1E9DBA2D">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客观分</w:t>
            </w:r>
          </w:p>
        </w:tc>
      </w:tr>
      <w:tr w14:paraId="7C87E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1" w:type="dxa"/>
            <w:vAlign w:val="center"/>
          </w:tcPr>
          <w:p w14:paraId="23B2E85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863" w:type="dxa"/>
            <w:vAlign w:val="center"/>
          </w:tcPr>
          <w:p w14:paraId="5B023BA6">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商务</w:t>
            </w:r>
          </w:p>
        </w:tc>
        <w:tc>
          <w:tcPr>
            <w:tcW w:w="714" w:type="dxa"/>
            <w:vAlign w:val="center"/>
          </w:tcPr>
          <w:p w14:paraId="22C56AE4">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5703" w:type="dxa"/>
            <w:vAlign w:val="center"/>
          </w:tcPr>
          <w:p w14:paraId="1A707DF1">
            <w:pPr>
              <w:widowControl/>
              <w:spacing w:line="300" w:lineRule="exact"/>
              <w:rPr>
                <w:rFonts w:ascii="仿宋_GB2312" w:hAnsi="仿宋_GB2312" w:eastAsia="仿宋_GB2312" w:cs="仿宋_GB2312"/>
                <w:bCs/>
                <w:color w:val="auto"/>
                <w:kern w:val="0"/>
                <w:sz w:val="24"/>
                <w:szCs w:val="24"/>
              </w:rPr>
            </w:pPr>
            <w:r>
              <w:rPr>
                <w:rFonts w:hint="eastAsia" w:ascii="仿宋_GB2312" w:hAnsi="仿宋_GB2312" w:eastAsia="仿宋_GB2312" w:cs="仿宋_GB2312"/>
                <w:b/>
                <w:color w:val="auto"/>
                <w:kern w:val="0"/>
                <w:sz w:val="24"/>
                <w:szCs w:val="24"/>
              </w:rPr>
              <w:t>项目培训方案：</w:t>
            </w:r>
          </w:p>
          <w:p w14:paraId="7415D506">
            <w:pPr>
              <w:widowControl/>
              <w:spacing w:line="300" w:lineRule="exact"/>
              <w:rPr>
                <w:rFonts w:ascii="仿宋_GB2312" w:hAnsi="仿宋_GB2312" w:eastAsia="仿宋_GB2312" w:cs="仿宋_GB2312"/>
                <w:bCs/>
                <w:color w:val="auto"/>
                <w:sz w:val="24"/>
                <w:szCs w:val="24"/>
              </w:rPr>
            </w:pPr>
            <w:r>
              <w:rPr>
                <w:rStyle w:val="61"/>
                <w:rFonts w:hint="eastAsia" w:ascii="仿宋_GB2312" w:hAnsi="仿宋_GB2312" w:eastAsia="仿宋_GB2312" w:cs="仿宋_GB2312"/>
                <w:bCs/>
                <w:color w:val="auto"/>
                <w:lang w:val="zh-CN"/>
              </w:rPr>
              <w:t>根据项目特点</w:t>
            </w:r>
            <w:r>
              <w:rPr>
                <w:rFonts w:hint="eastAsia" w:ascii="仿宋_GB2312" w:hAnsi="仿宋_GB2312" w:eastAsia="仿宋_GB2312" w:cs="仿宋_GB2312"/>
                <w:bCs/>
                <w:color w:val="auto"/>
                <w:sz w:val="24"/>
                <w:szCs w:val="24"/>
              </w:rPr>
              <w:t>提供完善的培训方案，包括培训讲师团队、时间计划、培训内容、培训时长等内容。根据培训方案内容完整、人员合理、措施有效进行评分。</w:t>
            </w:r>
          </w:p>
          <w:p w14:paraId="09C508C0">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（评分范围：3、</w:t>
            </w:r>
            <w:r>
              <w:rPr>
                <w:rFonts w:hint="eastAsia" w:ascii="仿宋_GB2312" w:hAnsi="仿宋_GB2312" w:eastAsia="仿宋_GB2312" w:cs="仿宋_GB2312"/>
                <w:bCs/>
                <w:color w:val="auto"/>
                <w:sz w:val="24"/>
                <w:szCs w:val="24"/>
              </w:rPr>
              <w:t>2.5、</w:t>
            </w:r>
            <w:r>
              <w:rPr>
                <w:rFonts w:hint="eastAsia" w:ascii="仿宋_GB2312" w:hAnsi="仿宋_GB2312" w:eastAsia="仿宋_GB2312" w:cs="仿宋_GB2312"/>
                <w:color w:val="auto"/>
                <w:sz w:val="24"/>
                <w:szCs w:val="24"/>
              </w:rPr>
              <w:t>2、</w:t>
            </w:r>
            <w:r>
              <w:rPr>
                <w:rFonts w:hint="eastAsia" w:ascii="仿宋_GB2312" w:hAnsi="仿宋_GB2312" w:eastAsia="仿宋_GB2312" w:cs="仿宋_GB2312"/>
                <w:bCs/>
                <w:color w:val="auto"/>
                <w:sz w:val="24"/>
                <w:szCs w:val="24"/>
              </w:rPr>
              <w:t>1.5、</w:t>
            </w:r>
            <w:r>
              <w:rPr>
                <w:rFonts w:hint="eastAsia" w:ascii="仿宋_GB2312" w:hAnsi="仿宋_GB2312" w:eastAsia="仿宋_GB2312" w:cs="仿宋_GB2312"/>
                <w:color w:val="auto"/>
                <w:sz w:val="24"/>
                <w:szCs w:val="24"/>
              </w:rPr>
              <w:t>1、</w:t>
            </w:r>
            <w:r>
              <w:rPr>
                <w:rFonts w:hint="eastAsia" w:ascii="仿宋_GB2312" w:hAnsi="仿宋_GB2312" w:eastAsia="仿宋_GB2312" w:cs="仿宋_GB2312"/>
                <w:bCs/>
                <w:color w:val="auto"/>
                <w:sz w:val="24"/>
                <w:szCs w:val="24"/>
              </w:rPr>
              <w:t>0.5、</w:t>
            </w:r>
            <w:r>
              <w:rPr>
                <w:rFonts w:hint="eastAsia" w:ascii="仿宋_GB2312" w:hAnsi="仿宋_GB2312" w:eastAsia="仿宋_GB2312" w:cs="仿宋_GB2312"/>
                <w:color w:val="auto"/>
                <w:sz w:val="24"/>
                <w:szCs w:val="24"/>
              </w:rPr>
              <w:t>0分）</w:t>
            </w:r>
          </w:p>
        </w:tc>
        <w:tc>
          <w:tcPr>
            <w:tcW w:w="1031" w:type="dxa"/>
            <w:vAlign w:val="center"/>
          </w:tcPr>
          <w:p w14:paraId="302C20A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1D5B1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1" w:type="dxa"/>
            <w:vAlign w:val="center"/>
          </w:tcPr>
          <w:p w14:paraId="71885B24">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863" w:type="dxa"/>
            <w:vAlign w:val="center"/>
          </w:tcPr>
          <w:p w14:paraId="532FA073">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商务</w:t>
            </w:r>
          </w:p>
        </w:tc>
        <w:tc>
          <w:tcPr>
            <w:tcW w:w="714" w:type="dxa"/>
            <w:vAlign w:val="center"/>
          </w:tcPr>
          <w:p w14:paraId="3ABA9109">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5703" w:type="dxa"/>
            <w:vAlign w:val="center"/>
          </w:tcPr>
          <w:p w14:paraId="1BE0DE0D">
            <w:pPr>
              <w:widowControl/>
              <w:spacing w:line="300" w:lineRule="exact"/>
              <w:jc w:val="left"/>
              <w:rPr>
                <w:rFonts w:ascii="仿宋_GB2312" w:hAnsi="仿宋_GB2312" w:eastAsia="仿宋_GB2312" w:cs="仿宋_GB2312"/>
                <w:b/>
                <w:color w:val="auto"/>
                <w:kern w:val="0"/>
                <w:sz w:val="24"/>
                <w:szCs w:val="24"/>
              </w:rPr>
            </w:pPr>
            <w:r>
              <w:rPr>
                <w:rFonts w:hint="eastAsia" w:ascii="仿宋_GB2312" w:hAnsi="仿宋_GB2312" w:eastAsia="仿宋_GB2312" w:cs="仿宋_GB2312"/>
                <w:b/>
                <w:color w:val="auto"/>
                <w:kern w:val="0"/>
                <w:sz w:val="24"/>
                <w:szCs w:val="24"/>
              </w:rPr>
              <w:t>售后服务方案及承诺：</w:t>
            </w:r>
          </w:p>
          <w:p w14:paraId="2A0AF336">
            <w:pPr>
              <w:widowControl/>
              <w:spacing w:line="300" w:lineRule="exact"/>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1.承诺投标产品质量保证期超过3年的每一年加0.5分，最高得1分；（提供承诺函并加盖投标人公章）</w:t>
            </w:r>
          </w:p>
          <w:p w14:paraId="6468E3FE">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提供详细完整的“三包”措施及售后服务措施和方案（包括备品备件，7×24售后响应、服务响应时间、优惠措施等）。根据投标人提供的方案能否满足采购需求，由评标委员会成员判定评分，最高得1分。（评分范围：1、</w:t>
            </w:r>
            <w:r>
              <w:rPr>
                <w:rFonts w:hint="eastAsia" w:ascii="仿宋_GB2312" w:hAnsi="仿宋_GB2312" w:eastAsia="仿宋_GB2312" w:cs="仿宋_GB2312"/>
                <w:bCs/>
                <w:color w:val="auto"/>
                <w:sz w:val="24"/>
                <w:szCs w:val="24"/>
              </w:rPr>
              <w:t>0.5、</w:t>
            </w:r>
            <w:r>
              <w:rPr>
                <w:rFonts w:hint="eastAsia" w:ascii="仿宋_GB2312" w:hAnsi="仿宋_GB2312" w:eastAsia="仿宋_GB2312" w:cs="仿宋_GB2312"/>
                <w:color w:val="auto"/>
                <w:sz w:val="24"/>
                <w:szCs w:val="24"/>
              </w:rPr>
              <w:t>0分）</w:t>
            </w:r>
          </w:p>
        </w:tc>
        <w:tc>
          <w:tcPr>
            <w:tcW w:w="1031" w:type="dxa"/>
            <w:vAlign w:val="center"/>
          </w:tcPr>
          <w:p w14:paraId="17DF3DDF">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1为客观分，2为主观分</w:t>
            </w:r>
          </w:p>
        </w:tc>
      </w:tr>
      <w:tr w14:paraId="055F4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41" w:type="dxa"/>
            <w:vAlign w:val="center"/>
          </w:tcPr>
          <w:p w14:paraId="01C2FCC2">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863" w:type="dxa"/>
            <w:vAlign w:val="center"/>
          </w:tcPr>
          <w:p w14:paraId="0E234E44">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4C17C1C0">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w:t>
            </w:r>
          </w:p>
        </w:tc>
        <w:tc>
          <w:tcPr>
            <w:tcW w:w="5703" w:type="dxa"/>
            <w:vAlign w:val="center"/>
          </w:tcPr>
          <w:p w14:paraId="4283F3F4">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技术偏离：</w:t>
            </w:r>
          </w:p>
          <w:p w14:paraId="24793F74">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投标人根据第四章“采购需求”“《浙江省中学实验仪器设备购置项目》第二批采购项目技术要求”汇总清单，</w:t>
            </w:r>
            <w:r>
              <w:rPr>
                <w:rFonts w:hint="eastAsia" w:ascii="仿宋_GB2312" w:hAnsi="仿宋_GB2312" w:eastAsia="仿宋_GB2312" w:cs="仿宋_GB2312"/>
                <w:color w:val="auto"/>
                <w:kern w:val="2"/>
                <w:lang w:eastAsia="zh"/>
              </w:rPr>
              <w:t>技术参数指标完全符合采购需求的此项得满分</w:t>
            </w:r>
            <w:r>
              <w:rPr>
                <w:rFonts w:hint="eastAsia" w:ascii="仿宋_GB2312" w:hAnsi="仿宋_GB2312" w:eastAsia="仿宋_GB2312" w:cs="仿宋_GB2312"/>
                <w:color w:val="auto"/>
                <w:kern w:val="2"/>
              </w:rPr>
              <w:t>，每缺少一项（以汇总清单序号计数）有效承诺或每有一项负偏离的，扣减0.5分，扣完为止。</w:t>
            </w:r>
          </w:p>
        </w:tc>
        <w:tc>
          <w:tcPr>
            <w:tcW w:w="1031" w:type="dxa"/>
            <w:vAlign w:val="center"/>
          </w:tcPr>
          <w:p w14:paraId="3BD029C3">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bidi="ar"/>
              </w:rPr>
              <w:t>客观分</w:t>
            </w:r>
          </w:p>
        </w:tc>
      </w:tr>
      <w:tr w14:paraId="6D6C4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541" w:type="dxa"/>
            <w:vAlign w:val="center"/>
          </w:tcPr>
          <w:p w14:paraId="039A57B4">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863" w:type="dxa"/>
            <w:vAlign w:val="center"/>
          </w:tcPr>
          <w:p w14:paraId="484F6C78">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76A200E2">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5703" w:type="dxa"/>
            <w:vAlign w:val="center"/>
          </w:tcPr>
          <w:p w14:paraId="77D1558D">
            <w:pPr>
              <w:widowControl/>
              <w:spacing w:line="300" w:lineRule="exac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整体实施方案</w:t>
            </w:r>
          </w:p>
          <w:p w14:paraId="2AAD5079">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投标人根据项目特点提供详尽的实施方案，具体包括以下核心内容：</w:t>
            </w:r>
          </w:p>
          <w:p w14:paraId="48F7EBCB">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1.实施计划；</w:t>
            </w:r>
          </w:p>
          <w:p w14:paraId="5C16FBAE">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2.资源投入计划；</w:t>
            </w:r>
          </w:p>
          <w:p w14:paraId="15863041">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3.采购、运输、安装调试及交付方案；</w:t>
            </w:r>
          </w:p>
          <w:p w14:paraId="52FAC179">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4.项目进度计划；</w:t>
            </w:r>
          </w:p>
          <w:p w14:paraId="50196A5B">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5.风险识别与应急预案。</w:t>
            </w:r>
          </w:p>
          <w:p w14:paraId="30E6C403">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kern w:val="2"/>
              </w:rPr>
              <w:t>根据方案的完整、合理、可行性及与采购需求匹配程度进行综合评分；不符合采购需求、简略笼统无实质性内容或未提供均不得分。</w:t>
            </w:r>
          </w:p>
          <w:p w14:paraId="5744BA77">
            <w:pPr>
              <w:pStyle w:val="31"/>
              <w:spacing w:before="0" w:beforeAutospacing="0" w:after="0" w:afterAutospacing="0" w:line="300" w:lineRule="exact"/>
              <w:jc w:val="both"/>
              <w:rPr>
                <w:rFonts w:ascii="仿宋_GB2312" w:hAnsi="仿宋_GB2312" w:eastAsia="仿宋_GB2312" w:cs="仿宋_GB2312"/>
                <w:color w:val="auto"/>
                <w:kern w:val="2"/>
              </w:rPr>
            </w:pPr>
            <w:r>
              <w:rPr>
                <w:rFonts w:hint="eastAsia" w:ascii="仿宋_GB2312" w:hAnsi="仿宋_GB2312" w:eastAsia="仿宋_GB2312" w:cs="仿宋_GB2312"/>
                <w:color w:val="auto"/>
              </w:rPr>
              <w:t>（评分范围：5、4、3、2、1、0分）</w:t>
            </w:r>
          </w:p>
        </w:tc>
        <w:tc>
          <w:tcPr>
            <w:tcW w:w="1031" w:type="dxa"/>
            <w:vAlign w:val="center"/>
          </w:tcPr>
          <w:p w14:paraId="5069B27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6F1E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1" w:type="dxa"/>
            <w:vAlign w:val="center"/>
          </w:tcPr>
          <w:p w14:paraId="4CD65959">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863" w:type="dxa"/>
            <w:vAlign w:val="center"/>
          </w:tcPr>
          <w:p w14:paraId="31D39E28">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552C360B">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5703" w:type="dxa"/>
            <w:vAlign w:val="center"/>
          </w:tcPr>
          <w:p w14:paraId="2D5A2426">
            <w:pPr>
              <w:widowControl/>
              <w:spacing w:line="300" w:lineRule="exact"/>
              <w:rPr>
                <w:rFonts w:ascii="仿宋_GB2312" w:hAnsi="仿宋_GB2312" w:eastAsia="仿宋_GB2312" w:cs="仿宋_GB2312"/>
                <w:color w:val="auto"/>
                <w:kern w:val="0"/>
                <w:sz w:val="24"/>
                <w:szCs w:val="24"/>
              </w:rPr>
            </w:pPr>
            <w:r>
              <w:rPr>
                <w:rFonts w:hint="eastAsia" w:ascii="仿宋_GB2312" w:hAnsi="仿宋_GB2312" w:eastAsia="仿宋_GB2312" w:cs="仿宋_GB2312"/>
                <w:b/>
                <w:color w:val="auto"/>
                <w:kern w:val="0"/>
                <w:sz w:val="24"/>
                <w:szCs w:val="24"/>
              </w:rPr>
              <w:t>设计方案</w:t>
            </w:r>
            <w:r>
              <w:rPr>
                <w:rFonts w:hint="eastAsia" w:ascii="仿宋_GB2312" w:hAnsi="仿宋_GB2312" w:eastAsia="仿宋_GB2312" w:cs="仿宋_GB2312"/>
                <w:color w:val="auto"/>
                <w:kern w:val="0"/>
                <w:sz w:val="24"/>
                <w:szCs w:val="24"/>
              </w:rPr>
              <w:t>：</w:t>
            </w:r>
          </w:p>
          <w:p w14:paraId="1EFC59A4">
            <w:pPr>
              <w:widowControl/>
              <w:spacing w:line="300" w:lineRule="exact"/>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投标人针对本项目受益学校长兴县实验中学、湖州中学提供的实验室图纸（长兴县实验中学“</w:t>
            </w:r>
            <w:r>
              <w:rPr>
                <w:rFonts w:hint="eastAsia" w:ascii="仿宋_GB2312" w:hAnsi="仿宋_GB2312" w:eastAsia="仿宋_GB2312" w:cs="仿宋_GB2312"/>
                <w:color w:val="auto"/>
                <w:kern w:val="0"/>
                <w:sz w:val="24"/>
                <w:szCs w:val="24"/>
                <w:lang w:eastAsia="zh"/>
              </w:rPr>
              <w:t>生物</w:t>
            </w:r>
            <w:r>
              <w:rPr>
                <w:rFonts w:hint="eastAsia" w:ascii="仿宋_GB2312" w:hAnsi="仿宋_GB2312" w:eastAsia="仿宋_GB2312" w:cs="仿宋_GB2312"/>
                <w:color w:val="auto"/>
                <w:kern w:val="0"/>
                <w:sz w:val="24"/>
                <w:szCs w:val="24"/>
              </w:rPr>
              <w:t>实验室</w:t>
            </w:r>
            <w:r>
              <w:rPr>
                <w:rFonts w:hint="eastAsia" w:ascii="仿宋_GB2312" w:hAnsi="仿宋_GB2312" w:eastAsia="仿宋_GB2312" w:cs="仿宋_GB2312"/>
                <w:color w:val="auto"/>
                <w:kern w:val="0"/>
                <w:sz w:val="24"/>
                <w:szCs w:val="24"/>
                <w:lang w:eastAsia="zh"/>
              </w:rPr>
              <w:t>3</w:t>
            </w:r>
            <w:r>
              <w:rPr>
                <w:rFonts w:hint="eastAsia" w:ascii="仿宋_GB2312" w:hAnsi="仿宋_GB2312" w:eastAsia="仿宋_GB2312" w:cs="仿宋_GB2312"/>
                <w:color w:val="auto"/>
                <w:kern w:val="0"/>
                <w:sz w:val="24"/>
                <w:szCs w:val="24"/>
              </w:rPr>
              <w:t>”、湖州中学“</w:t>
            </w:r>
            <w:r>
              <w:rPr>
                <w:rFonts w:hint="eastAsia" w:ascii="仿宋_GB2312" w:hAnsi="仿宋_GB2312" w:eastAsia="仿宋_GB2312" w:cs="仿宋_GB2312"/>
                <w:color w:val="auto"/>
                <w:kern w:val="0"/>
                <w:sz w:val="24"/>
                <w:szCs w:val="24"/>
                <w:lang w:eastAsia="zh"/>
              </w:rPr>
              <w:t>理化生创新实验室1</w:t>
            </w:r>
            <w:r>
              <w:rPr>
                <w:rFonts w:hint="eastAsia" w:ascii="仿宋_GB2312" w:hAnsi="仿宋_GB2312" w:eastAsia="仿宋_GB2312" w:cs="仿宋_GB2312"/>
                <w:color w:val="auto"/>
                <w:kern w:val="0"/>
                <w:sz w:val="24"/>
                <w:szCs w:val="24"/>
              </w:rPr>
              <w:t>”“化学</w:t>
            </w:r>
            <w:r>
              <w:rPr>
                <w:rFonts w:hint="eastAsia" w:ascii="仿宋_GB2312" w:hAnsi="仿宋_GB2312" w:eastAsia="仿宋_GB2312" w:cs="仿宋_GB2312"/>
                <w:color w:val="auto"/>
                <w:kern w:val="0"/>
                <w:sz w:val="24"/>
                <w:szCs w:val="24"/>
                <w:lang w:eastAsia="zh"/>
              </w:rPr>
              <w:t>实验室1</w:t>
            </w:r>
            <w:r>
              <w:rPr>
                <w:rFonts w:hint="eastAsia" w:ascii="仿宋_GB2312" w:hAnsi="仿宋_GB2312" w:eastAsia="仿宋_GB2312" w:cs="仿宋_GB2312"/>
                <w:color w:val="auto"/>
                <w:kern w:val="0"/>
                <w:sz w:val="24"/>
                <w:szCs w:val="24"/>
              </w:rPr>
              <w:t>”“生物实验室</w:t>
            </w:r>
            <w:r>
              <w:rPr>
                <w:rFonts w:hint="eastAsia" w:ascii="仿宋_GB2312" w:hAnsi="仿宋_GB2312" w:eastAsia="仿宋_GB2312" w:cs="仿宋_GB2312"/>
                <w:color w:val="auto"/>
                <w:kern w:val="0"/>
                <w:sz w:val="24"/>
                <w:szCs w:val="24"/>
                <w:lang w:eastAsia="zh"/>
              </w:rPr>
              <w:t>1</w:t>
            </w:r>
            <w:r>
              <w:rPr>
                <w:rFonts w:hint="eastAsia" w:ascii="仿宋_GB2312" w:hAnsi="仿宋_GB2312" w:eastAsia="仿宋_GB2312" w:cs="仿宋_GB2312"/>
                <w:color w:val="auto"/>
                <w:kern w:val="0"/>
                <w:sz w:val="24"/>
                <w:szCs w:val="24"/>
              </w:rPr>
              <w:t>”），提供一套完整的图纸设计方案，方案需包含：</w:t>
            </w:r>
          </w:p>
          <w:p w14:paraId="2629D3D3">
            <w:pPr>
              <w:widowControl/>
              <w:numPr>
                <w:ilvl w:val="0"/>
                <w:numId w:val="6"/>
              </w:numPr>
              <w:spacing w:line="300" w:lineRule="exact"/>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实验室的平面布置图；</w:t>
            </w:r>
          </w:p>
          <w:p w14:paraId="4E4E67C1">
            <w:pPr>
              <w:widowControl/>
              <w:numPr>
                <w:ilvl w:val="0"/>
                <w:numId w:val="6"/>
              </w:numPr>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给排水图纸（生物、化学实验室）；</w:t>
            </w:r>
          </w:p>
          <w:p w14:paraId="1FA8CE75">
            <w:pPr>
              <w:widowControl/>
              <w:numPr>
                <w:ilvl w:val="0"/>
                <w:numId w:val="6"/>
              </w:numPr>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供电图纸（物理、化学、生物实验室）；</w:t>
            </w:r>
          </w:p>
          <w:p w14:paraId="26AA1C8B">
            <w:pPr>
              <w:widowControl/>
              <w:numPr>
                <w:ilvl w:val="0"/>
                <w:numId w:val="6"/>
              </w:numPr>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化学实验室通风设计图纸；</w:t>
            </w:r>
          </w:p>
          <w:p w14:paraId="42A9440E">
            <w:pPr>
              <w:widowControl/>
              <w:spacing w:line="300" w:lineRule="exact"/>
              <w:rPr>
                <w:rFonts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所有布局科学合理，依据清晰、设计齐全能充分满足物理、化学、生物实验室的教学流程和各类功能需求。</w:t>
            </w:r>
          </w:p>
          <w:p w14:paraId="18601094">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（评分范围：5、4、3、2、1、0分）</w:t>
            </w:r>
          </w:p>
        </w:tc>
        <w:tc>
          <w:tcPr>
            <w:tcW w:w="1031" w:type="dxa"/>
            <w:vAlign w:val="center"/>
          </w:tcPr>
          <w:p w14:paraId="7F4D8569">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61BEE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41" w:type="dxa"/>
            <w:vAlign w:val="center"/>
          </w:tcPr>
          <w:p w14:paraId="5368FB5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863" w:type="dxa"/>
            <w:vAlign w:val="center"/>
          </w:tcPr>
          <w:p w14:paraId="483765CD">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056BEECD">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5703" w:type="dxa"/>
            <w:vAlign w:val="center"/>
          </w:tcPr>
          <w:p w14:paraId="7A99AD9A">
            <w:pPr>
              <w:spacing w:line="300" w:lineRule="exact"/>
              <w:rPr>
                <w:rFonts w:ascii="仿宋_GB2312" w:hAnsi="仿宋_GB2312" w:eastAsia="仿宋_GB2312" w:cs="仿宋_GB2312"/>
                <w:b/>
                <w:color w:val="auto"/>
                <w:kern w:val="0"/>
                <w:sz w:val="24"/>
                <w:szCs w:val="24"/>
              </w:rPr>
            </w:pPr>
            <w:r>
              <w:rPr>
                <w:rFonts w:hint="eastAsia" w:ascii="仿宋_GB2312" w:hAnsi="仿宋_GB2312" w:eastAsia="仿宋_GB2312" w:cs="仿宋_GB2312"/>
                <w:b/>
                <w:color w:val="auto"/>
                <w:kern w:val="0"/>
                <w:sz w:val="24"/>
                <w:szCs w:val="24"/>
              </w:rPr>
              <w:t>质量控制方案</w:t>
            </w:r>
          </w:p>
          <w:p w14:paraId="506E9AC3">
            <w:pPr>
              <w:spacing w:line="300" w:lineRule="exact"/>
              <w:rPr>
                <w:rStyle w:val="61"/>
                <w:rFonts w:ascii="仿宋_GB2312" w:hAnsi="仿宋_GB2312" w:eastAsia="仿宋_GB2312" w:cs="仿宋_GB2312"/>
                <w:color w:val="auto"/>
                <w:lang w:val="zh-CN"/>
              </w:rPr>
            </w:pPr>
            <w:r>
              <w:rPr>
                <w:rStyle w:val="61"/>
                <w:rFonts w:hint="eastAsia" w:ascii="仿宋_GB2312" w:hAnsi="仿宋_GB2312" w:eastAsia="仿宋_GB2312" w:cs="仿宋_GB2312"/>
                <w:color w:val="auto"/>
                <w:lang w:val="zh-CN"/>
              </w:rPr>
              <w:t>根据项目特点提供详尽的质量保证方案，包括：</w:t>
            </w:r>
          </w:p>
          <w:p w14:paraId="30E61609">
            <w:pPr>
              <w:spacing w:line="300" w:lineRule="exact"/>
              <w:rPr>
                <w:rFonts w:ascii="仿宋_GB2312" w:hAnsi="仿宋_GB2312" w:eastAsia="仿宋_GB2312" w:cs="仿宋_GB2312"/>
                <w:color w:val="auto"/>
                <w:sz w:val="24"/>
                <w:szCs w:val="24"/>
                <w:lang w:val="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zh-CN"/>
              </w:rPr>
              <w:t>质量保障体系及目标；</w:t>
            </w:r>
          </w:p>
          <w:p w14:paraId="6A6F7171">
            <w:pPr>
              <w:spacing w:line="300" w:lineRule="exact"/>
              <w:rPr>
                <w:rFonts w:ascii="仿宋_GB2312" w:hAnsi="仿宋_GB2312" w:eastAsia="仿宋_GB2312" w:cs="仿宋_GB2312"/>
                <w:color w:val="auto"/>
                <w:sz w:val="24"/>
                <w:szCs w:val="24"/>
                <w:lang w:val="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zh-CN"/>
              </w:rPr>
              <w:t>质量管理制度；</w:t>
            </w:r>
          </w:p>
          <w:p w14:paraId="695D1E1B">
            <w:pPr>
              <w:spacing w:line="300" w:lineRule="exact"/>
              <w:rPr>
                <w:rFonts w:ascii="仿宋_GB2312" w:hAnsi="仿宋_GB2312" w:eastAsia="仿宋_GB2312" w:cs="仿宋_GB2312"/>
                <w:color w:val="auto"/>
                <w:sz w:val="24"/>
                <w:szCs w:val="24"/>
                <w:lang w:val="zh-CN"/>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zh-CN"/>
              </w:rPr>
              <w:t>质量保障措施；</w:t>
            </w:r>
          </w:p>
          <w:p w14:paraId="36EF780C">
            <w:pPr>
              <w:spacing w:line="300" w:lineRule="exact"/>
              <w:rPr>
                <w:rFonts w:ascii="仿宋_GB2312" w:hAnsi="仿宋_GB2312" w:eastAsia="仿宋_GB2312" w:cs="仿宋_GB2312"/>
                <w:color w:val="auto"/>
                <w:sz w:val="24"/>
                <w:szCs w:val="24"/>
                <w:lang w:val="zh-CN"/>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val="zh-CN"/>
              </w:rPr>
              <w:t>质量回访流程及方案；</w:t>
            </w:r>
          </w:p>
          <w:p w14:paraId="41FE27E0">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r>
              <w:rPr>
                <w:rFonts w:hint="eastAsia" w:ascii="仿宋_GB2312" w:hAnsi="仿宋_GB2312" w:eastAsia="仿宋_GB2312" w:cs="仿宋_GB2312"/>
                <w:color w:val="auto"/>
                <w:sz w:val="24"/>
                <w:szCs w:val="24"/>
                <w:lang w:val="zh-CN"/>
              </w:rPr>
              <w:t>在质量保证期内，对于产品质量问题造成的损坏，免费提供咨询、部件更换、维修的方案。</w:t>
            </w:r>
          </w:p>
          <w:p w14:paraId="2E886C43">
            <w:pPr>
              <w:widowControl/>
              <w:spacing w:line="300" w:lineRule="exact"/>
              <w:rPr>
                <w:rFonts w:ascii="仿宋_GB2312" w:hAnsi="仿宋_GB2312" w:eastAsia="仿宋_GB2312" w:cs="仿宋_GB2312"/>
                <w:b/>
                <w:color w:val="auto"/>
                <w:kern w:val="0"/>
                <w:sz w:val="24"/>
                <w:szCs w:val="24"/>
              </w:rPr>
            </w:pPr>
            <w:r>
              <w:rPr>
                <w:rFonts w:hint="eastAsia" w:ascii="仿宋_GB2312" w:hAnsi="仿宋_GB2312" w:eastAsia="仿宋_GB2312" w:cs="仿宋_GB2312"/>
                <w:color w:val="auto"/>
                <w:sz w:val="24"/>
                <w:szCs w:val="24"/>
              </w:rPr>
              <w:t>根据方案的全面、科学、合理、可操作性评审打分。</w:t>
            </w:r>
          </w:p>
          <w:p w14:paraId="71628CBC">
            <w:pPr>
              <w:pStyle w:val="14"/>
              <w:widowControl/>
              <w:spacing w:after="0" w:line="30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（评分范围：3、</w:t>
            </w:r>
            <w:r>
              <w:rPr>
                <w:rFonts w:hint="eastAsia" w:ascii="仿宋_GB2312" w:hAnsi="仿宋_GB2312" w:eastAsia="仿宋_GB2312" w:cs="仿宋_GB2312"/>
                <w:bCs/>
                <w:color w:val="auto"/>
                <w:sz w:val="24"/>
              </w:rPr>
              <w:t>2.5、</w:t>
            </w:r>
            <w:r>
              <w:rPr>
                <w:rFonts w:hint="eastAsia" w:ascii="仿宋_GB2312" w:hAnsi="仿宋_GB2312" w:eastAsia="仿宋_GB2312" w:cs="仿宋_GB2312"/>
                <w:color w:val="auto"/>
                <w:sz w:val="24"/>
              </w:rPr>
              <w:t>2、</w:t>
            </w:r>
            <w:r>
              <w:rPr>
                <w:rFonts w:hint="eastAsia" w:ascii="仿宋_GB2312" w:hAnsi="仿宋_GB2312" w:eastAsia="仿宋_GB2312" w:cs="仿宋_GB2312"/>
                <w:bCs/>
                <w:color w:val="auto"/>
                <w:sz w:val="24"/>
              </w:rPr>
              <w:t>1.5、</w:t>
            </w:r>
            <w:r>
              <w:rPr>
                <w:rFonts w:hint="eastAsia" w:ascii="仿宋_GB2312" w:hAnsi="仿宋_GB2312" w:eastAsia="仿宋_GB2312" w:cs="仿宋_GB2312"/>
                <w:color w:val="auto"/>
                <w:sz w:val="24"/>
              </w:rPr>
              <w:t>1、</w:t>
            </w:r>
            <w:r>
              <w:rPr>
                <w:rFonts w:hint="eastAsia" w:ascii="仿宋_GB2312" w:hAnsi="仿宋_GB2312" w:eastAsia="仿宋_GB2312" w:cs="仿宋_GB2312"/>
                <w:bCs/>
                <w:color w:val="auto"/>
                <w:sz w:val="24"/>
              </w:rPr>
              <w:t>0.5、</w:t>
            </w:r>
            <w:r>
              <w:rPr>
                <w:rFonts w:hint="eastAsia" w:ascii="仿宋_GB2312" w:hAnsi="仿宋_GB2312" w:eastAsia="仿宋_GB2312" w:cs="仿宋_GB2312"/>
                <w:color w:val="auto"/>
                <w:sz w:val="24"/>
              </w:rPr>
              <w:t>0分）</w:t>
            </w:r>
          </w:p>
        </w:tc>
        <w:tc>
          <w:tcPr>
            <w:tcW w:w="1031" w:type="dxa"/>
            <w:vAlign w:val="center"/>
          </w:tcPr>
          <w:p w14:paraId="57D45F16">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5F480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1" w:type="dxa"/>
            <w:vAlign w:val="center"/>
          </w:tcPr>
          <w:p w14:paraId="0FDE7C39">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863" w:type="dxa"/>
            <w:vAlign w:val="center"/>
          </w:tcPr>
          <w:p w14:paraId="0A2377EF">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212E54D6">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5703" w:type="dxa"/>
            <w:vAlign w:val="center"/>
          </w:tcPr>
          <w:p w14:paraId="6F4EEF13">
            <w:pPr>
              <w:widowControl/>
              <w:spacing w:line="300" w:lineRule="exact"/>
              <w:rPr>
                <w:rFonts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进度管理措施：</w:t>
            </w:r>
          </w:p>
          <w:p w14:paraId="178B5D82">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rPr>
              <w:t>投标人针对本项目提供进度保证措施和进度控制承诺（承诺函格式自拟）得2分；无相关内容不得分。</w:t>
            </w:r>
          </w:p>
        </w:tc>
        <w:tc>
          <w:tcPr>
            <w:tcW w:w="1031" w:type="dxa"/>
            <w:vAlign w:val="center"/>
          </w:tcPr>
          <w:p w14:paraId="04BBC2ED">
            <w:pPr>
              <w:widowControl/>
              <w:spacing w:line="300" w:lineRule="exac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客</w:t>
            </w:r>
            <w:r>
              <w:rPr>
                <w:rFonts w:hint="eastAsia" w:ascii="仿宋_GB2312" w:hAnsi="仿宋_GB2312" w:eastAsia="仿宋_GB2312" w:cs="仿宋_GB2312"/>
                <w:color w:val="auto"/>
                <w:sz w:val="24"/>
                <w:szCs w:val="24"/>
              </w:rPr>
              <w:t>观分</w:t>
            </w:r>
          </w:p>
        </w:tc>
      </w:tr>
      <w:tr w14:paraId="3348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41" w:type="dxa"/>
            <w:vAlign w:val="center"/>
          </w:tcPr>
          <w:p w14:paraId="4BEB1978">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p>
        </w:tc>
        <w:tc>
          <w:tcPr>
            <w:tcW w:w="863" w:type="dxa"/>
            <w:vAlign w:val="center"/>
          </w:tcPr>
          <w:p w14:paraId="621B4D8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4E8673FC">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5703" w:type="dxa"/>
            <w:vAlign w:val="center"/>
          </w:tcPr>
          <w:p w14:paraId="0EB7FA42">
            <w:pPr>
              <w:widowControl/>
              <w:spacing w:line="300" w:lineRule="exact"/>
              <w:rPr>
                <w:rFonts w:ascii="仿宋_GB2312" w:hAnsi="仿宋_GB2312" w:eastAsia="仿宋_GB2312" w:cs="仿宋_GB2312"/>
                <w:color w:val="auto"/>
                <w:kern w:val="0"/>
                <w:sz w:val="24"/>
                <w:szCs w:val="24"/>
              </w:rPr>
            </w:pPr>
            <w:r>
              <w:rPr>
                <w:rFonts w:hint="eastAsia" w:ascii="仿宋_GB2312" w:hAnsi="仿宋_GB2312" w:eastAsia="仿宋_GB2312" w:cs="仿宋_GB2312"/>
                <w:b/>
                <w:color w:val="auto"/>
                <w:kern w:val="0"/>
                <w:sz w:val="24"/>
                <w:szCs w:val="24"/>
              </w:rPr>
              <w:t>安装服务实施方案</w:t>
            </w:r>
            <w:r>
              <w:rPr>
                <w:rFonts w:hint="eastAsia" w:ascii="仿宋_GB2312" w:hAnsi="仿宋_GB2312" w:eastAsia="仿宋_GB2312" w:cs="仿宋_GB2312"/>
                <w:color w:val="auto"/>
                <w:kern w:val="0"/>
                <w:sz w:val="24"/>
                <w:szCs w:val="24"/>
              </w:rPr>
              <w:t>：</w:t>
            </w:r>
          </w:p>
          <w:p w14:paraId="39A3F711">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安装方案的制定，根据货物交付时间节点，落实送货安装时间和人员安排，确保按期交付使用。根据投标人提供的方案和措施评审打分。</w:t>
            </w:r>
          </w:p>
          <w:p w14:paraId="6754A693">
            <w:pPr>
              <w:widowControl/>
              <w:spacing w:line="300" w:lineRule="exac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（评分范围：3、</w:t>
            </w:r>
            <w:r>
              <w:rPr>
                <w:rFonts w:hint="eastAsia" w:ascii="仿宋_GB2312" w:hAnsi="仿宋_GB2312" w:eastAsia="仿宋_GB2312" w:cs="仿宋_GB2312"/>
                <w:bCs/>
                <w:color w:val="auto"/>
                <w:sz w:val="24"/>
                <w:szCs w:val="24"/>
              </w:rPr>
              <w:t>2.5、</w:t>
            </w:r>
            <w:r>
              <w:rPr>
                <w:rFonts w:hint="eastAsia" w:ascii="仿宋_GB2312" w:hAnsi="仿宋_GB2312" w:eastAsia="仿宋_GB2312" w:cs="仿宋_GB2312"/>
                <w:color w:val="auto"/>
                <w:sz w:val="24"/>
                <w:szCs w:val="24"/>
              </w:rPr>
              <w:t>2、</w:t>
            </w:r>
            <w:r>
              <w:rPr>
                <w:rFonts w:hint="eastAsia" w:ascii="仿宋_GB2312" w:hAnsi="仿宋_GB2312" w:eastAsia="仿宋_GB2312" w:cs="仿宋_GB2312"/>
                <w:bCs/>
                <w:color w:val="auto"/>
                <w:sz w:val="24"/>
                <w:szCs w:val="24"/>
              </w:rPr>
              <w:t>1.5、</w:t>
            </w:r>
            <w:r>
              <w:rPr>
                <w:rFonts w:hint="eastAsia" w:ascii="仿宋_GB2312" w:hAnsi="仿宋_GB2312" w:eastAsia="仿宋_GB2312" w:cs="仿宋_GB2312"/>
                <w:color w:val="auto"/>
                <w:sz w:val="24"/>
                <w:szCs w:val="24"/>
              </w:rPr>
              <w:t>1、</w:t>
            </w:r>
            <w:r>
              <w:rPr>
                <w:rFonts w:hint="eastAsia" w:ascii="仿宋_GB2312" w:hAnsi="仿宋_GB2312" w:eastAsia="仿宋_GB2312" w:cs="仿宋_GB2312"/>
                <w:bCs/>
                <w:color w:val="auto"/>
                <w:sz w:val="24"/>
                <w:szCs w:val="24"/>
              </w:rPr>
              <w:t>0.5、</w:t>
            </w:r>
            <w:r>
              <w:rPr>
                <w:rFonts w:hint="eastAsia" w:ascii="仿宋_GB2312" w:hAnsi="仿宋_GB2312" w:eastAsia="仿宋_GB2312" w:cs="仿宋_GB2312"/>
                <w:color w:val="auto"/>
                <w:sz w:val="24"/>
                <w:szCs w:val="24"/>
              </w:rPr>
              <w:t>0分）</w:t>
            </w:r>
          </w:p>
        </w:tc>
        <w:tc>
          <w:tcPr>
            <w:tcW w:w="1031" w:type="dxa"/>
            <w:vAlign w:val="center"/>
          </w:tcPr>
          <w:p w14:paraId="12517E22">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1AB58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1" w:type="dxa"/>
            <w:vAlign w:val="center"/>
          </w:tcPr>
          <w:p w14:paraId="1F6467A7">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863" w:type="dxa"/>
            <w:vAlign w:val="center"/>
          </w:tcPr>
          <w:p w14:paraId="2CF51E3A">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07492EF5">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
              </w:rPr>
              <w:t>5</w:t>
            </w:r>
          </w:p>
        </w:tc>
        <w:tc>
          <w:tcPr>
            <w:tcW w:w="5703" w:type="dxa"/>
            <w:vAlign w:val="center"/>
          </w:tcPr>
          <w:p w14:paraId="1EF863C3">
            <w:pPr>
              <w:pStyle w:val="31"/>
              <w:spacing w:before="0" w:beforeAutospacing="0" w:after="0" w:afterAutospacing="0" w:line="300" w:lineRule="exact"/>
              <w:jc w:val="both"/>
              <w:rPr>
                <w:rFonts w:ascii="仿宋_GB2312" w:hAnsi="仿宋_GB2312" w:eastAsia="仿宋_GB2312" w:cs="仿宋_GB2312"/>
                <w:b/>
                <w:bCs/>
                <w:color w:val="auto"/>
              </w:rPr>
            </w:pPr>
            <w:r>
              <w:rPr>
                <w:rFonts w:hint="eastAsia" w:ascii="仿宋_GB2312" w:hAnsi="仿宋_GB2312" w:eastAsia="仿宋_GB2312" w:cs="仿宋_GB2312"/>
                <w:b/>
                <w:bCs/>
                <w:color w:val="auto"/>
              </w:rPr>
              <w:t>技术团队人员配置</w:t>
            </w:r>
          </w:p>
          <w:p w14:paraId="0D24AC7F">
            <w:pPr>
              <w:pStyle w:val="31"/>
              <w:numPr>
                <w:ilvl w:val="255"/>
                <w:numId w:val="0"/>
              </w:numPr>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团队规模（</w:t>
            </w:r>
            <w:r>
              <w:rPr>
                <w:rFonts w:hint="eastAsia" w:ascii="仿宋_GB2312" w:hAnsi="仿宋_GB2312" w:eastAsia="仿宋_GB2312" w:cs="仿宋_GB2312"/>
                <w:color w:val="auto"/>
                <w:lang w:eastAsia="zh"/>
              </w:rPr>
              <w:t>3</w:t>
            </w:r>
            <w:r>
              <w:rPr>
                <w:rFonts w:hint="eastAsia" w:ascii="仿宋_GB2312" w:hAnsi="仿宋_GB2312" w:eastAsia="仿宋_GB2312" w:cs="仿宋_GB2312"/>
                <w:color w:val="auto"/>
              </w:rPr>
              <w:t>分）</w:t>
            </w:r>
          </w:p>
          <w:p w14:paraId="4E888D64">
            <w:pPr>
              <w:pStyle w:val="31"/>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根据投标人拟投入本项目的技术服务团队总人数。团队人数≥20人得3分，团队人数15-19人得2分，团队人数10-14人得1分，团队人数&lt;10人不得分。</w:t>
            </w:r>
          </w:p>
          <w:p w14:paraId="3AF3B764">
            <w:pPr>
              <w:pStyle w:val="31"/>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（注：项目技术服务团队人员须提供近3个月内1个月的社保证明，辅助岗位可外包，但需提供外包协议及人员岗位说明等，且不能超过总团队人数的20%）</w:t>
            </w:r>
          </w:p>
          <w:p w14:paraId="1C34D2CE">
            <w:pPr>
              <w:pStyle w:val="31"/>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2.团队专业资质（2分）</w:t>
            </w:r>
          </w:p>
          <w:p w14:paraId="0F265C63">
            <w:pPr>
              <w:pStyle w:val="31"/>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（1）项目负责人</w:t>
            </w:r>
            <w:r>
              <w:rPr>
                <w:rFonts w:ascii="仿宋_GB2312" w:eastAsia="仿宋_GB2312" w:cs="仿宋_GB2312"/>
                <w:bCs/>
                <w:color w:val="auto"/>
                <w:lang w:bidi="ar"/>
              </w:rPr>
              <w:t>须为</w:t>
            </w:r>
            <w:r>
              <w:rPr>
                <w:rFonts w:hint="eastAsia" w:ascii="仿宋_GB2312" w:eastAsia="仿宋_GB2312" w:cs="仿宋_GB2312"/>
                <w:bCs/>
                <w:color w:val="auto"/>
                <w:lang w:bidi="ar"/>
              </w:rPr>
              <w:t>与</w:t>
            </w:r>
            <w:r>
              <w:rPr>
                <w:rFonts w:ascii="仿宋_GB2312" w:eastAsia="仿宋_GB2312" w:cs="仿宋_GB2312"/>
                <w:bCs/>
                <w:color w:val="auto"/>
                <w:lang w:bidi="ar"/>
              </w:rPr>
              <w:t>投标人</w:t>
            </w:r>
            <w:r>
              <w:rPr>
                <w:rFonts w:hint="eastAsia" w:ascii="仿宋_GB2312" w:eastAsia="仿宋_GB2312" w:cs="仿宋_GB2312"/>
                <w:bCs/>
                <w:color w:val="auto"/>
                <w:lang w:bidi="ar"/>
              </w:rPr>
              <w:t>签订劳动合同并由投标人依法缴纳社会保险的</w:t>
            </w:r>
            <w:r>
              <w:rPr>
                <w:rFonts w:ascii="仿宋_GB2312" w:eastAsia="仿宋_GB2312" w:cs="仿宋_GB2312"/>
                <w:bCs/>
                <w:color w:val="auto"/>
                <w:lang w:bidi="ar"/>
              </w:rPr>
              <w:t>正式在</w:t>
            </w:r>
            <w:r>
              <w:rPr>
                <w:rFonts w:hint="eastAsia" w:ascii="仿宋_GB2312" w:eastAsia="仿宋_GB2312" w:cs="仿宋_GB2312"/>
                <w:bCs/>
                <w:color w:val="auto"/>
                <w:lang w:bidi="ar"/>
              </w:rPr>
              <w:t>职</w:t>
            </w:r>
            <w:r>
              <w:rPr>
                <w:rFonts w:ascii="仿宋_GB2312" w:eastAsia="仿宋_GB2312" w:cs="仿宋_GB2312"/>
                <w:bCs/>
                <w:color w:val="auto"/>
                <w:lang w:bidi="ar"/>
              </w:rPr>
              <w:t>职工</w:t>
            </w:r>
            <w:r>
              <w:rPr>
                <w:rFonts w:hint="eastAsia" w:ascii="仿宋_GB2312" w:eastAsia="仿宋_GB2312" w:cs="仿宋_GB2312"/>
                <w:bCs/>
                <w:color w:val="auto"/>
                <w:lang w:bidi="ar"/>
              </w:rPr>
              <w:t>，</w:t>
            </w:r>
            <w:r>
              <w:rPr>
                <w:rFonts w:hint="eastAsia" w:ascii="仿宋_GB2312" w:hAnsi="仿宋_GB2312" w:eastAsia="仿宋_GB2312" w:cs="仿宋_GB2312"/>
                <w:color w:val="auto"/>
              </w:rPr>
              <w:t>具有中级及以上专业技术职称证书得1分，没有或不提供不得分。（需提供职称证书扫描件及该成员近3个月内1个月社保证明，不提供不得分）</w:t>
            </w:r>
          </w:p>
          <w:p w14:paraId="785B4973">
            <w:pPr>
              <w:pStyle w:val="31"/>
              <w:spacing w:before="0" w:beforeAutospacing="0" w:after="0" w:afterAutospacing="0" w:line="300" w:lineRule="exact"/>
              <w:jc w:val="both"/>
              <w:rPr>
                <w:rFonts w:ascii="仿宋_GB2312" w:hAnsi="仿宋_GB2312" w:eastAsia="仿宋_GB2312" w:cs="仿宋_GB2312"/>
                <w:color w:val="auto"/>
              </w:rPr>
            </w:pPr>
            <w:r>
              <w:rPr>
                <w:rFonts w:hint="eastAsia" w:ascii="仿宋_GB2312" w:hAnsi="仿宋_GB2312" w:eastAsia="仿宋_GB2312" w:cs="仿宋_GB2312"/>
                <w:color w:val="auto"/>
              </w:rPr>
              <w:t>（2）技术服务团队成员中，每具有1人持有电气、给排水、自动化、计算机、信息系统、系统集成等专业技术资格或职业技术资格（证书颁发机构限国家人社部、工信部、相关行政部门、事业单位或高校，须提供证书扫描件和人员名单），得0.25分。单人多证不重复计分，本项最高得1分。（需提供证书复印件及该成员近3个月内1个月社保证明，不提供不得分）。</w:t>
            </w:r>
          </w:p>
        </w:tc>
        <w:tc>
          <w:tcPr>
            <w:tcW w:w="1031" w:type="dxa"/>
            <w:vAlign w:val="center"/>
          </w:tcPr>
          <w:p w14:paraId="688386C5">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客观分</w:t>
            </w:r>
          </w:p>
        </w:tc>
      </w:tr>
      <w:tr w14:paraId="40CD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541" w:type="dxa"/>
            <w:vAlign w:val="center"/>
          </w:tcPr>
          <w:p w14:paraId="6DCE4581">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w:t>
            </w:r>
          </w:p>
        </w:tc>
        <w:tc>
          <w:tcPr>
            <w:tcW w:w="863" w:type="dxa"/>
            <w:vAlign w:val="center"/>
          </w:tcPr>
          <w:p w14:paraId="7733CEAB">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技术</w:t>
            </w:r>
          </w:p>
        </w:tc>
        <w:tc>
          <w:tcPr>
            <w:tcW w:w="714" w:type="dxa"/>
            <w:vAlign w:val="center"/>
          </w:tcPr>
          <w:p w14:paraId="2DB55C44">
            <w:pPr>
              <w:widowControl/>
              <w:spacing w:line="300" w:lineRule="exact"/>
              <w:jc w:val="center"/>
              <w:rPr>
                <w:rFonts w:ascii="仿宋_GB2312" w:hAnsi="仿宋_GB2312" w:eastAsia="仿宋_GB2312" w:cs="仿宋_GB2312"/>
                <w:color w:val="auto"/>
                <w:sz w:val="24"/>
                <w:szCs w:val="24"/>
              </w:rPr>
            </w:pPr>
          </w:p>
          <w:p w14:paraId="7AE05053">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5703" w:type="dxa"/>
            <w:vAlign w:val="center"/>
          </w:tcPr>
          <w:p w14:paraId="788598D4">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样品展示要求：</w:t>
            </w:r>
          </w:p>
          <w:p w14:paraId="27B8B3E4">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 xml:space="preserve">   投标人须按招标文件要求提供的样品必须可正常通电运行的完整成品，且需自带必要的电源适配器、连接线缆、配套附件等，确保在招标人指定的展示环境下可直接开机并运行基础功能。投标人须自带证明文件，已验证参数真实性（包括但不限于产品说明书、检测报告、认证证书等）。开不了机或无法进行现场展示操作的不得分。</w:t>
            </w:r>
          </w:p>
          <w:p w14:paraId="1FF234B8">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样品评分：</w:t>
            </w:r>
          </w:p>
          <w:p w14:paraId="4A4432E7">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一、汇总清单序号455学生实验台1（包含学生安全电源）（3分）</w:t>
            </w:r>
          </w:p>
          <w:p w14:paraId="4EFB4DE0">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1.样品部件的喷塑均匀，塑料部件的光泽度饱满，牢固稳定扎实；工艺好；</w:t>
            </w:r>
          </w:p>
          <w:p w14:paraId="3CADFAD0">
            <w:pPr>
              <w:widowControl/>
              <w:jc w:val="left"/>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2.台面四周阻水边流畅连续、无明显接缝</w:t>
            </w:r>
            <w:r>
              <w:rPr>
                <w:rFonts w:hint="eastAsia" w:ascii="仿宋_GB2312" w:hAnsi="仿宋_GB2312" w:eastAsia="仿宋_GB2312" w:cs="仿宋_GB2312"/>
                <w:color w:val="auto"/>
                <w:sz w:val="24"/>
                <w:szCs w:val="24"/>
              </w:rPr>
              <w:t>；</w:t>
            </w:r>
          </w:p>
          <w:p w14:paraId="75A8D928">
            <w:pPr>
              <w:widowControl/>
              <w:jc w:val="left"/>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rPr>
              <w:t>实验电源数显数值清晰直观，</w:t>
            </w:r>
            <w:r>
              <w:rPr>
                <w:rFonts w:hint="eastAsia" w:ascii="仿宋_GB2312" w:hAnsi="仿宋_GB2312" w:eastAsia="仿宋_GB2312" w:cs="仿宋_GB2312"/>
                <w:bCs/>
                <w:color w:val="auto"/>
                <w:sz w:val="24"/>
                <w:szCs w:val="24"/>
              </w:rPr>
              <w:t>数字显示无跳变</w:t>
            </w:r>
            <w:r>
              <w:rPr>
                <w:rFonts w:hint="eastAsia" w:ascii="仿宋_GB2312" w:hAnsi="仿宋_GB2312" w:eastAsia="仿宋_GB2312" w:cs="仿宋_GB2312"/>
                <w:color w:val="auto"/>
                <w:sz w:val="24"/>
                <w:szCs w:val="24"/>
              </w:rPr>
              <w:t>。</w:t>
            </w:r>
          </w:p>
          <w:p w14:paraId="731D5E25">
            <w:pPr>
              <w:widowControl/>
              <w:jc w:val="left"/>
              <w:rPr>
                <w:rFonts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（评分范围：3、2.5、2、1.5、1、0.5、0）</w:t>
            </w:r>
          </w:p>
          <w:p w14:paraId="6C53BCCC">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二、汇总清单序号364数码液晶显微镜样品（3分）</w:t>
            </w:r>
          </w:p>
          <w:p w14:paraId="35C5289F">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1.外观材质：表面光滑平整，无毛刺，无裸漏螺钉；表面涂层均匀，无褪色；</w:t>
            </w:r>
          </w:p>
          <w:p w14:paraId="73E088D9">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2.工艺细节：载物台卡位两片切片稳定牢固，显微镜机身USB接口与智能终端（平板）插拔有阻尼感。智能终端（平板）放置在显微镜上定位稳定，拆装有阻尼感；</w:t>
            </w:r>
          </w:p>
          <w:p w14:paraId="4C8738AF">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3.结构稳定：整机结构稳定，部件紧凑。</w:t>
            </w:r>
          </w:p>
          <w:p w14:paraId="49529602">
            <w:pPr>
              <w:widowControl/>
              <w:jc w:val="left"/>
              <w:rPr>
                <w:rFonts w:ascii="仿宋_GB2312" w:hAnsi="仿宋_GB2312" w:eastAsia="仿宋_GB2312" w:cs="仿宋_GB2312"/>
                <w:bCs/>
                <w:color w:val="auto"/>
                <w:sz w:val="24"/>
                <w:szCs w:val="24"/>
              </w:rPr>
            </w:pPr>
            <w:r>
              <w:rPr>
                <w:rFonts w:hint="eastAsia" w:ascii="仿宋_GB2312" w:hAnsi="仿宋_GB2312" w:eastAsia="仿宋_GB2312" w:cs="仿宋_GB2312"/>
                <w:bCs/>
                <w:color w:val="auto"/>
                <w:sz w:val="24"/>
                <w:szCs w:val="24"/>
              </w:rPr>
              <w:t>（评分范围：3、2.5、2、1.5、1、0.5、0）</w:t>
            </w:r>
          </w:p>
          <w:p w14:paraId="5BC4CCFC">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三、汇总清单序号211机械能守恒实验器样品（3分）</w:t>
            </w:r>
          </w:p>
          <w:p w14:paraId="299A79F3">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 w:hAnsi="仿宋" w:eastAsia="仿宋" w:cs="仿宋"/>
                <w:color w:val="auto"/>
                <w:kern w:val="0"/>
                <w:sz w:val="24"/>
                <w:szCs w:val="24"/>
              </w:rPr>
              <w:t>挡光片拔插安装均方便，与光电门装配位置合理，摆动运行过程中无干涉、碰触风险，结构布局科学规范</w:t>
            </w:r>
            <w:r>
              <w:rPr>
                <w:rFonts w:hint="eastAsia" w:ascii="仿宋_GB2312" w:hAnsi="仿宋_GB2312" w:eastAsia="仿宋_GB2312" w:cs="仿宋_GB2312"/>
                <w:color w:val="auto"/>
                <w:sz w:val="24"/>
                <w:szCs w:val="24"/>
              </w:rPr>
              <w:t>；</w:t>
            </w:r>
          </w:p>
          <w:p w14:paraId="60B12F87">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2.挡光片的触摸感应点结构完整、布局规整、标识清晰，设计合理；</w:t>
            </w:r>
          </w:p>
          <w:p w14:paraId="40615C7E">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3.样品外表面应光洁，无划痕、无污染；按键清晰，回弹有力，结构牢固。</w:t>
            </w:r>
          </w:p>
          <w:p w14:paraId="7DC93CC7">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（评分范围：3、2.5、2、1.5、1、0.5、0）</w:t>
            </w:r>
          </w:p>
          <w:p w14:paraId="765CDCD7">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四、汇总清单序号311色度传感器样品（3分）</w:t>
            </w:r>
          </w:p>
          <w:p w14:paraId="0993E3FE">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 w:hAnsi="仿宋" w:eastAsia="仿宋" w:cs="仿宋"/>
                <w:color w:val="auto"/>
                <w:kern w:val="0"/>
                <w:sz w:val="24"/>
                <w:szCs w:val="24"/>
              </w:rPr>
              <w:t>比色皿同时装入比色皿卡槽轻按即可卡紧，无松动无偏移，装配牢固可靠，使用过程中无位移风险，卡槽调节时具有明显电机阻尼回弹感，仓盖闭合稳固，不易意外翻开</w:t>
            </w:r>
            <w:r>
              <w:rPr>
                <w:rFonts w:hint="eastAsia" w:ascii="仿宋_GB2312" w:hAnsi="仿宋_GB2312" w:eastAsia="仿宋_GB2312" w:cs="仿宋_GB2312"/>
                <w:color w:val="auto"/>
                <w:sz w:val="24"/>
                <w:szCs w:val="24"/>
              </w:rPr>
              <w:t>。</w:t>
            </w:r>
          </w:p>
          <w:p w14:paraId="518E49E0">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2.设备结构紧凑、体积小巧布局合理，便于操作放置，</w:t>
            </w:r>
            <w:r>
              <w:rPr>
                <w:rFonts w:hint="eastAsia" w:ascii="仿宋" w:hAnsi="仿宋" w:eastAsia="仿宋" w:cs="仿宋"/>
                <w:color w:val="auto"/>
                <w:kern w:val="0"/>
                <w:sz w:val="24"/>
                <w:szCs w:val="24"/>
              </w:rPr>
              <w:t>电源开关按键及各功能指示灯</w:t>
            </w:r>
            <w:r>
              <w:rPr>
                <w:rFonts w:hint="eastAsia" w:ascii="仿宋_GB2312" w:hAnsi="仿宋_GB2312" w:eastAsia="仿宋_GB2312" w:cs="仿宋_GB2312"/>
                <w:color w:val="auto"/>
                <w:sz w:val="24"/>
                <w:szCs w:val="24"/>
              </w:rPr>
              <w:t>（电源、蓝牙、数据等）</w:t>
            </w:r>
            <w:r>
              <w:rPr>
                <w:rFonts w:hint="eastAsia" w:ascii="仿宋" w:hAnsi="仿宋" w:eastAsia="仿宋" w:cs="仿宋"/>
                <w:color w:val="auto"/>
                <w:kern w:val="0"/>
                <w:sz w:val="24"/>
                <w:szCs w:val="24"/>
              </w:rPr>
              <w:t>标识清晰，指示功能正常，</w:t>
            </w:r>
            <w:r>
              <w:rPr>
                <w:rFonts w:hint="eastAsia" w:ascii="仿宋_GB2312" w:hAnsi="仿宋_GB2312" w:eastAsia="仿宋_GB2312" w:cs="仿宋_GB2312"/>
                <w:color w:val="auto"/>
                <w:sz w:val="24"/>
                <w:szCs w:val="24"/>
              </w:rPr>
              <w:t>接口插拔顺畅。</w:t>
            </w:r>
          </w:p>
          <w:p w14:paraId="5452BDC2">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3.样品外表面应光洁，无划痕、无污染；按键清晰，回弹有力，结构牢固。</w:t>
            </w:r>
          </w:p>
          <w:p w14:paraId="08D1F203">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（评分范围：3、2.5、2、1.5、1、0.5、0）</w:t>
            </w:r>
          </w:p>
          <w:p w14:paraId="586C1CFA">
            <w:pPr>
              <w:widowControl/>
              <w:jc w:val="left"/>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五、汇总清单序号508智能数字实验盘样品（3分）</w:t>
            </w:r>
          </w:p>
          <w:p w14:paraId="7E50A54B">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 w:hAnsi="仿宋" w:eastAsia="仿宋" w:cs="仿宋"/>
                <w:color w:val="auto"/>
                <w:kern w:val="0"/>
                <w:sz w:val="24"/>
                <w:szCs w:val="24"/>
              </w:rPr>
              <w:t>同时插接好</w:t>
            </w:r>
            <w:r>
              <w:rPr>
                <w:rFonts w:ascii="仿宋" w:hAnsi="仿宋" w:eastAsia="仿宋" w:cs="仿宋"/>
                <w:color w:val="auto"/>
                <w:kern w:val="0"/>
                <w:sz w:val="24"/>
                <w:szCs w:val="24"/>
              </w:rPr>
              <w:t>7</w:t>
            </w:r>
            <w:r>
              <w:rPr>
                <w:rFonts w:hint="eastAsia" w:ascii="仿宋" w:hAnsi="仿宋" w:eastAsia="仿宋" w:cs="仿宋"/>
                <w:color w:val="auto"/>
                <w:kern w:val="0"/>
                <w:sz w:val="24"/>
                <w:szCs w:val="24"/>
              </w:rPr>
              <w:t>种及以上传感器，接插稳固</w:t>
            </w:r>
            <w:r>
              <w:rPr>
                <w:rFonts w:hint="eastAsia" w:ascii="仿宋_GB2312" w:hAnsi="仿宋_GB2312" w:eastAsia="仿宋_GB2312" w:cs="仿宋_GB2312"/>
                <w:color w:val="auto"/>
                <w:sz w:val="24"/>
                <w:szCs w:val="24"/>
              </w:rPr>
              <w:t>，连接紧密；</w:t>
            </w:r>
          </w:p>
          <w:p w14:paraId="114204CE">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2.数据显示画面切换流畅、数据清晰直观。</w:t>
            </w:r>
          </w:p>
          <w:p w14:paraId="0AC8883A">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3.样品外表面应光洁，无划痕、无污染，按键清晰，回弹有力，结构牢固。</w:t>
            </w:r>
          </w:p>
          <w:p w14:paraId="332C884D">
            <w:pPr>
              <w:widowControl/>
              <w:jc w:val="left"/>
              <w:rPr>
                <w:rFonts w:ascii="仿宋_GB2312" w:hAnsi="仿宋_GB2312" w:eastAsia="仿宋_GB2312" w:cs="仿宋_GB2312"/>
                <w:color w:val="auto"/>
                <w:sz w:val="24"/>
                <w:szCs w:val="24"/>
              </w:rPr>
            </w:pPr>
            <w:r>
              <w:rPr>
                <w:rFonts w:hint="eastAsia" w:ascii="仿宋_GB2312" w:hAnsi="仿宋_GB2312" w:eastAsia="仿宋_GB2312" w:cs="仿宋_GB2312"/>
                <w:bCs/>
                <w:color w:val="auto"/>
                <w:sz w:val="24"/>
                <w:szCs w:val="24"/>
              </w:rPr>
              <w:t>（评分范围：3、2.5、2、1.5、1、0.5、0）</w:t>
            </w:r>
          </w:p>
        </w:tc>
        <w:tc>
          <w:tcPr>
            <w:tcW w:w="1031" w:type="dxa"/>
            <w:vAlign w:val="center"/>
          </w:tcPr>
          <w:p w14:paraId="48A0F7DD">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主观分</w:t>
            </w:r>
          </w:p>
        </w:tc>
      </w:tr>
      <w:tr w14:paraId="08CD5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41" w:type="dxa"/>
            <w:vAlign w:val="center"/>
          </w:tcPr>
          <w:p w14:paraId="049BFB5C">
            <w:pPr>
              <w:widowControl/>
              <w:spacing w:line="300" w:lineRule="exact"/>
              <w:jc w:val="center"/>
              <w:rPr>
                <w:rFonts w:ascii="仿宋_GB2312" w:hAnsi="仿宋_GB2312" w:eastAsia="仿宋_GB2312" w:cs="仿宋_GB2312"/>
                <w:color w:val="auto"/>
                <w:sz w:val="24"/>
                <w:szCs w:val="24"/>
              </w:rPr>
            </w:pPr>
          </w:p>
        </w:tc>
        <w:tc>
          <w:tcPr>
            <w:tcW w:w="863" w:type="dxa"/>
            <w:vAlign w:val="center"/>
          </w:tcPr>
          <w:p w14:paraId="441AED2E">
            <w:pPr>
              <w:widowControl/>
              <w:spacing w:line="300" w:lineRule="exact"/>
              <w:jc w:val="center"/>
              <w:rPr>
                <w:rFonts w:ascii="仿宋_GB2312" w:hAnsi="仿宋_GB2312" w:eastAsia="仿宋_GB2312" w:cs="仿宋_GB2312"/>
                <w:color w:val="auto"/>
                <w:sz w:val="24"/>
                <w:szCs w:val="24"/>
              </w:rPr>
            </w:pPr>
          </w:p>
        </w:tc>
        <w:tc>
          <w:tcPr>
            <w:tcW w:w="714" w:type="dxa"/>
            <w:vAlign w:val="center"/>
          </w:tcPr>
          <w:p w14:paraId="5716F0E1">
            <w:pPr>
              <w:widowControl/>
              <w:spacing w:line="300" w:lineRule="exac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fldChar w:fldCharType="begin"/>
            </w:r>
            <w:r>
              <w:rPr>
                <w:rFonts w:hint="eastAsia" w:ascii="仿宋_GB2312" w:hAnsi="仿宋_GB2312" w:eastAsia="仿宋_GB2312" w:cs="仿宋_GB2312"/>
                <w:color w:val="auto"/>
                <w:sz w:val="24"/>
                <w:szCs w:val="24"/>
              </w:rPr>
              <w:instrText xml:space="preserve"> =SUM(ABOVE) </w:instrText>
            </w:r>
            <w:r>
              <w:rPr>
                <w:rFonts w:hint="eastAsia" w:ascii="仿宋_GB2312" w:hAnsi="仿宋_GB2312" w:eastAsia="仿宋_GB2312" w:cs="仿宋_GB2312"/>
                <w:color w:val="auto"/>
                <w:sz w:val="24"/>
                <w:szCs w:val="24"/>
              </w:rPr>
              <w:fldChar w:fldCharType="separate"/>
            </w:r>
            <w:r>
              <w:rPr>
                <w:rFonts w:hint="eastAsia" w:ascii="仿宋_GB2312" w:hAnsi="仿宋_GB2312" w:eastAsia="仿宋_GB2312" w:cs="仿宋_GB2312"/>
                <w:color w:val="auto"/>
                <w:sz w:val="24"/>
                <w:szCs w:val="24"/>
              </w:rPr>
              <w:t>100</w:t>
            </w:r>
            <w:r>
              <w:rPr>
                <w:rFonts w:hint="eastAsia" w:ascii="仿宋_GB2312" w:hAnsi="仿宋_GB2312" w:eastAsia="仿宋_GB2312" w:cs="仿宋_GB2312"/>
                <w:color w:val="auto"/>
                <w:sz w:val="24"/>
                <w:szCs w:val="24"/>
              </w:rPr>
              <w:fldChar w:fldCharType="end"/>
            </w:r>
          </w:p>
        </w:tc>
        <w:tc>
          <w:tcPr>
            <w:tcW w:w="5703" w:type="dxa"/>
            <w:vAlign w:val="center"/>
          </w:tcPr>
          <w:p w14:paraId="6091433D">
            <w:pPr>
              <w:widowControl/>
              <w:spacing w:line="300" w:lineRule="exact"/>
              <w:rPr>
                <w:rFonts w:ascii="仿宋_GB2312" w:hAnsi="仿宋_GB2312" w:eastAsia="仿宋_GB2312" w:cs="仿宋_GB2312"/>
                <w:color w:val="auto"/>
                <w:sz w:val="24"/>
                <w:szCs w:val="24"/>
              </w:rPr>
            </w:pPr>
          </w:p>
        </w:tc>
        <w:tc>
          <w:tcPr>
            <w:tcW w:w="1031" w:type="dxa"/>
            <w:vAlign w:val="center"/>
          </w:tcPr>
          <w:p w14:paraId="39A7D286">
            <w:pPr>
              <w:widowControl/>
              <w:spacing w:line="300" w:lineRule="exact"/>
              <w:jc w:val="center"/>
              <w:rPr>
                <w:rFonts w:ascii="仿宋_GB2312" w:hAnsi="仿宋_GB2312" w:eastAsia="仿宋_GB2312" w:cs="仿宋_GB2312"/>
                <w:color w:val="auto"/>
                <w:sz w:val="24"/>
                <w:szCs w:val="24"/>
              </w:rPr>
            </w:pPr>
          </w:p>
        </w:tc>
      </w:tr>
      <w:bookmarkEnd w:id="8"/>
      <w:bookmarkEnd w:id="9"/>
      <w:bookmarkEnd w:id="10"/>
      <w:bookmarkEnd w:id="13"/>
      <w:bookmarkEnd w:id="14"/>
      <w:bookmarkEnd w:id="15"/>
      <w:bookmarkEnd w:id="16"/>
      <w:bookmarkEnd w:id="21"/>
      <w:bookmarkEnd w:id="22"/>
    </w:tbl>
    <w:p w14:paraId="6B705F3A">
      <w:pPr>
        <w:rPr>
          <w:rFonts w:ascii="方正仿宋_GB2312" w:hAnsi="方正仿宋_GB2312" w:eastAsia="方正仿宋_GB2312" w:cs="方正仿宋_GB2312"/>
          <w:color w:val="auto"/>
          <w:sz w:val="28"/>
          <w:szCs w:val="28"/>
        </w:rPr>
      </w:pPr>
      <w:bookmarkStart w:id="24" w:name="_Toc421271117"/>
      <w:bookmarkStart w:id="25" w:name="_Toc11874"/>
      <w:bookmarkStart w:id="26" w:name="_Toc109755340"/>
      <w:bookmarkStart w:id="27" w:name="_Toc403051096"/>
      <w:bookmarkStart w:id="28" w:name="_Toc20327"/>
      <w:r>
        <w:rPr>
          <w:rFonts w:hint="eastAsia" w:ascii="方正仿宋_GB2312" w:hAnsi="方正仿宋_GB2312" w:eastAsia="方正仿宋_GB2312" w:cs="方正仿宋_GB2312"/>
          <w:color w:val="auto"/>
          <w:sz w:val="28"/>
          <w:szCs w:val="28"/>
        </w:rPr>
        <w:br w:type="page"/>
      </w:r>
    </w:p>
    <w:p w14:paraId="71ECB674">
      <w:pPr>
        <w:pStyle w:val="2"/>
        <w:pageBreakBefore/>
        <w:spacing w:before="240" w:beforeLines="100"/>
        <w:rPr>
          <w:rFonts w:ascii="仿宋_GB2312" w:eastAsia="仿宋_GB2312"/>
          <w:color w:val="auto"/>
        </w:rPr>
      </w:pPr>
      <w:bookmarkStart w:id="29" w:name="_Toc1784233009"/>
      <w:r>
        <w:rPr>
          <w:rFonts w:hint="eastAsia" w:ascii="仿宋_GB2312" w:eastAsia="仿宋_GB2312"/>
          <w:color w:val="auto"/>
        </w:rPr>
        <w:t>第四章  招标需求</w:t>
      </w:r>
      <w:bookmarkEnd w:id="29"/>
    </w:p>
    <w:p w14:paraId="5E952A06">
      <w:pPr>
        <w:wordWrap w:val="0"/>
        <w:spacing w:line="360" w:lineRule="auto"/>
        <w:ind w:firstLine="562" w:firstLineChars="200"/>
        <w:rPr>
          <w:b/>
          <w:color w:val="auto"/>
          <w:sz w:val="28"/>
          <w:szCs w:val="28"/>
          <w:u w:val="single"/>
          <w:lang w:val="zh-CN"/>
        </w:rPr>
      </w:pPr>
      <w:r>
        <w:rPr>
          <w:rFonts w:hint="eastAsia"/>
          <w:b/>
          <w:color w:val="auto"/>
          <w:sz w:val="28"/>
          <w:szCs w:val="28"/>
          <w:u w:val="single"/>
          <w:lang w:val="zh-CN"/>
        </w:rPr>
        <w:t>说明：</w:t>
      </w:r>
    </w:p>
    <w:p w14:paraId="2413553C">
      <w:pPr>
        <w:wordWrap w:val="0"/>
        <w:spacing w:line="360" w:lineRule="auto"/>
        <w:ind w:firstLine="562" w:firstLineChars="200"/>
        <w:rPr>
          <w:b/>
          <w:color w:val="auto"/>
          <w:sz w:val="28"/>
          <w:szCs w:val="28"/>
          <w:u w:val="single"/>
          <w:lang w:val="zh-CN"/>
        </w:rPr>
      </w:pPr>
      <w:r>
        <w:rPr>
          <w:rFonts w:hint="eastAsia"/>
          <w:b/>
          <w:color w:val="auto"/>
          <w:sz w:val="28"/>
          <w:szCs w:val="28"/>
          <w:u w:val="single"/>
          <w:lang w:val="zh-CN"/>
        </w:rPr>
        <w:t>1.“▲ ”号标注的内容为实质性要求，应当满足或优于，否则按照无效投标处理。</w:t>
      </w:r>
    </w:p>
    <w:p w14:paraId="6D77891F">
      <w:pPr>
        <w:widowControl/>
        <w:wordWrap w:val="0"/>
        <w:spacing w:line="360" w:lineRule="auto"/>
        <w:ind w:firstLine="562" w:firstLineChars="200"/>
        <w:rPr>
          <w:b/>
          <w:color w:val="auto"/>
          <w:sz w:val="28"/>
          <w:szCs w:val="28"/>
          <w:u w:val="single"/>
          <w:lang w:val="zh-CN"/>
        </w:rPr>
      </w:pPr>
      <w:r>
        <w:rPr>
          <w:rFonts w:hint="eastAsia"/>
          <w:b/>
          <w:color w:val="auto"/>
          <w:sz w:val="28"/>
          <w:szCs w:val="28"/>
          <w:u w:val="single"/>
          <w:lang w:val="zh-CN"/>
        </w:rPr>
        <w:t>2.采购清单注明“核心产品”的，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p>
    <w:p w14:paraId="202AB417">
      <w:pPr>
        <w:wordWrap w:val="0"/>
        <w:spacing w:line="360" w:lineRule="auto"/>
        <w:ind w:firstLine="562" w:firstLineChars="200"/>
        <w:rPr>
          <w:b/>
          <w:color w:val="auto"/>
          <w:sz w:val="28"/>
          <w:szCs w:val="28"/>
          <w:u w:val="single"/>
          <w:lang w:val="zh-CN"/>
        </w:rPr>
      </w:pPr>
      <w:r>
        <w:rPr>
          <w:rFonts w:hint="eastAsia"/>
          <w:b/>
          <w:color w:val="auto"/>
          <w:sz w:val="28"/>
          <w:szCs w:val="28"/>
          <w:u w:val="single"/>
          <w:lang w:val="zh-CN"/>
        </w:rPr>
        <w:t>3.采购清单注明需要检测报告的，</w:t>
      </w:r>
      <w:r>
        <w:rPr>
          <w:rFonts w:hint="eastAsia"/>
          <w:b/>
          <w:color w:val="auto"/>
          <w:sz w:val="28"/>
          <w:szCs w:val="28"/>
          <w:u w:val="single"/>
        </w:rPr>
        <w:t>按照采购清单要求提供或</w:t>
      </w:r>
      <w:r>
        <w:rPr>
          <w:rFonts w:hint="eastAsia"/>
          <w:b/>
          <w:color w:val="auto"/>
          <w:sz w:val="28"/>
          <w:szCs w:val="28"/>
          <w:u w:val="single"/>
          <w:lang w:val="zh-CN"/>
        </w:rPr>
        <w:t>承诺</w:t>
      </w:r>
      <w:r>
        <w:rPr>
          <w:rFonts w:hint="eastAsia"/>
          <w:b/>
          <w:color w:val="auto"/>
          <w:sz w:val="28"/>
          <w:szCs w:val="28"/>
          <w:u w:val="single"/>
        </w:rPr>
        <w:t>中标后与样板间一起</w:t>
      </w:r>
      <w:r>
        <w:rPr>
          <w:rFonts w:hint="eastAsia"/>
          <w:b/>
          <w:color w:val="auto"/>
          <w:sz w:val="28"/>
          <w:szCs w:val="28"/>
          <w:u w:val="single"/>
          <w:lang w:val="zh-CN"/>
        </w:rPr>
        <w:t>提供符合要求的检测报告。</w:t>
      </w:r>
    </w:p>
    <w:p w14:paraId="78F25D9E">
      <w:pPr>
        <w:numPr>
          <w:ilvl w:val="0"/>
          <w:numId w:val="7"/>
        </w:numPr>
        <w:spacing w:line="440" w:lineRule="exact"/>
        <w:ind w:firstLine="600" w:firstLineChars="200"/>
        <w:outlineLvl w:val="1"/>
        <w:rPr>
          <w:rFonts w:ascii="黑体" w:hAnsi="黑体" w:eastAsia="黑体"/>
          <w:color w:val="auto"/>
          <w:sz w:val="30"/>
          <w:szCs w:val="30"/>
        </w:rPr>
      </w:pPr>
      <w:r>
        <w:rPr>
          <w:rFonts w:hint="eastAsia" w:ascii="黑体" w:hAnsi="黑体" w:eastAsia="黑体"/>
          <w:color w:val="auto"/>
          <w:sz w:val="30"/>
          <w:szCs w:val="30"/>
        </w:rPr>
        <w:t>采购内容</w:t>
      </w:r>
    </w:p>
    <w:p w14:paraId="60E10FAB">
      <w:pPr>
        <w:spacing w:line="440" w:lineRule="atLeas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（一）项目概况</w:t>
      </w:r>
    </w:p>
    <w:p w14:paraId="5C81E433">
      <w:pPr>
        <w:spacing w:line="440" w:lineRule="atLeast"/>
        <w:ind w:firstLine="420"/>
        <w:rPr>
          <w:rFonts w:ascii="仿宋_GB2312" w:hAnsi="仿宋_GB2312" w:eastAsia="仿宋_GB2312" w:cs="仿宋_GB2312"/>
          <w:color w:val="auto"/>
          <w:sz w:val="28"/>
          <w:szCs w:val="36"/>
        </w:rPr>
      </w:pPr>
      <w:r>
        <w:rPr>
          <w:rFonts w:hint="eastAsia" w:ascii="仿宋_GB2312" w:hAnsi="仿宋_GB2312" w:eastAsia="仿宋_GB2312" w:cs="仿宋_GB2312"/>
          <w:color w:val="auto"/>
          <w:sz w:val="28"/>
          <w:szCs w:val="36"/>
        </w:rPr>
        <w:t xml:space="preserve">实验教学是国家课程方案和课程标准规定的重要教学内容，是培养创新人才的重要途径。实验仪器设备作为中学教育中不可或缺的一部分，它不仅是学生实践操作的重要工具，也是培养学生科学素养和探究能力的重要载体。目前，浙江省各地初高中学校的实验装备存在以下情况。一是实验教学资源生均比不平衡，导致分配不均，影响学生实验课效果；二是部分学校实验仪器设备陈旧，性能相对落后，实验室基本没有进行改造，实验室规模和仪器设备已经满足不了日常教学需要；三是部分地区新建的学校将于2026年内投入使用，但相应实验仪器设备尚未配备，十分影响学校办学效益；四是初高中阶段，学生学科实验繁多，所需实验资源也多种多样；五是随着教育改革深入推进、教育技术的不断发展和对科学教育工作要求的日益提高，大部分学校现有实验装备已落后于教育现代化发展，创新型实验室需求日益增加。 </w:t>
      </w:r>
      <w:r>
        <w:rPr>
          <w:rFonts w:hint="eastAsia" w:ascii="仿宋_GB2312" w:hAnsi="仿宋_GB2312" w:eastAsia="仿宋_GB2312" w:cs="仿宋_GB2312"/>
          <w:color w:val="auto"/>
          <w:sz w:val="28"/>
          <w:szCs w:val="36"/>
        </w:rPr>
        <w:tab/>
      </w:r>
    </w:p>
    <w:p w14:paraId="6CC3B632">
      <w:pPr>
        <w:spacing w:line="440" w:lineRule="atLeast"/>
        <w:ind w:firstLine="420"/>
        <w:rPr>
          <w:rFonts w:ascii="仿宋_GB2312" w:hAnsi="仿宋_GB2312" w:eastAsia="仿宋_GB2312" w:cs="仿宋_GB2312"/>
          <w:color w:val="auto"/>
          <w:sz w:val="28"/>
          <w:szCs w:val="36"/>
        </w:rPr>
      </w:pPr>
      <w:r>
        <w:rPr>
          <w:rFonts w:hint="eastAsia" w:ascii="仿宋_GB2312" w:hAnsi="仿宋_GB2312" w:eastAsia="仿宋_GB2312" w:cs="仿宋_GB2312"/>
          <w:color w:val="auto"/>
          <w:sz w:val="28"/>
          <w:szCs w:val="36"/>
        </w:rPr>
        <w:t>本项目建设旨在提升浙江省中学实验教学条件水平，采购一批质量可靠、性能稳定的实验仪器设备。既是为了提高实验教学的质量和效率，也是为了学校开展实验教学工作提供强有力的支持。</w:t>
      </w:r>
    </w:p>
    <w:p w14:paraId="290B1C86">
      <w:pPr>
        <w:numPr>
          <w:ilvl w:val="0"/>
          <w:numId w:val="8"/>
        </w:numPr>
        <w:spacing w:line="440" w:lineRule="atLeast"/>
        <w:ind w:firstLine="601"/>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技术要求</w:t>
      </w:r>
    </w:p>
    <w:p w14:paraId="3A2D6307">
      <w:pPr>
        <w:widowControl/>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具体内容见“《浙江省中学实验仪器设备购置项目》第二批采购项目(湖州）技术需求汇总清单、分校清单和图纸”。汇总清单中的参数仅为采购人对产品的最低技术性能要求，各响应供应商可结合自身产品技术方案对参数进行合理优化调整，调整后所投产品的技术参数须满足或优于本文件所列参数要求；技术规格要求中未标注尺寸偏差值的产品，其外形尺寸允许偏差为采购人确定基准规格的 ±10cm 以内；本尺寸偏差要求不适用于材料公称规格、材料厚度等技术指标要求，超出上述偏差范围的，视为不满足招标文件要求。</w:t>
      </w:r>
    </w:p>
    <w:p w14:paraId="521507A7">
      <w:pPr>
        <w:widowControl/>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采购清单注明“核心产品”的，提供相同品牌产品且通过资格审查、符合性审查的不同投标人参加同一合同项下投标的，按一家投标人计算，评审后得分最高的同品牌投标人获得中标人推荐资格；评审得分相同的，由采购人确定或者采购人委托评标委员会以投票方式确定一个投标人获得中标人推荐资格，其他同品牌投标人不作为中标候选人。</w:t>
      </w:r>
    </w:p>
    <w:p w14:paraId="5E640738">
      <w:pPr>
        <w:widowControl/>
        <w:spacing w:line="400" w:lineRule="atLeast"/>
        <w:ind w:firstLine="600" w:firstLineChars="200"/>
        <w:rPr>
          <w:b/>
          <w:color w:val="auto"/>
          <w:sz w:val="28"/>
          <w:szCs w:val="28"/>
          <w:u w:val="single"/>
          <w:lang w:val="zh-CN"/>
        </w:rPr>
      </w:pPr>
      <w:r>
        <w:rPr>
          <w:rFonts w:hint="eastAsia" w:ascii="仿宋_GB2312" w:hAnsi="仿宋_GB2312" w:eastAsia="仿宋_GB2312" w:cs="仿宋_GB2312"/>
          <w:color w:val="auto"/>
          <w:sz w:val="30"/>
          <w:szCs w:val="30"/>
        </w:rPr>
        <w:t>3.</w:t>
      </w:r>
      <w:r>
        <w:rPr>
          <w:rFonts w:hint="eastAsia"/>
          <w:b/>
          <w:color w:val="auto"/>
          <w:sz w:val="28"/>
          <w:szCs w:val="28"/>
          <w:u w:val="single"/>
          <w:lang w:val="zh-CN"/>
        </w:rPr>
        <w:t>采购清单注明需要检测报告的，</w:t>
      </w:r>
      <w:r>
        <w:rPr>
          <w:rFonts w:hint="eastAsia"/>
          <w:b/>
          <w:color w:val="auto"/>
          <w:sz w:val="28"/>
          <w:szCs w:val="28"/>
          <w:u w:val="single"/>
        </w:rPr>
        <w:t>按照采购清单要求提供或</w:t>
      </w:r>
      <w:r>
        <w:rPr>
          <w:rFonts w:hint="eastAsia"/>
          <w:b/>
          <w:color w:val="auto"/>
          <w:sz w:val="28"/>
          <w:szCs w:val="28"/>
          <w:u w:val="single"/>
          <w:lang w:val="zh-CN"/>
        </w:rPr>
        <w:t>承诺</w:t>
      </w:r>
      <w:r>
        <w:rPr>
          <w:rFonts w:hint="eastAsia"/>
          <w:b/>
          <w:color w:val="auto"/>
          <w:sz w:val="28"/>
          <w:szCs w:val="28"/>
          <w:u w:val="single"/>
        </w:rPr>
        <w:t>中标后与样板间一起</w:t>
      </w:r>
      <w:r>
        <w:rPr>
          <w:rFonts w:hint="eastAsia"/>
          <w:b/>
          <w:color w:val="auto"/>
          <w:sz w:val="28"/>
          <w:szCs w:val="28"/>
          <w:u w:val="single"/>
          <w:lang w:val="zh-CN"/>
        </w:rPr>
        <w:t>提供符合要求的检测报告。</w:t>
      </w:r>
    </w:p>
    <w:p w14:paraId="7471E687">
      <w:pPr>
        <w:widowControl/>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4.采购标的需执行国家相关标准、行业标准、地方标准或者其他标准、规范。本次采购有关仪器设备应满足学科配置标准中相应的产品执行标准，如标准有更新按最新标准执行。具体包括但不限于以下：</w:t>
      </w:r>
    </w:p>
    <w:tbl>
      <w:tblPr>
        <w:tblStyle w:val="37"/>
        <w:tblW w:w="8519" w:type="dxa"/>
        <w:jc w:val="center"/>
        <w:tblLayout w:type="fixed"/>
        <w:tblCellMar>
          <w:top w:w="0" w:type="dxa"/>
          <w:left w:w="108" w:type="dxa"/>
          <w:bottom w:w="0" w:type="dxa"/>
          <w:right w:w="108" w:type="dxa"/>
        </w:tblCellMar>
      </w:tblPr>
      <w:tblGrid>
        <w:gridCol w:w="806"/>
        <w:gridCol w:w="5456"/>
        <w:gridCol w:w="2257"/>
      </w:tblGrid>
      <w:tr w14:paraId="390879F5">
        <w:tblPrEx>
          <w:tblCellMar>
            <w:top w:w="0" w:type="dxa"/>
            <w:left w:w="108" w:type="dxa"/>
            <w:bottom w:w="0" w:type="dxa"/>
            <w:right w:w="108" w:type="dxa"/>
          </w:tblCellMar>
        </w:tblPrEx>
        <w:trPr>
          <w:trHeight w:val="57" w:hRule="atLeast"/>
          <w:tblHeader/>
          <w:jc w:val="center"/>
        </w:trPr>
        <w:tc>
          <w:tcPr>
            <w:tcW w:w="806"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26A095F7">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序号</w:t>
            </w:r>
          </w:p>
        </w:tc>
        <w:tc>
          <w:tcPr>
            <w:tcW w:w="5456"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5FD87B40">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名称</w:t>
            </w:r>
          </w:p>
        </w:tc>
        <w:tc>
          <w:tcPr>
            <w:tcW w:w="2257" w:type="dxa"/>
            <w:tcBorders>
              <w:top w:val="single" w:color="auto" w:sz="4" w:space="0"/>
              <w:left w:val="single" w:color="auto" w:sz="4" w:space="0"/>
              <w:bottom w:val="single" w:color="auto" w:sz="4" w:space="0"/>
              <w:right w:val="single" w:color="auto" w:sz="4" w:space="0"/>
            </w:tcBorders>
            <w:shd w:val="pct10" w:color="BFBFBF" w:fill="F2F2F2"/>
            <w:noWrap/>
            <w:vAlign w:val="center"/>
          </w:tcPr>
          <w:p w14:paraId="540719A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标号或文号</w:t>
            </w:r>
          </w:p>
        </w:tc>
      </w:tr>
      <w:tr w14:paraId="58D8C38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5DEF11F">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9F96DF8">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实验室玻璃仪器 玻璃烧器的安全要求</w:t>
            </w:r>
          </w:p>
        </w:tc>
        <w:tc>
          <w:tcPr>
            <w:tcW w:w="2257" w:type="dxa"/>
            <w:tcBorders>
              <w:top w:val="single" w:color="auto" w:sz="4" w:space="0"/>
              <w:left w:val="single" w:color="auto" w:sz="4" w:space="0"/>
              <w:bottom w:val="single" w:color="auto" w:sz="4" w:space="0"/>
              <w:right w:val="single" w:color="auto" w:sz="4" w:space="0"/>
            </w:tcBorders>
            <w:noWrap/>
            <w:vAlign w:val="center"/>
          </w:tcPr>
          <w:p w14:paraId="10C04D37">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GB 21549-2008</w:t>
            </w:r>
          </w:p>
        </w:tc>
      </w:tr>
      <w:tr w14:paraId="2B80E3E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9C8A6D6">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AEA0FC0">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教学仪器设备安全要求 玻璃仪器及连接部件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3EF8052D">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GB 21749-2008</w:t>
            </w:r>
          </w:p>
        </w:tc>
      </w:tr>
      <w:tr w14:paraId="3D4119D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10459BA">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4F78388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实验室玻璃仪器 热冲击和热冲击强度试验方法</w:t>
            </w:r>
          </w:p>
        </w:tc>
        <w:tc>
          <w:tcPr>
            <w:tcW w:w="2257" w:type="dxa"/>
            <w:tcBorders>
              <w:top w:val="single" w:color="auto" w:sz="4" w:space="0"/>
              <w:left w:val="single" w:color="auto" w:sz="4" w:space="0"/>
              <w:bottom w:val="single" w:color="auto" w:sz="4" w:space="0"/>
              <w:right w:val="single" w:color="auto" w:sz="4" w:space="0"/>
            </w:tcBorders>
            <w:noWrap/>
            <w:vAlign w:val="center"/>
          </w:tcPr>
          <w:p w14:paraId="46BF3143">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GB/T 6579-2007</w:t>
            </w:r>
          </w:p>
        </w:tc>
      </w:tr>
      <w:tr w14:paraId="6B104BE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C5D732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379C51EF">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教学用玻璃仪器一般质量要求和试验方法</w:t>
            </w:r>
          </w:p>
        </w:tc>
        <w:tc>
          <w:tcPr>
            <w:tcW w:w="2257" w:type="dxa"/>
            <w:tcBorders>
              <w:top w:val="single" w:color="auto" w:sz="4" w:space="0"/>
              <w:left w:val="single" w:color="auto" w:sz="4" w:space="0"/>
              <w:bottom w:val="single" w:color="auto" w:sz="4" w:space="0"/>
              <w:right w:val="single" w:color="auto" w:sz="4" w:space="0"/>
            </w:tcBorders>
            <w:noWrap/>
            <w:vAlign w:val="center"/>
          </w:tcPr>
          <w:p w14:paraId="2D28EB57">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JY/T 0423-2011</w:t>
            </w:r>
          </w:p>
        </w:tc>
      </w:tr>
      <w:tr w14:paraId="5624087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2EB2705">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5D7247D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室内装饰装修材料  人造板及其制品中甲醛 释放限量</w:t>
            </w:r>
          </w:p>
        </w:tc>
        <w:tc>
          <w:tcPr>
            <w:tcW w:w="2257" w:type="dxa"/>
            <w:tcBorders>
              <w:top w:val="single" w:color="auto" w:sz="4" w:space="0"/>
              <w:left w:val="single" w:color="auto" w:sz="4" w:space="0"/>
              <w:bottom w:val="single" w:color="auto" w:sz="4" w:space="0"/>
              <w:right w:val="single" w:color="auto" w:sz="4" w:space="0"/>
            </w:tcBorders>
            <w:noWrap/>
            <w:vAlign w:val="center"/>
          </w:tcPr>
          <w:p w14:paraId="5E8A9B62">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GB 18580-2017</w:t>
            </w:r>
          </w:p>
        </w:tc>
      </w:tr>
      <w:tr w14:paraId="73926FB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D9CD205">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5530FF3F">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en-US"/>
              </w:rPr>
              <w:t>家具中有害物质限量</w:t>
            </w:r>
          </w:p>
        </w:tc>
        <w:tc>
          <w:tcPr>
            <w:tcW w:w="2257" w:type="dxa"/>
            <w:tcBorders>
              <w:top w:val="single" w:color="auto" w:sz="4" w:space="0"/>
              <w:left w:val="single" w:color="auto" w:sz="4" w:space="0"/>
              <w:bottom w:val="single" w:color="auto" w:sz="4" w:space="0"/>
              <w:right w:val="single" w:color="auto" w:sz="4" w:space="0"/>
            </w:tcBorders>
            <w:noWrap/>
            <w:vAlign w:val="center"/>
          </w:tcPr>
          <w:p w14:paraId="1168E01C">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en-US"/>
              </w:rPr>
              <w:t>GB 18584-20</w:t>
            </w:r>
            <w:r>
              <w:rPr>
                <w:rFonts w:hint="eastAsia" w:ascii="仿宋_GB2312" w:hAnsi="仿宋_GB2312" w:eastAsia="仿宋_GB2312" w:cs="仿宋_GB2312"/>
                <w:color w:val="auto"/>
                <w:sz w:val="24"/>
                <w:szCs w:val="24"/>
              </w:rPr>
              <w:t>24</w:t>
            </w:r>
          </w:p>
        </w:tc>
      </w:tr>
      <w:tr w14:paraId="5862FE7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99D93F0">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357536E4">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实验室家具通用技术条件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49EBC3B5">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en-US"/>
              </w:rPr>
              <w:t>GB 24820-20</w:t>
            </w:r>
            <w:r>
              <w:rPr>
                <w:rFonts w:hint="eastAsia" w:ascii="仿宋_GB2312" w:hAnsi="仿宋_GB2312" w:eastAsia="仿宋_GB2312" w:cs="仿宋_GB2312"/>
                <w:color w:val="auto"/>
                <w:sz w:val="24"/>
                <w:szCs w:val="24"/>
              </w:rPr>
              <w:t>24</w:t>
            </w:r>
          </w:p>
        </w:tc>
      </w:tr>
      <w:tr w14:paraId="6E715A0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FFC1935">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0FE14FF4">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教学用非电工电子仪器环境 试验</w:t>
            </w:r>
          </w:p>
        </w:tc>
        <w:tc>
          <w:tcPr>
            <w:tcW w:w="2257" w:type="dxa"/>
            <w:tcBorders>
              <w:top w:val="single" w:color="auto" w:sz="4" w:space="0"/>
              <w:left w:val="single" w:color="auto" w:sz="4" w:space="0"/>
              <w:bottom w:val="single" w:color="auto" w:sz="4" w:space="0"/>
              <w:right w:val="single" w:color="auto" w:sz="4" w:space="0"/>
            </w:tcBorders>
            <w:noWrap/>
            <w:vAlign w:val="center"/>
          </w:tcPr>
          <w:p w14:paraId="58C4084B">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JY/T 0213-2022</w:t>
            </w:r>
          </w:p>
        </w:tc>
      </w:tr>
      <w:tr w14:paraId="0D22380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E32200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7AEF59E">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教学实验室设备  电源系统</w:t>
            </w:r>
          </w:p>
        </w:tc>
        <w:tc>
          <w:tcPr>
            <w:tcW w:w="2257" w:type="dxa"/>
            <w:tcBorders>
              <w:top w:val="single" w:color="auto" w:sz="4" w:space="0"/>
              <w:left w:val="single" w:color="auto" w:sz="4" w:space="0"/>
              <w:bottom w:val="single" w:color="auto" w:sz="4" w:space="0"/>
              <w:right w:val="single" w:color="auto" w:sz="4" w:space="0"/>
            </w:tcBorders>
            <w:noWrap/>
            <w:vAlign w:val="center"/>
          </w:tcPr>
          <w:p w14:paraId="3228FE72">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lang w:eastAsia="en-US"/>
              </w:rPr>
              <w:t>JY/T 0374-2004</w:t>
            </w:r>
          </w:p>
        </w:tc>
      </w:tr>
      <w:tr w14:paraId="69597CC5">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BDCB888">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02C7735">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初中地理教学装备配置标准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76C7141C">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rPr>
              <w:t>JY/T 0622－2019</w:t>
            </w:r>
          </w:p>
        </w:tc>
      </w:tr>
      <w:tr w14:paraId="1AD1112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FE3E8C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06A7452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初中化学教学装备配置标准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0BA47566">
            <w:pPr>
              <w:widowControl/>
              <w:spacing w:line="400" w:lineRule="atLeast"/>
              <w:jc w:val="center"/>
              <w:rPr>
                <w:rFonts w:ascii="仿宋_GB2312" w:hAnsi="仿宋_GB2312" w:eastAsia="仿宋_GB2312" w:cs="仿宋_GB2312"/>
                <w:color w:val="auto"/>
                <w:sz w:val="24"/>
                <w:szCs w:val="24"/>
                <w:lang w:eastAsia="en-US"/>
              </w:rPr>
            </w:pPr>
            <w:r>
              <w:rPr>
                <w:rFonts w:hint="eastAsia" w:ascii="仿宋_GB2312" w:hAnsi="仿宋_GB2312" w:eastAsia="仿宋_GB2312" w:cs="仿宋_GB2312"/>
                <w:color w:val="auto"/>
                <w:sz w:val="24"/>
                <w:szCs w:val="24"/>
              </w:rPr>
              <w:t>JY/T 0620－2019</w:t>
            </w:r>
          </w:p>
        </w:tc>
      </w:tr>
      <w:tr w14:paraId="5E496345">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1CCF5A1">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78E4C00A">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初中生物教学装备配置标准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40E2E75C">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0621－2019</w:t>
            </w:r>
          </w:p>
        </w:tc>
      </w:tr>
      <w:tr w14:paraId="7E0D1438">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BE18F16">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2668A96">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初中物理教学装备配置标准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7C5BE2C4">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0619－2019</w:t>
            </w:r>
          </w:p>
        </w:tc>
      </w:tr>
      <w:tr w14:paraId="402357D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E66F8D0">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069E704B">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普通高中物理教学装备配置标准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7E8989E6">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0654－2025</w:t>
            </w:r>
          </w:p>
        </w:tc>
      </w:tr>
      <w:tr w14:paraId="3485905A">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C6C88C4">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1060ACE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普通高中化学教学装备配置标准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724C096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0655－2025</w:t>
            </w:r>
          </w:p>
        </w:tc>
      </w:tr>
      <w:tr w14:paraId="5015EE6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76501C7">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30A45F7">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普通高中生物教学装备配置标准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3E9B7A3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0656－2025</w:t>
            </w:r>
          </w:p>
        </w:tc>
      </w:tr>
      <w:tr w14:paraId="1E56DC9F">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6462BD5">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049C832">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普通高中地理教学装备配置标准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5321595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0657－2025</w:t>
            </w:r>
          </w:p>
        </w:tc>
      </w:tr>
      <w:tr w14:paraId="4EFB8DE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7C692E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8B9045A">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普通高中通用技术教学装备配置标准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3046AA0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0658－2025</w:t>
            </w:r>
          </w:p>
        </w:tc>
      </w:tr>
      <w:tr w14:paraId="247D3BF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B1DEED8">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F47401F">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普通高中信息技术教学装备配置标准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4BE5F720">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JY/T 0659－2025</w:t>
            </w:r>
          </w:p>
        </w:tc>
      </w:tr>
      <w:tr w14:paraId="5F03A79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8E05E17">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5A202EEA">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玻璃管和玻璃棒</w:t>
            </w:r>
          </w:p>
        </w:tc>
        <w:tc>
          <w:tcPr>
            <w:tcW w:w="2257" w:type="dxa"/>
            <w:tcBorders>
              <w:top w:val="single" w:color="auto" w:sz="4" w:space="0"/>
              <w:left w:val="single" w:color="auto" w:sz="4" w:space="0"/>
              <w:bottom w:val="single" w:color="auto" w:sz="4" w:space="0"/>
              <w:right w:val="single" w:color="auto" w:sz="4" w:space="0"/>
            </w:tcBorders>
            <w:noWrap/>
            <w:vAlign w:val="center"/>
          </w:tcPr>
          <w:p w14:paraId="7557C0EC">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‌JY/T 0431-2011 </w:t>
            </w:r>
          </w:p>
        </w:tc>
      </w:tr>
      <w:tr w14:paraId="11F1DC6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DB7B121">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15DE80F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教学用玻璃仪器 酒精灯</w:t>
            </w:r>
          </w:p>
        </w:tc>
        <w:tc>
          <w:tcPr>
            <w:tcW w:w="2257" w:type="dxa"/>
            <w:tcBorders>
              <w:top w:val="single" w:color="auto" w:sz="4" w:space="0"/>
              <w:left w:val="single" w:color="auto" w:sz="4" w:space="0"/>
              <w:bottom w:val="single" w:color="auto" w:sz="4" w:space="0"/>
              <w:right w:val="single" w:color="auto" w:sz="4" w:space="0"/>
            </w:tcBorders>
            <w:noWrap/>
            <w:vAlign w:val="center"/>
          </w:tcPr>
          <w:p w14:paraId="3A50BCF4">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JY/T 0424-2011‌ </w:t>
            </w:r>
          </w:p>
        </w:tc>
      </w:tr>
      <w:tr w14:paraId="2F25E17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2E813DA">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2DB31D8">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药用玻璃管标准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6E93ABC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w:t>
            </w:r>
            <w:r>
              <w:rPr>
                <w:rFonts w:ascii="仿宋_GB2312" w:hAnsi="仿宋_GB2312" w:eastAsia="仿宋_GB2312" w:cs="仿宋_GB2312"/>
                <w:color w:val="auto"/>
                <w:sz w:val="24"/>
                <w:szCs w:val="24"/>
              </w:rPr>
              <w:t>Z</w:t>
            </w:r>
            <w:r>
              <w:rPr>
                <w:rFonts w:hint="eastAsia" w:ascii="仿宋_GB2312" w:hAnsi="仿宋_GB2312" w:eastAsia="仿宋_GB2312" w:cs="仿宋_GB2312"/>
                <w:color w:val="auto"/>
                <w:sz w:val="24"/>
                <w:szCs w:val="24"/>
              </w:rPr>
              <w:t xml:space="preserve"> 124</w:t>
            </w:r>
            <w:r>
              <w:rPr>
                <w:rFonts w:ascii="仿宋_GB2312" w:hAnsi="仿宋_GB2312" w:eastAsia="仿宋_GB2312" w:cs="仿宋_GB2312"/>
                <w:color w:val="auto"/>
                <w:sz w:val="24"/>
                <w:szCs w:val="24"/>
              </w:rPr>
              <w:t>14</w:t>
            </w:r>
            <w:r>
              <w:rPr>
                <w:rFonts w:hint="eastAsia" w:ascii="仿宋_GB2312" w:hAnsi="仿宋_GB2312" w:eastAsia="仿宋_GB2312" w:cs="仿宋_GB2312"/>
                <w:color w:val="auto"/>
                <w:sz w:val="24"/>
                <w:szCs w:val="24"/>
              </w:rPr>
              <w:t>-</w:t>
            </w:r>
            <w:r>
              <w:rPr>
                <w:rFonts w:ascii="仿宋_GB2312" w:hAnsi="仿宋_GB2312" w:eastAsia="仿宋_GB2312" w:cs="仿宋_GB2312"/>
                <w:color w:val="auto"/>
                <w:sz w:val="24"/>
                <w:szCs w:val="24"/>
              </w:rPr>
              <w:t>2021</w:t>
            </w:r>
          </w:p>
        </w:tc>
      </w:tr>
      <w:tr w14:paraId="48147B11">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2DC8FFE">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79B28EE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中性墨水圆珠笔和笔芯‌</w:t>
            </w:r>
          </w:p>
        </w:tc>
        <w:tc>
          <w:tcPr>
            <w:tcW w:w="2257" w:type="dxa"/>
            <w:tcBorders>
              <w:top w:val="single" w:color="auto" w:sz="4" w:space="0"/>
              <w:left w:val="single" w:color="auto" w:sz="4" w:space="0"/>
              <w:bottom w:val="single" w:color="auto" w:sz="4" w:space="0"/>
              <w:right w:val="single" w:color="auto" w:sz="4" w:space="0"/>
            </w:tcBorders>
            <w:noWrap/>
            <w:vAlign w:val="center"/>
          </w:tcPr>
          <w:p w14:paraId="3033BE68">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QB/T 2625-2003</w:t>
            </w:r>
          </w:p>
        </w:tc>
      </w:tr>
      <w:tr w14:paraId="5D6C5D10">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746F6EF">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76E8BA0C">
            <w:pPr>
              <w:widowControl/>
              <w:spacing w:line="400" w:lineRule="atLeast"/>
              <w:ind w:firstLine="1680" w:firstLineChars="700"/>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实验室用水标准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39D2E678">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GB6682-2008</w:t>
            </w:r>
          </w:p>
        </w:tc>
      </w:tr>
      <w:tr w14:paraId="71A9F14F">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1772008">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04851FCB">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生物玻片标本通用技术条件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7616A19E">
            <w:pPr>
              <w:widowControl/>
              <w:spacing w:line="400" w:lineRule="atLeast"/>
              <w:jc w:val="center"/>
              <w:rPr>
                <w:rFonts w:ascii="仿宋_GB2312" w:hAnsi="仿宋_GB2312" w:eastAsia="仿宋_GB2312" w:cs="仿宋_GB2312"/>
                <w:color w:val="auto"/>
                <w:sz w:val="24"/>
                <w:szCs w:val="24"/>
              </w:rPr>
            </w:pPr>
            <w:r>
              <w:rPr>
                <w:rFonts w:hint="eastAsia"/>
                <w:color w:val="auto"/>
              </w:rPr>
              <w:t>JY/T 0067-2011</w:t>
            </w:r>
          </w:p>
        </w:tc>
      </w:tr>
      <w:tr w14:paraId="7C67C7C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C6AFA19">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300614E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教学仪器设备产品一般质量要求</w:t>
            </w:r>
          </w:p>
        </w:tc>
        <w:tc>
          <w:tcPr>
            <w:tcW w:w="2257" w:type="dxa"/>
            <w:tcBorders>
              <w:top w:val="single" w:color="auto" w:sz="4" w:space="0"/>
              <w:left w:val="single" w:color="auto" w:sz="4" w:space="0"/>
              <w:bottom w:val="single" w:color="auto" w:sz="4" w:space="0"/>
              <w:right w:val="single" w:color="auto" w:sz="4" w:space="0"/>
            </w:tcBorders>
            <w:noWrap/>
            <w:vAlign w:val="center"/>
          </w:tcPr>
          <w:p w14:paraId="0D6D173A">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JY0001-2003</w:t>
            </w:r>
          </w:p>
        </w:tc>
      </w:tr>
      <w:tr w14:paraId="136CFB5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BEE7F1A">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260C3BAE">
            <w:pPr>
              <w:widowControl/>
              <w:spacing w:line="400" w:lineRule="atLeast"/>
              <w:jc w:val="center"/>
              <w:rPr>
                <w:rFonts w:ascii="仿宋_GB2312" w:hAnsi="仿宋_GB2312" w:eastAsia="仿宋_GB2312" w:cs="仿宋_GB2312"/>
                <w:color w:val="auto"/>
                <w:sz w:val="24"/>
                <w:szCs w:val="24"/>
              </w:rPr>
            </w:pPr>
            <w:r>
              <w:rPr>
                <w:rFonts w:hint="eastAsia"/>
                <w:color w:val="auto"/>
              </w:rPr>
              <w:t>教学支架</w:t>
            </w:r>
          </w:p>
        </w:tc>
        <w:tc>
          <w:tcPr>
            <w:tcW w:w="2257" w:type="dxa"/>
            <w:tcBorders>
              <w:top w:val="single" w:color="auto" w:sz="4" w:space="0"/>
              <w:left w:val="single" w:color="auto" w:sz="4" w:space="0"/>
              <w:bottom w:val="single" w:color="auto" w:sz="4" w:space="0"/>
              <w:right w:val="single" w:color="auto" w:sz="4" w:space="0"/>
            </w:tcBorders>
            <w:noWrap/>
            <w:vAlign w:val="center"/>
          </w:tcPr>
          <w:p w14:paraId="38DC350A">
            <w:pPr>
              <w:widowControl/>
              <w:spacing w:line="400" w:lineRule="atLeast"/>
              <w:jc w:val="center"/>
              <w:rPr>
                <w:rFonts w:ascii="仿宋_GB2312" w:hAnsi="仿宋_GB2312" w:eastAsia="仿宋_GB2312" w:cs="仿宋_GB2312"/>
                <w:color w:val="auto"/>
                <w:sz w:val="24"/>
                <w:szCs w:val="24"/>
              </w:rPr>
            </w:pPr>
            <w:r>
              <w:rPr>
                <w:rFonts w:hint="eastAsia"/>
                <w:color w:val="auto"/>
              </w:rPr>
              <w:t>JY/T 0393-2007</w:t>
            </w:r>
          </w:p>
        </w:tc>
      </w:tr>
      <w:tr w14:paraId="41E50F2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E0A43F9">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015298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显微镜用载玻片</w:t>
            </w:r>
          </w:p>
        </w:tc>
        <w:tc>
          <w:tcPr>
            <w:tcW w:w="2257" w:type="dxa"/>
            <w:tcBorders>
              <w:top w:val="single" w:color="auto" w:sz="4" w:space="0"/>
              <w:left w:val="single" w:color="auto" w:sz="4" w:space="0"/>
              <w:bottom w:val="single" w:color="auto" w:sz="4" w:space="0"/>
              <w:right w:val="single" w:color="auto" w:sz="4" w:space="0"/>
            </w:tcBorders>
            <w:noWrap/>
            <w:vAlign w:val="center"/>
          </w:tcPr>
          <w:p w14:paraId="5D5F71C9">
            <w:pPr>
              <w:widowControl/>
              <w:spacing w:line="400" w:lineRule="atLeast"/>
              <w:jc w:val="center"/>
              <w:rPr>
                <w:rFonts w:ascii="仿宋_GB2312" w:hAnsi="仿宋_GB2312" w:cs="仿宋_GB2312"/>
                <w:color w:val="auto"/>
                <w:sz w:val="24"/>
                <w:szCs w:val="24"/>
              </w:rPr>
            </w:pPr>
            <w:r>
              <w:rPr>
                <w:rFonts w:hint="eastAsia" w:ascii="仿宋_GB2312" w:hAnsi="仿宋_GB2312" w:eastAsia="仿宋_GB2312" w:cs="仿宋_GB2312"/>
                <w:color w:val="auto"/>
                <w:sz w:val="24"/>
                <w:szCs w:val="24"/>
              </w:rPr>
              <w:t>JB/T8230.3</w:t>
            </w:r>
            <w:r>
              <w:rPr>
                <w:rFonts w:hint="eastAsia"/>
                <w:color w:val="auto"/>
              </w:rPr>
              <w:t>-1997</w:t>
            </w:r>
          </w:p>
        </w:tc>
      </w:tr>
      <w:tr w14:paraId="7EB00CB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9992F28">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4012A780">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显微镜用盖玻片</w:t>
            </w:r>
          </w:p>
        </w:tc>
        <w:tc>
          <w:tcPr>
            <w:tcW w:w="2257" w:type="dxa"/>
            <w:tcBorders>
              <w:top w:val="single" w:color="auto" w:sz="4" w:space="0"/>
              <w:left w:val="single" w:color="auto" w:sz="4" w:space="0"/>
              <w:bottom w:val="single" w:color="auto" w:sz="4" w:space="0"/>
              <w:right w:val="single" w:color="auto" w:sz="4" w:space="0"/>
            </w:tcBorders>
            <w:noWrap/>
            <w:vAlign w:val="center"/>
          </w:tcPr>
          <w:p w14:paraId="05FE8CA6">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JB/T 8230.4-1997</w:t>
            </w:r>
          </w:p>
        </w:tc>
      </w:tr>
      <w:tr w14:paraId="3ED516B4">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0FFB55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59015D80">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家蚕生活史标本技术条件</w:t>
            </w:r>
          </w:p>
        </w:tc>
        <w:tc>
          <w:tcPr>
            <w:tcW w:w="2257" w:type="dxa"/>
            <w:tcBorders>
              <w:top w:val="single" w:color="auto" w:sz="4" w:space="0"/>
              <w:left w:val="single" w:color="auto" w:sz="4" w:space="0"/>
              <w:bottom w:val="single" w:color="auto" w:sz="4" w:space="0"/>
              <w:right w:val="single" w:color="auto" w:sz="4" w:space="0"/>
            </w:tcBorders>
            <w:noWrap/>
            <w:vAlign w:val="center"/>
          </w:tcPr>
          <w:p w14:paraId="6953678E">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JY 0325-1993</w:t>
            </w:r>
          </w:p>
        </w:tc>
      </w:tr>
      <w:tr w14:paraId="33CE5AB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DD3A4A3">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137FA5C4">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生物显微镜</w:t>
            </w:r>
          </w:p>
        </w:tc>
        <w:tc>
          <w:tcPr>
            <w:tcW w:w="2257" w:type="dxa"/>
            <w:tcBorders>
              <w:top w:val="single" w:color="auto" w:sz="4" w:space="0"/>
              <w:left w:val="single" w:color="auto" w:sz="4" w:space="0"/>
              <w:bottom w:val="single" w:color="auto" w:sz="4" w:space="0"/>
              <w:right w:val="single" w:color="auto" w:sz="4" w:space="0"/>
            </w:tcBorders>
            <w:noWrap/>
            <w:vAlign w:val="center"/>
          </w:tcPr>
          <w:p w14:paraId="3D066EEE">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GB/T2985-2008</w:t>
            </w:r>
          </w:p>
        </w:tc>
      </w:tr>
      <w:tr w14:paraId="14C67D49">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62C018C">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7A69AB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安全防范视频监控联网系统信息传输、交换、控制技术要求</w:t>
            </w:r>
          </w:p>
        </w:tc>
        <w:tc>
          <w:tcPr>
            <w:tcW w:w="2257" w:type="dxa"/>
            <w:tcBorders>
              <w:top w:val="single" w:color="auto" w:sz="4" w:space="0"/>
              <w:left w:val="single" w:color="auto" w:sz="4" w:space="0"/>
              <w:bottom w:val="single" w:color="auto" w:sz="4" w:space="0"/>
              <w:right w:val="single" w:color="auto" w:sz="4" w:space="0"/>
            </w:tcBorders>
            <w:noWrap/>
            <w:vAlign w:val="center"/>
          </w:tcPr>
          <w:p w14:paraId="06C7B511">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GB/T28181</w:t>
            </w:r>
          </w:p>
        </w:tc>
      </w:tr>
      <w:tr w14:paraId="42B77666">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A73CC0D">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5022D87">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（陶瓷砖）附录G标准</w:t>
            </w:r>
          </w:p>
        </w:tc>
        <w:tc>
          <w:tcPr>
            <w:tcW w:w="2257" w:type="dxa"/>
            <w:tcBorders>
              <w:top w:val="single" w:color="auto" w:sz="4" w:space="0"/>
              <w:left w:val="single" w:color="auto" w:sz="4" w:space="0"/>
              <w:bottom w:val="single" w:color="auto" w:sz="4" w:space="0"/>
              <w:right w:val="single" w:color="auto" w:sz="4" w:space="0"/>
            </w:tcBorders>
            <w:noWrap/>
            <w:vAlign w:val="center"/>
          </w:tcPr>
          <w:p w14:paraId="31423150">
            <w:pPr>
              <w:widowControl/>
              <w:spacing w:line="400" w:lineRule="atLeas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GB/T4100-2015</w:t>
            </w:r>
          </w:p>
        </w:tc>
      </w:tr>
      <w:tr w14:paraId="3D2C1A4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6260202">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65CB48A2">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色漆和清漆划格试验</w:t>
            </w:r>
          </w:p>
        </w:tc>
        <w:tc>
          <w:tcPr>
            <w:tcW w:w="2257" w:type="dxa"/>
            <w:tcBorders>
              <w:top w:val="single" w:color="auto" w:sz="4" w:space="0"/>
              <w:left w:val="single" w:color="auto" w:sz="4" w:space="0"/>
              <w:bottom w:val="single" w:color="auto" w:sz="4" w:space="0"/>
              <w:right w:val="single" w:color="auto" w:sz="4" w:space="0"/>
            </w:tcBorders>
            <w:noWrap/>
            <w:vAlign w:val="center"/>
          </w:tcPr>
          <w:p w14:paraId="783BC16E">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 9286-2021</w:t>
            </w:r>
          </w:p>
        </w:tc>
      </w:tr>
      <w:tr w14:paraId="3090081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D05EDFE">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01D32EF3">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人造气氛腐蚀试验盐雾试验</w:t>
            </w:r>
          </w:p>
        </w:tc>
        <w:tc>
          <w:tcPr>
            <w:tcW w:w="2257" w:type="dxa"/>
            <w:tcBorders>
              <w:top w:val="single" w:color="auto" w:sz="4" w:space="0"/>
              <w:left w:val="single" w:color="auto" w:sz="4" w:space="0"/>
              <w:bottom w:val="single" w:color="auto" w:sz="4" w:space="0"/>
              <w:right w:val="single" w:color="auto" w:sz="4" w:space="0"/>
            </w:tcBorders>
            <w:noWrap/>
            <w:vAlign w:val="center"/>
          </w:tcPr>
          <w:p w14:paraId="2BBA7BC8">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 10125-2021</w:t>
            </w:r>
          </w:p>
        </w:tc>
      </w:tr>
      <w:tr w14:paraId="44D8AFB1">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A80B161">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vAlign w:val="center"/>
          </w:tcPr>
          <w:p w14:paraId="1399317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室内装饰装修材料—人造板及其制品中甲醛释放量</w:t>
            </w:r>
          </w:p>
        </w:tc>
        <w:tc>
          <w:tcPr>
            <w:tcW w:w="2257" w:type="dxa"/>
            <w:tcBorders>
              <w:top w:val="single" w:color="auto" w:sz="4" w:space="0"/>
              <w:left w:val="single" w:color="auto" w:sz="4" w:space="0"/>
              <w:bottom w:val="single" w:color="auto" w:sz="4" w:space="0"/>
              <w:right w:val="single" w:color="auto" w:sz="4" w:space="0"/>
            </w:tcBorders>
            <w:noWrap/>
            <w:vAlign w:val="center"/>
          </w:tcPr>
          <w:p w14:paraId="1ACFB480">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 18580-2017</w:t>
            </w:r>
          </w:p>
        </w:tc>
      </w:tr>
      <w:tr w14:paraId="269F8697">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37F1D69">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2ECE75CB">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平版装潢印刷品</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6B2A6A">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GB/T 7705-2008 </w:t>
            </w:r>
          </w:p>
        </w:tc>
      </w:tr>
      <w:tr w14:paraId="1D16347E">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8CA5313">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3F61368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小型齿轮减速无刷直流电动机技术条件</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FED626">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JB/T 11872-2014</w:t>
            </w:r>
          </w:p>
        </w:tc>
      </w:tr>
      <w:tr w14:paraId="6F2116B2">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3CAE223">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3FFED99E">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电子测量仪器通用规范</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9872D3">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GB/T6587-2012</w:t>
            </w:r>
          </w:p>
        </w:tc>
      </w:tr>
      <w:tr w14:paraId="557FA69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69516FA">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36652B8B">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测量、控制和实验室用电气设备的安全要求第1部分:通用要求</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C73B9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GB4793.1-2007</w:t>
            </w:r>
          </w:p>
        </w:tc>
      </w:tr>
      <w:tr w14:paraId="3AA39CCC">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49BEADC6">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3A8900AE">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音视频、信息技术和通信技术设备 第1部分:安全要求</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9F212">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 4943.1-2022</w:t>
            </w:r>
          </w:p>
        </w:tc>
      </w:tr>
      <w:tr w14:paraId="7FD3A0D3">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E5191FC">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6E927AAF">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电工电子产品环境试验.第2部分:试验方法.试验A:低温</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9D2C7F">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GB/T 2423.1-2008</w:t>
            </w:r>
          </w:p>
        </w:tc>
      </w:tr>
      <w:tr w14:paraId="635224D8">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1A711823">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3177F4C6">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电工电子产品环境试验.第2部分:试验方法.试验B:高温</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C02CAD">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GB/T 2423.2-2008</w:t>
            </w:r>
          </w:p>
        </w:tc>
      </w:tr>
      <w:tr w14:paraId="57F1C8FD">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2742694E">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78D724D3">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环境试验.第2部分:试验方法试验 Cab:恒定湿热试验</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C1B4CD">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GB/T 2423.3-2016</w:t>
            </w:r>
          </w:p>
        </w:tc>
      </w:tr>
      <w:tr w14:paraId="4FE5BB6F">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94AF986">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4D702659">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教学仪器设备安全要求仪器和零部件的基本要求</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2109F6">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 21748-2008</w:t>
            </w:r>
          </w:p>
        </w:tc>
      </w:tr>
      <w:tr w14:paraId="669DECCA">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D3C8A99">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72C162BE">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人体头、颈、躯干模型技术条件</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DEEE0B">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JY158—84</w:t>
            </w:r>
          </w:p>
          <w:p w14:paraId="5680B534">
            <w:pPr>
              <w:widowControl/>
              <w:spacing w:line="400" w:lineRule="atLeast"/>
              <w:jc w:val="center"/>
              <w:rPr>
                <w:rFonts w:ascii="仿宋_GB2312" w:hAnsi="仿宋_GB2312" w:eastAsia="仿宋_GB2312" w:cs="仿宋_GB2312"/>
                <w:color w:val="auto"/>
                <w:sz w:val="24"/>
                <w:szCs w:val="24"/>
              </w:rPr>
            </w:pPr>
          </w:p>
        </w:tc>
      </w:tr>
      <w:tr w14:paraId="099FCC81">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029EF8C2">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12EB17B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防火膨胀密封件</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27D39A">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GB 16807-2009</w:t>
            </w:r>
          </w:p>
        </w:tc>
      </w:tr>
      <w:tr w14:paraId="7DB56D0B">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309AB553">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51E8A12A">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械防盗锁标准</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49FD5A">
            <w:pPr>
              <w:widowControl/>
              <w:spacing w:line="400" w:lineRule="atLeast"/>
              <w:jc w:val="center"/>
              <w:rPr>
                <w:rFonts w:ascii="仿宋_GB2312" w:hAnsi="仿宋_GB2312" w:eastAsia="仿宋_GB2312" w:cs="仿宋_GB2312"/>
                <w:color w:val="auto"/>
                <w:sz w:val="24"/>
                <w:szCs w:val="24"/>
              </w:rPr>
            </w:pPr>
            <w:r>
              <w:rPr>
                <w:rFonts w:ascii="仿宋_GB2312" w:hAnsi="仿宋_GB2312" w:eastAsia="仿宋_GB2312" w:cs="仿宋_GB2312"/>
                <w:color w:val="auto"/>
                <w:sz w:val="24"/>
                <w:szCs w:val="24"/>
              </w:rPr>
              <w:t>GA/T 73-2015</w:t>
            </w:r>
          </w:p>
        </w:tc>
      </w:tr>
      <w:tr w14:paraId="55EE9E0A">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BDDB151">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228A6E31">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实验室玻璃仪器 烧杯‌</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495277">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 15724-2024</w:t>
            </w:r>
          </w:p>
        </w:tc>
      </w:tr>
      <w:tr w14:paraId="117A938A">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57D7EF40">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017C98E7">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夹扭钳和剪切钳 通用技术条件</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077B2D">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 6290-2013</w:t>
            </w:r>
          </w:p>
        </w:tc>
      </w:tr>
      <w:tr w14:paraId="026E09EA">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6ADBA5DE">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2AB1AD52">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儿童青少年学习用品近视防控卫生要求</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ACED035">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 40070-2021</w:t>
            </w:r>
          </w:p>
        </w:tc>
      </w:tr>
      <w:tr w14:paraId="0A853709">
        <w:tblPrEx>
          <w:tblCellMar>
            <w:top w:w="0" w:type="dxa"/>
            <w:left w:w="108" w:type="dxa"/>
            <w:bottom w:w="0" w:type="dxa"/>
            <w:right w:w="108" w:type="dxa"/>
          </w:tblCellMar>
        </w:tblPrEx>
        <w:trPr>
          <w:trHeight w:val="57" w:hRule="atLeast"/>
          <w:jc w:val="center"/>
        </w:trPr>
        <w:tc>
          <w:tcPr>
            <w:tcW w:w="806" w:type="dxa"/>
            <w:tcBorders>
              <w:top w:val="single" w:color="auto" w:sz="4" w:space="0"/>
              <w:left w:val="single" w:color="auto" w:sz="4" w:space="0"/>
              <w:bottom w:val="single" w:color="auto" w:sz="4" w:space="0"/>
              <w:right w:val="single" w:color="auto" w:sz="4" w:space="0"/>
            </w:tcBorders>
            <w:noWrap/>
            <w:vAlign w:val="center"/>
          </w:tcPr>
          <w:p w14:paraId="73297CC7">
            <w:pPr>
              <w:widowControl/>
              <w:numPr>
                <w:ilvl w:val="0"/>
                <w:numId w:val="9"/>
              </w:numPr>
              <w:spacing w:line="400" w:lineRule="atLeast"/>
              <w:jc w:val="center"/>
              <w:rPr>
                <w:rFonts w:ascii="仿宋_GB2312" w:hAnsi="仿宋_GB2312" w:eastAsia="仿宋_GB2312" w:cs="仿宋_GB2312"/>
                <w:color w:val="auto"/>
                <w:sz w:val="24"/>
                <w:szCs w:val="24"/>
              </w:rPr>
            </w:pPr>
          </w:p>
        </w:tc>
        <w:tc>
          <w:tcPr>
            <w:tcW w:w="5456" w:type="dxa"/>
            <w:tcBorders>
              <w:top w:val="single" w:color="auto" w:sz="4" w:space="0"/>
              <w:left w:val="single" w:color="auto" w:sz="4" w:space="0"/>
              <w:bottom w:val="single" w:color="auto" w:sz="4" w:space="0"/>
              <w:right w:val="single" w:color="auto" w:sz="4" w:space="0"/>
            </w:tcBorders>
            <w:shd w:val="clear" w:color="auto" w:fill="auto"/>
            <w:vAlign w:val="center"/>
          </w:tcPr>
          <w:p w14:paraId="4D84E3D5">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 公共安全视频监控联网系统信息传输、交换、控制技术要求‌</w:t>
            </w:r>
          </w:p>
        </w:tc>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89D78C">
            <w:pPr>
              <w:widowControl/>
              <w:spacing w:line="400" w:lineRule="atLeast"/>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‌GB/T 28181-2022 </w:t>
            </w:r>
          </w:p>
        </w:tc>
      </w:tr>
    </w:tbl>
    <w:p w14:paraId="386519F8">
      <w:pPr>
        <w:spacing w:line="400" w:lineRule="atLeast"/>
        <w:ind w:firstLine="602" w:firstLineChars="200"/>
        <w:outlineLvl w:val="2"/>
        <w:rPr>
          <w:rFonts w:ascii="Times New Roman" w:hAnsi="Times New Roman" w:eastAsia="仿宋_GB2312"/>
          <w:b/>
          <w:bCs/>
          <w:color w:val="auto"/>
          <w:sz w:val="30"/>
        </w:rPr>
      </w:pPr>
      <w:r>
        <w:rPr>
          <w:rFonts w:hint="eastAsia" w:ascii="Times New Roman" w:hAnsi="Times New Roman" w:eastAsia="仿宋_GB2312"/>
          <w:b/>
          <w:bCs/>
          <w:color w:val="auto"/>
          <w:sz w:val="30"/>
        </w:rPr>
        <w:t>（三）样品要求</w:t>
      </w:r>
    </w:p>
    <w:p w14:paraId="1E962993">
      <w:pPr>
        <w:widowControl/>
        <w:spacing w:line="400" w:lineRule="atLeast"/>
        <w:ind w:firstLine="600" w:firstLineChars="200"/>
        <w:jc w:val="left"/>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1.各标项送样样品清单：</w:t>
      </w:r>
    </w:p>
    <w:tbl>
      <w:tblPr>
        <w:tblStyle w:val="3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737"/>
        <w:gridCol w:w="2680"/>
        <w:gridCol w:w="1468"/>
        <w:gridCol w:w="1367"/>
      </w:tblGrid>
      <w:tr w14:paraId="643E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7" w:type="dxa"/>
            <w:vAlign w:val="center"/>
          </w:tcPr>
          <w:p w14:paraId="70C4934B">
            <w:pPr>
              <w:jc w:val="center"/>
              <w:rPr>
                <w:rFonts w:ascii="宋体" w:hAnsi="宋体" w:cs="宋体"/>
                <w:color w:val="auto"/>
                <w:sz w:val="24"/>
                <w:szCs w:val="24"/>
              </w:rPr>
            </w:pPr>
            <w:r>
              <w:rPr>
                <w:rFonts w:hint="eastAsia" w:ascii="宋体" w:hAnsi="宋体" w:cs="宋体"/>
                <w:color w:val="auto"/>
                <w:sz w:val="24"/>
                <w:szCs w:val="24"/>
              </w:rPr>
              <w:t>标项</w:t>
            </w:r>
          </w:p>
        </w:tc>
        <w:tc>
          <w:tcPr>
            <w:tcW w:w="1737" w:type="dxa"/>
            <w:vAlign w:val="center"/>
          </w:tcPr>
          <w:p w14:paraId="382482A7">
            <w:pPr>
              <w:jc w:val="center"/>
              <w:rPr>
                <w:rFonts w:ascii="宋体" w:hAnsi="宋体" w:cs="宋体"/>
                <w:color w:val="auto"/>
                <w:sz w:val="24"/>
                <w:szCs w:val="24"/>
              </w:rPr>
            </w:pPr>
            <w:r>
              <w:rPr>
                <w:rFonts w:hint="eastAsia" w:ascii="宋体" w:hAnsi="宋体" w:cs="宋体"/>
                <w:color w:val="auto"/>
                <w:sz w:val="24"/>
                <w:szCs w:val="24"/>
              </w:rPr>
              <w:t>汇总清单序号</w:t>
            </w:r>
          </w:p>
        </w:tc>
        <w:tc>
          <w:tcPr>
            <w:tcW w:w="2680" w:type="dxa"/>
            <w:vAlign w:val="center"/>
          </w:tcPr>
          <w:p w14:paraId="7FCB6CE9">
            <w:pPr>
              <w:jc w:val="center"/>
              <w:rPr>
                <w:rFonts w:ascii="宋体" w:hAnsi="宋体" w:cs="宋体"/>
                <w:color w:val="auto"/>
                <w:sz w:val="24"/>
                <w:szCs w:val="24"/>
              </w:rPr>
            </w:pPr>
            <w:r>
              <w:rPr>
                <w:rFonts w:hint="eastAsia" w:ascii="宋体" w:hAnsi="宋体" w:cs="宋体"/>
                <w:color w:val="auto"/>
                <w:sz w:val="24"/>
                <w:szCs w:val="24"/>
              </w:rPr>
              <w:t>样品名称</w:t>
            </w:r>
          </w:p>
        </w:tc>
        <w:tc>
          <w:tcPr>
            <w:tcW w:w="1468" w:type="dxa"/>
            <w:vAlign w:val="center"/>
          </w:tcPr>
          <w:p w14:paraId="69AADDBF">
            <w:pPr>
              <w:jc w:val="center"/>
              <w:rPr>
                <w:rFonts w:ascii="宋体" w:hAnsi="宋体" w:cs="宋体"/>
                <w:color w:val="auto"/>
                <w:sz w:val="24"/>
                <w:szCs w:val="24"/>
              </w:rPr>
            </w:pPr>
            <w:r>
              <w:rPr>
                <w:rFonts w:hint="eastAsia" w:ascii="宋体" w:hAnsi="宋体" w:cs="宋体"/>
                <w:color w:val="auto"/>
                <w:sz w:val="24"/>
                <w:szCs w:val="24"/>
              </w:rPr>
              <w:t>数量</w:t>
            </w:r>
          </w:p>
        </w:tc>
        <w:tc>
          <w:tcPr>
            <w:tcW w:w="1367" w:type="dxa"/>
            <w:vAlign w:val="center"/>
          </w:tcPr>
          <w:p w14:paraId="19381D0F">
            <w:pPr>
              <w:jc w:val="center"/>
              <w:rPr>
                <w:rFonts w:ascii="宋体" w:hAnsi="宋体" w:cs="宋体"/>
                <w:color w:val="auto"/>
                <w:sz w:val="24"/>
                <w:szCs w:val="24"/>
              </w:rPr>
            </w:pPr>
            <w:r>
              <w:rPr>
                <w:rFonts w:hint="eastAsia" w:ascii="宋体" w:hAnsi="宋体" w:cs="宋体"/>
                <w:color w:val="auto"/>
                <w:sz w:val="24"/>
                <w:szCs w:val="24"/>
              </w:rPr>
              <w:t>单位</w:t>
            </w:r>
          </w:p>
        </w:tc>
      </w:tr>
      <w:tr w14:paraId="6DB0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1D7690EE">
            <w:pPr>
              <w:jc w:val="center"/>
              <w:rPr>
                <w:rFonts w:ascii="宋体" w:hAnsi="宋体" w:cs="宋体"/>
                <w:color w:val="auto"/>
                <w:sz w:val="24"/>
                <w:szCs w:val="24"/>
              </w:rPr>
            </w:pPr>
            <w:r>
              <w:rPr>
                <w:rFonts w:hint="eastAsia" w:ascii="宋体" w:hAnsi="宋体" w:cs="宋体"/>
                <w:color w:val="auto"/>
                <w:sz w:val="24"/>
                <w:szCs w:val="24"/>
              </w:rPr>
              <w:t>标项１</w:t>
            </w:r>
          </w:p>
        </w:tc>
        <w:tc>
          <w:tcPr>
            <w:tcW w:w="1737" w:type="dxa"/>
            <w:vAlign w:val="center"/>
          </w:tcPr>
          <w:p w14:paraId="7889E5CD">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455</w:t>
            </w:r>
          </w:p>
        </w:tc>
        <w:tc>
          <w:tcPr>
            <w:tcW w:w="2680" w:type="dxa"/>
            <w:vAlign w:val="center"/>
          </w:tcPr>
          <w:p w14:paraId="2FAE84E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学生实验台1</w:t>
            </w:r>
          </w:p>
        </w:tc>
        <w:tc>
          <w:tcPr>
            <w:tcW w:w="1468" w:type="dxa"/>
            <w:vAlign w:val="center"/>
          </w:tcPr>
          <w:p w14:paraId="4B1C388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67" w:type="dxa"/>
            <w:vAlign w:val="center"/>
          </w:tcPr>
          <w:p w14:paraId="6306067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3AEC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0DF67974">
            <w:pPr>
              <w:jc w:val="center"/>
              <w:rPr>
                <w:rFonts w:ascii="宋体" w:hAnsi="宋体" w:cs="宋体"/>
                <w:color w:val="auto"/>
                <w:sz w:val="24"/>
                <w:szCs w:val="24"/>
              </w:rPr>
            </w:pPr>
            <w:r>
              <w:rPr>
                <w:rFonts w:hint="eastAsia" w:ascii="宋体" w:hAnsi="宋体" w:cs="宋体"/>
                <w:color w:val="auto"/>
                <w:sz w:val="24"/>
                <w:szCs w:val="24"/>
              </w:rPr>
              <w:t>标项１</w:t>
            </w:r>
          </w:p>
        </w:tc>
        <w:tc>
          <w:tcPr>
            <w:tcW w:w="1737" w:type="dxa"/>
            <w:vAlign w:val="center"/>
          </w:tcPr>
          <w:p w14:paraId="73364AC3">
            <w:pPr>
              <w:widowControl/>
              <w:jc w:val="center"/>
              <w:textAlignment w:val="center"/>
              <w:rPr>
                <w:rFonts w:ascii="宋体" w:hAnsi="宋体" w:cs="宋体"/>
                <w:color w:val="auto"/>
                <w:kern w:val="0"/>
                <w:sz w:val="24"/>
                <w:szCs w:val="24"/>
                <w:lang w:bidi="ar"/>
              </w:rPr>
            </w:pPr>
            <w:r>
              <w:rPr>
                <w:rFonts w:ascii="仿宋_GB2312" w:hAnsi="仿宋_GB2312" w:eastAsia="仿宋_GB2312" w:cs="仿宋_GB2312"/>
                <w:bCs/>
                <w:color w:val="auto"/>
                <w:sz w:val="24"/>
                <w:szCs w:val="24"/>
              </w:rPr>
              <w:t>364</w:t>
            </w:r>
          </w:p>
        </w:tc>
        <w:tc>
          <w:tcPr>
            <w:tcW w:w="2680" w:type="dxa"/>
            <w:vAlign w:val="center"/>
          </w:tcPr>
          <w:p w14:paraId="7FEBCF61">
            <w:pPr>
              <w:widowControl/>
              <w:jc w:val="center"/>
              <w:textAlignment w:val="center"/>
              <w:rPr>
                <w:rFonts w:ascii="宋体" w:hAnsi="宋体" w:cs="宋体"/>
                <w:color w:val="auto"/>
                <w:kern w:val="0"/>
                <w:sz w:val="24"/>
                <w:szCs w:val="24"/>
                <w:lang w:bidi="ar"/>
              </w:rPr>
            </w:pPr>
            <w:r>
              <w:rPr>
                <w:rFonts w:ascii="宋体" w:hAnsi="宋体" w:cs="宋体"/>
                <w:color w:val="auto"/>
                <w:kern w:val="0"/>
                <w:sz w:val="24"/>
                <w:szCs w:val="24"/>
                <w:lang w:bidi="ar"/>
              </w:rPr>
              <w:t>数码液晶显微镜</w:t>
            </w:r>
          </w:p>
        </w:tc>
        <w:tc>
          <w:tcPr>
            <w:tcW w:w="1468" w:type="dxa"/>
            <w:vAlign w:val="center"/>
          </w:tcPr>
          <w:p w14:paraId="1127F7B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67" w:type="dxa"/>
            <w:vAlign w:val="center"/>
          </w:tcPr>
          <w:p w14:paraId="7B140ED4">
            <w:pPr>
              <w:widowControl/>
              <w:jc w:val="center"/>
              <w:textAlignment w:val="center"/>
              <w:rPr>
                <w:rFonts w:ascii="宋体" w:hAnsi="宋体" w:cs="宋体"/>
                <w:color w:val="auto"/>
                <w:kern w:val="0"/>
                <w:sz w:val="24"/>
                <w:szCs w:val="24"/>
                <w:lang w:eastAsia="zh-Hans" w:bidi="ar"/>
              </w:rPr>
            </w:pPr>
            <w:r>
              <w:rPr>
                <w:rFonts w:hint="eastAsia" w:ascii="宋体" w:hAnsi="宋体" w:cs="宋体"/>
                <w:color w:val="auto"/>
                <w:kern w:val="0"/>
                <w:sz w:val="24"/>
                <w:szCs w:val="24"/>
                <w:lang w:eastAsia="zh-Hans" w:bidi="ar"/>
              </w:rPr>
              <w:t>台</w:t>
            </w:r>
          </w:p>
        </w:tc>
      </w:tr>
      <w:tr w14:paraId="0A90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1790B89A">
            <w:pPr>
              <w:jc w:val="center"/>
              <w:rPr>
                <w:rFonts w:ascii="宋体" w:hAnsi="宋体" w:cs="宋体"/>
                <w:color w:val="auto"/>
                <w:sz w:val="24"/>
                <w:szCs w:val="24"/>
              </w:rPr>
            </w:pPr>
            <w:r>
              <w:rPr>
                <w:rFonts w:hint="eastAsia" w:ascii="宋体" w:hAnsi="宋体" w:cs="宋体"/>
                <w:color w:val="auto"/>
                <w:sz w:val="24"/>
                <w:szCs w:val="24"/>
              </w:rPr>
              <w:t>标项１</w:t>
            </w:r>
          </w:p>
        </w:tc>
        <w:tc>
          <w:tcPr>
            <w:tcW w:w="1737" w:type="dxa"/>
            <w:vAlign w:val="center"/>
          </w:tcPr>
          <w:p w14:paraId="264B144B">
            <w:pPr>
              <w:widowControl/>
              <w:jc w:val="center"/>
              <w:textAlignment w:val="center"/>
              <w:rPr>
                <w:rFonts w:ascii="宋体" w:hAnsi="宋体" w:cs="宋体"/>
                <w:color w:val="auto"/>
                <w:kern w:val="0"/>
                <w:sz w:val="24"/>
                <w:szCs w:val="24"/>
                <w:lang w:bidi="ar"/>
              </w:rPr>
            </w:pPr>
            <w:r>
              <w:rPr>
                <w:rFonts w:ascii="仿宋_GB2312" w:hAnsi="仿宋_GB2312" w:eastAsia="仿宋_GB2312" w:cs="仿宋_GB2312"/>
                <w:bCs/>
                <w:color w:val="auto"/>
                <w:sz w:val="24"/>
                <w:szCs w:val="24"/>
              </w:rPr>
              <w:t>211</w:t>
            </w:r>
          </w:p>
        </w:tc>
        <w:tc>
          <w:tcPr>
            <w:tcW w:w="2680" w:type="dxa"/>
            <w:vAlign w:val="center"/>
          </w:tcPr>
          <w:p w14:paraId="6198BBF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机械能守恒实验器</w:t>
            </w:r>
          </w:p>
        </w:tc>
        <w:tc>
          <w:tcPr>
            <w:tcW w:w="1468" w:type="dxa"/>
            <w:vAlign w:val="center"/>
          </w:tcPr>
          <w:p w14:paraId="7753324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67" w:type="dxa"/>
            <w:vAlign w:val="center"/>
          </w:tcPr>
          <w:p w14:paraId="3ED31A65">
            <w:pPr>
              <w:widowControl/>
              <w:jc w:val="center"/>
              <w:textAlignment w:val="center"/>
              <w:rPr>
                <w:rFonts w:ascii="宋体" w:hAnsi="宋体" w:cs="宋体"/>
                <w:color w:val="auto"/>
                <w:kern w:val="0"/>
                <w:sz w:val="24"/>
                <w:szCs w:val="24"/>
                <w:lang w:eastAsia="zh-Hans" w:bidi="ar"/>
              </w:rPr>
            </w:pPr>
            <w:r>
              <w:rPr>
                <w:rFonts w:hint="eastAsia" w:ascii="宋体" w:hAnsi="宋体" w:cs="宋体"/>
                <w:color w:val="auto"/>
                <w:kern w:val="0"/>
                <w:sz w:val="24"/>
                <w:szCs w:val="24"/>
                <w:lang w:eastAsia="zh-Hans" w:bidi="ar"/>
              </w:rPr>
              <w:t>套</w:t>
            </w:r>
          </w:p>
        </w:tc>
      </w:tr>
      <w:tr w14:paraId="3B97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1142EC29">
            <w:pPr>
              <w:jc w:val="center"/>
              <w:rPr>
                <w:rFonts w:ascii="宋体" w:hAnsi="宋体" w:cs="宋体"/>
                <w:color w:val="auto"/>
                <w:sz w:val="24"/>
                <w:szCs w:val="24"/>
              </w:rPr>
            </w:pPr>
            <w:r>
              <w:rPr>
                <w:rFonts w:hint="eastAsia" w:ascii="宋体" w:hAnsi="宋体" w:cs="宋体"/>
                <w:color w:val="auto"/>
                <w:sz w:val="24"/>
                <w:szCs w:val="24"/>
              </w:rPr>
              <w:t>标项１</w:t>
            </w:r>
          </w:p>
        </w:tc>
        <w:tc>
          <w:tcPr>
            <w:tcW w:w="1737" w:type="dxa"/>
            <w:vAlign w:val="center"/>
          </w:tcPr>
          <w:p w14:paraId="2AD66C0D">
            <w:pPr>
              <w:widowControl/>
              <w:jc w:val="center"/>
              <w:textAlignment w:val="center"/>
              <w:rPr>
                <w:rFonts w:ascii="宋体" w:hAnsi="宋体" w:cs="宋体"/>
                <w:color w:val="auto"/>
                <w:kern w:val="0"/>
                <w:sz w:val="24"/>
                <w:szCs w:val="24"/>
                <w:lang w:bidi="ar"/>
              </w:rPr>
            </w:pPr>
            <w:r>
              <w:rPr>
                <w:rFonts w:ascii="仿宋_GB2312" w:hAnsi="仿宋_GB2312" w:eastAsia="仿宋_GB2312" w:cs="仿宋_GB2312"/>
                <w:bCs/>
                <w:color w:val="auto"/>
                <w:sz w:val="24"/>
                <w:szCs w:val="24"/>
              </w:rPr>
              <w:t>311</w:t>
            </w:r>
          </w:p>
        </w:tc>
        <w:tc>
          <w:tcPr>
            <w:tcW w:w="2680" w:type="dxa"/>
            <w:vAlign w:val="center"/>
          </w:tcPr>
          <w:p w14:paraId="1CA052F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色度传感器</w:t>
            </w:r>
          </w:p>
        </w:tc>
        <w:tc>
          <w:tcPr>
            <w:tcW w:w="1468" w:type="dxa"/>
            <w:vAlign w:val="center"/>
          </w:tcPr>
          <w:p w14:paraId="6225A852">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67" w:type="dxa"/>
            <w:vAlign w:val="center"/>
          </w:tcPr>
          <w:p w14:paraId="3D0475C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4E23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67" w:type="dxa"/>
            <w:vAlign w:val="center"/>
          </w:tcPr>
          <w:p w14:paraId="2EDA2193">
            <w:pPr>
              <w:jc w:val="center"/>
              <w:rPr>
                <w:rFonts w:ascii="宋体" w:hAnsi="宋体" w:cs="宋体"/>
                <w:color w:val="auto"/>
                <w:sz w:val="24"/>
                <w:szCs w:val="24"/>
              </w:rPr>
            </w:pPr>
            <w:r>
              <w:rPr>
                <w:rFonts w:hint="eastAsia" w:ascii="宋体" w:hAnsi="宋体" w:cs="宋体"/>
                <w:color w:val="auto"/>
                <w:sz w:val="24"/>
                <w:szCs w:val="24"/>
              </w:rPr>
              <w:t>标项１</w:t>
            </w:r>
          </w:p>
        </w:tc>
        <w:tc>
          <w:tcPr>
            <w:tcW w:w="1737" w:type="dxa"/>
            <w:vAlign w:val="center"/>
          </w:tcPr>
          <w:p w14:paraId="3E30C363">
            <w:pPr>
              <w:widowControl/>
              <w:jc w:val="center"/>
              <w:textAlignment w:val="center"/>
              <w:rPr>
                <w:rFonts w:ascii="宋体" w:hAnsi="宋体" w:cs="宋体"/>
                <w:color w:val="auto"/>
                <w:kern w:val="0"/>
                <w:sz w:val="24"/>
                <w:szCs w:val="24"/>
                <w:lang w:bidi="ar"/>
              </w:rPr>
            </w:pPr>
            <w:r>
              <w:rPr>
                <w:rFonts w:ascii="仿宋_GB2312" w:hAnsi="仿宋_GB2312" w:eastAsia="仿宋_GB2312" w:cs="仿宋_GB2312"/>
                <w:bCs/>
                <w:color w:val="auto"/>
                <w:sz w:val="24"/>
                <w:szCs w:val="24"/>
              </w:rPr>
              <w:t>508</w:t>
            </w:r>
          </w:p>
        </w:tc>
        <w:tc>
          <w:tcPr>
            <w:tcW w:w="2680" w:type="dxa"/>
            <w:vAlign w:val="center"/>
          </w:tcPr>
          <w:p w14:paraId="6FF199E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智能数字实验盘</w:t>
            </w:r>
          </w:p>
        </w:tc>
        <w:tc>
          <w:tcPr>
            <w:tcW w:w="1468" w:type="dxa"/>
            <w:vAlign w:val="center"/>
          </w:tcPr>
          <w:p w14:paraId="0A9AD1B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67" w:type="dxa"/>
            <w:vAlign w:val="center"/>
          </w:tcPr>
          <w:p w14:paraId="50B8230B">
            <w:pPr>
              <w:widowControl/>
              <w:jc w:val="center"/>
              <w:textAlignment w:val="center"/>
              <w:rPr>
                <w:rFonts w:ascii="宋体" w:hAnsi="宋体" w:cs="宋体"/>
                <w:color w:val="auto"/>
                <w:kern w:val="0"/>
                <w:sz w:val="24"/>
                <w:szCs w:val="24"/>
                <w:lang w:eastAsia="zh-Hans" w:bidi="ar"/>
              </w:rPr>
            </w:pPr>
            <w:r>
              <w:rPr>
                <w:rFonts w:hint="eastAsia" w:ascii="宋体" w:hAnsi="宋体" w:cs="宋体"/>
                <w:color w:val="auto"/>
                <w:kern w:val="0"/>
                <w:sz w:val="24"/>
                <w:szCs w:val="24"/>
                <w:lang w:eastAsia="zh-Hans" w:bidi="ar"/>
              </w:rPr>
              <w:t>套</w:t>
            </w:r>
          </w:p>
        </w:tc>
      </w:tr>
    </w:tbl>
    <w:p w14:paraId="1050A7B7">
      <w:pPr>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2.投标人所提供的样品应按照招标文件中技术参数要求进行提供。</w:t>
      </w:r>
    </w:p>
    <w:p w14:paraId="785129D3">
      <w:pPr>
        <w:widowControl/>
        <w:shd w:val="clear" w:color="auto" w:fill="FFFFFF"/>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3.投标人须提供所投产品样品并在样品明显处粘贴样品标签（见附件）并加盖投标人公章。</w:t>
      </w:r>
    </w:p>
    <w:p w14:paraId="778CD38C">
      <w:pPr>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样品送达地点：浙江省杭州市西湖区保俶北路58号浙江师范大学杭州幼儿师范学院新大楼15楼。</w:t>
      </w:r>
    </w:p>
    <w:p w14:paraId="1A1B03BE">
      <w:pPr>
        <w:spacing w:line="400" w:lineRule="atLeast"/>
        <w:ind w:firstLine="600" w:firstLineChars="200"/>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送样时间：</w:t>
      </w:r>
      <w:r>
        <w:rPr>
          <w:rFonts w:hint="eastAsia" w:ascii="仿宋_GB2312" w:hAnsi="宋体" w:eastAsia="仿宋_GB2312" w:cs="仿宋_GB2312"/>
          <w:color w:val="auto"/>
          <w:kern w:val="0"/>
          <w:sz w:val="28"/>
          <w:szCs w:val="28"/>
          <w:lang w:bidi="ar"/>
        </w:rPr>
        <w:t>2026年</w:t>
      </w:r>
      <w:r>
        <w:rPr>
          <w:rFonts w:ascii="仿宋_GB2312" w:hAnsi="宋体" w:eastAsia="仿宋_GB2312" w:cs="仿宋_GB2312"/>
          <w:color w:val="auto"/>
          <w:kern w:val="0"/>
          <w:sz w:val="28"/>
          <w:szCs w:val="28"/>
          <w:lang w:bidi="ar"/>
        </w:rPr>
        <w:t>5</w:t>
      </w:r>
      <w:r>
        <w:rPr>
          <w:rFonts w:hint="eastAsia" w:ascii="仿宋_GB2312" w:hAnsi="宋体" w:eastAsia="仿宋_GB2312" w:cs="仿宋_GB2312"/>
          <w:color w:val="auto"/>
          <w:kern w:val="0"/>
          <w:sz w:val="28"/>
          <w:szCs w:val="28"/>
          <w:lang w:bidi="ar"/>
        </w:rPr>
        <w:t>月</w:t>
      </w:r>
      <w:r>
        <w:rPr>
          <w:rFonts w:hint="default" w:ascii="仿宋_GB2312" w:hAnsi="宋体" w:eastAsia="仿宋_GB2312" w:cs="仿宋_GB2312"/>
          <w:color w:val="auto"/>
          <w:kern w:val="0"/>
          <w:sz w:val="28"/>
          <w:szCs w:val="28"/>
          <w:lang w:bidi="ar"/>
          <w:woUserID w:val="1"/>
        </w:rPr>
        <w:t>17</w:t>
      </w:r>
      <w:r>
        <w:rPr>
          <w:rFonts w:hint="eastAsia" w:ascii="仿宋_GB2312" w:hAnsi="宋体" w:eastAsia="仿宋_GB2312" w:cs="仿宋_GB2312"/>
          <w:color w:val="auto"/>
          <w:kern w:val="0"/>
          <w:sz w:val="28"/>
          <w:szCs w:val="28"/>
          <w:lang w:bidi="ar"/>
        </w:rPr>
        <w:t>日（9:00-17:00）</w:t>
      </w:r>
    </w:p>
    <w:p w14:paraId="6E62226F">
      <w:pPr>
        <w:spacing w:line="400" w:lineRule="atLeast"/>
        <w:ind w:firstLine="600" w:firstLineChars="200"/>
        <w:jc w:val="left"/>
        <w:rPr>
          <w:rFonts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收样联系人：</w:t>
      </w:r>
      <w:r>
        <w:rPr>
          <w:rFonts w:hint="eastAsia" w:ascii="仿宋_GB2312" w:hAnsi="仿宋_GB2312" w:eastAsia="仿宋_GB2312" w:cs="仿宋_GB2312"/>
          <w:color w:val="auto"/>
          <w:sz w:val="30"/>
          <w:szCs w:val="30"/>
          <w:lang w:eastAsia="zh-Hans"/>
        </w:rPr>
        <w:t>姚</w:t>
      </w:r>
      <w:r>
        <w:rPr>
          <w:rFonts w:ascii="仿宋_GB2312" w:hAnsi="仿宋_GB2312" w:eastAsia="仿宋_GB2312" w:cs="仿宋_GB2312"/>
          <w:color w:val="auto"/>
          <w:sz w:val="30"/>
          <w:szCs w:val="30"/>
        </w:rPr>
        <w:t>老师</w:t>
      </w:r>
      <w:r>
        <w:rPr>
          <w:rFonts w:hint="eastAsia" w:ascii="仿宋_GB2312" w:hAnsi="仿宋_GB2312" w:eastAsia="仿宋_GB2312" w:cs="仿宋_GB2312"/>
          <w:color w:val="auto"/>
          <w:sz w:val="30"/>
          <w:szCs w:val="30"/>
        </w:rPr>
        <w:t>，联系电话：13757293776</w:t>
      </w:r>
    </w:p>
    <w:p w14:paraId="4AEE955D">
      <w:pPr>
        <w:spacing w:line="400" w:lineRule="atLeast"/>
        <w:ind w:firstLine="602" w:firstLineChars="200"/>
        <w:jc w:val="left"/>
        <w:rPr>
          <w:rFonts w:ascii="仿宋_GB2312" w:hAnsi="仿宋_GB2312" w:eastAsia="仿宋_GB2312" w:cs="仿宋_GB2312"/>
          <w:color w:val="auto"/>
          <w:sz w:val="30"/>
          <w:szCs w:val="30"/>
        </w:rPr>
      </w:pPr>
      <w:r>
        <w:rPr>
          <w:rFonts w:hint="eastAsia" w:ascii="仿宋_GB2312" w:hAnsi="仿宋_GB2312" w:eastAsia="仿宋_GB2312" w:cs="仿宋_GB2312"/>
          <w:b/>
          <w:bCs/>
          <w:color w:val="auto"/>
          <w:sz w:val="30"/>
          <w:szCs w:val="30"/>
          <w:u w:val="single"/>
        </w:rPr>
        <w:t>【重要提示】</w:t>
      </w:r>
      <w:r>
        <w:rPr>
          <w:rFonts w:hint="eastAsia" w:ascii="仿宋_GB2312" w:hAnsi="仿宋_GB2312" w:eastAsia="仿宋_GB2312" w:cs="仿宋_GB2312"/>
          <w:color w:val="auto"/>
          <w:sz w:val="30"/>
          <w:szCs w:val="30"/>
        </w:rPr>
        <w:t>所有样品一次性递交、不允许补充调换，最晚于开标前一天17:00前送达指定地点，逾期递交的样品不予接收。样品区只允许送样人员和安装人员进入；送样人员应服从现场工作人员的管理，办理签到手续，并将样品摆放至指定位置；样品安装摆放尽可能在1小时内完成，实在有困难的可向工作人员反映，最多不超过2小时，</w:t>
      </w:r>
      <w:r>
        <w:rPr>
          <w:rFonts w:hint="eastAsia" w:ascii="仿宋_GB2312" w:hAnsi="仿宋_GB2312" w:eastAsia="仿宋_GB2312" w:cs="仿宋_GB2312"/>
          <w:color w:val="auto"/>
          <w:sz w:val="30"/>
          <w:szCs w:val="30"/>
          <w:lang w:bidi="ar"/>
        </w:rPr>
        <w:t>并按照要求完成搭建处于可以通电状态等，</w:t>
      </w:r>
      <w:r>
        <w:rPr>
          <w:rFonts w:hint="eastAsia" w:ascii="仿宋_GB2312" w:hAnsi="仿宋_GB2312" w:eastAsia="仿宋_GB2312" w:cs="仿宋_GB2312"/>
          <w:color w:val="auto"/>
          <w:sz w:val="30"/>
          <w:szCs w:val="30"/>
        </w:rPr>
        <w:t>完成后送样人和安装人员尽快离场、不得逗留，未经允许不得拍摄。</w:t>
      </w:r>
    </w:p>
    <w:p w14:paraId="2DEB9E9B">
      <w:pPr>
        <w:widowControl/>
        <w:spacing w:line="400" w:lineRule="atLeast"/>
        <w:ind w:firstLine="602" w:firstLineChars="200"/>
        <w:jc w:val="left"/>
        <w:rPr>
          <w:rFonts w:ascii="仿宋_GB2312" w:hAnsi="仿宋_GB2312" w:eastAsia="仿宋_GB2312" w:cs="仿宋_GB2312"/>
          <w:b/>
          <w:bCs/>
          <w:color w:val="auto"/>
          <w:sz w:val="30"/>
          <w:szCs w:val="30"/>
          <w:u w:val="single"/>
          <w:lang w:bidi="ar"/>
        </w:rPr>
      </w:pPr>
      <w:r>
        <w:rPr>
          <w:rFonts w:hint="eastAsia" w:ascii="仿宋_GB2312" w:hAnsi="仿宋_GB2312" w:eastAsia="仿宋_GB2312" w:cs="仿宋_GB2312"/>
          <w:b/>
          <w:bCs/>
          <w:color w:val="auto"/>
          <w:sz w:val="30"/>
          <w:szCs w:val="30"/>
          <w:u w:val="single"/>
        </w:rPr>
        <w:t>本项目样品仅接收投标人现场递交，除此以外的其他任何形式（如快递或物流等）送样，</w:t>
      </w:r>
      <w:r>
        <w:rPr>
          <w:rFonts w:ascii="仿宋_GB2312" w:hAnsi="仿宋_GB2312" w:eastAsia="仿宋_GB2312" w:cs="仿宋_GB2312"/>
          <w:b/>
          <w:bCs/>
          <w:color w:val="auto"/>
          <w:sz w:val="30"/>
          <w:szCs w:val="30"/>
          <w:u w:val="single"/>
        </w:rPr>
        <w:t>采购人</w:t>
      </w:r>
      <w:r>
        <w:rPr>
          <w:rFonts w:hint="eastAsia" w:ascii="仿宋_GB2312" w:hAnsi="仿宋_GB2312" w:eastAsia="仿宋_GB2312" w:cs="仿宋_GB2312"/>
          <w:b/>
          <w:bCs/>
          <w:color w:val="auto"/>
          <w:sz w:val="30"/>
          <w:szCs w:val="30"/>
          <w:u w:val="single"/>
        </w:rPr>
        <w:t>将不予接收。</w:t>
      </w:r>
      <w:r>
        <w:rPr>
          <w:rFonts w:hint="eastAsia" w:ascii="仿宋_GB2312" w:hAnsi="仿宋_GB2312" w:eastAsia="仿宋_GB2312" w:cs="仿宋_GB2312"/>
          <w:b/>
          <w:bCs/>
          <w:color w:val="auto"/>
          <w:sz w:val="30"/>
          <w:szCs w:val="30"/>
          <w:u w:val="single"/>
          <w:lang w:bidi="ar"/>
        </w:rPr>
        <w:t>投标人未提供样品（含样品不全），为无效标。</w:t>
      </w:r>
    </w:p>
    <w:p w14:paraId="251DA92B">
      <w:pPr>
        <w:widowControl/>
        <w:spacing w:line="400" w:lineRule="atLeast"/>
        <w:ind w:firstLine="602" w:firstLineChars="200"/>
        <w:jc w:val="left"/>
        <w:rPr>
          <w:rFonts w:ascii="仿宋_GB2312" w:hAnsi="仿宋_GB2312" w:eastAsia="仿宋_GB2312" w:cs="仿宋_GB2312"/>
          <w:b/>
          <w:bCs/>
          <w:color w:val="auto"/>
          <w:sz w:val="30"/>
          <w:szCs w:val="30"/>
          <w:u w:val="single"/>
          <w:lang w:bidi="ar"/>
        </w:rPr>
      </w:pPr>
      <w:r>
        <w:rPr>
          <w:rFonts w:hint="eastAsia" w:ascii="仿宋_GB2312" w:hAnsi="仿宋_GB2312" w:eastAsia="仿宋_GB2312" w:cs="仿宋_GB2312"/>
          <w:b/>
          <w:bCs/>
          <w:color w:val="auto"/>
          <w:sz w:val="30"/>
          <w:szCs w:val="30"/>
          <w:u w:val="single"/>
          <w:lang w:bidi="ar"/>
        </w:rPr>
        <w:t>为强化样品现场管理，各投标单位须提前报备入校放置样品的人员及车辆信息，报备截止时间为5月</w:t>
      </w:r>
      <w:r>
        <w:rPr>
          <w:rFonts w:hint="default" w:ascii="仿宋_GB2312" w:hAnsi="仿宋_GB2312" w:eastAsia="仿宋_GB2312" w:cs="仿宋_GB2312"/>
          <w:b/>
          <w:bCs/>
          <w:color w:val="auto"/>
          <w:sz w:val="30"/>
          <w:szCs w:val="30"/>
          <w:u w:val="single"/>
          <w:lang w:bidi="ar"/>
          <w:woUserID w:val="1"/>
        </w:rPr>
        <w:t>16</w:t>
      </w:r>
      <w:r>
        <w:rPr>
          <w:rFonts w:hint="eastAsia" w:ascii="仿宋_GB2312" w:hAnsi="仿宋_GB2312" w:eastAsia="仿宋_GB2312" w:cs="仿宋_GB2312"/>
          <w:b/>
          <w:bCs/>
          <w:color w:val="auto"/>
          <w:sz w:val="30"/>
          <w:szCs w:val="30"/>
          <w:u w:val="single"/>
          <w:lang w:bidi="ar"/>
        </w:rPr>
        <w:t>日14:00，须将信息（供应商名称、车牌号、样品投标标项、以及进入校园人员的姓名、身份证号和手机号码），发送至指定邮箱：316171242@qq.com。</w:t>
      </w:r>
    </w:p>
    <w:p w14:paraId="2F83A5E3">
      <w:pPr>
        <w:widowControl/>
        <w:ind w:firstLine="600" w:firstLineChars="200"/>
        <w:jc w:val="left"/>
        <w:textAlignment w:val="center"/>
        <w:rPr>
          <w:rFonts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sz w:val="30"/>
          <w:szCs w:val="30"/>
        </w:rPr>
        <w:t>4.开评标活动结束后，对于未中标人提供的样品，由供应商在1个工作日内取回，逾期未取回的，采购人、采购代理机构不负保管义务；中标人提供的样品需</w:t>
      </w:r>
      <w:r>
        <w:rPr>
          <w:rFonts w:ascii="仿宋_GB2312" w:hAnsi="仿宋_GB2312" w:eastAsia="仿宋_GB2312" w:cs="仿宋_GB2312"/>
          <w:color w:val="auto"/>
          <w:sz w:val="30"/>
          <w:szCs w:val="30"/>
        </w:rPr>
        <w:t>采购人</w:t>
      </w:r>
      <w:r>
        <w:rPr>
          <w:rFonts w:hint="eastAsia" w:ascii="仿宋_GB2312" w:hAnsi="仿宋_GB2312" w:eastAsia="仿宋_GB2312" w:cs="仿宋_GB2312"/>
          <w:color w:val="auto"/>
          <w:sz w:val="30"/>
          <w:szCs w:val="30"/>
        </w:rPr>
        <w:t>在１个工作日内送达样板间搭建地址（详见商务要求），由采购人进行保管、封存，并作为履约验收的</w:t>
      </w:r>
      <w:r>
        <w:rPr>
          <w:rFonts w:ascii="仿宋_GB2312" w:hAnsi="仿宋_GB2312" w:eastAsia="仿宋_GB2312" w:cs="仿宋_GB2312"/>
          <w:color w:val="auto"/>
          <w:sz w:val="30"/>
          <w:szCs w:val="30"/>
        </w:rPr>
        <w:t>依据</w:t>
      </w:r>
      <w:r>
        <w:rPr>
          <w:rFonts w:hint="eastAsia" w:ascii="仿宋_GB2312" w:hAnsi="仿宋_GB2312" w:eastAsia="仿宋_GB2312" w:cs="仿宋_GB2312"/>
          <w:color w:val="auto"/>
          <w:sz w:val="30"/>
          <w:szCs w:val="30"/>
        </w:rPr>
        <w:t>。</w:t>
      </w:r>
    </w:p>
    <w:p w14:paraId="1B39CFA1">
      <w:pPr>
        <w:rPr>
          <w:color w:val="auto"/>
        </w:rPr>
      </w:pPr>
    </w:p>
    <w:p w14:paraId="728AA46C">
      <w:pPr>
        <w:numPr>
          <w:ilvl w:val="255"/>
          <w:numId w:val="0"/>
        </w:numPr>
        <w:spacing w:line="400" w:lineRule="atLeast"/>
        <w:ind w:left="630"/>
        <w:outlineLvl w:val="2"/>
        <w:rPr>
          <w:color w:val="auto"/>
        </w:rPr>
      </w:pPr>
      <w:r>
        <w:rPr>
          <w:rFonts w:hint="eastAsia" w:ascii="Times New Roman" w:hAnsi="Times New Roman" w:eastAsia="仿宋_GB2312"/>
          <w:b/>
          <w:bCs/>
          <w:color w:val="auto"/>
          <w:sz w:val="30"/>
        </w:rPr>
        <w:t>（四）商务要求</w:t>
      </w:r>
    </w:p>
    <w:p w14:paraId="5A2C79A0">
      <w:pPr>
        <w:outlineLvl w:val="2"/>
        <w:rPr>
          <w:rFonts w:eastAsia="仿宋_GB2312"/>
          <w:color w:val="auto"/>
        </w:rPr>
      </w:pPr>
      <w:r>
        <w:rPr>
          <w:rFonts w:hint="eastAsia" w:eastAsia="仿宋_GB2312"/>
          <w:b/>
          <w:color w:val="auto"/>
          <w:sz w:val="28"/>
        </w:rPr>
        <w:t>项目编号：</w:t>
      </w:r>
      <w:r>
        <w:rPr>
          <w:rFonts w:hint="eastAsia" w:ascii="仿宋_GB2312" w:hAnsi="Times New Roman" w:eastAsia="仿宋_GB2312"/>
          <w:b/>
          <w:bCs/>
          <w:snapToGrid w:val="0"/>
          <w:color w:val="auto"/>
          <w:kern w:val="0"/>
          <w:sz w:val="30"/>
          <w:szCs w:val="30"/>
          <w:u w:val="single"/>
        </w:rPr>
        <w:t xml:space="preserve">2026-SJYT-11*** </w:t>
      </w:r>
      <w:r>
        <w:rPr>
          <w:rFonts w:eastAsia="仿宋_GB2312"/>
          <w:b/>
          <w:color w:val="auto"/>
          <w:sz w:val="28"/>
        </w:rPr>
        <w:t xml:space="preserve"> </w:t>
      </w:r>
      <w:r>
        <w:rPr>
          <w:rFonts w:hint="eastAsia" w:eastAsia="仿宋_GB2312"/>
          <w:b/>
          <w:color w:val="auto"/>
          <w:sz w:val="28"/>
        </w:rPr>
        <w:t xml:space="preserve">                      标项1</w:t>
      </w:r>
    </w:p>
    <w:tbl>
      <w:tblPr>
        <w:tblStyle w:val="38"/>
        <w:tblW w:w="96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8"/>
        <w:gridCol w:w="7498"/>
      </w:tblGrid>
      <w:tr w14:paraId="05E8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211454BE">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样板间要求</w:t>
            </w:r>
          </w:p>
        </w:tc>
        <w:tc>
          <w:tcPr>
            <w:tcW w:w="7498" w:type="dxa"/>
          </w:tcPr>
          <w:p w14:paraId="592F1D19">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▲1.样板间搭建。中标人应在收到采购人书面通知后10个工作日内，于指定学校（学校名称：</w:t>
            </w:r>
            <w:r>
              <w:rPr>
                <w:rFonts w:hint="eastAsia" w:ascii="仿宋_GB2312" w:hAnsi="仿宋_GB2312" w:eastAsia="仿宋_GB2312" w:cs="仿宋_GB2312"/>
                <w:color w:val="auto"/>
                <w:sz w:val="24"/>
                <w:szCs w:val="24"/>
                <w:lang w:eastAsia="zh"/>
              </w:rPr>
              <w:t>湖州中学</w:t>
            </w:r>
            <w:r>
              <w:rPr>
                <w:rFonts w:hint="eastAsia" w:ascii="仿宋_GB2312" w:hAnsi="仿宋_GB2312" w:eastAsia="仿宋_GB2312" w:cs="仿宋_GB2312"/>
                <w:color w:val="auto"/>
                <w:sz w:val="24"/>
                <w:szCs w:val="24"/>
              </w:rPr>
              <w:t>）完成“化学实验室1”样板间全要素搭建及系统调试，样板间作为后续批量履约交付的重要依据。具体包含：</w:t>
            </w:r>
          </w:p>
          <w:p w14:paraId="006228D2">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
              </w:rPr>
              <w:t>学生实验桌凳柜的安装；</w:t>
            </w:r>
          </w:p>
          <w:p w14:paraId="5A3E227D">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
              </w:rPr>
              <w:t>数字化传感器设备运行测试</w:t>
            </w:r>
            <w:r>
              <w:rPr>
                <w:rFonts w:hint="eastAsia" w:ascii="仿宋_GB2312" w:hAnsi="仿宋_GB2312" w:eastAsia="仿宋_GB2312" w:cs="仿宋_GB2312"/>
                <w:color w:val="auto"/>
                <w:sz w:val="24"/>
                <w:szCs w:val="24"/>
              </w:rPr>
              <w:t>；</w:t>
            </w:r>
          </w:p>
          <w:p w14:paraId="409CE251">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eastAsia="zh"/>
              </w:rPr>
              <w:t>其他招标要求的样品及检测报告的查验；</w:t>
            </w:r>
          </w:p>
          <w:p w14:paraId="6B360F1A">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（4）以上全套设备的调试及功能验证。</w:t>
            </w:r>
          </w:p>
          <w:p w14:paraId="2F2DA24E">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2.验收标准。采购人将依据招标文件要求开展样板间验收，具体包括：</w:t>
            </w:r>
          </w:p>
          <w:p w14:paraId="16499CAD">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（1）资质核验：产品型号一致性检查、检测报告及产品合格证核查；</w:t>
            </w:r>
          </w:p>
          <w:p w14:paraId="37BC8550">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（2）产品和施工质量评价：</w:t>
            </w:r>
            <w:r>
              <w:rPr>
                <w:rFonts w:hint="eastAsia" w:ascii="仿宋_GB2312" w:hAnsi="仿宋_GB2312" w:eastAsia="仿宋_GB2312" w:cs="仿宋_GB2312"/>
                <w:color w:val="auto"/>
                <w:sz w:val="24"/>
                <w:szCs w:val="24"/>
                <w:lang w:eastAsia="zh"/>
              </w:rPr>
              <w:t>实验桌凳柜、数字化传感器</w:t>
            </w:r>
            <w:r>
              <w:rPr>
                <w:rFonts w:hint="eastAsia" w:ascii="仿宋_GB2312" w:hAnsi="仿宋_GB2312" w:eastAsia="仿宋_GB2312" w:cs="仿宋_GB2312"/>
                <w:color w:val="auto"/>
                <w:sz w:val="24"/>
                <w:szCs w:val="24"/>
              </w:rPr>
              <w:t>等核心设备的产品功能、外观质量、结构安全、施工规范等核验。</w:t>
            </w:r>
          </w:p>
          <w:p w14:paraId="00224C18">
            <w:pP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3.争议处理。当采购人对设备关键性能指标、材质环保性、安全合规性等核心事项存有合理质疑时，由采购人根据实际应用情况进行深入评估后，在供需双方协商无果的情况下，采购人有权将货物样本送交具有资质的第三方检测机构进行检测或请相关机构进行仲裁，相关检测费用及仲裁费用由中标人全额承担。若检测结果未达标准要求，中标人须于7个工作日内免费更换为符合质量要求的设备。</w:t>
            </w:r>
          </w:p>
        </w:tc>
      </w:tr>
      <w:tr w14:paraId="7D058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5C8058F2">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培训方案</w:t>
            </w:r>
          </w:p>
        </w:tc>
        <w:tc>
          <w:tcPr>
            <w:tcW w:w="7498" w:type="dxa"/>
          </w:tcPr>
          <w:p w14:paraId="4920A5F7">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投标人根据项目特点提供详尽的培训方案。</w:t>
            </w:r>
          </w:p>
        </w:tc>
      </w:tr>
      <w:tr w14:paraId="0677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139F92FC">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验收标准与方法</w:t>
            </w:r>
          </w:p>
        </w:tc>
        <w:tc>
          <w:tcPr>
            <w:tcW w:w="7498" w:type="dxa"/>
            <w:vAlign w:val="center"/>
          </w:tcPr>
          <w:p w14:paraId="3B6B9457">
            <w:pPr>
              <w:widowControl/>
              <w:numPr>
                <w:ilvl w:val="0"/>
                <w:numId w:val="10"/>
              </w:numPr>
              <w:jc w:val="left"/>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验收方案</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（1）项目初验根据招标文件、投标文件、其他相关采购文件、采购合同等，清点产品数量，核对型号参数，并对照样板间检验产品和施工质量等；</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（2）项目终验根据试运行报告，培训结果等，进行最终验收。验收材料包含但不限于：项目履约总结，供货签收单，产品合格证或检测报告、实施过程记录，售后服务承诺等材料；</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（3）中标人完成相应工作内容后向采购人提出初验或验收申请，经采购人组织评审通过视为初验或终验合格。</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2.项目整改要求</w:t>
            </w:r>
          </w:p>
          <w:p w14:paraId="51F15A0A">
            <w:pPr>
              <w:widowControl/>
              <w:jc w:val="left"/>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首次验收不合格的，中标人须在5个工作日内完成整改，并提交书面整改报告。第2次（含）之后的每次复验产生的专家咨询费、场地费等由中标人全额承担。</w:t>
            </w:r>
            <w:r>
              <w:rPr>
                <w:rFonts w:hint="eastAsia" w:ascii="仿宋_GB2312" w:hAnsi="仿宋_GB2312" w:eastAsia="仿宋_GB2312" w:cs="仿宋_GB2312"/>
                <w:color w:val="auto"/>
                <w:kern w:val="0"/>
                <w:sz w:val="24"/>
                <w:szCs w:val="24"/>
                <w:lang w:bidi="ar"/>
              </w:rPr>
              <w:br w:type="textWrapping"/>
            </w:r>
            <w:r>
              <w:rPr>
                <w:rFonts w:hint="eastAsia" w:ascii="仿宋_GB2312" w:hAnsi="仿宋_GB2312" w:eastAsia="仿宋_GB2312" w:cs="仿宋_GB2312"/>
                <w:color w:val="auto"/>
                <w:kern w:val="0"/>
                <w:sz w:val="24"/>
                <w:szCs w:val="24"/>
                <w:lang w:bidi="ar"/>
              </w:rPr>
              <w:t>3.争议处理</w:t>
            </w:r>
          </w:p>
          <w:p w14:paraId="7FDFDEC3">
            <w:pPr>
              <w:widowControl/>
              <w:jc w:val="left"/>
              <w:textAlignment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bidi="ar"/>
              </w:rPr>
              <w:t>当采购人对设备关键性能指标、材质环保性、安全合规性等核心事项存有合理质疑时，由采购人根据实际应用情况进行深入评估后，在供需双方协商无果的情况下，采购人有权将货物样本送交具有资质的第三方检测机构进行检测或请相关机构进行仲裁，相关检测费用及仲裁费用由中标人全额承担。若检测结果未达标准要求，中标人须于7个工作日内免费更换为符合质量要求的设备。</w:t>
            </w:r>
          </w:p>
        </w:tc>
      </w:tr>
      <w:tr w14:paraId="4B43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5552701F">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实验室设计方案</w:t>
            </w:r>
          </w:p>
        </w:tc>
        <w:tc>
          <w:tcPr>
            <w:tcW w:w="7498" w:type="dxa"/>
          </w:tcPr>
          <w:p w14:paraId="15711C29">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投标人针对本项目受益学校长兴县实验中学、</w:t>
            </w:r>
            <w:r>
              <w:rPr>
                <w:rFonts w:hint="eastAsia" w:ascii="仿宋_GB2312" w:hAnsi="仿宋_GB2312" w:eastAsia="仿宋_GB2312" w:cs="仿宋_GB2312"/>
                <w:color w:val="auto"/>
                <w:sz w:val="24"/>
                <w:szCs w:val="24"/>
                <w:lang w:eastAsia="zh"/>
              </w:rPr>
              <w:t>湖州中学</w:t>
            </w:r>
            <w:r>
              <w:rPr>
                <w:rFonts w:hint="eastAsia" w:ascii="仿宋_GB2312" w:hAnsi="仿宋_GB2312" w:eastAsia="仿宋_GB2312" w:cs="仿宋_GB2312"/>
                <w:color w:val="auto"/>
                <w:sz w:val="24"/>
                <w:szCs w:val="24"/>
              </w:rPr>
              <w:t>提供的实验室图纸（长兴县实验中学</w:t>
            </w:r>
            <w:r>
              <w:rPr>
                <w:rFonts w:hint="eastAsia" w:ascii="仿宋_GB2312" w:hAnsi="仿宋_GB2312" w:eastAsia="仿宋_GB2312" w:cs="仿宋_GB2312"/>
                <w:color w:val="auto"/>
                <w:sz w:val="24"/>
                <w:szCs w:val="24"/>
                <w:lang w:eastAsia="zh"/>
              </w:rPr>
              <w:t>生物</w:t>
            </w:r>
            <w:r>
              <w:rPr>
                <w:rFonts w:hint="eastAsia" w:ascii="仿宋_GB2312" w:hAnsi="仿宋_GB2312" w:eastAsia="仿宋_GB2312" w:cs="仿宋_GB2312"/>
                <w:color w:val="auto"/>
                <w:sz w:val="24"/>
                <w:szCs w:val="24"/>
              </w:rPr>
              <w:t>实验室</w:t>
            </w:r>
            <w:r>
              <w:rPr>
                <w:rFonts w:hint="eastAsia" w:ascii="仿宋_GB2312" w:hAnsi="仿宋_GB2312" w:eastAsia="仿宋_GB2312" w:cs="仿宋_GB2312"/>
                <w:color w:val="auto"/>
                <w:sz w:val="24"/>
                <w:szCs w:val="24"/>
                <w:lang w:eastAsia="zh"/>
              </w:rPr>
              <w:t>3</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eastAsia="zh"/>
              </w:rPr>
              <w:t>湖州中学理化生创新实验室1、化学实验室1、生物实验室1</w:t>
            </w:r>
            <w:r>
              <w:rPr>
                <w:rFonts w:hint="eastAsia" w:ascii="仿宋_GB2312" w:hAnsi="仿宋_GB2312" w:eastAsia="仿宋_GB2312" w:cs="仿宋_GB2312"/>
                <w:color w:val="auto"/>
                <w:sz w:val="24"/>
                <w:szCs w:val="24"/>
              </w:rPr>
              <w:t>），提供一套完整的图纸设计方案，方案需包含：</w:t>
            </w:r>
          </w:p>
          <w:p w14:paraId="3B3171B9">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1.实验室的平面布置图；</w:t>
            </w:r>
          </w:p>
          <w:p w14:paraId="44943BA3">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2.给排水图纸（生物、化学实验室）；</w:t>
            </w:r>
          </w:p>
          <w:p w14:paraId="6948D9AF">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3.供电图纸（物理、化学、生物实验室）；</w:t>
            </w:r>
          </w:p>
          <w:p w14:paraId="0217C543">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4.化学实验室通风设计图纸。</w:t>
            </w:r>
          </w:p>
        </w:tc>
      </w:tr>
      <w:tr w14:paraId="54DE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7DA71949">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整体实施方案</w:t>
            </w:r>
          </w:p>
        </w:tc>
        <w:tc>
          <w:tcPr>
            <w:tcW w:w="7498" w:type="dxa"/>
            <w:vAlign w:val="center"/>
          </w:tcPr>
          <w:p w14:paraId="7F0F08A4">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投标人根据项目特点提供详尽的实施方案。</w:t>
            </w:r>
          </w:p>
        </w:tc>
      </w:tr>
      <w:tr w14:paraId="15CAD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043095B9">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质量控制方案</w:t>
            </w:r>
          </w:p>
          <w:p w14:paraId="747F6A2B">
            <w:pPr>
              <w:jc w:val="center"/>
              <w:rPr>
                <w:rFonts w:ascii="仿宋_GB2312" w:hAnsi="仿宋_GB2312" w:eastAsia="仿宋_GB2312" w:cs="仿宋_GB2312"/>
                <w:color w:val="auto"/>
                <w:sz w:val="24"/>
                <w:szCs w:val="24"/>
              </w:rPr>
            </w:pPr>
          </w:p>
        </w:tc>
        <w:tc>
          <w:tcPr>
            <w:tcW w:w="7498" w:type="dxa"/>
            <w:vAlign w:val="center"/>
          </w:tcPr>
          <w:p w14:paraId="732E639C">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投标人根据项目特点提供详尽的质量控制方案。</w:t>
            </w:r>
          </w:p>
        </w:tc>
      </w:tr>
      <w:tr w14:paraId="45E5E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31802303">
            <w:pPr>
              <w:jc w:val="cente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售后服务方案</w:t>
            </w:r>
          </w:p>
          <w:p w14:paraId="60371A09">
            <w:pPr>
              <w:jc w:val="center"/>
              <w:rPr>
                <w:rFonts w:ascii="仿宋_GB2312" w:hAnsi="仿宋_GB2312" w:eastAsia="仿宋_GB2312" w:cs="仿宋_GB2312"/>
                <w:color w:val="auto"/>
                <w:sz w:val="24"/>
                <w:szCs w:val="24"/>
              </w:rPr>
            </w:pPr>
          </w:p>
        </w:tc>
        <w:tc>
          <w:tcPr>
            <w:tcW w:w="7498" w:type="dxa"/>
            <w:vAlign w:val="center"/>
          </w:tcPr>
          <w:p w14:paraId="54C41876">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1.承诺提供投标产品3年质量保证期。</w:t>
            </w:r>
          </w:p>
          <w:p w14:paraId="49EAB6D3">
            <w:pPr>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2.提供详细完整的“三包”措施及售后服务措施和方案（包括备品备件，7×24售后响应、服务响应时间等）。</w:t>
            </w:r>
          </w:p>
        </w:tc>
      </w:tr>
      <w:tr w14:paraId="4FE4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43AE78CE">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交付（实施）时间</w:t>
            </w:r>
          </w:p>
        </w:tc>
        <w:tc>
          <w:tcPr>
            <w:tcW w:w="7498" w:type="dxa"/>
            <w:vAlign w:val="center"/>
          </w:tcPr>
          <w:p w14:paraId="1D5C4BDF">
            <w:pPr>
              <w:pStyle w:val="31"/>
              <w:spacing w:before="0" w:beforeAutospacing="0" w:after="0" w:afterAutospacing="0" w:line="360" w:lineRule="exact"/>
              <w:rPr>
                <w:rFonts w:ascii="仿宋_GB2312" w:hAnsi="仿宋_GB2312" w:eastAsia="仿宋_GB2312" w:cs="仿宋_GB2312"/>
                <w:color w:val="auto"/>
                <w:kern w:val="2"/>
              </w:rPr>
            </w:pPr>
            <w:r>
              <w:rPr>
                <w:rFonts w:hint="eastAsia" w:ascii="仿宋_GB2312" w:hAnsi="仿宋_GB2312" w:eastAsia="仿宋_GB2312" w:cs="仿宋_GB2312"/>
                <w:color w:val="auto"/>
                <w:kern w:val="2"/>
              </w:rPr>
              <w:t>合同签订接校方开工通知后60天内。</w:t>
            </w:r>
          </w:p>
        </w:tc>
      </w:tr>
      <w:tr w14:paraId="71662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511578E6">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交付（实施）地点</w:t>
            </w:r>
          </w:p>
        </w:tc>
        <w:tc>
          <w:tcPr>
            <w:tcW w:w="7498" w:type="dxa"/>
            <w:vAlign w:val="center"/>
          </w:tcPr>
          <w:p w14:paraId="1A9CF457">
            <w:pPr>
              <w:pStyle w:val="31"/>
              <w:spacing w:before="0" w:beforeAutospacing="0" w:after="0" w:afterAutospacing="0" w:line="360" w:lineRule="exact"/>
              <w:rPr>
                <w:rFonts w:ascii="仿宋_GB2312" w:hAnsi="仿宋_GB2312" w:eastAsia="仿宋_GB2312" w:cs="仿宋_GB2312"/>
                <w:color w:val="auto"/>
                <w:kern w:val="2"/>
              </w:rPr>
            </w:pPr>
            <w:r>
              <w:rPr>
                <w:rFonts w:hint="eastAsia" w:ascii="仿宋_GB2312" w:hAnsi="仿宋_GB2312" w:eastAsia="仿宋_GB2312" w:cs="仿宋_GB2312"/>
                <w:color w:val="auto"/>
                <w:kern w:val="2"/>
              </w:rPr>
              <w:t>本项目各受益学校。</w:t>
            </w:r>
          </w:p>
        </w:tc>
      </w:tr>
      <w:tr w14:paraId="76A63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7E53773F">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支付条款</w:t>
            </w:r>
          </w:p>
        </w:tc>
        <w:tc>
          <w:tcPr>
            <w:tcW w:w="7498" w:type="dxa"/>
            <w:vAlign w:val="center"/>
          </w:tcPr>
          <w:p w14:paraId="12CDEA05">
            <w:pPr>
              <w:pStyle w:val="31"/>
              <w:spacing w:before="0" w:beforeAutospacing="0" w:after="0" w:afterAutospacing="0" w:line="360" w:lineRule="exact"/>
              <w:rPr>
                <w:rFonts w:ascii="仿宋_GB2312" w:hAnsi="仿宋_GB2312" w:eastAsia="仿宋_GB2312" w:cs="仿宋_GB2312"/>
                <w:color w:val="auto"/>
                <w:kern w:val="2"/>
              </w:rPr>
            </w:pPr>
            <w:r>
              <w:rPr>
                <w:rFonts w:hint="eastAsia" w:ascii="仿宋_GB2312" w:hAnsi="仿宋_GB2312" w:eastAsia="仿宋_GB2312" w:cs="仿宋_GB2312"/>
                <w:color w:val="auto"/>
                <w:kern w:val="2"/>
              </w:rPr>
              <w:t>支付方式：分期付款。</w:t>
            </w:r>
          </w:p>
          <w:p w14:paraId="188792F5">
            <w:pPr>
              <w:pStyle w:val="31"/>
              <w:spacing w:before="0" w:beforeAutospacing="0" w:after="0" w:afterAutospacing="0" w:line="360" w:lineRule="exact"/>
              <w:rPr>
                <w:rFonts w:ascii="仿宋_GB2312" w:hAnsi="仿宋_GB2312" w:eastAsia="仿宋_GB2312" w:cs="仿宋_GB2312"/>
                <w:color w:val="auto"/>
                <w:kern w:val="2"/>
              </w:rPr>
            </w:pPr>
            <w:r>
              <w:rPr>
                <w:rFonts w:hint="eastAsia" w:ascii="仿宋_GB2312" w:hAnsi="仿宋_GB2312" w:eastAsia="仿宋_GB2312" w:cs="仿宋_GB2312"/>
                <w:color w:val="auto"/>
                <w:kern w:val="2"/>
              </w:rPr>
              <w:t>采购合同签订后5个工作日内，采购人预付合同金额 40％支付至供应商的账户。安装完成并调试完成，凭双方签字盖章的验收意见、初验验收小组签字的验收报告，采购人在 5 个工作日内将合同金额40%支付至供应商的账户。在相关培训结束后，试运行合格，终验验收小组签字的验收报告，采购人在 5 个工作日内将合同金额的余款支付至供应商的账户。</w:t>
            </w:r>
          </w:p>
        </w:tc>
      </w:tr>
      <w:tr w14:paraId="78CE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1C86765E">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违约责任与</w:t>
            </w:r>
          </w:p>
          <w:p w14:paraId="7A4A7F18">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争议解决机制</w:t>
            </w:r>
          </w:p>
        </w:tc>
        <w:tc>
          <w:tcPr>
            <w:tcW w:w="7498" w:type="dxa"/>
            <w:vAlign w:val="center"/>
          </w:tcPr>
          <w:p w14:paraId="42B1DF02">
            <w:pPr>
              <w:spacing w:line="360" w:lineRule="exact"/>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（1）合同在履行过程中发生争议时，双方及时协商解决。协商不成时，任何一方有权向项目履行地（相应参与单位所在地）人民法院提起诉讼。</w:t>
            </w:r>
          </w:p>
          <w:p w14:paraId="5D980D99">
            <w:pPr>
              <w:spacing w:line="360" w:lineRule="exact"/>
              <w:jc w:val="left"/>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（2）对于因违反或终止合同而引起的损失、损害的赔偿，由双方友好协商解决，经协商仍未能达成一致的，向项目履行地（相应参与单位所在地）人民法院提起诉讼。</w:t>
            </w:r>
          </w:p>
        </w:tc>
      </w:tr>
      <w:tr w14:paraId="796D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28" w:type="dxa"/>
            <w:vAlign w:val="center"/>
          </w:tcPr>
          <w:p w14:paraId="5F178A25">
            <w:pPr>
              <w:pStyle w:val="31"/>
              <w:spacing w:before="0" w:beforeAutospacing="0" w:after="0" w:afterAutospacing="0" w:line="300" w:lineRule="exact"/>
              <w:jc w:val="center"/>
              <w:rPr>
                <w:rFonts w:ascii="仿宋_GB2312" w:hAnsi="仿宋_GB2312" w:eastAsia="仿宋_GB2312" w:cs="仿宋_GB2312"/>
                <w:color w:val="auto"/>
                <w:kern w:val="2"/>
              </w:rPr>
            </w:pPr>
            <w:r>
              <w:rPr>
                <w:rFonts w:hint="eastAsia" w:ascii="仿宋_GB2312" w:hAnsi="仿宋_GB2312" w:eastAsia="仿宋_GB2312" w:cs="仿宋_GB2312"/>
                <w:color w:val="auto"/>
                <w:kern w:val="2"/>
              </w:rPr>
              <w:t>中标（成交）供应商材料复核</w:t>
            </w:r>
          </w:p>
        </w:tc>
        <w:tc>
          <w:tcPr>
            <w:tcW w:w="7498" w:type="dxa"/>
            <w:vAlign w:val="center"/>
          </w:tcPr>
          <w:p w14:paraId="753EDECC">
            <w:pPr>
              <w:pStyle w:val="31"/>
              <w:spacing w:before="0" w:beforeAutospacing="0" w:after="0" w:afterAutospacing="0" w:line="300" w:lineRule="exact"/>
              <w:rPr>
                <w:rFonts w:ascii="仿宋_GB2312" w:hAnsi="仿宋_GB2312" w:eastAsia="仿宋_GB2312" w:cs="仿宋_GB2312"/>
                <w:color w:val="auto"/>
                <w:kern w:val="2"/>
              </w:rPr>
            </w:pPr>
            <w:r>
              <w:rPr>
                <w:rFonts w:hint="eastAsia" w:ascii="仿宋_GB2312" w:hAnsi="仿宋_GB2312" w:eastAsia="仿宋_GB2312" w:cs="仿宋_GB2312"/>
                <w:color w:val="auto"/>
                <w:kern w:val="2"/>
              </w:rPr>
              <w:t>采购人在评审结束后、确认采购结果前，应及时通过网站查询、原件核对等方式对中标（成交）供应商在投标（响应）文件中涉及客观分评审内容的检测报告、认证证书等资料的真实性进行复核，复核情况详细记录，并纳入采购档案。发现供应商提供虚假材料的，将书面报告同级财政部门。中标（成交）供应商须在接到通知后2个工作日内将有关资料原件送达采购人指定地点。</w:t>
            </w:r>
          </w:p>
        </w:tc>
      </w:tr>
    </w:tbl>
    <w:p w14:paraId="51EE1BF5">
      <w:pPr>
        <w:rPr>
          <w:color w:val="auto"/>
        </w:rPr>
      </w:pPr>
    </w:p>
    <w:p w14:paraId="68C54F14">
      <w:pPr>
        <w:pStyle w:val="3"/>
        <w:rPr>
          <w:color w:val="auto"/>
        </w:rPr>
      </w:pPr>
    </w:p>
    <w:bookmarkEnd w:id="24"/>
    <w:bookmarkEnd w:id="25"/>
    <w:bookmarkEnd w:id="26"/>
    <w:bookmarkEnd w:id="27"/>
    <w:bookmarkEnd w:id="28"/>
    <w:p w14:paraId="69DFBD87">
      <w:pPr>
        <w:pageBreakBefore/>
        <w:spacing w:before="240" w:beforeLines="100"/>
        <w:outlineLvl w:val="0"/>
        <w:rPr>
          <w:rFonts w:ascii="仿宋_GB2312" w:eastAsia="仿宋_GB2312"/>
          <w:b/>
          <w:bCs/>
          <w:color w:val="auto"/>
          <w:kern w:val="0"/>
          <w:sz w:val="36"/>
          <w:szCs w:val="36"/>
        </w:rPr>
      </w:pPr>
      <w:bookmarkStart w:id="30" w:name="_Toc4889"/>
      <w:bookmarkStart w:id="31" w:name="_Toc1082454221"/>
      <w:bookmarkStart w:id="32" w:name="_Toc5892"/>
      <w:r>
        <w:rPr>
          <w:rFonts w:hint="eastAsia" w:ascii="仿宋_GB2312" w:eastAsia="仿宋_GB2312"/>
          <w:b/>
          <w:bCs/>
          <w:color w:val="auto"/>
          <w:kern w:val="0"/>
          <w:sz w:val="36"/>
          <w:szCs w:val="36"/>
        </w:rPr>
        <w:t>第五章 带量集中采购协议和政府采购合同主要条款指引</w:t>
      </w:r>
      <w:bookmarkEnd w:id="30"/>
      <w:bookmarkEnd w:id="31"/>
    </w:p>
    <w:p w14:paraId="3EA176FE">
      <w:pPr>
        <w:snapToGrid w:val="0"/>
        <w:spacing w:after="120" w:afterLines="50" w:line="500" w:lineRule="exact"/>
        <w:jc w:val="center"/>
        <w:rPr>
          <w:rFonts w:ascii="仿宋_GB2312" w:eastAsia="仿宋_GB2312"/>
          <w:b/>
          <w:bCs/>
          <w:color w:val="auto"/>
          <w:kern w:val="0"/>
          <w:sz w:val="36"/>
          <w:szCs w:val="36"/>
        </w:rPr>
      </w:pPr>
      <w:bookmarkStart w:id="33" w:name="_Toc22094"/>
      <w:bookmarkStart w:id="34" w:name="OLE_LINK1"/>
      <w:r>
        <w:rPr>
          <w:rFonts w:hint="eastAsia" w:ascii="仿宋_GB2312" w:eastAsia="仿宋_GB2312"/>
          <w:b/>
          <w:bCs/>
          <w:color w:val="auto"/>
          <w:kern w:val="0"/>
          <w:sz w:val="36"/>
          <w:szCs w:val="36"/>
        </w:rPr>
        <w:t xml:space="preserve">  </w:t>
      </w:r>
    </w:p>
    <w:p w14:paraId="671C251B">
      <w:pPr>
        <w:snapToGrid w:val="0"/>
        <w:spacing w:after="120" w:afterLines="50" w:line="500" w:lineRule="exact"/>
        <w:jc w:val="center"/>
        <w:rPr>
          <w:rFonts w:ascii="微软雅黑" w:hAnsi="微软雅黑" w:eastAsia="微软雅黑" w:cs="微软雅黑"/>
          <w:color w:val="auto"/>
          <w:kern w:val="0"/>
          <w:sz w:val="36"/>
          <w:szCs w:val="36"/>
        </w:rPr>
      </w:pPr>
      <w:r>
        <w:rPr>
          <w:rFonts w:hint="eastAsia" w:ascii="仿宋_GB2312" w:eastAsia="仿宋_GB2312"/>
          <w:b/>
          <w:bCs/>
          <w:color w:val="auto"/>
          <w:kern w:val="0"/>
          <w:sz w:val="36"/>
          <w:szCs w:val="36"/>
        </w:rPr>
        <w:t xml:space="preserve"> </w:t>
      </w:r>
      <w:r>
        <w:rPr>
          <w:rFonts w:hint="eastAsia" w:ascii="微软雅黑" w:hAnsi="微软雅黑" w:eastAsia="微软雅黑" w:cs="微软雅黑"/>
          <w:color w:val="auto"/>
          <w:kern w:val="0"/>
          <w:sz w:val="36"/>
          <w:szCs w:val="36"/>
        </w:rPr>
        <w:t>浙江省中学实验仪器设备购置项目</w:t>
      </w:r>
    </w:p>
    <w:p w14:paraId="0CC5536E">
      <w:pPr>
        <w:snapToGrid w:val="0"/>
        <w:spacing w:after="120" w:afterLines="50" w:line="500" w:lineRule="exact"/>
        <w:jc w:val="center"/>
        <w:rPr>
          <w:rFonts w:ascii="微软雅黑" w:hAnsi="微软雅黑" w:eastAsia="微软雅黑" w:cs="微软雅黑"/>
          <w:b/>
          <w:bCs/>
          <w:color w:val="auto"/>
          <w:kern w:val="0"/>
          <w:sz w:val="36"/>
          <w:szCs w:val="36"/>
        </w:rPr>
      </w:pPr>
      <w:r>
        <w:rPr>
          <w:rFonts w:hint="eastAsia" w:ascii="微软雅黑" w:hAnsi="微软雅黑" w:eastAsia="微软雅黑" w:cs="微软雅黑"/>
          <w:color w:val="auto"/>
          <w:kern w:val="0"/>
          <w:sz w:val="36"/>
          <w:szCs w:val="36"/>
        </w:rPr>
        <w:t>集中带量采购牵头单位与中标供应商协议</w:t>
      </w:r>
    </w:p>
    <w:p w14:paraId="7658AA97">
      <w:pPr>
        <w:pStyle w:val="15"/>
        <w:wordWrap w:val="0"/>
        <w:snapToGrid w:val="0"/>
        <w:spacing w:beforeLines="0" w:afterLines="0" w:line="240" w:lineRule="auto"/>
        <w:jc w:val="center"/>
        <w:rPr>
          <w:rFonts w:ascii="Times New Roman" w:hAnsi="Times New Roman"/>
          <w:color w:val="auto"/>
          <w:sz w:val="32"/>
          <w:szCs w:val="32"/>
        </w:rPr>
      </w:pPr>
      <w:r>
        <w:rPr>
          <w:rFonts w:hint="eastAsia" w:ascii="Times New Roman" w:hAnsi="Times New Roman"/>
          <w:color w:val="auto"/>
          <w:sz w:val="32"/>
          <w:szCs w:val="32"/>
        </w:rPr>
        <w:t xml:space="preserve">  </w:t>
      </w:r>
    </w:p>
    <w:p w14:paraId="7CE696CB">
      <w:pPr>
        <w:pStyle w:val="15"/>
        <w:wordWrap w:val="0"/>
        <w:snapToGrid w:val="0"/>
        <w:spacing w:beforeLines="0" w:afterLines="0" w:line="240" w:lineRule="auto"/>
        <w:jc w:val="right"/>
        <w:rPr>
          <w:rFonts w:ascii="Times New Roman" w:hAnsi="Times New Roman"/>
          <w:color w:val="auto"/>
          <w:sz w:val="28"/>
          <w:szCs w:val="28"/>
        </w:rPr>
      </w:pPr>
      <w:r>
        <w:rPr>
          <w:rFonts w:ascii="Times New Roman" w:hAnsi="Times New Roman"/>
          <w:color w:val="auto"/>
          <w:sz w:val="32"/>
          <w:szCs w:val="32"/>
        </w:rPr>
        <w:t xml:space="preserve"> 协议编号：</w:t>
      </w:r>
      <w:r>
        <w:rPr>
          <w:rFonts w:ascii="Times New Roman" w:hAnsi="Times New Roman"/>
          <w:color w:val="auto"/>
          <w:sz w:val="28"/>
          <w:szCs w:val="28"/>
        </w:rPr>
        <w:t xml:space="preserve">            </w:t>
      </w:r>
    </w:p>
    <w:p w14:paraId="111008D4">
      <w:pPr>
        <w:pStyle w:val="15"/>
        <w:snapToGrid w:val="0"/>
        <w:spacing w:beforeLines="0" w:afterLines="0" w:line="240" w:lineRule="auto"/>
        <w:jc w:val="left"/>
        <w:rPr>
          <w:rFonts w:ascii="Times New Roman" w:hAnsi="Times New Roman"/>
          <w:color w:val="auto"/>
          <w:sz w:val="30"/>
          <w:szCs w:val="30"/>
        </w:rPr>
      </w:pPr>
    </w:p>
    <w:p w14:paraId="79238765">
      <w:pPr>
        <w:snapToGrid w:val="0"/>
        <w:spacing w:line="500" w:lineRule="exact"/>
        <w:rPr>
          <w:rFonts w:ascii="Times New Roman" w:hAnsi="Times New Roman"/>
          <w:b/>
          <w:color w:val="auto"/>
          <w:sz w:val="32"/>
          <w:szCs w:val="32"/>
        </w:rPr>
      </w:pPr>
      <w:r>
        <w:rPr>
          <w:rFonts w:ascii="Times New Roman" w:hAnsi="Times New Roman"/>
          <w:b/>
          <w:bCs/>
          <w:color w:val="auto"/>
          <w:sz w:val="32"/>
          <w:szCs w:val="32"/>
        </w:rPr>
        <w:t>甲方</w:t>
      </w:r>
      <w:r>
        <w:rPr>
          <w:rFonts w:hint="eastAsia" w:ascii="Times New Roman" w:hAnsi="Times New Roman"/>
          <w:b/>
          <w:color w:val="auto"/>
          <w:sz w:val="32"/>
          <w:szCs w:val="32"/>
        </w:rPr>
        <w:t>（牵头单位）</w:t>
      </w:r>
      <w:r>
        <w:rPr>
          <w:rFonts w:ascii="Times New Roman" w:hAnsi="Times New Roman"/>
          <w:color w:val="auto"/>
          <w:sz w:val="32"/>
          <w:szCs w:val="32"/>
        </w:rPr>
        <w:t>：</w:t>
      </w:r>
      <w:r>
        <w:rPr>
          <w:rFonts w:hint="eastAsia" w:ascii="Times New Roman" w:hAnsi="Times New Roman"/>
          <w:b/>
          <w:color w:val="auto"/>
          <w:sz w:val="32"/>
          <w:szCs w:val="32"/>
        </w:rPr>
        <w:t>浙江省教育厅</w:t>
      </w:r>
    </w:p>
    <w:p w14:paraId="27715185">
      <w:pPr>
        <w:snapToGrid w:val="0"/>
        <w:spacing w:line="500" w:lineRule="exact"/>
        <w:rPr>
          <w:rFonts w:ascii="Times New Roman" w:hAnsi="Times New Roman"/>
          <w:color w:val="auto"/>
          <w:sz w:val="32"/>
          <w:szCs w:val="32"/>
        </w:rPr>
      </w:pPr>
      <w:r>
        <w:rPr>
          <w:rFonts w:ascii="Times New Roman" w:hAnsi="Times New Roman"/>
          <w:b/>
          <w:bCs/>
          <w:color w:val="auto"/>
          <w:sz w:val="32"/>
          <w:szCs w:val="32"/>
        </w:rPr>
        <w:t>乙方</w:t>
      </w:r>
      <w:r>
        <w:rPr>
          <w:rFonts w:hint="eastAsia" w:ascii="Times New Roman" w:hAnsi="Times New Roman"/>
          <w:b/>
          <w:bCs/>
          <w:color w:val="auto"/>
          <w:sz w:val="32"/>
          <w:szCs w:val="32"/>
        </w:rPr>
        <w:t>（中标供应商）</w:t>
      </w:r>
      <w:r>
        <w:rPr>
          <w:rFonts w:ascii="Times New Roman" w:hAnsi="Times New Roman"/>
          <w:color w:val="auto"/>
          <w:sz w:val="32"/>
          <w:szCs w:val="32"/>
        </w:rPr>
        <w:t>：</w:t>
      </w:r>
    </w:p>
    <w:p w14:paraId="27275D40">
      <w:pPr>
        <w:pStyle w:val="15"/>
        <w:adjustRightInd w:val="0"/>
        <w:snapToGrid w:val="0"/>
        <w:spacing w:beforeLines="0" w:afterLines="0" w:line="500" w:lineRule="exact"/>
        <w:ind w:firstLine="633" w:firstLineChars="198"/>
        <w:rPr>
          <w:rFonts w:ascii="Times New Roman" w:hAnsi="Times New Roman"/>
          <w:snapToGrid w:val="0"/>
          <w:color w:val="auto"/>
          <w:sz w:val="32"/>
          <w:szCs w:val="32"/>
        </w:rPr>
      </w:pPr>
    </w:p>
    <w:p w14:paraId="290E608E">
      <w:pPr>
        <w:pStyle w:val="15"/>
        <w:adjustRightInd w:val="0"/>
        <w:snapToGrid w:val="0"/>
        <w:spacing w:beforeLines="0" w:afterLines="0" w:line="500" w:lineRule="exact"/>
        <w:ind w:firstLine="633" w:firstLineChars="198"/>
        <w:rPr>
          <w:rFonts w:ascii="Times New Roman" w:hAnsi="Times New Roman" w:eastAsia="仿宋"/>
          <w:snapToGrid w:val="0"/>
          <w:color w:val="auto"/>
          <w:sz w:val="32"/>
          <w:szCs w:val="32"/>
        </w:rPr>
      </w:pPr>
      <w:r>
        <w:rPr>
          <w:rFonts w:hint="eastAsia" w:ascii="Times New Roman" w:hAnsi="Times New Roman" w:eastAsia="仿宋"/>
          <w:snapToGrid w:val="0"/>
          <w:color w:val="auto"/>
          <w:sz w:val="32"/>
          <w:szCs w:val="32"/>
        </w:rPr>
        <w:t>甲、乙双方根据《浙江省政府采购带量集中采购工作指引（试行）》文件精神，以及</w:t>
      </w:r>
      <w:r>
        <w:rPr>
          <w:rFonts w:hint="eastAsia" w:ascii="Times New Roman" w:hAnsi="Times New Roman" w:eastAsia="仿宋"/>
          <w:b/>
          <w:bCs/>
          <w:snapToGrid w:val="0"/>
          <w:color w:val="auto"/>
          <w:sz w:val="32"/>
          <w:szCs w:val="32"/>
          <w:u w:val="single"/>
        </w:rPr>
        <w:t xml:space="preserve">《浙江省中学实验仪器设备购置项目》第二批采购项目（湖州）（项目编号：        ）标项*** </w:t>
      </w:r>
      <w:r>
        <w:rPr>
          <w:rFonts w:hint="eastAsia" w:ascii="Times New Roman" w:hAnsi="Times New Roman" w:eastAsia="仿宋"/>
          <w:snapToGrid w:val="0"/>
          <w:color w:val="auto"/>
          <w:sz w:val="32"/>
          <w:szCs w:val="32"/>
        </w:rPr>
        <w:t>的采购结果，签署本协议（以下简称“协议”）。本协议旨在明确甲乙双方在带量集中采购中的协作关系，具体履约权利义务由乙方与各参与单位另行签订项目采购合同约定（以下简称“合同”，详见附件《采购合同》）。</w:t>
      </w:r>
    </w:p>
    <w:p w14:paraId="20AC9199">
      <w:pPr>
        <w:pStyle w:val="15"/>
        <w:snapToGrid w:val="0"/>
        <w:spacing w:beforeLines="0" w:afterLines="0" w:line="500" w:lineRule="exact"/>
        <w:ind w:firstLine="643" w:firstLineChars="200"/>
        <w:rPr>
          <w:rFonts w:ascii="Times New Roman" w:hAnsi="Times New Roman"/>
          <w:b/>
          <w:color w:val="auto"/>
          <w:sz w:val="32"/>
          <w:szCs w:val="32"/>
        </w:rPr>
      </w:pPr>
      <w:r>
        <w:rPr>
          <w:rFonts w:ascii="Times New Roman" w:hAnsi="Times New Roman"/>
          <w:b/>
          <w:color w:val="auto"/>
          <w:sz w:val="32"/>
          <w:szCs w:val="32"/>
        </w:rPr>
        <w:t>一、定义</w:t>
      </w:r>
    </w:p>
    <w:p w14:paraId="64883955">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本协议中的下列术语应解释为：</w:t>
      </w:r>
    </w:p>
    <w:p w14:paraId="5759F10F">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1.“协议”系指甲方与乙方签署的、载明甲方与乙方协利义务的协议，包括所有的需求、附录和其他构成协议的所有文件。</w:t>
      </w:r>
    </w:p>
    <w:p w14:paraId="2F57773C">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2.“甲方”系指</w:t>
      </w:r>
      <w:r>
        <w:rPr>
          <w:rFonts w:hint="eastAsia" w:ascii="Times New Roman" w:hAnsi="Times New Roman" w:eastAsia="仿宋"/>
          <w:color w:val="auto"/>
          <w:sz w:val="32"/>
          <w:szCs w:val="32"/>
        </w:rPr>
        <w:t>浙江省教育厅，为浙江省中学实验仪器设备购置项目的牵头单位</w:t>
      </w:r>
      <w:r>
        <w:rPr>
          <w:rFonts w:ascii="Times New Roman" w:hAnsi="Times New Roman" w:eastAsia="仿宋"/>
          <w:color w:val="auto"/>
          <w:sz w:val="32"/>
          <w:szCs w:val="32"/>
        </w:rPr>
        <w:t>。甲方不具体参加合同的实际履行。</w:t>
      </w:r>
    </w:p>
    <w:p w14:paraId="24787983">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3.“乙方”系指</w:t>
      </w:r>
      <w:r>
        <w:rPr>
          <w:rFonts w:hint="eastAsia" w:ascii="Times New Roman" w:hAnsi="Times New Roman" w:eastAsia="仿宋"/>
          <w:color w:val="auto"/>
          <w:sz w:val="32"/>
          <w:szCs w:val="32"/>
        </w:rPr>
        <w:t>浙江省中学实验仪器设备购置项目第二批采购项目（湖州）（项目编号：        ）的中标供应商。</w:t>
      </w:r>
      <w:r>
        <w:rPr>
          <w:rFonts w:ascii="Times New Roman" w:hAnsi="Times New Roman" w:eastAsia="仿宋"/>
          <w:color w:val="auto"/>
          <w:sz w:val="32"/>
          <w:szCs w:val="32"/>
        </w:rPr>
        <w:t>乙方为</w:t>
      </w:r>
      <w:r>
        <w:rPr>
          <w:rFonts w:hint="eastAsia" w:ascii="Times New Roman" w:hAnsi="Times New Roman" w:eastAsia="仿宋"/>
          <w:color w:val="auto"/>
          <w:sz w:val="32"/>
          <w:szCs w:val="32"/>
        </w:rPr>
        <w:t>参与单位</w:t>
      </w:r>
      <w:r>
        <w:rPr>
          <w:rFonts w:ascii="Times New Roman" w:hAnsi="Times New Roman" w:eastAsia="仿宋"/>
          <w:color w:val="auto"/>
          <w:sz w:val="32"/>
          <w:szCs w:val="32"/>
        </w:rPr>
        <w:t>提供</w:t>
      </w:r>
      <w:r>
        <w:rPr>
          <w:rFonts w:hint="eastAsia" w:ascii="Times New Roman" w:hAnsi="Times New Roman" w:eastAsia="仿宋"/>
          <w:color w:val="auto"/>
          <w:sz w:val="32"/>
          <w:szCs w:val="32"/>
        </w:rPr>
        <w:t>产品</w:t>
      </w:r>
      <w:r>
        <w:rPr>
          <w:rFonts w:ascii="Times New Roman" w:hAnsi="Times New Roman" w:eastAsia="仿宋"/>
          <w:color w:val="auto"/>
          <w:sz w:val="32"/>
          <w:szCs w:val="32"/>
        </w:rPr>
        <w:t>及附属服务。</w:t>
      </w:r>
    </w:p>
    <w:p w14:paraId="4BC4FBE9">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4.“</w:t>
      </w:r>
      <w:r>
        <w:rPr>
          <w:rFonts w:hint="eastAsia" w:ascii="Times New Roman" w:hAnsi="Times New Roman" w:eastAsia="仿宋"/>
          <w:color w:val="auto"/>
          <w:sz w:val="32"/>
          <w:szCs w:val="32"/>
        </w:rPr>
        <w:t>参与单位</w:t>
      </w:r>
      <w:r>
        <w:rPr>
          <w:rFonts w:ascii="Times New Roman" w:hAnsi="Times New Roman" w:eastAsia="仿宋"/>
          <w:color w:val="auto"/>
          <w:sz w:val="32"/>
          <w:szCs w:val="32"/>
        </w:rPr>
        <w:t>”系指</w:t>
      </w:r>
      <w:r>
        <w:rPr>
          <w:rFonts w:hint="eastAsia" w:ascii="Times New Roman" w:hAnsi="Times New Roman" w:eastAsia="仿宋"/>
          <w:color w:val="auto"/>
          <w:sz w:val="32"/>
          <w:szCs w:val="32"/>
        </w:rPr>
        <w:t>所有参加本次带量集中采购项目的预算单位</w:t>
      </w:r>
      <w:r>
        <w:rPr>
          <w:rFonts w:ascii="Times New Roman" w:hAnsi="Times New Roman" w:eastAsia="仿宋"/>
          <w:color w:val="auto"/>
          <w:sz w:val="32"/>
          <w:szCs w:val="32"/>
        </w:rPr>
        <w:t>（</w:t>
      </w:r>
      <w:r>
        <w:rPr>
          <w:rFonts w:hint="eastAsia" w:ascii="Times New Roman" w:hAnsi="Times New Roman" w:eastAsia="仿宋"/>
          <w:color w:val="auto"/>
          <w:sz w:val="32"/>
          <w:szCs w:val="32"/>
        </w:rPr>
        <w:t>采购单位1：</w:t>
      </w:r>
      <w:r>
        <w:rPr>
          <w:rFonts w:ascii="Times New Roman" w:hAnsi="Times New Roman" w:eastAsia="仿宋"/>
          <w:color w:val="auto"/>
          <w:sz w:val="32"/>
          <w:szCs w:val="32"/>
        </w:rPr>
        <w:t xml:space="preserve">        ；</w:t>
      </w:r>
      <w:r>
        <w:rPr>
          <w:rFonts w:hint="eastAsia" w:ascii="Times New Roman" w:hAnsi="Times New Roman" w:eastAsia="仿宋"/>
          <w:color w:val="auto"/>
          <w:sz w:val="32"/>
          <w:szCs w:val="32"/>
        </w:rPr>
        <w:t>采购单位2：</w:t>
      </w:r>
      <w:r>
        <w:rPr>
          <w:rFonts w:ascii="Times New Roman" w:hAnsi="Times New Roman" w:eastAsia="仿宋"/>
          <w:color w:val="auto"/>
          <w:sz w:val="32"/>
          <w:szCs w:val="32"/>
        </w:rPr>
        <w:t xml:space="preserve">         ；</w:t>
      </w:r>
      <w:r>
        <w:rPr>
          <w:rFonts w:hint="eastAsia" w:ascii="Times New Roman" w:hAnsi="Times New Roman" w:eastAsia="仿宋"/>
          <w:color w:val="auto"/>
          <w:sz w:val="32"/>
          <w:szCs w:val="32"/>
        </w:rPr>
        <w:t>采购单位3：</w:t>
      </w:r>
      <w:r>
        <w:rPr>
          <w:rFonts w:ascii="Times New Roman" w:hAnsi="Times New Roman" w:eastAsia="仿宋"/>
          <w:color w:val="auto"/>
          <w:sz w:val="32"/>
          <w:szCs w:val="32"/>
        </w:rPr>
        <w:t xml:space="preserve">     ）</w:t>
      </w:r>
      <w:r>
        <w:rPr>
          <w:rFonts w:hint="eastAsia" w:ascii="Times New Roman" w:hAnsi="Times New Roman" w:eastAsia="仿宋"/>
          <w:color w:val="auto"/>
          <w:sz w:val="32"/>
          <w:szCs w:val="32"/>
        </w:rPr>
        <w:t>，</w:t>
      </w:r>
      <w:r>
        <w:rPr>
          <w:rFonts w:ascii="Times New Roman" w:hAnsi="Times New Roman" w:eastAsia="仿宋"/>
          <w:color w:val="auto"/>
          <w:sz w:val="32"/>
          <w:szCs w:val="32"/>
        </w:rPr>
        <w:t>在实际履行中与乙方签订具体</w:t>
      </w:r>
      <w:r>
        <w:rPr>
          <w:rFonts w:hint="eastAsia" w:ascii="Times New Roman" w:hAnsi="Times New Roman" w:eastAsia="仿宋"/>
          <w:color w:val="auto"/>
          <w:sz w:val="32"/>
          <w:szCs w:val="32"/>
        </w:rPr>
        <w:t>项目采购</w:t>
      </w:r>
      <w:r>
        <w:rPr>
          <w:rFonts w:ascii="Times New Roman" w:hAnsi="Times New Roman" w:eastAsia="仿宋"/>
          <w:color w:val="auto"/>
          <w:sz w:val="32"/>
          <w:szCs w:val="32"/>
        </w:rPr>
        <w:t>合同。</w:t>
      </w:r>
    </w:p>
    <w:p w14:paraId="17590452">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5.“采购文件”是指《浙江省中学实验仪器设备购置项目》第二批采购项目（湖州）（项目编号：        ）公开招标文件。</w:t>
      </w:r>
    </w:p>
    <w:p w14:paraId="707C47A4">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6.“投标文件”是指乙方参加《浙江省中学实验仪器设备购置项目》第二批采购项目（湖州）（项目编号：        ）公开招标时提交的投标文件。</w:t>
      </w:r>
    </w:p>
    <w:p w14:paraId="426729D0">
      <w:pPr>
        <w:snapToGrid w:val="0"/>
        <w:spacing w:line="500" w:lineRule="exact"/>
        <w:ind w:firstLine="643" w:firstLineChars="200"/>
        <w:rPr>
          <w:rFonts w:ascii="Times New Roman" w:hAnsi="Times New Roman"/>
          <w:b/>
          <w:color w:val="auto"/>
          <w:sz w:val="32"/>
          <w:szCs w:val="32"/>
        </w:rPr>
      </w:pPr>
      <w:r>
        <w:rPr>
          <w:rFonts w:ascii="Times New Roman" w:hAnsi="Times New Roman"/>
          <w:b/>
          <w:color w:val="auto"/>
          <w:sz w:val="32"/>
          <w:szCs w:val="32"/>
        </w:rPr>
        <w:t>二、</w:t>
      </w:r>
      <w:r>
        <w:rPr>
          <w:rFonts w:hint="eastAsia" w:ascii="Times New Roman" w:hAnsi="Times New Roman"/>
          <w:b/>
          <w:color w:val="auto"/>
          <w:sz w:val="32"/>
          <w:szCs w:val="32"/>
        </w:rPr>
        <w:t>协议</w:t>
      </w:r>
      <w:r>
        <w:rPr>
          <w:rFonts w:ascii="Times New Roman" w:hAnsi="Times New Roman"/>
          <w:b/>
          <w:color w:val="auto"/>
          <w:sz w:val="32"/>
          <w:szCs w:val="32"/>
        </w:rPr>
        <w:t>有效期限</w:t>
      </w:r>
    </w:p>
    <w:p w14:paraId="2CBEB71F">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本协议有效期与浙江省中学实验仪器设备购置项目</w:t>
      </w:r>
      <w:r>
        <w:rPr>
          <w:rFonts w:ascii="Times New Roman" w:hAnsi="Times New Roman" w:eastAsia="仿宋"/>
          <w:color w:val="auto"/>
          <w:sz w:val="32"/>
          <w:szCs w:val="32"/>
        </w:rPr>
        <w:t>建设周期</w:t>
      </w:r>
      <w:r>
        <w:rPr>
          <w:rFonts w:hint="eastAsia" w:ascii="Times New Roman" w:hAnsi="Times New Roman" w:eastAsia="仿宋"/>
          <w:color w:val="auto"/>
          <w:sz w:val="32"/>
          <w:szCs w:val="32"/>
        </w:rPr>
        <w:t>一致（自____年__月__日至____年__月__日）；</w:t>
      </w:r>
    </w:p>
    <w:p w14:paraId="3FFB1460">
      <w:pPr>
        <w:snapToGrid w:val="0"/>
        <w:spacing w:line="460" w:lineRule="exact"/>
        <w:ind w:firstLine="643" w:firstLineChars="200"/>
        <w:rPr>
          <w:rFonts w:ascii="Times New Roman" w:hAnsi="Times New Roman"/>
          <w:b/>
          <w:bCs/>
          <w:color w:val="auto"/>
          <w:sz w:val="32"/>
          <w:szCs w:val="32"/>
        </w:rPr>
      </w:pPr>
      <w:r>
        <w:rPr>
          <w:rFonts w:ascii="Times New Roman" w:hAnsi="Times New Roman"/>
          <w:b/>
          <w:bCs/>
          <w:color w:val="auto"/>
          <w:sz w:val="32"/>
          <w:szCs w:val="32"/>
        </w:rPr>
        <w:t>三、履行</w:t>
      </w:r>
      <w:r>
        <w:rPr>
          <w:rFonts w:hint="eastAsia" w:ascii="Times New Roman" w:hAnsi="Times New Roman"/>
          <w:b/>
          <w:bCs/>
          <w:color w:val="auto"/>
          <w:sz w:val="32"/>
          <w:szCs w:val="32"/>
        </w:rPr>
        <w:t>协议</w:t>
      </w:r>
      <w:r>
        <w:rPr>
          <w:rFonts w:ascii="Times New Roman" w:hAnsi="Times New Roman"/>
          <w:b/>
          <w:bCs/>
          <w:color w:val="auto"/>
          <w:sz w:val="32"/>
          <w:szCs w:val="32"/>
        </w:rPr>
        <w:t>的地域范围</w:t>
      </w:r>
    </w:p>
    <w:p w14:paraId="4EE96796">
      <w:pPr>
        <w:widowControl/>
        <w:snapToGrid w:val="0"/>
        <w:spacing w:line="460" w:lineRule="exact"/>
        <w:ind w:firstLine="640" w:firstLineChars="200"/>
        <w:rPr>
          <w:rFonts w:eastAsia="仿宋_GB2312"/>
          <w:color w:val="auto"/>
          <w:sz w:val="32"/>
          <w:szCs w:val="32"/>
        </w:rPr>
      </w:pPr>
      <w:r>
        <w:rPr>
          <w:rFonts w:hint="eastAsia" w:eastAsia="仿宋_GB2312"/>
          <w:color w:val="auto"/>
          <w:sz w:val="32"/>
          <w:szCs w:val="32"/>
        </w:rPr>
        <w:t>浙江省内。</w:t>
      </w:r>
    </w:p>
    <w:p w14:paraId="65F6C91C">
      <w:pPr>
        <w:snapToGrid w:val="0"/>
        <w:spacing w:line="500" w:lineRule="exact"/>
        <w:ind w:firstLine="643" w:firstLineChars="200"/>
        <w:rPr>
          <w:rFonts w:ascii="Times New Roman" w:hAnsi="Times New Roman"/>
          <w:b/>
          <w:bCs/>
          <w:color w:val="auto"/>
          <w:sz w:val="32"/>
          <w:szCs w:val="32"/>
        </w:rPr>
      </w:pPr>
      <w:r>
        <w:rPr>
          <w:rFonts w:ascii="Times New Roman" w:hAnsi="Times New Roman"/>
          <w:b/>
          <w:bCs/>
          <w:color w:val="auto"/>
          <w:sz w:val="32"/>
          <w:szCs w:val="32"/>
        </w:rPr>
        <w:t>四、采购需求</w:t>
      </w:r>
      <w:r>
        <w:rPr>
          <w:rFonts w:hint="eastAsia" w:ascii="Times New Roman" w:hAnsi="Times New Roman"/>
          <w:b/>
          <w:bCs/>
          <w:color w:val="auto"/>
          <w:sz w:val="32"/>
          <w:szCs w:val="32"/>
        </w:rPr>
        <w:t>和预算金额</w:t>
      </w:r>
    </w:p>
    <w:p w14:paraId="0BAA7664">
      <w:pPr>
        <w:snapToGrid w:val="0"/>
        <w:spacing w:line="500" w:lineRule="exact"/>
        <w:ind w:firstLine="640" w:firstLineChars="200"/>
        <w:rPr>
          <w:rFonts w:ascii="Times New Roman" w:hAnsi="Times New Roman" w:eastAsia="仿宋"/>
          <w:color w:val="auto"/>
          <w:sz w:val="32"/>
          <w:szCs w:val="32"/>
        </w:rPr>
      </w:pPr>
      <w:r>
        <w:rPr>
          <w:rFonts w:ascii="Times New Roman" w:hAnsi="Times New Roman" w:eastAsia="仿宋"/>
          <w:color w:val="auto"/>
          <w:sz w:val="32"/>
          <w:szCs w:val="32"/>
        </w:rPr>
        <w:t>详见</w:t>
      </w:r>
      <w:r>
        <w:rPr>
          <w:rFonts w:hint="eastAsia" w:ascii="Times New Roman" w:hAnsi="Times New Roman" w:eastAsia="仿宋"/>
          <w:color w:val="auto"/>
          <w:sz w:val="32"/>
          <w:szCs w:val="32"/>
        </w:rPr>
        <w:t>采购文件</w:t>
      </w:r>
      <w:r>
        <w:rPr>
          <w:rFonts w:ascii="Times New Roman" w:hAnsi="Times New Roman" w:eastAsia="仿宋"/>
          <w:color w:val="auto"/>
          <w:sz w:val="32"/>
          <w:szCs w:val="32"/>
        </w:rPr>
        <w:t>。</w:t>
      </w:r>
    </w:p>
    <w:p w14:paraId="61031E9E">
      <w:pPr>
        <w:snapToGrid w:val="0"/>
        <w:spacing w:line="500" w:lineRule="exact"/>
        <w:ind w:firstLine="643" w:firstLineChars="200"/>
        <w:rPr>
          <w:rFonts w:ascii="Times New Roman" w:hAnsi="Times New Roman"/>
          <w:b/>
          <w:bCs/>
          <w:color w:val="auto"/>
          <w:sz w:val="32"/>
          <w:szCs w:val="32"/>
        </w:rPr>
      </w:pPr>
      <w:r>
        <w:rPr>
          <w:rFonts w:ascii="Times New Roman" w:hAnsi="Times New Roman"/>
          <w:b/>
          <w:bCs/>
          <w:snapToGrid w:val="0"/>
          <w:color w:val="auto"/>
          <w:sz w:val="32"/>
          <w:szCs w:val="32"/>
        </w:rPr>
        <w:t>五</w:t>
      </w:r>
      <w:r>
        <w:rPr>
          <w:rFonts w:hint="eastAsia" w:ascii="Times New Roman" w:hAnsi="Times New Roman"/>
          <w:b/>
          <w:bCs/>
          <w:snapToGrid w:val="0"/>
          <w:color w:val="auto"/>
          <w:sz w:val="32"/>
          <w:szCs w:val="32"/>
        </w:rPr>
        <w:t>、中标</w:t>
      </w:r>
      <w:r>
        <w:rPr>
          <w:rFonts w:ascii="Times New Roman" w:hAnsi="Times New Roman"/>
          <w:b/>
          <w:bCs/>
          <w:snapToGrid w:val="0"/>
          <w:color w:val="auto"/>
          <w:sz w:val="32"/>
          <w:szCs w:val="32"/>
        </w:rPr>
        <w:t>产品</w:t>
      </w:r>
      <w:r>
        <w:rPr>
          <w:rFonts w:ascii="Times New Roman" w:hAnsi="Times New Roman"/>
          <w:b/>
          <w:bCs/>
          <w:color w:val="auto"/>
          <w:sz w:val="32"/>
          <w:szCs w:val="32"/>
        </w:rPr>
        <w:t>及</w:t>
      </w:r>
      <w:r>
        <w:rPr>
          <w:rFonts w:hint="eastAsia" w:ascii="Times New Roman" w:hAnsi="Times New Roman"/>
          <w:b/>
          <w:bCs/>
          <w:color w:val="auto"/>
          <w:sz w:val="32"/>
          <w:szCs w:val="32"/>
        </w:rPr>
        <w:t>中标</w:t>
      </w:r>
      <w:r>
        <w:rPr>
          <w:rFonts w:ascii="Times New Roman" w:hAnsi="Times New Roman"/>
          <w:b/>
          <w:bCs/>
          <w:color w:val="auto"/>
          <w:sz w:val="32"/>
          <w:szCs w:val="32"/>
        </w:rPr>
        <w:t>价格</w:t>
      </w:r>
    </w:p>
    <w:p w14:paraId="319764E3">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内容来自投标文件的投标一览表。</w:t>
      </w:r>
    </w:p>
    <w:p w14:paraId="1ED75C9F">
      <w:pPr>
        <w:snapToGrid w:val="0"/>
        <w:spacing w:line="500" w:lineRule="exact"/>
        <w:rPr>
          <w:rFonts w:ascii="Times New Roman" w:hAnsi="Times New Roman"/>
          <w:b/>
          <w:bCs/>
          <w:snapToGrid w:val="0"/>
          <w:color w:val="auto"/>
          <w:sz w:val="32"/>
          <w:szCs w:val="32"/>
        </w:rPr>
      </w:pPr>
      <w:r>
        <w:rPr>
          <w:rFonts w:ascii="Times New Roman" w:hAnsi="Times New Roman"/>
          <w:b/>
          <w:bCs/>
          <w:snapToGrid w:val="0"/>
          <w:color w:val="auto"/>
          <w:sz w:val="32"/>
          <w:szCs w:val="32"/>
        </w:rPr>
        <w:t xml:space="preserve">    六、</w:t>
      </w:r>
      <w:r>
        <w:rPr>
          <w:rFonts w:hint="eastAsia" w:ascii="Times New Roman" w:hAnsi="Times New Roman"/>
          <w:b/>
          <w:bCs/>
          <w:snapToGrid w:val="0"/>
          <w:color w:val="auto"/>
          <w:sz w:val="32"/>
          <w:szCs w:val="32"/>
        </w:rPr>
        <w:t>甲乙双方权利和义务</w:t>
      </w:r>
    </w:p>
    <w:p w14:paraId="19F072F6">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（一）甲方负责监督乙方履行中标承诺；建立乙方与各参与单位的对接机制；受理参与单位对乙方履约问题的投诉并协调处理；负责向监管机构报送乙方违约行为。但甲方不承担采购付款、违约赔偿等履约责任。</w:t>
      </w:r>
    </w:p>
    <w:p w14:paraId="40D2C78C">
      <w:pPr>
        <w:snapToGrid w:val="0"/>
        <w:spacing w:line="500" w:lineRule="exact"/>
        <w:ind w:firstLine="640" w:firstLineChars="200"/>
        <w:rPr>
          <w:rFonts w:ascii="Times New Roman" w:hAnsi="Times New Roman" w:eastAsia="仿宋"/>
          <w:color w:val="auto"/>
          <w:sz w:val="32"/>
          <w:szCs w:val="32"/>
        </w:rPr>
      </w:pPr>
      <w:r>
        <w:rPr>
          <w:rFonts w:hint="eastAsia" w:ascii="Times New Roman" w:hAnsi="Times New Roman" w:eastAsia="仿宋"/>
          <w:color w:val="auto"/>
          <w:sz w:val="32"/>
          <w:szCs w:val="32"/>
        </w:rPr>
        <w:t>（二）乙方应在中标后30日内与参与单位签订采购合同，该合同需包含但不限于采购清单、交付要求、验收标准、售后服务要求、付款条款、违约责任及争议解决方式等内容；乙方所供产品须符合国家质量标准及中标文件技术参数，并按中标要求向参与单位履约，不得以任何理由拒绝供货。</w:t>
      </w:r>
    </w:p>
    <w:p w14:paraId="11CD82B3">
      <w:pPr>
        <w:snapToGrid w:val="0"/>
        <w:spacing w:line="500" w:lineRule="exact"/>
        <w:ind w:firstLine="643" w:firstLineChars="200"/>
        <w:rPr>
          <w:rFonts w:ascii="Times New Roman" w:hAnsi="Times New Roman" w:eastAsia="仿宋"/>
          <w:snapToGrid w:val="0"/>
          <w:color w:val="auto"/>
          <w:sz w:val="32"/>
          <w:szCs w:val="32"/>
        </w:rPr>
      </w:pPr>
      <w:r>
        <w:rPr>
          <w:rFonts w:ascii="Times New Roman" w:hAnsi="Times New Roman"/>
          <w:b/>
          <w:bCs/>
          <w:snapToGrid w:val="0"/>
          <w:color w:val="auto"/>
          <w:sz w:val="32"/>
          <w:szCs w:val="32"/>
        </w:rPr>
        <w:t>七</w:t>
      </w:r>
      <w:r>
        <w:rPr>
          <w:rFonts w:hint="eastAsia" w:ascii="Times New Roman" w:hAnsi="Times New Roman"/>
          <w:b/>
          <w:bCs/>
          <w:snapToGrid w:val="0"/>
          <w:color w:val="auto"/>
          <w:sz w:val="32"/>
          <w:szCs w:val="32"/>
        </w:rPr>
        <w:t>、争议解决</w:t>
      </w:r>
    </w:p>
    <w:p w14:paraId="250C85C0">
      <w:pPr>
        <w:snapToGrid w:val="0"/>
        <w:spacing w:line="500" w:lineRule="exact"/>
        <w:ind w:firstLine="640" w:firstLineChars="200"/>
        <w:rPr>
          <w:rFonts w:ascii="Times New Roman" w:hAnsi="Times New Roman" w:eastAsia="仿宋"/>
          <w:snapToGrid w:val="0"/>
          <w:color w:val="auto"/>
          <w:sz w:val="32"/>
          <w:szCs w:val="32"/>
        </w:rPr>
      </w:pPr>
      <w:r>
        <w:rPr>
          <w:rFonts w:ascii="仿宋" w:hAnsi="仿宋" w:eastAsia="仿宋" w:cs="仿宋"/>
          <w:bCs/>
          <w:color w:val="auto"/>
          <w:kern w:val="0"/>
          <w:sz w:val="32"/>
          <w:szCs w:val="32"/>
        </w:rPr>
        <w:t>双方在执行</w:t>
      </w:r>
      <w:r>
        <w:rPr>
          <w:rFonts w:hint="eastAsia" w:ascii="仿宋" w:hAnsi="仿宋" w:eastAsia="仿宋" w:cs="仿宋"/>
          <w:bCs/>
          <w:color w:val="auto"/>
          <w:kern w:val="0"/>
          <w:sz w:val="32"/>
          <w:szCs w:val="32"/>
        </w:rPr>
        <w:t>本协议</w:t>
      </w:r>
      <w:r>
        <w:rPr>
          <w:rFonts w:ascii="仿宋" w:hAnsi="仿宋" w:eastAsia="仿宋" w:cs="仿宋"/>
          <w:bCs/>
          <w:color w:val="auto"/>
          <w:kern w:val="0"/>
          <w:sz w:val="32"/>
          <w:szCs w:val="32"/>
        </w:rPr>
        <w:t>中所发生的一切争议，应通过协商解决。如协商不成，可向</w:t>
      </w:r>
      <w:r>
        <w:rPr>
          <w:rFonts w:hint="eastAsia" w:ascii="仿宋" w:hAnsi="仿宋" w:eastAsia="仿宋" w:cs="仿宋"/>
          <w:bCs/>
          <w:color w:val="auto"/>
          <w:kern w:val="0"/>
          <w:sz w:val="32"/>
          <w:szCs w:val="32"/>
        </w:rPr>
        <w:t>杭州</w:t>
      </w:r>
      <w:r>
        <w:rPr>
          <w:rFonts w:ascii="仿宋" w:hAnsi="仿宋" w:eastAsia="仿宋" w:cs="仿宋"/>
          <w:bCs/>
          <w:color w:val="auto"/>
          <w:kern w:val="0"/>
          <w:sz w:val="32"/>
          <w:szCs w:val="32"/>
        </w:rPr>
        <w:t>仲裁委员会申请仲裁。</w:t>
      </w:r>
    </w:p>
    <w:p w14:paraId="173D6B24">
      <w:pPr>
        <w:snapToGrid w:val="0"/>
        <w:spacing w:line="500" w:lineRule="exact"/>
        <w:ind w:firstLine="643" w:firstLineChars="200"/>
        <w:rPr>
          <w:rFonts w:ascii="Times New Roman" w:hAnsi="Times New Roman"/>
          <w:b/>
          <w:snapToGrid w:val="0"/>
          <w:color w:val="auto"/>
          <w:sz w:val="32"/>
          <w:szCs w:val="32"/>
        </w:rPr>
      </w:pPr>
      <w:r>
        <w:rPr>
          <w:rFonts w:ascii="Times New Roman" w:hAnsi="Times New Roman"/>
          <w:b/>
          <w:snapToGrid w:val="0"/>
          <w:color w:val="auto"/>
          <w:sz w:val="32"/>
          <w:szCs w:val="32"/>
        </w:rPr>
        <w:t>八</w:t>
      </w:r>
      <w:r>
        <w:rPr>
          <w:rFonts w:hint="eastAsia" w:ascii="Times New Roman" w:hAnsi="Times New Roman"/>
          <w:b/>
          <w:snapToGrid w:val="0"/>
          <w:color w:val="auto"/>
          <w:sz w:val="32"/>
          <w:szCs w:val="32"/>
        </w:rPr>
        <w:t>、</w:t>
      </w:r>
      <w:r>
        <w:rPr>
          <w:rFonts w:ascii="Times New Roman" w:hAnsi="Times New Roman"/>
          <w:b/>
          <w:snapToGrid w:val="0"/>
          <w:color w:val="auto"/>
          <w:sz w:val="32"/>
          <w:szCs w:val="32"/>
        </w:rPr>
        <w:t>协议生效及其它</w:t>
      </w:r>
    </w:p>
    <w:p w14:paraId="16905525">
      <w:pPr>
        <w:pStyle w:val="15"/>
        <w:adjustRightInd w:val="0"/>
        <w:snapToGrid w:val="0"/>
        <w:spacing w:beforeLines="0" w:afterLines="0" w:line="360" w:lineRule="auto"/>
        <w:ind w:firstLine="681" w:firstLineChars="213"/>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t>1.</w:t>
      </w:r>
      <w:r>
        <w:rPr>
          <w:rFonts w:hint="eastAsia" w:ascii="Times New Roman" w:hAnsi="Times New Roman" w:eastAsia="仿宋"/>
          <w:snapToGrid w:val="0"/>
          <w:color w:val="auto"/>
          <w:sz w:val="32"/>
          <w:szCs w:val="32"/>
        </w:rPr>
        <w:t>协议</w:t>
      </w:r>
      <w:r>
        <w:rPr>
          <w:rFonts w:ascii="Times New Roman" w:hAnsi="Times New Roman" w:eastAsia="仿宋"/>
          <w:snapToGrid w:val="0"/>
          <w:color w:val="auto"/>
          <w:sz w:val="32"/>
          <w:szCs w:val="32"/>
        </w:rPr>
        <w:t>经甲、乙双方</w:t>
      </w:r>
      <w:r>
        <w:rPr>
          <w:rFonts w:hint="eastAsia" w:ascii="Times New Roman" w:hAnsi="Times New Roman" w:eastAsia="仿宋"/>
          <w:snapToGrid w:val="0"/>
          <w:color w:val="auto"/>
          <w:sz w:val="32"/>
          <w:szCs w:val="32"/>
        </w:rPr>
        <w:t>签字并</w:t>
      </w:r>
      <w:r>
        <w:rPr>
          <w:rFonts w:ascii="Times New Roman" w:hAnsi="Times New Roman" w:eastAsia="仿宋"/>
          <w:snapToGrid w:val="0"/>
          <w:color w:val="auto"/>
          <w:sz w:val="32"/>
          <w:szCs w:val="32"/>
        </w:rPr>
        <w:t>加盖单位公章</w:t>
      </w:r>
      <w:r>
        <w:rPr>
          <w:rFonts w:hint="eastAsia" w:ascii="Times New Roman" w:hAnsi="Times New Roman" w:eastAsia="仿宋"/>
          <w:snapToGrid w:val="0"/>
          <w:color w:val="auto"/>
          <w:sz w:val="32"/>
          <w:szCs w:val="32"/>
        </w:rPr>
        <w:t>或合同专用章</w:t>
      </w:r>
      <w:r>
        <w:rPr>
          <w:rFonts w:ascii="Times New Roman" w:hAnsi="Times New Roman" w:eastAsia="仿宋"/>
          <w:snapToGrid w:val="0"/>
          <w:color w:val="auto"/>
          <w:sz w:val="32"/>
          <w:szCs w:val="32"/>
        </w:rPr>
        <w:t>后生效。</w:t>
      </w:r>
    </w:p>
    <w:p w14:paraId="174C3BC1">
      <w:pPr>
        <w:pStyle w:val="15"/>
        <w:adjustRightInd w:val="0"/>
        <w:snapToGrid w:val="0"/>
        <w:spacing w:beforeLines="0" w:afterLines="0" w:line="360" w:lineRule="auto"/>
        <w:ind w:firstLine="681" w:firstLineChars="213"/>
        <w:rPr>
          <w:rFonts w:ascii="Times New Roman" w:hAnsi="Times New Roman" w:eastAsia="仿宋"/>
          <w:color w:val="auto"/>
          <w:sz w:val="32"/>
          <w:szCs w:val="32"/>
          <w:lang w:bidi="ar"/>
        </w:rPr>
      </w:pPr>
      <w:r>
        <w:rPr>
          <w:rFonts w:ascii="Times New Roman" w:hAnsi="Times New Roman" w:eastAsia="仿宋"/>
          <w:snapToGrid w:val="0"/>
          <w:color w:val="auto"/>
          <w:sz w:val="32"/>
          <w:szCs w:val="32"/>
        </w:rPr>
        <w:t>2.本</w:t>
      </w:r>
      <w:r>
        <w:rPr>
          <w:rFonts w:hint="eastAsia" w:ascii="Times New Roman" w:hAnsi="Times New Roman" w:eastAsia="仿宋"/>
          <w:snapToGrid w:val="0"/>
          <w:color w:val="auto"/>
          <w:sz w:val="32"/>
          <w:szCs w:val="32"/>
        </w:rPr>
        <w:t>协议</w:t>
      </w:r>
      <w:r>
        <w:rPr>
          <w:rFonts w:ascii="Times New Roman" w:hAnsi="Times New Roman" w:eastAsia="仿宋"/>
          <w:snapToGrid w:val="0"/>
          <w:color w:val="auto"/>
          <w:sz w:val="32"/>
          <w:szCs w:val="32"/>
        </w:rPr>
        <w:t>一式贰份，</w:t>
      </w:r>
      <w:r>
        <w:rPr>
          <w:rFonts w:ascii="Times New Roman" w:hAnsi="Times New Roman" w:eastAsia="仿宋"/>
          <w:color w:val="auto"/>
          <w:sz w:val="32"/>
          <w:szCs w:val="32"/>
        </w:rPr>
        <w:t>甲乙双方各执一份，具有同等法律效力。</w:t>
      </w:r>
    </w:p>
    <w:p w14:paraId="616A47EA">
      <w:pPr>
        <w:pStyle w:val="15"/>
        <w:adjustRightInd w:val="0"/>
        <w:snapToGrid w:val="0"/>
        <w:spacing w:before="120" w:after="120" w:line="500" w:lineRule="exact"/>
        <w:ind w:left="1" w:firstLine="684" w:firstLineChars="213"/>
        <w:rPr>
          <w:rFonts w:ascii="Times New Roman" w:hAnsi="Times New Roman"/>
          <w:b/>
          <w:snapToGrid w:val="0"/>
          <w:color w:val="auto"/>
          <w:sz w:val="32"/>
          <w:szCs w:val="32"/>
        </w:rPr>
      </w:pPr>
      <w:r>
        <w:rPr>
          <w:rFonts w:ascii="Times New Roman" w:hAnsi="Times New Roman"/>
          <w:b/>
          <w:snapToGrid w:val="0"/>
          <w:color w:val="auto"/>
          <w:sz w:val="32"/>
          <w:szCs w:val="32"/>
        </w:rPr>
        <w:t>（以下无正文）</w:t>
      </w:r>
    </w:p>
    <w:tbl>
      <w:tblPr>
        <w:tblStyle w:val="3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76"/>
        <w:gridCol w:w="3746"/>
      </w:tblGrid>
      <w:tr w14:paraId="03115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776" w:type="dxa"/>
          </w:tcPr>
          <w:p w14:paraId="41B426B6">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t>甲方（盖章）：</w:t>
            </w:r>
          </w:p>
          <w:p w14:paraId="475D1710">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br w:type="textWrapping"/>
            </w:r>
            <w:r>
              <w:rPr>
                <w:rFonts w:ascii="Times New Roman" w:hAnsi="Times New Roman" w:eastAsia="仿宋"/>
                <w:snapToGrid w:val="0"/>
                <w:color w:val="auto"/>
                <w:sz w:val="32"/>
                <w:szCs w:val="32"/>
              </w:rPr>
              <w:t>法定</w:t>
            </w:r>
            <w:r>
              <w:rPr>
                <w:rFonts w:hint="eastAsia" w:ascii="Times New Roman" w:hAnsi="Times New Roman" w:eastAsia="仿宋"/>
                <w:snapToGrid w:val="0"/>
                <w:color w:val="auto"/>
                <w:sz w:val="32"/>
                <w:szCs w:val="32"/>
              </w:rPr>
              <w:t>（</w:t>
            </w:r>
            <w:r>
              <w:rPr>
                <w:rFonts w:ascii="Times New Roman" w:hAnsi="Times New Roman" w:eastAsia="仿宋"/>
                <w:snapToGrid w:val="0"/>
                <w:color w:val="auto"/>
                <w:sz w:val="32"/>
                <w:szCs w:val="32"/>
              </w:rPr>
              <w:t>授权</w:t>
            </w:r>
            <w:r>
              <w:rPr>
                <w:rFonts w:hint="eastAsia" w:ascii="Times New Roman" w:hAnsi="Times New Roman" w:eastAsia="仿宋"/>
                <w:snapToGrid w:val="0"/>
                <w:color w:val="auto"/>
                <w:sz w:val="32"/>
                <w:szCs w:val="32"/>
              </w:rPr>
              <w:t>）</w:t>
            </w:r>
            <w:r>
              <w:rPr>
                <w:rFonts w:ascii="Times New Roman" w:hAnsi="Times New Roman" w:eastAsia="仿宋"/>
                <w:snapToGrid w:val="0"/>
                <w:color w:val="auto"/>
                <w:sz w:val="32"/>
                <w:szCs w:val="32"/>
              </w:rPr>
              <w:t>代表人：</w:t>
            </w:r>
          </w:p>
          <w:p w14:paraId="5FA0B2AC">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br w:type="textWrapping"/>
            </w:r>
            <w:r>
              <w:rPr>
                <w:rFonts w:ascii="Times New Roman" w:hAnsi="Times New Roman" w:eastAsia="仿宋"/>
                <w:snapToGrid w:val="0"/>
                <w:color w:val="auto"/>
                <w:sz w:val="32"/>
                <w:szCs w:val="32"/>
              </w:rPr>
              <w:t>日期：</w:t>
            </w:r>
          </w:p>
          <w:p w14:paraId="6D5FF5E1">
            <w:pPr>
              <w:snapToGrid w:val="0"/>
              <w:spacing w:line="500" w:lineRule="exact"/>
              <w:rPr>
                <w:rFonts w:ascii="Times New Roman" w:hAnsi="Times New Roman" w:eastAsia="仿宋"/>
                <w:snapToGrid w:val="0"/>
                <w:color w:val="auto"/>
                <w:sz w:val="32"/>
                <w:szCs w:val="32"/>
              </w:rPr>
            </w:pPr>
          </w:p>
        </w:tc>
        <w:tc>
          <w:tcPr>
            <w:tcW w:w="3746" w:type="dxa"/>
          </w:tcPr>
          <w:p w14:paraId="621FB3BE">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t>乙方（盖章）：</w:t>
            </w:r>
          </w:p>
          <w:p w14:paraId="2DF3DDB3">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br w:type="textWrapping"/>
            </w:r>
            <w:r>
              <w:rPr>
                <w:rFonts w:ascii="Times New Roman" w:hAnsi="Times New Roman" w:eastAsia="仿宋"/>
                <w:snapToGrid w:val="0"/>
                <w:color w:val="auto"/>
                <w:sz w:val="32"/>
                <w:szCs w:val="32"/>
              </w:rPr>
              <w:t>法定</w:t>
            </w:r>
            <w:r>
              <w:rPr>
                <w:rFonts w:hint="eastAsia" w:ascii="Times New Roman" w:hAnsi="Times New Roman" w:eastAsia="仿宋"/>
                <w:snapToGrid w:val="0"/>
                <w:color w:val="auto"/>
                <w:sz w:val="32"/>
                <w:szCs w:val="32"/>
              </w:rPr>
              <w:t>（</w:t>
            </w:r>
            <w:r>
              <w:rPr>
                <w:rFonts w:ascii="Times New Roman" w:hAnsi="Times New Roman" w:eastAsia="仿宋"/>
                <w:snapToGrid w:val="0"/>
                <w:color w:val="auto"/>
                <w:sz w:val="32"/>
                <w:szCs w:val="32"/>
              </w:rPr>
              <w:t>授权</w:t>
            </w:r>
            <w:r>
              <w:rPr>
                <w:rFonts w:hint="eastAsia" w:ascii="Times New Roman" w:hAnsi="Times New Roman" w:eastAsia="仿宋"/>
                <w:snapToGrid w:val="0"/>
                <w:color w:val="auto"/>
                <w:sz w:val="32"/>
                <w:szCs w:val="32"/>
              </w:rPr>
              <w:t>）</w:t>
            </w:r>
            <w:r>
              <w:rPr>
                <w:rFonts w:ascii="Times New Roman" w:hAnsi="Times New Roman" w:eastAsia="仿宋"/>
                <w:snapToGrid w:val="0"/>
                <w:color w:val="auto"/>
                <w:sz w:val="32"/>
                <w:szCs w:val="32"/>
              </w:rPr>
              <w:t>代表人：</w:t>
            </w:r>
          </w:p>
          <w:p w14:paraId="47A59409">
            <w:pPr>
              <w:snapToGrid w:val="0"/>
              <w:spacing w:line="500" w:lineRule="exact"/>
              <w:rPr>
                <w:rFonts w:ascii="Times New Roman" w:hAnsi="Times New Roman" w:eastAsia="仿宋"/>
                <w:snapToGrid w:val="0"/>
                <w:color w:val="auto"/>
                <w:sz w:val="32"/>
                <w:szCs w:val="32"/>
              </w:rPr>
            </w:pPr>
            <w:r>
              <w:rPr>
                <w:rFonts w:ascii="Times New Roman" w:hAnsi="Times New Roman" w:eastAsia="仿宋"/>
                <w:snapToGrid w:val="0"/>
                <w:color w:val="auto"/>
                <w:sz w:val="32"/>
                <w:szCs w:val="32"/>
              </w:rPr>
              <w:br w:type="textWrapping"/>
            </w:r>
            <w:r>
              <w:rPr>
                <w:rFonts w:ascii="Times New Roman" w:hAnsi="Times New Roman" w:eastAsia="仿宋"/>
                <w:snapToGrid w:val="0"/>
                <w:color w:val="auto"/>
                <w:sz w:val="32"/>
                <w:szCs w:val="32"/>
              </w:rPr>
              <w:t>日期：</w:t>
            </w:r>
          </w:p>
          <w:p w14:paraId="6FE89A3B">
            <w:pPr>
              <w:snapToGrid w:val="0"/>
              <w:spacing w:line="500" w:lineRule="exact"/>
              <w:rPr>
                <w:rFonts w:ascii="Times New Roman" w:hAnsi="Times New Roman" w:eastAsia="仿宋"/>
                <w:snapToGrid w:val="0"/>
                <w:color w:val="auto"/>
                <w:sz w:val="32"/>
                <w:szCs w:val="32"/>
              </w:rPr>
            </w:pPr>
          </w:p>
        </w:tc>
      </w:tr>
    </w:tbl>
    <w:p w14:paraId="06F2421E">
      <w:pPr>
        <w:snapToGrid w:val="0"/>
        <w:spacing w:line="500" w:lineRule="exact"/>
        <w:ind w:firstLine="640" w:firstLineChars="200"/>
        <w:rPr>
          <w:rFonts w:ascii="Times New Roman" w:hAnsi="Times New Roman" w:eastAsia="仿宋"/>
          <w:snapToGrid w:val="0"/>
          <w:color w:val="auto"/>
          <w:sz w:val="32"/>
          <w:szCs w:val="32"/>
        </w:rPr>
      </w:pPr>
    </w:p>
    <w:p w14:paraId="2536DF6E">
      <w:pPr>
        <w:snapToGrid w:val="0"/>
        <w:spacing w:line="500" w:lineRule="exact"/>
        <w:ind w:left="559" w:leftChars="266"/>
        <w:rPr>
          <w:rFonts w:ascii="Times New Roman" w:hAnsi="Times New Roman" w:eastAsia="仿宋"/>
          <w:snapToGrid w:val="0"/>
          <w:color w:val="auto"/>
          <w:sz w:val="32"/>
          <w:szCs w:val="32"/>
        </w:rPr>
      </w:pPr>
      <w:r>
        <w:rPr>
          <w:rFonts w:hint="eastAsia" w:ascii="Times New Roman" w:hAnsi="Times New Roman" w:eastAsia="仿宋"/>
          <w:snapToGrid w:val="0"/>
          <w:color w:val="auto"/>
          <w:sz w:val="32"/>
          <w:szCs w:val="32"/>
        </w:rPr>
        <w:t>附件：采购合同</w:t>
      </w:r>
    </w:p>
    <w:p w14:paraId="214AD99F">
      <w:pPr>
        <w:pStyle w:val="15"/>
        <w:spacing w:before="120" w:after="120" w:line="360" w:lineRule="auto"/>
        <w:jc w:val="center"/>
        <w:rPr>
          <w:rFonts w:hAnsi="宋体"/>
          <w:b/>
          <w:color w:val="auto"/>
          <w:sz w:val="36"/>
          <w:szCs w:val="36"/>
        </w:rPr>
      </w:pPr>
      <w:r>
        <w:rPr>
          <w:rFonts w:hint="eastAsia" w:ascii="Times New Roman" w:hAnsi="Times New Roman" w:eastAsia="仿宋"/>
          <w:snapToGrid w:val="0"/>
          <w:color w:val="auto"/>
          <w:sz w:val="32"/>
          <w:szCs w:val="32"/>
        </w:rPr>
        <w:br w:type="page"/>
      </w:r>
      <w:r>
        <w:rPr>
          <w:rFonts w:hint="eastAsia" w:hAnsi="宋体"/>
          <w:b/>
          <w:color w:val="auto"/>
          <w:sz w:val="36"/>
          <w:szCs w:val="36"/>
        </w:rPr>
        <w:t>浙江省政府采购合同主要条款指引</w:t>
      </w:r>
    </w:p>
    <w:p w14:paraId="4FF6A35D">
      <w:pPr>
        <w:rPr>
          <w:color w:val="auto"/>
        </w:rPr>
      </w:pPr>
    </w:p>
    <w:p w14:paraId="37F5C781">
      <w:pPr>
        <w:pStyle w:val="15"/>
        <w:snapToGrid w:val="0"/>
        <w:spacing w:beforeLines="0" w:afterLines="0" w:line="360" w:lineRule="auto"/>
        <w:jc w:val="center"/>
        <w:rPr>
          <w:rFonts w:ascii="仿宋" w:hAnsi="仿宋" w:eastAsia="仿宋"/>
          <w:color w:val="auto"/>
          <w:sz w:val="30"/>
          <w:szCs w:val="30"/>
        </w:rPr>
      </w:pPr>
      <w:r>
        <w:rPr>
          <w:rFonts w:hint="eastAsia" w:ascii="仿宋" w:hAnsi="仿宋" w:eastAsia="仿宋"/>
          <w:color w:val="auto"/>
          <w:sz w:val="30"/>
          <w:szCs w:val="30"/>
        </w:rPr>
        <w:t xml:space="preserve">                       合同编号：        </w:t>
      </w:r>
    </w:p>
    <w:p w14:paraId="417347E6">
      <w:pPr>
        <w:pStyle w:val="15"/>
        <w:snapToGrid w:val="0"/>
        <w:spacing w:beforeLines="0" w:afterLines="0" w:line="360" w:lineRule="auto"/>
        <w:jc w:val="left"/>
        <w:rPr>
          <w:rFonts w:ascii="仿宋" w:hAnsi="仿宋" w:eastAsia="仿宋"/>
          <w:color w:val="auto"/>
          <w:sz w:val="30"/>
          <w:szCs w:val="30"/>
        </w:rPr>
      </w:pPr>
      <w:r>
        <w:rPr>
          <w:rFonts w:hint="eastAsia" w:ascii="仿宋" w:hAnsi="仿宋" w:eastAsia="仿宋"/>
          <w:color w:val="auto"/>
          <w:sz w:val="30"/>
          <w:szCs w:val="30"/>
        </w:rPr>
        <w:t xml:space="preserve">                                      确认书号：</w:t>
      </w:r>
    </w:p>
    <w:p w14:paraId="309564D3">
      <w:pPr>
        <w:spacing w:line="520" w:lineRule="exact"/>
        <w:ind w:firstLine="301" w:firstLineChars="100"/>
        <w:rPr>
          <w:rFonts w:ascii="仿宋" w:hAnsi="仿宋" w:eastAsia="仿宋"/>
          <w:color w:val="auto"/>
          <w:sz w:val="30"/>
          <w:szCs w:val="30"/>
        </w:rPr>
      </w:pPr>
      <w:r>
        <w:rPr>
          <w:rFonts w:hint="eastAsia" w:ascii="仿宋" w:hAnsi="仿宋" w:eastAsia="仿宋"/>
          <w:b/>
          <w:bCs/>
          <w:color w:val="auto"/>
          <w:sz w:val="30"/>
          <w:szCs w:val="30"/>
        </w:rPr>
        <w:t>甲方</w:t>
      </w:r>
      <w:r>
        <w:rPr>
          <w:rFonts w:hint="eastAsia" w:ascii="仿宋" w:hAnsi="仿宋" w:eastAsia="仿宋"/>
          <w:color w:val="auto"/>
          <w:sz w:val="30"/>
          <w:szCs w:val="30"/>
        </w:rPr>
        <w:t xml:space="preserve">（采购人）： </w:t>
      </w:r>
    </w:p>
    <w:p w14:paraId="2E4ECB63">
      <w:pPr>
        <w:spacing w:line="520" w:lineRule="exact"/>
        <w:ind w:firstLine="301" w:firstLineChars="100"/>
        <w:rPr>
          <w:rFonts w:ascii="仿宋" w:hAnsi="仿宋" w:eastAsia="仿宋"/>
          <w:color w:val="auto"/>
          <w:sz w:val="30"/>
          <w:szCs w:val="30"/>
        </w:rPr>
      </w:pPr>
      <w:r>
        <w:rPr>
          <w:rFonts w:hint="eastAsia" w:ascii="仿宋" w:hAnsi="仿宋" w:eastAsia="仿宋"/>
          <w:b/>
          <w:bCs/>
          <w:color w:val="auto"/>
          <w:sz w:val="30"/>
          <w:szCs w:val="30"/>
        </w:rPr>
        <w:t>乙方</w:t>
      </w:r>
      <w:r>
        <w:rPr>
          <w:rFonts w:hint="eastAsia" w:ascii="仿宋" w:hAnsi="仿宋" w:eastAsia="仿宋"/>
          <w:color w:val="auto"/>
          <w:sz w:val="30"/>
          <w:szCs w:val="30"/>
        </w:rPr>
        <w:t xml:space="preserve">（供应商）： </w:t>
      </w:r>
    </w:p>
    <w:p w14:paraId="5EB151BA">
      <w:pPr>
        <w:pStyle w:val="15"/>
        <w:adjustRightInd w:val="0"/>
        <w:snapToGrid w:val="0"/>
        <w:spacing w:beforeLines="0" w:afterLines="0" w:line="460" w:lineRule="exact"/>
        <w:ind w:firstLine="594" w:firstLineChars="198"/>
        <w:rPr>
          <w:rFonts w:ascii="仿宋" w:hAnsi="仿宋" w:eastAsia="仿宋"/>
          <w:b/>
          <w:snapToGrid w:val="0"/>
          <w:color w:val="auto"/>
          <w:sz w:val="30"/>
          <w:szCs w:val="30"/>
        </w:rPr>
      </w:pPr>
      <w:r>
        <w:rPr>
          <w:rFonts w:hint="eastAsia" w:ascii="仿宋" w:hAnsi="仿宋" w:eastAsia="仿宋"/>
          <w:snapToGrid w:val="0"/>
          <w:color w:val="auto"/>
          <w:sz w:val="30"/>
          <w:szCs w:val="30"/>
        </w:rPr>
        <w:t>甲、乙双方根据浙江省教育技术中心关于</w:t>
      </w:r>
      <w:r>
        <w:rPr>
          <w:rFonts w:hint="eastAsia" w:ascii="仿宋" w:hAnsi="仿宋" w:eastAsia="仿宋"/>
          <w:color w:val="auto"/>
          <w:sz w:val="30"/>
          <w:szCs w:val="30"/>
        </w:rPr>
        <w:t>项目编号为      的</w:t>
      </w:r>
      <w:r>
        <w:rPr>
          <w:rFonts w:hint="eastAsia" w:ascii="仿宋" w:hAnsi="仿宋" w:eastAsia="仿宋"/>
          <w:snapToGrid w:val="0"/>
          <w:color w:val="auto"/>
          <w:sz w:val="30"/>
          <w:szCs w:val="30"/>
        </w:rPr>
        <w:t>（标项及名称       ）项目公开招标的结果，签署本合同。</w:t>
      </w:r>
    </w:p>
    <w:p w14:paraId="494E5432">
      <w:pPr>
        <w:pStyle w:val="15"/>
        <w:adjustRightInd w:val="0"/>
        <w:snapToGrid w:val="0"/>
        <w:spacing w:beforeLines="0" w:afterLines="0" w:line="460" w:lineRule="exact"/>
        <w:ind w:firstLine="641" w:firstLineChars="213"/>
        <w:rPr>
          <w:rFonts w:ascii="仿宋" w:hAnsi="仿宋" w:eastAsia="仿宋"/>
          <w:b/>
          <w:color w:val="auto"/>
          <w:sz w:val="30"/>
          <w:szCs w:val="30"/>
        </w:rPr>
      </w:pPr>
      <w:r>
        <w:rPr>
          <w:rFonts w:hint="eastAsia" w:ascii="仿宋" w:hAnsi="仿宋" w:eastAsia="仿宋"/>
          <w:b/>
          <w:snapToGrid w:val="0"/>
          <w:color w:val="auto"/>
          <w:sz w:val="30"/>
          <w:szCs w:val="30"/>
        </w:rPr>
        <w:t>一、项目内容</w:t>
      </w:r>
      <w:r>
        <w:rPr>
          <w:rFonts w:hint="eastAsia" w:ascii="仿宋" w:hAnsi="仿宋" w:eastAsia="仿宋"/>
          <w:b/>
          <w:color w:val="auto"/>
          <w:sz w:val="30"/>
          <w:szCs w:val="30"/>
        </w:rPr>
        <w:t>及合同价格</w:t>
      </w:r>
    </w:p>
    <w:p w14:paraId="4823B744">
      <w:pPr>
        <w:pStyle w:val="15"/>
        <w:adjustRightInd w:val="0"/>
        <w:snapToGrid w:val="0"/>
        <w:spacing w:beforeLines="0" w:afterLines="0" w:line="460" w:lineRule="exact"/>
        <w:ind w:firstLine="639" w:firstLineChars="213"/>
        <w:jc w:val="right"/>
        <w:rPr>
          <w:rFonts w:ascii="仿宋" w:hAnsi="仿宋" w:eastAsia="仿宋"/>
          <w:color w:val="auto"/>
          <w:sz w:val="30"/>
          <w:szCs w:val="30"/>
        </w:rPr>
      </w:pPr>
      <w:r>
        <w:rPr>
          <w:rFonts w:hint="eastAsia" w:ascii="仿宋" w:hAnsi="仿宋" w:eastAsia="仿宋"/>
          <w:color w:val="auto"/>
          <w:sz w:val="30"/>
          <w:szCs w:val="30"/>
        </w:rPr>
        <w:t xml:space="preserve">金额单位：元 </w:t>
      </w:r>
    </w:p>
    <w:tbl>
      <w:tblPr>
        <w:tblStyle w:val="37"/>
        <w:tblW w:w="913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239"/>
        <w:gridCol w:w="1080"/>
        <w:gridCol w:w="1260"/>
        <w:gridCol w:w="1212"/>
      </w:tblGrid>
      <w:tr w14:paraId="11190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2339" w:type="dxa"/>
            <w:tcBorders>
              <w:top w:val="single" w:color="auto" w:sz="4" w:space="0"/>
              <w:left w:val="single" w:color="auto" w:sz="4" w:space="0"/>
              <w:bottom w:val="single" w:color="auto" w:sz="4" w:space="0"/>
              <w:right w:val="single" w:color="auto" w:sz="4" w:space="0"/>
            </w:tcBorders>
            <w:vAlign w:val="center"/>
          </w:tcPr>
          <w:p w14:paraId="6D860B2A">
            <w:pPr>
              <w:pStyle w:val="15"/>
              <w:snapToGrid w:val="0"/>
              <w:spacing w:before="120" w:after="120" w:line="460" w:lineRule="exact"/>
              <w:jc w:val="center"/>
              <w:rPr>
                <w:rFonts w:ascii="仿宋" w:hAnsi="仿宋" w:eastAsia="仿宋"/>
                <w:color w:val="auto"/>
                <w:sz w:val="30"/>
                <w:szCs w:val="30"/>
              </w:rPr>
            </w:pPr>
            <w:r>
              <w:rPr>
                <w:rFonts w:hint="eastAsia" w:ascii="仿宋" w:hAnsi="仿宋" w:eastAsia="仿宋"/>
                <w:color w:val="auto"/>
                <w:sz w:val="30"/>
                <w:szCs w:val="30"/>
              </w:rPr>
              <w:t>项目名称</w:t>
            </w:r>
          </w:p>
        </w:tc>
        <w:tc>
          <w:tcPr>
            <w:tcW w:w="3239" w:type="dxa"/>
            <w:tcBorders>
              <w:top w:val="single" w:color="auto" w:sz="4" w:space="0"/>
              <w:left w:val="single" w:color="auto" w:sz="4" w:space="0"/>
              <w:bottom w:val="single" w:color="auto" w:sz="4" w:space="0"/>
              <w:right w:val="single" w:color="auto" w:sz="4" w:space="0"/>
            </w:tcBorders>
            <w:vAlign w:val="center"/>
          </w:tcPr>
          <w:p w14:paraId="021EC0B6">
            <w:pPr>
              <w:pStyle w:val="15"/>
              <w:snapToGrid w:val="0"/>
              <w:spacing w:before="120" w:after="120" w:line="460" w:lineRule="exact"/>
              <w:jc w:val="center"/>
              <w:rPr>
                <w:rFonts w:ascii="仿宋" w:hAnsi="仿宋" w:eastAsia="仿宋"/>
                <w:color w:val="auto"/>
                <w:sz w:val="30"/>
                <w:szCs w:val="30"/>
              </w:rPr>
            </w:pPr>
            <w:r>
              <w:rPr>
                <w:rFonts w:hint="eastAsia" w:ascii="仿宋" w:hAnsi="仿宋" w:eastAsia="仿宋"/>
                <w:color w:val="auto"/>
                <w:sz w:val="30"/>
                <w:szCs w:val="30"/>
              </w:rPr>
              <w:t>技术需求</w:t>
            </w:r>
          </w:p>
        </w:tc>
        <w:tc>
          <w:tcPr>
            <w:tcW w:w="1080" w:type="dxa"/>
            <w:tcBorders>
              <w:top w:val="single" w:color="auto" w:sz="4" w:space="0"/>
              <w:left w:val="single" w:color="auto" w:sz="4" w:space="0"/>
              <w:bottom w:val="single" w:color="auto" w:sz="4" w:space="0"/>
              <w:right w:val="single" w:color="auto" w:sz="4" w:space="0"/>
            </w:tcBorders>
            <w:vAlign w:val="center"/>
          </w:tcPr>
          <w:p w14:paraId="24C963F0">
            <w:pPr>
              <w:pStyle w:val="15"/>
              <w:snapToGrid w:val="0"/>
              <w:spacing w:before="120" w:after="120" w:line="460" w:lineRule="exact"/>
              <w:ind w:left="-108"/>
              <w:jc w:val="center"/>
              <w:rPr>
                <w:rFonts w:ascii="仿宋" w:hAnsi="仿宋" w:eastAsia="仿宋"/>
                <w:color w:val="auto"/>
                <w:sz w:val="30"/>
                <w:szCs w:val="30"/>
              </w:rPr>
            </w:pPr>
            <w:r>
              <w:rPr>
                <w:rFonts w:hint="eastAsia" w:ascii="仿宋" w:hAnsi="仿宋" w:eastAsia="仿宋"/>
                <w:color w:val="auto"/>
                <w:sz w:val="30"/>
                <w:szCs w:val="30"/>
              </w:rPr>
              <w:t>数量</w:t>
            </w:r>
          </w:p>
        </w:tc>
        <w:tc>
          <w:tcPr>
            <w:tcW w:w="1260" w:type="dxa"/>
            <w:tcBorders>
              <w:top w:val="single" w:color="auto" w:sz="4" w:space="0"/>
              <w:left w:val="single" w:color="auto" w:sz="4" w:space="0"/>
              <w:bottom w:val="single" w:color="auto" w:sz="4" w:space="0"/>
              <w:right w:val="single" w:color="auto" w:sz="4" w:space="0"/>
            </w:tcBorders>
            <w:vAlign w:val="center"/>
          </w:tcPr>
          <w:p w14:paraId="02233AA2">
            <w:pPr>
              <w:pStyle w:val="15"/>
              <w:snapToGrid w:val="0"/>
              <w:spacing w:before="120" w:after="120" w:line="460" w:lineRule="exact"/>
              <w:ind w:left="-108"/>
              <w:jc w:val="center"/>
              <w:rPr>
                <w:rFonts w:ascii="仿宋" w:hAnsi="仿宋" w:eastAsia="仿宋"/>
                <w:color w:val="auto"/>
                <w:sz w:val="30"/>
                <w:szCs w:val="30"/>
              </w:rPr>
            </w:pPr>
            <w:r>
              <w:rPr>
                <w:rFonts w:hint="eastAsia" w:ascii="仿宋" w:hAnsi="仿宋" w:eastAsia="仿宋"/>
                <w:color w:val="auto"/>
                <w:sz w:val="30"/>
                <w:szCs w:val="30"/>
              </w:rPr>
              <w:t>单价</w:t>
            </w:r>
          </w:p>
        </w:tc>
        <w:tc>
          <w:tcPr>
            <w:tcW w:w="1212" w:type="dxa"/>
            <w:tcBorders>
              <w:top w:val="single" w:color="auto" w:sz="4" w:space="0"/>
              <w:left w:val="single" w:color="auto" w:sz="4" w:space="0"/>
              <w:bottom w:val="single" w:color="auto" w:sz="4" w:space="0"/>
              <w:right w:val="single" w:color="auto" w:sz="4" w:space="0"/>
            </w:tcBorders>
            <w:vAlign w:val="center"/>
          </w:tcPr>
          <w:p w14:paraId="351332C6">
            <w:pPr>
              <w:pStyle w:val="15"/>
              <w:snapToGrid w:val="0"/>
              <w:spacing w:before="120" w:after="120" w:line="460" w:lineRule="exact"/>
              <w:jc w:val="center"/>
              <w:rPr>
                <w:rFonts w:ascii="仿宋" w:hAnsi="仿宋" w:eastAsia="仿宋"/>
                <w:color w:val="auto"/>
                <w:sz w:val="30"/>
                <w:szCs w:val="30"/>
              </w:rPr>
            </w:pPr>
            <w:r>
              <w:rPr>
                <w:rFonts w:hint="eastAsia" w:ascii="仿宋" w:hAnsi="仿宋" w:eastAsia="仿宋"/>
                <w:color w:val="auto"/>
                <w:sz w:val="30"/>
                <w:szCs w:val="30"/>
              </w:rPr>
              <w:t>总价</w:t>
            </w:r>
          </w:p>
        </w:tc>
      </w:tr>
      <w:tr w14:paraId="68064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2" w:hRule="atLeast"/>
        </w:trPr>
        <w:tc>
          <w:tcPr>
            <w:tcW w:w="2339" w:type="dxa"/>
            <w:tcBorders>
              <w:top w:val="single" w:color="auto" w:sz="4" w:space="0"/>
              <w:left w:val="single" w:color="auto" w:sz="4" w:space="0"/>
              <w:bottom w:val="single" w:color="auto" w:sz="4" w:space="0"/>
              <w:right w:val="single" w:color="auto" w:sz="4" w:space="0"/>
            </w:tcBorders>
          </w:tcPr>
          <w:p w14:paraId="7B9251BC">
            <w:pPr>
              <w:spacing w:line="460" w:lineRule="exact"/>
              <w:ind w:firstLine="639" w:firstLineChars="213"/>
              <w:rPr>
                <w:rFonts w:ascii="仿宋" w:hAnsi="仿宋" w:eastAsia="仿宋"/>
                <w:color w:val="auto"/>
                <w:sz w:val="30"/>
                <w:szCs w:val="30"/>
              </w:rPr>
            </w:pPr>
          </w:p>
        </w:tc>
        <w:tc>
          <w:tcPr>
            <w:tcW w:w="3239" w:type="dxa"/>
            <w:tcBorders>
              <w:top w:val="single" w:color="auto" w:sz="4" w:space="0"/>
              <w:left w:val="single" w:color="auto" w:sz="4" w:space="0"/>
              <w:bottom w:val="single" w:color="auto" w:sz="4" w:space="0"/>
              <w:right w:val="single" w:color="auto" w:sz="4" w:space="0"/>
            </w:tcBorders>
          </w:tcPr>
          <w:p w14:paraId="02DCBB38">
            <w:pPr>
              <w:spacing w:line="460" w:lineRule="exact"/>
              <w:rPr>
                <w:rFonts w:ascii="仿宋" w:hAnsi="仿宋" w:eastAsia="仿宋"/>
                <w:color w:val="auto"/>
                <w:sz w:val="30"/>
                <w:szCs w:val="30"/>
              </w:rPr>
            </w:pPr>
            <w:r>
              <w:rPr>
                <w:rFonts w:hint="eastAsia" w:ascii="仿宋" w:hAnsi="仿宋" w:eastAsia="仿宋"/>
                <w:color w:val="auto"/>
                <w:sz w:val="30"/>
                <w:szCs w:val="30"/>
              </w:rPr>
              <w:t>详见项目对应招投标文件</w:t>
            </w:r>
          </w:p>
        </w:tc>
        <w:tc>
          <w:tcPr>
            <w:tcW w:w="1080" w:type="dxa"/>
            <w:tcBorders>
              <w:top w:val="single" w:color="auto" w:sz="4" w:space="0"/>
              <w:left w:val="single" w:color="auto" w:sz="4" w:space="0"/>
              <w:bottom w:val="single" w:color="auto" w:sz="4" w:space="0"/>
              <w:right w:val="single" w:color="auto" w:sz="4" w:space="0"/>
            </w:tcBorders>
          </w:tcPr>
          <w:p w14:paraId="6E6371C5">
            <w:pPr>
              <w:spacing w:line="460" w:lineRule="exact"/>
              <w:ind w:firstLine="639" w:firstLineChars="213"/>
              <w:rPr>
                <w:rFonts w:ascii="仿宋" w:hAnsi="仿宋" w:eastAsia="仿宋"/>
                <w:color w:val="auto"/>
                <w:sz w:val="30"/>
                <w:szCs w:val="30"/>
              </w:rPr>
            </w:pPr>
          </w:p>
        </w:tc>
        <w:tc>
          <w:tcPr>
            <w:tcW w:w="1260" w:type="dxa"/>
            <w:tcBorders>
              <w:top w:val="single" w:color="auto" w:sz="4" w:space="0"/>
              <w:left w:val="single" w:color="auto" w:sz="4" w:space="0"/>
              <w:bottom w:val="single" w:color="auto" w:sz="4" w:space="0"/>
              <w:right w:val="single" w:color="auto" w:sz="4" w:space="0"/>
            </w:tcBorders>
          </w:tcPr>
          <w:p w14:paraId="2ADA22AD">
            <w:pPr>
              <w:pStyle w:val="119"/>
              <w:spacing w:after="120" w:line="460" w:lineRule="exact"/>
              <w:ind w:firstLine="639" w:firstLineChars="213"/>
              <w:rPr>
                <w:rFonts w:ascii="仿宋" w:hAnsi="仿宋" w:eastAsia="仿宋"/>
                <w:color w:val="auto"/>
                <w:kern w:val="2"/>
                <w:sz w:val="30"/>
                <w:szCs w:val="30"/>
              </w:rPr>
            </w:pPr>
          </w:p>
        </w:tc>
        <w:tc>
          <w:tcPr>
            <w:tcW w:w="1212" w:type="dxa"/>
            <w:tcBorders>
              <w:top w:val="single" w:color="auto" w:sz="4" w:space="0"/>
              <w:left w:val="single" w:color="auto" w:sz="4" w:space="0"/>
              <w:bottom w:val="single" w:color="auto" w:sz="4" w:space="0"/>
              <w:right w:val="single" w:color="auto" w:sz="4" w:space="0"/>
            </w:tcBorders>
          </w:tcPr>
          <w:p w14:paraId="55CB55AC">
            <w:pPr>
              <w:pStyle w:val="119"/>
              <w:spacing w:after="120" w:line="460" w:lineRule="exact"/>
              <w:ind w:left="1890"/>
              <w:rPr>
                <w:rFonts w:ascii="仿宋" w:hAnsi="仿宋" w:eastAsia="仿宋"/>
                <w:color w:val="auto"/>
                <w:kern w:val="2"/>
                <w:sz w:val="30"/>
                <w:szCs w:val="30"/>
              </w:rPr>
            </w:pPr>
          </w:p>
        </w:tc>
      </w:tr>
      <w:tr w14:paraId="2867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5578" w:type="dxa"/>
            <w:gridSpan w:val="2"/>
            <w:tcBorders>
              <w:top w:val="single" w:color="auto" w:sz="4" w:space="0"/>
              <w:left w:val="single" w:color="auto" w:sz="4" w:space="0"/>
              <w:bottom w:val="single" w:color="auto" w:sz="4" w:space="0"/>
              <w:right w:val="single" w:color="auto" w:sz="4" w:space="0"/>
            </w:tcBorders>
          </w:tcPr>
          <w:p w14:paraId="01221501">
            <w:pPr>
              <w:pStyle w:val="15"/>
              <w:snapToGrid w:val="0"/>
              <w:spacing w:before="120" w:after="120" w:line="460" w:lineRule="exact"/>
              <w:ind w:firstLine="639" w:firstLineChars="213"/>
              <w:jc w:val="center"/>
              <w:rPr>
                <w:rFonts w:ascii="仿宋" w:hAnsi="仿宋" w:eastAsia="仿宋"/>
                <w:color w:val="auto"/>
                <w:sz w:val="30"/>
                <w:szCs w:val="30"/>
              </w:rPr>
            </w:pPr>
            <w:r>
              <w:rPr>
                <w:rFonts w:hint="eastAsia" w:ascii="仿宋" w:hAnsi="仿宋" w:eastAsia="仿宋"/>
                <w:color w:val="auto"/>
                <w:sz w:val="30"/>
                <w:szCs w:val="30"/>
              </w:rPr>
              <w:t>合            计</w:t>
            </w:r>
          </w:p>
        </w:tc>
        <w:tc>
          <w:tcPr>
            <w:tcW w:w="1080" w:type="dxa"/>
            <w:tcBorders>
              <w:top w:val="single" w:color="auto" w:sz="4" w:space="0"/>
              <w:left w:val="single" w:color="auto" w:sz="4" w:space="0"/>
              <w:bottom w:val="single" w:color="auto" w:sz="4" w:space="0"/>
              <w:right w:val="single" w:color="auto" w:sz="4" w:space="0"/>
            </w:tcBorders>
          </w:tcPr>
          <w:p w14:paraId="538AC1F0">
            <w:pPr>
              <w:pStyle w:val="15"/>
              <w:snapToGrid w:val="0"/>
              <w:spacing w:before="120" w:after="120" w:line="460" w:lineRule="exact"/>
              <w:ind w:firstLine="639" w:firstLineChars="213"/>
              <w:jc w:val="center"/>
              <w:rPr>
                <w:rFonts w:ascii="仿宋" w:hAnsi="仿宋" w:eastAsia="仿宋"/>
                <w:color w:val="auto"/>
                <w:sz w:val="30"/>
                <w:szCs w:val="30"/>
              </w:rPr>
            </w:pPr>
          </w:p>
        </w:tc>
        <w:tc>
          <w:tcPr>
            <w:tcW w:w="2472" w:type="dxa"/>
            <w:gridSpan w:val="2"/>
            <w:tcBorders>
              <w:top w:val="single" w:color="auto" w:sz="4" w:space="0"/>
              <w:left w:val="single" w:color="auto" w:sz="4" w:space="0"/>
              <w:bottom w:val="single" w:color="auto" w:sz="4" w:space="0"/>
              <w:right w:val="single" w:color="auto" w:sz="4" w:space="0"/>
            </w:tcBorders>
          </w:tcPr>
          <w:p w14:paraId="15736CA1">
            <w:pPr>
              <w:pStyle w:val="119"/>
              <w:spacing w:after="120" w:line="460" w:lineRule="exact"/>
              <w:ind w:firstLine="639" w:firstLineChars="213"/>
              <w:rPr>
                <w:rFonts w:ascii="仿宋" w:hAnsi="仿宋" w:eastAsia="仿宋"/>
                <w:color w:val="auto"/>
                <w:kern w:val="2"/>
                <w:sz w:val="30"/>
                <w:szCs w:val="30"/>
              </w:rPr>
            </w:pPr>
          </w:p>
        </w:tc>
      </w:tr>
      <w:tr w14:paraId="7D21B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 w:hRule="atLeast"/>
        </w:trPr>
        <w:tc>
          <w:tcPr>
            <w:tcW w:w="9130" w:type="dxa"/>
            <w:gridSpan w:val="5"/>
            <w:tcBorders>
              <w:top w:val="single" w:color="auto" w:sz="4" w:space="0"/>
              <w:left w:val="single" w:color="auto" w:sz="4" w:space="0"/>
              <w:bottom w:val="single" w:color="auto" w:sz="4" w:space="0"/>
              <w:right w:val="single" w:color="auto" w:sz="4" w:space="0"/>
            </w:tcBorders>
          </w:tcPr>
          <w:p w14:paraId="254FEE74">
            <w:pPr>
              <w:pStyle w:val="15"/>
              <w:snapToGrid w:val="0"/>
              <w:spacing w:before="120" w:after="120" w:line="460" w:lineRule="exact"/>
              <w:rPr>
                <w:rFonts w:ascii="仿宋" w:hAnsi="仿宋" w:eastAsia="仿宋"/>
                <w:color w:val="auto"/>
                <w:sz w:val="30"/>
                <w:szCs w:val="30"/>
              </w:rPr>
            </w:pPr>
            <w:r>
              <w:rPr>
                <w:rFonts w:hint="eastAsia" w:ascii="仿宋" w:hAnsi="仿宋" w:eastAsia="仿宋"/>
                <w:color w:val="auto"/>
                <w:sz w:val="30"/>
                <w:szCs w:val="30"/>
              </w:rPr>
              <w:t>合同总价大写：                              小写：￥</w:t>
            </w:r>
          </w:p>
        </w:tc>
      </w:tr>
    </w:tbl>
    <w:p w14:paraId="64CD7A4D">
      <w:pPr>
        <w:pStyle w:val="15"/>
        <w:snapToGrid w:val="0"/>
        <w:spacing w:before="120" w:beforeLines="0" w:afterLines="0" w:line="460" w:lineRule="exact"/>
        <w:ind w:firstLine="639" w:firstLineChars="213"/>
        <w:rPr>
          <w:rFonts w:ascii="仿宋" w:hAnsi="仿宋" w:eastAsia="仿宋"/>
          <w:color w:val="auto"/>
          <w:sz w:val="30"/>
          <w:szCs w:val="30"/>
        </w:rPr>
      </w:pPr>
      <w:r>
        <w:rPr>
          <w:rFonts w:hint="eastAsia" w:ascii="仿宋" w:hAnsi="仿宋" w:eastAsia="仿宋"/>
          <w:color w:val="auto"/>
          <w:sz w:val="30"/>
          <w:szCs w:val="30"/>
        </w:rPr>
        <w:t>注：1.项目具体技术需求及采购人地址等详见招标文件、投标文件以及询标记录。</w:t>
      </w:r>
    </w:p>
    <w:p w14:paraId="293A8887">
      <w:pPr>
        <w:spacing w:line="460" w:lineRule="exact"/>
        <w:ind w:firstLine="639" w:firstLineChars="213"/>
        <w:rPr>
          <w:rFonts w:ascii="仿宋" w:hAnsi="仿宋" w:eastAsia="仿宋"/>
          <w:color w:val="auto"/>
          <w:sz w:val="30"/>
          <w:szCs w:val="30"/>
        </w:rPr>
      </w:pPr>
      <w:r>
        <w:rPr>
          <w:rFonts w:hint="eastAsia" w:ascii="仿宋" w:hAnsi="仿宋" w:eastAsia="仿宋"/>
          <w:color w:val="auto"/>
          <w:sz w:val="30"/>
          <w:szCs w:val="30"/>
        </w:rPr>
        <w:t>2.以上合同总价包含项目达到预期使用效果所需的一切费用。</w:t>
      </w:r>
    </w:p>
    <w:p w14:paraId="484999E8">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二、技术资料</w:t>
      </w:r>
    </w:p>
    <w:p w14:paraId="6F336F72">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1.乙方应按招标文件规定的时间向甲方提供使用项目的有关技术资料。</w:t>
      </w:r>
    </w:p>
    <w:p w14:paraId="6F85FD4A">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1C9E992F">
      <w:pPr>
        <w:pStyle w:val="15"/>
        <w:adjustRightInd w:val="0"/>
        <w:snapToGrid w:val="0"/>
        <w:spacing w:beforeLines="0" w:afterLines="0" w:line="460" w:lineRule="exact"/>
        <w:ind w:firstLine="596" w:firstLineChars="198"/>
        <w:rPr>
          <w:rFonts w:ascii="仿宋" w:hAnsi="仿宋" w:eastAsia="仿宋"/>
          <w:b/>
          <w:snapToGrid w:val="0"/>
          <w:color w:val="auto"/>
          <w:sz w:val="30"/>
          <w:szCs w:val="30"/>
        </w:rPr>
      </w:pPr>
      <w:r>
        <w:rPr>
          <w:rFonts w:hint="eastAsia" w:ascii="仿宋" w:hAnsi="仿宋" w:eastAsia="仿宋"/>
          <w:b/>
          <w:snapToGrid w:val="0"/>
          <w:color w:val="auto"/>
          <w:sz w:val="30"/>
          <w:szCs w:val="30"/>
        </w:rPr>
        <w:t>三、知识产权</w:t>
      </w:r>
    </w:p>
    <w:p w14:paraId="7585DBE9">
      <w:pPr>
        <w:pStyle w:val="15"/>
        <w:adjustRightInd w:val="0"/>
        <w:snapToGrid w:val="0"/>
        <w:spacing w:beforeLines="0" w:afterLines="0" w:line="460" w:lineRule="exact"/>
        <w:ind w:firstLine="639" w:firstLineChars="213"/>
        <w:rPr>
          <w:rFonts w:ascii="仿宋" w:hAnsi="仿宋" w:eastAsia="仿宋"/>
          <w:bCs/>
          <w:snapToGrid w:val="0"/>
          <w:color w:val="auto"/>
          <w:sz w:val="30"/>
          <w:szCs w:val="30"/>
        </w:rPr>
      </w:pPr>
      <w:r>
        <w:rPr>
          <w:rFonts w:hint="eastAsia" w:ascii="仿宋" w:hAnsi="仿宋" w:eastAsia="仿宋"/>
          <w:snapToGrid w:val="0"/>
          <w:color w:val="auto"/>
          <w:sz w:val="30"/>
          <w:szCs w:val="30"/>
        </w:rPr>
        <w:t>乙方应保证所提供的货物或其任何一部分均不会侵犯任何第三方的知识产权</w:t>
      </w:r>
      <w:r>
        <w:rPr>
          <w:rFonts w:hint="eastAsia" w:ascii="仿宋" w:hAnsi="仿宋" w:eastAsia="仿宋"/>
          <w:bCs/>
          <w:snapToGrid w:val="0"/>
          <w:color w:val="auto"/>
          <w:sz w:val="30"/>
          <w:szCs w:val="30"/>
        </w:rPr>
        <w:t>。</w:t>
      </w:r>
    </w:p>
    <w:p w14:paraId="76C144B2">
      <w:pPr>
        <w:pStyle w:val="15"/>
        <w:adjustRightInd w:val="0"/>
        <w:snapToGrid w:val="0"/>
        <w:spacing w:beforeLines="0" w:afterLines="0" w:line="460" w:lineRule="exact"/>
        <w:ind w:firstLine="596" w:firstLineChars="198"/>
        <w:rPr>
          <w:rFonts w:ascii="仿宋" w:hAnsi="仿宋" w:eastAsia="仿宋"/>
          <w:snapToGrid w:val="0"/>
          <w:color w:val="auto"/>
          <w:sz w:val="30"/>
          <w:szCs w:val="30"/>
          <w:u w:val="single"/>
        </w:rPr>
      </w:pPr>
      <w:r>
        <w:rPr>
          <w:rFonts w:hint="eastAsia" w:ascii="仿宋" w:hAnsi="仿宋" w:eastAsia="仿宋"/>
          <w:b/>
          <w:snapToGrid w:val="0"/>
          <w:color w:val="auto"/>
          <w:sz w:val="30"/>
          <w:szCs w:val="30"/>
        </w:rPr>
        <w:t>四、产权担保</w:t>
      </w:r>
    </w:p>
    <w:p w14:paraId="7EF4BF6B">
      <w:pPr>
        <w:pStyle w:val="15"/>
        <w:adjustRightInd w:val="0"/>
        <w:snapToGrid w:val="0"/>
        <w:spacing w:beforeLines="0" w:afterLines="0" w:line="460" w:lineRule="exact"/>
        <w:ind w:firstLine="639" w:firstLineChars="213"/>
        <w:rPr>
          <w:rFonts w:ascii="仿宋" w:hAnsi="仿宋" w:eastAsia="仿宋"/>
          <w:snapToGrid w:val="0"/>
          <w:color w:val="auto"/>
          <w:sz w:val="30"/>
          <w:szCs w:val="30"/>
          <w:u w:val="single"/>
        </w:rPr>
      </w:pPr>
      <w:r>
        <w:rPr>
          <w:rFonts w:hint="eastAsia" w:ascii="仿宋" w:hAnsi="仿宋" w:eastAsia="仿宋"/>
          <w:snapToGrid w:val="0"/>
          <w:color w:val="auto"/>
          <w:sz w:val="30"/>
          <w:szCs w:val="30"/>
        </w:rPr>
        <w:t>乙方保证所交付的货物的所有权完全属于乙方且无任何抵押、查封等产权瑕疵。</w:t>
      </w:r>
    </w:p>
    <w:p w14:paraId="7CD5F7BF">
      <w:pPr>
        <w:pStyle w:val="15"/>
        <w:adjustRightInd w:val="0"/>
        <w:snapToGrid w:val="0"/>
        <w:spacing w:beforeLines="0" w:afterLines="0" w:line="460" w:lineRule="exact"/>
        <w:ind w:firstLine="596" w:firstLineChars="198"/>
        <w:rPr>
          <w:rFonts w:ascii="仿宋" w:hAnsi="仿宋" w:eastAsia="仿宋"/>
          <w:b/>
          <w:snapToGrid w:val="0"/>
          <w:color w:val="auto"/>
          <w:sz w:val="30"/>
          <w:szCs w:val="30"/>
        </w:rPr>
      </w:pPr>
      <w:r>
        <w:rPr>
          <w:rFonts w:hint="eastAsia" w:ascii="仿宋" w:hAnsi="仿宋" w:eastAsia="仿宋"/>
          <w:b/>
          <w:snapToGrid w:val="0"/>
          <w:color w:val="auto"/>
          <w:sz w:val="30"/>
          <w:szCs w:val="30"/>
        </w:rPr>
        <w:t>五、转包或分包</w:t>
      </w:r>
    </w:p>
    <w:p w14:paraId="71DB02A4">
      <w:pPr>
        <w:adjustRightInd w:val="0"/>
        <w:snapToGrid w:val="0"/>
        <w:spacing w:line="460" w:lineRule="exact"/>
        <w:ind w:firstLine="639" w:firstLineChars="213"/>
        <w:rPr>
          <w:rFonts w:ascii="仿宋" w:hAnsi="仿宋" w:eastAsia="仿宋"/>
          <w:snapToGrid w:val="0"/>
          <w:color w:val="auto"/>
          <w:kern w:val="0"/>
          <w:sz w:val="30"/>
          <w:szCs w:val="30"/>
        </w:rPr>
      </w:pPr>
      <w:r>
        <w:rPr>
          <w:rFonts w:hint="eastAsia" w:ascii="仿宋" w:hAnsi="仿宋" w:eastAsia="仿宋"/>
          <w:snapToGrid w:val="0"/>
          <w:color w:val="auto"/>
          <w:kern w:val="0"/>
          <w:sz w:val="30"/>
          <w:szCs w:val="30"/>
        </w:rPr>
        <w:t>不允许转包。</w:t>
      </w:r>
    </w:p>
    <w:p w14:paraId="2CB9D2ED">
      <w:pPr>
        <w:adjustRightInd w:val="0"/>
        <w:snapToGrid w:val="0"/>
        <w:spacing w:line="460" w:lineRule="exact"/>
        <w:ind w:firstLine="639" w:firstLineChars="213"/>
        <w:rPr>
          <w:rFonts w:ascii="仿宋" w:hAnsi="仿宋" w:eastAsia="仿宋"/>
          <w:snapToGrid w:val="0"/>
          <w:color w:val="auto"/>
          <w:kern w:val="0"/>
          <w:sz w:val="30"/>
          <w:szCs w:val="30"/>
          <w:u w:val="single"/>
        </w:rPr>
      </w:pPr>
      <w:r>
        <w:rPr>
          <w:rFonts w:hint="eastAsia" w:ascii="仿宋" w:hAnsi="仿宋" w:eastAsia="仿宋"/>
          <w:snapToGrid w:val="0"/>
          <w:color w:val="auto"/>
          <w:kern w:val="0"/>
          <w:sz w:val="30"/>
          <w:szCs w:val="30"/>
        </w:rPr>
        <w:t>允许分包部分</w:t>
      </w:r>
      <w:r>
        <w:rPr>
          <w:rFonts w:hint="eastAsia" w:ascii="仿宋" w:hAnsi="仿宋" w:eastAsia="仿宋"/>
          <w:snapToGrid w:val="0"/>
          <w:color w:val="auto"/>
          <w:kern w:val="0"/>
          <w:sz w:val="30"/>
          <w:szCs w:val="30"/>
          <w:u w:val="single"/>
        </w:rPr>
        <w:t xml:space="preserve">               。</w:t>
      </w:r>
    </w:p>
    <w:p w14:paraId="757BC478">
      <w:pPr>
        <w:adjustRightInd w:val="0"/>
        <w:snapToGrid w:val="0"/>
        <w:spacing w:line="460" w:lineRule="exact"/>
        <w:ind w:firstLine="600" w:firstLineChars="200"/>
        <w:rPr>
          <w:rFonts w:ascii="仿宋" w:hAnsi="仿宋" w:eastAsia="仿宋"/>
          <w:snapToGrid w:val="0"/>
          <w:color w:val="auto"/>
          <w:kern w:val="0"/>
          <w:sz w:val="30"/>
          <w:szCs w:val="30"/>
        </w:rPr>
      </w:pPr>
      <w:r>
        <w:rPr>
          <w:rFonts w:hint="eastAsia" w:ascii="仿宋" w:hAnsi="仿宋" w:eastAsia="仿宋"/>
          <w:snapToGrid w:val="0"/>
          <w:color w:val="auto"/>
          <w:kern w:val="0"/>
          <w:sz w:val="30"/>
          <w:szCs w:val="30"/>
        </w:rPr>
        <w:t>如乙方将项目转包或将不允许分包部分进行分包，甲方有权解除合同，没收履约保证金并追究乙方的违约责任。</w:t>
      </w:r>
    </w:p>
    <w:p w14:paraId="5880BCEE">
      <w:pPr>
        <w:pStyle w:val="15"/>
        <w:adjustRightInd w:val="0"/>
        <w:snapToGrid w:val="0"/>
        <w:spacing w:beforeLines="0" w:afterLines="0" w:line="460" w:lineRule="exact"/>
        <w:ind w:firstLine="641" w:firstLineChars="213"/>
        <w:rPr>
          <w:rFonts w:ascii="仿宋" w:hAnsi="仿宋" w:eastAsia="仿宋"/>
          <w:snapToGrid w:val="0"/>
          <w:color w:val="auto"/>
          <w:sz w:val="30"/>
          <w:szCs w:val="30"/>
        </w:rPr>
      </w:pPr>
      <w:r>
        <w:rPr>
          <w:rFonts w:hint="eastAsia" w:ascii="仿宋" w:hAnsi="仿宋" w:eastAsia="仿宋"/>
          <w:b/>
          <w:snapToGrid w:val="0"/>
          <w:color w:val="auto"/>
          <w:sz w:val="30"/>
          <w:szCs w:val="30"/>
        </w:rPr>
        <w:t>六、质保期和履约保证金</w:t>
      </w:r>
    </w:p>
    <w:p w14:paraId="344047F1">
      <w:pPr>
        <w:pStyle w:val="15"/>
        <w:adjustRightInd w:val="0"/>
        <w:snapToGrid w:val="0"/>
        <w:spacing w:beforeLines="0" w:afterLines="0" w:line="460" w:lineRule="exact"/>
        <w:ind w:firstLine="600" w:firstLineChars="200"/>
        <w:jc w:val="left"/>
        <w:rPr>
          <w:rFonts w:ascii="仿宋" w:hAnsi="仿宋" w:eastAsia="仿宋"/>
          <w:snapToGrid w:val="0"/>
          <w:color w:val="auto"/>
          <w:sz w:val="30"/>
          <w:szCs w:val="30"/>
        </w:rPr>
      </w:pPr>
      <w:r>
        <w:rPr>
          <w:rFonts w:hint="eastAsia" w:ascii="仿宋" w:hAnsi="仿宋" w:eastAsia="仿宋"/>
          <w:snapToGrid w:val="0"/>
          <w:color w:val="auto"/>
          <w:sz w:val="30"/>
          <w:szCs w:val="30"/>
        </w:rPr>
        <w:t>1.质保期年。（自项目验收合格交付使用之日起计）</w:t>
      </w:r>
    </w:p>
    <w:p w14:paraId="033123E1">
      <w:pPr>
        <w:pStyle w:val="15"/>
        <w:adjustRightInd w:val="0"/>
        <w:snapToGrid w:val="0"/>
        <w:spacing w:beforeLines="0" w:afterLines="0" w:line="460" w:lineRule="exact"/>
        <w:ind w:firstLine="600" w:firstLineChars="200"/>
        <w:rPr>
          <w:rFonts w:ascii="仿宋" w:hAnsi="仿宋" w:eastAsia="仿宋"/>
          <w:snapToGrid w:val="0"/>
          <w:color w:val="auto"/>
          <w:sz w:val="30"/>
          <w:szCs w:val="30"/>
        </w:rPr>
      </w:pPr>
      <w:r>
        <w:rPr>
          <w:rFonts w:hint="eastAsia" w:ascii="仿宋" w:hAnsi="仿宋" w:eastAsia="仿宋"/>
          <w:snapToGrid w:val="0"/>
          <w:color w:val="auto"/>
          <w:sz w:val="30"/>
          <w:szCs w:val="30"/>
        </w:rPr>
        <w:t>2.履约保证金元。[履约保证金交至采购人处，在合同约定交货验收合格满（   ）个月之日起5个工作日内无息退还]</w:t>
      </w:r>
    </w:p>
    <w:p w14:paraId="7CAF112C">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七、项目工期及实施地点</w:t>
      </w:r>
    </w:p>
    <w:p w14:paraId="1DBF4F93">
      <w:pPr>
        <w:pStyle w:val="15"/>
        <w:adjustRightInd w:val="0"/>
        <w:snapToGrid w:val="0"/>
        <w:spacing w:beforeLines="0" w:afterLines="0" w:line="460" w:lineRule="exact"/>
        <w:ind w:firstLine="639" w:firstLineChars="213"/>
        <w:rPr>
          <w:rFonts w:ascii="仿宋" w:hAnsi="仿宋" w:eastAsia="仿宋"/>
          <w:bCs/>
          <w:snapToGrid w:val="0"/>
          <w:color w:val="auto"/>
          <w:sz w:val="30"/>
          <w:szCs w:val="30"/>
        </w:rPr>
      </w:pPr>
      <w:r>
        <w:rPr>
          <w:rFonts w:hint="eastAsia" w:ascii="仿宋" w:hAnsi="仿宋" w:eastAsia="仿宋"/>
          <w:bCs/>
          <w:snapToGrid w:val="0"/>
          <w:color w:val="auto"/>
          <w:sz w:val="30"/>
          <w:szCs w:val="30"/>
        </w:rPr>
        <w:t>1.交货期：</w:t>
      </w:r>
    </w:p>
    <w:p w14:paraId="5F5CF1ED">
      <w:pPr>
        <w:pStyle w:val="15"/>
        <w:adjustRightInd w:val="0"/>
        <w:snapToGrid w:val="0"/>
        <w:spacing w:beforeLines="0" w:afterLines="0" w:line="460" w:lineRule="exact"/>
        <w:ind w:firstLine="639" w:firstLineChars="213"/>
        <w:rPr>
          <w:rFonts w:ascii="仿宋" w:hAnsi="仿宋" w:eastAsia="仿宋"/>
          <w:b/>
          <w:snapToGrid w:val="0"/>
          <w:color w:val="auto"/>
          <w:sz w:val="30"/>
          <w:szCs w:val="30"/>
        </w:rPr>
      </w:pPr>
      <w:r>
        <w:rPr>
          <w:rFonts w:hint="eastAsia" w:ascii="仿宋" w:hAnsi="仿宋" w:eastAsia="仿宋"/>
          <w:bCs/>
          <w:snapToGrid w:val="0"/>
          <w:color w:val="auto"/>
          <w:sz w:val="30"/>
          <w:szCs w:val="30"/>
        </w:rPr>
        <w:t>2.实施地点：</w:t>
      </w:r>
    </w:p>
    <w:p w14:paraId="120CBA17">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八、货款支付</w:t>
      </w:r>
    </w:p>
    <w:p w14:paraId="4147F93E">
      <w:pPr>
        <w:spacing w:line="360" w:lineRule="auto"/>
        <w:rPr>
          <w:rFonts w:ascii="仿宋" w:hAnsi="仿宋" w:eastAsia="仿宋"/>
          <w:bCs/>
          <w:snapToGrid w:val="0"/>
          <w:color w:val="auto"/>
          <w:sz w:val="30"/>
          <w:szCs w:val="30"/>
        </w:rPr>
      </w:pPr>
      <w:r>
        <w:rPr>
          <w:rFonts w:hint="eastAsia" w:ascii="仿宋" w:hAnsi="仿宋" w:eastAsia="仿宋"/>
          <w:bCs/>
          <w:snapToGrid w:val="0"/>
          <w:color w:val="auto"/>
          <w:sz w:val="30"/>
          <w:szCs w:val="30"/>
        </w:rPr>
        <w:t xml:space="preserve"> 付款方式：详见商务要求表</w:t>
      </w:r>
    </w:p>
    <w:p w14:paraId="6DE92A22">
      <w:pPr>
        <w:adjustRightInd w:val="0"/>
        <w:snapToGrid w:val="0"/>
        <w:spacing w:line="460" w:lineRule="exact"/>
        <w:ind w:firstLine="641" w:firstLineChars="213"/>
        <w:rPr>
          <w:rFonts w:ascii="仿宋" w:hAnsi="仿宋" w:eastAsia="仿宋"/>
          <w:b/>
          <w:snapToGrid w:val="0"/>
          <w:color w:val="auto"/>
          <w:kern w:val="0"/>
          <w:sz w:val="30"/>
          <w:szCs w:val="30"/>
        </w:rPr>
      </w:pPr>
      <w:r>
        <w:rPr>
          <w:rFonts w:hint="eastAsia" w:ascii="仿宋" w:hAnsi="仿宋" w:eastAsia="仿宋"/>
          <w:b/>
          <w:snapToGrid w:val="0"/>
          <w:color w:val="auto"/>
          <w:kern w:val="0"/>
          <w:sz w:val="30"/>
          <w:szCs w:val="30"/>
        </w:rPr>
        <w:t>九、税费</w:t>
      </w:r>
    </w:p>
    <w:p w14:paraId="04097907">
      <w:pPr>
        <w:adjustRightInd w:val="0"/>
        <w:snapToGrid w:val="0"/>
        <w:spacing w:line="460" w:lineRule="exact"/>
        <w:ind w:firstLine="639" w:firstLineChars="213"/>
        <w:rPr>
          <w:rFonts w:ascii="仿宋" w:hAnsi="仿宋" w:eastAsia="仿宋"/>
          <w:snapToGrid w:val="0"/>
          <w:color w:val="auto"/>
          <w:kern w:val="0"/>
          <w:sz w:val="30"/>
          <w:szCs w:val="30"/>
        </w:rPr>
      </w:pPr>
      <w:r>
        <w:rPr>
          <w:rFonts w:hint="eastAsia" w:ascii="仿宋" w:hAnsi="仿宋" w:eastAsia="仿宋"/>
          <w:snapToGrid w:val="0"/>
          <w:color w:val="auto"/>
          <w:kern w:val="0"/>
          <w:sz w:val="30"/>
          <w:szCs w:val="30"/>
        </w:rPr>
        <w:t>本合同执行中相关的一切税费均由乙方负担。</w:t>
      </w:r>
    </w:p>
    <w:p w14:paraId="22365711">
      <w:pPr>
        <w:pStyle w:val="15"/>
        <w:adjustRightInd w:val="0"/>
        <w:snapToGrid w:val="0"/>
        <w:spacing w:beforeLines="0" w:afterLines="0" w:line="460" w:lineRule="exact"/>
        <w:ind w:firstLine="596" w:firstLineChars="198"/>
        <w:rPr>
          <w:rFonts w:ascii="仿宋" w:hAnsi="仿宋" w:eastAsia="仿宋"/>
          <w:snapToGrid w:val="0"/>
          <w:color w:val="auto"/>
          <w:sz w:val="30"/>
          <w:szCs w:val="30"/>
        </w:rPr>
      </w:pPr>
      <w:r>
        <w:rPr>
          <w:rFonts w:hint="eastAsia" w:ascii="仿宋" w:hAnsi="仿宋" w:eastAsia="仿宋"/>
          <w:b/>
          <w:snapToGrid w:val="0"/>
          <w:color w:val="auto"/>
          <w:sz w:val="30"/>
          <w:szCs w:val="30"/>
        </w:rPr>
        <w:t>十、质量保证及售后服务</w:t>
      </w:r>
    </w:p>
    <w:p w14:paraId="4BED257C">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详见招标文件。</w:t>
      </w:r>
    </w:p>
    <w:p w14:paraId="6B7FB598">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十一、调试和验收</w:t>
      </w:r>
    </w:p>
    <w:p w14:paraId="6131CF90">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详见招标文件、投标文件。</w:t>
      </w:r>
    </w:p>
    <w:p w14:paraId="35775644">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十二、货物包装</w:t>
      </w:r>
    </w:p>
    <w:p w14:paraId="5E5A6858">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详见招标文件、投标文件。</w:t>
      </w:r>
    </w:p>
    <w:p w14:paraId="6F904180">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十三、违约责任</w:t>
      </w:r>
    </w:p>
    <w:p w14:paraId="4E3882A4">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1.甲方无正当理由拒收验收项目的，甲方向乙方偿付拒收合同总价的百分之五违约金。</w:t>
      </w:r>
    </w:p>
    <w:p w14:paraId="6A6611B9">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2. 甲方收到乙方提供的发票，结合验收情况，验收合格的，在15日内将采购资金支付到乙方约定账户。</w:t>
      </w:r>
    </w:p>
    <w:p w14:paraId="1D30ABAF">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甲方无故逾期验收和办理合同款项支付手续的,甲方应按逾期付款总额每日万分之五向乙方支付违约金。</w:t>
      </w:r>
    </w:p>
    <w:p w14:paraId="32DC999E">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3.乙方逾期交付项目的，乙方应按逾期交付项目总额每日千分之六向甲方支付违约金，由甲方从合同款项中扣除。逾期超过约定日期10个工作日不能交付的，甲方可解除本合同。乙方因逾期交付或因其他违约行为导致甲方解除合同的，乙方应向甲方支付合同总值5%的违约金，如造成甲方损失超过违约金的，超出部分由乙方继续承担赔偿责任。 </w:t>
      </w:r>
    </w:p>
    <w:p w14:paraId="4F6C7CC7">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4.乙方所交的货物品种、型号、规格、技术参数、质量不符合合同规定及招标文件规定标准的，甲方有权拒收该货物，乙方愿意更换货物但逾期交货的，按乙方逾期交货处理。乙方拒绝更换货物的，甲方可单方面解除合同。</w:t>
      </w:r>
    </w:p>
    <w:p w14:paraId="4EE8B6CA">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5.解除合同应按《浙江省政府采购合同暂行办法》向财政备案。</w:t>
      </w:r>
    </w:p>
    <w:p w14:paraId="59482D27">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十四、不可抗力事件处理</w:t>
      </w:r>
    </w:p>
    <w:p w14:paraId="5E3A2BDA">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1.在合同有效期内，任何一方因不可抗力事件导致不能履行合同，则合同履行期可延长，其延长期与不可抗力影响期相同。</w:t>
      </w:r>
    </w:p>
    <w:p w14:paraId="512E8246">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2.不可抗力事件发生后，应立即通知对方，并寄送有关权威机构出具的证明。</w:t>
      </w:r>
    </w:p>
    <w:p w14:paraId="05F72E96">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3.不可抗力事件延续120天以上，双方应通过友好协商，确定是否继续履行合同。</w:t>
      </w:r>
    </w:p>
    <w:p w14:paraId="0A04F0D8">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十五、诉讼</w:t>
      </w:r>
    </w:p>
    <w:p w14:paraId="033B4BF2">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双方在执行合同中所发生的一切争议，应通过协商解决。如协商不成，可向甲方所在地法院起诉。</w:t>
      </w:r>
    </w:p>
    <w:p w14:paraId="24C3A9B2">
      <w:pPr>
        <w:pStyle w:val="15"/>
        <w:adjustRightInd w:val="0"/>
        <w:snapToGrid w:val="0"/>
        <w:spacing w:beforeLines="0" w:afterLines="0" w:line="460" w:lineRule="exact"/>
        <w:ind w:firstLine="641" w:firstLineChars="213"/>
        <w:rPr>
          <w:rFonts w:ascii="仿宋" w:hAnsi="仿宋" w:eastAsia="仿宋"/>
          <w:b/>
          <w:snapToGrid w:val="0"/>
          <w:color w:val="auto"/>
          <w:sz w:val="30"/>
          <w:szCs w:val="30"/>
        </w:rPr>
      </w:pPr>
      <w:r>
        <w:rPr>
          <w:rFonts w:hint="eastAsia" w:ascii="仿宋" w:hAnsi="仿宋" w:eastAsia="仿宋"/>
          <w:b/>
          <w:snapToGrid w:val="0"/>
          <w:color w:val="auto"/>
          <w:sz w:val="30"/>
          <w:szCs w:val="30"/>
        </w:rPr>
        <w:t>十六、合同生效及其它</w:t>
      </w:r>
    </w:p>
    <w:p w14:paraId="22814A3F">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1.合同经甲、乙两方签名并加盖单位公章后生效。</w:t>
      </w:r>
    </w:p>
    <w:p w14:paraId="0C652912">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2.合同执行中涉及采购资金和采购内容修改或补充的，须双方经财政部门审批，并签订书面补充协议，经报政府采购监督管理部门备案后，方可作为主合同不可分割的一部分。</w:t>
      </w:r>
    </w:p>
    <w:p w14:paraId="4EAF2C87">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3.招标文件、投标文件与本合同具有同等法律效力。</w:t>
      </w:r>
    </w:p>
    <w:p w14:paraId="239439B8">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4.对于通过预留采购项目、预留专门标项、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14:paraId="0058774B">
      <w:pPr>
        <w:pStyle w:val="15"/>
        <w:adjustRightInd w:val="0"/>
        <w:snapToGrid w:val="0"/>
        <w:spacing w:beforeLines="0" w:afterLines="0" w:line="460" w:lineRule="exact"/>
        <w:ind w:firstLine="600" w:firstLineChars="200"/>
        <w:rPr>
          <w:rFonts w:ascii="仿宋" w:hAnsi="仿宋" w:eastAsia="仿宋"/>
          <w:snapToGrid w:val="0"/>
          <w:color w:val="auto"/>
          <w:sz w:val="30"/>
          <w:szCs w:val="30"/>
        </w:rPr>
      </w:pPr>
      <w:r>
        <w:rPr>
          <w:rFonts w:hint="eastAsia" w:ascii="仿宋" w:hAnsi="仿宋" w:eastAsia="仿宋"/>
          <w:snapToGrid w:val="0"/>
          <w:color w:val="auto"/>
          <w:sz w:val="30"/>
          <w:szCs w:val="30"/>
        </w:rPr>
        <w:t>5.本合同未尽事宜，遵照《中华人民共和国民法典》有关条文执行。</w:t>
      </w:r>
    </w:p>
    <w:p w14:paraId="4255FEE4">
      <w:pPr>
        <w:pStyle w:val="15"/>
        <w:adjustRightInd w:val="0"/>
        <w:snapToGrid w:val="0"/>
        <w:spacing w:before="120" w:beforeLines="0" w:afterLines="0" w:line="460" w:lineRule="exact"/>
        <w:ind w:firstLine="600" w:firstLineChars="200"/>
        <w:rPr>
          <w:rFonts w:ascii="仿宋" w:hAnsi="仿宋" w:eastAsia="仿宋"/>
          <w:snapToGrid w:val="0"/>
          <w:color w:val="auto"/>
          <w:sz w:val="30"/>
          <w:szCs w:val="30"/>
        </w:rPr>
      </w:pPr>
      <w:r>
        <w:rPr>
          <w:rFonts w:hint="eastAsia" w:ascii="仿宋" w:hAnsi="仿宋" w:eastAsia="仿宋"/>
          <w:snapToGrid w:val="0"/>
          <w:color w:val="auto"/>
          <w:sz w:val="30"/>
          <w:szCs w:val="30"/>
        </w:rPr>
        <w:t>6.本合同一式四份，具有同等法律效力，甲、乙两方各执二份。</w:t>
      </w:r>
    </w:p>
    <w:p w14:paraId="397B6EC8">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p>
    <w:p w14:paraId="64EDE125">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甲方（盖章）：                                   </w:t>
      </w:r>
    </w:p>
    <w:p w14:paraId="0AFEC2A5">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地址：                                   </w:t>
      </w:r>
    </w:p>
    <w:p w14:paraId="67984679">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法定（授权）代表人：                   </w:t>
      </w:r>
    </w:p>
    <w:p w14:paraId="09BCD9D5">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签名日期：     年   月   日           </w:t>
      </w:r>
    </w:p>
    <w:p w14:paraId="7FD0B61C">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p>
    <w:p w14:paraId="03F31D00">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乙方（盖章）：</w:t>
      </w:r>
    </w:p>
    <w:p w14:paraId="34E30A8C">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 xml:space="preserve">地址： </w:t>
      </w:r>
    </w:p>
    <w:p w14:paraId="17AA9194">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开户行：</w:t>
      </w:r>
    </w:p>
    <w:p w14:paraId="6B2DE274">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开户账号：</w:t>
      </w:r>
    </w:p>
    <w:p w14:paraId="3CB213E8">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法定（授权）代表人：</w:t>
      </w:r>
    </w:p>
    <w:p w14:paraId="7222B4B1">
      <w:pPr>
        <w:pStyle w:val="15"/>
        <w:adjustRightInd w:val="0"/>
        <w:snapToGrid w:val="0"/>
        <w:spacing w:beforeLines="0" w:afterLines="0" w:line="460" w:lineRule="exact"/>
        <w:ind w:firstLine="639" w:firstLineChars="213"/>
        <w:rPr>
          <w:rFonts w:ascii="仿宋" w:hAnsi="仿宋" w:eastAsia="仿宋"/>
          <w:snapToGrid w:val="0"/>
          <w:color w:val="auto"/>
          <w:sz w:val="30"/>
          <w:szCs w:val="30"/>
        </w:rPr>
      </w:pPr>
      <w:r>
        <w:rPr>
          <w:rFonts w:hint="eastAsia" w:ascii="仿宋" w:hAnsi="仿宋" w:eastAsia="仿宋"/>
          <w:snapToGrid w:val="0"/>
          <w:color w:val="auto"/>
          <w:sz w:val="30"/>
          <w:szCs w:val="30"/>
        </w:rPr>
        <w:t>签名日期：      年   月   日</w:t>
      </w:r>
    </w:p>
    <w:p w14:paraId="6B4A00D7">
      <w:pPr>
        <w:snapToGrid w:val="0"/>
        <w:spacing w:line="500" w:lineRule="exact"/>
        <w:ind w:left="559" w:leftChars="266"/>
        <w:rPr>
          <w:rFonts w:ascii="Times New Roman" w:hAnsi="Times New Roman" w:eastAsia="仿宋"/>
          <w:snapToGrid w:val="0"/>
          <w:color w:val="auto"/>
          <w:sz w:val="32"/>
          <w:szCs w:val="32"/>
        </w:rPr>
      </w:pPr>
    </w:p>
    <w:p w14:paraId="0CDF46CB">
      <w:pPr>
        <w:rPr>
          <w:rFonts w:ascii="Times New Roman" w:hAnsi="Times New Roman" w:eastAsia="仿宋"/>
          <w:snapToGrid w:val="0"/>
          <w:color w:val="auto"/>
          <w:sz w:val="32"/>
          <w:szCs w:val="32"/>
        </w:rPr>
      </w:pPr>
    </w:p>
    <w:bookmarkEnd w:id="32"/>
    <w:bookmarkEnd w:id="33"/>
    <w:bookmarkEnd w:id="34"/>
    <w:p w14:paraId="1A985516">
      <w:pPr>
        <w:pageBreakBefore/>
        <w:spacing w:before="240" w:beforeLines="100"/>
        <w:jc w:val="center"/>
        <w:outlineLvl w:val="0"/>
        <w:rPr>
          <w:rFonts w:ascii="仿宋_GB2312" w:eastAsia="仿宋_GB2312"/>
          <w:b/>
          <w:bCs/>
          <w:color w:val="auto"/>
          <w:kern w:val="0"/>
          <w:sz w:val="36"/>
          <w:szCs w:val="36"/>
        </w:rPr>
      </w:pPr>
      <w:bookmarkStart w:id="35" w:name="_Toc23530"/>
      <w:bookmarkStart w:id="36" w:name="_Toc1487369185"/>
      <w:bookmarkStart w:id="37" w:name="_Toc22074"/>
      <w:r>
        <w:rPr>
          <w:rFonts w:hint="eastAsia" w:ascii="仿宋_GB2312" w:eastAsia="仿宋_GB2312"/>
          <w:b/>
          <w:bCs/>
          <w:color w:val="auto"/>
          <w:kern w:val="0"/>
          <w:sz w:val="36"/>
          <w:szCs w:val="36"/>
        </w:rPr>
        <w:t>第六章  投标文件格式附件</w:t>
      </w:r>
      <w:bookmarkEnd w:id="35"/>
      <w:bookmarkEnd w:id="36"/>
      <w:bookmarkEnd w:id="37"/>
    </w:p>
    <w:p w14:paraId="75C3E489">
      <w:pPr>
        <w:snapToGrid w:val="0"/>
        <w:jc w:val="center"/>
        <w:rPr>
          <w:rFonts w:eastAsia="仿宋_GB2312"/>
          <w:b/>
          <w:color w:val="auto"/>
          <w:sz w:val="36"/>
          <w:szCs w:val="36"/>
        </w:rPr>
      </w:pPr>
    </w:p>
    <w:p w14:paraId="2ACBBA20">
      <w:pPr>
        <w:snapToGrid w:val="0"/>
        <w:jc w:val="center"/>
        <w:rPr>
          <w:rFonts w:eastAsia="仿宋_GB2312"/>
          <w:b/>
          <w:color w:val="auto"/>
          <w:sz w:val="36"/>
          <w:szCs w:val="36"/>
        </w:rPr>
      </w:pPr>
    </w:p>
    <w:p w14:paraId="1365F014">
      <w:pPr>
        <w:snapToGrid w:val="0"/>
        <w:jc w:val="center"/>
        <w:rPr>
          <w:rFonts w:ascii="Times New Roman" w:hAnsi="Times New Roman" w:eastAsia="仿宋_GB2312"/>
          <w:b/>
          <w:color w:val="auto"/>
          <w:sz w:val="36"/>
          <w:szCs w:val="36"/>
        </w:rPr>
      </w:pPr>
    </w:p>
    <w:p w14:paraId="22C29E7E">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附件1</w:t>
      </w:r>
    </w:p>
    <w:p w14:paraId="2D5AE236">
      <w:pPr>
        <w:ind w:right="-110"/>
        <w:jc w:val="center"/>
        <w:rPr>
          <w:rFonts w:ascii="Times New Roman" w:hAnsi="Times New Roman" w:eastAsia="仿宋_GB2312"/>
          <w:color w:val="auto"/>
          <w:spacing w:val="40"/>
          <w:sz w:val="52"/>
          <w:szCs w:val="52"/>
        </w:rPr>
      </w:pPr>
      <w:r>
        <w:rPr>
          <w:rFonts w:hint="eastAsia" w:ascii="Times New Roman" w:hAnsi="Times New Roman" w:eastAsia="仿宋_GB2312"/>
          <w:color w:val="auto"/>
          <w:spacing w:val="40"/>
          <w:sz w:val="52"/>
          <w:szCs w:val="52"/>
        </w:rPr>
        <w:t>《浙江省中学实验仪器设备购置项目》第二批采购项目（湖州）</w:t>
      </w:r>
    </w:p>
    <w:p w14:paraId="72E967CE">
      <w:pPr>
        <w:spacing w:before="240" w:beforeLines="100" w:line="240" w:lineRule="atLeast"/>
        <w:ind w:right="-108"/>
        <w:jc w:val="center"/>
        <w:rPr>
          <w:rFonts w:ascii="Times New Roman" w:hAnsi="Times New Roman" w:eastAsia="仿宋_GB2312"/>
          <w:color w:val="auto"/>
          <w:sz w:val="36"/>
          <w:szCs w:val="36"/>
        </w:rPr>
      </w:pPr>
      <w:r>
        <w:rPr>
          <w:rFonts w:hint="eastAsia" w:ascii="Times New Roman" w:hAnsi="Times New Roman" w:eastAsia="仿宋_GB2312"/>
          <w:color w:val="auto"/>
          <w:sz w:val="36"/>
          <w:szCs w:val="36"/>
        </w:rPr>
        <w:t>项目编号：2026-SJYT-11</w:t>
      </w:r>
      <w:r>
        <w:rPr>
          <w:rFonts w:ascii="Times New Roman" w:hAnsi="Times New Roman" w:eastAsia="仿宋_GB2312"/>
          <w:b/>
          <w:color w:val="auto"/>
          <w:sz w:val="36"/>
          <w:szCs w:val="36"/>
        </w:rPr>
        <w:t xml:space="preserve">   </w:t>
      </w:r>
      <w:r>
        <w:rPr>
          <w:rFonts w:hint="eastAsia" w:ascii="Times New Roman" w:hAnsi="Times New Roman" w:eastAsia="仿宋_GB2312"/>
          <w:b/>
          <w:color w:val="auto"/>
          <w:sz w:val="36"/>
          <w:szCs w:val="36"/>
        </w:rPr>
        <w:t xml:space="preserve"> </w:t>
      </w:r>
      <w:r>
        <w:rPr>
          <w:rFonts w:hint="eastAsia" w:ascii="Times New Roman" w:hAnsi="Times New Roman" w:eastAsia="仿宋_GB2312"/>
          <w:color w:val="auto"/>
          <w:sz w:val="36"/>
          <w:szCs w:val="36"/>
        </w:rPr>
        <w:t>标项***</w:t>
      </w:r>
    </w:p>
    <w:p w14:paraId="4DA79E39">
      <w:pPr>
        <w:ind w:right="-108"/>
        <w:jc w:val="center"/>
        <w:rPr>
          <w:rFonts w:ascii="Times New Roman" w:hAnsi="Times New Roman" w:eastAsia="仿宋_GB2312"/>
          <w:b/>
          <w:color w:val="auto"/>
          <w:spacing w:val="40"/>
          <w:sz w:val="84"/>
          <w:szCs w:val="84"/>
        </w:rPr>
      </w:pPr>
    </w:p>
    <w:p w14:paraId="2B00CD25">
      <w:pPr>
        <w:spacing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资</w:t>
      </w:r>
    </w:p>
    <w:p w14:paraId="79500717">
      <w:pPr>
        <w:spacing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质</w:t>
      </w:r>
    </w:p>
    <w:p w14:paraId="41FCADB7">
      <w:pPr>
        <w:spacing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文</w:t>
      </w:r>
    </w:p>
    <w:p w14:paraId="6FDCF303">
      <w:pPr>
        <w:spacing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件</w:t>
      </w:r>
    </w:p>
    <w:p w14:paraId="1B6EFDBA">
      <w:pPr>
        <w:spacing w:line="520" w:lineRule="exact"/>
        <w:ind w:right="533"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单位全称（公章）：</w:t>
      </w:r>
    </w:p>
    <w:p w14:paraId="68F859D4">
      <w:pPr>
        <w:spacing w:line="520" w:lineRule="exact"/>
        <w:ind w:right="533"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授权代表姓名：</w:t>
      </w:r>
    </w:p>
    <w:p w14:paraId="6ACEF908">
      <w:pPr>
        <w:spacing w:line="520" w:lineRule="exact"/>
        <w:ind w:right="533"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地    址：</w:t>
      </w:r>
    </w:p>
    <w:p w14:paraId="5A2136CD">
      <w:pPr>
        <w:spacing w:line="520" w:lineRule="exact"/>
        <w:ind w:right="533"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时    间：</w:t>
      </w:r>
    </w:p>
    <w:p w14:paraId="715DA9ED">
      <w:pPr>
        <w:pageBreakBefore/>
        <w:snapToGrid w:val="0"/>
        <w:spacing w:before="50" w:after="50" w:line="480" w:lineRule="exact"/>
        <w:ind w:firstLine="643" w:firstLineChars="200"/>
        <w:rPr>
          <w:rFonts w:ascii="Times New Roman" w:hAnsi="Times New Roman" w:eastAsia="仿宋_GB2312"/>
          <w:b/>
          <w:bCs/>
          <w:color w:val="auto"/>
          <w:sz w:val="32"/>
          <w:szCs w:val="32"/>
        </w:rPr>
      </w:pPr>
      <w:r>
        <w:rPr>
          <w:rFonts w:hint="eastAsia" w:ascii="Times New Roman" w:hAnsi="Times New Roman" w:eastAsia="仿宋_GB2312"/>
          <w:b/>
          <w:color w:val="auto"/>
          <w:sz w:val="32"/>
          <w:szCs w:val="32"/>
        </w:rPr>
        <w:t>一、</w:t>
      </w:r>
      <w:r>
        <w:rPr>
          <w:rFonts w:hint="eastAsia" w:ascii="Times New Roman" w:hAnsi="Times New Roman" w:eastAsia="仿宋_GB2312"/>
          <w:b/>
          <w:bCs/>
          <w:color w:val="auto"/>
          <w:sz w:val="32"/>
          <w:szCs w:val="32"/>
        </w:rPr>
        <w:t>资质文件目录</w:t>
      </w:r>
    </w:p>
    <w:p w14:paraId="7F0224B5">
      <w:pPr>
        <w:tabs>
          <w:tab w:val="center" w:pos="4478"/>
        </w:tabs>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（一）投标声明书（见附件2）；</w:t>
      </w:r>
    </w:p>
    <w:p w14:paraId="0F3C8EF5">
      <w:pPr>
        <w:snapToGrid w:val="0"/>
        <w:spacing w:line="480" w:lineRule="exact"/>
        <w:ind w:firstLine="588" w:firstLineChars="196"/>
        <w:rPr>
          <w:rFonts w:ascii="Times New Roman" w:hAnsi="Times New Roman" w:eastAsia="仿宋_GB2312"/>
          <w:color w:val="auto"/>
          <w:sz w:val="30"/>
          <w:szCs w:val="30"/>
        </w:rPr>
      </w:pPr>
      <w:r>
        <w:rPr>
          <w:rFonts w:hint="eastAsia" w:ascii="Times New Roman" w:hAnsi="Times New Roman" w:eastAsia="仿宋_GB2312"/>
          <w:color w:val="auto"/>
          <w:sz w:val="30"/>
          <w:szCs w:val="30"/>
        </w:rPr>
        <w:t>（二）法定代表人授权委托书（</w:t>
      </w:r>
      <w:r>
        <w:rPr>
          <w:rFonts w:hint="eastAsia" w:ascii="仿宋" w:hAnsi="仿宋" w:eastAsia="仿宋"/>
          <w:color w:val="auto"/>
          <w:sz w:val="30"/>
          <w:szCs w:val="30"/>
        </w:rPr>
        <w:t>以非联合体形式投标的提供，格式见附件3</w:t>
      </w:r>
      <w:r>
        <w:rPr>
          <w:rFonts w:ascii="仿宋" w:hAnsi="仿宋" w:eastAsia="仿宋"/>
          <w:color w:val="auto"/>
          <w:sz w:val="30"/>
          <w:szCs w:val="30"/>
        </w:rPr>
        <w:t>-1</w:t>
      </w:r>
      <w:r>
        <w:rPr>
          <w:rFonts w:hint="eastAsia" w:ascii="仿宋" w:hAnsi="仿宋" w:eastAsia="仿宋"/>
          <w:color w:val="auto"/>
          <w:sz w:val="30"/>
          <w:szCs w:val="30"/>
        </w:rPr>
        <w:t>）或法定代表人身份证明（法定代表人代表响应方投标的提供，格式见附件3</w:t>
      </w:r>
      <w:r>
        <w:rPr>
          <w:rFonts w:ascii="仿宋" w:hAnsi="仿宋" w:eastAsia="仿宋"/>
          <w:color w:val="auto"/>
          <w:sz w:val="30"/>
          <w:szCs w:val="30"/>
        </w:rPr>
        <w:t>-2</w:t>
      </w:r>
      <w:r>
        <w:rPr>
          <w:rFonts w:hint="eastAsia" w:ascii="仿宋" w:hAnsi="仿宋" w:eastAsia="仿宋"/>
          <w:color w:val="auto"/>
          <w:sz w:val="30"/>
          <w:szCs w:val="30"/>
        </w:rPr>
        <w:t>）</w:t>
      </w:r>
      <w:r>
        <w:rPr>
          <w:rFonts w:hint="eastAsia" w:ascii="Times New Roman" w:hAnsi="Times New Roman" w:eastAsia="仿宋_GB2312"/>
          <w:color w:val="auto"/>
          <w:sz w:val="30"/>
          <w:szCs w:val="30"/>
        </w:rPr>
        <w:t>；</w:t>
      </w:r>
    </w:p>
    <w:p w14:paraId="46C8D7A7">
      <w:pPr>
        <w:snapToGrid w:val="0"/>
        <w:spacing w:line="480" w:lineRule="exact"/>
        <w:ind w:firstLine="588" w:firstLineChars="196"/>
        <w:rPr>
          <w:rFonts w:ascii="Times New Roman" w:hAnsi="Times New Roman" w:eastAsia="仿宋_GB2312"/>
          <w:color w:val="auto"/>
          <w:sz w:val="30"/>
          <w:szCs w:val="30"/>
        </w:rPr>
      </w:pPr>
      <w:r>
        <w:rPr>
          <w:rFonts w:hint="eastAsia" w:ascii="Times New Roman" w:hAnsi="Times New Roman" w:eastAsia="仿宋_GB2312"/>
          <w:color w:val="auto"/>
          <w:sz w:val="30"/>
          <w:szCs w:val="30"/>
        </w:rPr>
        <w:t>（三）提供符合要求的营业执照复印件并加盖投标人公章；事业单位的，则提供有效的《事业单位法人证书》副本复印件并加盖投标人公章；</w:t>
      </w:r>
      <w:r>
        <w:rPr>
          <w:rFonts w:hint="eastAsia" w:ascii="仿宋_GB2312" w:hAnsi="仿宋" w:eastAsia="仿宋_GB2312"/>
          <w:color w:val="auto"/>
          <w:sz w:val="30"/>
          <w:szCs w:val="30"/>
        </w:rPr>
        <w:t>社会团体法人的，则提供有效的《社会团体法人登记证书》副本复印件并加盖单位公章；</w:t>
      </w:r>
      <w:r>
        <w:rPr>
          <w:rFonts w:hint="eastAsia" w:ascii="Times New Roman" w:hAnsi="Times New Roman" w:eastAsia="仿宋_GB2312"/>
          <w:color w:val="auto"/>
          <w:sz w:val="30"/>
          <w:szCs w:val="30"/>
        </w:rPr>
        <w:t>自然人的，则提供有效的身份证复印件并签字；</w:t>
      </w:r>
    </w:p>
    <w:p w14:paraId="385D17C6">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（四）联合投标协议书（</w:t>
      </w:r>
      <w:r>
        <w:rPr>
          <w:rFonts w:hint="eastAsia" w:ascii="仿宋" w:hAnsi="仿宋" w:eastAsia="仿宋"/>
          <w:color w:val="auto"/>
          <w:sz w:val="30"/>
          <w:szCs w:val="30"/>
        </w:rPr>
        <w:t>以联合体形式响应的须提供</w:t>
      </w:r>
      <w:r>
        <w:rPr>
          <w:rFonts w:hint="eastAsia" w:ascii="Times New Roman" w:hAnsi="Times New Roman" w:eastAsia="仿宋_GB2312"/>
          <w:color w:val="auto"/>
          <w:sz w:val="30"/>
          <w:szCs w:val="30"/>
        </w:rPr>
        <w:t>，格式见附件</w:t>
      </w:r>
      <w:r>
        <w:rPr>
          <w:rFonts w:ascii="Times New Roman" w:hAnsi="Times New Roman" w:eastAsia="仿宋_GB2312"/>
          <w:color w:val="auto"/>
          <w:sz w:val="30"/>
          <w:szCs w:val="30"/>
        </w:rPr>
        <w:t>4</w:t>
      </w:r>
      <w:r>
        <w:rPr>
          <w:rFonts w:hint="eastAsia" w:ascii="Times New Roman" w:hAnsi="Times New Roman" w:eastAsia="仿宋_GB2312"/>
          <w:color w:val="auto"/>
          <w:sz w:val="30"/>
          <w:szCs w:val="30"/>
        </w:rPr>
        <w:t>）；</w:t>
      </w:r>
    </w:p>
    <w:p w14:paraId="1B6AC082">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（五）联合投标授权委托书（</w:t>
      </w:r>
      <w:r>
        <w:rPr>
          <w:rFonts w:hint="eastAsia" w:ascii="仿宋" w:hAnsi="仿宋" w:eastAsia="仿宋"/>
          <w:color w:val="auto"/>
          <w:sz w:val="30"/>
          <w:szCs w:val="30"/>
        </w:rPr>
        <w:t>以联合体形式响应的须提供</w:t>
      </w:r>
      <w:r>
        <w:rPr>
          <w:rFonts w:hint="eastAsia" w:ascii="Times New Roman" w:hAnsi="Times New Roman" w:eastAsia="仿宋_GB2312"/>
          <w:color w:val="auto"/>
          <w:sz w:val="30"/>
          <w:szCs w:val="30"/>
        </w:rPr>
        <w:t>，格式见附件</w:t>
      </w:r>
      <w:r>
        <w:rPr>
          <w:rFonts w:ascii="Times New Roman" w:hAnsi="Times New Roman" w:eastAsia="仿宋_GB2312"/>
          <w:color w:val="auto"/>
          <w:sz w:val="30"/>
          <w:szCs w:val="30"/>
        </w:rPr>
        <w:t>5</w:t>
      </w:r>
      <w:r>
        <w:rPr>
          <w:rFonts w:hint="eastAsia" w:ascii="Times New Roman" w:hAnsi="Times New Roman" w:eastAsia="仿宋_GB2312"/>
          <w:color w:val="auto"/>
          <w:sz w:val="30"/>
          <w:szCs w:val="30"/>
        </w:rPr>
        <w:t>）；</w:t>
      </w:r>
    </w:p>
    <w:p w14:paraId="7BB3F551">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（六）分包意向协议（</w:t>
      </w:r>
      <w:r>
        <w:rPr>
          <w:rFonts w:hint="eastAsia" w:ascii="仿宋" w:hAnsi="仿宋" w:eastAsia="仿宋"/>
          <w:color w:val="auto"/>
          <w:sz w:val="30"/>
          <w:szCs w:val="30"/>
        </w:rPr>
        <w:t>以分包方式履行合同的须提供</w:t>
      </w:r>
      <w:r>
        <w:rPr>
          <w:rFonts w:hint="eastAsia" w:ascii="Times New Roman" w:hAnsi="Times New Roman" w:eastAsia="仿宋_GB2312"/>
          <w:color w:val="auto"/>
          <w:sz w:val="30"/>
          <w:szCs w:val="30"/>
        </w:rPr>
        <w:t>，格式见附件</w:t>
      </w:r>
      <w:r>
        <w:rPr>
          <w:rFonts w:ascii="Times New Roman" w:hAnsi="Times New Roman" w:eastAsia="仿宋_GB2312"/>
          <w:color w:val="auto"/>
          <w:sz w:val="30"/>
          <w:szCs w:val="30"/>
        </w:rPr>
        <w:t>6</w:t>
      </w:r>
      <w:r>
        <w:rPr>
          <w:rFonts w:hint="eastAsia" w:ascii="Times New Roman" w:hAnsi="Times New Roman" w:eastAsia="仿宋_GB2312"/>
          <w:color w:val="auto"/>
          <w:sz w:val="30"/>
          <w:szCs w:val="30"/>
        </w:rPr>
        <w:t>）</w:t>
      </w:r>
    </w:p>
    <w:p w14:paraId="16B8718B">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（七）中小企业声明函（若需要，见附件</w:t>
      </w:r>
      <w:r>
        <w:rPr>
          <w:rFonts w:ascii="Times New Roman" w:hAnsi="Times New Roman" w:eastAsia="仿宋_GB2312"/>
          <w:color w:val="auto"/>
          <w:sz w:val="30"/>
          <w:szCs w:val="30"/>
        </w:rPr>
        <w:t>7</w:t>
      </w:r>
      <w:r>
        <w:rPr>
          <w:rFonts w:hint="eastAsia" w:ascii="Times New Roman" w:hAnsi="Times New Roman" w:eastAsia="仿宋_GB2312"/>
          <w:color w:val="auto"/>
          <w:sz w:val="30"/>
          <w:szCs w:val="30"/>
        </w:rPr>
        <w:t>）；</w:t>
      </w:r>
    </w:p>
    <w:p w14:paraId="72ADA2E2">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（八）残疾人福利企业声明函（若需要，见附件</w:t>
      </w:r>
      <w:r>
        <w:rPr>
          <w:rFonts w:ascii="Times New Roman" w:hAnsi="Times New Roman" w:eastAsia="仿宋_GB2312"/>
          <w:color w:val="auto"/>
          <w:sz w:val="30"/>
          <w:szCs w:val="30"/>
        </w:rPr>
        <w:t>8</w:t>
      </w:r>
      <w:r>
        <w:rPr>
          <w:rFonts w:hint="eastAsia" w:ascii="Times New Roman" w:hAnsi="Times New Roman" w:eastAsia="仿宋_GB2312"/>
          <w:color w:val="auto"/>
          <w:sz w:val="30"/>
          <w:szCs w:val="30"/>
        </w:rPr>
        <w:t>）；</w:t>
      </w:r>
    </w:p>
    <w:p w14:paraId="263B418A">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（九）监狱企业声明函（若需要，格式自拟）。</w:t>
      </w:r>
    </w:p>
    <w:p w14:paraId="446A349F">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（十）提供采购公告中符合投标人特定条件要求（若有）的有效的其他资质复印件（加盖投标人公章）及需要说明的资料；</w:t>
      </w:r>
    </w:p>
    <w:p w14:paraId="6D20742E">
      <w:pPr>
        <w:snapToGrid w:val="0"/>
        <w:spacing w:line="480" w:lineRule="exact"/>
        <w:ind w:firstLine="588" w:firstLineChars="196"/>
        <w:rPr>
          <w:rFonts w:ascii="Times New Roman" w:hAnsi="Times New Roman" w:eastAsia="仿宋_GB2312"/>
          <w:color w:val="auto"/>
          <w:sz w:val="30"/>
          <w:szCs w:val="30"/>
        </w:rPr>
      </w:pPr>
      <w:r>
        <w:rPr>
          <w:rFonts w:hint="eastAsia" w:ascii="Times New Roman" w:hAnsi="Times New Roman" w:eastAsia="仿宋_GB2312"/>
          <w:color w:val="auto"/>
          <w:sz w:val="30"/>
          <w:szCs w:val="30"/>
        </w:rPr>
        <w:t>（十一）投标人认为需要的其他文件资料和说明（格式自拟）。</w:t>
      </w:r>
    </w:p>
    <w:p w14:paraId="05774349">
      <w:pPr>
        <w:rPr>
          <w:rFonts w:ascii="Times New Roman" w:hAnsi="Times New Roman" w:eastAsia="仿宋_GB2312"/>
          <w:color w:val="auto"/>
          <w:sz w:val="30"/>
          <w:szCs w:val="30"/>
        </w:rPr>
      </w:pPr>
      <w:r>
        <w:rPr>
          <w:rFonts w:hint="eastAsia" w:ascii="Times New Roman" w:hAnsi="Times New Roman" w:eastAsia="仿宋_GB2312"/>
          <w:color w:val="auto"/>
          <w:sz w:val="30"/>
          <w:szCs w:val="30"/>
        </w:rPr>
        <w:br w:type="page"/>
      </w:r>
    </w:p>
    <w:p w14:paraId="6B50A900">
      <w:pPr>
        <w:snapToGrid w:val="0"/>
        <w:spacing w:line="460" w:lineRule="exact"/>
        <w:ind w:firstLine="446" w:firstLineChars="148"/>
        <w:jc w:val="left"/>
        <w:rPr>
          <w:rFonts w:ascii="仿宋" w:hAnsi="仿宋" w:eastAsia="仿宋"/>
          <w:b/>
          <w:bCs/>
          <w:color w:val="auto"/>
          <w:sz w:val="30"/>
          <w:szCs w:val="30"/>
        </w:rPr>
      </w:pPr>
      <w:r>
        <w:rPr>
          <w:rFonts w:hint="eastAsia" w:ascii="仿宋" w:hAnsi="仿宋" w:eastAsia="仿宋"/>
          <w:b/>
          <w:bCs/>
          <w:color w:val="auto"/>
          <w:sz w:val="30"/>
          <w:szCs w:val="30"/>
        </w:rPr>
        <w:t>▲投标人须知（九）投标无效的情形中“1.投标人未能提供合格的资格文件”包括但不限于下列情形：</w:t>
      </w:r>
    </w:p>
    <w:p w14:paraId="64C631DE">
      <w:pPr>
        <w:snapToGrid w:val="0"/>
        <w:spacing w:line="460" w:lineRule="exact"/>
        <w:ind w:firstLine="446" w:firstLineChars="148"/>
        <w:jc w:val="left"/>
        <w:rPr>
          <w:rFonts w:ascii="仿宋" w:hAnsi="仿宋" w:eastAsia="仿宋"/>
          <w:b/>
          <w:bCs/>
          <w:color w:val="auto"/>
          <w:sz w:val="30"/>
          <w:szCs w:val="30"/>
        </w:rPr>
      </w:pPr>
      <w:r>
        <w:rPr>
          <w:rFonts w:hint="eastAsia" w:ascii="仿宋" w:hAnsi="仿宋" w:eastAsia="仿宋"/>
          <w:b/>
          <w:bCs/>
          <w:color w:val="auto"/>
          <w:sz w:val="30"/>
          <w:szCs w:val="30"/>
        </w:rPr>
        <w:t>1</w:t>
      </w:r>
      <w:r>
        <w:rPr>
          <w:rFonts w:ascii="仿宋" w:hAnsi="仿宋" w:eastAsia="仿宋"/>
          <w:b/>
          <w:bCs/>
          <w:color w:val="auto"/>
          <w:sz w:val="30"/>
          <w:szCs w:val="30"/>
        </w:rPr>
        <w:t>.</w:t>
      </w:r>
      <w:r>
        <w:rPr>
          <w:rFonts w:hint="eastAsia" w:ascii="仿宋" w:hAnsi="仿宋" w:eastAsia="仿宋"/>
          <w:b/>
          <w:bCs/>
          <w:color w:val="auto"/>
          <w:sz w:val="30"/>
          <w:szCs w:val="30"/>
        </w:rPr>
        <w:t>投标声明书：</w:t>
      </w:r>
    </w:p>
    <w:p w14:paraId="08128804">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color w:val="auto"/>
          <w:sz w:val="30"/>
          <w:szCs w:val="30"/>
        </w:rPr>
        <w:t>以非联合体形式投标的，</w:t>
      </w:r>
      <w:r>
        <w:rPr>
          <w:rFonts w:hint="eastAsia" w:ascii="仿宋" w:hAnsi="仿宋" w:eastAsia="仿宋"/>
          <w:bCs/>
          <w:color w:val="auto"/>
          <w:sz w:val="30"/>
          <w:szCs w:val="30"/>
        </w:rPr>
        <w:t>未提供声明书或声明书未盖投标人公章；</w:t>
      </w:r>
    </w:p>
    <w:p w14:paraId="2C9A3B52">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bCs/>
          <w:color w:val="auto"/>
          <w:sz w:val="30"/>
          <w:szCs w:val="30"/>
        </w:rPr>
        <w:t>以</w:t>
      </w:r>
      <w:r>
        <w:rPr>
          <w:rFonts w:hint="eastAsia" w:ascii="仿宋" w:hAnsi="仿宋" w:eastAsia="仿宋"/>
          <w:color w:val="auto"/>
          <w:sz w:val="30"/>
          <w:szCs w:val="30"/>
        </w:rPr>
        <w:t>联合体形式投标的，未分别提供联合体各方声明书</w:t>
      </w:r>
      <w:r>
        <w:rPr>
          <w:rFonts w:hint="eastAsia" w:ascii="仿宋" w:hAnsi="仿宋" w:eastAsia="仿宋"/>
          <w:bCs/>
          <w:color w:val="auto"/>
          <w:sz w:val="30"/>
          <w:szCs w:val="30"/>
        </w:rPr>
        <w:t>或声明书未盖投标人公章</w:t>
      </w:r>
      <w:r>
        <w:rPr>
          <w:rFonts w:hint="eastAsia" w:ascii="仿宋" w:hAnsi="仿宋" w:eastAsia="仿宋"/>
          <w:color w:val="auto"/>
          <w:sz w:val="30"/>
          <w:szCs w:val="30"/>
        </w:rPr>
        <w:t>；</w:t>
      </w:r>
    </w:p>
    <w:p w14:paraId="082F9FE1">
      <w:pPr>
        <w:snapToGrid w:val="0"/>
        <w:spacing w:line="460" w:lineRule="exact"/>
        <w:ind w:firstLine="446" w:firstLineChars="148"/>
        <w:jc w:val="left"/>
        <w:rPr>
          <w:rFonts w:ascii="仿宋" w:hAnsi="仿宋" w:eastAsia="仿宋"/>
          <w:b/>
          <w:color w:val="auto"/>
          <w:sz w:val="30"/>
          <w:szCs w:val="30"/>
        </w:rPr>
      </w:pPr>
      <w:r>
        <w:rPr>
          <w:rFonts w:ascii="仿宋" w:hAnsi="仿宋" w:eastAsia="仿宋"/>
          <w:b/>
          <w:color w:val="auto"/>
          <w:sz w:val="30"/>
          <w:szCs w:val="30"/>
        </w:rPr>
        <w:t>2.</w:t>
      </w:r>
      <w:r>
        <w:rPr>
          <w:rFonts w:hint="eastAsia" w:ascii="仿宋" w:hAnsi="仿宋" w:eastAsia="仿宋"/>
          <w:b/>
          <w:color w:val="auto"/>
          <w:sz w:val="30"/>
          <w:szCs w:val="30"/>
        </w:rPr>
        <w:t>法定代表人授权书或法定代表人身份证明或联合投标授权委托书：</w:t>
      </w:r>
    </w:p>
    <w:p w14:paraId="3831880A">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color w:val="auto"/>
          <w:sz w:val="30"/>
          <w:szCs w:val="30"/>
        </w:rPr>
        <w:t>以非联合体形式投标的，未提供法定代表人授权委托书或委托书</w:t>
      </w:r>
      <w:r>
        <w:rPr>
          <w:rFonts w:hint="eastAsia" w:ascii="仿宋" w:hAnsi="仿宋" w:eastAsia="仿宋"/>
          <w:bCs/>
          <w:color w:val="auto"/>
          <w:sz w:val="30"/>
          <w:szCs w:val="30"/>
        </w:rPr>
        <w:t>无法定代表人签章或未盖投标人公章；</w:t>
      </w:r>
      <w:r>
        <w:rPr>
          <w:rFonts w:hint="eastAsia" w:ascii="仿宋" w:hAnsi="仿宋" w:eastAsia="仿宋"/>
          <w:color w:val="auto"/>
          <w:sz w:val="30"/>
          <w:szCs w:val="30"/>
        </w:rPr>
        <w:t>法定代表人代表投标人投标的，</w:t>
      </w:r>
      <w:r>
        <w:rPr>
          <w:rFonts w:hint="eastAsia" w:ascii="仿宋" w:hAnsi="仿宋" w:eastAsia="仿宋"/>
          <w:bCs/>
          <w:color w:val="auto"/>
          <w:sz w:val="30"/>
          <w:szCs w:val="30"/>
        </w:rPr>
        <w:t>未提供身份证或身份证不在有效期内或未签章；</w:t>
      </w:r>
    </w:p>
    <w:p w14:paraId="5C5C7353">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bCs/>
          <w:color w:val="auto"/>
          <w:sz w:val="30"/>
          <w:szCs w:val="30"/>
        </w:rPr>
        <w:t>以</w:t>
      </w:r>
      <w:r>
        <w:rPr>
          <w:rFonts w:hint="eastAsia" w:ascii="仿宋" w:hAnsi="仿宋" w:eastAsia="仿宋"/>
          <w:color w:val="auto"/>
          <w:sz w:val="30"/>
          <w:szCs w:val="30"/>
        </w:rPr>
        <w:t>联合体形式投标的，未提供联合投标授权委托书或委托书</w:t>
      </w:r>
      <w:r>
        <w:rPr>
          <w:rFonts w:hint="eastAsia" w:ascii="仿宋" w:hAnsi="仿宋" w:eastAsia="仿宋"/>
          <w:bCs/>
          <w:color w:val="auto"/>
          <w:sz w:val="30"/>
          <w:szCs w:val="30"/>
        </w:rPr>
        <w:t>无联合体各方法定代表人签章或未盖联合体各方公章；</w:t>
      </w:r>
    </w:p>
    <w:p w14:paraId="67BCAFE0">
      <w:pPr>
        <w:snapToGrid w:val="0"/>
        <w:spacing w:line="460" w:lineRule="exact"/>
        <w:ind w:firstLine="446" w:firstLineChars="148"/>
        <w:jc w:val="left"/>
        <w:rPr>
          <w:rFonts w:ascii="仿宋" w:hAnsi="仿宋" w:eastAsia="仿宋"/>
          <w:b/>
          <w:bCs/>
          <w:color w:val="auto"/>
          <w:sz w:val="30"/>
          <w:szCs w:val="30"/>
        </w:rPr>
      </w:pPr>
      <w:r>
        <w:rPr>
          <w:rFonts w:hint="eastAsia" w:ascii="仿宋" w:hAnsi="仿宋" w:eastAsia="仿宋"/>
          <w:b/>
          <w:bCs/>
          <w:color w:val="auto"/>
          <w:sz w:val="30"/>
          <w:szCs w:val="30"/>
        </w:rPr>
        <w:t>3</w:t>
      </w:r>
      <w:r>
        <w:rPr>
          <w:rFonts w:ascii="仿宋" w:hAnsi="仿宋" w:eastAsia="仿宋"/>
          <w:b/>
          <w:bCs/>
          <w:color w:val="auto"/>
          <w:sz w:val="30"/>
          <w:szCs w:val="30"/>
        </w:rPr>
        <w:t>.</w:t>
      </w:r>
      <w:r>
        <w:rPr>
          <w:rFonts w:hint="eastAsia" w:ascii="仿宋" w:hAnsi="仿宋" w:eastAsia="仿宋"/>
          <w:b/>
          <w:bCs/>
          <w:color w:val="auto"/>
          <w:sz w:val="30"/>
          <w:szCs w:val="30"/>
        </w:rPr>
        <w:t>营业执照：</w:t>
      </w:r>
    </w:p>
    <w:p w14:paraId="5F99851B">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color w:val="auto"/>
          <w:sz w:val="30"/>
          <w:szCs w:val="30"/>
        </w:rPr>
        <w:t>以非联合体形式投标的，</w:t>
      </w:r>
      <w:r>
        <w:rPr>
          <w:rFonts w:hint="eastAsia" w:ascii="仿宋" w:hAnsi="仿宋" w:eastAsia="仿宋"/>
          <w:bCs/>
          <w:color w:val="auto"/>
          <w:sz w:val="30"/>
          <w:szCs w:val="30"/>
        </w:rPr>
        <w:t>未提供营业执照或营业执照不在有效期内或未盖投标人公章；</w:t>
      </w:r>
    </w:p>
    <w:p w14:paraId="603CA3CA">
      <w:pPr>
        <w:snapToGrid w:val="0"/>
        <w:spacing w:line="460" w:lineRule="exact"/>
        <w:ind w:firstLine="444" w:firstLineChars="148"/>
        <w:jc w:val="left"/>
        <w:rPr>
          <w:rFonts w:ascii="仿宋" w:hAnsi="仿宋" w:eastAsia="仿宋"/>
          <w:color w:val="auto"/>
          <w:sz w:val="30"/>
          <w:szCs w:val="30"/>
        </w:rPr>
      </w:pPr>
      <w:r>
        <w:rPr>
          <w:rFonts w:hint="eastAsia" w:ascii="仿宋" w:hAnsi="仿宋" w:eastAsia="仿宋"/>
          <w:bCs/>
          <w:color w:val="auto"/>
          <w:sz w:val="30"/>
          <w:szCs w:val="30"/>
        </w:rPr>
        <w:t>以</w:t>
      </w:r>
      <w:r>
        <w:rPr>
          <w:rFonts w:hint="eastAsia" w:ascii="仿宋" w:hAnsi="仿宋" w:eastAsia="仿宋"/>
          <w:color w:val="auto"/>
          <w:sz w:val="30"/>
          <w:szCs w:val="30"/>
        </w:rPr>
        <w:t>联合体形式投标的，未提供联合体各方</w:t>
      </w:r>
      <w:r>
        <w:rPr>
          <w:rFonts w:hint="eastAsia" w:ascii="仿宋" w:hAnsi="仿宋" w:eastAsia="仿宋"/>
          <w:bCs/>
          <w:color w:val="auto"/>
          <w:sz w:val="30"/>
          <w:szCs w:val="30"/>
        </w:rPr>
        <w:t>营业执照或营业执照不在有效期内或未盖投标人公章</w:t>
      </w:r>
      <w:r>
        <w:rPr>
          <w:rFonts w:hint="eastAsia" w:ascii="仿宋" w:hAnsi="仿宋" w:eastAsia="仿宋"/>
          <w:color w:val="auto"/>
          <w:sz w:val="30"/>
          <w:szCs w:val="30"/>
        </w:rPr>
        <w:t>；</w:t>
      </w:r>
    </w:p>
    <w:p w14:paraId="454CB7B4">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bCs/>
          <w:color w:val="auto"/>
          <w:sz w:val="30"/>
          <w:szCs w:val="30"/>
        </w:rPr>
        <w:t>事业单位投标的，未提供事业单位法人证书或事业单位法人证书不在有效期内或未盖投标人公章；社会团体法人投标的，未提供有效的社会团体法人登记证书或社会团体法人登记证书不在有效期内或未盖投标人公章；自然人投标的，未提供身份证或身份证不在有效期内或未签章；</w:t>
      </w:r>
    </w:p>
    <w:p w14:paraId="6B82A963">
      <w:pPr>
        <w:snapToGrid w:val="0"/>
        <w:spacing w:line="460" w:lineRule="exact"/>
        <w:ind w:firstLine="446" w:firstLineChars="148"/>
        <w:jc w:val="left"/>
        <w:rPr>
          <w:rFonts w:ascii="仿宋" w:hAnsi="仿宋" w:eastAsia="仿宋"/>
          <w:b/>
          <w:color w:val="auto"/>
          <w:sz w:val="30"/>
          <w:szCs w:val="30"/>
        </w:rPr>
      </w:pPr>
      <w:r>
        <w:rPr>
          <w:rFonts w:ascii="仿宋" w:hAnsi="仿宋" w:eastAsia="仿宋"/>
          <w:b/>
          <w:color w:val="auto"/>
          <w:sz w:val="30"/>
          <w:szCs w:val="30"/>
        </w:rPr>
        <w:t>4.</w:t>
      </w:r>
      <w:r>
        <w:rPr>
          <w:rFonts w:hint="eastAsia" w:ascii="仿宋" w:hAnsi="仿宋" w:eastAsia="仿宋"/>
          <w:b/>
          <w:color w:val="auto"/>
          <w:sz w:val="30"/>
          <w:szCs w:val="30"/>
        </w:rPr>
        <w:t>联合投标协议书：</w:t>
      </w:r>
    </w:p>
    <w:p w14:paraId="26FEEE4A">
      <w:pPr>
        <w:snapToGrid w:val="0"/>
        <w:spacing w:line="460" w:lineRule="exact"/>
        <w:ind w:firstLine="444" w:firstLineChars="148"/>
        <w:jc w:val="left"/>
        <w:rPr>
          <w:rFonts w:ascii="仿宋" w:hAnsi="仿宋" w:eastAsia="仿宋"/>
          <w:color w:val="auto"/>
          <w:sz w:val="30"/>
          <w:szCs w:val="30"/>
        </w:rPr>
      </w:pPr>
      <w:r>
        <w:rPr>
          <w:rFonts w:hint="eastAsia" w:ascii="仿宋" w:hAnsi="仿宋" w:eastAsia="仿宋"/>
          <w:bCs/>
          <w:color w:val="auto"/>
          <w:sz w:val="30"/>
          <w:szCs w:val="30"/>
        </w:rPr>
        <w:t>以</w:t>
      </w:r>
      <w:r>
        <w:rPr>
          <w:rFonts w:hint="eastAsia" w:ascii="仿宋" w:hAnsi="仿宋" w:eastAsia="仿宋"/>
          <w:color w:val="auto"/>
          <w:sz w:val="30"/>
          <w:szCs w:val="30"/>
        </w:rPr>
        <w:t>联合体形式投标的，未提供联合投标协议书或</w:t>
      </w:r>
      <w:r>
        <w:rPr>
          <w:rFonts w:hint="eastAsia" w:ascii="仿宋" w:hAnsi="仿宋" w:eastAsia="仿宋"/>
          <w:bCs/>
          <w:color w:val="auto"/>
          <w:sz w:val="30"/>
          <w:szCs w:val="30"/>
        </w:rPr>
        <w:t>未盖联合体各方公章或</w:t>
      </w:r>
      <w:r>
        <w:rPr>
          <w:rFonts w:hint="eastAsia" w:ascii="仿宋" w:hAnsi="仿宋" w:eastAsia="仿宋"/>
          <w:color w:val="auto"/>
          <w:sz w:val="30"/>
          <w:szCs w:val="30"/>
        </w:rPr>
        <w:t>未列明联合体各方承担的工作、义务、合同金额占比；</w:t>
      </w:r>
    </w:p>
    <w:p w14:paraId="324391AB">
      <w:pPr>
        <w:snapToGrid w:val="0"/>
        <w:spacing w:line="460" w:lineRule="exact"/>
        <w:ind w:firstLine="446" w:firstLineChars="148"/>
        <w:jc w:val="left"/>
        <w:rPr>
          <w:rFonts w:ascii="仿宋" w:hAnsi="仿宋" w:eastAsia="仿宋"/>
          <w:b/>
          <w:color w:val="auto"/>
          <w:sz w:val="30"/>
          <w:szCs w:val="30"/>
        </w:rPr>
      </w:pPr>
      <w:r>
        <w:rPr>
          <w:rFonts w:hint="eastAsia" w:ascii="仿宋" w:hAnsi="仿宋" w:eastAsia="仿宋"/>
          <w:b/>
          <w:color w:val="auto"/>
          <w:sz w:val="30"/>
          <w:szCs w:val="30"/>
        </w:rPr>
        <w:t>5</w:t>
      </w:r>
      <w:r>
        <w:rPr>
          <w:rFonts w:ascii="仿宋" w:hAnsi="仿宋" w:eastAsia="仿宋"/>
          <w:b/>
          <w:color w:val="auto"/>
          <w:sz w:val="30"/>
          <w:szCs w:val="30"/>
        </w:rPr>
        <w:t>.</w:t>
      </w:r>
      <w:r>
        <w:rPr>
          <w:rFonts w:hint="eastAsia" w:ascii="仿宋" w:hAnsi="仿宋" w:eastAsia="仿宋"/>
          <w:b/>
          <w:color w:val="auto"/>
          <w:sz w:val="30"/>
          <w:szCs w:val="30"/>
        </w:rPr>
        <w:t xml:space="preserve"> 投标人的特定条件证明材料：</w:t>
      </w:r>
    </w:p>
    <w:p w14:paraId="5293E3D8">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color w:val="auto"/>
          <w:sz w:val="30"/>
          <w:szCs w:val="30"/>
        </w:rPr>
        <w:t>合格投标人的资格要求中有投标人的特定条件的，未提供符合投标人特定条件证明材料或证明材</w:t>
      </w:r>
      <w:r>
        <w:rPr>
          <w:rFonts w:hint="eastAsia" w:ascii="仿宋" w:hAnsi="仿宋" w:eastAsia="仿宋"/>
          <w:bCs/>
          <w:color w:val="auto"/>
          <w:sz w:val="30"/>
          <w:szCs w:val="30"/>
        </w:rPr>
        <w:t>料不在有效期内或未盖投标人公章；</w:t>
      </w:r>
    </w:p>
    <w:p w14:paraId="1DCFA814">
      <w:pPr>
        <w:snapToGrid w:val="0"/>
        <w:spacing w:line="460" w:lineRule="exact"/>
        <w:ind w:firstLine="446" w:firstLineChars="148"/>
        <w:jc w:val="left"/>
        <w:rPr>
          <w:rFonts w:ascii="仿宋" w:hAnsi="仿宋" w:eastAsia="仿宋"/>
          <w:b/>
          <w:bCs/>
          <w:color w:val="auto"/>
          <w:sz w:val="30"/>
          <w:szCs w:val="30"/>
        </w:rPr>
      </w:pPr>
      <w:r>
        <w:rPr>
          <w:rFonts w:hint="eastAsia" w:ascii="仿宋" w:hAnsi="仿宋" w:eastAsia="仿宋"/>
          <w:b/>
          <w:bCs/>
          <w:color w:val="auto"/>
          <w:sz w:val="30"/>
          <w:szCs w:val="30"/>
        </w:rPr>
        <w:t>6</w:t>
      </w:r>
      <w:r>
        <w:rPr>
          <w:rFonts w:ascii="仿宋" w:hAnsi="仿宋" w:eastAsia="仿宋"/>
          <w:b/>
          <w:bCs/>
          <w:color w:val="auto"/>
          <w:sz w:val="30"/>
          <w:szCs w:val="30"/>
        </w:rPr>
        <w:t>.</w:t>
      </w:r>
      <w:r>
        <w:rPr>
          <w:rFonts w:hint="eastAsia" w:ascii="仿宋" w:hAnsi="仿宋" w:eastAsia="仿宋"/>
          <w:b/>
          <w:bCs/>
          <w:color w:val="auto"/>
          <w:sz w:val="30"/>
          <w:szCs w:val="30"/>
        </w:rPr>
        <w:t>中小企业声明函：</w:t>
      </w:r>
    </w:p>
    <w:p w14:paraId="5474D4B2">
      <w:pPr>
        <w:snapToGrid w:val="0"/>
        <w:spacing w:line="460" w:lineRule="exact"/>
        <w:ind w:firstLine="444" w:firstLineChars="148"/>
        <w:jc w:val="left"/>
        <w:rPr>
          <w:rFonts w:ascii="仿宋" w:hAnsi="仿宋" w:eastAsia="仿宋"/>
          <w:bCs/>
          <w:color w:val="auto"/>
          <w:sz w:val="30"/>
          <w:szCs w:val="30"/>
        </w:rPr>
      </w:pPr>
      <w:r>
        <w:rPr>
          <w:rFonts w:hint="eastAsia" w:ascii="仿宋" w:hAnsi="仿宋" w:eastAsia="仿宋"/>
          <w:bCs/>
          <w:color w:val="auto"/>
          <w:sz w:val="30"/>
          <w:szCs w:val="30"/>
        </w:rPr>
        <w:t>项目专门面向中小企业的，未提供中小企业声明函或中小企业声明函中未完整填写标的名称、企业名称、从业人员、营业收入、资产总额或未盖投标人公章；</w:t>
      </w:r>
    </w:p>
    <w:p w14:paraId="02BD77B1">
      <w:pPr>
        <w:snapToGrid w:val="0"/>
        <w:spacing w:line="460" w:lineRule="exact"/>
        <w:ind w:firstLine="461" w:firstLineChars="148"/>
        <w:jc w:val="left"/>
        <w:rPr>
          <w:rFonts w:ascii="仿宋" w:hAnsi="仿宋" w:eastAsia="仿宋"/>
          <w:color w:val="auto"/>
          <w:sz w:val="30"/>
          <w:szCs w:val="30"/>
        </w:rPr>
      </w:pPr>
      <w:r>
        <w:rPr>
          <w:rFonts w:hint="eastAsia" w:ascii="仿宋" w:hAnsi="仿宋" w:eastAsia="仿宋"/>
          <w:color w:val="auto"/>
          <w:spacing w:val="6"/>
          <w:sz w:val="30"/>
          <w:szCs w:val="30"/>
        </w:rPr>
        <w:t>残疾人福利性单位投标的，</w:t>
      </w:r>
      <w:r>
        <w:rPr>
          <w:rFonts w:hint="eastAsia" w:ascii="仿宋" w:hAnsi="仿宋" w:eastAsia="仿宋"/>
          <w:bCs/>
          <w:color w:val="auto"/>
          <w:sz w:val="30"/>
          <w:szCs w:val="30"/>
        </w:rPr>
        <w:t>未提供残疾人福利性单位声明函或未盖投标人公章；监狱企业投标的，未提供由省级以上监狱管理局、戒毒管理局（含新疆生产建设兵团）出具的属于监狱企业的证明文件；</w:t>
      </w:r>
    </w:p>
    <w:p w14:paraId="21DACCD2">
      <w:pPr>
        <w:snapToGrid w:val="0"/>
        <w:spacing w:line="460" w:lineRule="exact"/>
        <w:ind w:firstLine="446" w:firstLineChars="148"/>
        <w:jc w:val="left"/>
        <w:rPr>
          <w:rFonts w:ascii="仿宋" w:hAnsi="仿宋" w:eastAsia="仿宋"/>
          <w:b/>
          <w:color w:val="auto"/>
          <w:sz w:val="30"/>
          <w:szCs w:val="30"/>
        </w:rPr>
      </w:pPr>
      <w:r>
        <w:rPr>
          <w:rFonts w:ascii="仿宋" w:hAnsi="仿宋" w:eastAsia="仿宋"/>
          <w:b/>
          <w:color w:val="auto"/>
          <w:sz w:val="30"/>
          <w:szCs w:val="30"/>
        </w:rPr>
        <w:t>7.</w:t>
      </w:r>
      <w:r>
        <w:rPr>
          <w:rFonts w:hint="eastAsia" w:ascii="仿宋" w:hAnsi="仿宋" w:eastAsia="仿宋"/>
          <w:b/>
          <w:color w:val="auto"/>
          <w:sz w:val="30"/>
          <w:szCs w:val="30"/>
        </w:rPr>
        <w:t>分包意向协议:</w:t>
      </w:r>
    </w:p>
    <w:p w14:paraId="4CF38DB8">
      <w:pPr>
        <w:snapToGrid w:val="0"/>
        <w:spacing w:line="460" w:lineRule="exact"/>
        <w:ind w:firstLine="444" w:firstLineChars="148"/>
        <w:jc w:val="left"/>
        <w:rPr>
          <w:rFonts w:ascii="仿宋" w:hAnsi="仿宋" w:eastAsia="仿宋"/>
          <w:color w:val="auto"/>
          <w:sz w:val="30"/>
          <w:szCs w:val="30"/>
        </w:rPr>
      </w:pPr>
      <w:r>
        <w:rPr>
          <w:rFonts w:hint="eastAsia" w:ascii="仿宋" w:hAnsi="仿宋" w:eastAsia="仿宋"/>
          <w:color w:val="auto"/>
          <w:sz w:val="30"/>
          <w:szCs w:val="30"/>
        </w:rPr>
        <w:t>项目要求以合同分包形式预留份额专门面向中小企业的，未提供分包意向协议或</w:t>
      </w:r>
      <w:r>
        <w:rPr>
          <w:rFonts w:hint="eastAsia" w:ascii="仿宋" w:hAnsi="仿宋" w:eastAsia="仿宋"/>
          <w:bCs/>
          <w:color w:val="auto"/>
          <w:sz w:val="30"/>
          <w:szCs w:val="30"/>
        </w:rPr>
        <w:t>未盖投标人与分包供应商公章或</w:t>
      </w:r>
      <w:r>
        <w:rPr>
          <w:rFonts w:hint="eastAsia" w:ascii="仿宋" w:hAnsi="仿宋" w:eastAsia="仿宋"/>
          <w:color w:val="auto"/>
          <w:sz w:val="30"/>
          <w:szCs w:val="30"/>
        </w:rPr>
        <w:t>未列明分包供应商承担的工作、合同金额占比。</w:t>
      </w:r>
    </w:p>
    <w:p w14:paraId="154F9A32">
      <w:pPr>
        <w:snapToGrid w:val="0"/>
        <w:spacing w:line="480" w:lineRule="exact"/>
        <w:ind w:firstLine="588" w:firstLineChars="196"/>
        <w:rPr>
          <w:rFonts w:ascii="Times New Roman" w:hAnsi="Times New Roman" w:eastAsia="仿宋_GB2312"/>
          <w:color w:val="auto"/>
          <w:sz w:val="30"/>
          <w:szCs w:val="30"/>
        </w:rPr>
      </w:pPr>
    </w:p>
    <w:p w14:paraId="5637A851">
      <w:pPr>
        <w:spacing w:line="480" w:lineRule="exact"/>
        <w:ind w:firstLine="600" w:firstLineChars="200"/>
        <w:rPr>
          <w:rFonts w:ascii="Times New Roman" w:hAnsi="Times New Roman" w:eastAsia="仿宋_GB2312"/>
          <w:color w:val="auto"/>
          <w:sz w:val="30"/>
          <w:szCs w:val="30"/>
        </w:rPr>
      </w:pPr>
    </w:p>
    <w:p w14:paraId="6C7762E0">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附件2</w:t>
      </w:r>
    </w:p>
    <w:p w14:paraId="28D4F2D7">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投 标 声 明 书</w:t>
      </w:r>
    </w:p>
    <w:p w14:paraId="4E18917F">
      <w:pPr>
        <w:snapToGrid w:val="0"/>
        <w:spacing w:before="120" w:beforeLines="50" w:after="50" w:line="40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致：浙江省教育技术中心：</w:t>
      </w:r>
    </w:p>
    <w:p w14:paraId="082AF25E">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u w:val="single"/>
        </w:rPr>
        <w:t>（投标人名称）</w:t>
      </w:r>
      <w:r>
        <w:rPr>
          <w:rFonts w:hint="eastAsia" w:ascii="Times New Roman" w:hAnsi="Times New Roman" w:eastAsia="仿宋_GB2312"/>
          <w:color w:val="auto"/>
          <w:sz w:val="30"/>
          <w:szCs w:val="30"/>
        </w:rPr>
        <w:t>系中华人民共和国合法单位，地址</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w:t>
      </w:r>
    </w:p>
    <w:p w14:paraId="6F1A642B">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我</w:t>
      </w:r>
      <w:r>
        <w:rPr>
          <w:rFonts w:hint="eastAsia" w:ascii="Times New Roman" w:hAnsi="Times New Roman" w:eastAsia="仿宋_GB2312"/>
          <w:color w:val="auto"/>
          <w:sz w:val="30"/>
          <w:szCs w:val="30"/>
          <w:u w:val="single"/>
        </w:rPr>
        <w:t>（姓名）</w:t>
      </w:r>
      <w:r>
        <w:rPr>
          <w:rFonts w:hint="eastAsia" w:ascii="Times New Roman" w:hAnsi="Times New Roman" w:eastAsia="仿宋_GB2312"/>
          <w:color w:val="auto"/>
          <w:sz w:val="30"/>
          <w:szCs w:val="30"/>
        </w:rPr>
        <w:t>系</w:t>
      </w:r>
      <w:r>
        <w:rPr>
          <w:rFonts w:hint="eastAsia" w:ascii="Times New Roman" w:hAnsi="Times New Roman" w:eastAsia="仿宋_GB2312"/>
          <w:color w:val="auto"/>
          <w:sz w:val="30"/>
          <w:szCs w:val="30"/>
          <w:u w:val="single"/>
        </w:rPr>
        <w:t>（投标人名称）</w:t>
      </w:r>
      <w:r>
        <w:rPr>
          <w:rFonts w:hint="eastAsia" w:ascii="Times New Roman" w:hAnsi="Times New Roman" w:eastAsia="仿宋_GB2312"/>
          <w:color w:val="auto"/>
          <w:sz w:val="30"/>
          <w:szCs w:val="30"/>
        </w:rPr>
        <w:t>的法定代表人，我方愿意参加贵方组织的</w:t>
      </w:r>
      <w:r>
        <w:rPr>
          <w:rFonts w:hint="eastAsia" w:ascii="Times New Roman" w:hAnsi="Times New Roman" w:eastAsia="仿宋_GB2312"/>
          <w:b/>
          <w:bCs/>
          <w:color w:val="auto"/>
          <w:sz w:val="30"/>
          <w:szCs w:val="30"/>
          <w:u w:val="single"/>
        </w:rPr>
        <w:t xml:space="preserve"> 《浙江省中学实验仪器设备购置项目》第二批采购项目（湖州）（项目编号：2026-SJYT-11</w:t>
      </w:r>
      <w:r>
        <w:rPr>
          <w:rFonts w:ascii="Times New Roman" w:hAnsi="Times New Roman" w:eastAsia="仿宋_GB2312"/>
          <w:b/>
          <w:bCs/>
          <w:color w:val="auto"/>
          <w:sz w:val="30"/>
          <w:szCs w:val="30"/>
          <w:u w:val="single"/>
        </w:rPr>
        <w:t xml:space="preserve"> </w:t>
      </w:r>
      <w:r>
        <w:rPr>
          <w:rFonts w:hint="eastAsia" w:ascii="Times New Roman" w:hAnsi="Times New Roman" w:eastAsia="仿宋_GB2312"/>
          <w:b/>
          <w:bCs/>
          <w:color w:val="auto"/>
          <w:sz w:val="30"/>
          <w:szCs w:val="30"/>
          <w:u w:val="single"/>
        </w:rPr>
        <w:t>）</w:t>
      </w:r>
      <w:r>
        <w:rPr>
          <w:rFonts w:hint="eastAsia" w:ascii="Times New Roman" w:hAnsi="Times New Roman" w:eastAsia="仿宋"/>
          <w:b/>
          <w:bCs/>
          <w:snapToGrid w:val="0"/>
          <w:color w:val="auto"/>
          <w:sz w:val="32"/>
          <w:szCs w:val="32"/>
          <w:u w:val="single"/>
        </w:rPr>
        <w:t>标项***</w:t>
      </w:r>
      <w:r>
        <w:rPr>
          <w:rFonts w:hint="eastAsia" w:ascii="Times New Roman" w:hAnsi="Times New Roman" w:eastAsia="仿宋_GB2312"/>
          <w:color w:val="auto"/>
          <w:sz w:val="30"/>
          <w:szCs w:val="30"/>
        </w:rPr>
        <w:t>的投标，为此，我方就本次投标有关事项郑重声明如下：</w:t>
      </w:r>
    </w:p>
    <w:p w14:paraId="2EFC7760">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1.我方已详细审查全部招标文件，同意招标文件的各项要求。</w:t>
      </w:r>
    </w:p>
    <w:p w14:paraId="46D0FE3C">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2.我方向贵方提交的所有投标文件、资料都是准确的和真实的。</w:t>
      </w:r>
    </w:p>
    <w:p w14:paraId="6B41381D">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3.若中标，我方将按招标文件规定履行合同责任和义务。</w:t>
      </w:r>
    </w:p>
    <w:p w14:paraId="71914E08">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4.我方不是采购人的附属机构；在获知本项目采购信息后，与采购人聘请的为此项目提供咨询服务的公司及其附属机构没有任何联系。</w:t>
      </w:r>
    </w:p>
    <w:p w14:paraId="5A6C4370">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5.投标文件自开标日起有效期为90天。</w:t>
      </w:r>
    </w:p>
    <w:p w14:paraId="273C2511">
      <w:pPr>
        <w:snapToGrid w:val="0"/>
        <w:spacing w:before="120" w:beforeLines="50" w:after="50" w:line="400" w:lineRule="exact"/>
        <w:ind w:firstLine="602" w:firstLineChars="200"/>
        <w:jc w:val="left"/>
        <w:rPr>
          <w:rFonts w:ascii="Times New Roman" w:hAnsi="Times New Roman" w:eastAsia="仿宋_GB2312"/>
          <w:b/>
          <w:bCs/>
          <w:color w:val="auto"/>
          <w:sz w:val="30"/>
          <w:szCs w:val="30"/>
        </w:rPr>
      </w:pPr>
      <w:r>
        <w:rPr>
          <w:rFonts w:hint="eastAsia" w:ascii="Times New Roman" w:hAnsi="Times New Roman" w:eastAsia="仿宋_GB2312"/>
          <w:b/>
          <w:bCs/>
          <w:color w:val="auto"/>
          <w:sz w:val="30"/>
          <w:szCs w:val="30"/>
        </w:rPr>
        <w:t>6.我方承诺已经具备参与政府采购活动的资格条件；具有良好的商业信誉和健全的财务会计制度；具有依法缴纳税收和社会保障资金的良好记录；参加政府采购活动前三年内，在经营活动中没有重大违法记录。</w:t>
      </w:r>
    </w:p>
    <w:p w14:paraId="440B66B3">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7.我方通过“信用中国”网站（www.creditchina.gov.cn）、中国政府采购网（www.ccgp.gov.cn）查询，未被列入失信被执行人、重大税收违法案件当事人名单、政府采购严重违法失信行为记录名单。</w:t>
      </w:r>
    </w:p>
    <w:p w14:paraId="250AF54C">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8.我方不存在单位负责人为同一人或者存在直接控股、管理关系的不同供应商， 参加同一合同项下的政府采购活动的情况。</w:t>
      </w:r>
    </w:p>
    <w:p w14:paraId="03519940">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9.我方不存在为采购项目提供整体设计、规范编制或者项目管理、监理、检测等服务后再参加该采购项目的其他采购活动的情况。</w:t>
      </w:r>
    </w:p>
    <w:p w14:paraId="7AAA7CA1">
      <w:pPr>
        <w:snapToGrid w:val="0"/>
        <w:spacing w:before="120" w:beforeLines="50" w:after="50" w:line="40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10.以上事项如有虚假或隐瞒，我方愿意承担一切后果，并不再寻求任何旨在减轻或免除法律责任的辩解。</w:t>
      </w:r>
    </w:p>
    <w:p w14:paraId="0BD7EC75">
      <w:pPr>
        <w:snapToGrid w:val="0"/>
        <w:spacing w:before="120" w:beforeLines="50" w:after="50" w:line="400" w:lineRule="exact"/>
        <w:ind w:firstLine="600" w:firstLineChars="200"/>
        <w:rPr>
          <w:rFonts w:ascii="Times New Roman" w:hAnsi="Times New Roman" w:eastAsia="仿宋_GB2312"/>
          <w:color w:val="auto"/>
          <w:sz w:val="30"/>
          <w:szCs w:val="30"/>
        </w:rPr>
      </w:pPr>
    </w:p>
    <w:p w14:paraId="3D3F76C0">
      <w:pPr>
        <w:snapToGrid w:val="0"/>
        <w:spacing w:before="120" w:beforeLines="50" w:after="50" w:line="400" w:lineRule="exact"/>
        <w:ind w:right="600" w:firstLine="150" w:firstLineChars="5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法定代表人签名：</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日 期：</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年</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月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日</w:t>
      </w:r>
    </w:p>
    <w:p w14:paraId="6D84D7A2">
      <w:pPr>
        <w:snapToGrid w:val="0"/>
        <w:spacing w:before="120" w:beforeLines="50" w:after="50" w:line="400" w:lineRule="exact"/>
        <w:ind w:right="600" w:firstLine="150" w:firstLineChars="5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14:paraId="52F6C524">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附件3-1</w:t>
      </w:r>
    </w:p>
    <w:p w14:paraId="60D9AAB4">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法定代表人授权委托书</w:t>
      </w:r>
    </w:p>
    <w:p w14:paraId="12F523C3">
      <w:pPr>
        <w:snapToGrid w:val="0"/>
        <w:spacing w:line="440" w:lineRule="exact"/>
        <w:jc w:val="center"/>
        <w:rPr>
          <w:rFonts w:ascii="Times New Roman" w:hAnsi="Times New Roman" w:eastAsia="仿宋_GB2312"/>
          <w:b/>
          <w:color w:val="auto"/>
          <w:sz w:val="36"/>
          <w:szCs w:val="36"/>
        </w:rPr>
      </w:pPr>
    </w:p>
    <w:p w14:paraId="314A466C">
      <w:pPr>
        <w:snapToGrid w:val="0"/>
        <w:spacing w:before="120" w:beforeLines="50" w:after="50" w:line="460" w:lineRule="exact"/>
        <w:rPr>
          <w:rFonts w:ascii="Times New Roman" w:hAnsi="Times New Roman" w:eastAsia="仿宋_GB2312"/>
          <w:b/>
          <w:bCs/>
          <w:color w:val="auto"/>
          <w:sz w:val="30"/>
          <w:szCs w:val="30"/>
        </w:rPr>
      </w:pPr>
      <w:r>
        <w:rPr>
          <w:rFonts w:hint="eastAsia" w:ascii="Times New Roman" w:hAnsi="Times New Roman" w:eastAsia="仿宋_GB2312"/>
          <w:bCs/>
          <w:color w:val="auto"/>
          <w:sz w:val="30"/>
          <w:szCs w:val="30"/>
        </w:rPr>
        <w:t>浙江省教育技术中心：</w:t>
      </w:r>
    </w:p>
    <w:p w14:paraId="31DA2125">
      <w:pPr>
        <w:snapToGrid w:val="0"/>
        <w:spacing w:before="120" w:beforeLines="50" w:after="50" w:line="46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我</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（姓名</w:t>
      </w:r>
      <w:r>
        <w:rPr>
          <w:rFonts w:hint="eastAsia" w:ascii="Times New Roman" w:hAnsi="Times New Roman" w:eastAsia="仿宋_GB2312"/>
          <w:b/>
          <w:bCs/>
          <w:color w:val="auto"/>
          <w:sz w:val="30"/>
          <w:szCs w:val="30"/>
        </w:rPr>
        <w:t>，附身份证复印件</w:t>
      </w:r>
      <w:r>
        <w:rPr>
          <w:rFonts w:hint="eastAsia" w:ascii="Times New Roman" w:hAnsi="Times New Roman" w:eastAsia="仿宋_GB2312"/>
          <w:color w:val="auto"/>
          <w:sz w:val="30"/>
          <w:szCs w:val="30"/>
        </w:rPr>
        <w:t>）系</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（投标人名称）的法定代表人，现授权委托本单位在职职工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（姓名</w:t>
      </w:r>
      <w:r>
        <w:rPr>
          <w:rFonts w:hint="eastAsia" w:ascii="Times New Roman" w:hAnsi="Times New Roman" w:eastAsia="仿宋_GB2312"/>
          <w:b/>
          <w:bCs/>
          <w:color w:val="auto"/>
          <w:sz w:val="30"/>
          <w:szCs w:val="30"/>
        </w:rPr>
        <w:t>，附身份证复印件</w:t>
      </w:r>
      <w:r>
        <w:rPr>
          <w:rFonts w:hint="eastAsia" w:ascii="Times New Roman" w:hAnsi="Times New Roman" w:eastAsia="仿宋_GB2312"/>
          <w:color w:val="auto"/>
          <w:sz w:val="30"/>
          <w:szCs w:val="30"/>
        </w:rPr>
        <w:t>）为授权代表，以我方的名义参加</w:t>
      </w:r>
      <w:r>
        <w:rPr>
          <w:rFonts w:hint="eastAsia" w:ascii="Times New Roman" w:hAnsi="Times New Roman" w:eastAsia="仿宋_GB2312"/>
          <w:b/>
          <w:bCs/>
          <w:color w:val="auto"/>
          <w:sz w:val="30"/>
          <w:szCs w:val="30"/>
          <w:u w:val="single"/>
        </w:rPr>
        <w:t xml:space="preserve"> 《浙江省中学实验仪器设备购置项目》第二批采购项目（湖州）（项目编号：2026-SJYT-11</w:t>
      </w:r>
      <w:r>
        <w:rPr>
          <w:rFonts w:ascii="Times New Roman" w:hAnsi="Times New Roman" w:eastAsia="仿宋_GB2312"/>
          <w:b/>
          <w:bCs/>
          <w:color w:val="auto"/>
          <w:sz w:val="30"/>
          <w:szCs w:val="30"/>
          <w:u w:val="single"/>
        </w:rPr>
        <w:t xml:space="preserve"> </w:t>
      </w:r>
      <w:r>
        <w:rPr>
          <w:rFonts w:hint="eastAsia" w:ascii="Times New Roman" w:hAnsi="Times New Roman" w:eastAsia="仿宋_GB2312"/>
          <w:b/>
          <w:bCs/>
          <w:color w:val="auto"/>
          <w:sz w:val="30"/>
          <w:szCs w:val="30"/>
          <w:u w:val="single"/>
        </w:rPr>
        <w:t>）</w:t>
      </w:r>
      <w:r>
        <w:rPr>
          <w:rFonts w:hint="eastAsia" w:ascii="Times New Roman" w:hAnsi="Times New Roman" w:eastAsia="仿宋"/>
          <w:b/>
          <w:bCs/>
          <w:snapToGrid w:val="0"/>
          <w:color w:val="auto"/>
          <w:sz w:val="32"/>
          <w:szCs w:val="32"/>
          <w:u w:val="single"/>
        </w:rPr>
        <w:t>标项***</w:t>
      </w:r>
      <w:r>
        <w:rPr>
          <w:rFonts w:hint="eastAsia" w:ascii="Times New Roman" w:hAnsi="Times New Roman" w:eastAsia="仿宋_GB2312"/>
          <w:color w:val="auto"/>
          <w:sz w:val="30"/>
          <w:szCs w:val="30"/>
        </w:rPr>
        <w:t>的投标活动，并代表我方全权办理针对上述项目的投标、开标、评标、签约等具体事务和签署相关文件。我方对授权代表的签字事项负全部责任。</w:t>
      </w:r>
    </w:p>
    <w:p w14:paraId="2BC0CADD">
      <w:pPr>
        <w:snapToGrid w:val="0"/>
        <w:spacing w:before="120" w:beforeLines="50" w:after="50" w:line="46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在撤销授权的书面通知以前，本授权书一直有效。授权代表在授权书有效期内签署的所有文件不因授权的撤销而失效。</w:t>
      </w:r>
    </w:p>
    <w:p w14:paraId="7F0628DA">
      <w:pPr>
        <w:snapToGrid w:val="0"/>
        <w:spacing w:before="120" w:beforeLines="50" w:after="50" w:line="460" w:lineRule="exact"/>
        <w:ind w:firstLine="480"/>
        <w:rPr>
          <w:rFonts w:ascii="Times New Roman" w:hAnsi="Times New Roman" w:eastAsia="仿宋_GB2312"/>
          <w:color w:val="auto"/>
          <w:sz w:val="30"/>
          <w:szCs w:val="30"/>
        </w:rPr>
      </w:pPr>
      <w:r>
        <w:rPr>
          <w:rFonts w:hint="eastAsia" w:ascii="Times New Roman" w:hAnsi="Times New Roman" w:eastAsia="仿宋_GB2312"/>
          <w:color w:val="auto"/>
          <w:sz w:val="30"/>
          <w:szCs w:val="30"/>
        </w:rPr>
        <w:t>授权代表无转委托权，特此委托。</w:t>
      </w:r>
    </w:p>
    <w:p w14:paraId="530E6BFA">
      <w:pPr>
        <w:snapToGrid w:val="0"/>
        <w:spacing w:before="120" w:beforeLines="50" w:after="50" w:line="460" w:lineRule="exact"/>
        <w:ind w:firstLine="480"/>
        <w:rPr>
          <w:rFonts w:ascii="Times New Roman" w:hAnsi="Times New Roman" w:eastAsia="仿宋_GB2312"/>
          <w:color w:val="auto"/>
          <w:sz w:val="30"/>
          <w:szCs w:val="30"/>
        </w:rPr>
      </w:pPr>
    </w:p>
    <w:p w14:paraId="38581309">
      <w:pPr>
        <w:snapToGrid w:val="0"/>
        <w:spacing w:before="120" w:beforeLines="50" w:after="50" w:line="460" w:lineRule="exact"/>
        <w:ind w:firstLine="480"/>
        <w:rPr>
          <w:rFonts w:ascii="Times New Roman" w:hAnsi="Times New Roman" w:eastAsia="仿宋_GB2312"/>
          <w:color w:val="auto"/>
          <w:sz w:val="30"/>
          <w:szCs w:val="30"/>
        </w:rPr>
      </w:pPr>
    </w:p>
    <w:p w14:paraId="39960F0A">
      <w:pPr>
        <w:snapToGrid w:val="0"/>
        <w:spacing w:before="120" w:beforeLines="50" w:after="50" w:line="460" w:lineRule="exact"/>
        <w:rPr>
          <w:rFonts w:ascii="Times New Roman" w:hAnsi="Times New Roman" w:eastAsia="仿宋_GB2312"/>
          <w:color w:val="auto"/>
          <w:sz w:val="30"/>
          <w:szCs w:val="30"/>
          <w:u w:val="single" w:color="000000"/>
        </w:rPr>
      </w:pPr>
      <w:r>
        <w:rPr>
          <w:rFonts w:hint="eastAsia" w:ascii="Times New Roman" w:hAnsi="Times New Roman" w:eastAsia="仿宋_GB2312"/>
          <w:color w:val="auto"/>
          <w:sz w:val="30"/>
          <w:szCs w:val="30"/>
        </w:rPr>
        <w:t>授权代表签名：</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职务：</w:t>
      </w:r>
      <w:r>
        <w:rPr>
          <w:rFonts w:hint="eastAsia" w:ascii="Times New Roman" w:hAnsi="Times New Roman" w:eastAsia="仿宋_GB2312"/>
          <w:color w:val="auto"/>
          <w:sz w:val="30"/>
          <w:szCs w:val="30"/>
          <w:u w:val="single" w:color="000000"/>
        </w:rPr>
        <w:t xml:space="preserve"> </w:t>
      </w:r>
      <w:r>
        <w:rPr>
          <w:rFonts w:ascii="Times New Roman" w:hAnsi="Times New Roman" w:eastAsia="仿宋_GB2312"/>
          <w:color w:val="auto"/>
          <w:sz w:val="30"/>
          <w:szCs w:val="30"/>
          <w:u w:val="single" w:color="000000"/>
        </w:rPr>
        <w:t xml:space="preserve">           </w:t>
      </w:r>
    </w:p>
    <w:p w14:paraId="33A820AA">
      <w:pPr>
        <w:snapToGrid w:val="0"/>
        <w:spacing w:before="120" w:beforeLines="50" w:after="50" w:line="460" w:lineRule="exact"/>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授权代表手机：</w:t>
      </w:r>
      <w:r>
        <w:rPr>
          <w:rFonts w:hint="eastAsia" w:ascii="Times New Roman" w:hAnsi="Times New Roman" w:eastAsia="仿宋_GB2312"/>
          <w:color w:val="auto"/>
          <w:sz w:val="30"/>
          <w:szCs w:val="30"/>
          <w:u w:val="single" w:color="000000"/>
        </w:rPr>
        <w:t xml:space="preserve"> </w:t>
      </w:r>
      <w:r>
        <w:rPr>
          <w:rFonts w:ascii="Times New Roman" w:hAnsi="Times New Roman" w:eastAsia="仿宋_GB2312"/>
          <w:color w:val="auto"/>
          <w:sz w:val="30"/>
          <w:szCs w:val="30"/>
          <w:u w:val="single" w:color="000000"/>
        </w:rPr>
        <w:t xml:space="preserve">          </w:t>
      </w:r>
      <w:r>
        <w:rPr>
          <w:rFonts w:hint="eastAsia" w:ascii="Times New Roman" w:hAnsi="Times New Roman" w:eastAsia="仿宋_GB2312"/>
          <w:color w:val="auto"/>
          <w:sz w:val="30"/>
          <w:szCs w:val="30"/>
        </w:rPr>
        <w:t>电子邮箱：</w:t>
      </w:r>
      <w:r>
        <w:rPr>
          <w:rFonts w:hint="eastAsia" w:ascii="Times New Roman" w:hAnsi="Times New Roman" w:eastAsia="仿宋_GB2312"/>
          <w:color w:val="auto"/>
          <w:sz w:val="30"/>
          <w:szCs w:val="30"/>
          <w:u w:val="single" w:color="000000"/>
        </w:rPr>
        <w:t xml:space="preserve"> </w:t>
      </w:r>
      <w:r>
        <w:rPr>
          <w:rFonts w:ascii="Times New Roman" w:hAnsi="Times New Roman" w:eastAsia="仿宋_GB2312"/>
          <w:color w:val="auto"/>
          <w:sz w:val="30"/>
          <w:szCs w:val="30"/>
          <w:u w:val="single" w:color="000000"/>
        </w:rPr>
        <w:t xml:space="preserve">           </w:t>
      </w:r>
      <w:r>
        <w:rPr>
          <w:rFonts w:hint="eastAsia" w:ascii="Times New Roman" w:hAnsi="Times New Roman" w:eastAsia="仿宋_GB2312"/>
          <w:color w:val="auto"/>
          <w:sz w:val="30"/>
          <w:szCs w:val="30"/>
        </w:rPr>
        <w:t>传真：</w:t>
      </w:r>
      <w:r>
        <w:rPr>
          <w:rFonts w:hint="eastAsia" w:ascii="Times New Roman" w:hAnsi="Times New Roman" w:eastAsia="仿宋_GB2312"/>
          <w:color w:val="auto"/>
          <w:sz w:val="30"/>
          <w:szCs w:val="30"/>
          <w:u w:val="single" w:color="000000"/>
        </w:rPr>
        <w:t xml:space="preserve"> </w:t>
      </w:r>
      <w:r>
        <w:rPr>
          <w:rFonts w:ascii="Times New Roman" w:hAnsi="Times New Roman" w:eastAsia="仿宋_GB2312"/>
          <w:color w:val="auto"/>
          <w:sz w:val="30"/>
          <w:szCs w:val="30"/>
          <w:u w:val="single" w:color="000000"/>
        </w:rPr>
        <w:t xml:space="preserve">       </w:t>
      </w:r>
    </w:p>
    <w:p w14:paraId="1CAC0B69">
      <w:pPr>
        <w:snapToGrid w:val="0"/>
        <w:spacing w:before="120" w:beforeLines="50" w:after="50" w:line="46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授权代表身份证号码：</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w:t>
      </w:r>
    </w:p>
    <w:p w14:paraId="7877D846">
      <w:pPr>
        <w:snapToGrid w:val="0"/>
        <w:spacing w:before="120" w:beforeLines="50" w:after="50" w:line="46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法定代表人签名：</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职务：</w:t>
      </w:r>
      <w:r>
        <w:rPr>
          <w:rFonts w:hint="eastAsia" w:ascii="Times New Roman" w:hAnsi="Times New Roman" w:eastAsia="仿宋_GB2312"/>
          <w:color w:val="auto"/>
          <w:sz w:val="30"/>
          <w:szCs w:val="30"/>
          <w:u w:val="single"/>
        </w:rPr>
        <w:t xml:space="preserve">           </w:t>
      </w:r>
    </w:p>
    <w:p w14:paraId="1047B6AB">
      <w:pPr>
        <w:snapToGrid w:val="0"/>
        <w:spacing w:before="120" w:beforeLines="50" w:after="50" w:line="460" w:lineRule="exact"/>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法定代表人手机：</w:t>
      </w:r>
      <w:r>
        <w:rPr>
          <w:rFonts w:ascii="Times New Roman" w:hAnsi="Times New Roman" w:eastAsia="仿宋_GB2312"/>
          <w:color w:val="auto"/>
          <w:sz w:val="30"/>
          <w:szCs w:val="30"/>
          <w:u w:val="single"/>
        </w:rPr>
        <w:t xml:space="preserve">               </w:t>
      </w:r>
    </w:p>
    <w:p w14:paraId="55DEC18C">
      <w:pPr>
        <w:snapToGrid w:val="0"/>
        <w:spacing w:before="120" w:beforeLines="50" w:after="50" w:line="46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 xml:space="preserve">                                     </w:t>
      </w:r>
    </w:p>
    <w:p w14:paraId="3D4150A2">
      <w:pPr>
        <w:snapToGrid w:val="0"/>
        <w:spacing w:before="120" w:beforeLines="50" w:after="50" w:line="460" w:lineRule="exact"/>
        <w:rPr>
          <w:rFonts w:ascii="Times New Roman" w:hAnsi="Times New Roman" w:eastAsia="仿宋_GB2312"/>
          <w:color w:val="auto"/>
          <w:sz w:val="30"/>
          <w:szCs w:val="30"/>
        </w:rPr>
      </w:pPr>
    </w:p>
    <w:p w14:paraId="66E8B109">
      <w:pPr>
        <w:snapToGrid w:val="0"/>
        <w:spacing w:before="120" w:beforeLines="50" w:after="50" w:line="460" w:lineRule="exact"/>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日 期：</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年</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月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日</w:t>
      </w:r>
    </w:p>
    <w:p w14:paraId="030D1F65">
      <w:pPr>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u w:val="single"/>
        </w:rPr>
        <w:br w:type="page"/>
      </w:r>
    </w:p>
    <w:p w14:paraId="58BDCE99">
      <w:pPr>
        <w:pStyle w:val="4"/>
        <w:pageBreakBefore/>
        <w:spacing w:line="480" w:lineRule="exact"/>
        <w:rPr>
          <w:rFonts w:ascii="仿宋" w:hAnsi="仿宋" w:eastAsia="仿宋"/>
          <w:color w:val="auto"/>
          <w:sz w:val="30"/>
          <w:szCs w:val="30"/>
        </w:rPr>
      </w:pPr>
      <w:r>
        <w:rPr>
          <w:rFonts w:hint="eastAsia" w:ascii="仿宋" w:hAnsi="仿宋" w:eastAsia="仿宋"/>
          <w:color w:val="auto"/>
          <w:sz w:val="30"/>
          <w:szCs w:val="30"/>
        </w:rPr>
        <w:t>附件3</w:t>
      </w:r>
      <w:r>
        <w:rPr>
          <w:rFonts w:ascii="仿宋" w:hAnsi="仿宋" w:eastAsia="仿宋"/>
          <w:color w:val="auto"/>
          <w:sz w:val="30"/>
          <w:szCs w:val="30"/>
        </w:rPr>
        <w:t>-2</w:t>
      </w:r>
    </w:p>
    <w:p w14:paraId="18BD9551">
      <w:pPr>
        <w:snapToGrid w:val="0"/>
        <w:spacing w:before="50" w:after="50"/>
        <w:jc w:val="center"/>
        <w:rPr>
          <w:rFonts w:ascii="仿宋" w:hAnsi="仿宋" w:eastAsia="仿宋"/>
          <w:color w:val="auto"/>
          <w:sz w:val="30"/>
          <w:szCs w:val="30"/>
        </w:rPr>
      </w:pPr>
      <w:r>
        <w:rPr>
          <w:rFonts w:hint="eastAsia" w:ascii="仿宋" w:hAnsi="仿宋" w:eastAsia="仿宋"/>
          <w:b/>
          <w:color w:val="auto"/>
          <w:sz w:val="36"/>
          <w:szCs w:val="36"/>
        </w:rPr>
        <w:t>法定代表人身份证明</w:t>
      </w:r>
    </w:p>
    <w:p w14:paraId="7D5E246C">
      <w:pPr>
        <w:snapToGrid w:val="0"/>
        <w:spacing w:before="120" w:beforeLines="50" w:after="50" w:line="460" w:lineRule="exact"/>
        <w:rPr>
          <w:rFonts w:ascii="仿宋" w:hAnsi="仿宋" w:eastAsia="仿宋"/>
          <w:color w:val="auto"/>
          <w:sz w:val="30"/>
          <w:szCs w:val="30"/>
        </w:rPr>
      </w:pPr>
      <w:r>
        <w:rPr>
          <w:rFonts w:hint="eastAsia" w:ascii="仿宋" w:hAnsi="仿宋" w:eastAsia="仿宋"/>
          <w:color w:val="auto"/>
          <w:sz w:val="30"/>
          <w:szCs w:val="30"/>
        </w:rPr>
        <w:t>有效的身份证件扫描件、复印件：</w:t>
      </w:r>
    </w:p>
    <w:p w14:paraId="22EC746A">
      <w:pPr>
        <w:snapToGrid w:val="0"/>
        <w:spacing w:before="120" w:beforeLines="50" w:after="50" w:line="460" w:lineRule="exact"/>
        <w:rPr>
          <w:rFonts w:ascii="仿宋" w:hAnsi="仿宋" w:eastAsia="仿宋"/>
          <w:color w:val="auto"/>
          <w:sz w:val="30"/>
          <w:szCs w:val="30"/>
        </w:rPr>
      </w:pPr>
      <w:r>
        <w:rPr>
          <w:rFonts w:hint="eastAsia" w:ascii="仿宋" w:hAnsi="仿宋" w:eastAsia="仿宋"/>
          <w:color w:val="auto"/>
          <w:sz w:val="30"/>
          <w:szCs w:val="30"/>
        </w:rPr>
        <w:t>正面：</w:t>
      </w:r>
    </w:p>
    <w:p w14:paraId="281A45AB">
      <w:pPr>
        <w:snapToGrid w:val="0"/>
        <w:spacing w:before="120" w:beforeLines="50" w:after="50" w:line="460" w:lineRule="exact"/>
        <w:rPr>
          <w:rFonts w:ascii="仿宋" w:hAnsi="仿宋" w:eastAsia="仿宋"/>
          <w:color w:val="auto"/>
          <w:sz w:val="30"/>
          <w:szCs w:val="30"/>
        </w:rPr>
      </w:pPr>
    </w:p>
    <w:p w14:paraId="2D400D3B">
      <w:pPr>
        <w:snapToGrid w:val="0"/>
        <w:spacing w:before="120" w:beforeLines="50" w:after="50" w:line="460" w:lineRule="exact"/>
        <w:rPr>
          <w:rFonts w:ascii="仿宋" w:hAnsi="仿宋" w:eastAsia="仿宋"/>
          <w:color w:val="auto"/>
          <w:sz w:val="30"/>
          <w:szCs w:val="30"/>
        </w:rPr>
      </w:pPr>
    </w:p>
    <w:p w14:paraId="35ADAA5B">
      <w:pPr>
        <w:snapToGrid w:val="0"/>
        <w:spacing w:before="120" w:beforeLines="50" w:after="50" w:line="460" w:lineRule="exact"/>
        <w:rPr>
          <w:rFonts w:ascii="仿宋" w:hAnsi="仿宋" w:eastAsia="仿宋"/>
          <w:color w:val="auto"/>
          <w:sz w:val="30"/>
          <w:szCs w:val="30"/>
        </w:rPr>
      </w:pPr>
    </w:p>
    <w:p w14:paraId="19FBE185">
      <w:pPr>
        <w:snapToGrid w:val="0"/>
        <w:spacing w:before="120" w:beforeLines="50" w:after="50" w:line="460" w:lineRule="exact"/>
        <w:rPr>
          <w:rFonts w:ascii="仿宋" w:hAnsi="仿宋" w:eastAsia="仿宋"/>
          <w:color w:val="auto"/>
          <w:sz w:val="30"/>
          <w:szCs w:val="30"/>
        </w:rPr>
      </w:pPr>
    </w:p>
    <w:p w14:paraId="0A553552">
      <w:pPr>
        <w:snapToGrid w:val="0"/>
        <w:spacing w:before="120" w:beforeLines="50" w:after="50" w:line="460" w:lineRule="exact"/>
        <w:rPr>
          <w:rFonts w:ascii="仿宋" w:hAnsi="仿宋" w:eastAsia="仿宋"/>
          <w:color w:val="auto"/>
          <w:sz w:val="30"/>
          <w:szCs w:val="30"/>
        </w:rPr>
      </w:pPr>
    </w:p>
    <w:p w14:paraId="3F1D5E81">
      <w:pPr>
        <w:snapToGrid w:val="0"/>
        <w:spacing w:before="120" w:beforeLines="50" w:after="50" w:line="460" w:lineRule="exact"/>
        <w:rPr>
          <w:rFonts w:ascii="仿宋" w:hAnsi="仿宋" w:eastAsia="仿宋"/>
          <w:color w:val="auto"/>
          <w:sz w:val="30"/>
          <w:szCs w:val="30"/>
        </w:rPr>
      </w:pPr>
    </w:p>
    <w:p w14:paraId="46BB4EBE">
      <w:pPr>
        <w:snapToGrid w:val="0"/>
        <w:spacing w:before="120" w:beforeLines="50" w:after="50" w:line="460" w:lineRule="exact"/>
        <w:rPr>
          <w:rFonts w:ascii="仿宋" w:hAnsi="仿宋" w:eastAsia="仿宋"/>
          <w:color w:val="auto"/>
          <w:sz w:val="30"/>
          <w:szCs w:val="30"/>
        </w:rPr>
      </w:pPr>
      <w:r>
        <w:rPr>
          <w:rFonts w:hint="eastAsia" w:ascii="仿宋" w:hAnsi="仿宋" w:eastAsia="仿宋"/>
          <w:color w:val="auto"/>
          <w:sz w:val="30"/>
          <w:szCs w:val="30"/>
        </w:rPr>
        <w:t>反面：</w:t>
      </w:r>
    </w:p>
    <w:p w14:paraId="4B1746BC">
      <w:pPr>
        <w:widowControl/>
        <w:jc w:val="left"/>
        <w:rPr>
          <w:rFonts w:hAnsi="宋体" w:cs="宋体"/>
          <w:bCs/>
          <w:color w:val="auto"/>
          <w:sz w:val="24"/>
        </w:rPr>
      </w:pPr>
    </w:p>
    <w:p w14:paraId="136567C8">
      <w:pPr>
        <w:widowControl/>
        <w:jc w:val="left"/>
        <w:rPr>
          <w:rFonts w:hAnsi="宋体" w:cs="宋体"/>
          <w:bCs/>
          <w:color w:val="auto"/>
          <w:sz w:val="24"/>
        </w:rPr>
      </w:pPr>
    </w:p>
    <w:p w14:paraId="1A8CDA6B">
      <w:pPr>
        <w:widowControl/>
        <w:jc w:val="left"/>
        <w:rPr>
          <w:rFonts w:hAnsi="宋体" w:cs="宋体"/>
          <w:bCs/>
          <w:color w:val="auto"/>
          <w:sz w:val="24"/>
        </w:rPr>
      </w:pPr>
    </w:p>
    <w:p w14:paraId="53493EA4">
      <w:pPr>
        <w:snapToGrid w:val="0"/>
        <w:spacing w:before="120" w:beforeLines="50" w:after="50" w:line="460" w:lineRule="exact"/>
        <w:rPr>
          <w:rFonts w:ascii="仿宋" w:hAnsi="仿宋" w:eastAsia="仿宋"/>
          <w:color w:val="auto"/>
          <w:sz w:val="30"/>
          <w:szCs w:val="30"/>
        </w:rPr>
      </w:pPr>
    </w:p>
    <w:p w14:paraId="0401E122">
      <w:pPr>
        <w:snapToGrid w:val="0"/>
        <w:spacing w:before="120" w:beforeLines="50" w:after="50" w:line="460" w:lineRule="exact"/>
        <w:rPr>
          <w:rFonts w:ascii="仿宋" w:hAnsi="仿宋" w:eastAsia="仿宋"/>
          <w:color w:val="auto"/>
          <w:sz w:val="30"/>
          <w:szCs w:val="30"/>
        </w:rPr>
      </w:pPr>
    </w:p>
    <w:p w14:paraId="7E5173D3">
      <w:pPr>
        <w:widowControl/>
        <w:jc w:val="left"/>
        <w:rPr>
          <w:rFonts w:hAnsi="宋体" w:cs="宋体"/>
          <w:bCs/>
          <w:color w:val="auto"/>
          <w:sz w:val="24"/>
        </w:rPr>
      </w:pPr>
    </w:p>
    <w:p w14:paraId="54246ADA">
      <w:pPr>
        <w:widowControl/>
        <w:jc w:val="left"/>
        <w:rPr>
          <w:rFonts w:hAnsi="宋体" w:cs="宋体"/>
          <w:bCs/>
          <w:color w:val="auto"/>
          <w:sz w:val="24"/>
        </w:rPr>
      </w:pPr>
    </w:p>
    <w:p w14:paraId="06E06D3F">
      <w:pPr>
        <w:snapToGrid w:val="0"/>
        <w:spacing w:before="120" w:beforeLines="50" w:after="50" w:line="460" w:lineRule="exact"/>
        <w:rPr>
          <w:rFonts w:ascii="仿宋" w:hAnsi="仿宋" w:eastAsia="仿宋"/>
          <w:color w:val="auto"/>
          <w:sz w:val="30"/>
          <w:szCs w:val="30"/>
        </w:rPr>
      </w:pPr>
    </w:p>
    <w:p w14:paraId="2807930E">
      <w:pPr>
        <w:snapToGrid w:val="0"/>
        <w:spacing w:before="120" w:beforeLines="50" w:after="50" w:line="460" w:lineRule="exact"/>
        <w:rPr>
          <w:rFonts w:ascii="仿宋" w:hAnsi="仿宋" w:eastAsia="仿宋"/>
          <w:color w:val="auto"/>
          <w:sz w:val="30"/>
          <w:szCs w:val="30"/>
          <w:u w:val="single"/>
        </w:rPr>
      </w:pPr>
      <w:r>
        <w:rPr>
          <w:rFonts w:hint="eastAsia" w:ascii="仿宋" w:hAnsi="仿宋" w:eastAsia="仿宋"/>
          <w:color w:val="auto"/>
          <w:sz w:val="30"/>
          <w:szCs w:val="30"/>
        </w:rPr>
        <w:t>法定代表人签名（或签名章）：</w:t>
      </w:r>
      <w:r>
        <w:rPr>
          <w:rFonts w:hint="eastAsia" w:ascii="仿宋" w:hAnsi="仿宋" w:eastAsia="仿宋"/>
          <w:color w:val="auto"/>
          <w:sz w:val="30"/>
          <w:szCs w:val="30"/>
          <w:u w:val="single"/>
        </w:rPr>
        <w:t xml:space="preserve">       </w:t>
      </w:r>
    </w:p>
    <w:p w14:paraId="5AD7A986">
      <w:pPr>
        <w:snapToGrid w:val="0"/>
        <w:spacing w:before="120" w:beforeLines="50" w:after="50" w:line="460" w:lineRule="exact"/>
        <w:rPr>
          <w:rFonts w:ascii="仿宋" w:hAnsi="仿宋" w:eastAsia="仿宋"/>
          <w:color w:val="auto"/>
          <w:sz w:val="30"/>
          <w:szCs w:val="30"/>
        </w:rPr>
      </w:pPr>
      <w:r>
        <w:rPr>
          <w:rFonts w:hint="eastAsia" w:ascii="仿宋" w:hAnsi="仿宋" w:eastAsia="仿宋"/>
          <w:color w:val="auto"/>
          <w:sz w:val="30"/>
          <w:szCs w:val="30"/>
        </w:rPr>
        <w:t>联系方式：</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邮箱：</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 xml:space="preserve"> </w:t>
      </w:r>
    </w:p>
    <w:p w14:paraId="000F9E99">
      <w:pPr>
        <w:snapToGrid w:val="0"/>
        <w:spacing w:before="120" w:beforeLines="50" w:after="50" w:line="460" w:lineRule="exact"/>
        <w:rPr>
          <w:rFonts w:ascii="仿宋" w:hAnsi="仿宋" w:eastAsia="仿宋"/>
          <w:color w:val="auto"/>
          <w:sz w:val="30"/>
          <w:szCs w:val="30"/>
        </w:rPr>
      </w:pPr>
    </w:p>
    <w:p w14:paraId="5D25FE6A">
      <w:pPr>
        <w:snapToGrid w:val="0"/>
        <w:spacing w:before="120" w:beforeLines="50" w:after="50" w:line="460" w:lineRule="exact"/>
        <w:rPr>
          <w:rFonts w:ascii="Times New Roman" w:hAnsi="Times New Roman" w:eastAsia="仿宋_GB2312"/>
          <w:color w:val="auto"/>
          <w:sz w:val="30"/>
          <w:szCs w:val="30"/>
          <w:u w:val="single"/>
        </w:rPr>
      </w:pPr>
      <w:r>
        <w:rPr>
          <w:rFonts w:hint="eastAsia" w:ascii="仿宋" w:hAnsi="仿宋" w:eastAsia="仿宋"/>
          <w:color w:val="auto"/>
          <w:sz w:val="30"/>
          <w:szCs w:val="30"/>
        </w:rPr>
        <w:t>响应方全称（公章）：</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 xml:space="preserve">     日期：</w:t>
      </w:r>
      <w:r>
        <w:rPr>
          <w:rFonts w:hint="eastAsia" w:ascii="仿宋" w:hAnsi="仿宋" w:eastAsia="仿宋"/>
          <w:color w:val="auto"/>
          <w:sz w:val="30"/>
          <w:szCs w:val="30"/>
          <w:u w:val="single"/>
        </w:rPr>
        <w:t xml:space="preserve">        </w:t>
      </w:r>
    </w:p>
    <w:p w14:paraId="2B3FBFD9">
      <w:pPr>
        <w:pStyle w:val="4"/>
        <w:pageBreakBefore/>
        <w:spacing w:before="0" w:after="0" w:line="480" w:lineRule="exact"/>
        <w:rPr>
          <w:rFonts w:ascii="仿宋_GB2312"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4</w:t>
      </w:r>
    </w:p>
    <w:p w14:paraId="02D7C9CF">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联合投标协议书</w:t>
      </w:r>
    </w:p>
    <w:p w14:paraId="3AAB0271">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甲方：</w:t>
      </w:r>
    </w:p>
    <w:p w14:paraId="6A68B927">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乙方：</w:t>
      </w:r>
    </w:p>
    <w:p w14:paraId="717C5EFD">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（如果有的话，可按甲、乙、丙、丁…序列增加）</w:t>
      </w:r>
    </w:p>
    <w:p w14:paraId="212BC90F">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各方经协商，就响应</w:t>
      </w:r>
      <w:r>
        <w:rPr>
          <w:rFonts w:hint="eastAsia" w:ascii="仿宋_GB2312" w:hAnsi="仿宋" w:eastAsia="仿宋_GB2312"/>
          <w:b/>
          <w:bCs/>
          <w:color w:val="auto"/>
          <w:sz w:val="30"/>
          <w:szCs w:val="30"/>
          <w:u w:val="single"/>
        </w:rPr>
        <w:t>浙江省教育技术中心</w:t>
      </w:r>
      <w:r>
        <w:rPr>
          <w:rFonts w:hint="eastAsia" w:ascii="仿宋_GB2312" w:hAnsi="仿宋" w:eastAsia="仿宋_GB2312"/>
          <w:color w:val="auto"/>
          <w:sz w:val="30"/>
          <w:szCs w:val="30"/>
        </w:rPr>
        <w:t>组织实施的</w:t>
      </w:r>
      <w:r>
        <w:rPr>
          <w:rFonts w:hint="eastAsia" w:ascii="仿宋_GB2312" w:hAnsi="Times New Roman" w:eastAsia="仿宋_GB2312"/>
          <w:b/>
          <w:bCs/>
          <w:color w:val="auto"/>
          <w:sz w:val="30"/>
          <w:szCs w:val="30"/>
          <w:u w:val="single"/>
        </w:rPr>
        <w:t xml:space="preserve"> 《浙江省中学实验仪器设备购置项目》第二批采购项目（湖州）（项目编号：2026-SJYT-11</w:t>
      </w:r>
      <w:r>
        <w:rPr>
          <w:rFonts w:ascii="仿宋_GB2312" w:hAnsi="Times New Roman" w:eastAsia="仿宋_GB2312"/>
          <w:b/>
          <w:bCs/>
          <w:color w:val="auto"/>
          <w:sz w:val="30"/>
          <w:szCs w:val="30"/>
          <w:u w:val="single"/>
        </w:rPr>
        <w:t xml:space="preserve"> </w:t>
      </w:r>
      <w:r>
        <w:rPr>
          <w:rFonts w:hint="eastAsia" w:ascii="仿宋_GB2312" w:hAnsi="Times New Roman" w:eastAsia="仿宋_GB2312"/>
          <w:b/>
          <w:bCs/>
          <w:color w:val="auto"/>
          <w:sz w:val="30"/>
          <w:szCs w:val="30"/>
          <w:u w:val="single"/>
        </w:rPr>
        <w:t>）</w:t>
      </w:r>
      <w:r>
        <w:rPr>
          <w:rFonts w:hint="eastAsia" w:ascii="Times New Roman" w:hAnsi="Times New Roman" w:eastAsia="仿宋"/>
          <w:b/>
          <w:bCs/>
          <w:snapToGrid w:val="0"/>
          <w:color w:val="auto"/>
          <w:sz w:val="32"/>
          <w:szCs w:val="32"/>
          <w:u w:val="single"/>
        </w:rPr>
        <w:t>标项***</w:t>
      </w:r>
      <w:r>
        <w:rPr>
          <w:rFonts w:hint="eastAsia" w:ascii="仿宋_GB2312" w:hAnsi="仿宋" w:eastAsia="仿宋_GB2312"/>
          <w:color w:val="auto"/>
          <w:sz w:val="30"/>
          <w:szCs w:val="30"/>
        </w:rPr>
        <w:t>的招标活动联合进行投标之事宜，达成如下协议：</w:t>
      </w:r>
    </w:p>
    <w:p w14:paraId="4851F8F8">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一、各方一致决定，以</w:t>
      </w:r>
      <w:r>
        <w:rPr>
          <w:rFonts w:hint="eastAsia" w:ascii="仿宋_GB2312" w:hAnsi="仿宋" w:eastAsia="仿宋_GB2312"/>
          <w:color w:val="auto"/>
          <w:sz w:val="30"/>
          <w:szCs w:val="30"/>
          <w:u w:val="single"/>
        </w:rPr>
        <w:t xml:space="preserve"> </w:t>
      </w:r>
      <w:r>
        <w:rPr>
          <w:rFonts w:ascii="仿宋_GB2312" w:hAnsi="仿宋" w:eastAsia="仿宋_GB2312"/>
          <w:color w:val="auto"/>
          <w:sz w:val="30"/>
          <w:szCs w:val="30"/>
          <w:u w:val="single"/>
        </w:rPr>
        <w:t xml:space="preserve">    </w:t>
      </w:r>
      <w:r>
        <w:rPr>
          <w:rFonts w:hint="eastAsia" w:ascii="仿宋_GB2312" w:hAnsi="仿宋" w:eastAsia="仿宋_GB2312"/>
          <w:color w:val="auto"/>
          <w:sz w:val="30"/>
          <w:szCs w:val="30"/>
          <w:u w:val="single"/>
        </w:rPr>
        <w:t xml:space="preserve"> </w:t>
      </w:r>
      <w:r>
        <w:rPr>
          <w:rFonts w:ascii="仿宋_GB2312" w:hAnsi="仿宋" w:eastAsia="仿宋_GB2312"/>
          <w:color w:val="auto"/>
          <w:sz w:val="30"/>
          <w:szCs w:val="30"/>
          <w:u w:val="single"/>
        </w:rPr>
        <w:t xml:space="preserve">   </w:t>
      </w:r>
      <w:r>
        <w:rPr>
          <w:rFonts w:hint="eastAsia" w:ascii="仿宋_GB2312" w:hAnsi="仿宋" w:eastAsia="仿宋_GB2312"/>
          <w:color w:val="auto"/>
          <w:sz w:val="30"/>
          <w:szCs w:val="30"/>
        </w:rPr>
        <w:t>为主办人进行投标，并按照招标文件的规定分别提交资格文件（声明书、营业执照、投标人特定条件）。</w:t>
      </w:r>
    </w:p>
    <w:p w14:paraId="285B609A">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二、在本次投标过程中，主办人的法定代表人或授权代表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14:paraId="24A5DD94">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三、联合投标其余各方保证对主办人为响应本次招标而提供的产品和服务提供全部质量保证及售后服务支持。</w:t>
      </w:r>
    </w:p>
    <w:p w14:paraId="09B5589A">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四、本次联合投标中，各方承担的工作和义务如下：</w:t>
      </w:r>
    </w:p>
    <w:p w14:paraId="6E9A170E">
      <w:pPr>
        <w:pStyle w:val="5"/>
        <w:overflowPunct w:val="0"/>
        <w:spacing w:line="440" w:lineRule="exact"/>
        <w:ind w:firstLine="642" w:firstLineChars="214"/>
        <w:rPr>
          <w:rFonts w:ascii="仿宋_GB2312" w:hAnsi="仿宋" w:eastAsia="仿宋_GB2312"/>
          <w:color w:val="auto"/>
          <w:sz w:val="30"/>
          <w:szCs w:val="30"/>
          <w:u w:val="single"/>
        </w:rPr>
      </w:pPr>
      <w:r>
        <w:rPr>
          <w:rFonts w:hint="eastAsia" w:ascii="仿宋_GB2312" w:hAnsi="仿宋" w:eastAsia="仿宋_GB2312"/>
          <w:color w:val="auto"/>
          <w:sz w:val="30"/>
          <w:szCs w:val="30"/>
        </w:rPr>
        <w:t>1</w:t>
      </w:r>
      <w:r>
        <w:rPr>
          <w:rFonts w:ascii="仿宋_GB2312" w:hAnsi="仿宋" w:eastAsia="仿宋_GB2312"/>
          <w:color w:val="auto"/>
          <w:sz w:val="30"/>
          <w:szCs w:val="30"/>
        </w:rPr>
        <w:t>.</w:t>
      </w:r>
      <w:r>
        <w:rPr>
          <w:rFonts w:hint="eastAsia" w:ascii="仿宋_GB2312" w:hAnsi="仿宋" w:eastAsia="仿宋_GB2312"/>
          <w:color w:val="auto"/>
          <w:sz w:val="30"/>
          <w:szCs w:val="30"/>
        </w:rPr>
        <w:t>甲方承担的工作和义务为：</w:t>
      </w:r>
      <w:r>
        <w:rPr>
          <w:rFonts w:hint="eastAsia" w:ascii="仿宋_GB2312" w:hAnsi="仿宋" w:eastAsia="仿宋_GB2312"/>
          <w:color w:val="auto"/>
          <w:sz w:val="30"/>
          <w:szCs w:val="30"/>
          <w:u w:val="single"/>
        </w:rPr>
        <w:t xml:space="preserve"> </w:t>
      </w:r>
      <w:r>
        <w:rPr>
          <w:rFonts w:ascii="仿宋_GB2312" w:hAnsi="仿宋" w:eastAsia="仿宋_GB2312"/>
          <w:color w:val="auto"/>
          <w:sz w:val="30"/>
          <w:szCs w:val="30"/>
          <w:u w:val="single"/>
        </w:rPr>
        <w:t xml:space="preserve">                         </w:t>
      </w:r>
      <w:r>
        <w:rPr>
          <w:rFonts w:hint="eastAsia" w:ascii="仿宋_GB2312" w:hAnsi="仿宋" w:eastAsia="仿宋_GB2312"/>
          <w:color w:val="auto"/>
          <w:sz w:val="30"/>
          <w:szCs w:val="30"/>
        </w:rPr>
        <w:t>；</w:t>
      </w:r>
    </w:p>
    <w:p w14:paraId="2BE96A80">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2</w:t>
      </w:r>
      <w:r>
        <w:rPr>
          <w:rFonts w:ascii="仿宋_GB2312" w:hAnsi="仿宋" w:eastAsia="仿宋_GB2312"/>
          <w:color w:val="auto"/>
          <w:sz w:val="30"/>
          <w:szCs w:val="30"/>
        </w:rPr>
        <w:t>.</w:t>
      </w:r>
      <w:r>
        <w:rPr>
          <w:rFonts w:hint="eastAsia" w:ascii="仿宋_GB2312" w:hAnsi="仿宋" w:eastAsia="仿宋_GB2312"/>
          <w:color w:val="auto"/>
          <w:sz w:val="30"/>
          <w:szCs w:val="30"/>
        </w:rPr>
        <w:t>乙方承担的工作和义务为：</w:t>
      </w:r>
      <w:r>
        <w:rPr>
          <w:rFonts w:hint="eastAsia" w:ascii="仿宋_GB2312" w:hAnsi="仿宋" w:eastAsia="仿宋_GB2312"/>
          <w:color w:val="auto"/>
          <w:sz w:val="30"/>
          <w:szCs w:val="30"/>
          <w:u w:val="single"/>
        </w:rPr>
        <w:t xml:space="preserve"> </w:t>
      </w:r>
      <w:r>
        <w:rPr>
          <w:rFonts w:ascii="仿宋_GB2312" w:hAnsi="仿宋" w:eastAsia="仿宋_GB2312"/>
          <w:color w:val="auto"/>
          <w:sz w:val="30"/>
          <w:szCs w:val="30"/>
          <w:u w:val="single"/>
        </w:rPr>
        <w:t xml:space="preserve">                         </w:t>
      </w:r>
      <w:r>
        <w:rPr>
          <w:rFonts w:hint="eastAsia" w:ascii="仿宋_GB2312" w:hAnsi="仿宋" w:eastAsia="仿宋_GB2312"/>
          <w:color w:val="auto"/>
          <w:sz w:val="30"/>
          <w:szCs w:val="30"/>
        </w:rPr>
        <w:t>；</w:t>
      </w:r>
    </w:p>
    <w:p w14:paraId="31EC4109">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（如果有的话，可按甲、乙、丙、丁…序列增加）</w:t>
      </w:r>
    </w:p>
    <w:p w14:paraId="5C96D2DF">
      <w:pPr>
        <w:pStyle w:val="5"/>
        <w:overflowPunct w:val="0"/>
        <w:spacing w:line="440" w:lineRule="exact"/>
        <w:ind w:firstLine="642" w:firstLineChars="214"/>
        <w:rPr>
          <w:rFonts w:ascii="仿宋" w:hAnsi="仿宋" w:eastAsia="仿宋"/>
          <w:color w:val="auto"/>
          <w:sz w:val="30"/>
          <w:szCs w:val="30"/>
        </w:rPr>
      </w:pPr>
      <w:r>
        <w:rPr>
          <w:rFonts w:hint="eastAsia" w:ascii="仿宋" w:hAnsi="仿宋" w:eastAsia="仿宋"/>
          <w:color w:val="auto"/>
          <w:sz w:val="30"/>
          <w:szCs w:val="30"/>
        </w:rPr>
        <w:t>（甲方</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）的合同份额占到合同总金额</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%，（乙方</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）的合同份额占到合同总金额</w:t>
      </w:r>
      <w:r>
        <w:rPr>
          <w:rFonts w:hint="eastAsia" w:ascii="仿宋" w:hAnsi="仿宋" w:eastAsia="仿宋"/>
          <w:color w:val="auto"/>
          <w:sz w:val="30"/>
          <w:szCs w:val="30"/>
          <w:u w:val="single"/>
        </w:rPr>
        <w:t xml:space="preserve">    </w:t>
      </w:r>
      <w:r>
        <w:rPr>
          <w:rFonts w:hint="eastAsia" w:ascii="仿宋" w:hAnsi="仿宋" w:eastAsia="仿宋"/>
          <w:color w:val="auto"/>
          <w:sz w:val="30"/>
          <w:szCs w:val="30"/>
        </w:rPr>
        <w:t>%……</w:t>
      </w:r>
    </w:p>
    <w:p w14:paraId="04EEFCBF">
      <w:pPr>
        <w:pStyle w:val="5"/>
        <w:overflowPunct w:val="0"/>
        <w:spacing w:line="440" w:lineRule="exact"/>
        <w:ind w:firstLine="642" w:firstLineChars="214"/>
        <w:rPr>
          <w:rFonts w:ascii="仿宋_GB2312" w:hAnsi="仿宋" w:eastAsia="仿宋_GB2312"/>
          <w:color w:val="auto"/>
          <w:sz w:val="30"/>
          <w:szCs w:val="30"/>
          <w:u w:val="single"/>
        </w:rPr>
      </w:pPr>
      <w:r>
        <w:rPr>
          <w:rFonts w:hint="eastAsia" w:ascii="仿宋_GB2312" w:hAnsi="仿宋" w:eastAsia="仿宋_GB2312"/>
          <w:color w:val="auto"/>
          <w:sz w:val="30"/>
          <w:szCs w:val="30"/>
        </w:rPr>
        <w:t>五、有关本次联合投标的其他事宜：</w:t>
      </w:r>
      <w:r>
        <w:rPr>
          <w:rFonts w:hint="eastAsia" w:ascii="仿宋_GB2312" w:hAnsi="仿宋" w:eastAsia="仿宋_GB2312"/>
          <w:color w:val="auto"/>
          <w:sz w:val="30"/>
          <w:szCs w:val="30"/>
          <w:u w:val="single"/>
        </w:rPr>
        <w:t xml:space="preserve"> </w:t>
      </w:r>
      <w:r>
        <w:rPr>
          <w:rFonts w:ascii="仿宋_GB2312" w:hAnsi="仿宋" w:eastAsia="仿宋_GB2312"/>
          <w:color w:val="auto"/>
          <w:sz w:val="30"/>
          <w:szCs w:val="30"/>
          <w:u w:val="single"/>
        </w:rPr>
        <w:t xml:space="preserve">                   </w:t>
      </w:r>
      <w:r>
        <w:rPr>
          <w:rFonts w:hint="eastAsia" w:ascii="仿宋_GB2312" w:hAnsi="仿宋" w:eastAsia="仿宋_GB2312"/>
          <w:color w:val="auto"/>
          <w:sz w:val="30"/>
          <w:szCs w:val="30"/>
        </w:rPr>
        <w:t>。</w:t>
      </w:r>
    </w:p>
    <w:p w14:paraId="4E9082E5">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六、本协议提交招标方后，联合投标各方不得以任何形式对上述实质内容进行修改或撤销。</w:t>
      </w:r>
    </w:p>
    <w:p w14:paraId="522EF36B">
      <w:pPr>
        <w:pStyle w:val="5"/>
        <w:overflowPunct w:val="0"/>
        <w:spacing w:line="440" w:lineRule="exact"/>
        <w:ind w:firstLine="642" w:firstLineChars="214"/>
        <w:rPr>
          <w:rFonts w:ascii="仿宋_GB2312" w:hAnsi="仿宋" w:eastAsia="仿宋_GB2312"/>
          <w:color w:val="auto"/>
          <w:sz w:val="30"/>
          <w:szCs w:val="30"/>
        </w:rPr>
      </w:pPr>
      <w:r>
        <w:rPr>
          <w:rFonts w:hint="eastAsia" w:ascii="仿宋_GB2312" w:hAnsi="仿宋" w:eastAsia="仿宋_GB2312"/>
          <w:color w:val="auto"/>
          <w:sz w:val="30"/>
          <w:szCs w:val="30"/>
        </w:rPr>
        <w:t>七、本协议签约各方各持一份，并作为投标文件的一部分。</w:t>
      </w:r>
    </w:p>
    <w:tbl>
      <w:tblPr>
        <w:tblStyle w:val="37"/>
        <w:tblW w:w="8528" w:type="dxa"/>
        <w:jc w:val="center"/>
        <w:tblLayout w:type="fixed"/>
        <w:tblCellMar>
          <w:top w:w="0" w:type="dxa"/>
          <w:left w:w="108" w:type="dxa"/>
          <w:bottom w:w="0" w:type="dxa"/>
          <w:right w:w="108" w:type="dxa"/>
        </w:tblCellMar>
      </w:tblPr>
      <w:tblGrid>
        <w:gridCol w:w="4264"/>
        <w:gridCol w:w="4264"/>
      </w:tblGrid>
      <w:tr w14:paraId="1A3BF445">
        <w:tblPrEx>
          <w:tblCellMar>
            <w:top w:w="0" w:type="dxa"/>
            <w:left w:w="108" w:type="dxa"/>
            <w:bottom w:w="0" w:type="dxa"/>
            <w:right w:w="108" w:type="dxa"/>
          </w:tblCellMar>
        </w:tblPrEx>
        <w:trPr>
          <w:jc w:val="center"/>
        </w:trPr>
        <w:tc>
          <w:tcPr>
            <w:tcW w:w="4264" w:type="dxa"/>
          </w:tcPr>
          <w:p w14:paraId="51E1F2C5">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甲方单位：（公章）</w:t>
            </w:r>
          </w:p>
          <w:p w14:paraId="41AA58A2">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法定代表人：（签章）</w:t>
            </w:r>
          </w:p>
          <w:p w14:paraId="305093CA">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 xml:space="preserve">日  期：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 xml:space="preserve">年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 xml:space="preserve">月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日</w:t>
            </w:r>
          </w:p>
        </w:tc>
        <w:tc>
          <w:tcPr>
            <w:tcW w:w="4264" w:type="dxa"/>
          </w:tcPr>
          <w:p w14:paraId="0C7A5147">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乙方单位：（公章）</w:t>
            </w:r>
          </w:p>
          <w:p w14:paraId="210E91A0">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法定代表人：（签章）</w:t>
            </w:r>
          </w:p>
          <w:p w14:paraId="16C59E02">
            <w:pPr>
              <w:pStyle w:val="5"/>
              <w:overflowPunct w:val="0"/>
              <w:spacing w:line="460" w:lineRule="exact"/>
              <w:ind w:firstLine="0"/>
              <w:rPr>
                <w:rFonts w:ascii="仿宋_GB2312" w:hAnsi="仿宋" w:eastAsia="仿宋_GB2312"/>
                <w:color w:val="auto"/>
                <w:sz w:val="30"/>
                <w:szCs w:val="30"/>
              </w:rPr>
            </w:pPr>
            <w:r>
              <w:rPr>
                <w:rFonts w:hint="eastAsia" w:ascii="仿宋_GB2312" w:hAnsi="仿宋" w:eastAsia="仿宋_GB2312"/>
                <w:color w:val="auto"/>
                <w:sz w:val="30"/>
                <w:szCs w:val="30"/>
              </w:rPr>
              <w:t xml:space="preserve">日  期：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 xml:space="preserve">年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 xml:space="preserve">月 </w:t>
            </w:r>
            <w:r>
              <w:rPr>
                <w:rFonts w:ascii="仿宋_GB2312" w:hAnsi="仿宋" w:eastAsia="仿宋_GB2312"/>
                <w:color w:val="auto"/>
                <w:sz w:val="30"/>
                <w:szCs w:val="30"/>
              </w:rPr>
              <w:t xml:space="preserve"> </w:t>
            </w:r>
            <w:r>
              <w:rPr>
                <w:rFonts w:hint="eastAsia" w:ascii="仿宋_GB2312" w:hAnsi="仿宋" w:eastAsia="仿宋_GB2312"/>
                <w:color w:val="auto"/>
                <w:sz w:val="30"/>
                <w:szCs w:val="30"/>
              </w:rPr>
              <w:t>日</w:t>
            </w:r>
          </w:p>
        </w:tc>
      </w:tr>
    </w:tbl>
    <w:p w14:paraId="5A4CAD33">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5</w:t>
      </w:r>
    </w:p>
    <w:p w14:paraId="4E10A312">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联合投标授权委托书</w:t>
      </w:r>
    </w:p>
    <w:p w14:paraId="3170EA65">
      <w:pPr>
        <w:snapToGrid w:val="0"/>
        <w:spacing w:line="440" w:lineRule="exact"/>
        <w:jc w:val="center"/>
        <w:rPr>
          <w:rFonts w:ascii="Times New Roman" w:hAnsi="Times New Roman" w:eastAsia="仿宋_GB2312"/>
          <w:b/>
          <w:color w:val="auto"/>
          <w:sz w:val="36"/>
          <w:szCs w:val="36"/>
        </w:rPr>
      </w:pPr>
    </w:p>
    <w:p w14:paraId="70BFCC36">
      <w:pPr>
        <w:snapToGrid w:val="0"/>
        <w:spacing w:before="120" w:beforeLines="50" w:after="50" w:line="460" w:lineRule="exact"/>
        <w:ind w:firstLine="480"/>
        <w:rPr>
          <w:rFonts w:ascii="仿宋" w:hAnsi="仿宋" w:eastAsia="仿宋"/>
          <w:color w:val="auto"/>
          <w:sz w:val="30"/>
          <w:szCs w:val="30"/>
        </w:rPr>
      </w:pPr>
      <w:r>
        <w:rPr>
          <w:rFonts w:hint="eastAsia" w:ascii="仿宋" w:hAnsi="仿宋" w:eastAsia="仿宋"/>
          <w:color w:val="auto"/>
          <w:sz w:val="30"/>
          <w:szCs w:val="30"/>
        </w:rPr>
        <w:t xml:space="preserve"> 本授权委托书声明：根据</w:t>
      </w:r>
      <w:r>
        <w:rPr>
          <w:rFonts w:hint="eastAsia" w:ascii="仿宋" w:hAnsi="仿宋" w:eastAsia="仿宋"/>
          <w:color w:val="auto"/>
          <w:sz w:val="30"/>
          <w:szCs w:val="30"/>
          <w:u w:val="single"/>
        </w:rPr>
        <w:t xml:space="preserve"> </w:t>
      </w:r>
      <w:r>
        <w:rPr>
          <w:rFonts w:ascii="仿宋" w:hAnsi="仿宋" w:eastAsia="仿宋"/>
          <w:color w:val="auto"/>
          <w:sz w:val="30"/>
          <w:szCs w:val="30"/>
          <w:u w:val="single"/>
        </w:rPr>
        <w:t xml:space="preserve">            </w:t>
      </w:r>
      <w:r>
        <w:rPr>
          <w:rFonts w:hint="eastAsia" w:ascii="仿宋" w:hAnsi="仿宋" w:eastAsia="仿宋"/>
          <w:color w:val="auto"/>
          <w:sz w:val="30"/>
          <w:szCs w:val="30"/>
        </w:rPr>
        <w:t>与</w:t>
      </w:r>
      <w:r>
        <w:rPr>
          <w:rFonts w:hint="eastAsia" w:ascii="仿宋" w:hAnsi="仿宋" w:eastAsia="仿宋"/>
          <w:color w:val="auto"/>
          <w:sz w:val="30"/>
          <w:szCs w:val="30"/>
          <w:u w:val="single"/>
        </w:rPr>
        <w:t xml:space="preserve">         （所有联合体供应商名称）</w:t>
      </w:r>
      <w:r>
        <w:rPr>
          <w:rFonts w:hint="eastAsia" w:ascii="仿宋" w:hAnsi="仿宋" w:eastAsia="仿宋"/>
          <w:color w:val="auto"/>
          <w:sz w:val="30"/>
          <w:szCs w:val="30"/>
        </w:rPr>
        <w:t>签订的《联合投标协议书》的内容，主办人的法定代表人现授权为</w:t>
      </w:r>
      <w:r>
        <w:rPr>
          <w:rFonts w:hint="eastAsia" w:ascii="仿宋" w:hAnsi="仿宋" w:eastAsia="仿宋"/>
          <w:color w:val="auto"/>
          <w:sz w:val="30"/>
          <w:szCs w:val="30"/>
          <w:u w:val="single"/>
        </w:rPr>
        <w:t xml:space="preserve"> </w:t>
      </w:r>
      <w:r>
        <w:rPr>
          <w:rFonts w:ascii="仿宋" w:hAnsi="仿宋" w:eastAsia="仿宋"/>
          <w:color w:val="auto"/>
          <w:sz w:val="30"/>
          <w:szCs w:val="30"/>
          <w:u w:val="single"/>
        </w:rPr>
        <w:t xml:space="preserve">     </w:t>
      </w:r>
      <w:r>
        <w:rPr>
          <w:rFonts w:hint="eastAsia" w:ascii="仿宋" w:hAnsi="仿宋" w:eastAsia="仿宋"/>
          <w:color w:val="auto"/>
          <w:sz w:val="30"/>
          <w:szCs w:val="30"/>
        </w:rPr>
        <w:t>联合投标授权代表，授权代表在投标、开标、评标、合同谈判过程中所签署的一切文件和处理与这有关的一切事务， 联合投标各方均予以认可并遵守。</w:t>
      </w:r>
    </w:p>
    <w:p w14:paraId="7F85A460">
      <w:pPr>
        <w:snapToGrid w:val="0"/>
        <w:spacing w:before="120" w:beforeLines="50" w:after="50" w:line="460" w:lineRule="exact"/>
        <w:ind w:firstLine="480"/>
        <w:rPr>
          <w:rFonts w:ascii="仿宋" w:hAnsi="仿宋" w:eastAsia="仿宋"/>
          <w:color w:val="auto"/>
          <w:sz w:val="30"/>
          <w:szCs w:val="30"/>
        </w:rPr>
      </w:pPr>
      <w:r>
        <w:rPr>
          <w:rFonts w:hint="eastAsia" w:ascii="仿宋" w:hAnsi="仿宋" w:eastAsia="仿宋"/>
          <w:color w:val="auto"/>
          <w:sz w:val="30"/>
          <w:szCs w:val="30"/>
        </w:rPr>
        <w:t>在撤销授权的书面通知以前，本授权书一直有效。授权代表在授权书有效期内签署的所有文件不因授权的撤销而失效。</w:t>
      </w:r>
    </w:p>
    <w:p w14:paraId="12DE83ED">
      <w:pPr>
        <w:overflowPunct w:val="0"/>
        <w:snapToGrid w:val="0"/>
        <w:spacing w:before="120" w:beforeLines="50" w:after="50" w:line="460" w:lineRule="exact"/>
        <w:ind w:firstLine="480"/>
        <w:rPr>
          <w:rFonts w:ascii="仿宋" w:hAnsi="仿宋" w:eastAsia="仿宋"/>
          <w:color w:val="auto"/>
          <w:sz w:val="30"/>
          <w:szCs w:val="30"/>
        </w:rPr>
      </w:pPr>
      <w:r>
        <w:rPr>
          <w:rFonts w:hint="eastAsia" w:ascii="仿宋" w:hAnsi="仿宋" w:eastAsia="仿宋"/>
          <w:color w:val="auto"/>
          <w:sz w:val="30"/>
          <w:szCs w:val="30"/>
        </w:rPr>
        <w:t>授权代表无转委托权，特此委托。</w:t>
      </w:r>
    </w:p>
    <w:p w14:paraId="430A55AA">
      <w:pPr>
        <w:pStyle w:val="5"/>
        <w:overflowPunct w:val="0"/>
        <w:spacing w:line="460" w:lineRule="exact"/>
        <w:rPr>
          <w:rFonts w:ascii="仿宋" w:hAnsi="仿宋" w:eastAsia="仿宋"/>
          <w:color w:val="auto"/>
          <w:sz w:val="30"/>
          <w:szCs w:val="30"/>
        </w:rPr>
      </w:pPr>
    </w:p>
    <w:p w14:paraId="2589F183">
      <w:pPr>
        <w:snapToGrid w:val="0"/>
        <w:spacing w:before="120" w:beforeLines="50" w:after="50" w:line="460" w:lineRule="exact"/>
        <w:ind w:firstLine="600" w:firstLineChars="200"/>
        <w:rPr>
          <w:rFonts w:ascii="仿宋" w:hAnsi="仿宋" w:eastAsia="仿宋"/>
          <w:color w:val="auto"/>
          <w:sz w:val="30"/>
          <w:szCs w:val="30"/>
        </w:rPr>
      </w:pPr>
      <w:r>
        <w:rPr>
          <w:rFonts w:hint="eastAsia" w:ascii="仿宋" w:hAnsi="仿宋" w:eastAsia="仿宋"/>
          <w:color w:val="auto"/>
          <w:sz w:val="30"/>
          <w:szCs w:val="30"/>
        </w:rPr>
        <w:t>授权人（签名）：</w:t>
      </w:r>
      <w:r>
        <w:rPr>
          <w:rFonts w:hint="eastAsia" w:ascii="仿宋" w:hAnsi="仿宋" w:eastAsia="仿宋"/>
          <w:color w:val="auto"/>
          <w:sz w:val="30"/>
          <w:szCs w:val="30"/>
          <w:u w:val="single"/>
        </w:rPr>
        <w:t xml:space="preserve"> </w:t>
      </w:r>
      <w:r>
        <w:rPr>
          <w:rFonts w:ascii="仿宋" w:hAnsi="仿宋" w:eastAsia="仿宋"/>
          <w:color w:val="auto"/>
          <w:sz w:val="30"/>
          <w:szCs w:val="30"/>
          <w:u w:val="single"/>
        </w:rPr>
        <w:t xml:space="preserve">      </w:t>
      </w:r>
      <w:r>
        <w:rPr>
          <w:rFonts w:hint="eastAsia" w:ascii="仿宋" w:hAnsi="仿宋" w:eastAsia="仿宋"/>
          <w:color w:val="auto"/>
          <w:sz w:val="30"/>
          <w:szCs w:val="30"/>
          <w:u w:val="single"/>
        </w:rPr>
        <w:t xml:space="preserve"> </w:t>
      </w:r>
      <w:r>
        <w:rPr>
          <w:rFonts w:ascii="仿宋" w:hAnsi="仿宋" w:eastAsia="仿宋"/>
          <w:color w:val="auto"/>
          <w:sz w:val="30"/>
          <w:szCs w:val="30"/>
          <w:u w:val="single"/>
        </w:rPr>
        <w:t xml:space="preserve">   </w:t>
      </w:r>
      <w:r>
        <w:rPr>
          <w:rFonts w:hint="eastAsia" w:ascii="仿宋" w:hAnsi="仿宋" w:eastAsia="仿宋"/>
          <w:color w:val="auto"/>
          <w:sz w:val="30"/>
          <w:szCs w:val="30"/>
        </w:rPr>
        <w:t xml:space="preserve">  日期：  年  月   日</w:t>
      </w:r>
    </w:p>
    <w:p w14:paraId="2DB1ACBE">
      <w:pPr>
        <w:snapToGrid w:val="0"/>
        <w:spacing w:before="120" w:beforeLines="50" w:after="50" w:line="460" w:lineRule="exact"/>
        <w:ind w:firstLine="600" w:firstLineChars="200"/>
        <w:rPr>
          <w:rFonts w:ascii="仿宋" w:hAnsi="仿宋" w:eastAsia="仿宋"/>
          <w:color w:val="auto"/>
          <w:sz w:val="30"/>
          <w:szCs w:val="30"/>
          <w:u w:val="single"/>
        </w:rPr>
      </w:pPr>
      <w:r>
        <w:rPr>
          <w:rFonts w:hint="eastAsia" w:ascii="仿宋" w:hAnsi="仿宋" w:eastAsia="仿宋"/>
          <w:color w:val="auto"/>
          <w:sz w:val="30"/>
          <w:szCs w:val="30"/>
        </w:rPr>
        <w:t>授权代表（签名）：</w:t>
      </w:r>
      <w:r>
        <w:rPr>
          <w:rFonts w:hint="eastAsia" w:ascii="仿宋" w:hAnsi="仿宋" w:eastAsia="仿宋"/>
          <w:color w:val="auto"/>
          <w:sz w:val="30"/>
          <w:szCs w:val="30"/>
          <w:u w:val="single"/>
        </w:rPr>
        <w:t xml:space="preserve"> </w:t>
      </w:r>
      <w:r>
        <w:rPr>
          <w:rFonts w:ascii="仿宋" w:hAnsi="仿宋" w:eastAsia="仿宋"/>
          <w:color w:val="auto"/>
          <w:sz w:val="30"/>
          <w:szCs w:val="30"/>
          <w:u w:val="single"/>
        </w:rPr>
        <w:t xml:space="preserve">         </w:t>
      </w:r>
      <w:r>
        <w:rPr>
          <w:rFonts w:hint="eastAsia" w:ascii="仿宋" w:hAnsi="仿宋" w:eastAsia="仿宋"/>
          <w:color w:val="auto"/>
          <w:sz w:val="30"/>
          <w:szCs w:val="30"/>
          <w:u w:val="single"/>
        </w:rPr>
        <w:t>（身份证号码：                  ）</w:t>
      </w:r>
    </w:p>
    <w:p w14:paraId="1FCC839A">
      <w:pPr>
        <w:pStyle w:val="5"/>
        <w:overflowPunct w:val="0"/>
        <w:spacing w:line="460" w:lineRule="exact"/>
        <w:ind w:firstLine="570" w:firstLineChars="190"/>
        <w:rPr>
          <w:rFonts w:ascii="仿宋" w:hAnsi="仿宋" w:eastAsia="仿宋"/>
          <w:color w:val="auto"/>
          <w:sz w:val="30"/>
          <w:szCs w:val="30"/>
        </w:rPr>
      </w:pPr>
      <w:r>
        <w:rPr>
          <w:rFonts w:hint="eastAsia" w:ascii="仿宋" w:hAnsi="仿宋" w:eastAsia="仿宋"/>
          <w:color w:val="auto"/>
          <w:sz w:val="30"/>
          <w:szCs w:val="30"/>
        </w:rPr>
        <w:t>日期：  年  月   日</w:t>
      </w:r>
    </w:p>
    <w:p w14:paraId="5C92393D">
      <w:pPr>
        <w:tabs>
          <w:tab w:val="left" w:pos="606"/>
        </w:tabs>
        <w:spacing w:line="460" w:lineRule="exact"/>
        <w:rPr>
          <w:rFonts w:ascii="仿宋" w:hAnsi="仿宋" w:eastAsia="仿宋"/>
          <w:color w:val="auto"/>
          <w:spacing w:val="20"/>
          <w:sz w:val="30"/>
          <w:szCs w:val="30"/>
        </w:rPr>
      </w:pPr>
    </w:p>
    <w:tbl>
      <w:tblPr>
        <w:tblStyle w:val="37"/>
        <w:tblW w:w="8528" w:type="dxa"/>
        <w:jc w:val="center"/>
        <w:tblLayout w:type="fixed"/>
        <w:tblCellMar>
          <w:top w:w="0" w:type="dxa"/>
          <w:left w:w="108" w:type="dxa"/>
          <w:bottom w:w="0" w:type="dxa"/>
          <w:right w:w="108" w:type="dxa"/>
        </w:tblCellMar>
      </w:tblPr>
      <w:tblGrid>
        <w:gridCol w:w="4264"/>
        <w:gridCol w:w="4264"/>
      </w:tblGrid>
      <w:tr w14:paraId="194A95F3">
        <w:tblPrEx>
          <w:tblCellMar>
            <w:top w:w="0" w:type="dxa"/>
            <w:left w:w="108" w:type="dxa"/>
            <w:bottom w:w="0" w:type="dxa"/>
            <w:right w:w="108" w:type="dxa"/>
          </w:tblCellMar>
        </w:tblPrEx>
        <w:trPr>
          <w:jc w:val="center"/>
        </w:trPr>
        <w:tc>
          <w:tcPr>
            <w:tcW w:w="4264" w:type="dxa"/>
          </w:tcPr>
          <w:p w14:paraId="2A337E28">
            <w:pPr>
              <w:pStyle w:val="5"/>
              <w:overflowPunct w:val="0"/>
              <w:spacing w:line="460" w:lineRule="exact"/>
              <w:ind w:firstLine="0"/>
              <w:rPr>
                <w:rFonts w:ascii="仿宋" w:hAnsi="仿宋" w:eastAsia="仿宋"/>
                <w:color w:val="auto"/>
                <w:sz w:val="30"/>
                <w:szCs w:val="30"/>
              </w:rPr>
            </w:pPr>
          </w:p>
          <w:p w14:paraId="1054C9F8">
            <w:pPr>
              <w:pStyle w:val="5"/>
              <w:overflowPunct w:val="0"/>
              <w:spacing w:line="460" w:lineRule="exact"/>
              <w:ind w:firstLine="0"/>
              <w:rPr>
                <w:rFonts w:ascii="仿宋" w:hAnsi="仿宋" w:eastAsia="仿宋"/>
                <w:color w:val="auto"/>
                <w:sz w:val="30"/>
                <w:szCs w:val="30"/>
              </w:rPr>
            </w:pPr>
          </w:p>
          <w:p w14:paraId="20C05E7E">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联合体甲方单位：（公章）</w:t>
            </w:r>
          </w:p>
          <w:p w14:paraId="32D38E9D">
            <w:pPr>
              <w:pStyle w:val="5"/>
              <w:overflowPunct w:val="0"/>
              <w:spacing w:line="460" w:lineRule="exact"/>
              <w:ind w:firstLine="0"/>
              <w:rPr>
                <w:rFonts w:ascii="仿宋" w:hAnsi="仿宋" w:eastAsia="仿宋"/>
                <w:color w:val="auto"/>
                <w:sz w:val="30"/>
                <w:szCs w:val="30"/>
              </w:rPr>
            </w:pPr>
          </w:p>
          <w:p w14:paraId="2858441B">
            <w:pPr>
              <w:pStyle w:val="5"/>
              <w:overflowPunct w:val="0"/>
              <w:spacing w:line="460" w:lineRule="exact"/>
              <w:ind w:firstLine="0"/>
              <w:rPr>
                <w:rFonts w:ascii="仿宋" w:hAnsi="仿宋" w:eastAsia="仿宋"/>
                <w:color w:val="auto"/>
                <w:sz w:val="30"/>
                <w:szCs w:val="30"/>
              </w:rPr>
            </w:pPr>
          </w:p>
          <w:p w14:paraId="55DDF938">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法定代表人：（签章）</w:t>
            </w:r>
          </w:p>
          <w:p w14:paraId="4FC27BE9">
            <w:pPr>
              <w:pStyle w:val="5"/>
              <w:overflowPunct w:val="0"/>
              <w:spacing w:line="460" w:lineRule="exact"/>
              <w:ind w:firstLine="0"/>
              <w:rPr>
                <w:rFonts w:ascii="仿宋" w:hAnsi="仿宋" w:eastAsia="仿宋"/>
                <w:color w:val="auto"/>
                <w:sz w:val="30"/>
                <w:szCs w:val="30"/>
              </w:rPr>
            </w:pPr>
          </w:p>
          <w:p w14:paraId="08586AC9">
            <w:pPr>
              <w:pStyle w:val="5"/>
              <w:overflowPunct w:val="0"/>
              <w:spacing w:line="460" w:lineRule="exact"/>
              <w:ind w:firstLine="0"/>
              <w:rPr>
                <w:rFonts w:ascii="仿宋" w:hAnsi="仿宋" w:eastAsia="仿宋"/>
                <w:color w:val="auto"/>
                <w:sz w:val="30"/>
                <w:szCs w:val="30"/>
              </w:rPr>
            </w:pPr>
          </w:p>
          <w:p w14:paraId="6BA4A300">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日  期： 年 月 日</w:t>
            </w:r>
          </w:p>
        </w:tc>
        <w:tc>
          <w:tcPr>
            <w:tcW w:w="4264" w:type="dxa"/>
          </w:tcPr>
          <w:p w14:paraId="096B789B">
            <w:pPr>
              <w:pStyle w:val="5"/>
              <w:overflowPunct w:val="0"/>
              <w:spacing w:line="460" w:lineRule="exact"/>
              <w:ind w:firstLine="0"/>
              <w:rPr>
                <w:rFonts w:ascii="仿宋" w:hAnsi="仿宋" w:eastAsia="仿宋"/>
                <w:color w:val="auto"/>
                <w:sz w:val="30"/>
                <w:szCs w:val="30"/>
              </w:rPr>
            </w:pPr>
          </w:p>
          <w:p w14:paraId="682716AF">
            <w:pPr>
              <w:pStyle w:val="5"/>
              <w:overflowPunct w:val="0"/>
              <w:spacing w:line="460" w:lineRule="exact"/>
              <w:ind w:firstLine="0"/>
              <w:rPr>
                <w:rFonts w:ascii="仿宋" w:hAnsi="仿宋" w:eastAsia="仿宋"/>
                <w:color w:val="auto"/>
                <w:sz w:val="30"/>
                <w:szCs w:val="30"/>
              </w:rPr>
            </w:pPr>
          </w:p>
          <w:p w14:paraId="2F98DF72">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联合体乙方单位：（公章）</w:t>
            </w:r>
          </w:p>
          <w:p w14:paraId="34D09ACF">
            <w:pPr>
              <w:pStyle w:val="5"/>
              <w:overflowPunct w:val="0"/>
              <w:spacing w:line="460" w:lineRule="exact"/>
              <w:ind w:firstLine="0"/>
              <w:rPr>
                <w:rFonts w:ascii="仿宋" w:hAnsi="仿宋" w:eastAsia="仿宋"/>
                <w:color w:val="auto"/>
                <w:sz w:val="30"/>
                <w:szCs w:val="30"/>
              </w:rPr>
            </w:pPr>
          </w:p>
          <w:p w14:paraId="0FADE43D">
            <w:pPr>
              <w:pStyle w:val="5"/>
              <w:overflowPunct w:val="0"/>
              <w:spacing w:line="460" w:lineRule="exact"/>
              <w:ind w:firstLine="0"/>
              <w:rPr>
                <w:rFonts w:ascii="仿宋" w:hAnsi="仿宋" w:eastAsia="仿宋"/>
                <w:color w:val="auto"/>
                <w:sz w:val="30"/>
                <w:szCs w:val="30"/>
              </w:rPr>
            </w:pPr>
          </w:p>
          <w:p w14:paraId="542628DC">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法定代表人：（签章）</w:t>
            </w:r>
          </w:p>
          <w:p w14:paraId="46B7A8EA">
            <w:pPr>
              <w:pStyle w:val="5"/>
              <w:overflowPunct w:val="0"/>
              <w:spacing w:line="460" w:lineRule="exact"/>
              <w:ind w:firstLine="0"/>
              <w:rPr>
                <w:rFonts w:ascii="仿宋" w:hAnsi="仿宋" w:eastAsia="仿宋"/>
                <w:color w:val="auto"/>
                <w:sz w:val="30"/>
                <w:szCs w:val="30"/>
              </w:rPr>
            </w:pPr>
          </w:p>
          <w:p w14:paraId="1358F48A">
            <w:pPr>
              <w:pStyle w:val="5"/>
              <w:overflowPunct w:val="0"/>
              <w:spacing w:line="460" w:lineRule="exact"/>
              <w:ind w:firstLine="0"/>
              <w:rPr>
                <w:rFonts w:ascii="仿宋" w:hAnsi="仿宋" w:eastAsia="仿宋"/>
                <w:color w:val="auto"/>
                <w:sz w:val="30"/>
                <w:szCs w:val="30"/>
              </w:rPr>
            </w:pPr>
          </w:p>
          <w:p w14:paraId="3C2EDC3D">
            <w:pPr>
              <w:pStyle w:val="5"/>
              <w:overflowPunct w:val="0"/>
              <w:spacing w:line="460" w:lineRule="exact"/>
              <w:ind w:firstLine="0"/>
              <w:rPr>
                <w:rFonts w:ascii="仿宋" w:hAnsi="仿宋" w:eastAsia="仿宋"/>
                <w:color w:val="auto"/>
                <w:sz w:val="30"/>
                <w:szCs w:val="30"/>
              </w:rPr>
            </w:pPr>
            <w:r>
              <w:rPr>
                <w:rFonts w:hint="eastAsia" w:ascii="仿宋" w:hAnsi="仿宋" w:eastAsia="仿宋"/>
                <w:color w:val="auto"/>
                <w:sz w:val="30"/>
                <w:szCs w:val="30"/>
              </w:rPr>
              <w:t>日  期： 年 月 日</w:t>
            </w:r>
          </w:p>
        </w:tc>
      </w:tr>
    </w:tbl>
    <w:p w14:paraId="106EB589">
      <w:pPr>
        <w:snapToGrid w:val="0"/>
        <w:spacing w:before="120" w:beforeLines="50" w:after="50" w:line="460" w:lineRule="exact"/>
        <w:rPr>
          <w:rFonts w:ascii="仿宋" w:hAnsi="仿宋" w:eastAsia="仿宋"/>
          <w:color w:val="auto"/>
          <w:sz w:val="30"/>
          <w:szCs w:val="30"/>
        </w:rPr>
      </w:pPr>
    </w:p>
    <w:p w14:paraId="3D00679E">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6</w:t>
      </w:r>
    </w:p>
    <w:p w14:paraId="34C60B84">
      <w:pPr>
        <w:snapToGrid w:val="0"/>
        <w:spacing w:line="36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分包意向协议</w:t>
      </w:r>
    </w:p>
    <w:p w14:paraId="37EADD5E">
      <w:pPr>
        <w:snapToGrid w:val="0"/>
        <w:spacing w:line="360" w:lineRule="exact"/>
        <w:ind w:firstLine="560" w:firstLineChars="200"/>
        <w:rPr>
          <w:rFonts w:ascii="仿宋_GB2312" w:hAnsi="仿宋" w:eastAsia="仿宋_GB2312"/>
          <w:i/>
          <w:iCs/>
          <w:color w:val="auto"/>
          <w:sz w:val="28"/>
          <w:szCs w:val="28"/>
          <w:u w:val="single"/>
        </w:rPr>
      </w:pPr>
      <w:r>
        <w:rPr>
          <w:rFonts w:hint="eastAsia" w:ascii="仿宋_GB2312" w:hAnsi="仿宋" w:eastAsia="仿宋_GB2312"/>
          <w:i/>
          <w:iCs/>
          <w:color w:val="auto"/>
          <w:sz w:val="28"/>
          <w:szCs w:val="28"/>
          <w:u w:val="single"/>
        </w:rPr>
        <w:t>（中标后以分包方式履行合同的，提供分包意向协议；采购人不同意分包或者投标人中标后不以分包方式履行合同的，则不需要提供。）</w:t>
      </w:r>
    </w:p>
    <w:p w14:paraId="29CCE72F">
      <w:pPr>
        <w:snapToGrid w:val="0"/>
        <w:spacing w:line="3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w:t>
      </w:r>
      <w:r>
        <w:rPr>
          <w:rFonts w:hint="eastAsia" w:ascii="仿宋_GB2312" w:hAnsi="仿宋" w:eastAsia="仿宋_GB2312"/>
          <w:color w:val="auto"/>
          <w:sz w:val="28"/>
          <w:szCs w:val="28"/>
          <w:u w:val="single"/>
        </w:rPr>
        <w:t>投标人名称</w:t>
      </w:r>
      <w:r>
        <w:rPr>
          <w:rFonts w:hint="eastAsia" w:ascii="仿宋_GB2312" w:hAnsi="仿宋" w:eastAsia="仿宋_GB2312"/>
          <w:color w:val="auto"/>
          <w:sz w:val="28"/>
          <w:szCs w:val="28"/>
        </w:rPr>
        <w:t>）</w:t>
      </w:r>
      <w:r>
        <w:rPr>
          <w:rFonts w:hint="eastAsia" w:ascii="仿宋_GB2312" w:hAnsi="仿宋" w:eastAsia="仿宋_GB2312"/>
          <w:color w:val="auto"/>
          <w:sz w:val="28"/>
          <w:szCs w:val="28"/>
          <w:lang w:val="zh-CN"/>
        </w:rPr>
        <w:t>若成为</w:t>
      </w:r>
      <w:r>
        <w:rPr>
          <w:rFonts w:hint="eastAsia" w:ascii="仿宋_GB2312" w:hAnsi="Times New Roman" w:eastAsia="仿宋_GB2312"/>
          <w:b/>
          <w:bCs/>
          <w:color w:val="auto"/>
          <w:sz w:val="28"/>
          <w:szCs w:val="28"/>
          <w:u w:val="single"/>
        </w:rPr>
        <w:t xml:space="preserve"> 《浙江省中学实验仪器设备购置项目》第二批采购项目（湖州）（项目编号：2026-SJYT-11</w:t>
      </w:r>
      <w:r>
        <w:rPr>
          <w:rFonts w:ascii="仿宋_GB2312" w:hAnsi="Times New Roman" w:eastAsia="仿宋_GB2312"/>
          <w:b/>
          <w:bCs/>
          <w:color w:val="auto"/>
          <w:sz w:val="28"/>
          <w:szCs w:val="28"/>
          <w:u w:val="single"/>
        </w:rPr>
        <w:t xml:space="preserve"> </w:t>
      </w:r>
      <w:r>
        <w:rPr>
          <w:rFonts w:hint="eastAsia" w:ascii="仿宋_GB2312" w:hAnsi="Times New Roman" w:eastAsia="仿宋_GB2312"/>
          <w:b/>
          <w:bCs/>
          <w:color w:val="auto"/>
          <w:sz w:val="28"/>
          <w:szCs w:val="28"/>
          <w:u w:val="single"/>
        </w:rPr>
        <w:t>）</w:t>
      </w:r>
      <w:r>
        <w:rPr>
          <w:rFonts w:hint="eastAsia" w:ascii="Times New Roman" w:hAnsi="Times New Roman" w:eastAsia="仿宋"/>
          <w:b/>
          <w:bCs/>
          <w:snapToGrid w:val="0"/>
          <w:color w:val="auto"/>
          <w:sz w:val="32"/>
          <w:szCs w:val="32"/>
          <w:u w:val="single"/>
        </w:rPr>
        <w:t>标项***</w:t>
      </w:r>
      <w:r>
        <w:rPr>
          <w:rFonts w:hint="eastAsia" w:ascii="仿宋_GB2312" w:hAnsi="仿宋" w:eastAsia="仿宋_GB2312"/>
          <w:color w:val="auto"/>
          <w:sz w:val="28"/>
          <w:szCs w:val="28"/>
          <w:lang w:val="zh-CN"/>
        </w:rPr>
        <w:t>的中标供应商，将依法采取分包方式履行合同。</w:t>
      </w:r>
      <w:r>
        <w:rPr>
          <w:rFonts w:hint="eastAsia" w:ascii="仿宋_GB2312" w:hAnsi="仿宋" w:eastAsia="仿宋_GB2312"/>
          <w:color w:val="auto"/>
          <w:sz w:val="28"/>
          <w:szCs w:val="28"/>
        </w:rPr>
        <w:t>（</w:t>
      </w:r>
      <w:r>
        <w:rPr>
          <w:rFonts w:hint="eastAsia" w:ascii="仿宋_GB2312" w:hAnsi="仿宋" w:eastAsia="仿宋_GB2312"/>
          <w:color w:val="auto"/>
          <w:sz w:val="28"/>
          <w:szCs w:val="28"/>
          <w:u w:val="single"/>
        </w:rPr>
        <w:t>投标人名称</w:t>
      </w:r>
      <w:r>
        <w:rPr>
          <w:rFonts w:hint="eastAsia" w:ascii="仿宋_GB2312" w:hAnsi="仿宋" w:eastAsia="仿宋_GB2312"/>
          <w:color w:val="auto"/>
          <w:sz w:val="28"/>
          <w:szCs w:val="28"/>
        </w:rPr>
        <w:t>）与（</w:t>
      </w:r>
      <w:r>
        <w:rPr>
          <w:rFonts w:hint="eastAsia" w:ascii="仿宋_GB2312" w:hAnsi="仿宋" w:eastAsia="仿宋_GB2312"/>
          <w:color w:val="auto"/>
          <w:sz w:val="28"/>
          <w:szCs w:val="28"/>
          <w:u w:val="single"/>
        </w:rPr>
        <w:t>所有分包供应商名称</w:t>
      </w:r>
      <w:r>
        <w:rPr>
          <w:rFonts w:hint="eastAsia" w:ascii="仿宋_GB2312" w:hAnsi="仿宋" w:eastAsia="仿宋_GB2312"/>
          <w:color w:val="auto"/>
          <w:sz w:val="28"/>
          <w:szCs w:val="28"/>
        </w:rPr>
        <w:t>）达成分包意向协议</w:t>
      </w:r>
      <w:r>
        <w:rPr>
          <w:rFonts w:hint="eastAsia" w:ascii="仿宋_GB2312" w:hAnsi="仿宋" w:eastAsia="仿宋_GB2312"/>
          <w:color w:val="auto"/>
          <w:sz w:val="28"/>
          <w:szCs w:val="28"/>
          <w:lang w:val="zh-CN"/>
        </w:rPr>
        <w:t>。</w:t>
      </w:r>
      <w:r>
        <w:rPr>
          <w:rFonts w:hint="eastAsia" w:ascii="仿宋_GB2312" w:hAnsi="仿宋" w:eastAsia="仿宋_GB2312"/>
          <w:color w:val="auto"/>
          <w:sz w:val="28"/>
          <w:szCs w:val="28"/>
        </w:rPr>
        <w:t>（</w:t>
      </w:r>
      <w:r>
        <w:rPr>
          <w:rFonts w:hint="eastAsia" w:ascii="仿宋_GB2312" w:hAnsi="仿宋" w:eastAsia="仿宋_GB2312"/>
          <w:color w:val="auto"/>
          <w:sz w:val="28"/>
          <w:szCs w:val="28"/>
          <w:u w:val="single"/>
        </w:rPr>
        <w:t>投标人名称</w:t>
      </w:r>
      <w:r>
        <w:rPr>
          <w:rFonts w:hint="eastAsia" w:ascii="仿宋_GB2312" w:hAnsi="仿宋" w:eastAsia="仿宋_GB2312"/>
          <w:color w:val="auto"/>
          <w:sz w:val="28"/>
          <w:szCs w:val="28"/>
        </w:rPr>
        <w:t>）负责签署投标文件，（</w:t>
      </w:r>
      <w:r>
        <w:rPr>
          <w:rFonts w:hint="eastAsia" w:ascii="仿宋_GB2312" w:hAnsi="仿宋" w:eastAsia="仿宋_GB2312"/>
          <w:color w:val="auto"/>
          <w:sz w:val="28"/>
          <w:szCs w:val="28"/>
          <w:u w:val="single"/>
        </w:rPr>
        <w:t>投标人名称</w:t>
      </w:r>
      <w:r>
        <w:rPr>
          <w:rFonts w:hint="eastAsia" w:ascii="仿宋_GB2312" w:hAnsi="仿宋" w:eastAsia="仿宋_GB2312"/>
          <w:color w:val="auto"/>
          <w:sz w:val="28"/>
          <w:szCs w:val="28"/>
        </w:rPr>
        <w:t>）的所有承诺均认为代表了（</w:t>
      </w:r>
      <w:r>
        <w:rPr>
          <w:rFonts w:hint="eastAsia" w:ascii="仿宋_GB2312" w:hAnsi="仿宋" w:eastAsia="仿宋_GB2312"/>
          <w:color w:val="auto"/>
          <w:sz w:val="28"/>
          <w:szCs w:val="28"/>
          <w:u w:val="single"/>
        </w:rPr>
        <w:t>所有分包供应商名称</w:t>
      </w:r>
      <w:r>
        <w:rPr>
          <w:rFonts w:hint="eastAsia" w:ascii="仿宋_GB2312" w:hAnsi="仿宋" w:eastAsia="仿宋_GB2312"/>
          <w:color w:val="auto"/>
          <w:sz w:val="28"/>
          <w:szCs w:val="28"/>
        </w:rPr>
        <w:t>）意愿。</w:t>
      </w:r>
    </w:p>
    <w:p w14:paraId="3A754497">
      <w:pPr>
        <w:snapToGrid w:val="0"/>
        <w:spacing w:line="360" w:lineRule="exact"/>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一、分包内容在采购文件分包要求的范围内，并符合相关法律规定。</w:t>
      </w:r>
    </w:p>
    <w:p w14:paraId="18266FC4">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二、分包标的及数量</w:t>
      </w:r>
    </w:p>
    <w:p w14:paraId="532D0961">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rPr>
        <w:t>1</w:t>
      </w:r>
      <w:r>
        <w:rPr>
          <w:rFonts w:ascii="仿宋_GB2312" w:hAnsi="仿宋" w:eastAsia="仿宋_GB2312"/>
          <w:color w:val="auto"/>
          <w:sz w:val="28"/>
          <w:szCs w:val="28"/>
        </w:rPr>
        <w:t>.</w:t>
      </w:r>
      <w:r>
        <w:rPr>
          <w:rFonts w:hint="eastAsia" w:ascii="仿宋_GB2312" w:hAnsi="仿宋" w:eastAsia="仿宋_GB2312"/>
          <w:color w:val="auto"/>
          <w:sz w:val="28"/>
          <w:szCs w:val="28"/>
        </w:rPr>
        <w:t>（</w:t>
      </w:r>
      <w:r>
        <w:rPr>
          <w:rFonts w:hint="eastAsia" w:ascii="仿宋_GB2312" w:hAnsi="仿宋" w:eastAsia="仿宋_GB2312"/>
          <w:color w:val="auto"/>
          <w:sz w:val="28"/>
          <w:szCs w:val="28"/>
          <w:u w:val="single"/>
        </w:rPr>
        <w:t>投标人名称</w:t>
      </w:r>
      <w:r>
        <w:rPr>
          <w:rFonts w:hint="eastAsia" w:ascii="仿宋_GB2312" w:hAnsi="仿宋" w:eastAsia="仿宋_GB2312"/>
          <w:color w:val="auto"/>
          <w:sz w:val="28"/>
          <w:szCs w:val="28"/>
        </w:rPr>
        <w:t>）</w:t>
      </w:r>
      <w:r>
        <w:rPr>
          <w:rFonts w:hint="eastAsia" w:ascii="仿宋_GB2312" w:hAnsi="仿宋" w:eastAsia="仿宋_GB2312"/>
          <w:color w:val="auto"/>
          <w:sz w:val="28"/>
          <w:szCs w:val="28"/>
          <w:lang w:val="zh-CN"/>
        </w:rPr>
        <w:t>将</w:t>
      </w:r>
      <w:r>
        <w:rPr>
          <w:rFonts w:hint="eastAsia" w:ascii="仿宋_GB2312" w:hAnsi="仿宋" w:eastAsia="仿宋_GB2312"/>
          <w:color w:val="auto"/>
          <w:sz w:val="28"/>
          <w:szCs w:val="28"/>
          <w:u w:val="single"/>
        </w:rPr>
        <w:t xml:space="preserve">   XX工作内容   </w:t>
      </w:r>
      <w:r>
        <w:rPr>
          <w:rFonts w:hint="eastAsia" w:ascii="仿宋_GB2312" w:hAnsi="仿宋" w:eastAsia="仿宋_GB2312"/>
          <w:color w:val="auto"/>
          <w:sz w:val="28"/>
          <w:szCs w:val="28"/>
        </w:rPr>
        <w:t>分包给（</w:t>
      </w:r>
      <w:r>
        <w:rPr>
          <w:rFonts w:hint="eastAsia" w:ascii="仿宋_GB2312" w:hAnsi="仿宋" w:eastAsia="仿宋_GB2312"/>
          <w:color w:val="auto"/>
          <w:sz w:val="28"/>
          <w:szCs w:val="28"/>
          <w:u w:val="single"/>
        </w:rPr>
        <w:t>某分包供应商名称</w:t>
      </w:r>
      <w:r>
        <w:rPr>
          <w:rFonts w:hint="eastAsia" w:ascii="仿宋_GB2312" w:hAnsi="仿宋" w:eastAsia="仿宋_GB2312"/>
          <w:color w:val="auto"/>
          <w:sz w:val="28"/>
          <w:szCs w:val="28"/>
        </w:rPr>
        <w:t>）</w:t>
      </w:r>
      <w:r>
        <w:rPr>
          <w:rFonts w:hint="eastAsia" w:ascii="仿宋_GB2312" w:hAnsi="仿宋" w:eastAsia="仿宋_GB2312"/>
          <w:color w:val="auto"/>
          <w:sz w:val="28"/>
          <w:szCs w:val="28"/>
          <w:lang w:val="zh-CN"/>
        </w:rPr>
        <w:t>，</w:t>
      </w:r>
      <w:r>
        <w:rPr>
          <w:rFonts w:hint="eastAsia" w:ascii="仿宋_GB2312" w:hAnsi="仿宋" w:eastAsia="仿宋_GB2312"/>
          <w:color w:val="auto"/>
          <w:sz w:val="28"/>
          <w:szCs w:val="28"/>
        </w:rPr>
        <w:t>该供应商</w:t>
      </w:r>
      <w:r>
        <w:rPr>
          <w:rFonts w:hint="eastAsia" w:ascii="仿宋_GB2312" w:hAnsi="仿宋" w:eastAsia="仿宋_GB2312"/>
          <w:color w:val="auto"/>
          <w:sz w:val="28"/>
          <w:szCs w:val="28"/>
          <w:lang w:val="zh-CN"/>
        </w:rPr>
        <w:t>具备承</w:t>
      </w:r>
      <w:r>
        <w:rPr>
          <w:rFonts w:hint="eastAsia" w:ascii="仿宋_GB2312" w:hAnsi="仿宋" w:eastAsia="仿宋_GB2312"/>
          <w:color w:val="auto"/>
          <w:sz w:val="28"/>
          <w:szCs w:val="28"/>
        </w:rPr>
        <w:t>担</w:t>
      </w:r>
      <w:r>
        <w:rPr>
          <w:rFonts w:hint="eastAsia" w:ascii="仿宋_GB2312" w:hAnsi="仿宋" w:eastAsia="仿宋_GB2312"/>
          <w:color w:val="auto"/>
          <w:sz w:val="28"/>
          <w:szCs w:val="28"/>
          <w:lang w:val="zh-CN"/>
        </w:rPr>
        <w:t>本工作内容的相应资质条件且不得再次分包；</w:t>
      </w:r>
    </w:p>
    <w:p w14:paraId="072F72F8">
      <w:pPr>
        <w:snapToGrid w:val="0"/>
        <w:spacing w:line="360" w:lineRule="exact"/>
        <w:ind w:firstLine="560" w:firstLineChars="200"/>
        <w:rPr>
          <w:rFonts w:ascii="仿宋_GB2312" w:hAnsi="仿宋" w:eastAsia="仿宋_GB2312"/>
          <w:color w:val="auto"/>
          <w:sz w:val="28"/>
          <w:szCs w:val="28"/>
          <w:lang w:val="zh-CN"/>
        </w:rPr>
      </w:pPr>
      <w:r>
        <w:rPr>
          <w:rFonts w:ascii="仿宋_GB2312" w:hAnsi="仿宋" w:eastAsia="仿宋_GB2312"/>
          <w:color w:val="auto"/>
          <w:sz w:val="28"/>
          <w:szCs w:val="28"/>
          <w:lang w:val="zh-CN"/>
        </w:rPr>
        <w:t>……</w:t>
      </w:r>
    </w:p>
    <w:p w14:paraId="0008ED26">
      <w:pPr>
        <w:snapToGrid w:val="0"/>
        <w:spacing w:line="3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lang w:val="zh-CN"/>
        </w:rPr>
        <w:t>三、分包工作履行期限、地点、方式</w:t>
      </w:r>
      <w:r>
        <w:rPr>
          <w:rFonts w:hint="eastAsia" w:ascii="仿宋_GB2312" w:hAnsi="仿宋" w:eastAsia="仿宋_GB2312"/>
          <w:color w:val="auto"/>
          <w:sz w:val="28"/>
          <w:szCs w:val="28"/>
        </w:rPr>
        <w:t xml:space="preserve"> </w:t>
      </w:r>
    </w:p>
    <w:p w14:paraId="518DC3AA">
      <w:pPr>
        <w:snapToGrid w:val="0"/>
        <w:spacing w:line="360" w:lineRule="exact"/>
        <w:rPr>
          <w:rFonts w:ascii="仿宋_GB2312" w:hAnsi="仿宋" w:eastAsia="仿宋_GB2312"/>
          <w:color w:val="auto"/>
          <w:sz w:val="28"/>
          <w:szCs w:val="28"/>
        </w:rPr>
      </w:pPr>
      <w:r>
        <w:rPr>
          <w:rFonts w:hint="eastAsia" w:ascii="仿宋_GB2312" w:hAnsi="仿宋" w:eastAsia="仿宋_GB2312"/>
          <w:color w:val="auto"/>
          <w:sz w:val="28"/>
          <w:szCs w:val="28"/>
          <w:u w:val="single"/>
        </w:rPr>
        <w:t xml:space="preserve"> </w:t>
      </w:r>
      <w:r>
        <w:rPr>
          <w:rFonts w:ascii="仿宋_GB2312" w:hAnsi="仿宋" w:eastAsia="仿宋_GB2312"/>
          <w:color w:val="auto"/>
          <w:sz w:val="28"/>
          <w:szCs w:val="28"/>
          <w:u w:val="single"/>
        </w:rPr>
        <w:t xml:space="preserve">                                                     </w:t>
      </w:r>
      <w:r>
        <w:rPr>
          <w:rFonts w:hint="eastAsia" w:ascii="仿宋_GB2312" w:hAnsi="仿宋" w:eastAsia="仿宋_GB2312"/>
          <w:color w:val="auto"/>
          <w:sz w:val="28"/>
          <w:szCs w:val="28"/>
        </w:rPr>
        <w:t>。</w:t>
      </w:r>
    </w:p>
    <w:p w14:paraId="1A729ADE">
      <w:pPr>
        <w:snapToGrid w:val="0"/>
        <w:spacing w:line="360" w:lineRule="exact"/>
        <w:rPr>
          <w:rFonts w:ascii="仿宋_GB2312" w:hAnsi="仿宋" w:eastAsia="仿宋_GB2312"/>
          <w:color w:val="auto"/>
          <w:sz w:val="28"/>
          <w:szCs w:val="28"/>
        </w:rPr>
      </w:pPr>
      <w:r>
        <w:rPr>
          <w:rFonts w:hint="eastAsia" w:ascii="仿宋_GB2312" w:hAnsi="仿宋" w:eastAsia="仿宋_GB2312"/>
          <w:color w:val="auto"/>
          <w:sz w:val="28"/>
          <w:szCs w:val="28"/>
        </w:rPr>
        <w:t>四、</w:t>
      </w:r>
      <w:r>
        <w:rPr>
          <w:rFonts w:hint="eastAsia" w:ascii="仿宋_GB2312" w:hAnsi="仿宋" w:eastAsia="仿宋_GB2312"/>
          <w:color w:val="auto"/>
          <w:sz w:val="28"/>
          <w:szCs w:val="28"/>
          <w:lang w:val="zh-CN"/>
        </w:rPr>
        <w:t>质量</w:t>
      </w:r>
      <w:r>
        <w:rPr>
          <w:rFonts w:hint="eastAsia" w:ascii="仿宋_GB2312" w:hAnsi="仿宋" w:eastAsia="仿宋_GB2312"/>
          <w:color w:val="auto"/>
          <w:sz w:val="28"/>
          <w:szCs w:val="28"/>
        </w:rPr>
        <w:t xml:space="preserve"> </w:t>
      </w:r>
    </w:p>
    <w:p w14:paraId="74BB19BA">
      <w:pPr>
        <w:snapToGrid w:val="0"/>
        <w:spacing w:line="360" w:lineRule="exact"/>
        <w:ind w:firstLine="560" w:firstLineChars="200"/>
        <w:rPr>
          <w:rFonts w:ascii="仿宋_GB2312" w:hAnsi="仿宋" w:eastAsia="仿宋_GB2312"/>
          <w:color w:val="auto"/>
          <w:sz w:val="28"/>
          <w:szCs w:val="28"/>
          <w:lang w:val="zh-CN"/>
        </w:rPr>
      </w:pPr>
      <w:r>
        <w:rPr>
          <w:rFonts w:ascii="仿宋_GB2312" w:hAnsi="仿宋" w:eastAsia="仿宋_GB2312"/>
          <w:color w:val="auto"/>
          <w:sz w:val="28"/>
          <w:szCs w:val="28"/>
          <w:u w:val="single"/>
        </w:rPr>
        <w:t xml:space="preserve">                                                      </w:t>
      </w:r>
      <w:r>
        <w:rPr>
          <w:rFonts w:hint="eastAsia" w:ascii="仿宋_GB2312" w:hAnsi="仿宋" w:eastAsia="仿宋_GB2312"/>
          <w:color w:val="auto"/>
          <w:sz w:val="28"/>
          <w:szCs w:val="28"/>
        </w:rPr>
        <w:t>。</w:t>
      </w:r>
    </w:p>
    <w:p w14:paraId="5FE6C2FF">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五、价款或者报酬</w:t>
      </w:r>
    </w:p>
    <w:p w14:paraId="4C49EDAF">
      <w:pPr>
        <w:snapToGrid w:val="0"/>
        <w:spacing w:line="360" w:lineRule="exact"/>
        <w:ind w:firstLine="560" w:firstLineChars="200"/>
        <w:rPr>
          <w:rFonts w:ascii="仿宋_GB2312" w:hAnsi="仿宋" w:eastAsia="仿宋_GB2312"/>
          <w:color w:val="auto"/>
          <w:sz w:val="28"/>
          <w:szCs w:val="28"/>
          <w:lang w:val="zh-CN"/>
        </w:rPr>
      </w:pPr>
      <w:r>
        <w:rPr>
          <w:rFonts w:ascii="仿宋_GB2312" w:hAnsi="仿宋" w:eastAsia="仿宋_GB2312"/>
          <w:color w:val="auto"/>
          <w:sz w:val="28"/>
          <w:szCs w:val="28"/>
          <w:u w:val="single"/>
        </w:rPr>
        <w:t xml:space="preserve">                                                      </w:t>
      </w:r>
      <w:r>
        <w:rPr>
          <w:rFonts w:hint="eastAsia" w:ascii="仿宋_GB2312" w:hAnsi="仿宋" w:eastAsia="仿宋_GB2312"/>
          <w:color w:val="auto"/>
          <w:sz w:val="28"/>
          <w:szCs w:val="28"/>
        </w:rPr>
        <w:t>。</w:t>
      </w:r>
    </w:p>
    <w:p w14:paraId="092ACCF4">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六、违约责任</w:t>
      </w:r>
    </w:p>
    <w:p w14:paraId="3EC7235C">
      <w:pPr>
        <w:snapToGrid w:val="0"/>
        <w:spacing w:line="360" w:lineRule="exact"/>
        <w:ind w:firstLine="560" w:firstLineChars="200"/>
        <w:rPr>
          <w:rFonts w:ascii="仿宋_GB2312" w:hAnsi="仿宋" w:eastAsia="仿宋_GB2312"/>
          <w:color w:val="auto"/>
          <w:sz w:val="28"/>
          <w:szCs w:val="28"/>
          <w:lang w:val="zh-CN"/>
        </w:rPr>
      </w:pPr>
      <w:r>
        <w:rPr>
          <w:rFonts w:ascii="仿宋_GB2312" w:hAnsi="仿宋" w:eastAsia="仿宋_GB2312"/>
          <w:color w:val="auto"/>
          <w:sz w:val="28"/>
          <w:szCs w:val="28"/>
          <w:u w:val="single"/>
        </w:rPr>
        <w:t xml:space="preserve">                                                      </w:t>
      </w:r>
      <w:r>
        <w:rPr>
          <w:rFonts w:hint="eastAsia" w:ascii="仿宋_GB2312" w:hAnsi="仿宋" w:eastAsia="仿宋_GB2312"/>
          <w:color w:val="auto"/>
          <w:sz w:val="28"/>
          <w:szCs w:val="28"/>
        </w:rPr>
        <w:t>。</w:t>
      </w:r>
    </w:p>
    <w:p w14:paraId="63E4829D">
      <w:pPr>
        <w:snapToGrid w:val="0"/>
        <w:spacing w:line="3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lang w:val="zh-CN"/>
        </w:rPr>
        <w:t>七、争议解决的办法</w:t>
      </w:r>
      <w:r>
        <w:rPr>
          <w:rFonts w:hint="eastAsia" w:ascii="仿宋_GB2312" w:hAnsi="仿宋" w:eastAsia="仿宋_GB2312"/>
          <w:color w:val="auto"/>
          <w:sz w:val="28"/>
          <w:szCs w:val="28"/>
        </w:rPr>
        <w:t xml:space="preserve"> </w:t>
      </w:r>
    </w:p>
    <w:p w14:paraId="7008C2E4">
      <w:pPr>
        <w:snapToGrid w:val="0"/>
        <w:spacing w:line="360" w:lineRule="exact"/>
        <w:ind w:firstLine="560" w:firstLineChars="200"/>
        <w:rPr>
          <w:rFonts w:ascii="仿宋_GB2312" w:hAnsi="仿宋" w:eastAsia="仿宋_GB2312"/>
          <w:color w:val="auto"/>
          <w:sz w:val="28"/>
          <w:szCs w:val="28"/>
          <w:lang w:val="zh-CN"/>
        </w:rPr>
      </w:pPr>
      <w:r>
        <w:rPr>
          <w:rFonts w:ascii="仿宋_GB2312" w:hAnsi="仿宋" w:eastAsia="仿宋_GB2312"/>
          <w:color w:val="auto"/>
          <w:sz w:val="28"/>
          <w:szCs w:val="28"/>
          <w:u w:val="single"/>
        </w:rPr>
        <w:t xml:space="preserve">                                                      </w:t>
      </w:r>
      <w:r>
        <w:rPr>
          <w:rFonts w:hint="eastAsia" w:ascii="仿宋_GB2312" w:hAnsi="仿宋" w:eastAsia="仿宋_GB2312"/>
          <w:color w:val="auto"/>
          <w:sz w:val="28"/>
          <w:szCs w:val="28"/>
        </w:rPr>
        <w:t>。</w:t>
      </w:r>
    </w:p>
    <w:p w14:paraId="146C0ED7">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八、其他</w:t>
      </w:r>
    </w:p>
    <w:p w14:paraId="731097FE">
      <w:pPr>
        <w:spacing w:line="3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w:t>
      </w:r>
      <w:r>
        <w:rPr>
          <w:rFonts w:hint="eastAsia" w:ascii="仿宋_GB2312" w:hAnsi="仿宋" w:eastAsia="仿宋_GB2312"/>
          <w:color w:val="auto"/>
          <w:sz w:val="28"/>
          <w:szCs w:val="28"/>
          <w:u w:val="single"/>
        </w:rPr>
        <w:t>分包供应商名称</w:t>
      </w:r>
      <w:r>
        <w:rPr>
          <w:rFonts w:hint="eastAsia" w:ascii="仿宋_GB2312" w:hAnsi="仿宋" w:eastAsia="仿宋_GB2312"/>
          <w:color w:val="auto"/>
          <w:sz w:val="28"/>
          <w:szCs w:val="28"/>
        </w:rPr>
        <w:t>）的合同份额占到合同总金额</w:t>
      </w:r>
      <w:r>
        <w:rPr>
          <w:rFonts w:hint="eastAsia" w:ascii="仿宋_GB2312" w:hAnsi="仿宋" w:eastAsia="仿宋_GB2312"/>
          <w:color w:val="auto"/>
          <w:sz w:val="28"/>
          <w:szCs w:val="28"/>
          <w:u w:val="single"/>
        </w:rPr>
        <w:t xml:space="preserve">     </w:t>
      </w:r>
      <w:r>
        <w:rPr>
          <w:rFonts w:hint="eastAsia" w:ascii="仿宋_GB2312" w:hAnsi="仿宋" w:eastAsia="仿宋_GB2312"/>
          <w:color w:val="auto"/>
          <w:sz w:val="28"/>
          <w:szCs w:val="28"/>
        </w:rPr>
        <w:t>%以上。</w:t>
      </w:r>
    </w:p>
    <w:p w14:paraId="63CC35E0">
      <w:pPr>
        <w:spacing w:line="360" w:lineRule="exact"/>
        <w:ind w:firstLine="562" w:firstLineChars="200"/>
        <w:rPr>
          <w:rFonts w:ascii="仿宋_GB2312" w:hAnsi="仿宋" w:eastAsia="仿宋_GB2312"/>
          <w:b/>
          <w:color w:val="auto"/>
          <w:sz w:val="28"/>
          <w:szCs w:val="28"/>
        </w:rPr>
      </w:pPr>
      <w:r>
        <w:rPr>
          <w:rFonts w:hint="eastAsia" w:ascii="仿宋_GB2312" w:hAnsi="仿宋" w:eastAsia="仿宋_GB2312"/>
          <w:b/>
          <w:color w:val="auto"/>
          <w:sz w:val="28"/>
          <w:szCs w:val="28"/>
        </w:rPr>
        <w:t>当分包份额占到合同总金额100%时，视为转包。此情况根据《中华人民共和国政府采购法实施条例》（国务院令第658号）文件第七十二条规定，将依照政府采购法第七十七条第一款的规定追究你公司法律责任。</w:t>
      </w:r>
    </w:p>
    <w:p w14:paraId="57DB2E7F">
      <w:pPr>
        <w:snapToGrid w:val="0"/>
        <w:spacing w:line="360" w:lineRule="exact"/>
        <w:ind w:firstLine="560" w:firstLineChars="200"/>
        <w:rPr>
          <w:rFonts w:ascii="仿宋_GB2312" w:hAnsi="仿宋" w:eastAsia="仿宋_GB2312"/>
          <w:color w:val="auto"/>
          <w:sz w:val="28"/>
          <w:szCs w:val="28"/>
          <w:lang w:val="zh-CN"/>
        </w:rPr>
      </w:pPr>
    </w:p>
    <w:p w14:paraId="590E6AFE">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rPr>
        <w:t>投标人名称（盖公章）</w:t>
      </w:r>
      <w:r>
        <w:rPr>
          <w:rFonts w:hint="eastAsia" w:ascii="仿宋_GB2312" w:hAnsi="仿宋" w:eastAsia="仿宋_GB2312"/>
          <w:color w:val="auto"/>
          <w:sz w:val="28"/>
          <w:szCs w:val="28"/>
          <w:lang w:val="zh-CN"/>
        </w:rPr>
        <w:t>：</w:t>
      </w:r>
    </w:p>
    <w:p w14:paraId="1968504C">
      <w:pPr>
        <w:snapToGrid w:val="0"/>
        <w:spacing w:line="360" w:lineRule="exact"/>
        <w:ind w:firstLine="560" w:firstLineChars="200"/>
        <w:rPr>
          <w:rFonts w:ascii="仿宋_GB2312" w:hAnsi="仿宋" w:eastAsia="仿宋_GB2312"/>
          <w:color w:val="auto"/>
          <w:sz w:val="28"/>
          <w:szCs w:val="28"/>
          <w:lang w:val="zh-CN"/>
        </w:rPr>
      </w:pPr>
      <w:r>
        <w:rPr>
          <w:rFonts w:hint="eastAsia" w:ascii="仿宋_GB2312" w:hAnsi="仿宋" w:eastAsia="仿宋_GB2312"/>
          <w:color w:val="auto"/>
          <w:sz w:val="28"/>
          <w:szCs w:val="28"/>
          <w:lang w:val="zh-CN"/>
        </w:rPr>
        <w:t>分包供应商名称（</w:t>
      </w:r>
      <w:r>
        <w:rPr>
          <w:rFonts w:hint="eastAsia" w:ascii="仿宋_GB2312" w:hAnsi="仿宋" w:eastAsia="仿宋_GB2312"/>
          <w:color w:val="auto"/>
          <w:sz w:val="28"/>
          <w:szCs w:val="28"/>
        </w:rPr>
        <w:t>盖公章</w:t>
      </w:r>
      <w:r>
        <w:rPr>
          <w:rFonts w:hint="eastAsia" w:ascii="仿宋_GB2312" w:hAnsi="仿宋" w:eastAsia="仿宋_GB2312"/>
          <w:color w:val="auto"/>
          <w:sz w:val="28"/>
          <w:szCs w:val="28"/>
          <w:lang w:val="zh-CN"/>
        </w:rPr>
        <w:t>）：</w:t>
      </w:r>
    </w:p>
    <w:p w14:paraId="707BECFC">
      <w:pPr>
        <w:snapToGrid w:val="0"/>
        <w:spacing w:line="3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lang w:val="zh-CN"/>
        </w:rPr>
        <w:t>……</w:t>
      </w:r>
    </w:p>
    <w:p w14:paraId="1FD455D0">
      <w:pPr>
        <w:snapToGrid w:val="0"/>
        <w:spacing w:line="360" w:lineRule="exact"/>
        <w:ind w:firstLine="560" w:firstLineChars="200"/>
        <w:rPr>
          <w:rFonts w:ascii="仿宋" w:hAnsi="仿宋" w:eastAsia="仿宋"/>
          <w:b/>
          <w:bCs/>
          <w:color w:val="auto"/>
          <w:sz w:val="30"/>
          <w:szCs w:val="30"/>
        </w:rPr>
      </w:pPr>
      <w:r>
        <w:rPr>
          <w:rFonts w:hint="eastAsia" w:ascii="仿宋_GB2312" w:hAnsi="仿宋" w:eastAsia="仿宋_GB2312"/>
          <w:color w:val="auto"/>
          <w:sz w:val="28"/>
          <w:szCs w:val="28"/>
          <w:lang w:val="zh-CN"/>
        </w:rPr>
        <w:t xml:space="preserve">                                 日期：  年  月   日</w:t>
      </w:r>
    </w:p>
    <w:p w14:paraId="692B7233">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7</w:t>
      </w:r>
    </w:p>
    <w:p w14:paraId="4B42A849">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中小企业声明函（货物）</w:t>
      </w:r>
    </w:p>
    <w:p w14:paraId="2BF57A5B">
      <w:pPr>
        <w:snapToGrid w:val="0"/>
        <w:spacing w:line="480" w:lineRule="exact"/>
        <w:rPr>
          <w:rFonts w:ascii="Times New Roman" w:hAnsi="Times New Roman" w:eastAsia="仿宋_GB2312"/>
          <w:color w:val="auto"/>
          <w:sz w:val="30"/>
          <w:szCs w:val="30"/>
        </w:rPr>
      </w:pPr>
    </w:p>
    <w:p w14:paraId="506F4728">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本公司（联合体）郑重声明，根据《政府采购促进中小企业发展管理办法》（财库﹝2020﹞46 号）的规定，本公司（联合体）参加（单位名称）的（项目名称）采购活动，提供的货物</w:t>
      </w:r>
      <w:r>
        <w:rPr>
          <w:rFonts w:hint="eastAsia" w:ascii="Times New Roman" w:hAnsi="Times New Roman" w:eastAsia="仿宋_GB2312"/>
          <w:b/>
          <w:bCs/>
          <w:color w:val="auto"/>
          <w:sz w:val="30"/>
          <w:szCs w:val="30"/>
        </w:rPr>
        <w:t>全部</w:t>
      </w:r>
      <w:r>
        <w:rPr>
          <w:rFonts w:hint="eastAsia" w:ascii="Times New Roman" w:hAnsi="Times New Roman" w:eastAsia="仿宋_GB2312"/>
          <w:color w:val="auto"/>
          <w:sz w:val="30"/>
          <w:szCs w:val="30"/>
        </w:rPr>
        <w:t>由符合政策要求的中小企业制造。相关企业（含联合体中的中小企业、签订分包意向协议的中小企业）的具体情况如下：</w:t>
      </w:r>
    </w:p>
    <w:p w14:paraId="4ACA3532">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1.</w:t>
      </w:r>
      <w:r>
        <w:rPr>
          <w:rFonts w:hint="eastAsia" w:ascii="Times New Roman" w:hAnsi="Times New Roman" w:eastAsia="仿宋_GB2312"/>
          <w:i/>
          <w:iCs/>
          <w:color w:val="auto"/>
          <w:sz w:val="30"/>
          <w:szCs w:val="30"/>
          <w:u w:val="single"/>
        </w:rPr>
        <w:t xml:space="preserve">（标的名称） </w:t>
      </w:r>
      <w:r>
        <w:rPr>
          <w:rFonts w:hint="eastAsia" w:ascii="Times New Roman" w:hAnsi="Times New Roman" w:eastAsia="仿宋_GB2312"/>
          <w:color w:val="auto"/>
          <w:sz w:val="30"/>
          <w:szCs w:val="30"/>
        </w:rPr>
        <w:t>，属于</w:t>
      </w:r>
      <w:r>
        <w:rPr>
          <w:rFonts w:hint="eastAsia" w:ascii="Times New Roman" w:hAnsi="Times New Roman" w:eastAsia="仿宋_GB2312"/>
          <w:i/>
          <w:iCs/>
          <w:color w:val="auto"/>
          <w:sz w:val="30"/>
          <w:szCs w:val="30"/>
          <w:u w:val="single"/>
        </w:rPr>
        <w:t>（采购文件中明确的所属行业）</w:t>
      </w:r>
      <w:r>
        <w:rPr>
          <w:rFonts w:hint="eastAsia" w:ascii="Times New Roman" w:hAnsi="Times New Roman" w:eastAsia="仿宋_GB2312"/>
          <w:color w:val="auto"/>
          <w:sz w:val="30"/>
          <w:szCs w:val="30"/>
        </w:rPr>
        <w:t>行业；制造商为</w:t>
      </w:r>
      <w:r>
        <w:rPr>
          <w:rFonts w:hint="eastAsia" w:ascii="Times New Roman" w:hAnsi="Times New Roman" w:eastAsia="仿宋_GB2312"/>
          <w:i/>
          <w:iCs/>
          <w:color w:val="auto"/>
          <w:sz w:val="30"/>
          <w:szCs w:val="30"/>
          <w:u w:val="single"/>
        </w:rPr>
        <w:t>（企业名称），</w:t>
      </w:r>
      <w:r>
        <w:rPr>
          <w:rFonts w:hint="eastAsia" w:ascii="Times New Roman" w:hAnsi="Times New Roman" w:eastAsia="仿宋_GB2312"/>
          <w:color w:val="auto"/>
          <w:sz w:val="30"/>
          <w:szCs w:val="30"/>
        </w:rPr>
        <w:t xml:space="preserve">从业人员 </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人，营业收入为</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万元，资产总额为</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万元，属于</w:t>
      </w:r>
      <w:r>
        <w:rPr>
          <w:rFonts w:hint="eastAsia" w:ascii="Times New Roman" w:hAnsi="Times New Roman" w:eastAsia="仿宋_GB2312"/>
          <w:i/>
          <w:iCs/>
          <w:color w:val="auto"/>
          <w:sz w:val="30"/>
          <w:szCs w:val="30"/>
          <w:u w:val="single"/>
        </w:rPr>
        <w:t>（中型企业、小型企业、微型企业）</w:t>
      </w:r>
      <w:r>
        <w:rPr>
          <w:rFonts w:hint="eastAsia" w:ascii="Times New Roman" w:hAnsi="Times New Roman" w:eastAsia="仿宋_GB2312"/>
          <w:color w:val="auto"/>
          <w:sz w:val="30"/>
          <w:szCs w:val="30"/>
        </w:rPr>
        <w:t>；</w:t>
      </w:r>
    </w:p>
    <w:p w14:paraId="736F9C37">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2.</w:t>
      </w:r>
      <w:r>
        <w:rPr>
          <w:rFonts w:hint="eastAsia" w:ascii="Times New Roman" w:hAnsi="Times New Roman" w:eastAsia="仿宋_GB2312"/>
          <w:i/>
          <w:iCs/>
          <w:color w:val="auto"/>
          <w:sz w:val="30"/>
          <w:szCs w:val="30"/>
          <w:u w:val="single"/>
        </w:rPr>
        <w:t xml:space="preserve">（标的名称） </w:t>
      </w:r>
      <w:r>
        <w:rPr>
          <w:rFonts w:hint="eastAsia" w:ascii="Times New Roman" w:hAnsi="Times New Roman" w:eastAsia="仿宋_GB2312"/>
          <w:color w:val="auto"/>
          <w:sz w:val="30"/>
          <w:szCs w:val="30"/>
        </w:rPr>
        <w:t>，属于</w:t>
      </w:r>
      <w:r>
        <w:rPr>
          <w:rFonts w:hint="eastAsia" w:ascii="Times New Roman" w:hAnsi="Times New Roman" w:eastAsia="仿宋_GB2312"/>
          <w:i/>
          <w:iCs/>
          <w:color w:val="auto"/>
          <w:sz w:val="30"/>
          <w:szCs w:val="30"/>
          <w:u w:val="single"/>
        </w:rPr>
        <w:t>（采购文件中明确的所属行业）</w:t>
      </w:r>
      <w:r>
        <w:rPr>
          <w:rFonts w:hint="eastAsia" w:ascii="Times New Roman" w:hAnsi="Times New Roman" w:eastAsia="仿宋_GB2312"/>
          <w:color w:val="auto"/>
          <w:sz w:val="30"/>
          <w:szCs w:val="30"/>
        </w:rPr>
        <w:t>行业；制造商为（企业名称），从业人员</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人，营业收入为</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万元，资产总额为</w:t>
      </w:r>
      <w:r>
        <w:rPr>
          <w:rFonts w:hint="eastAsia" w:ascii="Times New Roman" w:hAnsi="Times New Roman" w:eastAsia="仿宋_GB2312"/>
          <w:i/>
          <w:iCs/>
          <w:color w:val="auto"/>
          <w:sz w:val="30"/>
          <w:szCs w:val="30"/>
          <w:u w:val="single"/>
        </w:rPr>
        <w:t xml:space="preserve">      </w:t>
      </w:r>
      <w:r>
        <w:rPr>
          <w:rFonts w:hint="eastAsia" w:ascii="Times New Roman" w:hAnsi="Times New Roman" w:eastAsia="仿宋_GB2312"/>
          <w:color w:val="auto"/>
          <w:sz w:val="30"/>
          <w:szCs w:val="30"/>
        </w:rPr>
        <w:t>万元，属于</w:t>
      </w:r>
      <w:r>
        <w:rPr>
          <w:rFonts w:hint="eastAsia" w:ascii="Times New Roman" w:hAnsi="Times New Roman" w:eastAsia="仿宋_GB2312"/>
          <w:i/>
          <w:iCs/>
          <w:color w:val="auto"/>
          <w:sz w:val="30"/>
          <w:szCs w:val="30"/>
          <w:u w:val="single"/>
        </w:rPr>
        <w:t>（中型企业、小型企业、微型企业）</w:t>
      </w:r>
      <w:r>
        <w:rPr>
          <w:rFonts w:hint="eastAsia" w:ascii="Times New Roman" w:hAnsi="Times New Roman" w:eastAsia="仿宋_GB2312"/>
          <w:color w:val="auto"/>
          <w:sz w:val="30"/>
          <w:szCs w:val="30"/>
        </w:rPr>
        <w:t>；</w:t>
      </w:r>
    </w:p>
    <w:p w14:paraId="59C2D432">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w:t>
      </w:r>
    </w:p>
    <w:p w14:paraId="67DEEAEE">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以上企业，不属于大企业的分支机构，不存在控股股东为大企业的情形，也不存在与大企业的负责人为同一人的情形。</w:t>
      </w:r>
    </w:p>
    <w:p w14:paraId="5262D7D9">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本企业对上述声明内容的真实性负责。如有虚假，将依法承担相应责任。</w:t>
      </w:r>
    </w:p>
    <w:p w14:paraId="05A4F749">
      <w:pPr>
        <w:snapToGrid w:val="0"/>
        <w:spacing w:line="480" w:lineRule="exact"/>
        <w:ind w:firstLine="600" w:firstLineChars="200"/>
        <w:rPr>
          <w:rFonts w:ascii="Times New Roman" w:hAnsi="Times New Roman" w:eastAsia="仿宋_GB2312"/>
          <w:color w:val="auto"/>
          <w:sz w:val="30"/>
          <w:szCs w:val="30"/>
        </w:rPr>
      </w:pPr>
    </w:p>
    <w:p w14:paraId="0B931F4D">
      <w:pPr>
        <w:snapToGrid w:val="0"/>
        <w:spacing w:line="480" w:lineRule="exact"/>
        <w:ind w:firstLine="600" w:firstLineChars="200"/>
        <w:rPr>
          <w:rFonts w:ascii="Times New Roman" w:hAnsi="Times New Roman" w:eastAsia="仿宋_GB2312"/>
          <w:color w:val="auto"/>
          <w:sz w:val="30"/>
          <w:szCs w:val="30"/>
        </w:rPr>
      </w:pPr>
    </w:p>
    <w:p w14:paraId="530EC7D3">
      <w:pPr>
        <w:snapToGrid w:val="0"/>
        <w:spacing w:line="480" w:lineRule="exact"/>
        <w:ind w:firstLine="5100" w:firstLineChars="1700"/>
        <w:rPr>
          <w:rFonts w:ascii="Times New Roman" w:hAnsi="Times New Roman" w:eastAsia="仿宋_GB2312"/>
          <w:color w:val="auto"/>
          <w:sz w:val="30"/>
          <w:szCs w:val="30"/>
        </w:rPr>
      </w:pPr>
      <w:r>
        <w:rPr>
          <w:rFonts w:hint="eastAsia" w:ascii="Times New Roman" w:hAnsi="Times New Roman" w:eastAsia="仿宋_GB2312"/>
          <w:color w:val="auto"/>
          <w:sz w:val="30"/>
          <w:szCs w:val="30"/>
        </w:rPr>
        <w:t>企业名称（盖章）：</w:t>
      </w:r>
    </w:p>
    <w:p w14:paraId="12872E4D">
      <w:pPr>
        <w:snapToGrid w:val="0"/>
        <w:spacing w:line="480" w:lineRule="exact"/>
        <w:ind w:firstLine="5100" w:firstLineChars="1700"/>
        <w:rPr>
          <w:rFonts w:ascii="Times New Roman" w:hAnsi="Times New Roman" w:eastAsia="仿宋_GB2312"/>
          <w:color w:val="auto"/>
          <w:sz w:val="30"/>
          <w:szCs w:val="30"/>
        </w:rPr>
      </w:pPr>
      <w:r>
        <w:rPr>
          <w:rFonts w:hint="eastAsia" w:ascii="Times New Roman" w:hAnsi="Times New Roman" w:eastAsia="仿宋_GB2312"/>
          <w:color w:val="auto"/>
          <w:sz w:val="30"/>
          <w:szCs w:val="30"/>
        </w:rPr>
        <w:t xml:space="preserve">日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期：</w:t>
      </w:r>
    </w:p>
    <w:p w14:paraId="56BB0F98">
      <w:pPr>
        <w:snapToGrid w:val="0"/>
        <w:spacing w:line="480" w:lineRule="exact"/>
        <w:ind w:firstLine="5100" w:firstLineChars="1700"/>
        <w:rPr>
          <w:rFonts w:ascii="Times New Roman" w:hAnsi="Times New Roman" w:eastAsia="仿宋_GB2312"/>
          <w:color w:val="auto"/>
          <w:sz w:val="30"/>
          <w:szCs w:val="30"/>
        </w:rPr>
      </w:pPr>
    </w:p>
    <w:p w14:paraId="6E2D85F4">
      <w:pPr>
        <w:pStyle w:val="27"/>
        <w:ind w:firstLine="360" w:firstLineChars="200"/>
        <w:jc w:val="both"/>
        <w:rPr>
          <w:rFonts w:ascii="宋体" w:hAnsi="Times New Roman" w:cs="宋体"/>
          <w:color w:val="auto"/>
          <w:kern w:val="0"/>
        </w:rPr>
      </w:pPr>
      <w:r>
        <w:rPr>
          <w:color w:val="auto"/>
        </w:rPr>
        <w:t xml:space="preserve"> </w:t>
      </w:r>
      <w:r>
        <w:rPr>
          <w:rFonts w:hint="eastAsia" w:ascii="宋体" w:hAnsi="Times New Roman" w:cs="宋体"/>
          <w:color w:val="auto"/>
          <w:kern w:val="0"/>
        </w:rPr>
        <w:t>从业人员、营业收入、资产总额填报上一年度数据，无上一年度数据的新成立企业可不填报。</w:t>
      </w:r>
    </w:p>
    <w:p w14:paraId="195CEF45">
      <w:pPr>
        <w:pStyle w:val="27"/>
        <w:ind w:firstLine="360" w:firstLineChars="200"/>
        <w:jc w:val="both"/>
        <w:rPr>
          <w:rFonts w:ascii="宋体" w:hAnsi="Times New Roman" w:cs="宋体"/>
          <w:color w:val="auto"/>
          <w:kern w:val="0"/>
        </w:rPr>
      </w:pPr>
    </w:p>
    <w:p w14:paraId="1176D0D6">
      <w:pPr>
        <w:pStyle w:val="27"/>
        <w:ind w:firstLine="360" w:firstLineChars="200"/>
        <w:jc w:val="both"/>
        <w:rPr>
          <w:rFonts w:ascii="宋体" w:hAnsi="Times New Roman" w:cs="宋体"/>
          <w:color w:val="auto"/>
          <w:kern w:val="0"/>
        </w:rPr>
      </w:pPr>
    </w:p>
    <w:p w14:paraId="2F8EB620">
      <w:pPr>
        <w:snapToGrid w:val="0"/>
        <w:spacing w:line="480" w:lineRule="exact"/>
        <w:ind w:firstLine="5100" w:firstLineChars="1700"/>
        <w:rPr>
          <w:rFonts w:ascii="Times New Roman" w:hAnsi="Times New Roman" w:eastAsia="仿宋_GB2312"/>
          <w:color w:val="auto"/>
          <w:sz w:val="30"/>
          <w:szCs w:val="30"/>
        </w:rPr>
      </w:pPr>
    </w:p>
    <w:p w14:paraId="23B67171">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8</w:t>
      </w:r>
    </w:p>
    <w:p w14:paraId="738746F5">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残疾人福利性单位声明函</w:t>
      </w:r>
    </w:p>
    <w:p w14:paraId="37B6A897">
      <w:pPr>
        <w:snapToGrid w:val="0"/>
        <w:spacing w:line="440" w:lineRule="exact"/>
        <w:jc w:val="center"/>
        <w:rPr>
          <w:rFonts w:ascii="Times New Roman" w:hAnsi="Times New Roman" w:eastAsia="仿宋_GB2312"/>
          <w:b/>
          <w:color w:val="auto"/>
          <w:sz w:val="36"/>
          <w:szCs w:val="36"/>
        </w:rPr>
      </w:pPr>
    </w:p>
    <w:p w14:paraId="33EFE488">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本单位郑重声明，根据《财政部 民政部 中国残疾人联合会关于促进残疾人就业政府采购政策的通知》（财库〔2017〕141号）的规定，本单位为符合条件的残疾人福利性单位，且本单位参加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单位的</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项目采购活动提供本单位制造的货物（由本单位承担工程/提供服务），或者提供其他残疾人福利性单位制造的货物（不包括使用非残疾人福利性单位注册商标的货物）。</w:t>
      </w:r>
    </w:p>
    <w:p w14:paraId="08611DBD">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本单位对上述声明的真实性负责。如有虚假，将依法承担相应责任。</w:t>
      </w:r>
    </w:p>
    <w:p w14:paraId="7AECEE62">
      <w:pPr>
        <w:snapToGrid w:val="0"/>
        <w:spacing w:line="480" w:lineRule="exact"/>
        <w:ind w:firstLine="560" w:firstLineChars="200"/>
        <w:rPr>
          <w:rFonts w:ascii="Times New Roman" w:hAnsi="Times New Roman" w:eastAsia="仿宋"/>
          <w:color w:val="auto"/>
          <w:sz w:val="28"/>
          <w:szCs w:val="28"/>
        </w:rPr>
      </w:pPr>
    </w:p>
    <w:p w14:paraId="3EE2A407">
      <w:pPr>
        <w:snapToGrid w:val="0"/>
        <w:spacing w:line="480" w:lineRule="exact"/>
        <w:ind w:firstLine="560" w:firstLineChars="200"/>
        <w:rPr>
          <w:rFonts w:ascii="Times New Roman" w:hAnsi="Times New Roman" w:eastAsia="仿宋"/>
          <w:color w:val="auto"/>
          <w:sz w:val="28"/>
          <w:szCs w:val="28"/>
        </w:rPr>
      </w:pPr>
    </w:p>
    <w:p w14:paraId="28847350">
      <w:pPr>
        <w:snapToGrid w:val="0"/>
        <w:spacing w:line="480" w:lineRule="exact"/>
        <w:ind w:firstLine="5100" w:firstLineChars="1700"/>
        <w:rPr>
          <w:rFonts w:ascii="Times New Roman" w:hAnsi="Times New Roman" w:eastAsia="仿宋_GB2312"/>
          <w:color w:val="auto"/>
          <w:sz w:val="30"/>
          <w:szCs w:val="30"/>
        </w:rPr>
      </w:pPr>
    </w:p>
    <w:p w14:paraId="40976951">
      <w:pPr>
        <w:snapToGrid w:val="0"/>
        <w:spacing w:line="480" w:lineRule="exact"/>
        <w:ind w:firstLine="5100" w:firstLineChars="1700"/>
        <w:rPr>
          <w:rFonts w:ascii="Times New Roman" w:hAnsi="Times New Roman" w:eastAsia="仿宋_GB2312"/>
          <w:color w:val="auto"/>
          <w:sz w:val="30"/>
          <w:szCs w:val="30"/>
        </w:rPr>
      </w:pPr>
      <w:r>
        <w:rPr>
          <w:rFonts w:hint="eastAsia" w:ascii="Times New Roman" w:hAnsi="Times New Roman" w:eastAsia="仿宋_GB2312"/>
          <w:color w:val="auto"/>
          <w:sz w:val="30"/>
          <w:szCs w:val="30"/>
        </w:rPr>
        <w:t>单位名称（盖章）：</w:t>
      </w:r>
    </w:p>
    <w:p w14:paraId="07C525C6">
      <w:pPr>
        <w:snapToGrid w:val="0"/>
        <w:spacing w:line="480" w:lineRule="exact"/>
        <w:ind w:firstLine="5100" w:firstLineChars="1700"/>
        <w:rPr>
          <w:rFonts w:ascii="Times New Roman" w:hAnsi="Times New Roman" w:eastAsia="仿宋_GB2312"/>
          <w:color w:val="auto"/>
          <w:sz w:val="30"/>
          <w:szCs w:val="30"/>
        </w:rPr>
      </w:pPr>
      <w:r>
        <w:rPr>
          <w:rFonts w:hint="eastAsia" w:ascii="Times New Roman" w:hAnsi="Times New Roman" w:eastAsia="仿宋_GB2312"/>
          <w:color w:val="auto"/>
          <w:sz w:val="30"/>
          <w:szCs w:val="30"/>
        </w:rPr>
        <w:t xml:space="preserve">日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期：</w:t>
      </w:r>
    </w:p>
    <w:p w14:paraId="648A0119">
      <w:pPr>
        <w:snapToGrid w:val="0"/>
        <w:spacing w:line="480" w:lineRule="exact"/>
        <w:ind w:right="600"/>
        <w:rPr>
          <w:rFonts w:ascii="Times New Roman" w:hAnsi="Times New Roman" w:eastAsia="仿宋_GB2312"/>
          <w:color w:val="auto"/>
          <w:sz w:val="30"/>
          <w:szCs w:val="30"/>
        </w:rPr>
      </w:pPr>
    </w:p>
    <w:p w14:paraId="3D47CEFC">
      <w:pPr>
        <w:snapToGrid w:val="0"/>
        <w:jc w:val="center"/>
        <w:rPr>
          <w:rFonts w:eastAsia="仿宋_GB2312"/>
          <w:b/>
          <w:color w:val="auto"/>
          <w:sz w:val="36"/>
          <w:szCs w:val="36"/>
        </w:rPr>
      </w:pPr>
    </w:p>
    <w:p w14:paraId="1C17B301">
      <w:pPr>
        <w:snapToGrid w:val="0"/>
        <w:jc w:val="center"/>
        <w:rPr>
          <w:rFonts w:eastAsia="仿宋_GB2312"/>
          <w:b/>
          <w:color w:val="auto"/>
          <w:sz w:val="36"/>
          <w:szCs w:val="36"/>
        </w:rPr>
      </w:pPr>
    </w:p>
    <w:p w14:paraId="21E8C20C">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9</w:t>
      </w:r>
    </w:p>
    <w:p w14:paraId="124B2E30">
      <w:pPr>
        <w:ind w:right="-110"/>
        <w:jc w:val="center"/>
        <w:rPr>
          <w:rFonts w:ascii="Times New Roman" w:hAnsi="Times New Roman" w:eastAsia="仿宋_GB2312"/>
          <w:color w:val="auto"/>
          <w:spacing w:val="40"/>
          <w:sz w:val="52"/>
          <w:szCs w:val="52"/>
        </w:rPr>
      </w:pPr>
      <w:r>
        <w:rPr>
          <w:rFonts w:hint="eastAsia" w:ascii="Times New Roman" w:hAnsi="Times New Roman" w:eastAsia="仿宋_GB2312"/>
          <w:color w:val="auto"/>
          <w:spacing w:val="40"/>
          <w:sz w:val="52"/>
          <w:szCs w:val="52"/>
        </w:rPr>
        <w:t>《浙江省中学实验仪器设备购置项目》第二批采购项目（湖州）</w:t>
      </w:r>
    </w:p>
    <w:p w14:paraId="390EEB3C">
      <w:pPr>
        <w:spacing w:before="240" w:beforeLines="100" w:line="240" w:lineRule="atLeast"/>
        <w:ind w:right="-108"/>
        <w:jc w:val="center"/>
        <w:rPr>
          <w:rFonts w:ascii="Times New Roman" w:hAnsi="Times New Roman" w:eastAsia="仿宋_GB2312"/>
          <w:color w:val="auto"/>
          <w:sz w:val="36"/>
          <w:szCs w:val="36"/>
        </w:rPr>
      </w:pPr>
      <w:r>
        <w:rPr>
          <w:rFonts w:hint="eastAsia" w:ascii="Times New Roman" w:hAnsi="Times New Roman" w:eastAsia="仿宋_GB2312"/>
          <w:color w:val="auto"/>
          <w:sz w:val="36"/>
          <w:szCs w:val="36"/>
        </w:rPr>
        <w:t>项目编号：2026-SJYT-11</w:t>
      </w:r>
      <w:r>
        <w:rPr>
          <w:rFonts w:ascii="Times New Roman" w:hAnsi="Times New Roman" w:eastAsia="仿宋_GB2312"/>
          <w:b/>
          <w:color w:val="auto"/>
          <w:sz w:val="36"/>
          <w:szCs w:val="36"/>
        </w:rPr>
        <w:t xml:space="preserve">   </w:t>
      </w:r>
      <w:r>
        <w:rPr>
          <w:rFonts w:hint="eastAsia" w:ascii="Times New Roman" w:hAnsi="Times New Roman" w:eastAsia="仿宋_GB2312"/>
          <w:b/>
          <w:color w:val="auto"/>
          <w:sz w:val="36"/>
          <w:szCs w:val="36"/>
        </w:rPr>
        <w:t xml:space="preserve"> </w:t>
      </w:r>
      <w:r>
        <w:rPr>
          <w:rFonts w:hint="eastAsia" w:ascii="Times New Roman" w:hAnsi="Times New Roman" w:eastAsia="仿宋_GB2312"/>
          <w:color w:val="auto"/>
          <w:sz w:val="36"/>
          <w:szCs w:val="36"/>
        </w:rPr>
        <w:t xml:space="preserve">标项***   </w:t>
      </w:r>
    </w:p>
    <w:p w14:paraId="6E45E4FE">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技</w:t>
      </w:r>
    </w:p>
    <w:p w14:paraId="3F13FDBD">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术</w:t>
      </w:r>
    </w:p>
    <w:p w14:paraId="15AC0473">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及</w:t>
      </w:r>
    </w:p>
    <w:p w14:paraId="0633E2D0">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商</w:t>
      </w:r>
    </w:p>
    <w:p w14:paraId="41ECD2B8">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务</w:t>
      </w:r>
    </w:p>
    <w:p w14:paraId="40DDE7CB">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文</w:t>
      </w:r>
    </w:p>
    <w:p w14:paraId="2FFBB096">
      <w:pPr>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件</w:t>
      </w:r>
    </w:p>
    <w:p w14:paraId="75A29E83">
      <w:pPr>
        <w:spacing w:line="600" w:lineRule="exact"/>
        <w:ind w:right="-108" w:firstLine="720" w:firstLineChars="200"/>
        <w:rPr>
          <w:rFonts w:ascii="Times New Roman" w:hAnsi="Times New Roman" w:eastAsia="仿宋_GB2312"/>
          <w:color w:val="auto"/>
          <w:sz w:val="36"/>
          <w:szCs w:val="36"/>
        </w:rPr>
      </w:pPr>
    </w:p>
    <w:p w14:paraId="60118AFD">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单位全称（公章）：</w:t>
      </w:r>
    </w:p>
    <w:p w14:paraId="503AF1E5">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地    址：</w:t>
      </w:r>
    </w:p>
    <w:p w14:paraId="1DEF1371">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时    间：</w:t>
      </w:r>
    </w:p>
    <w:p w14:paraId="72798D43">
      <w:pPr>
        <w:pageBreakBefore/>
        <w:snapToGrid w:val="0"/>
        <w:spacing w:before="50" w:after="50" w:line="480" w:lineRule="exact"/>
        <w:ind w:firstLine="643" w:firstLineChars="200"/>
        <w:rPr>
          <w:rFonts w:ascii="Times New Roman" w:hAnsi="Times New Roman" w:eastAsia="仿宋_GB2312"/>
          <w:b/>
          <w:color w:val="auto"/>
          <w:sz w:val="32"/>
          <w:szCs w:val="32"/>
        </w:rPr>
      </w:pPr>
      <w:r>
        <w:rPr>
          <w:rFonts w:hint="eastAsia" w:ascii="Times New Roman" w:hAnsi="Times New Roman" w:eastAsia="仿宋_GB2312"/>
          <w:b/>
          <w:color w:val="auto"/>
          <w:sz w:val="32"/>
          <w:szCs w:val="32"/>
        </w:rPr>
        <w:t>一、技术及商务文件目录</w:t>
      </w:r>
    </w:p>
    <w:p w14:paraId="3C67BD69">
      <w:pPr>
        <w:snapToGrid w:val="0"/>
        <w:spacing w:line="480" w:lineRule="exact"/>
        <w:ind w:firstLine="590" w:firstLineChars="196"/>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（一）技术文件</w:t>
      </w:r>
    </w:p>
    <w:p w14:paraId="1E045709">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1</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评分标准索引（附件</w:t>
      </w:r>
      <w:r>
        <w:rPr>
          <w:rFonts w:ascii="Times New Roman" w:hAnsi="Times New Roman" w:eastAsia="仿宋_GB2312"/>
          <w:color w:val="auto"/>
          <w:sz w:val="30"/>
          <w:szCs w:val="30"/>
        </w:rPr>
        <w:t>10</w:t>
      </w:r>
      <w:r>
        <w:rPr>
          <w:rFonts w:hint="eastAsia" w:ascii="Times New Roman" w:hAnsi="Times New Roman" w:eastAsia="仿宋_GB2312"/>
          <w:color w:val="auto"/>
          <w:sz w:val="30"/>
          <w:szCs w:val="30"/>
        </w:rPr>
        <w:t>，主要用于评委对应评分内容）；</w:t>
      </w:r>
    </w:p>
    <w:p w14:paraId="7EF7CE83">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2</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投标项目明细清单（附件</w:t>
      </w:r>
      <w:r>
        <w:rPr>
          <w:rFonts w:ascii="Times New Roman" w:hAnsi="Times New Roman" w:eastAsia="仿宋_GB2312"/>
          <w:color w:val="auto"/>
          <w:sz w:val="30"/>
          <w:szCs w:val="30"/>
        </w:rPr>
        <w:t>11</w:t>
      </w:r>
      <w:r>
        <w:rPr>
          <w:rFonts w:hint="eastAsia" w:ascii="Times New Roman" w:hAnsi="Times New Roman" w:eastAsia="仿宋_GB2312"/>
          <w:color w:val="auto"/>
          <w:sz w:val="30"/>
          <w:szCs w:val="30"/>
        </w:rPr>
        <w:t>）；</w:t>
      </w:r>
    </w:p>
    <w:p w14:paraId="5B327CAD">
      <w:pPr>
        <w:spacing w:line="480" w:lineRule="exact"/>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3</w:t>
      </w:r>
      <w:r>
        <w:rPr>
          <w:rFonts w:hint="eastAsia" w:ascii="Times New Roman" w:hAnsi="Times New Roman" w:eastAsia="仿宋_GB2312"/>
          <w:color w:val="auto"/>
          <w:sz w:val="30"/>
          <w:szCs w:val="30"/>
        </w:rPr>
        <w:t>.技术响应表（附件</w:t>
      </w:r>
      <w:r>
        <w:rPr>
          <w:rFonts w:ascii="Times New Roman" w:hAnsi="Times New Roman" w:eastAsia="仿宋_GB2312"/>
          <w:color w:val="auto"/>
          <w:sz w:val="30"/>
          <w:szCs w:val="30"/>
        </w:rPr>
        <w:t>12</w:t>
      </w:r>
      <w:r>
        <w:rPr>
          <w:rFonts w:hint="eastAsia" w:ascii="Times New Roman" w:hAnsi="Times New Roman" w:eastAsia="仿宋_GB2312"/>
          <w:color w:val="auto"/>
          <w:sz w:val="30"/>
          <w:szCs w:val="30"/>
        </w:rPr>
        <w:t>）；</w:t>
      </w:r>
    </w:p>
    <w:p w14:paraId="3EC7C373">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4</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项目总体解决方案（可包含且不限于对项目总体要求的理解、项目总体架构及技术解决方案等）；</w:t>
      </w:r>
    </w:p>
    <w:p w14:paraId="6D443360">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5</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保证项目质量的技术力量及技术措施；</w:t>
      </w:r>
    </w:p>
    <w:p w14:paraId="29521F81">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6.保证项目实施的组织方案及人力资源安排，其中软件开发项目需提供针对本项目的细化工作内容及相关工程量，要求到人*天，格式自拟；</w:t>
      </w:r>
    </w:p>
    <w:p w14:paraId="53072204">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7</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项目实施人员一览表（附件</w:t>
      </w:r>
      <w:r>
        <w:rPr>
          <w:rFonts w:ascii="Times New Roman" w:hAnsi="Times New Roman" w:eastAsia="仿宋_GB2312"/>
          <w:color w:val="auto"/>
          <w:sz w:val="30"/>
          <w:szCs w:val="30"/>
        </w:rPr>
        <w:t>13</w:t>
      </w:r>
      <w:r>
        <w:rPr>
          <w:rFonts w:hint="eastAsia" w:ascii="Times New Roman" w:hAnsi="Times New Roman" w:eastAsia="仿宋_GB2312"/>
          <w:color w:val="auto"/>
          <w:sz w:val="30"/>
          <w:szCs w:val="30"/>
        </w:rPr>
        <w:t>）；</w:t>
      </w:r>
    </w:p>
    <w:p w14:paraId="4CDB2FAB">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8</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技术服务、技术培训、项目维护、售后服务的内容和措施；</w:t>
      </w:r>
    </w:p>
    <w:p w14:paraId="7FFCCDE5">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9</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投标人认为需要的其他资料和说明（格式自拟）。</w:t>
      </w:r>
    </w:p>
    <w:p w14:paraId="173C912A">
      <w:pPr>
        <w:snapToGrid w:val="0"/>
        <w:spacing w:line="480" w:lineRule="exact"/>
        <w:ind w:firstLine="590" w:firstLineChars="196"/>
        <w:rPr>
          <w:rFonts w:ascii="Times New Roman" w:hAnsi="Times New Roman" w:eastAsia="仿宋_GB2312"/>
          <w:b/>
          <w:color w:val="auto"/>
          <w:sz w:val="30"/>
          <w:szCs w:val="30"/>
        </w:rPr>
      </w:pPr>
      <w:r>
        <w:rPr>
          <w:rFonts w:hint="eastAsia" w:ascii="Times New Roman" w:hAnsi="Times New Roman" w:eastAsia="仿宋_GB2312"/>
          <w:b/>
          <w:color w:val="auto"/>
          <w:sz w:val="30"/>
          <w:szCs w:val="30"/>
        </w:rPr>
        <w:t>（二）商务文件</w:t>
      </w:r>
    </w:p>
    <w:p w14:paraId="647C3D42">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1</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投标人情况介绍（主要产品或服务案例、技术力量、生产规模或服务能力、经营业绩等）；</w:t>
      </w:r>
    </w:p>
    <w:p w14:paraId="44E32BC7">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2</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rPr>
        <w:t>类似成功案例的业绩证明（投标人业绩情况一览表）（附件</w:t>
      </w:r>
      <w:r>
        <w:rPr>
          <w:rFonts w:ascii="Times New Roman" w:hAnsi="Times New Roman" w:eastAsia="仿宋_GB2312"/>
          <w:color w:val="auto"/>
          <w:sz w:val="30"/>
          <w:szCs w:val="30"/>
        </w:rPr>
        <w:t>14</w:t>
      </w:r>
      <w:r>
        <w:rPr>
          <w:rFonts w:hint="eastAsia" w:ascii="Times New Roman" w:hAnsi="Times New Roman" w:eastAsia="仿宋_GB2312"/>
          <w:color w:val="auto"/>
          <w:sz w:val="30"/>
          <w:szCs w:val="30"/>
        </w:rPr>
        <w:t>）；</w:t>
      </w:r>
    </w:p>
    <w:p w14:paraId="0F5BD1D5">
      <w:pPr>
        <w:spacing w:line="480" w:lineRule="exact"/>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3</w:t>
      </w:r>
      <w:r>
        <w:rPr>
          <w:rFonts w:hint="eastAsia" w:ascii="Times New Roman" w:hAnsi="Times New Roman" w:eastAsia="仿宋_GB2312"/>
          <w:color w:val="auto"/>
          <w:sz w:val="30"/>
          <w:szCs w:val="30"/>
        </w:rPr>
        <w:t>.商务响应表（附件15）；</w:t>
      </w:r>
    </w:p>
    <w:p w14:paraId="421DB54C">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4.自主创新、节能环保等方面资质证书或文件（若有，</w:t>
      </w:r>
      <w:r>
        <w:rPr>
          <w:rFonts w:hint="eastAsia" w:ascii="Times New Roman" w:hAnsi="Times New Roman" w:eastAsia="仿宋_GB2312"/>
          <w:b/>
          <w:bCs/>
          <w:color w:val="auto"/>
          <w:sz w:val="30"/>
          <w:szCs w:val="30"/>
        </w:rPr>
        <w:t>特别是评分内容要求的有关证书</w:t>
      </w:r>
      <w:r>
        <w:rPr>
          <w:rFonts w:hint="eastAsia" w:ascii="Times New Roman" w:hAnsi="Times New Roman" w:eastAsia="仿宋_GB2312"/>
          <w:color w:val="auto"/>
          <w:sz w:val="30"/>
          <w:szCs w:val="30"/>
        </w:rPr>
        <w:t>）；</w:t>
      </w:r>
    </w:p>
    <w:p w14:paraId="43252D00">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5.投标人认为需要的其他文件资料和说明（格式自拟）。</w:t>
      </w:r>
    </w:p>
    <w:p w14:paraId="7DA2BCDE">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6.样品标签（附件16）</w:t>
      </w:r>
    </w:p>
    <w:p w14:paraId="3F0D4E42">
      <w:pPr>
        <w:spacing w:line="480" w:lineRule="exact"/>
        <w:ind w:firstLine="602" w:firstLineChars="200"/>
        <w:rPr>
          <w:rFonts w:ascii="Times New Roman" w:hAnsi="Times New Roman" w:eastAsia="仿宋_GB2312"/>
          <w:b/>
          <w:bCs/>
          <w:color w:val="auto"/>
          <w:sz w:val="30"/>
          <w:szCs w:val="30"/>
        </w:rPr>
      </w:pPr>
      <w:r>
        <w:rPr>
          <w:rFonts w:hint="eastAsia" w:ascii="Times New Roman" w:hAnsi="Times New Roman" w:eastAsia="仿宋_GB2312"/>
          <w:b/>
          <w:bCs/>
          <w:color w:val="auto"/>
          <w:sz w:val="30"/>
          <w:szCs w:val="30"/>
        </w:rPr>
        <w:t>注意：制作电子投标文件时，评分内容相关的各方案、清单和承诺等内容请按要求制作、列出标题并做好链接，以便专家评审查找。</w:t>
      </w:r>
    </w:p>
    <w:p w14:paraId="08DE18BB">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10</w:t>
      </w:r>
    </w:p>
    <w:p w14:paraId="0600D175">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评分标准索引</w:t>
      </w:r>
    </w:p>
    <w:p w14:paraId="333D3BF5">
      <w:pPr>
        <w:snapToGrid w:val="0"/>
        <w:spacing w:line="440" w:lineRule="exact"/>
        <w:jc w:val="center"/>
        <w:rPr>
          <w:rFonts w:ascii="Times New Roman" w:hAnsi="Times New Roman" w:eastAsia="仿宋_GB2312"/>
          <w:b/>
          <w:color w:val="auto"/>
          <w:sz w:val="36"/>
          <w:szCs w:val="36"/>
        </w:rPr>
      </w:pPr>
    </w:p>
    <w:p w14:paraId="2B2E44F6">
      <w:pPr>
        <w:pStyle w:val="10"/>
        <w:snapToGrid w:val="0"/>
        <w:spacing w:before="0" w:after="0" w:line="520" w:lineRule="exact"/>
        <w:ind w:firstLine="600" w:firstLineChars="20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14:paraId="1AEC81FB">
      <w:pPr>
        <w:ind w:firstLine="420" w:firstLineChars="200"/>
        <w:rPr>
          <w:color w:val="auto"/>
        </w:rPr>
      </w:pPr>
    </w:p>
    <w:tbl>
      <w:tblPr>
        <w:tblStyle w:val="37"/>
        <w:tblW w:w="96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100"/>
        <w:gridCol w:w="2802"/>
        <w:gridCol w:w="4019"/>
      </w:tblGrid>
      <w:tr w14:paraId="7F2F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center"/>
          </w:tcPr>
          <w:p w14:paraId="25DD0119">
            <w:pPr>
              <w:adjustRightInd w:val="0"/>
              <w:spacing w:line="280" w:lineRule="exact"/>
              <w:jc w:val="center"/>
              <w:textAlignment w:val="baseline"/>
              <w:rPr>
                <w:rFonts w:ascii="Times New Roman" w:hAnsi="Times New Roman" w:eastAsia="黑体"/>
                <w:color w:val="auto"/>
                <w:sz w:val="24"/>
                <w:szCs w:val="24"/>
              </w:rPr>
            </w:pPr>
            <w:r>
              <w:rPr>
                <w:rFonts w:hint="eastAsia" w:ascii="Times New Roman" w:hAnsi="Times New Roman" w:eastAsia="黑体"/>
                <w:color w:val="auto"/>
                <w:sz w:val="24"/>
                <w:szCs w:val="24"/>
              </w:rPr>
              <w:t>评分项目</w:t>
            </w:r>
          </w:p>
        </w:tc>
        <w:tc>
          <w:tcPr>
            <w:tcW w:w="1100" w:type="dxa"/>
            <w:tcBorders>
              <w:top w:val="single" w:color="auto" w:sz="4" w:space="0"/>
              <w:left w:val="single" w:color="auto" w:sz="4" w:space="0"/>
              <w:bottom w:val="single" w:color="auto" w:sz="4" w:space="0"/>
              <w:right w:val="single" w:color="auto" w:sz="4" w:space="0"/>
            </w:tcBorders>
            <w:vAlign w:val="center"/>
          </w:tcPr>
          <w:p w14:paraId="2E4DC9C2">
            <w:pPr>
              <w:adjustRightInd w:val="0"/>
              <w:spacing w:line="280" w:lineRule="exact"/>
              <w:jc w:val="center"/>
              <w:textAlignment w:val="baseline"/>
              <w:rPr>
                <w:rFonts w:ascii="Times New Roman" w:hAnsi="Times New Roman" w:eastAsia="黑体"/>
                <w:color w:val="auto"/>
                <w:sz w:val="24"/>
                <w:szCs w:val="24"/>
              </w:rPr>
            </w:pPr>
            <w:r>
              <w:rPr>
                <w:rFonts w:hint="eastAsia" w:ascii="Times New Roman" w:hAnsi="Times New Roman" w:eastAsia="黑体"/>
                <w:color w:val="auto"/>
                <w:sz w:val="24"/>
                <w:szCs w:val="24"/>
              </w:rPr>
              <w:t>分值</w:t>
            </w:r>
          </w:p>
        </w:tc>
        <w:tc>
          <w:tcPr>
            <w:tcW w:w="2802" w:type="dxa"/>
            <w:tcBorders>
              <w:top w:val="single" w:color="auto" w:sz="4" w:space="0"/>
              <w:left w:val="single" w:color="auto" w:sz="4" w:space="0"/>
              <w:bottom w:val="single" w:color="auto" w:sz="4" w:space="0"/>
              <w:right w:val="single" w:color="auto" w:sz="4" w:space="0"/>
            </w:tcBorders>
            <w:vAlign w:val="center"/>
          </w:tcPr>
          <w:p w14:paraId="6610EDDF">
            <w:pPr>
              <w:adjustRightInd w:val="0"/>
              <w:spacing w:line="280" w:lineRule="exact"/>
              <w:jc w:val="center"/>
              <w:textAlignment w:val="baseline"/>
              <w:rPr>
                <w:rFonts w:ascii="Times New Roman" w:hAnsi="Times New Roman" w:eastAsia="黑体"/>
                <w:color w:val="auto"/>
                <w:sz w:val="24"/>
                <w:szCs w:val="24"/>
              </w:rPr>
            </w:pPr>
            <w:r>
              <w:rPr>
                <w:rFonts w:hint="eastAsia" w:ascii="Times New Roman" w:hAnsi="Times New Roman" w:eastAsia="黑体"/>
                <w:color w:val="auto"/>
                <w:sz w:val="24"/>
                <w:szCs w:val="24"/>
              </w:rPr>
              <w:t>评审要点及说明</w:t>
            </w:r>
          </w:p>
        </w:tc>
        <w:tc>
          <w:tcPr>
            <w:tcW w:w="4019" w:type="dxa"/>
            <w:tcBorders>
              <w:top w:val="single" w:color="auto" w:sz="4" w:space="0"/>
              <w:left w:val="single" w:color="auto" w:sz="4" w:space="0"/>
              <w:bottom w:val="single" w:color="auto" w:sz="4" w:space="0"/>
              <w:right w:val="single" w:color="auto" w:sz="4" w:space="0"/>
            </w:tcBorders>
            <w:vAlign w:val="center"/>
          </w:tcPr>
          <w:p w14:paraId="5D586535">
            <w:pPr>
              <w:adjustRightInd w:val="0"/>
              <w:spacing w:line="280" w:lineRule="exact"/>
              <w:jc w:val="center"/>
              <w:textAlignment w:val="baseline"/>
              <w:rPr>
                <w:rFonts w:ascii="Times New Roman" w:hAnsi="Times New Roman" w:eastAsia="黑体"/>
                <w:color w:val="auto"/>
                <w:sz w:val="24"/>
                <w:szCs w:val="24"/>
              </w:rPr>
            </w:pPr>
            <w:r>
              <w:rPr>
                <w:rFonts w:hint="eastAsia" w:ascii="Times New Roman" w:hAnsi="Times New Roman" w:eastAsia="黑体"/>
                <w:color w:val="auto"/>
                <w:sz w:val="24"/>
                <w:szCs w:val="24"/>
              </w:rPr>
              <w:t>响应文件所在页码</w:t>
            </w:r>
          </w:p>
        </w:tc>
      </w:tr>
      <w:tr w14:paraId="5E1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tcBorders>
              <w:top w:val="single" w:color="auto" w:sz="4" w:space="0"/>
              <w:left w:val="single" w:color="auto" w:sz="4" w:space="0"/>
              <w:bottom w:val="single" w:color="auto" w:sz="4" w:space="0"/>
              <w:right w:val="single" w:color="auto" w:sz="4" w:space="0"/>
            </w:tcBorders>
            <w:vAlign w:val="center"/>
          </w:tcPr>
          <w:p w14:paraId="01FE9B7F">
            <w:pPr>
              <w:spacing w:line="280" w:lineRule="exact"/>
              <w:jc w:val="center"/>
              <w:rPr>
                <w:rFonts w:ascii="Times New Roman" w:hAnsi="Times New Roman" w:eastAsia="楷体_GB2312"/>
                <w:color w:val="auto"/>
                <w:sz w:val="24"/>
                <w:szCs w:val="24"/>
              </w:rPr>
            </w:pPr>
            <w:r>
              <w:rPr>
                <w:rFonts w:hint="eastAsia" w:ascii="Times New Roman" w:hAnsi="Times New Roman" w:eastAsia="楷体_GB2312"/>
                <w:color w:val="auto"/>
                <w:sz w:val="24"/>
                <w:szCs w:val="24"/>
              </w:rPr>
              <w:t>报价</w:t>
            </w:r>
          </w:p>
        </w:tc>
        <w:tc>
          <w:tcPr>
            <w:tcW w:w="1100" w:type="dxa"/>
            <w:tcBorders>
              <w:top w:val="single" w:color="auto" w:sz="4" w:space="0"/>
              <w:left w:val="single" w:color="auto" w:sz="4" w:space="0"/>
              <w:bottom w:val="single" w:color="auto" w:sz="4" w:space="0"/>
              <w:right w:val="single" w:color="auto" w:sz="4" w:space="0"/>
            </w:tcBorders>
            <w:vAlign w:val="center"/>
          </w:tcPr>
          <w:p w14:paraId="6AF6B06C">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271DE1CE">
            <w:pPr>
              <w:spacing w:line="300" w:lineRule="exact"/>
              <w:jc w:val="center"/>
              <w:rPr>
                <w:rFonts w:ascii="Times New Roman" w:hAnsi="Times New Roman" w:eastAsia="楷体_GB2312"/>
                <w:color w:val="auto"/>
                <w:sz w:val="24"/>
                <w:szCs w:val="24"/>
              </w:rPr>
            </w:pPr>
            <w:r>
              <w:rPr>
                <w:rFonts w:hint="eastAsia" w:ascii="Times New Roman" w:hAnsi="Times New Roman" w:eastAsia="楷体_GB2312"/>
                <w:color w:val="auto"/>
                <w:sz w:val="24"/>
                <w:szCs w:val="24"/>
              </w:rPr>
              <w:t>无需填写</w:t>
            </w:r>
          </w:p>
        </w:tc>
        <w:tc>
          <w:tcPr>
            <w:tcW w:w="4019" w:type="dxa"/>
            <w:tcBorders>
              <w:top w:val="single" w:color="auto" w:sz="4" w:space="0"/>
              <w:left w:val="single" w:color="auto" w:sz="4" w:space="0"/>
              <w:bottom w:val="single" w:color="auto" w:sz="4" w:space="0"/>
              <w:right w:val="single" w:color="auto" w:sz="4" w:space="0"/>
            </w:tcBorders>
            <w:vAlign w:val="center"/>
          </w:tcPr>
          <w:p w14:paraId="5D0A4C18">
            <w:pPr>
              <w:spacing w:line="280" w:lineRule="exact"/>
              <w:jc w:val="center"/>
              <w:rPr>
                <w:rFonts w:ascii="Times New Roman" w:hAnsi="Times New Roman" w:eastAsia="楷体_GB2312"/>
                <w:color w:val="auto"/>
                <w:sz w:val="24"/>
                <w:szCs w:val="24"/>
              </w:rPr>
            </w:pPr>
            <w:r>
              <w:rPr>
                <w:rFonts w:hint="eastAsia" w:ascii="Times New Roman" w:hAnsi="Times New Roman" w:eastAsia="楷体_GB2312"/>
                <w:color w:val="auto"/>
                <w:sz w:val="24"/>
                <w:szCs w:val="24"/>
              </w:rPr>
              <w:t>无需填写</w:t>
            </w:r>
          </w:p>
        </w:tc>
      </w:tr>
      <w:tr w14:paraId="7C00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restart"/>
            <w:tcBorders>
              <w:top w:val="single" w:color="auto" w:sz="4" w:space="0"/>
              <w:left w:val="single" w:color="auto" w:sz="4" w:space="0"/>
              <w:bottom w:val="single" w:color="auto" w:sz="4" w:space="0"/>
              <w:right w:val="single" w:color="auto" w:sz="4" w:space="0"/>
            </w:tcBorders>
            <w:vAlign w:val="center"/>
          </w:tcPr>
          <w:p w14:paraId="650F791F">
            <w:pPr>
              <w:spacing w:line="280" w:lineRule="exact"/>
              <w:jc w:val="center"/>
              <w:rPr>
                <w:rFonts w:ascii="Times New Roman" w:hAnsi="Times New Roman" w:eastAsia="楷体_GB2312"/>
                <w:color w:val="auto"/>
                <w:sz w:val="24"/>
                <w:szCs w:val="24"/>
              </w:rPr>
            </w:pPr>
            <w:r>
              <w:rPr>
                <w:rFonts w:hint="eastAsia" w:ascii="Times New Roman" w:hAnsi="Times New Roman" w:eastAsia="楷体_GB2312"/>
                <w:color w:val="auto"/>
                <w:sz w:val="24"/>
                <w:szCs w:val="24"/>
              </w:rPr>
              <w:t>商务</w:t>
            </w:r>
          </w:p>
        </w:tc>
        <w:tc>
          <w:tcPr>
            <w:tcW w:w="1100" w:type="dxa"/>
            <w:tcBorders>
              <w:top w:val="single" w:color="auto" w:sz="4" w:space="0"/>
              <w:left w:val="single" w:color="auto" w:sz="4" w:space="0"/>
              <w:bottom w:val="single" w:color="auto" w:sz="4" w:space="0"/>
              <w:right w:val="single" w:color="auto" w:sz="4" w:space="0"/>
            </w:tcBorders>
            <w:vAlign w:val="center"/>
          </w:tcPr>
          <w:p w14:paraId="50CC167A">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505D6B3E">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30233162">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x</w:t>
            </w:r>
            <w:r>
              <w:rPr>
                <w:rFonts w:ascii="Times New Roman" w:hAnsi="Times New Roman" w:eastAsia="仿宋_GB2312"/>
                <w:color w:val="auto"/>
                <w:sz w:val="24"/>
                <w:szCs w:val="24"/>
              </w:rPr>
              <w:t>x</w:t>
            </w:r>
            <w:r>
              <w:rPr>
                <w:rFonts w:hint="eastAsia" w:ascii="Times New Roman" w:hAnsi="Times New Roman" w:eastAsia="仿宋_GB2312"/>
                <w:color w:val="auto"/>
                <w:sz w:val="24"/>
                <w:szCs w:val="24"/>
              </w:rPr>
              <w:t>文件第xx-xx页</w:t>
            </w:r>
          </w:p>
        </w:tc>
      </w:tr>
      <w:tr w14:paraId="5725F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41892046">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5AC8C200">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69C67515">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6A6F665">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7531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7CFFC611">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32F48696">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462E902C">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499CFB1F">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5D49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0CB79838">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76F84704">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75BD5663">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3B747136">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58B7A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4C929856">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00C83520">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63AE6EED">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2ACB4E25">
            <w:pPr>
              <w:widowControl/>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44C3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451413C3">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227EF46B">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6880C0E1">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2BA31156">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09A0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5EF7099E">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597B9485">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6BC96233">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F6D6EB7">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55B4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restart"/>
            <w:tcBorders>
              <w:top w:val="single" w:color="auto" w:sz="4" w:space="0"/>
              <w:left w:val="single" w:color="auto" w:sz="4" w:space="0"/>
              <w:bottom w:val="single" w:color="auto" w:sz="4" w:space="0"/>
              <w:right w:val="single" w:color="auto" w:sz="4" w:space="0"/>
            </w:tcBorders>
            <w:vAlign w:val="center"/>
          </w:tcPr>
          <w:p w14:paraId="01BC22A9">
            <w:pPr>
              <w:spacing w:line="280" w:lineRule="exact"/>
              <w:jc w:val="center"/>
              <w:rPr>
                <w:rFonts w:ascii="Times New Roman" w:hAnsi="Times New Roman" w:eastAsia="楷体_GB2312"/>
                <w:color w:val="auto"/>
                <w:sz w:val="24"/>
                <w:szCs w:val="24"/>
              </w:rPr>
            </w:pPr>
            <w:r>
              <w:rPr>
                <w:rFonts w:hint="eastAsia" w:ascii="Times New Roman" w:hAnsi="Times New Roman" w:eastAsia="楷体_GB2312"/>
                <w:color w:val="auto"/>
                <w:sz w:val="24"/>
                <w:szCs w:val="24"/>
              </w:rPr>
              <w:t>技术</w:t>
            </w:r>
          </w:p>
        </w:tc>
        <w:tc>
          <w:tcPr>
            <w:tcW w:w="1100" w:type="dxa"/>
            <w:tcBorders>
              <w:top w:val="single" w:color="auto" w:sz="4" w:space="0"/>
              <w:left w:val="single" w:color="auto" w:sz="4" w:space="0"/>
              <w:bottom w:val="single" w:color="auto" w:sz="4" w:space="0"/>
              <w:right w:val="single" w:color="auto" w:sz="4" w:space="0"/>
            </w:tcBorders>
            <w:vAlign w:val="center"/>
          </w:tcPr>
          <w:p w14:paraId="1DA5476B">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7619A1C3">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6C208514">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x</w:t>
            </w:r>
            <w:r>
              <w:rPr>
                <w:rFonts w:ascii="Times New Roman" w:hAnsi="Times New Roman" w:eastAsia="仿宋_GB2312"/>
                <w:color w:val="auto"/>
                <w:sz w:val="24"/>
                <w:szCs w:val="24"/>
              </w:rPr>
              <w:t>x</w:t>
            </w:r>
            <w:r>
              <w:rPr>
                <w:rFonts w:hint="eastAsia" w:ascii="Times New Roman" w:hAnsi="Times New Roman" w:eastAsia="仿宋_GB2312"/>
                <w:color w:val="auto"/>
                <w:sz w:val="24"/>
                <w:szCs w:val="24"/>
              </w:rPr>
              <w:t>文件第xx-xx页</w:t>
            </w:r>
          </w:p>
        </w:tc>
      </w:tr>
      <w:tr w14:paraId="2E81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4DF01F75">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0B5B96FB">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35FE9427">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C9A9225">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66619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6D1182C1">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0C1A9145">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133715B5">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075C53A">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18AC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2031676D">
            <w:pPr>
              <w:widowControl/>
              <w:spacing w:line="280" w:lineRule="exact"/>
              <w:jc w:val="center"/>
              <w:rPr>
                <w:rFonts w:ascii="Times New Roman" w:hAnsi="Times New Roman" w:eastAsia="楷体_GB2312"/>
                <w:color w:val="auto"/>
                <w:sz w:val="24"/>
                <w:szCs w:val="24"/>
              </w:rPr>
            </w:pPr>
          </w:p>
        </w:tc>
        <w:tc>
          <w:tcPr>
            <w:tcW w:w="1100" w:type="dxa"/>
            <w:tcBorders>
              <w:top w:val="nil"/>
              <w:left w:val="single" w:color="auto" w:sz="4" w:space="0"/>
              <w:bottom w:val="single" w:color="auto" w:sz="4" w:space="0"/>
              <w:right w:val="single" w:color="auto" w:sz="4" w:space="0"/>
            </w:tcBorders>
            <w:vAlign w:val="center"/>
          </w:tcPr>
          <w:p w14:paraId="1A1250DE">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0A0B811E">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4DC4DB6">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778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5A78A46E">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3AEC38AA">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57BAB9DB">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36844293">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r w14:paraId="7D4E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71946525">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27B97BDE">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0110870F">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2B5735DA">
            <w:pPr>
              <w:jc w:val="center"/>
              <w:rPr>
                <w:rFonts w:ascii="Times New Roman" w:hAnsi="Times New Roman"/>
                <w:color w:val="auto"/>
              </w:rPr>
            </w:pPr>
            <w:r>
              <w:rPr>
                <w:rFonts w:hint="eastAsia" w:ascii="Times New Roman" w:hAnsi="Times New Roman" w:eastAsia="仿宋_GB2312"/>
                <w:color w:val="auto"/>
                <w:sz w:val="24"/>
                <w:szCs w:val="24"/>
              </w:rPr>
              <w:t>……</w:t>
            </w:r>
          </w:p>
        </w:tc>
      </w:tr>
      <w:tr w14:paraId="19DD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148F7C6C">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2245DCB5">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786F4BC6">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17068424">
            <w:pPr>
              <w:jc w:val="center"/>
              <w:rPr>
                <w:rFonts w:ascii="Times New Roman" w:hAnsi="Times New Roman"/>
                <w:color w:val="auto"/>
              </w:rPr>
            </w:pPr>
            <w:r>
              <w:rPr>
                <w:rFonts w:hint="eastAsia" w:ascii="Times New Roman" w:hAnsi="Times New Roman" w:eastAsia="仿宋_GB2312"/>
                <w:color w:val="auto"/>
                <w:sz w:val="24"/>
                <w:szCs w:val="24"/>
              </w:rPr>
              <w:t>……</w:t>
            </w:r>
          </w:p>
        </w:tc>
      </w:tr>
      <w:tr w14:paraId="60831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Merge w:val="continue"/>
            <w:tcBorders>
              <w:top w:val="single" w:color="auto" w:sz="4" w:space="0"/>
              <w:left w:val="single" w:color="auto" w:sz="4" w:space="0"/>
              <w:bottom w:val="single" w:color="auto" w:sz="4" w:space="0"/>
              <w:right w:val="single" w:color="auto" w:sz="4" w:space="0"/>
            </w:tcBorders>
            <w:vAlign w:val="center"/>
          </w:tcPr>
          <w:p w14:paraId="19ED51D9">
            <w:pPr>
              <w:widowControl/>
              <w:spacing w:line="280" w:lineRule="exact"/>
              <w:jc w:val="center"/>
              <w:rPr>
                <w:rFonts w:ascii="Times New Roman" w:hAnsi="Times New Roman" w:eastAsia="楷体_GB2312"/>
                <w:color w:val="auto"/>
                <w:sz w:val="24"/>
                <w:szCs w:val="24"/>
              </w:rPr>
            </w:pPr>
          </w:p>
        </w:tc>
        <w:tc>
          <w:tcPr>
            <w:tcW w:w="1100" w:type="dxa"/>
            <w:tcBorders>
              <w:top w:val="single" w:color="auto" w:sz="4" w:space="0"/>
              <w:left w:val="single" w:color="auto" w:sz="4" w:space="0"/>
              <w:bottom w:val="single" w:color="auto" w:sz="4" w:space="0"/>
              <w:right w:val="single" w:color="auto" w:sz="4" w:space="0"/>
            </w:tcBorders>
            <w:vAlign w:val="center"/>
          </w:tcPr>
          <w:p w14:paraId="5B209DC7">
            <w:pPr>
              <w:spacing w:line="300" w:lineRule="exact"/>
              <w:jc w:val="center"/>
              <w:rPr>
                <w:rFonts w:ascii="Times New Roman" w:hAnsi="Times New Roman" w:eastAsia="楷体_GB2312"/>
                <w:color w:val="auto"/>
                <w:sz w:val="24"/>
                <w:szCs w:val="24"/>
              </w:rPr>
            </w:pPr>
          </w:p>
        </w:tc>
        <w:tc>
          <w:tcPr>
            <w:tcW w:w="2802" w:type="dxa"/>
            <w:tcBorders>
              <w:top w:val="single" w:color="auto" w:sz="4" w:space="0"/>
              <w:left w:val="single" w:color="auto" w:sz="4" w:space="0"/>
              <w:bottom w:val="single" w:color="auto" w:sz="4" w:space="0"/>
              <w:right w:val="single" w:color="auto" w:sz="4" w:space="0"/>
            </w:tcBorders>
            <w:vAlign w:val="center"/>
          </w:tcPr>
          <w:p w14:paraId="0DC8959F">
            <w:pPr>
              <w:spacing w:line="300" w:lineRule="exact"/>
              <w:jc w:val="center"/>
              <w:rPr>
                <w:rFonts w:ascii="Times New Roman" w:hAnsi="Times New Roman" w:eastAsia="楷体_GB2312"/>
                <w:color w:val="auto"/>
                <w:sz w:val="24"/>
                <w:szCs w:val="24"/>
              </w:rPr>
            </w:pPr>
          </w:p>
        </w:tc>
        <w:tc>
          <w:tcPr>
            <w:tcW w:w="4019" w:type="dxa"/>
            <w:tcBorders>
              <w:top w:val="single" w:color="auto" w:sz="4" w:space="0"/>
              <w:left w:val="single" w:color="auto" w:sz="4" w:space="0"/>
              <w:bottom w:val="single" w:color="auto" w:sz="4" w:space="0"/>
              <w:right w:val="single" w:color="auto" w:sz="4" w:space="0"/>
            </w:tcBorders>
            <w:vAlign w:val="center"/>
          </w:tcPr>
          <w:p w14:paraId="44EFA9DB">
            <w:pPr>
              <w:spacing w:line="280" w:lineRule="exact"/>
              <w:jc w:val="center"/>
              <w:rPr>
                <w:rFonts w:ascii="Times New Roman" w:hAnsi="Times New Roman" w:eastAsia="楷体_GB2312"/>
                <w:color w:val="auto"/>
                <w:sz w:val="24"/>
                <w:szCs w:val="24"/>
              </w:rPr>
            </w:pPr>
            <w:r>
              <w:rPr>
                <w:rFonts w:hint="eastAsia" w:ascii="Times New Roman" w:hAnsi="Times New Roman" w:eastAsia="仿宋_GB2312"/>
                <w:color w:val="auto"/>
                <w:sz w:val="24"/>
                <w:szCs w:val="24"/>
              </w:rPr>
              <w:t>……</w:t>
            </w:r>
          </w:p>
        </w:tc>
      </w:tr>
    </w:tbl>
    <w:p w14:paraId="0A677D1A">
      <w:pPr>
        <w:snapToGrid w:val="0"/>
        <w:spacing w:before="50" w:after="50"/>
        <w:rPr>
          <w:rFonts w:ascii="Times New Roman" w:hAnsi="Times New Roman" w:eastAsia="仿宋_GB2312"/>
          <w:color w:val="auto"/>
          <w:spacing w:val="20"/>
          <w:sz w:val="30"/>
          <w:szCs w:val="30"/>
        </w:rPr>
      </w:pPr>
      <w:r>
        <w:rPr>
          <w:rFonts w:hint="eastAsia" w:ascii="Times New Roman" w:hAnsi="Times New Roman" w:eastAsia="仿宋_GB2312"/>
          <w:color w:val="auto"/>
          <w:spacing w:val="20"/>
          <w:sz w:val="30"/>
          <w:szCs w:val="30"/>
        </w:rPr>
        <w:t>说明：本评分标准索引放在技术及商务响应文件目录页后面，并标注每一项“评分内容和标准”所在页码。</w:t>
      </w:r>
    </w:p>
    <w:p w14:paraId="32D860C5">
      <w:pPr>
        <w:pStyle w:val="4"/>
        <w:pageBreakBefore/>
        <w:spacing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附件11</w:t>
      </w:r>
    </w:p>
    <w:p w14:paraId="1F0C125D">
      <w:pPr>
        <w:snapToGrid w:val="0"/>
        <w:spacing w:before="50" w:after="120" w:afterLines="50"/>
        <w:jc w:val="center"/>
        <w:rPr>
          <w:rFonts w:ascii="仿宋" w:hAnsi="仿宋" w:eastAsia="仿宋"/>
          <w:b/>
          <w:color w:val="auto"/>
          <w:spacing w:val="40"/>
          <w:kern w:val="0"/>
          <w:sz w:val="36"/>
          <w:szCs w:val="36"/>
        </w:rPr>
      </w:pPr>
      <w:r>
        <w:rPr>
          <w:rFonts w:hint="eastAsia" w:ascii="仿宋" w:hAnsi="仿宋" w:eastAsia="仿宋"/>
          <w:b/>
          <w:color w:val="auto"/>
          <w:spacing w:val="40"/>
          <w:kern w:val="0"/>
          <w:sz w:val="36"/>
          <w:szCs w:val="36"/>
        </w:rPr>
        <w:t>投标项目明细清单</w:t>
      </w:r>
    </w:p>
    <w:p w14:paraId="0E287204">
      <w:pPr>
        <w:snapToGrid w:val="0"/>
        <w:spacing w:before="50" w:after="120" w:afterLines="50"/>
        <w:rPr>
          <w:rFonts w:ascii="仿宋" w:hAnsi="仿宋" w:eastAsia="仿宋"/>
          <w:b/>
          <w:color w:val="auto"/>
          <w:spacing w:val="40"/>
          <w:kern w:val="0"/>
          <w:sz w:val="36"/>
          <w:szCs w:val="36"/>
        </w:rPr>
      </w:pPr>
    </w:p>
    <w:p w14:paraId="134D9F7A">
      <w:pPr>
        <w:pStyle w:val="10"/>
        <w:snapToGrid w:val="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p>
    <w:p w14:paraId="132F500D">
      <w:pPr>
        <w:pStyle w:val="10"/>
        <w:snapToGrid w:val="0"/>
        <w:rPr>
          <w:rFonts w:ascii="仿宋" w:hAnsi="仿宋" w:eastAsia="仿宋"/>
          <w:color w:val="auto"/>
          <w:sz w:val="30"/>
          <w:szCs w:val="30"/>
        </w:rPr>
      </w:pPr>
      <w:r>
        <w:rPr>
          <w:rFonts w:hint="eastAsia" w:ascii="仿宋" w:hAnsi="仿宋" w:eastAsia="仿宋"/>
          <w:color w:val="auto"/>
          <w:sz w:val="30"/>
          <w:szCs w:val="30"/>
        </w:rPr>
        <w:t>货物类</w:t>
      </w:r>
    </w:p>
    <w:tbl>
      <w:tblPr>
        <w:tblStyle w:val="37"/>
        <w:tblW w:w="8522"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17"/>
        <w:gridCol w:w="851"/>
        <w:gridCol w:w="992"/>
        <w:gridCol w:w="1134"/>
        <w:gridCol w:w="1417"/>
        <w:gridCol w:w="1255"/>
        <w:gridCol w:w="707"/>
        <w:gridCol w:w="578"/>
        <w:gridCol w:w="771"/>
      </w:tblGrid>
      <w:tr w14:paraId="2686E46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7" w:hRule="atLeast"/>
        </w:trPr>
        <w:tc>
          <w:tcPr>
            <w:tcW w:w="8522" w:type="dxa"/>
            <w:gridSpan w:val="9"/>
            <w:tcBorders>
              <w:top w:val="single" w:color="auto" w:sz="4" w:space="0"/>
              <w:left w:val="single" w:color="auto" w:sz="4" w:space="0"/>
              <w:bottom w:val="single" w:color="auto" w:sz="4" w:space="0"/>
              <w:right w:val="single" w:color="auto" w:sz="4" w:space="0"/>
            </w:tcBorders>
            <w:vAlign w:val="center"/>
          </w:tcPr>
          <w:p w14:paraId="3A105EFB">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货物类</w:t>
            </w:r>
          </w:p>
        </w:tc>
      </w:tr>
      <w:tr w14:paraId="59BF0E5B">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7" w:hRule="atLeast"/>
        </w:trPr>
        <w:tc>
          <w:tcPr>
            <w:tcW w:w="817" w:type="dxa"/>
            <w:vMerge w:val="restart"/>
            <w:tcBorders>
              <w:top w:val="nil"/>
              <w:left w:val="single" w:color="auto" w:sz="4" w:space="0"/>
              <w:bottom w:val="nil"/>
              <w:right w:val="single" w:color="auto" w:sz="4" w:space="0"/>
            </w:tcBorders>
            <w:vAlign w:val="center"/>
          </w:tcPr>
          <w:p w14:paraId="3773B5E5">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序号</w:t>
            </w:r>
          </w:p>
        </w:tc>
        <w:tc>
          <w:tcPr>
            <w:tcW w:w="851" w:type="dxa"/>
            <w:vMerge w:val="restart"/>
            <w:tcBorders>
              <w:top w:val="single" w:color="auto" w:sz="4" w:space="0"/>
              <w:left w:val="nil"/>
              <w:bottom w:val="nil"/>
              <w:right w:val="single" w:color="auto" w:sz="4" w:space="0"/>
            </w:tcBorders>
            <w:vAlign w:val="center"/>
          </w:tcPr>
          <w:p w14:paraId="3E3E541D">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货物</w:t>
            </w:r>
          </w:p>
          <w:p w14:paraId="57C8F13B">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名称</w:t>
            </w:r>
          </w:p>
        </w:tc>
        <w:tc>
          <w:tcPr>
            <w:tcW w:w="992" w:type="dxa"/>
            <w:vMerge w:val="restart"/>
            <w:tcBorders>
              <w:top w:val="single" w:color="auto" w:sz="4" w:space="0"/>
              <w:left w:val="nil"/>
              <w:bottom w:val="nil"/>
              <w:right w:val="single" w:color="auto" w:sz="4" w:space="0"/>
            </w:tcBorders>
            <w:vAlign w:val="center"/>
          </w:tcPr>
          <w:p w14:paraId="5C13B064">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品牌</w:t>
            </w:r>
          </w:p>
        </w:tc>
        <w:tc>
          <w:tcPr>
            <w:tcW w:w="1134" w:type="dxa"/>
            <w:vMerge w:val="restart"/>
            <w:tcBorders>
              <w:top w:val="single" w:color="auto" w:sz="4" w:space="0"/>
              <w:left w:val="nil"/>
              <w:right w:val="single" w:color="auto" w:sz="4" w:space="0"/>
            </w:tcBorders>
            <w:vAlign w:val="center"/>
          </w:tcPr>
          <w:p w14:paraId="0713AC3D">
            <w:pPr>
              <w:snapToGrid w:val="0"/>
              <w:spacing w:line="400" w:lineRule="exact"/>
              <w:jc w:val="center"/>
              <w:rPr>
                <w:rFonts w:ascii="仿宋" w:hAnsi="仿宋" w:eastAsia="仿宋" w:cs="仿宋"/>
                <w:b/>
                <w:color w:val="auto"/>
                <w:sz w:val="24"/>
                <w:szCs w:val="24"/>
                <w:lang w:bidi="ar"/>
              </w:rPr>
            </w:pPr>
            <w:r>
              <w:rPr>
                <w:rFonts w:hint="eastAsia" w:ascii="仿宋" w:hAnsi="仿宋" w:eastAsia="仿宋" w:cs="仿宋"/>
                <w:b/>
                <w:color w:val="auto"/>
                <w:sz w:val="24"/>
                <w:szCs w:val="24"/>
                <w:lang w:bidi="ar"/>
              </w:rPr>
              <w:t>产地</w:t>
            </w:r>
          </w:p>
        </w:tc>
        <w:tc>
          <w:tcPr>
            <w:tcW w:w="1417" w:type="dxa"/>
            <w:vMerge w:val="restart"/>
            <w:tcBorders>
              <w:top w:val="single" w:color="auto" w:sz="4" w:space="0"/>
              <w:left w:val="nil"/>
              <w:bottom w:val="nil"/>
              <w:right w:val="single" w:color="auto" w:sz="4" w:space="0"/>
            </w:tcBorders>
            <w:vAlign w:val="center"/>
          </w:tcPr>
          <w:p w14:paraId="5BD4A443">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规格</w:t>
            </w:r>
          </w:p>
          <w:p w14:paraId="5598F3C4">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型号</w:t>
            </w:r>
          </w:p>
        </w:tc>
        <w:tc>
          <w:tcPr>
            <w:tcW w:w="1255" w:type="dxa"/>
            <w:vMerge w:val="restart"/>
            <w:tcBorders>
              <w:top w:val="single" w:color="auto" w:sz="4" w:space="0"/>
              <w:left w:val="nil"/>
              <w:right w:val="single" w:color="auto" w:sz="4" w:space="0"/>
            </w:tcBorders>
            <w:vAlign w:val="center"/>
          </w:tcPr>
          <w:p w14:paraId="7E96AC76">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数量</w:t>
            </w:r>
          </w:p>
        </w:tc>
        <w:tc>
          <w:tcPr>
            <w:tcW w:w="2056" w:type="dxa"/>
            <w:gridSpan w:val="3"/>
            <w:tcBorders>
              <w:top w:val="single" w:color="auto" w:sz="4" w:space="0"/>
              <w:left w:val="nil"/>
              <w:bottom w:val="single" w:color="auto" w:sz="4" w:space="0"/>
              <w:right w:val="single" w:color="auto" w:sz="4" w:space="0"/>
            </w:tcBorders>
            <w:vAlign w:val="center"/>
          </w:tcPr>
          <w:p w14:paraId="7F26DD27">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制造商情况</w:t>
            </w:r>
          </w:p>
        </w:tc>
      </w:tr>
      <w:tr w14:paraId="7E9F872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467" w:hRule="atLeast"/>
        </w:trPr>
        <w:tc>
          <w:tcPr>
            <w:tcW w:w="817" w:type="dxa"/>
            <w:vMerge w:val="continue"/>
            <w:tcBorders>
              <w:top w:val="nil"/>
              <w:left w:val="single" w:color="auto" w:sz="4" w:space="0"/>
              <w:bottom w:val="nil"/>
              <w:right w:val="single" w:color="auto" w:sz="4" w:space="0"/>
            </w:tcBorders>
            <w:vAlign w:val="center"/>
          </w:tcPr>
          <w:p w14:paraId="70AA52D9">
            <w:pPr>
              <w:rPr>
                <w:rFonts w:ascii="Times New Roman" w:hAnsi="Times New Roman"/>
                <w:color w:val="auto"/>
                <w:sz w:val="20"/>
                <w:szCs w:val="20"/>
              </w:rPr>
            </w:pPr>
          </w:p>
        </w:tc>
        <w:tc>
          <w:tcPr>
            <w:tcW w:w="851" w:type="dxa"/>
            <w:vMerge w:val="continue"/>
            <w:tcBorders>
              <w:top w:val="single" w:color="auto" w:sz="4" w:space="0"/>
              <w:left w:val="nil"/>
              <w:bottom w:val="nil"/>
              <w:right w:val="single" w:color="auto" w:sz="4" w:space="0"/>
            </w:tcBorders>
            <w:vAlign w:val="center"/>
          </w:tcPr>
          <w:p w14:paraId="2B53220A">
            <w:pPr>
              <w:rPr>
                <w:rFonts w:ascii="Times New Roman" w:hAnsi="Times New Roman"/>
                <w:color w:val="auto"/>
                <w:sz w:val="20"/>
                <w:szCs w:val="20"/>
              </w:rPr>
            </w:pPr>
          </w:p>
        </w:tc>
        <w:tc>
          <w:tcPr>
            <w:tcW w:w="992" w:type="dxa"/>
            <w:vMerge w:val="continue"/>
            <w:tcBorders>
              <w:top w:val="single" w:color="auto" w:sz="4" w:space="0"/>
              <w:left w:val="nil"/>
              <w:bottom w:val="nil"/>
              <w:right w:val="single" w:color="auto" w:sz="4" w:space="0"/>
            </w:tcBorders>
            <w:vAlign w:val="center"/>
          </w:tcPr>
          <w:p w14:paraId="04A18BE8">
            <w:pPr>
              <w:rPr>
                <w:rFonts w:ascii="Times New Roman" w:hAnsi="Times New Roman"/>
                <w:color w:val="auto"/>
                <w:sz w:val="20"/>
                <w:szCs w:val="20"/>
              </w:rPr>
            </w:pPr>
          </w:p>
        </w:tc>
        <w:tc>
          <w:tcPr>
            <w:tcW w:w="1134" w:type="dxa"/>
            <w:vMerge w:val="continue"/>
            <w:tcBorders>
              <w:left w:val="nil"/>
              <w:bottom w:val="nil"/>
              <w:right w:val="single" w:color="auto" w:sz="4" w:space="0"/>
            </w:tcBorders>
            <w:vAlign w:val="center"/>
          </w:tcPr>
          <w:p w14:paraId="42BB0AED">
            <w:pPr>
              <w:rPr>
                <w:rFonts w:ascii="Times New Roman" w:hAnsi="Times New Roman"/>
                <w:color w:val="auto"/>
                <w:sz w:val="20"/>
                <w:szCs w:val="20"/>
              </w:rPr>
            </w:pPr>
          </w:p>
        </w:tc>
        <w:tc>
          <w:tcPr>
            <w:tcW w:w="1417" w:type="dxa"/>
            <w:vMerge w:val="continue"/>
            <w:tcBorders>
              <w:top w:val="single" w:color="auto" w:sz="4" w:space="0"/>
              <w:left w:val="nil"/>
              <w:bottom w:val="nil"/>
              <w:right w:val="single" w:color="auto" w:sz="4" w:space="0"/>
            </w:tcBorders>
            <w:vAlign w:val="center"/>
          </w:tcPr>
          <w:p w14:paraId="540BCD2E">
            <w:pPr>
              <w:rPr>
                <w:rFonts w:ascii="Times New Roman" w:hAnsi="Times New Roman"/>
                <w:color w:val="auto"/>
                <w:sz w:val="20"/>
                <w:szCs w:val="20"/>
              </w:rPr>
            </w:pPr>
          </w:p>
        </w:tc>
        <w:tc>
          <w:tcPr>
            <w:tcW w:w="1255" w:type="dxa"/>
            <w:vMerge w:val="continue"/>
            <w:tcBorders>
              <w:left w:val="nil"/>
              <w:bottom w:val="nil"/>
              <w:right w:val="single" w:color="auto" w:sz="4" w:space="0"/>
            </w:tcBorders>
            <w:vAlign w:val="center"/>
          </w:tcPr>
          <w:p w14:paraId="056E1392">
            <w:pPr>
              <w:rPr>
                <w:rFonts w:ascii="Times New Roman" w:hAnsi="Times New Roman"/>
                <w:color w:val="auto"/>
                <w:sz w:val="20"/>
                <w:szCs w:val="20"/>
              </w:rPr>
            </w:pPr>
          </w:p>
        </w:tc>
        <w:tc>
          <w:tcPr>
            <w:tcW w:w="707" w:type="dxa"/>
            <w:tcBorders>
              <w:top w:val="single" w:color="auto" w:sz="4" w:space="0"/>
              <w:left w:val="nil"/>
              <w:bottom w:val="nil"/>
              <w:right w:val="single" w:color="auto" w:sz="4" w:space="0"/>
            </w:tcBorders>
            <w:vAlign w:val="center"/>
          </w:tcPr>
          <w:p w14:paraId="0838F0DA">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lang w:bidi="ar"/>
              </w:rPr>
              <w:t>是否中小企业</w:t>
            </w:r>
          </w:p>
        </w:tc>
        <w:tc>
          <w:tcPr>
            <w:tcW w:w="578" w:type="dxa"/>
            <w:tcBorders>
              <w:top w:val="single" w:color="auto" w:sz="4" w:space="0"/>
              <w:left w:val="nil"/>
              <w:bottom w:val="nil"/>
              <w:right w:val="single" w:color="auto" w:sz="4" w:space="0"/>
            </w:tcBorders>
            <w:vAlign w:val="center"/>
          </w:tcPr>
          <w:p w14:paraId="5217E486">
            <w:pPr>
              <w:snapToGrid w:val="0"/>
              <w:spacing w:line="400" w:lineRule="exact"/>
              <w:jc w:val="center"/>
              <w:rPr>
                <w:rFonts w:ascii="仿宋" w:hAnsi="仿宋" w:eastAsia="仿宋" w:cs="仿宋"/>
                <w:b/>
                <w:color w:val="auto"/>
                <w:szCs w:val="21"/>
              </w:rPr>
            </w:pPr>
            <w:r>
              <w:rPr>
                <w:rFonts w:hint="eastAsia" w:ascii="仿宋" w:hAnsi="仿宋" w:eastAsia="仿宋" w:cs="仿宋"/>
                <w:b/>
                <w:color w:val="auto"/>
                <w:lang w:bidi="ar"/>
              </w:rPr>
              <w:t>企业全称</w:t>
            </w:r>
          </w:p>
        </w:tc>
        <w:tc>
          <w:tcPr>
            <w:tcW w:w="771" w:type="dxa"/>
            <w:tcBorders>
              <w:top w:val="single" w:color="auto" w:sz="4" w:space="0"/>
              <w:left w:val="nil"/>
              <w:bottom w:val="nil"/>
              <w:right w:val="single" w:color="auto" w:sz="4" w:space="0"/>
            </w:tcBorders>
            <w:vAlign w:val="center"/>
          </w:tcPr>
          <w:p w14:paraId="3FBA82F6">
            <w:pPr>
              <w:snapToGrid w:val="0"/>
              <w:spacing w:line="400" w:lineRule="exact"/>
              <w:jc w:val="center"/>
              <w:rPr>
                <w:rFonts w:ascii="仿宋" w:hAnsi="仿宋" w:eastAsia="仿宋" w:cs="仿宋"/>
                <w:b/>
                <w:color w:val="auto"/>
                <w:szCs w:val="21"/>
              </w:rPr>
            </w:pPr>
            <w:r>
              <w:rPr>
                <w:rFonts w:hint="eastAsia" w:ascii="仿宋" w:hAnsi="仿宋" w:eastAsia="仿宋" w:cs="仿宋"/>
                <w:b/>
                <w:color w:val="auto"/>
                <w:lang w:bidi="ar"/>
              </w:rPr>
              <w:t>中小企业商号或注册商标</w:t>
            </w:r>
          </w:p>
        </w:tc>
      </w:tr>
      <w:tr w14:paraId="36CD42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817" w:type="dxa"/>
            <w:tcBorders>
              <w:top w:val="single" w:color="auto" w:sz="4" w:space="0"/>
              <w:left w:val="single" w:color="auto" w:sz="4" w:space="0"/>
              <w:bottom w:val="single" w:color="auto" w:sz="4" w:space="0"/>
              <w:right w:val="single" w:color="auto" w:sz="4" w:space="0"/>
            </w:tcBorders>
            <w:vAlign w:val="center"/>
          </w:tcPr>
          <w:p w14:paraId="2CB21C00">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w:t>
            </w:r>
          </w:p>
        </w:tc>
        <w:tc>
          <w:tcPr>
            <w:tcW w:w="851" w:type="dxa"/>
            <w:tcBorders>
              <w:top w:val="single" w:color="auto" w:sz="4" w:space="0"/>
              <w:left w:val="nil"/>
              <w:bottom w:val="single" w:color="auto" w:sz="4" w:space="0"/>
              <w:right w:val="single" w:color="auto" w:sz="4" w:space="0"/>
            </w:tcBorders>
            <w:vAlign w:val="center"/>
          </w:tcPr>
          <w:p w14:paraId="7BB744E3">
            <w:pPr>
              <w:snapToGrid w:val="0"/>
              <w:spacing w:line="400" w:lineRule="exact"/>
              <w:jc w:val="center"/>
              <w:rPr>
                <w:rFonts w:ascii="仿宋" w:hAnsi="仿宋" w:eastAsia="仿宋" w:cs="仿宋"/>
                <w:b/>
                <w:color w:val="auto"/>
                <w:sz w:val="24"/>
                <w:szCs w:val="24"/>
              </w:rPr>
            </w:pPr>
          </w:p>
        </w:tc>
        <w:tc>
          <w:tcPr>
            <w:tcW w:w="992" w:type="dxa"/>
            <w:tcBorders>
              <w:top w:val="single" w:color="auto" w:sz="4" w:space="0"/>
              <w:left w:val="nil"/>
              <w:bottom w:val="single" w:color="auto" w:sz="4" w:space="0"/>
              <w:right w:val="single" w:color="auto" w:sz="4" w:space="0"/>
            </w:tcBorders>
            <w:vAlign w:val="center"/>
          </w:tcPr>
          <w:p w14:paraId="6AFEA394">
            <w:pPr>
              <w:snapToGrid w:val="0"/>
              <w:spacing w:line="400" w:lineRule="exact"/>
              <w:jc w:val="center"/>
              <w:rPr>
                <w:rFonts w:ascii="仿宋" w:hAnsi="仿宋" w:eastAsia="仿宋" w:cs="仿宋"/>
                <w:b/>
                <w:color w:val="auto"/>
                <w:sz w:val="24"/>
                <w:szCs w:val="24"/>
              </w:rPr>
            </w:pPr>
          </w:p>
        </w:tc>
        <w:tc>
          <w:tcPr>
            <w:tcW w:w="1134" w:type="dxa"/>
            <w:tcBorders>
              <w:top w:val="single" w:color="auto" w:sz="4" w:space="0"/>
              <w:left w:val="nil"/>
              <w:bottom w:val="single" w:color="auto" w:sz="4" w:space="0"/>
              <w:right w:val="single" w:color="auto" w:sz="4" w:space="0"/>
            </w:tcBorders>
            <w:vAlign w:val="center"/>
          </w:tcPr>
          <w:p w14:paraId="480F08E3">
            <w:pPr>
              <w:snapToGrid w:val="0"/>
              <w:spacing w:line="400" w:lineRule="exact"/>
              <w:jc w:val="center"/>
              <w:rPr>
                <w:rFonts w:ascii="仿宋" w:hAnsi="仿宋" w:eastAsia="仿宋" w:cs="仿宋"/>
                <w:b/>
                <w:color w:val="auto"/>
                <w:sz w:val="24"/>
                <w:szCs w:val="24"/>
              </w:rPr>
            </w:pPr>
          </w:p>
        </w:tc>
        <w:tc>
          <w:tcPr>
            <w:tcW w:w="1417" w:type="dxa"/>
            <w:tcBorders>
              <w:top w:val="single" w:color="auto" w:sz="4" w:space="0"/>
              <w:left w:val="nil"/>
              <w:bottom w:val="single" w:color="auto" w:sz="4" w:space="0"/>
              <w:right w:val="single" w:color="auto" w:sz="4" w:space="0"/>
            </w:tcBorders>
            <w:vAlign w:val="center"/>
          </w:tcPr>
          <w:p w14:paraId="303DB034">
            <w:pPr>
              <w:snapToGrid w:val="0"/>
              <w:spacing w:line="400" w:lineRule="exact"/>
              <w:jc w:val="center"/>
              <w:rPr>
                <w:rFonts w:ascii="仿宋" w:hAnsi="仿宋" w:eastAsia="仿宋" w:cs="仿宋"/>
                <w:b/>
                <w:color w:val="auto"/>
                <w:sz w:val="24"/>
                <w:szCs w:val="24"/>
              </w:rPr>
            </w:pPr>
          </w:p>
        </w:tc>
        <w:tc>
          <w:tcPr>
            <w:tcW w:w="1255" w:type="dxa"/>
            <w:tcBorders>
              <w:top w:val="single" w:color="auto" w:sz="4" w:space="0"/>
              <w:left w:val="nil"/>
              <w:bottom w:val="single" w:color="auto" w:sz="4" w:space="0"/>
              <w:right w:val="single" w:color="auto" w:sz="4" w:space="0"/>
            </w:tcBorders>
            <w:vAlign w:val="center"/>
          </w:tcPr>
          <w:p w14:paraId="03D8594B">
            <w:pPr>
              <w:snapToGrid w:val="0"/>
              <w:spacing w:line="400" w:lineRule="exact"/>
              <w:jc w:val="center"/>
              <w:rPr>
                <w:rFonts w:ascii="仿宋" w:hAnsi="仿宋" w:eastAsia="仿宋" w:cs="仿宋"/>
                <w:b/>
                <w:color w:val="auto"/>
                <w:sz w:val="24"/>
                <w:szCs w:val="24"/>
              </w:rPr>
            </w:pPr>
          </w:p>
        </w:tc>
        <w:tc>
          <w:tcPr>
            <w:tcW w:w="707" w:type="dxa"/>
            <w:tcBorders>
              <w:top w:val="single" w:color="auto" w:sz="4" w:space="0"/>
              <w:left w:val="nil"/>
              <w:bottom w:val="single" w:color="auto" w:sz="4" w:space="0"/>
              <w:right w:val="single" w:color="auto" w:sz="4" w:space="0"/>
            </w:tcBorders>
            <w:vAlign w:val="center"/>
          </w:tcPr>
          <w:p w14:paraId="66168D01">
            <w:pPr>
              <w:snapToGrid w:val="0"/>
              <w:spacing w:line="400" w:lineRule="exact"/>
              <w:jc w:val="center"/>
              <w:rPr>
                <w:rFonts w:ascii="仿宋" w:hAnsi="仿宋" w:eastAsia="仿宋" w:cs="仿宋"/>
                <w:b/>
                <w:color w:val="auto"/>
                <w:sz w:val="24"/>
                <w:szCs w:val="24"/>
              </w:rPr>
            </w:pPr>
          </w:p>
        </w:tc>
        <w:tc>
          <w:tcPr>
            <w:tcW w:w="578" w:type="dxa"/>
            <w:tcBorders>
              <w:top w:val="single" w:color="auto" w:sz="4" w:space="0"/>
              <w:left w:val="nil"/>
              <w:bottom w:val="single" w:color="auto" w:sz="4" w:space="0"/>
              <w:right w:val="single" w:color="auto" w:sz="4" w:space="0"/>
            </w:tcBorders>
            <w:vAlign w:val="center"/>
          </w:tcPr>
          <w:p w14:paraId="0A5DB800">
            <w:pPr>
              <w:snapToGrid w:val="0"/>
              <w:spacing w:line="400" w:lineRule="exact"/>
              <w:jc w:val="center"/>
              <w:rPr>
                <w:rFonts w:ascii="仿宋" w:hAnsi="仿宋" w:eastAsia="仿宋" w:cs="仿宋"/>
                <w:b/>
                <w:color w:val="auto"/>
                <w:sz w:val="24"/>
                <w:szCs w:val="24"/>
              </w:rPr>
            </w:pPr>
          </w:p>
        </w:tc>
        <w:tc>
          <w:tcPr>
            <w:tcW w:w="771" w:type="dxa"/>
            <w:tcBorders>
              <w:top w:val="single" w:color="auto" w:sz="4" w:space="0"/>
              <w:left w:val="nil"/>
              <w:bottom w:val="single" w:color="auto" w:sz="4" w:space="0"/>
              <w:right w:val="single" w:color="auto" w:sz="4" w:space="0"/>
            </w:tcBorders>
            <w:vAlign w:val="center"/>
          </w:tcPr>
          <w:p w14:paraId="00433B72">
            <w:pPr>
              <w:snapToGrid w:val="0"/>
              <w:spacing w:line="400" w:lineRule="exact"/>
              <w:jc w:val="center"/>
              <w:rPr>
                <w:rFonts w:ascii="仿宋" w:hAnsi="仿宋" w:eastAsia="仿宋" w:cs="仿宋"/>
                <w:b/>
                <w:color w:val="auto"/>
                <w:sz w:val="24"/>
                <w:szCs w:val="24"/>
              </w:rPr>
            </w:pPr>
          </w:p>
        </w:tc>
      </w:tr>
      <w:tr w14:paraId="47988C9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817" w:type="dxa"/>
            <w:tcBorders>
              <w:top w:val="single" w:color="auto" w:sz="4" w:space="0"/>
              <w:left w:val="single" w:color="auto" w:sz="4" w:space="0"/>
              <w:bottom w:val="single" w:color="auto" w:sz="4" w:space="0"/>
              <w:right w:val="single" w:color="auto" w:sz="4" w:space="0"/>
            </w:tcBorders>
            <w:vAlign w:val="center"/>
          </w:tcPr>
          <w:p w14:paraId="675B79D5">
            <w:pPr>
              <w:snapToGrid w:val="0"/>
              <w:spacing w:line="400" w:lineRule="exact"/>
              <w:jc w:val="center"/>
              <w:rPr>
                <w:rFonts w:ascii="仿宋" w:hAnsi="仿宋" w:eastAsia="仿宋" w:cs="仿宋"/>
                <w:b/>
                <w:color w:val="auto"/>
                <w:sz w:val="24"/>
                <w:szCs w:val="24"/>
                <w:lang w:bidi="ar"/>
              </w:rPr>
            </w:pPr>
          </w:p>
        </w:tc>
        <w:tc>
          <w:tcPr>
            <w:tcW w:w="851" w:type="dxa"/>
            <w:tcBorders>
              <w:top w:val="single" w:color="auto" w:sz="4" w:space="0"/>
              <w:left w:val="nil"/>
              <w:bottom w:val="single" w:color="auto" w:sz="4" w:space="0"/>
              <w:right w:val="single" w:color="auto" w:sz="4" w:space="0"/>
            </w:tcBorders>
            <w:vAlign w:val="center"/>
          </w:tcPr>
          <w:p w14:paraId="23C5A6CB">
            <w:pPr>
              <w:snapToGrid w:val="0"/>
              <w:spacing w:line="400" w:lineRule="exact"/>
              <w:jc w:val="center"/>
              <w:rPr>
                <w:rFonts w:ascii="仿宋" w:hAnsi="仿宋" w:eastAsia="仿宋" w:cs="仿宋"/>
                <w:b/>
                <w:color w:val="auto"/>
                <w:sz w:val="24"/>
                <w:szCs w:val="24"/>
              </w:rPr>
            </w:pPr>
          </w:p>
        </w:tc>
        <w:tc>
          <w:tcPr>
            <w:tcW w:w="992" w:type="dxa"/>
            <w:tcBorders>
              <w:top w:val="single" w:color="auto" w:sz="4" w:space="0"/>
              <w:left w:val="nil"/>
              <w:bottom w:val="single" w:color="auto" w:sz="4" w:space="0"/>
              <w:right w:val="single" w:color="auto" w:sz="4" w:space="0"/>
            </w:tcBorders>
            <w:vAlign w:val="center"/>
          </w:tcPr>
          <w:p w14:paraId="3ABF9F03">
            <w:pPr>
              <w:snapToGrid w:val="0"/>
              <w:spacing w:line="400" w:lineRule="exact"/>
              <w:jc w:val="center"/>
              <w:rPr>
                <w:rFonts w:ascii="仿宋" w:hAnsi="仿宋" w:eastAsia="仿宋" w:cs="仿宋"/>
                <w:b/>
                <w:color w:val="auto"/>
                <w:sz w:val="24"/>
                <w:szCs w:val="24"/>
              </w:rPr>
            </w:pPr>
          </w:p>
        </w:tc>
        <w:tc>
          <w:tcPr>
            <w:tcW w:w="1134" w:type="dxa"/>
            <w:tcBorders>
              <w:top w:val="single" w:color="auto" w:sz="4" w:space="0"/>
              <w:left w:val="nil"/>
              <w:bottom w:val="single" w:color="auto" w:sz="4" w:space="0"/>
              <w:right w:val="single" w:color="auto" w:sz="4" w:space="0"/>
            </w:tcBorders>
            <w:vAlign w:val="center"/>
          </w:tcPr>
          <w:p w14:paraId="5BEADB43">
            <w:pPr>
              <w:snapToGrid w:val="0"/>
              <w:spacing w:line="400" w:lineRule="exact"/>
              <w:jc w:val="center"/>
              <w:rPr>
                <w:rFonts w:ascii="仿宋" w:hAnsi="仿宋" w:eastAsia="仿宋" w:cs="仿宋"/>
                <w:b/>
                <w:color w:val="auto"/>
                <w:sz w:val="24"/>
                <w:szCs w:val="24"/>
              </w:rPr>
            </w:pPr>
          </w:p>
        </w:tc>
        <w:tc>
          <w:tcPr>
            <w:tcW w:w="1417" w:type="dxa"/>
            <w:tcBorders>
              <w:top w:val="single" w:color="auto" w:sz="4" w:space="0"/>
              <w:left w:val="nil"/>
              <w:bottom w:val="single" w:color="auto" w:sz="4" w:space="0"/>
              <w:right w:val="single" w:color="auto" w:sz="4" w:space="0"/>
            </w:tcBorders>
            <w:vAlign w:val="center"/>
          </w:tcPr>
          <w:p w14:paraId="3351C936">
            <w:pPr>
              <w:snapToGrid w:val="0"/>
              <w:spacing w:line="400" w:lineRule="exact"/>
              <w:jc w:val="center"/>
              <w:rPr>
                <w:rFonts w:ascii="仿宋" w:hAnsi="仿宋" w:eastAsia="仿宋" w:cs="仿宋"/>
                <w:b/>
                <w:color w:val="auto"/>
                <w:sz w:val="24"/>
                <w:szCs w:val="24"/>
              </w:rPr>
            </w:pPr>
          </w:p>
        </w:tc>
        <w:tc>
          <w:tcPr>
            <w:tcW w:w="1255" w:type="dxa"/>
            <w:tcBorders>
              <w:top w:val="single" w:color="auto" w:sz="4" w:space="0"/>
              <w:left w:val="nil"/>
              <w:bottom w:val="single" w:color="auto" w:sz="4" w:space="0"/>
              <w:right w:val="single" w:color="auto" w:sz="4" w:space="0"/>
            </w:tcBorders>
            <w:vAlign w:val="center"/>
          </w:tcPr>
          <w:p w14:paraId="10804CA2">
            <w:pPr>
              <w:snapToGrid w:val="0"/>
              <w:spacing w:line="400" w:lineRule="exact"/>
              <w:jc w:val="center"/>
              <w:rPr>
                <w:rFonts w:ascii="仿宋" w:hAnsi="仿宋" w:eastAsia="仿宋" w:cs="仿宋"/>
                <w:b/>
                <w:color w:val="auto"/>
                <w:sz w:val="24"/>
                <w:szCs w:val="24"/>
              </w:rPr>
            </w:pPr>
          </w:p>
        </w:tc>
        <w:tc>
          <w:tcPr>
            <w:tcW w:w="707" w:type="dxa"/>
            <w:tcBorders>
              <w:top w:val="single" w:color="auto" w:sz="4" w:space="0"/>
              <w:left w:val="nil"/>
              <w:bottom w:val="single" w:color="auto" w:sz="4" w:space="0"/>
              <w:right w:val="single" w:color="auto" w:sz="4" w:space="0"/>
            </w:tcBorders>
            <w:vAlign w:val="center"/>
          </w:tcPr>
          <w:p w14:paraId="22BD7AF4">
            <w:pPr>
              <w:snapToGrid w:val="0"/>
              <w:spacing w:line="400" w:lineRule="exact"/>
              <w:jc w:val="center"/>
              <w:rPr>
                <w:rFonts w:ascii="仿宋" w:hAnsi="仿宋" w:eastAsia="仿宋" w:cs="仿宋"/>
                <w:b/>
                <w:color w:val="auto"/>
                <w:sz w:val="24"/>
                <w:szCs w:val="24"/>
              </w:rPr>
            </w:pPr>
          </w:p>
        </w:tc>
        <w:tc>
          <w:tcPr>
            <w:tcW w:w="578" w:type="dxa"/>
            <w:tcBorders>
              <w:top w:val="single" w:color="auto" w:sz="4" w:space="0"/>
              <w:left w:val="nil"/>
              <w:bottom w:val="single" w:color="auto" w:sz="4" w:space="0"/>
              <w:right w:val="single" w:color="auto" w:sz="4" w:space="0"/>
            </w:tcBorders>
            <w:vAlign w:val="center"/>
          </w:tcPr>
          <w:p w14:paraId="0FE5C423">
            <w:pPr>
              <w:snapToGrid w:val="0"/>
              <w:spacing w:line="400" w:lineRule="exact"/>
              <w:jc w:val="center"/>
              <w:rPr>
                <w:rFonts w:ascii="仿宋" w:hAnsi="仿宋" w:eastAsia="仿宋" w:cs="仿宋"/>
                <w:b/>
                <w:color w:val="auto"/>
                <w:sz w:val="24"/>
                <w:szCs w:val="24"/>
              </w:rPr>
            </w:pPr>
          </w:p>
        </w:tc>
        <w:tc>
          <w:tcPr>
            <w:tcW w:w="771" w:type="dxa"/>
            <w:tcBorders>
              <w:top w:val="single" w:color="auto" w:sz="4" w:space="0"/>
              <w:left w:val="nil"/>
              <w:bottom w:val="single" w:color="auto" w:sz="4" w:space="0"/>
              <w:right w:val="single" w:color="auto" w:sz="4" w:space="0"/>
            </w:tcBorders>
            <w:vAlign w:val="center"/>
          </w:tcPr>
          <w:p w14:paraId="6CAC2CD8">
            <w:pPr>
              <w:snapToGrid w:val="0"/>
              <w:spacing w:line="400" w:lineRule="exact"/>
              <w:jc w:val="center"/>
              <w:rPr>
                <w:rFonts w:ascii="仿宋" w:hAnsi="仿宋" w:eastAsia="仿宋" w:cs="仿宋"/>
                <w:b/>
                <w:color w:val="auto"/>
                <w:sz w:val="24"/>
                <w:szCs w:val="24"/>
              </w:rPr>
            </w:pPr>
          </w:p>
        </w:tc>
      </w:tr>
    </w:tbl>
    <w:p w14:paraId="3516FA50">
      <w:pPr>
        <w:pStyle w:val="35"/>
        <w:ind w:firstLine="344"/>
        <w:rPr>
          <w:color w:val="auto"/>
        </w:rPr>
      </w:pPr>
    </w:p>
    <w:p w14:paraId="369A59B5">
      <w:pPr>
        <w:snapToGrid w:val="0"/>
        <w:spacing w:before="120" w:beforeLines="50" w:after="120" w:afterLines="50" w:line="440" w:lineRule="exact"/>
        <w:jc w:val="center"/>
        <w:rPr>
          <w:rFonts w:ascii="微软雅黑" w:hAnsi="Times New Roman" w:eastAsia="微软雅黑"/>
          <w:bCs/>
          <w:color w:val="auto"/>
          <w:sz w:val="32"/>
          <w:szCs w:val="32"/>
        </w:rPr>
      </w:pPr>
    </w:p>
    <w:p w14:paraId="52E3601C">
      <w:pPr>
        <w:snapToGrid w:val="0"/>
        <w:spacing w:before="50" w:after="50"/>
        <w:rPr>
          <w:rFonts w:ascii="仿宋" w:hAnsi="仿宋" w:eastAsia="仿宋"/>
          <w:color w:val="auto"/>
          <w:spacing w:val="20"/>
          <w:sz w:val="30"/>
          <w:szCs w:val="30"/>
        </w:rPr>
      </w:pPr>
      <w:r>
        <w:rPr>
          <w:rFonts w:hint="eastAsia" w:ascii="Times New Roman" w:hAnsi="Times New Roman" w:eastAsia="仿宋_GB2312"/>
          <w:color w:val="auto"/>
          <w:spacing w:val="20"/>
          <w:sz w:val="30"/>
          <w:szCs w:val="30"/>
        </w:rPr>
        <w:t>授权代表签名：</w:t>
      </w:r>
      <w:r>
        <w:rPr>
          <w:rFonts w:hint="eastAsia" w:ascii="Times New Roman" w:hAnsi="Times New Roman" w:eastAsia="仿宋_GB2312"/>
          <w:color w:val="auto"/>
          <w:spacing w:val="20"/>
          <w:sz w:val="30"/>
          <w:szCs w:val="30"/>
          <w:u w:val="single"/>
        </w:rPr>
        <w:t xml:space="preserve">        </w:t>
      </w:r>
      <w:r>
        <w:rPr>
          <w:rFonts w:hint="eastAsia" w:ascii="Times New Roman" w:hAnsi="Times New Roman" w:eastAsia="仿宋_GB2312"/>
          <w:color w:val="auto"/>
          <w:spacing w:val="20"/>
          <w:sz w:val="30"/>
          <w:szCs w:val="30"/>
        </w:rPr>
        <w:t xml:space="preserve">        </w:t>
      </w:r>
      <w:r>
        <w:rPr>
          <w:rFonts w:hint="eastAsia" w:ascii="Times New Roman" w:hAnsi="Times New Roman" w:eastAsia="仿宋_GB2312"/>
          <w:color w:val="auto"/>
          <w:sz w:val="30"/>
          <w:szCs w:val="30"/>
        </w:rPr>
        <w:t>日 期：</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年</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月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日</w:t>
      </w:r>
    </w:p>
    <w:p w14:paraId="0C7D083E">
      <w:pPr>
        <w:pStyle w:val="4"/>
        <w:pageBreakBefore/>
        <w:spacing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附件12</w:t>
      </w:r>
    </w:p>
    <w:p w14:paraId="7F967F49">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技 术 响 应 表</w:t>
      </w:r>
    </w:p>
    <w:p w14:paraId="43E7A326">
      <w:pPr>
        <w:snapToGrid w:val="0"/>
        <w:spacing w:line="440" w:lineRule="exact"/>
        <w:jc w:val="center"/>
        <w:rPr>
          <w:rFonts w:ascii="Times New Roman" w:hAnsi="Times New Roman" w:eastAsia="仿宋_GB2312"/>
          <w:b/>
          <w:color w:val="auto"/>
          <w:sz w:val="36"/>
          <w:szCs w:val="36"/>
        </w:rPr>
      </w:pPr>
    </w:p>
    <w:p w14:paraId="08CF3567">
      <w:pPr>
        <w:pStyle w:val="10"/>
        <w:snapToGrid w:val="0"/>
        <w:ind w:firstLine="600" w:firstLineChars="20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p>
    <w:tbl>
      <w:tblPr>
        <w:tblStyle w:val="37"/>
        <w:tblW w:w="89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901"/>
        <w:gridCol w:w="2196"/>
        <w:gridCol w:w="2823"/>
      </w:tblGrid>
      <w:tr w14:paraId="24CF6B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8"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2A83B01">
            <w:pPr>
              <w:jc w:val="center"/>
              <w:rPr>
                <w:rFonts w:ascii="Times New Roman" w:hAnsi="Times New Roman" w:eastAsia="仿宋_GB2312"/>
                <w:color w:val="auto"/>
                <w:sz w:val="30"/>
                <w:szCs w:val="30"/>
              </w:rPr>
            </w:pPr>
            <w:r>
              <w:rPr>
                <w:rFonts w:hint="eastAsia" w:ascii="Times New Roman" w:hAnsi="Times New Roman" w:eastAsia="仿宋_GB2312"/>
                <w:color w:val="auto"/>
                <w:sz w:val="30"/>
                <w:szCs w:val="30"/>
              </w:rPr>
              <w:t>序号</w:t>
            </w:r>
          </w:p>
        </w:tc>
        <w:tc>
          <w:tcPr>
            <w:tcW w:w="2901" w:type="dxa"/>
            <w:tcBorders>
              <w:top w:val="single" w:color="auto" w:sz="4" w:space="0"/>
              <w:left w:val="single" w:color="auto" w:sz="4" w:space="0"/>
              <w:bottom w:val="single" w:color="auto" w:sz="4" w:space="0"/>
              <w:right w:val="single" w:color="auto" w:sz="4" w:space="0"/>
            </w:tcBorders>
            <w:vAlign w:val="center"/>
          </w:tcPr>
          <w:p w14:paraId="2C8F6C4B">
            <w:pPr>
              <w:jc w:val="center"/>
              <w:rPr>
                <w:rFonts w:ascii="Times New Roman" w:hAnsi="Times New Roman" w:eastAsia="仿宋_GB2312"/>
                <w:color w:val="auto"/>
                <w:sz w:val="30"/>
                <w:szCs w:val="30"/>
              </w:rPr>
            </w:pPr>
            <w:r>
              <w:rPr>
                <w:rFonts w:hint="eastAsia" w:ascii="Times New Roman" w:hAnsi="Times New Roman" w:eastAsia="仿宋_GB2312"/>
                <w:color w:val="auto"/>
                <w:sz w:val="30"/>
                <w:szCs w:val="30"/>
              </w:rPr>
              <w:t>招标文件要求</w:t>
            </w:r>
          </w:p>
        </w:tc>
        <w:tc>
          <w:tcPr>
            <w:tcW w:w="2196" w:type="dxa"/>
            <w:tcBorders>
              <w:top w:val="single" w:color="auto" w:sz="4" w:space="0"/>
              <w:left w:val="single" w:color="auto" w:sz="4" w:space="0"/>
              <w:bottom w:val="single" w:color="auto" w:sz="4" w:space="0"/>
              <w:right w:val="single" w:color="auto" w:sz="4" w:space="0"/>
            </w:tcBorders>
            <w:vAlign w:val="center"/>
          </w:tcPr>
          <w:p w14:paraId="6AA59376">
            <w:pPr>
              <w:jc w:val="center"/>
              <w:rPr>
                <w:rFonts w:ascii="Times New Roman" w:hAnsi="Times New Roman" w:eastAsia="仿宋_GB2312"/>
                <w:color w:val="auto"/>
                <w:sz w:val="30"/>
                <w:szCs w:val="30"/>
              </w:rPr>
            </w:pPr>
            <w:r>
              <w:rPr>
                <w:rFonts w:hint="eastAsia" w:ascii="Times New Roman" w:hAnsi="Times New Roman" w:eastAsia="仿宋_GB2312"/>
                <w:color w:val="auto"/>
                <w:sz w:val="30"/>
                <w:szCs w:val="30"/>
              </w:rPr>
              <w:t>投标文件响应</w:t>
            </w:r>
          </w:p>
        </w:tc>
        <w:tc>
          <w:tcPr>
            <w:tcW w:w="2823" w:type="dxa"/>
            <w:tcBorders>
              <w:top w:val="single" w:color="auto" w:sz="4" w:space="0"/>
              <w:left w:val="single" w:color="auto" w:sz="4" w:space="0"/>
              <w:bottom w:val="single" w:color="auto" w:sz="4" w:space="0"/>
              <w:right w:val="single" w:color="auto" w:sz="4" w:space="0"/>
            </w:tcBorders>
            <w:vAlign w:val="center"/>
          </w:tcPr>
          <w:p w14:paraId="30334C25">
            <w:pPr>
              <w:jc w:val="center"/>
              <w:rPr>
                <w:rFonts w:ascii="Times New Roman" w:hAnsi="Times New Roman" w:eastAsia="仿宋_GB2312"/>
                <w:color w:val="auto"/>
                <w:sz w:val="30"/>
                <w:szCs w:val="30"/>
              </w:rPr>
            </w:pPr>
            <w:r>
              <w:rPr>
                <w:rFonts w:hint="eastAsia" w:ascii="Times New Roman" w:hAnsi="Times New Roman" w:eastAsia="仿宋_GB2312"/>
                <w:color w:val="auto"/>
                <w:sz w:val="30"/>
                <w:szCs w:val="30"/>
              </w:rPr>
              <w:t>偏离情况</w:t>
            </w:r>
          </w:p>
        </w:tc>
      </w:tr>
      <w:tr w14:paraId="2E893F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B20D717">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20EFBF7C">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2F955065">
            <w:pPr>
              <w:snapToGrid w:val="0"/>
              <w:spacing w:before="120" w:beforeLines="50" w:after="120" w:afterLines="50" w:line="360" w:lineRule="auto"/>
              <w:outlineLvl w:val="0"/>
              <w:rPr>
                <w:rFonts w:ascii="Times New Roman" w:hAnsi="Times New Roman" w:eastAsia="仿宋_GB2312"/>
                <w:color w:val="auto"/>
                <w:sz w:val="30"/>
                <w:szCs w:val="30"/>
              </w:rPr>
            </w:pPr>
          </w:p>
        </w:tc>
        <w:tc>
          <w:tcPr>
            <w:tcW w:w="2823" w:type="dxa"/>
            <w:tcBorders>
              <w:top w:val="single" w:color="auto" w:sz="4" w:space="0"/>
              <w:left w:val="single" w:color="auto" w:sz="4" w:space="0"/>
              <w:bottom w:val="single" w:color="auto" w:sz="4" w:space="0"/>
              <w:right w:val="single" w:color="auto" w:sz="4" w:space="0"/>
            </w:tcBorders>
          </w:tcPr>
          <w:p w14:paraId="7944E40C">
            <w:pPr>
              <w:snapToGrid w:val="0"/>
              <w:spacing w:before="120" w:beforeLines="50" w:after="120" w:afterLines="50" w:line="360" w:lineRule="auto"/>
              <w:outlineLvl w:val="0"/>
              <w:rPr>
                <w:rFonts w:ascii="Times New Roman" w:hAnsi="Times New Roman" w:eastAsia="仿宋_GB2312"/>
                <w:color w:val="auto"/>
                <w:sz w:val="30"/>
                <w:szCs w:val="30"/>
              </w:rPr>
            </w:pPr>
          </w:p>
        </w:tc>
      </w:tr>
      <w:tr w14:paraId="38F09B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AAA558B">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02EFC462">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0CF3DD14">
            <w:pPr>
              <w:snapToGrid w:val="0"/>
              <w:spacing w:before="120" w:beforeLines="50" w:after="120" w:afterLines="50" w:line="360" w:lineRule="auto"/>
              <w:rPr>
                <w:rFonts w:ascii="Times New Roman" w:hAnsi="Times New Roman" w:eastAsia="仿宋_GB2312"/>
                <w:color w:val="auto"/>
                <w:sz w:val="30"/>
                <w:szCs w:val="30"/>
              </w:rPr>
            </w:pPr>
          </w:p>
        </w:tc>
        <w:tc>
          <w:tcPr>
            <w:tcW w:w="2823" w:type="dxa"/>
            <w:tcBorders>
              <w:top w:val="single" w:color="auto" w:sz="4" w:space="0"/>
              <w:left w:val="single" w:color="auto" w:sz="4" w:space="0"/>
              <w:bottom w:val="single" w:color="auto" w:sz="4" w:space="0"/>
              <w:right w:val="single" w:color="auto" w:sz="4" w:space="0"/>
            </w:tcBorders>
          </w:tcPr>
          <w:p w14:paraId="74D257F2">
            <w:pPr>
              <w:snapToGrid w:val="0"/>
              <w:spacing w:before="120" w:beforeLines="50" w:after="120" w:afterLines="50" w:line="360" w:lineRule="auto"/>
              <w:rPr>
                <w:rFonts w:ascii="Times New Roman" w:hAnsi="Times New Roman" w:eastAsia="仿宋_GB2312"/>
                <w:color w:val="auto"/>
                <w:sz w:val="30"/>
                <w:szCs w:val="30"/>
              </w:rPr>
            </w:pPr>
          </w:p>
        </w:tc>
      </w:tr>
      <w:tr w14:paraId="234D5E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223157D">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53DFA644">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779B8AA6">
            <w:pPr>
              <w:snapToGrid w:val="0"/>
              <w:spacing w:before="120" w:beforeLines="50" w:after="120" w:afterLines="50" w:line="360" w:lineRule="auto"/>
              <w:outlineLvl w:val="0"/>
              <w:rPr>
                <w:rFonts w:ascii="Times New Roman" w:hAnsi="Times New Roman" w:eastAsia="仿宋_GB2312"/>
                <w:color w:val="auto"/>
                <w:sz w:val="30"/>
                <w:szCs w:val="30"/>
              </w:rPr>
            </w:pPr>
          </w:p>
        </w:tc>
        <w:tc>
          <w:tcPr>
            <w:tcW w:w="2823" w:type="dxa"/>
            <w:tcBorders>
              <w:top w:val="single" w:color="auto" w:sz="4" w:space="0"/>
              <w:left w:val="single" w:color="auto" w:sz="4" w:space="0"/>
              <w:bottom w:val="single" w:color="auto" w:sz="4" w:space="0"/>
              <w:right w:val="single" w:color="auto" w:sz="4" w:space="0"/>
            </w:tcBorders>
          </w:tcPr>
          <w:p w14:paraId="6BA16747">
            <w:pPr>
              <w:snapToGrid w:val="0"/>
              <w:spacing w:before="120" w:beforeLines="50" w:after="120" w:afterLines="50" w:line="360" w:lineRule="auto"/>
              <w:outlineLvl w:val="0"/>
              <w:rPr>
                <w:rFonts w:ascii="Times New Roman" w:hAnsi="Times New Roman" w:eastAsia="仿宋_GB2312"/>
                <w:color w:val="auto"/>
                <w:sz w:val="30"/>
                <w:szCs w:val="30"/>
              </w:rPr>
            </w:pPr>
          </w:p>
        </w:tc>
      </w:tr>
      <w:tr w14:paraId="6E1D3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20"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793D83F2">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69675138">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240FD8DF">
            <w:pPr>
              <w:snapToGrid w:val="0"/>
              <w:spacing w:before="120" w:beforeLines="50" w:after="120" w:afterLines="50" w:line="360" w:lineRule="auto"/>
              <w:outlineLvl w:val="0"/>
              <w:rPr>
                <w:rFonts w:ascii="Times New Roman" w:hAnsi="Times New Roman" w:eastAsia="仿宋_GB2312"/>
                <w:color w:val="auto"/>
                <w:sz w:val="30"/>
                <w:szCs w:val="30"/>
              </w:rPr>
            </w:pPr>
          </w:p>
        </w:tc>
        <w:tc>
          <w:tcPr>
            <w:tcW w:w="2823" w:type="dxa"/>
            <w:tcBorders>
              <w:top w:val="single" w:color="auto" w:sz="4" w:space="0"/>
              <w:left w:val="single" w:color="auto" w:sz="4" w:space="0"/>
              <w:right w:val="single" w:color="auto" w:sz="4" w:space="0"/>
            </w:tcBorders>
          </w:tcPr>
          <w:p w14:paraId="581317D6">
            <w:pPr>
              <w:snapToGrid w:val="0"/>
              <w:spacing w:before="120" w:beforeLines="50" w:after="120" w:afterLines="50" w:line="360" w:lineRule="auto"/>
              <w:outlineLvl w:val="0"/>
              <w:rPr>
                <w:rFonts w:ascii="Times New Roman" w:hAnsi="Times New Roman" w:eastAsia="仿宋_GB2312"/>
                <w:color w:val="auto"/>
                <w:sz w:val="30"/>
                <w:szCs w:val="30"/>
              </w:rPr>
            </w:pPr>
          </w:p>
        </w:tc>
      </w:tr>
      <w:tr w14:paraId="24A95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4"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65831D14">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6F4734A3">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083236FA">
            <w:pPr>
              <w:snapToGrid w:val="0"/>
              <w:spacing w:before="120" w:beforeLines="50" w:after="120" w:afterLines="50" w:line="360" w:lineRule="auto"/>
              <w:outlineLvl w:val="0"/>
              <w:rPr>
                <w:rFonts w:ascii="Times New Roman" w:hAnsi="Times New Roman" w:eastAsia="仿宋_GB2312"/>
                <w:color w:val="auto"/>
                <w:sz w:val="30"/>
                <w:szCs w:val="30"/>
              </w:rPr>
            </w:pPr>
          </w:p>
        </w:tc>
        <w:tc>
          <w:tcPr>
            <w:tcW w:w="2823" w:type="dxa"/>
            <w:tcBorders>
              <w:top w:val="single" w:color="auto" w:sz="4" w:space="0"/>
              <w:left w:val="single" w:color="auto" w:sz="4" w:space="0"/>
              <w:bottom w:val="single" w:color="auto" w:sz="4" w:space="0"/>
              <w:right w:val="single" w:color="auto" w:sz="4" w:space="0"/>
            </w:tcBorders>
          </w:tcPr>
          <w:p w14:paraId="7018EBF5">
            <w:pPr>
              <w:snapToGrid w:val="0"/>
              <w:spacing w:before="120" w:beforeLines="50" w:after="120" w:afterLines="50" w:line="360" w:lineRule="auto"/>
              <w:outlineLvl w:val="0"/>
              <w:rPr>
                <w:rFonts w:ascii="Times New Roman" w:hAnsi="Times New Roman" w:eastAsia="仿宋_GB2312"/>
                <w:color w:val="auto"/>
                <w:sz w:val="30"/>
                <w:szCs w:val="30"/>
              </w:rPr>
            </w:pPr>
          </w:p>
        </w:tc>
      </w:tr>
      <w:tr w14:paraId="4B077D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67" w:hRule="atLeast"/>
          <w:jc w:val="center"/>
        </w:trPr>
        <w:tc>
          <w:tcPr>
            <w:tcW w:w="1008" w:type="dxa"/>
            <w:tcBorders>
              <w:top w:val="single" w:color="auto" w:sz="4" w:space="0"/>
              <w:left w:val="single" w:color="auto" w:sz="4" w:space="0"/>
              <w:bottom w:val="single" w:color="auto" w:sz="4" w:space="0"/>
              <w:right w:val="single" w:color="auto" w:sz="4" w:space="0"/>
            </w:tcBorders>
            <w:vAlign w:val="center"/>
          </w:tcPr>
          <w:p w14:paraId="59A81AA7">
            <w:pPr>
              <w:snapToGrid w:val="0"/>
              <w:spacing w:before="120" w:beforeLines="50" w:after="120" w:afterLines="50" w:line="360" w:lineRule="auto"/>
              <w:outlineLvl w:val="0"/>
              <w:rPr>
                <w:rFonts w:ascii="Times New Roman" w:hAnsi="Times New Roman" w:eastAsia="仿宋_GB2312"/>
                <w:color w:val="auto"/>
                <w:sz w:val="30"/>
                <w:szCs w:val="30"/>
              </w:rPr>
            </w:pPr>
          </w:p>
        </w:tc>
        <w:tc>
          <w:tcPr>
            <w:tcW w:w="2901" w:type="dxa"/>
            <w:tcBorders>
              <w:top w:val="single" w:color="auto" w:sz="4" w:space="0"/>
              <w:left w:val="single" w:color="auto" w:sz="4" w:space="0"/>
              <w:bottom w:val="single" w:color="auto" w:sz="4" w:space="0"/>
              <w:right w:val="single" w:color="auto" w:sz="4" w:space="0"/>
            </w:tcBorders>
            <w:vAlign w:val="center"/>
          </w:tcPr>
          <w:p w14:paraId="393C70BE">
            <w:pPr>
              <w:snapToGrid w:val="0"/>
              <w:spacing w:before="120" w:beforeLines="50" w:after="120" w:afterLines="50" w:line="360" w:lineRule="auto"/>
              <w:outlineLvl w:val="0"/>
              <w:rPr>
                <w:rFonts w:ascii="Times New Roman" w:hAnsi="Times New Roman" w:eastAsia="仿宋_GB2312"/>
                <w:color w:val="auto"/>
                <w:sz w:val="30"/>
                <w:szCs w:val="30"/>
              </w:rPr>
            </w:pPr>
          </w:p>
        </w:tc>
        <w:tc>
          <w:tcPr>
            <w:tcW w:w="2196" w:type="dxa"/>
            <w:tcBorders>
              <w:top w:val="single" w:color="auto" w:sz="4" w:space="0"/>
              <w:left w:val="single" w:color="auto" w:sz="4" w:space="0"/>
              <w:bottom w:val="single" w:color="auto" w:sz="4" w:space="0"/>
              <w:right w:val="single" w:color="auto" w:sz="4" w:space="0"/>
            </w:tcBorders>
          </w:tcPr>
          <w:p w14:paraId="07764842">
            <w:pPr>
              <w:snapToGrid w:val="0"/>
              <w:spacing w:before="120" w:beforeLines="50" w:after="120" w:afterLines="50" w:line="360" w:lineRule="auto"/>
              <w:outlineLvl w:val="0"/>
              <w:rPr>
                <w:rFonts w:ascii="Times New Roman" w:hAnsi="Times New Roman" w:eastAsia="仿宋_GB2312"/>
                <w:color w:val="auto"/>
                <w:sz w:val="30"/>
                <w:szCs w:val="30"/>
              </w:rPr>
            </w:pPr>
          </w:p>
        </w:tc>
        <w:tc>
          <w:tcPr>
            <w:tcW w:w="2823" w:type="dxa"/>
            <w:tcBorders>
              <w:top w:val="single" w:color="auto" w:sz="4" w:space="0"/>
              <w:left w:val="single" w:color="auto" w:sz="4" w:space="0"/>
              <w:right w:val="single" w:color="auto" w:sz="4" w:space="0"/>
            </w:tcBorders>
          </w:tcPr>
          <w:p w14:paraId="1F1890AD">
            <w:pPr>
              <w:snapToGrid w:val="0"/>
              <w:spacing w:before="120" w:beforeLines="50" w:after="120" w:afterLines="50" w:line="360" w:lineRule="auto"/>
              <w:outlineLvl w:val="0"/>
              <w:rPr>
                <w:rFonts w:ascii="Times New Roman" w:hAnsi="Times New Roman" w:eastAsia="仿宋_GB2312"/>
                <w:color w:val="auto"/>
                <w:sz w:val="30"/>
                <w:szCs w:val="30"/>
              </w:rPr>
            </w:pPr>
          </w:p>
        </w:tc>
      </w:tr>
    </w:tbl>
    <w:p w14:paraId="11E18381">
      <w:pPr>
        <w:pStyle w:val="13"/>
        <w:rPr>
          <w:rFonts w:ascii="Times New Roman" w:hAnsi="Times New Roman" w:eastAsia="仿宋_GB2312"/>
          <w:color w:val="auto"/>
          <w:sz w:val="30"/>
          <w:szCs w:val="30"/>
        </w:rPr>
      </w:pPr>
      <w:r>
        <w:rPr>
          <w:rFonts w:hint="eastAsia" w:ascii="Times New Roman" w:hAnsi="Times New Roman" w:eastAsia="仿宋_GB2312"/>
          <w:color w:val="auto"/>
          <w:sz w:val="30"/>
          <w:szCs w:val="30"/>
        </w:rPr>
        <w:t>注：投标人应根据响应情况对照招标文件要求在“偏离情况”栏注明“正偏离”“负偏离”或“无偏离”。</w:t>
      </w:r>
    </w:p>
    <w:p w14:paraId="0A248A5E">
      <w:pPr>
        <w:snapToGrid w:val="0"/>
        <w:spacing w:before="50" w:after="50"/>
        <w:rPr>
          <w:rFonts w:ascii="Times New Roman" w:hAnsi="Times New Roman" w:eastAsia="仿宋_GB2312"/>
          <w:color w:val="auto"/>
          <w:spacing w:val="20"/>
          <w:sz w:val="30"/>
          <w:szCs w:val="30"/>
        </w:rPr>
      </w:pPr>
    </w:p>
    <w:p w14:paraId="3801BC3A">
      <w:pPr>
        <w:snapToGrid w:val="0"/>
        <w:spacing w:before="50" w:after="50"/>
        <w:rPr>
          <w:rFonts w:ascii="Times New Roman" w:hAnsi="Times New Roman" w:eastAsia="仿宋_GB2312"/>
          <w:color w:val="auto"/>
          <w:spacing w:val="20"/>
          <w:sz w:val="30"/>
          <w:szCs w:val="30"/>
        </w:rPr>
      </w:pPr>
    </w:p>
    <w:p w14:paraId="0D926D8F">
      <w:pPr>
        <w:snapToGrid w:val="0"/>
        <w:spacing w:before="50" w:after="50"/>
        <w:rPr>
          <w:rFonts w:ascii="Times New Roman" w:hAnsi="Times New Roman" w:eastAsia="仿宋_GB2312"/>
          <w:color w:val="auto"/>
          <w:spacing w:val="20"/>
          <w:sz w:val="30"/>
          <w:szCs w:val="30"/>
        </w:rPr>
      </w:pPr>
      <w:r>
        <w:rPr>
          <w:rFonts w:hint="eastAsia" w:ascii="Times New Roman" w:hAnsi="Times New Roman" w:eastAsia="仿宋_GB2312"/>
          <w:color w:val="auto"/>
          <w:spacing w:val="20"/>
          <w:sz w:val="30"/>
          <w:szCs w:val="30"/>
        </w:rPr>
        <w:t>授权代表签名：</w:t>
      </w:r>
      <w:r>
        <w:rPr>
          <w:rFonts w:hint="eastAsia" w:ascii="Times New Roman" w:hAnsi="Times New Roman" w:eastAsia="仿宋_GB2312"/>
          <w:color w:val="auto"/>
          <w:spacing w:val="20"/>
          <w:sz w:val="30"/>
          <w:szCs w:val="30"/>
          <w:u w:val="single"/>
        </w:rPr>
        <w:t xml:space="preserve">        </w:t>
      </w:r>
      <w:r>
        <w:rPr>
          <w:rFonts w:hint="eastAsia" w:ascii="Times New Roman" w:hAnsi="Times New Roman" w:eastAsia="仿宋_GB2312"/>
          <w:color w:val="auto"/>
          <w:spacing w:val="20"/>
          <w:sz w:val="30"/>
          <w:szCs w:val="30"/>
        </w:rPr>
        <w:t xml:space="preserve">         </w:t>
      </w:r>
      <w:r>
        <w:rPr>
          <w:rFonts w:hint="eastAsia" w:ascii="Times New Roman" w:hAnsi="Times New Roman" w:eastAsia="仿宋_GB2312"/>
          <w:color w:val="auto"/>
          <w:sz w:val="30"/>
          <w:szCs w:val="30"/>
        </w:rPr>
        <w:t xml:space="preserve">日 期：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年</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 xml:space="preserve">月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日</w:t>
      </w:r>
    </w:p>
    <w:p w14:paraId="40A3D0FF">
      <w:pPr>
        <w:snapToGrid w:val="0"/>
        <w:spacing w:before="50" w:after="50"/>
        <w:rPr>
          <w:rFonts w:ascii="Times New Roman" w:hAnsi="Times New Roman" w:eastAsia="仿宋_GB2312"/>
          <w:color w:val="auto"/>
          <w:spacing w:val="20"/>
          <w:sz w:val="30"/>
          <w:szCs w:val="30"/>
          <w:u w:val="single"/>
        </w:rPr>
      </w:pPr>
    </w:p>
    <w:p w14:paraId="26DAF13A">
      <w:pPr>
        <w:snapToGrid w:val="0"/>
        <w:spacing w:before="50" w:after="50"/>
        <w:rPr>
          <w:rFonts w:ascii="Times New Roman" w:hAnsi="Times New Roman" w:eastAsia="仿宋_GB2312"/>
          <w:color w:val="auto"/>
          <w:spacing w:val="20"/>
          <w:sz w:val="30"/>
          <w:szCs w:val="30"/>
          <w:u w:val="single"/>
        </w:rPr>
      </w:pPr>
    </w:p>
    <w:p w14:paraId="3F553494">
      <w:pPr>
        <w:snapToGrid w:val="0"/>
        <w:spacing w:before="50" w:after="50"/>
        <w:rPr>
          <w:rFonts w:ascii="Times New Roman" w:hAnsi="Times New Roman" w:eastAsia="仿宋_GB2312"/>
          <w:color w:val="auto"/>
          <w:spacing w:val="20"/>
          <w:sz w:val="30"/>
          <w:szCs w:val="30"/>
          <w:u w:val="single"/>
        </w:rPr>
      </w:pPr>
    </w:p>
    <w:p w14:paraId="360E937C">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13</w:t>
      </w:r>
    </w:p>
    <w:p w14:paraId="0EE35F81">
      <w:pPr>
        <w:snapToGrid w:val="0"/>
        <w:spacing w:before="120" w:beforeLines="50" w:after="120" w:afterLines="50" w:line="440" w:lineRule="exact"/>
        <w:jc w:val="center"/>
        <w:rPr>
          <w:rFonts w:ascii="Times New Roman" w:hAnsi="Times New Roman" w:eastAsia="仿宋_GB2312"/>
          <w:b/>
          <w:color w:val="auto"/>
          <w:sz w:val="36"/>
          <w:szCs w:val="36"/>
        </w:rPr>
      </w:pPr>
      <w:r>
        <w:rPr>
          <w:rFonts w:hint="eastAsia" w:ascii="微软雅黑" w:hAnsi="Times New Roman" w:eastAsia="微软雅黑"/>
          <w:bCs/>
          <w:color w:val="auto"/>
          <w:sz w:val="32"/>
          <w:szCs w:val="32"/>
        </w:rPr>
        <w:t>项目实施人员（主要从业人员及其技术资格）一览表</w:t>
      </w:r>
    </w:p>
    <w:p w14:paraId="1580AA4C">
      <w:pPr>
        <w:snapToGrid w:val="0"/>
        <w:spacing w:line="440" w:lineRule="exact"/>
        <w:jc w:val="center"/>
        <w:rPr>
          <w:rFonts w:ascii="Times New Roman" w:hAnsi="Times New Roman" w:eastAsia="仿宋_GB2312"/>
          <w:b/>
          <w:color w:val="auto"/>
          <w:sz w:val="36"/>
          <w:szCs w:val="36"/>
        </w:rPr>
      </w:pPr>
    </w:p>
    <w:p w14:paraId="7FBD9D3E">
      <w:pPr>
        <w:pStyle w:val="10"/>
        <w:snapToGrid w:val="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p>
    <w:tbl>
      <w:tblPr>
        <w:tblStyle w:val="37"/>
        <w:tblW w:w="96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7"/>
        <w:gridCol w:w="1367"/>
        <w:gridCol w:w="1654"/>
        <w:gridCol w:w="1306"/>
        <w:gridCol w:w="2240"/>
        <w:gridCol w:w="1690"/>
      </w:tblGrid>
      <w:tr w14:paraId="4C20BD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vAlign w:val="center"/>
          </w:tcPr>
          <w:p w14:paraId="291256AD">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姓名</w:t>
            </w:r>
          </w:p>
        </w:tc>
        <w:tc>
          <w:tcPr>
            <w:tcW w:w="1367" w:type="dxa"/>
            <w:tcBorders>
              <w:top w:val="single" w:color="auto" w:sz="4" w:space="0"/>
              <w:left w:val="single" w:color="auto" w:sz="4" w:space="0"/>
              <w:bottom w:val="single" w:color="auto" w:sz="4" w:space="0"/>
              <w:right w:val="single" w:color="auto" w:sz="4" w:space="0"/>
            </w:tcBorders>
            <w:vAlign w:val="center"/>
          </w:tcPr>
          <w:p w14:paraId="22C54C8D">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职务</w:t>
            </w:r>
          </w:p>
        </w:tc>
        <w:tc>
          <w:tcPr>
            <w:tcW w:w="1654" w:type="dxa"/>
            <w:tcBorders>
              <w:top w:val="single" w:color="auto" w:sz="4" w:space="0"/>
              <w:left w:val="single" w:color="auto" w:sz="4" w:space="0"/>
              <w:bottom w:val="single" w:color="auto" w:sz="4" w:space="0"/>
              <w:right w:val="single" w:color="auto" w:sz="4" w:space="0"/>
            </w:tcBorders>
            <w:vAlign w:val="center"/>
          </w:tcPr>
          <w:p w14:paraId="633B4C3E">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专业技</w:t>
            </w:r>
          </w:p>
          <w:p w14:paraId="536D0A14">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术资格</w:t>
            </w:r>
          </w:p>
        </w:tc>
        <w:tc>
          <w:tcPr>
            <w:tcW w:w="1306" w:type="dxa"/>
            <w:tcBorders>
              <w:top w:val="single" w:color="auto" w:sz="4" w:space="0"/>
              <w:left w:val="single" w:color="auto" w:sz="4" w:space="0"/>
              <w:bottom w:val="single" w:color="auto" w:sz="4" w:space="0"/>
              <w:right w:val="single" w:color="auto" w:sz="4" w:space="0"/>
            </w:tcBorders>
            <w:vAlign w:val="center"/>
          </w:tcPr>
          <w:p w14:paraId="331BB710">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证书</w:t>
            </w:r>
          </w:p>
          <w:p w14:paraId="0BCD9DC4">
            <w:pPr>
              <w:snapToGrid w:val="0"/>
              <w:spacing w:before="120" w:beforeLines="50" w:after="50" w:line="460" w:lineRule="exact"/>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编号</w:t>
            </w:r>
          </w:p>
        </w:tc>
        <w:tc>
          <w:tcPr>
            <w:tcW w:w="2240" w:type="dxa"/>
            <w:tcBorders>
              <w:top w:val="single" w:color="auto" w:sz="4" w:space="0"/>
              <w:left w:val="single" w:color="auto" w:sz="4" w:space="0"/>
              <w:bottom w:val="single" w:color="auto" w:sz="4" w:space="0"/>
              <w:right w:val="single" w:color="auto" w:sz="4" w:space="0"/>
            </w:tcBorders>
            <w:vAlign w:val="center"/>
          </w:tcPr>
          <w:p w14:paraId="1FEB6235">
            <w:pPr>
              <w:snapToGrid w:val="0"/>
              <w:spacing w:before="120" w:beforeLines="50" w:after="50" w:line="460" w:lineRule="exact"/>
              <w:jc w:val="center"/>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参加本单位工作时间</w:t>
            </w:r>
          </w:p>
        </w:tc>
        <w:tc>
          <w:tcPr>
            <w:tcW w:w="1690" w:type="dxa"/>
            <w:tcBorders>
              <w:top w:val="single" w:color="auto" w:sz="4" w:space="0"/>
              <w:left w:val="single" w:color="auto" w:sz="4" w:space="0"/>
              <w:bottom w:val="single" w:color="auto" w:sz="4" w:space="0"/>
              <w:right w:val="single" w:color="auto" w:sz="4" w:space="0"/>
            </w:tcBorders>
            <w:vAlign w:val="center"/>
          </w:tcPr>
          <w:p w14:paraId="66CBEB19">
            <w:pPr>
              <w:snapToGrid w:val="0"/>
              <w:spacing w:before="120" w:beforeLines="50" w:after="50" w:line="460" w:lineRule="exact"/>
              <w:jc w:val="center"/>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劳动合</w:t>
            </w:r>
          </w:p>
          <w:p w14:paraId="0BBD39C9">
            <w:pPr>
              <w:snapToGrid w:val="0"/>
              <w:spacing w:before="120" w:beforeLines="50" w:after="50" w:line="460" w:lineRule="exact"/>
              <w:jc w:val="center"/>
              <w:rPr>
                <w:rFonts w:ascii="Times New Roman" w:hAnsi="Times New Roman" w:eastAsia="楷体_GB2312"/>
                <w:b/>
                <w:bCs/>
                <w:color w:val="auto"/>
                <w:sz w:val="28"/>
                <w:szCs w:val="28"/>
              </w:rPr>
            </w:pPr>
            <w:r>
              <w:rPr>
                <w:rFonts w:hint="eastAsia" w:ascii="Times New Roman" w:hAnsi="Times New Roman" w:eastAsia="楷体_GB2312"/>
                <w:b/>
                <w:bCs/>
                <w:color w:val="auto"/>
                <w:sz w:val="28"/>
                <w:szCs w:val="28"/>
              </w:rPr>
              <w:t>同编号</w:t>
            </w:r>
          </w:p>
        </w:tc>
      </w:tr>
      <w:tr w14:paraId="7FC8AD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3C6C175E">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4037622B">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1CE88BA2">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2C14420C">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6C10BC89">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6022DF2E">
            <w:pPr>
              <w:snapToGrid w:val="0"/>
              <w:spacing w:before="120" w:beforeLines="50" w:after="50" w:line="460" w:lineRule="exact"/>
              <w:rPr>
                <w:rFonts w:ascii="Times New Roman" w:hAnsi="Times New Roman" w:eastAsia="楷体_GB2312"/>
                <w:color w:val="auto"/>
                <w:sz w:val="28"/>
                <w:szCs w:val="28"/>
              </w:rPr>
            </w:pPr>
          </w:p>
        </w:tc>
      </w:tr>
      <w:tr w14:paraId="06338B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3F796082">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172AC9D5">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3BC41713">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237A660C">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522B83F1">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6A0E2AEA">
            <w:pPr>
              <w:snapToGrid w:val="0"/>
              <w:spacing w:before="120" w:beforeLines="50" w:after="50" w:line="460" w:lineRule="exact"/>
              <w:rPr>
                <w:rFonts w:ascii="Times New Roman" w:hAnsi="Times New Roman" w:eastAsia="楷体_GB2312"/>
                <w:color w:val="auto"/>
                <w:sz w:val="28"/>
                <w:szCs w:val="28"/>
              </w:rPr>
            </w:pPr>
          </w:p>
        </w:tc>
      </w:tr>
      <w:tr w14:paraId="70D90B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60E04898">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1DA8DC83">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60737968">
            <w:pPr>
              <w:pStyle w:val="20"/>
              <w:snapToGrid w:val="0"/>
              <w:spacing w:before="120" w:beforeLines="50" w:after="50" w:line="460" w:lineRule="exact"/>
              <w:ind w:left="5250"/>
              <w:rPr>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5FDD5654">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72AD7F3B">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664F1B09">
            <w:pPr>
              <w:snapToGrid w:val="0"/>
              <w:spacing w:before="120" w:beforeLines="50" w:after="50" w:line="460" w:lineRule="exact"/>
              <w:rPr>
                <w:rFonts w:ascii="Times New Roman" w:hAnsi="Times New Roman" w:eastAsia="楷体_GB2312"/>
                <w:color w:val="auto"/>
                <w:sz w:val="28"/>
                <w:szCs w:val="28"/>
              </w:rPr>
            </w:pPr>
          </w:p>
        </w:tc>
      </w:tr>
      <w:tr w14:paraId="127D75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51A39DC4">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02E36932">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74D05610">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74403043">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649BA2CB">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0C59443C">
            <w:pPr>
              <w:snapToGrid w:val="0"/>
              <w:spacing w:before="120" w:beforeLines="50" w:after="50" w:line="460" w:lineRule="exact"/>
              <w:rPr>
                <w:rFonts w:ascii="Times New Roman" w:hAnsi="Times New Roman" w:eastAsia="楷体_GB2312"/>
                <w:color w:val="auto"/>
                <w:sz w:val="28"/>
                <w:szCs w:val="28"/>
              </w:rPr>
            </w:pPr>
          </w:p>
        </w:tc>
      </w:tr>
      <w:tr w14:paraId="08DCD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1D1CF7DA">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44CCFD47">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424B8702">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44FFBB9C">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33A2D22D">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2B1FB00D">
            <w:pPr>
              <w:snapToGrid w:val="0"/>
              <w:spacing w:before="120" w:beforeLines="50" w:after="50" w:line="460" w:lineRule="exact"/>
              <w:rPr>
                <w:rFonts w:ascii="Times New Roman" w:hAnsi="Times New Roman" w:eastAsia="楷体_GB2312"/>
                <w:color w:val="auto"/>
                <w:sz w:val="28"/>
                <w:szCs w:val="28"/>
              </w:rPr>
            </w:pPr>
          </w:p>
        </w:tc>
      </w:tr>
      <w:tr w14:paraId="7C34A9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648BE4BD">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00D48C24">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58DA9E59">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1621DD15">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5442C6D8">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46C9E86E">
            <w:pPr>
              <w:snapToGrid w:val="0"/>
              <w:spacing w:before="120" w:beforeLines="50" w:after="50" w:line="460" w:lineRule="exact"/>
              <w:rPr>
                <w:rFonts w:ascii="Times New Roman" w:hAnsi="Times New Roman" w:eastAsia="楷体_GB2312"/>
                <w:color w:val="auto"/>
                <w:sz w:val="28"/>
                <w:szCs w:val="28"/>
              </w:rPr>
            </w:pPr>
          </w:p>
        </w:tc>
      </w:tr>
      <w:tr w14:paraId="789358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02A01512">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12DBD8C0">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3DE3E0C2">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3A330282">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22D8260F">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5CBBD186">
            <w:pPr>
              <w:snapToGrid w:val="0"/>
              <w:spacing w:before="120" w:beforeLines="50" w:after="50" w:line="460" w:lineRule="exact"/>
              <w:rPr>
                <w:rFonts w:ascii="Times New Roman" w:hAnsi="Times New Roman" w:eastAsia="楷体_GB2312"/>
                <w:color w:val="auto"/>
                <w:sz w:val="28"/>
                <w:szCs w:val="28"/>
              </w:rPr>
            </w:pPr>
          </w:p>
        </w:tc>
      </w:tr>
      <w:tr w14:paraId="4705C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3BC042B7">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2959463B">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620DE900">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6AB4790A">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74E93374">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43646F46">
            <w:pPr>
              <w:snapToGrid w:val="0"/>
              <w:spacing w:before="120" w:beforeLines="50" w:after="50" w:line="460" w:lineRule="exact"/>
              <w:rPr>
                <w:rFonts w:ascii="Times New Roman" w:hAnsi="Times New Roman" w:eastAsia="楷体_GB2312"/>
                <w:color w:val="auto"/>
                <w:sz w:val="28"/>
                <w:szCs w:val="28"/>
              </w:rPr>
            </w:pPr>
          </w:p>
        </w:tc>
      </w:tr>
      <w:tr w14:paraId="2A2BBA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367" w:type="dxa"/>
            <w:tcBorders>
              <w:top w:val="single" w:color="auto" w:sz="4" w:space="0"/>
              <w:left w:val="single" w:color="auto" w:sz="4" w:space="0"/>
              <w:bottom w:val="single" w:color="auto" w:sz="4" w:space="0"/>
              <w:right w:val="single" w:color="auto" w:sz="4" w:space="0"/>
            </w:tcBorders>
          </w:tcPr>
          <w:p w14:paraId="287FCAD6">
            <w:pPr>
              <w:snapToGrid w:val="0"/>
              <w:spacing w:before="120" w:beforeLines="50" w:after="50" w:line="460" w:lineRule="exact"/>
              <w:rPr>
                <w:rFonts w:ascii="Times New Roman" w:hAnsi="Times New Roman" w:eastAsia="楷体_GB2312"/>
                <w:color w:val="auto"/>
                <w:sz w:val="28"/>
                <w:szCs w:val="28"/>
              </w:rPr>
            </w:pPr>
          </w:p>
        </w:tc>
        <w:tc>
          <w:tcPr>
            <w:tcW w:w="1367" w:type="dxa"/>
            <w:tcBorders>
              <w:top w:val="single" w:color="auto" w:sz="4" w:space="0"/>
              <w:left w:val="single" w:color="auto" w:sz="4" w:space="0"/>
              <w:bottom w:val="single" w:color="auto" w:sz="4" w:space="0"/>
              <w:right w:val="single" w:color="auto" w:sz="4" w:space="0"/>
            </w:tcBorders>
          </w:tcPr>
          <w:p w14:paraId="6224FA25">
            <w:pPr>
              <w:snapToGrid w:val="0"/>
              <w:spacing w:before="120" w:beforeLines="50" w:after="50" w:line="460" w:lineRule="exact"/>
              <w:rPr>
                <w:rFonts w:ascii="Times New Roman" w:hAnsi="Times New Roman" w:eastAsia="楷体_GB2312"/>
                <w:color w:val="auto"/>
                <w:sz w:val="28"/>
                <w:szCs w:val="28"/>
              </w:rPr>
            </w:pPr>
          </w:p>
        </w:tc>
        <w:tc>
          <w:tcPr>
            <w:tcW w:w="1654" w:type="dxa"/>
            <w:tcBorders>
              <w:top w:val="single" w:color="auto" w:sz="4" w:space="0"/>
              <w:left w:val="single" w:color="auto" w:sz="4" w:space="0"/>
              <w:bottom w:val="single" w:color="auto" w:sz="4" w:space="0"/>
              <w:right w:val="single" w:color="auto" w:sz="4" w:space="0"/>
            </w:tcBorders>
          </w:tcPr>
          <w:p w14:paraId="224935C4">
            <w:pPr>
              <w:snapToGrid w:val="0"/>
              <w:spacing w:before="120" w:beforeLines="50" w:after="50" w:line="460" w:lineRule="exact"/>
              <w:rPr>
                <w:rFonts w:ascii="Times New Roman" w:hAnsi="Times New Roman" w:eastAsia="楷体_GB2312"/>
                <w:color w:val="auto"/>
                <w:sz w:val="28"/>
                <w:szCs w:val="28"/>
              </w:rPr>
            </w:pPr>
          </w:p>
        </w:tc>
        <w:tc>
          <w:tcPr>
            <w:tcW w:w="1306" w:type="dxa"/>
            <w:tcBorders>
              <w:top w:val="single" w:color="auto" w:sz="4" w:space="0"/>
              <w:left w:val="single" w:color="auto" w:sz="4" w:space="0"/>
              <w:bottom w:val="single" w:color="auto" w:sz="4" w:space="0"/>
              <w:right w:val="single" w:color="auto" w:sz="4" w:space="0"/>
            </w:tcBorders>
          </w:tcPr>
          <w:p w14:paraId="450A7811">
            <w:pPr>
              <w:snapToGrid w:val="0"/>
              <w:spacing w:before="120" w:beforeLines="50" w:after="50" w:line="460" w:lineRule="exact"/>
              <w:rPr>
                <w:rFonts w:ascii="Times New Roman" w:hAnsi="Times New Roman" w:eastAsia="楷体_GB2312"/>
                <w:color w:val="auto"/>
                <w:sz w:val="28"/>
                <w:szCs w:val="28"/>
              </w:rPr>
            </w:pPr>
          </w:p>
        </w:tc>
        <w:tc>
          <w:tcPr>
            <w:tcW w:w="2240" w:type="dxa"/>
            <w:tcBorders>
              <w:top w:val="single" w:color="auto" w:sz="4" w:space="0"/>
              <w:left w:val="single" w:color="auto" w:sz="4" w:space="0"/>
              <w:bottom w:val="single" w:color="auto" w:sz="4" w:space="0"/>
              <w:right w:val="single" w:color="auto" w:sz="4" w:space="0"/>
            </w:tcBorders>
          </w:tcPr>
          <w:p w14:paraId="44C42C82">
            <w:pPr>
              <w:snapToGrid w:val="0"/>
              <w:spacing w:before="120" w:beforeLines="50" w:after="50" w:line="460" w:lineRule="exact"/>
              <w:rPr>
                <w:rFonts w:ascii="Times New Roman" w:hAnsi="Times New Roman" w:eastAsia="楷体_GB2312"/>
                <w:color w:val="auto"/>
                <w:sz w:val="28"/>
                <w:szCs w:val="28"/>
              </w:rPr>
            </w:pPr>
          </w:p>
        </w:tc>
        <w:tc>
          <w:tcPr>
            <w:tcW w:w="1690" w:type="dxa"/>
            <w:tcBorders>
              <w:top w:val="single" w:color="auto" w:sz="4" w:space="0"/>
              <w:left w:val="single" w:color="auto" w:sz="4" w:space="0"/>
              <w:bottom w:val="single" w:color="auto" w:sz="4" w:space="0"/>
              <w:right w:val="single" w:color="auto" w:sz="4" w:space="0"/>
            </w:tcBorders>
          </w:tcPr>
          <w:p w14:paraId="7DB0E54E">
            <w:pPr>
              <w:snapToGrid w:val="0"/>
              <w:spacing w:before="120" w:beforeLines="50" w:after="50" w:line="460" w:lineRule="exact"/>
              <w:rPr>
                <w:rFonts w:ascii="Times New Roman" w:hAnsi="Times New Roman" w:eastAsia="楷体_GB2312"/>
                <w:color w:val="auto"/>
                <w:sz w:val="28"/>
                <w:szCs w:val="28"/>
              </w:rPr>
            </w:pPr>
          </w:p>
        </w:tc>
      </w:tr>
    </w:tbl>
    <w:p w14:paraId="5A74E26B">
      <w:pPr>
        <w:snapToGrid w:val="0"/>
        <w:spacing w:before="50" w:after="120" w:afterLines="50" w:line="460" w:lineRule="exact"/>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说明：1.在填写时，如本表格不适合投标人的实际情况，可根据本表格式自行划表填写。</w:t>
      </w:r>
    </w:p>
    <w:p w14:paraId="73CDAFED">
      <w:pPr>
        <w:snapToGrid w:val="0"/>
        <w:spacing w:before="50" w:after="120" w:afterLines="50" w:line="460" w:lineRule="exact"/>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 xml:space="preserve">      2.需附人员（特别是各标项采购需求中明确需要的人员）简历及学历、职称等证书复印件及社保缴纳证明。</w:t>
      </w:r>
    </w:p>
    <w:p w14:paraId="334F55A6">
      <w:pPr>
        <w:snapToGrid w:val="0"/>
        <w:spacing w:before="50" w:after="50" w:line="460" w:lineRule="exact"/>
        <w:rPr>
          <w:rFonts w:ascii="Times New Roman" w:hAnsi="Times New Roman" w:eastAsia="仿宋_GB2312"/>
          <w:color w:val="auto"/>
          <w:spacing w:val="20"/>
          <w:sz w:val="30"/>
          <w:szCs w:val="30"/>
        </w:rPr>
      </w:pPr>
    </w:p>
    <w:p w14:paraId="15E8BE0C">
      <w:pPr>
        <w:snapToGrid w:val="0"/>
        <w:spacing w:before="50" w:after="50" w:line="460" w:lineRule="exact"/>
        <w:rPr>
          <w:rFonts w:ascii="Times New Roman" w:hAnsi="Times New Roman" w:eastAsia="仿宋_GB2312"/>
          <w:color w:val="auto"/>
          <w:spacing w:val="20"/>
          <w:sz w:val="30"/>
          <w:szCs w:val="30"/>
        </w:rPr>
      </w:pPr>
    </w:p>
    <w:p w14:paraId="374D324C">
      <w:pPr>
        <w:snapToGrid w:val="0"/>
        <w:spacing w:before="50" w:after="50" w:line="460" w:lineRule="exact"/>
        <w:rPr>
          <w:rFonts w:ascii="Times New Roman" w:hAnsi="Times New Roman" w:eastAsia="仿宋_GB2312"/>
          <w:color w:val="auto"/>
          <w:spacing w:val="20"/>
          <w:sz w:val="30"/>
          <w:szCs w:val="30"/>
          <w:u w:val="single"/>
        </w:rPr>
      </w:pPr>
      <w:r>
        <w:rPr>
          <w:rFonts w:hint="eastAsia" w:ascii="Times New Roman" w:hAnsi="Times New Roman" w:eastAsia="仿宋_GB2312"/>
          <w:color w:val="auto"/>
          <w:spacing w:val="20"/>
          <w:sz w:val="30"/>
          <w:szCs w:val="30"/>
        </w:rPr>
        <w:t>授权代表签名：</w:t>
      </w:r>
      <w:r>
        <w:rPr>
          <w:rFonts w:hint="eastAsia" w:ascii="Times New Roman" w:hAnsi="Times New Roman" w:eastAsia="仿宋_GB2312"/>
          <w:color w:val="auto"/>
          <w:spacing w:val="20"/>
          <w:sz w:val="30"/>
          <w:szCs w:val="30"/>
          <w:u w:val="single"/>
        </w:rPr>
        <w:t xml:space="preserve">              </w:t>
      </w:r>
      <w:r>
        <w:rPr>
          <w:rFonts w:hint="eastAsia" w:ascii="Times New Roman" w:hAnsi="Times New Roman" w:eastAsia="仿宋_GB2312"/>
          <w:color w:val="auto"/>
          <w:spacing w:val="20"/>
          <w:sz w:val="30"/>
          <w:szCs w:val="30"/>
        </w:rPr>
        <w:t xml:space="preserve"> </w:t>
      </w:r>
      <w:r>
        <w:rPr>
          <w:rFonts w:ascii="Times New Roman" w:hAnsi="Times New Roman" w:eastAsia="仿宋_GB2312"/>
          <w:color w:val="auto"/>
          <w:spacing w:val="20"/>
          <w:sz w:val="30"/>
          <w:szCs w:val="30"/>
        </w:rPr>
        <w:t xml:space="preserve"> </w:t>
      </w:r>
      <w:r>
        <w:rPr>
          <w:rFonts w:hint="eastAsia" w:ascii="Times New Roman" w:hAnsi="Times New Roman" w:eastAsia="仿宋_GB2312"/>
          <w:color w:val="auto"/>
          <w:sz w:val="30"/>
          <w:szCs w:val="30"/>
        </w:rPr>
        <w:t>日 期：</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年</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月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日</w:t>
      </w:r>
    </w:p>
    <w:p w14:paraId="6D9A7AE9">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14</w:t>
      </w:r>
    </w:p>
    <w:p w14:paraId="02B9869D">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投标人业绩情况一览表</w:t>
      </w:r>
    </w:p>
    <w:p w14:paraId="5B2E4B17">
      <w:pPr>
        <w:snapToGrid w:val="0"/>
        <w:spacing w:line="440" w:lineRule="exact"/>
        <w:jc w:val="center"/>
        <w:rPr>
          <w:rFonts w:ascii="Times New Roman" w:hAnsi="Times New Roman" w:eastAsia="仿宋_GB2312"/>
          <w:b/>
          <w:color w:val="auto"/>
          <w:sz w:val="36"/>
          <w:szCs w:val="36"/>
        </w:rPr>
      </w:pPr>
    </w:p>
    <w:p w14:paraId="52F62087">
      <w:pPr>
        <w:pStyle w:val="10"/>
        <w:snapToGrid w:val="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p>
    <w:tbl>
      <w:tblPr>
        <w:tblStyle w:val="37"/>
        <w:tblW w:w="93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68"/>
        <w:gridCol w:w="1332"/>
        <w:gridCol w:w="900"/>
        <w:gridCol w:w="900"/>
        <w:gridCol w:w="1440"/>
        <w:gridCol w:w="900"/>
        <w:gridCol w:w="900"/>
        <w:gridCol w:w="1620"/>
      </w:tblGrid>
      <w:tr w14:paraId="073DA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restart"/>
            <w:tcBorders>
              <w:top w:val="single" w:color="auto" w:sz="4" w:space="0"/>
              <w:left w:val="single" w:color="auto" w:sz="4" w:space="0"/>
              <w:bottom w:val="single" w:color="auto" w:sz="4" w:space="0"/>
              <w:right w:val="single" w:color="auto" w:sz="4" w:space="0"/>
            </w:tcBorders>
            <w:vAlign w:val="center"/>
          </w:tcPr>
          <w:p w14:paraId="57CFAADE">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采购单位名称</w:t>
            </w:r>
          </w:p>
        </w:tc>
        <w:tc>
          <w:tcPr>
            <w:tcW w:w="1332" w:type="dxa"/>
            <w:vMerge w:val="restart"/>
            <w:tcBorders>
              <w:top w:val="single" w:color="auto" w:sz="4" w:space="0"/>
              <w:left w:val="single" w:color="auto" w:sz="4" w:space="0"/>
              <w:bottom w:val="single" w:color="auto" w:sz="4" w:space="0"/>
              <w:right w:val="single" w:color="auto" w:sz="4" w:space="0"/>
            </w:tcBorders>
            <w:vAlign w:val="center"/>
          </w:tcPr>
          <w:p w14:paraId="35C34814">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项目</w:t>
            </w:r>
          </w:p>
          <w:p w14:paraId="5CB0B5BD">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名称</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627D2BE6">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采购</w:t>
            </w:r>
          </w:p>
          <w:p w14:paraId="227D62B9">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数量</w:t>
            </w:r>
          </w:p>
        </w:tc>
        <w:tc>
          <w:tcPr>
            <w:tcW w:w="900" w:type="dxa"/>
            <w:vMerge w:val="restart"/>
            <w:tcBorders>
              <w:top w:val="single" w:color="auto" w:sz="4" w:space="0"/>
              <w:left w:val="single" w:color="auto" w:sz="4" w:space="0"/>
              <w:bottom w:val="single" w:color="auto" w:sz="4" w:space="0"/>
              <w:right w:val="single" w:color="auto" w:sz="4" w:space="0"/>
            </w:tcBorders>
            <w:vAlign w:val="center"/>
          </w:tcPr>
          <w:p w14:paraId="5BD5AD29">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14:paraId="1E39CB1C">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合同</w:t>
            </w:r>
          </w:p>
          <w:p w14:paraId="163EE770">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金额</w:t>
            </w:r>
          </w:p>
          <w:p w14:paraId="65C715B4">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（万元）</w:t>
            </w:r>
          </w:p>
        </w:tc>
        <w:tc>
          <w:tcPr>
            <w:tcW w:w="1800" w:type="dxa"/>
            <w:gridSpan w:val="2"/>
            <w:tcBorders>
              <w:top w:val="single" w:color="auto" w:sz="4" w:space="0"/>
              <w:left w:val="single" w:color="auto" w:sz="4" w:space="0"/>
              <w:bottom w:val="single" w:color="auto" w:sz="4" w:space="0"/>
              <w:right w:val="single" w:color="auto" w:sz="4" w:space="0"/>
            </w:tcBorders>
            <w:vAlign w:val="center"/>
          </w:tcPr>
          <w:p w14:paraId="2F1C1DB6">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附件页码</w:t>
            </w:r>
          </w:p>
        </w:tc>
        <w:tc>
          <w:tcPr>
            <w:tcW w:w="1620" w:type="dxa"/>
            <w:vMerge w:val="restart"/>
            <w:tcBorders>
              <w:top w:val="single" w:color="auto" w:sz="4" w:space="0"/>
              <w:left w:val="single" w:color="auto" w:sz="4" w:space="0"/>
              <w:bottom w:val="single" w:color="auto" w:sz="4" w:space="0"/>
              <w:right w:val="single" w:color="auto" w:sz="4" w:space="0"/>
            </w:tcBorders>
            <w:vAlign w:val="center"/>
          </w:tcPr>
          <w:p w14:paraId="021756A9">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采购单位联系人及</w:t>
            </w:r>
          </w:p>
          <w:p w14:paraId="3972E924">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联系电话</w:t>
            </w:r>
          </w:p>
        </w:tc>
      </w:tr>
      <w:tr w14:paraId="648D06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vMerge w:val="continue"/>
            <w:tcBorders>
              <w:top w:val="single" w:color="auto" w:sz="4" w:space="0"/>
              <w:left w:val="single" w:color="auto" w:sz="4" w:space="0"/>
              <w:bottom w:val="single" w:color="auto" w:sz="4" w:space="0"/>
              <w:right w:val="single" w:color="auto" w:sz="4" w:space="0"/>
            </w:tcBorders>
            <w:vAlign w:val="center"/>
          </w:tcPr>
          <w:p w14:paraId="68632164">
            <w:pPr>
              <w:widowControl/>
              <w:jc w:val="center"/>
              <w:rPr>
                <w:rFonts w:ascii="Times New Roman" w:hAnsi="Times New Roman" w:eastAsia="楷体_GB2312"/>
                <w:color w:val="auto"/>
                <w:sz w:val="28"/>
                <w:szCs w:val="28"/>
              </w:rPr>
            </w:pPr>
          </w:p>
        </w:tc>
        <w:tc>
          <w:tcPr>
            <w:tcW w:w="1332" w:type="dxa"/>
            <w:vMerge w:val="continue"/>
            <w:tcBorders>
              <w:top w:val="single" w:color="auto" w:sz="4" w:space="0"/>
              <w:left w:val="single" w:color="auto" w:sz="4" w:space="0"/>
              <w:bottom w:val="single" w:color="auto" w:sz="4" w:space="0"/>
              <w:right w:val="single" w:color="auto" w:sz="4" w:space="0"/>
            </w:tcBorders>
            <w:vAlign w:val="center"/>
          </w:tcPr>
          <w:p w14:paraId="6F3B47C8">
            <w:pPr>
              <w:widowControl/>
              <w:jc w:val="center"/>
              <w:rPr>
                <w:rFonts w:ascii="Times New Roman" w:hAnsi="Times New Roman" w:eastAsia="楷体_GB2312"/>
                <w:color w:val="auto"/>
                <w:sz w:val="28"/>
                <w:szCs w:val="28"/>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34FBE2E0">
            <w:pPr>
              <w:widowControl/>
              <w:jc w:val="center"/>
              <w:rPr>
                <w:rFonts w:ascii="Times New Roman" w:hAnsi="Times New Roman" w:eastAsia="楷体_GB2312"/>
                <w:color w:val="auto"/>
                <w:sz w:val="28"/>
                <w:szCs w:val="28"/>
              </w:rPr>
            </w:pPr>
          </w:p>
        </w:tc>
        <w:tc>
          <w:tcPr>
            <w:tcW w:w="900" w:type="dxa"/>
            <w:vMerge w:val="continue"/>
            <w:tcBorders>
              <w:top w:val="single" w:color="auto" w:sz="4" w:space="0"/>
              <w:left w:val="single" w:color="auto" w:sz="4" w:space="0"/>
              <w:bottom w:val="single" w:color="auto" w:sz="4" w:space="0"/>
              <w:right w:val="single" w:color="auto" w:sz="4" w:space="0"/>
            </w:tcBorders>
            <w:vAlign w:val="center"/>
          </w:tcPr>
          <w:p w14:paraId="0AFFEF5E">
            <w:pPr>
              <w:widowControl/>
              <w:jc w:val="center"/>
              <w:rPr>
                <w:rFonts w:ascii="Times New Roman" w:hAnsi="Times New Roman" w:eastAsia="楷体_GB2312"/>
                <w:color w:val="auto"/>
                <w:sz w:val="28"/>
                <w:szCs w:val="28"/>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14:paraId="5E8F1AC9">
            <w:pPr>
              <w:widowControl/>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0D0C5A6C">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合</w:t>
            </w:r>
          </w:p>
          <w:p w14:paraId="27FC3C48">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同</w:t>
            </w:r>
          </w:p>
        </w:tc>
        <w:tc>
          <w:tcPr>
            <w:tcW w:w="900" w:type="dxa"/>
            <w:tcBorders>
              <w:top w:val="single" w:color="auto" w:sz="4" w:space="0"/>
              <w:left w:val="single" w:color="auto" w:sz="4" w:space="0"/>
              <w:bottom w:val="single" w:color="auto" w:sz="4" w:space="0"/>
              <w:right w:val="single" w:color="auto" w:sz="4" w:space="0"/>
            </w:tcBorders>
            <w:vAlign w:val="center"/>
          </w:tcPr>
          <w:p w14:paraId="6E10BFCB">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验</w:t>
            </w:r>
          </w:p>
          <w:p w14:paraId="2EEC3A83">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收</w:t>
            </w:r>
          </w:p>
          <w:p w14:paraId="733F608F">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报</w:t>
            </w:r>
          </w:p>
          <w:p w14:paraId="2D64E26B">
            <w:pPr>
              <w:snapToGrid w:val="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告</w:t>
            </w:r>
          </w:p>
        </w:tc>
        <w:tc>
          <w:tcPr>
            <w:tcW w:w="1620" w:type="dxa"/>
            <w:vMerge w:val="continue"/>
            <w:tcBorders>
              <w:top w:val="single" w:color="auto" w:sz="4" w:space="0"/>
              <w:left w:val="single" w:color="auto" w:sz="4" w:space="0"/>
              <w:bottom w:val="single" w:color="auto" w:sz="4" w:space="0"/>
              <w:right w:val="single" w:color="auto" w:sz="4" w:space="0"/>
            </w:tcBorders>
            <w:vAlign w:val="center"/>
          </w:tcPr>
          <w:p w14:paraId="5FC6FC8A">
            <w:pPr>
              <w:widowControl/>
              <w:jc w:val="center"/>
              <w:rPr>
                <w:rFonts w:ascii="Times New Roman" w:hAnsi="Times New Roman" w:eastAsia="楷体_GB2312"/>
                <w:color w:val="auto"/>
                <w:sz w:val="28"/>
                <w:szCs w:val="28"/>
              </w:rPr>
            </w:pPr>
          </w:p>
        </w:tc>
      </w:tr>
      <w:tr w14:paraId="70F6303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449F2E89">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4B0FD285">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73A9004">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C3FE200">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6131F54C">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217C9A3">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BE6710E">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02AD0C78">
            <w:pPr>
              <w:snapToGrid w:val="0"/>
              <w:spacing w:before="50" w:after="120" w:afterLines="50" w:line="360" w:lineRule="auto"/>
              <w:jc w:val="center"/>
              <w:rPr>
                <w:rFonts w:ascii="Times New Roman" w:hAnsi="Times New Roman" w:eastAsia="楷体_GB2312"/>
                <w:color w:val="auto"/>
                <w:sz w:val="28"/>
                <w:szCs w:val="28"/>
              </w:rPr>
            </w:pPr>
          </w:p>
        </w:tc>
      </w:tr>
      <w:tr w14:paraId="4E40F2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0714EE7F">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44906C7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56CE6A4">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0CC6058D">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0F3B74B8">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7BE2F80E">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1976C814">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2076EBE9">
            <w:pPr>
              <w:snapToGrid w:val="0"/>
              <w:spacing w:before="50" w:after="120" w:afterLines="50" w:line="360" w:lineRule="auto"/>
              <w:jc w:val="center"/>
              <w:rPr>
                <w:rFonts w:ascii="Times New Roman" w:hAnsi="Times New Roman" w:eastAsia="楷体_GB2312"/>
                <w:color w:val="auto"/>
                <w:sz w:val="28"/>
                <w:szCs w:val="28"/>
              </w:rPr>
            </w:pPr>
          </w:p>
        </w:tc>
      </w:tr>
      <w:tr w14:paraId="2A2DBB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7CF5AD44">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01202D5A">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4743DF07">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575D040">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7115DFC9">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65C2BFA4">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8584C75">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686AE8F0">
            <w:pPr>
              <w:snapToGrid w:val="0"/>
              <w:spacing w:before="50" w:after="120" w:afterLines="50" w:line="360" w:lineRule="auto"/>
              <w:jc w:val="center"/>
              <w:rPr>
                <w:rFonts w:ascii="Times New Roman" w:hAnsi="Times New Roman" w:eastAsia="楷体_GB2312"/>
                <w:color w:val="auto"/>
                <w:sz w:val="28"/>
                <w:szCs w:val="28"/>
              </w:rPr>
            </w:pPr>
          </w:p>
        </w:tc>
      </w:tr>
      <w:tr w14:paraId="79BCA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4E835EDC">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230E2F1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8C98FE9">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1924C50">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7B806FCE">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D14A1D8">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6B2A7582">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02DE5A42">
            <w:pPr>
              <w:snapToGrid w:val="0"/>
              <w:spacing w:before="50" w:after="120" w:afterLines="50" w:line="360" w:lineRule="auto"/>
              <w:jc w:val="center"/>
              <w:rPr>
                <w:rFonts w:ascii="Times New Roman" w:hAnsi="Times New Roman" w:eastAsia="楷体_GB2312"/>
                <w:color w:val="auto"/>
                <w:sz w:val="28"/>
                <w:szCs w:val="28"/>
              </w:rPr>
            </w:pPr>
          </w:p>
        </w:tc>
      </w:tr>
      <w:tr w14:paraId="08EA39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1A4FBEE7">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188B7B78">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41FB4DA8">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04DF80EB">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631271B6">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E4618D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16C149CB">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4AB8AEB4">
            <w:pPr>
              <w:snapToGrid w:val="0"/>
              <w:spacing w:before="50" w:after="120" w:afterLines="50" w:line="360" w:lineRule="auto"/>
              <w:jc w:val="center"/>
              <w:rPr>
                <w:rFonts w:ascii="Times New Roman" w:hAnsi="Times New Roman" w:eastAsia="楷体_GB2312"/>
                <w:color w:val="auto"/>
                <w:sz w:val="28"/>
                <w:szCs w:val="28"/>
              </w:rPr>
            </w:pPr>
          </w:p>
        </w:tc>
      </w:tr>
      <w:tr w14:paraId="71FA3A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012CBB5B">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3A6B17BD">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7CAAFCAC">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7EB5883B">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1BB96CAC">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0E1F5AF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42A87EDE">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444CC10D">
            <w:pPr>
              <w:snapToGrid w:val="0"/>
              <w:spacing w:before="50" w:after="120" w:afterLines="50" w:line="360" w:lineRule="auto"/>
              <w:jc w:val="center"/>
              <w:rPr>
                <w:rFonts w:ascii="Times New Roman" w:hAnsi="Times New Roman" w:eastAsia="楷体_GB2312"/>
                <w:color w:val="auto"/>
                <w:sz w:val="28"/>
                <w:szCs w:val="28"/>
              </w:rPr>
            </w:pPr>
          </w:p>
        </w:tc>
      </w:tr>
      <w:tr w14:paraId="137E3C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3BD1E26D">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53D3759D">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487B8A95">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56CAB66">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1D669B1A">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5D0D10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190A1308">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7838DE10">
            <w:pPr>
              <w:snapToGrid w:val="0"/>
              <w:spacing w:before="50" w:after="120" w:afterLines="50" w:line="360" w:lineRule="auto"/>
              <w:jc w:val="center"/>
              <w:rPr>
                <w:rFonts w:ascii="Times New Roman" w:hAnsi="Times New Roman" w:eastAsia="楷体_GB2312"/>
                <w:color w:val="auto"/>
                <w:sz w:val="28"/>
                <w:szCs w:val="28"/>
              </w:rPr>
            </w:pPr>
          </w:p>
        </w:tc>
      </w:tr>
      <w:tr w14:paraId="7D8149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6F99C872">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0C016FA4">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B54D0E0">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B9D04AA">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4BC3A315">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655B0A71">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630FE5F2">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2FEE5C61">
            <w:pPr>
              <w:snapToGrid w:val="0"/>
              <w:spacing w:before="50" w:after="120" w:afterLines="50" w:line="360" w:lineRule="auto"/>
              <w:jc w:val="center"/>
              <w:rPr>
                <w:rFonts w:ascii="Times New Roman" w:hAnsi="Times New Roman" w:eastAsia="楷体_GB2312"/>
                <w:color w:val="auto"/>
                <w:sz w:val="28"/>
                <w:szCs w:val="28"/>
              </w:rPr>
            </w:pPr>
          </w:p>
        </w:tc>
      </w:tr>
      <w:tr w14:paraId="085503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2A4A92FC">
            <w:pPr>
              <w:snapToGrid w:val="0"/>
              <w:spacing w:before="50" w:after="120" w:afterLines="50" w:line="360" w:lineRule="auto"/>
              <w:jc w:val="center"/>
              <w:rPr>
                <w:rFonts w:ascii="Times New Roman" w:hAnsi="Times New Roman" w:eastAsia="楷体_GB2312"/>
                <w:color w:val="auto"/>
                <w:sz w:val="28"/>
                <w:szCs w:val="28"/>
              </w:rPr>
            </w:pPr>
          </w:p>
        </w:tc>
        <w:tc>
          <w:tcPr>
            <w:tcW w:w="1332" w:type="dxa"/>
            <w:tcBorders>
              <w:top w:val="single" w:color="auto" w:sz="4" w:space="0"/>
              <w:left w:val="single" w:color="auto" w:sz="4" w:space="0"/>
              <w:bottom w:val="single" w:color="auto" w:sz="4" w:space="0"/>
              <w:right w:val="single" w:color="auto" w:sz="4" w:space="0"/>
            </w:tcBorders>
            <w:vAlign w:val="center"/>
          </w:tcPr>
          <w:p w14:paraId="52D87A7F">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2CBEA5D9">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DAAF7D0">
            <w:pPr>
              <w:snapToGrid w:val="0"/>
              <w:spacing w:before="50" w:after="120" w:afterLines="50" w:line="360" w:lineRule="auto"/>
              <w:jc w:val="center"/>
              <w:rPr>
                <w:rFonts w:ascii="Times New Roman" w:hAnsi="Times New Roman" w:eastAsia="楷体_GB2312"/>
                <w:color w:val="auto"/>
                <w:sz w:val="28"/>
                <w:szCs w:val="28"/>
              </w:rPr>
            </w:pPr>
          </w:p>
        </w:tc>
        <w:tc>
          <w:tcPr>
            <w:tcW w:w="1440" w:type="dxa"/>
            <w:tcBorders>
              <w:top w:val="single" w:color="auto" w:sz="4" w:space="0"/>
              <w:left w:val="single" w:color="auto" w:sz="4" w:space="0"/>
              <w:bottom w:val="single" w:color="auto" w:sz="4" w:space="0"/>
              <w:right w:val="single" w:color="auto" w:sz="4" w:space="0"/>
            </w:tcBorders>
            <w:vAlign w:val="center"/>
          </w:tcPr>
          <w:p w14:paraId="33846180">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35418C02">
            <w:pPr>
              <w:snapToGrid w:val="0"/>
              <w:spacing w:before="50" w:after="120" w:afterLines="50" w:line="360" w:lineRule="auto"/>
              <w:jc w:val="center"/>
              <w:rPr>
                <w:rFonts w:ascii="Times New Roman" w:hAnsi="Times New Roman" w:eastAsia="楷体_GB2312"/>
                <w:color w:val="auto"/>
                <w:sz w:val="28"/>
                <w:szCs w:val="28"/>
              </w:rPr>
            </w:pPr>
          </w:p>
        </w:tc>
        <w:tc>
          <w:tcPr>
            <w:tcW w:w="900" w:type="dxa"/>
            <w:tcBorders>
              <w:top w:val="single" w:color="auto" w:sz="4" w:space="0"/>
              <w:left w:val="single" w:color="auto" w:sz="4" w:space="0"/>
              <w:bottom w:val="single" w:color="auto" w:sz="4" w:space="0"/>
              <w:right w:val="single" w:color="auto" w:sz="4" w:space="0"/>
            </w:tcBorders>
            <w:vAlign w:val="center"/>
          </w:tcPr>
          <w:p w14:paraId="511BCD79">
            <w:pPr>
              <w:snapToGrid w:val="0"/>
              <w:spacing w:before="50" w:after="120" w:afterLines="50" w:line="360" w:lineRule="auto"/>
              <w:jc w:val="center"/>
              <w:rPr>
                <w:rFonts w:ascii="Times New Roman" w:hAnsi="Times New Roman" w:eastAsia="楷体_GB2312"/>
                <w:color w:val="auto"/>
                <w:sz w:val="28"/>
                <w:szCs w:val="28"/>
              </w:rPr>
            </w:pPr>
          </w:p>
        </w:tc>
        <w:tc>
          <w:tcPr>
            <w:tcW w:w="1620" w:type="dxa"/>
            <w:tcBorders>
              <w:top w:val="single" w:color="auto" w:sz="4" w:space="0"/>
              <w:left w:val="single" w:color="auto" w:sz="4" w:space="0"/>
              <w:bottom w:val="single" w:color="auto" w:sz="4" w:space="0"/>
              <w:right w:val="single" w:color="auto" w:sz="4" w:space="0"/>
            </w:tcBorders>
            <w:vAlign w:val="center"/>
          </w:tcPr>
          <w:p w14:paraId="0C3B5D2B">
            <w:pPr>
              <w:snapToGrid w:val="0"/>
              <w:spacing w:before="50" w:after="120" w:afterLines="50" w:line="360" w:lineRule="auto"/>
              <w:jc w:val="center"/>
              <w:rPr>
                <w:rFonts w:ascii="Times New Roman" w:hAnsi="Times New Roman" w:eastAsia="楷体_GB2312"/>
                <w:color w:val="auto"/>
                <w:sz w:val="28"/>
                <w:szCs w:val="28"/>
              </w:rPr>
            </w:pPr>
          </w:p>
        </w:tc>
      </w:tr>
      <w:tr w14:paraId="43EDAF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368" w:type="dxa"/>
            <w:tcBorders>
              <w:top w:val="single" w:color="auto" w:sz="4" w:space="0"/>
              <w:left w:val="single" w:color="auto" w:sz="4" w:space="0"/>
              <w:bottom w:val="single" w:color="auto" w:sz="4" w:space="0"/>
              <w:right w:val="single" w:color="auto" w:sz="4" w:space="0"/>
            </w:tcBorders>
            <w:vAlign w:val="center"/>
          </w:tcPr>
          <w:p w14:paraId="0F59DD2E">
            <w:pPr>
              <w:snapToGrid w:val="0"/>
              <w:jc w:val="center"/>
              <w:rPr>
                <w:rFonts w:ascii="Times New Roman" w:hAnsi="Times New Roman" w:eastAsia="楷体_GB2312"/>
                <w:color w:val="auto"/>
                <w:sz w:val="28"/>
                <w:szCs w:val="28"/>
              </w:rPr>
            </w:pPr>
            <w:r>
              <w:rPr>
                <w:rFonts w:hint="eastAsia" w:ascii="Times New Roman" w:hAnsi="Times New Roman" w:eastAsia="楷体_GB2312"/>
                <w:color w:val="auto"/>
                <w:sz w:val="28"/>
                <w:szCs w:val="28"/>
              </w:rPr>
              <w:t>备注</w:t>
            </w:r>
          </w:p>
        </w:tc>
        <w:tc>
          <w:tcPr>
            <w:tcW w:w="7992" w:type="dxa"/>
            <w:gridSpan w:val="7"/>
            <w:tcBorders>
              <w:top w:val="single" w:color="auto" w:sz="4" w:space="0"/>
              <w:left w:val="single" w:color="auto" w:sz="4" w:space="0"/>
              <w:bottom w:val="single" w:color="auto" w:sz="4" w:space="0"/>
              <w:right w:val="single" w:color="auto" w:sz="4" w:space="0"/>
            </w:tcBorders>
            <w:vAlign w:val="center"/>
          </w:tcPr>
          <w:p w14:paraId="2B2C2532">
            <w:pPr>
              <w:snapToGrid w:val="0"/>
              <w:jc w:val="left"/>
              <w:rPr>
                <w:rFonts w:ascii="Times New Roman" w:hAnsi="Times New Roman" w:eastAsia="楷体_GB2312"/>
                <w:color w:val="auto"/>
                <w:sz w:val="28"/>
                <w:szCs w:val="28"/>
              </w:rPr>
            </w:pPr>
            <w:r>
              <w:rPr>
                <w:rFonts w:hint="eastAsia" w:ascii="Times New Roman" w:hAnsi="Times New Roman" w:eastAsia="楷体_GB2312"/>
                <w:color w:val="auto"/>
                <w:sz w:val="28"/>
                <w:szCs w:val="28"/>
              </w:rPr>
              <w:t>须提供投标人同类项目合同复印件、用户验收报告或使用意见。</w:t>
            </w:r>
          </w:p>
        </w:tc>
      </w:tr>
    </w:tbl>
    <w:p w14:paraId="23F994CC">
      <w:pPr>
        <w:rPr>
          <w:rFonts w:ascii="Times New Roman" w:hAnsi="Times New Roman" w:eastAsia="仿宋_GB2312"/>
          <w:color w:val="auto"/>
        </w:rPr>
      </w:pPr>
    </w:p>
    <w:p w14:paraId="09C907B7">
      <w:pPr>
        <w:rPr>
          <w:rFonts w:ascii="Times New Roman" w:hAnsi="Times New Roman" w:eastAsia="仿宋_GB2312"/>
          <w:color w:val="auto"/>
        </w:rPr>
      </w:pPr>
    </w:p>
    <w:p w14:paraId="70595429">
      <w:pPr>
        <w:snapToGrid w:val="0"/>
        <w:spacing w:before="120" w:beforeLines="5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授权代表签名：</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日 期：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年</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 xml:space="preserve">月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日</w:t>
      </w:r>
    </w:p>
    <w:p w14:paraId="2D3444E3">
      <w:pPr>
        <w:snapToGrid w:val="0"/>
        <w:spacing w:before="120" w:beforeLines="50" w:line="480" w:lineRule="exact"/>
        <w:rPr>
          <w:rFonts w:ascii="Times New Roman" w:hAnsi="Times New Roman" w:eastAsia="仿宋_GB2312"/>
          <w:color w:val="auto"/>
          <w:sz w:val="30"/>
          <w:szCs w:val="30"/>
          <w:u w:val="single"/>
        </w:rPr>
      </w:pPr>
    </w:p>
    <w:p w14:paraId="019CB228">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15</w:t>
      </w:r>
    </w:p>
    <w:p w14:paraId="25210B11">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商 务 响 应 表</w:t>
      </w:r>
    </w:p>
    <w:p w14:paraId="6BF958F7">
      <w:pPr>
        <w:snapToGrid w:val="0"/>
        <w:spacing w:line="440" w:lineRule="exact"/>
        <w:jc w:val="center"/>
        <w:rPr>
          <w:rFonts w:ascii="Times New Roman" w:hAnsi="Times New Roman" w:eastAsia="仿宋_GB2312"/>
          <w:b/>
          <w:color w:val="auto"/>
          <w:sz w:val="36"/>
          <w:szCs w:val="36"/>
        </w:rPr>
      </w:pPr>
    </w:p>
    <w:p w14:paraId="73F3DF2E">
      <w:pPr>
        <w:pStyle w:val="10"/>
        <w:snapToGrid w:val="0"/>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标项：</w:t>
      </w:r>
      <w:r>
        <w:rPr>
          <w:rFonts w:hint="eastAsia" w:ascii="Times New Roman" w:hAnsi="Times New Roman" w:eastAsia="仿宋_GB2312"/>
          <w:color w:val="auto"/>
          <w:sz w:val="30"/>
          <w:szCs w:val="30"/>
          <w:u w:val="single"/>
        </w:rPr>
        <w:t xml:space="preserve">       </w:t>
      </w:r>
    </w:p>
    <w:tbl>
      <w:tblPr>
        <w:tblStyle w:val="37"/>
        <w:tblW w:w="85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7"/>
        <w:gridCol w:w="2591"/>
        <w:gridCol w:w="1260"/>
        <w:gridCol w:w="3020"/>
      </w:tblGrid>
      <w:tr w14:paraId="2358FF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5D53612B">
            <w:pPr>
              <w:snapToGrid w:val="0"/>
              <w:spacing w:before="120" w:beforeLines="5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项目</w:t>
            </w:r>
          </w:p>
        </w:tc>
        <w:tc>
          <w:tcPr>
            <w:tcW w:w="2591" w:type="dxa"/>
            <w:tcBorders>
              <w:top w:val="single" w:color="auto" w:sz="4" w:space="0"/>
              <w:left w:val="single" w:color="auto" w:sz="4" w:space="0"/>
              <w:bottom w:val="single" w:color="auto" w:sz="4" w:space="0"/>
              <w:right w:val="single" w:color="auto" w:sz="4" w:space="0"/>
            </w:tcBorders>
            <w:vAlign w:val="center"/>
          </w:tcPr>
          <w:p w14:paraId="66DA658F">
            <w:pPr>
              <w:snapToGrid w:val="0"/>
              <w:spacing w:before="120" w:beforeLines="5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招标文件要求</w:t>
            </w:r>
          </w:p>
        </w:tc>
        <w:tc>
          <w:tcPr>
            <w:tcW w:w="1260" w:type="dxa"/>
            <w:tcBorders>
              <w:top w:val="single" w:color="auto" w:sz="4" w:space="0"/>
              <w:left w:val="single" w:color="auto" w:sz="4" w:space="0"/>
              <w:bottom w:val="single" w:color="auto" w:sz="4" w:space="0"/>
              <w:right w:val="single" w:color="auto" w:sz="4" w:space="0"/>
            </w:tcBorders>
            <w:vAlign w:val="center"/>
          </w:tcPr>
          <w:p w14:paraId="709C2FA2">
            <w:pPr>
              <w:snapToGrid w:val="0"/>
              <w:spacing w:before="120" w:beforeLines="5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是否</w:t>
            </w:r>
          </w:p>
          <w:p w14:paraId="6C63B323">
            <w:pPr>
              <w:snapToGrid w:val="0"/>
              <w:spacing w:before="120" w:beforeLines="5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响应</w:t>
            </w:r>
          </w:p>
        </w:tc>
        <w:tc>
          <w:tcPr>
            <w:tcW w:w="3020" w:type="dxa"/>
            <w:tcBorders>
              <w:top w:val="single" w:color="auto" w:sz="4" w:space="0"/>
              <w:left w:val="single" w:color="auto" w:sz="4" w:space="0"/>
              <w:bottom w:val="single" w:color="auto" w:sz="4" w:space="0"/>
              <w:right w:val="single" w:color="auto" w:sz="4" w:space="0"/>
            </w:tcBorders>
            <w:vAlign w:val="center"/>
          </w:tcPr>
          <w:p w14:paraId="1DC621D9">
            <w:pPr>
              <w:snapToGrid w:val="0"/>
              <w:spacing w:before="120" w:beforeLines="50"/>
              <w:jc w:val="center"/>
              <w:rPr>
                <w:rFonts w:ascii="Times New Roman" w:hAnsi="Times New Roman" w:eastAsia="楷体_GB2312"/>
                <w:b/>
                <w:color w:val="auto"/>
                <w:sz w:val="28"/>
                <w:szCs w:val="28"/>
              </w:rPr>
            </w:pPr>
            <w:r>
              <w:rPr>
                <w:rFonts w:hint="eastAsia" w:ascii="Times New Roman" w:hAnsi="Times New Roman" w:eastAsia="楷体_GB2312"/>
                <w:b/>
                <w:color w:val="auto"/>
                <w:sz w:val="28"/>
                <w:szCs w:val="28"/>
              </w:rPr>
              <w:t>投标人的承诺或说明</w:t>
            </w:r>
          </w:p>
        </w:tc>
      </w:tr>
      <w:tr w14:paraId="018047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4E7B6F5B">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5D99A5BA">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273D2A27">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0E6F2FB2">
            <w:pPr>
              <w:snapToGrid w:val="0"/>
              <w:spacing w:before="120" w:beforeLines="50"/>
              <w:jc w:val="center"/>
              <w:rPr>
                <w:rFonts w:ascii="仿宋_GB2312" w:hAnsi="Times New Roman" w:eastAsia="仿宋_GB2312"/>
                <w:color w:val="auto"/>
                <w:sz w:val="28"/>
                <w:szCs w:val="28"/>
              </w:rPr>
            </w:pPr>
          </w:p>
        </w:tc>
      </w:tr>
      <w:tr w14:paraId="6512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65222154">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0C05EADC">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69CC3531">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4B89EF03">
            <w:pPr>
              <w:snapToGrid w:val="0"/>
              <w:spacing w:before="120" w:beforeLines="50"/>
              <w:jc w:val="center"/>
              <w:rPr>
                <w:rFonts w:ascii="仿宋_GB2312" w:hAnsi="Times New Roman" w:eastAsia="仿宋_GB2312"/>
                <w:color w:val="auto"/>
                <w:sz w:val="28"/>
                <w:szCs w:val="28"/>
              </w:rPr>
            </w:pPr>
          </w:p>
        </w:tc>
      </w:tr>
      <w:tr w14:paraId="0EC844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657" w:type="dxa"/>
            <w:tcBorders>
              <w:top w:val="single" w:color="auto" w:sz="4" w:space="0"/>
              <w:left w:val="single" w:color="auto" w:sz="4" w:space="0"/>
              <w:bottom w:val="single" w:color="auto" w:sz="4" w:space="0"/>
              <w:right w:val="single" w:color="auto" w:sz="4" w:space="0"/>
            </w:tcBorders>
            <w:vAlign w:val="center"/>
          </w:tcPr>
          <w:p w14:paraId="03EB8E18">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31CAD388">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5416A3C2">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5813AE69">
            <w:pPr>
              <w:snapToGrid w:val="0"/>
              <w:spacing w:before="120" w:beforeLines="50"/>
              <w:jc w:val="center"/>
              <w:rPr>
                <w:rFonts w:ascii="仿宋_GB2312" w:hAnsi="Times New Roman" w:eastAsia="仿宋_GB2312"/>
                <w:color w:val="auto"/>
                <w:sz w:val="28"/>
                <w:szCs w:val="28"/>
              </w:rPr>
            </w:pPr>
          </w:p>
        </w:tc>
      </w:tr>
      <w:tr w14:paraId="060C06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0"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6FEAA7C1">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798110D1">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0A8A90B9">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573542EA">
            <w:pPr>
              <w:snapToGrid w:val="0"/>
              <w:spacing w:before="120" w:beforeLines="50"/>
              <w:jc w:val="center"/>
              <w:rPr>
                <w:rFonts w:ascii="仿宋_GB2312" w:hAnsi="Times New Roman" w:eastAsia="仿宋_GB2312"/>
                <w:color w:val="auto"/>
                <w:sz w:val="28"/>
                <w:szCs w:val="28"/>
              </w:rPr>
            </w:pPr>
          </w:p>
        </w:tc>
      </w:tr>
      <w:tr w14:paraId="4A3CA3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52F4A33D">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0806CD40">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19FEE348">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08CF242A">
            <w:pPr>
              <w:snapToGrid w:val="0"/>
              <w:spacing w:before="120" w:beforeLines="50"/>
              <w:jc w:val="center"/>
              <w:rPr>
                <w:rFonts w:ascii="仿宋_GB2312" w:hAnsi="Times New Roman" w:eastAsia="仿宋_GB2312"/>
                <w:color w:val="auto"/>
                <w:sz w:val="28"/>
                <w:szCs w:val="28"/>
              </w:rPr>
            </w:pPr>
          </w:p>
        </w:tc>
      </w:tr>
      <w:tr w14:paraId="446E91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70AE993F">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62D4B884">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1D20660E">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673253E2">
            <w:pPr>
              <w:snapToGrid w:val="0"/>
              <w:spacing w:before="120" w:beforeLines="50"/>
              <w:jc w:val="center"/>
              <w:rPr>
                <w:rFonts w:ascii="仿宋_GB2312" w:hAnsi="Times New Roman" w:eastAsia="仿宋_GB2312"/>
                <w:color w:val="auto"/>
                <w:sz w:val="28"/>
                <w:szCs w:val="28"/>
              </w:rPr>
            </w:pPr>
          </w:p>
        </w:tc>
      </w:tr>
      <w:tr w14:paraId="65BB41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0A3CFC6F">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54DD82ED">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04C6816F">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02441ECA">
            <w:pPr>
              <w:snapToGrid w:val="0"/>
              <w:spacing w:before="120" w:beforeLines="50"/>
              <w:jc w:val="center"/>
              <w:rPr>
                <w:rFonts w:ascii="仿宋_GB2312" w:hAnsi="Times New Roman" w:eastAsia="仿宋_GB2312"/>
                <w:color w:val="auto"/>
                <w:sz w:val="28"/>
                <w:szCs w:val="28"/>
              </w:rPr>
            </w:pPr>
          </w:p>
        </w:tc>
      </w:tr>
      <w:tr w14:paraId="023AAC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vAlign w:val="center"/>
          </w:tcPr>
          <w:p w14:paraId="15F35452">
            <w:pPr>
              <w:snapToGrid w:val="0"/>
              <w:jc w:val="left"/>
              <w:rPr>
                <w:rFonts w:ascii="仿宋_GB2312" w:hAnsi="Times New Roman" w:eastAsia="仿宋_GB2312"/>
                <w:color w:val="auto"/>
                <w:sz w:val="28"/>
                <w:szCs w:val="28"/>
              </w:rPr>
            </w:pPr>
          </w:p>
        </w:tc>
        <w:tc>
          <w:tcPr>
            <w:tcW w:w="2591" w:type="dxa"/>
            <w:tcBorders>
              <w:top w:val="single" w:color="auto" w:sz="4" w:space="0"/>
              <w:left w:val="single" w:color="auto" w:sz="4" w:space="0"/>
              <w:bottom w:val="single" w:color="auto" w:sz="4" w:space="0"/>
              <w:right w:val="single" w:color="auto" w:sz="4" w:space="0"/>
            </w:tcBorders>
            <w:vAlign w:val="center"/>
          </w:tcPr>
          <w:p w14:paraId="2E93BACE">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37661053">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48A22976">
            <w:pPr>
              <w:snapToGrid w:val="0"/>
              <w:spacing w:before="120" w:beforeLines="50"/>
              <w:jc w:val="center"/>
              <w:rPr>
                <w:rFonts w:ascii="仿宋_GB2312" w:hAnsi="Times New Roman" w:eastAsia="仿宋_GB2312"/>
                <w:color w:val="auto"/>
                <w:sz w:val="28"/>
                <w:szCs w:val="28"/>
              </w:rPr>
            </w:pPr>
          </w:p>
        </w:tc>
      </w:tr>
      <w:tr w14:paraId="7965C7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1657" w:type="dxa"/>
            <w:tcBorders>
              <w:top w:val="single" w:color="auto" w:sz="4" w:space="0"/>
              <w:left w:val="single" w:color="auto" w:sz="4" w:space="0"/>
              <w:bottom w:val="single" w:color="auto" w:sz="4" w:space="0"/>
              <w:right w:val="single" w:color="auto" w:sz="4" w:space="0"/>
            </w:tcBorders>
          </w:tcPr>
          <w:p w14:paraId="591C367B">
            <w:pPr>
              <w:snapToGrid w:val="0"/>
              <w:rPr>
                <w:rFonts w:ascii="仿宋_GB2312" w:hAnsi="宋体" w:eastAsia="仿宋_GB2312"/>
                <w:color w:val="auto"/>
                <w:sz w:val="28"/>
                <w:szCs w:val="28"/>
              </w:rPr>
            </w:pPr>
            <w:r>
              <w:rPr>
                <w:rFonts w:hint="eastAsia" w:ascii="仿宋" w:hAnsi="仿宋" w:eastAsia="仿宋"/>
                <w:color w:val="auto"/>
                <w:sz w:val="30"/>
                <w:szCs w:val="30"/>
              </w:rPr>
              <w:t>……</w:t>
            </w:r>
          </w:p>
        </w:tc>
        <w:tc>
          <w:tcPr>
            <w:tcW w:w="2591" w:type="dxa"/>
            <w:tcBorders>
              <w:top w:val="single" w:color="auto" w:sz="4" w:space="0"/>
              <w:left w:val="single" w:color="auto" w:sz="4" w:space="0"/>
              <w:bottom w:val="single" w:color="auto" w:sz="4" w:space="0"/>
              <w:right w:val="single" w:color="auto" w:sz="4" w:space="0"/>
            </w:tcBorders>
            <w:vAlign w:val="center"/>
          </w:tcPr>
          <w:p w14:paraId="22B6FF53">
            <w:pPr>
              <w:snapToGrid w:val="0"/>
              <w:spacing w:before="120" w:beforeLines="50"/>
              <w:jc w:val="center"/>
              <w:rPr>
                <w:rFonts w:ascii="仿宋_GB2312" w:hAnsi="Times New Roman" w:eastAsia="仿宋_GB2312"/>
                <w:color w:val="auto"/>
                <w:sz w:val="28"/>
                <w:szCs w:val="28"/>
              </w:rPr>
            </w:pPr>
          </w:p>
        </w:tc>
        <w:tc>
          <w:tcPr>
            <w:tcW w:w="1260" w:type="dxa"/>
            <w:tcBorders>
              <w:top w:val="single" w:color="auto" w:sz="4" w:space="0"/>
              <w:left w:val="single" w:color="auto" w:sz="4" w:space="0"/>
              <w:bottom w:val="single" w:color="auto" w:sz="4" w:space="0"/>
              <w:right w:val="single" w:color="auto" w:sz="4" w:space="0"/>
            </w:tcBorders>
            <w:vAlign w:val="center"/>
          </w:tcPr>
          <w:p w14:paraId="3486E50B">
            <w:pPr>
              <w:snapToGrid w:val="0"/>
              <w:spacing w:before="120" w:beforeLines="50"/>
              <w:jc w:val="center"/>
              <w:rPr>
                <w:rFonts w:ascii="仿宋_GB2312" w:hAnsi="Times New Roman" w:eastAsia="仿宋_GB2312"/>
                <w:color w:val="auto"/>
                <w:sz w:val="28"/>
                <w:szCs w:val="28"/>
              </w:rPr>
            </w:pPr>
          </w:p>
        </w:tc>
        <w:tc>
          <w:tcPr>
            <w:tcW w:w="3020" w:type="dxa"/>
            <w:tcBorders>
              <w:top w:val="single" w:color="auto" w:sz="4" w:space="0"/>
              <w:left w:val="single" w:color="auto" w:sz="4" w:space="0"/>
              <w:bottom w:val="single" w:color="auto" w:sz="4" w:space="0"/>
              <w:right w:val="single" w:color="auto" w:sz="4" w:space="0"/>
            </w:tcBorders>
            <w:vAlign w:val="center"/>
          </w:tcPr>
          <w:p w14:paraId="78F7ACC9">
            <w:pPr>
              <w:snapToGrid w:val="0"/>
              <w:spacing w:before="120" w:beforeLines="50"/>
              <w:jc w:val="center"/>
              <w:rPr>
                <w:rFonts w:ascii="仿宋_GB2312" w:hAnsi="Times New Roman" w:eastAsia="仿宋_GB2312"/>
                <w:color w:val="auto"/>
                <w:sz w:val="28"/>
                <w:szCs w:val="28"/>
              </w:rPr>
            </w:pPr>
          </w:p>
        </w:tc>
      </w:tr>
    </w:tbl>
    <w:p w14:paraId="356F8E1F">
      <w:pPr>
        <w:snapToGrid w:val="0"/>
        <w:spacing w:before="120" w:beforeLines="50" w:line="480" w:lineRule="exact"/>
        <w:rPr>
          <w:rFonts w:ascii="Times New Roman" w:hAnsi="Times New Roman" w:eastAsia="仿宋_GB2312"/>
          <w:color w:val="auto"/>
          <w:sz w:val="30"/>
          <w:szCs w:val="30"/>
        </w:rPr>
      </w:pPr>
    </w:p>
    <w:p w14:paraId="57790CAB">
      <w:pPr>
        <w:snapToGrid w:val="0"/>
        <w:spacing w:before="120" w:beforeLines="50" w:line="480" w:lineRule="exact"/>
        <w:rPr>
          <w:rFonts w:ascii="Times New Roman" w:hAnsi="Times New Roman" w:eastAsia="仿宋_GB2312"/>
          <w:color w:val="auto"/>
          <w:sz w:val="30"/>
          <w:szCs w:val="30"/>
          <w:u w:val="single"/>
        </w:rPr>
      </w:pPr>
      <w:r>
        <w:rPr>
          <w:rFonts w:hint="eastAsia" w:ascii="Times New Roman" w:hAnsi="Times New Roman" w:eastAsia="仿宋_GB2312"/>
          <w:color w:val="auto"/>
          <w:sz w:val="30"/>
          <w:szCs w:val="30"/>
        </w:rPr>
        <w:t>授权代表签名：</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日 期：</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年</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月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日</w:t>
      </w:r>
    </w:p>
    <w:p w14:paraId="536B06FC">
      <w:pPr>
        <w:rPr>
          <w:rFonts w:ascii="Times New Roman" w:hAnsi="Times New Roman"/>
          <w:b/>
          <w:bCs/>
          <w:color w:val="auto"/>
        </w:rPr>
      </w:pPr>
      <w:r>
        <w:rPr>
          <w:rFonts w:ascii="Times New Roman" w:hAnsi="Times New Roman"/>
          <w:b/>
          <w:bCs/>
          <w:color w:val="auto"/>
        </w:rPr>
        <w:br w:type="page"/>
      </w:r>
    </w:p>
    <w:p w14:paraId="0731F1EF">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16</w:t>
      </w:r>
    </w:p>
    <w:p w14:paraId="5119BBC0">
      <w:pPr>
        <w:snapToGrid w:val="0"/>
        <w:spacing w:line="360" w:lineRule="auto"/>
        <w:jc w:val="center"/>
        <w:rPr>
          <w:b/>
          <w:color w:val="auto"/>
          <w:sz w:val="24"/>
          <w:szCs w:val="21"/>
        </w:rPr>
      </w:pPr>
      <w:r>
        <w:rPr>
          <w:rFonts w:eastAsiaTheme="minorEastAsia"/>
          <w:color w:val="auto"/>
          <w:sz w:val="32"/>
          <w:szCs w:val="32"/>
        </w:rPr>
        <w:t>样品标签</w:t>
      </w:r>
    </w:p>
    <w:tbl>
      <w:tblPr>
        <w:tblStyle w:val="37"/>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0"/>
      </w:tblGrid>
      <w:tr w14:paraId="5A4D1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3A471365">
            <w:pPr>
              <w:spacing w:line="560" w:lineRule="exact"/>
              <w:jc w:val="center"/>
              <w:rPr>
                <w:rFonts w:eastAsiaTheme="minorEastAsia"/>
                <w:color w:val="auto"/>
                <w:sz w:val="32"/>
                <w:szCs w:val="32"/>
              </w:rPr>
            </w:pPr>
            <w:r>
              <w:rPr>
                <w:rFonts w:eastAsiaTheme="minorEastAsia"/>
                <w:color w:val="auto"/>
                <w:sz w:val="32"/>
                <w:szCs w:val="32"/>
              </w:rPr>
              <w:t>样品标签</w:t>
            </w:r>
          </w:p>
        </w:tc>
      </w:tr>
      <w:tr w14:paraId="39AA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31D3E69B">
            <w:pPr>
              <w:spacing w:line="560" w:lineRule="exact"/>
              <w:jc w:val="left"/>
              <w:rPr>
                <w:rFonts w:eastAsiaTheme="minorEastAsia"/>
                <w:color w:val="auto"/>
                <w:sz w:val="32"/>
                <w:szCs w:val="32"/>
              </w:rPr>
            </w:pPr>
            <w:r>
              <w:rPr>
                <w:rFonts w:eastAsiaTheme="minorEastAsia"/>
                <w:color w:val="auto"/>
                <w:sz w:val="32"/>
                <w:szCs w:val="32"/>
              </w:rPr>
              <w:t>项目名称：《浙江省中学实验仪器设备购置项目》</w:t>
            </w:r>
            <w:r>
              <w:rPr>
                <w:rFonts w:hint="eastAsia" w:eastAsiaTheme="minorEastAsia"/>
                <w:color w:val="auto"/>
                <w:sz w:val="32"/>
                <w:szCs w:val="32"/>
              </w:rPr>
              <w:t>第二批采购项目（湖州）</w:t>
            </w:r>
          </w:p>
        </w:tc>
      </w:tr>
      <w:tr w14:paraId="56E9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067C7CBD">
            <w:pPr>
              <w:spacing w:line="560" w:lineRule="exact"/>
              <w:jc w:val="left"/>
              <w:rPr>
                <w:rFonts w:eastAsiaTheme="minorEastAsia"/>
                <w:color w:val="auto"/>
                <w:sz w:val="32"/>
                <w:szCs w:val="32"/>
              </w:rPr>
            </w:pPr>
            <w:r>
              <w:rPr>
                <w:rFonts w:eastAsiaTheme="minorEastAsia"/>
                <w:color w:val="auto"/>
                <w:sz w:val="32"/>
                <w:szCs w:val="32"/>
              </w:rPr>
              <w:t>项目编号：</w:t>
            </w:r>
            <w:r>
              <w:rPr>
                <w:rFonts w:hint="eastAsia" w:ascii="Times New Roman" w:hAnsi="Times New Roman" w:eastAsia="仿宋_GB2312"/>
                <w:color w:val="auto"/>
                <w:sz w:val="36"/>
                <w:szCs w:val="36"/>
              </w:rPr>
              <w:t>2026-SJYT-11</w:t>
            </w:r>
          </w:p>
        </w:tc>
      </w:tr>
      <w:tr w14:paraId="47AC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8520" w:type="dxa"/>
            <w:tcBorders>
              <w:top w:val="single" w:color="auto" w:sz="4" w:space="0"/>
              <w:left w:val="single" w:color="auto" w:sz="4" w:space="0"/>
              <w:bottom w:val="single" w:color="auto" w:sz="4" w:space="0"/>
              <w:right w:val="single" w:color="auto" w:sz="4" w:space="0"/>
            </w:tcBorders>
            <w:vAlign w:val="center"/>
          </w:tcPr>
          <w:p w14:paraId="434A7BC1">
            <w:pPr>
              <w:spacing w:line="560" w:lineRule="exact"/>
              <w:jc w:val="left"/>
              <w:rPr>
                <w:rFonts w:eastAsiaTheme="minorEastAsia"/>
                <w:color w:val="auto"/>
                <w:sz w:val="32"/>
                <w:szCs w:val="32"/>
              </w:rPr>
            </w:pPr>
            <w:r>
              <w:rPr>
                <w:rFonts w:hint="eastAsia" w:eastAsiaTheme="minorEastAsia"/>
                <w:color w:val="auto"/>
                <w:sz w:val="32"/>
                <w:szCs w:val="32"/>
              </w:rPr>
              <w:t>标项号</w:t>
            </w:r>
            <w:r>
              <w:rPr>
                <w:rFonts w:eastAsiaTheme="minorEastAsia"/>
                <w:color w:val="auto"/>
                <w:sz w:val="32"/>
                <w:szCs w:val="32"/>
              </w:rPr>
              <w:t>：</w:t>
            </w:r>
            <w:r>
              <w:rPr>
                <w:rFonts w:hint="eastAsia" w:eastAsiaTheme="minorEastAsia"/>
                <w:color w:val="auto"/>
                <w:sz w:val="32"/>
                <w:szCs w:val="32"/>
              </w:rPr>
              <w:t>标项**</w:t>
            </w:r>
          </w:p>
        </w:tc>
      </w:tr>
      <w:tr w14:paraId="175F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jc w:val="center"/>
        </w:trPr>
        <w:tc>
          <w:tcPr>
            <w:tcW w:w="8520" w:type="dxa"/>
            <w:tcBorders>
              <w:top w:val="single" w:color="auto" w:sz="4" w:space="0"/>
              <w:left w:val="single" w:color="auto" w:sz="4" w:space="0"/>
              <w:bottom w:val="single" w:color="auto" w:sz="4" w:space="0"/>
              <w:right w:val="single" w:color="auto" w:sz="4" w:space="0"/>
            </w:tcBorders>
          </w:tcPr>
          <w:p w14:paraId="790B2E14">
            <w:pPr>
              <w:spacing w:line="560" w:lineRule="exact"/>
              <w:rPr>
                <w:rFonts w:eastAsiaTheme="minorEastAsia"/>
                <w:color w:val="auto"/>
                <w:sz w:val="32"/>
                <w:szCs w:val="32"/>
              </w:rPr>
            </w:pPr>
            <w:r>
              <w:rPr>
                <w:rFonts w:eastAsiaTheme="minorEastAsia"/>
                <w:color w:val="auto"/>
                <w:sz w:val="32"/>
                <w:szCs w:val="32"/>
              </w:rPr>
              <w:t>样品名称：</w:t>
            </w:r>
          </w:p>
        </w:tc>
      </w:tr>
      <w:tr w14:paraId="059D4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8520" w:type="dxa"/>
            <w:tcBorders>
              <w:top w:val="single" w:color="auto" w:sz="4" w:space="0"/>
              <w:left w:val="single" w:color="auto" w:sz="4" w:space="0"/>
              <w:bottom w:val="single" w:color="auto" w:sz="4" w:space="0"/>
              <w:right w:val="single" w:color="auto" w:sz="4" w:space="0"/>
            </w:tcBorders>
          </w:tcPr>
          <w:p w14:paraId="0B552A10">
            <w:pPr>
              <w:spacing w:line="560" w:lineRule="exact"/>
              <w:rPr>
                <w:rFonts w:eastAsiaTheme="minorEastAsia"/>
                <w:color w:val="auto"/>
                <w:sz w:val="32"/>
                <w:szCs w:val="32"/>
              </w:rPr>
            </w:pPr>
            <w:r>
              <w:rPr>
                <w:rFonts w:eastAsiaTheme="minorEastAsia"/>
                <w:color w:val="auto"/>
                <w:sz w:val="32"/>
                <w:szCs w:val="32"/>
              </w:rPr>
              <w:t>投标人名称（加盖公章）：</w:t>
            </w:r>
          </w:p>
        </w:tc>
      </w:tr>
    </w:tbl>
    <w:p w14:paraId="1E3F6AFD">
      <w:pPr>
        <w:rPr>
          <w:b/>
          <w:bCs/>
          <w:color w:val="auto"/>
          <w:sz w:val="24"/>
        </w:rPr>
      </w:pPr>
      <w:r>
        <w:rPr>
          <w:b/>
          <w:bCs/>
          <w:color w:val="auto"/>
          <w:sz w:val="24"/>
        </w:rPr>
        <w:br w:type="page"/>
      </w:r>
    </w:p>
    <w:p w14:paraId="427D786A">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w:t>
      </w:r>
      <w:r>
        <w:rPr>
          <w:rFonts w:hint="eastAsia" w:ascii="Times New Roman" w:hAnsi="Times New Roman" w:eastAsia="仿宋_GB2312"/>
          <w:color w:val="auto"/>
          <w:sz w:val="30"/>
          <w:szCs w:val="30"/>
        </w:rPr>
        <w:t>7</w:t>
      </w:r>
    </w:p>
    <w:p w14:paraId="0F49F4CD">
      <w:pPr>
        <w:ind w:right="-110"/>
        <w:jc w:val="center"/>
        <w:rPr>
          <w:rFonts w:ascii="Times New Roman" w:hAnsi="Times New Roman" w:eastAsia="仿宋_GB2312"/>
          <w:color w:val="auto"/>
          <w:spacing w:val="40"/>
          <w:sz w:val="52"/>
          <w:szCs w:val="52"/>
        </w:rPr>
      </w:pPr>
    </w:p>
    <w:p w14:paraId="25FFDB5A">
      <w:pPr>
        <w:ind w:right="-110"/>
        <w:jc w:val="center"/>
        <w:rPr>
          <w:rFonts w:ascii="Times New Roman" w:hAnsi="Times New Roman" w:eastAsia="仿宋_GB2312"/>
          <w:color w:val="auto"/>
          <w:spacing w:val="40"/>
          <w:sz w:val="52"/>
          <w:szCs w:val="52"/>
        </w:rPr>
      </w:pPr>
      <w:r>
        <w:rPr>
          <w:rFonts w:hint="eastAsia" w:ascii="Times New Roman" w:hAnsi="Times New Roman" w:eastAsia="仿宋_GB2312"/>
          <w:color w:val="auto"/>
          <w:spacing w:val="40"/>
          <w:sz w:val="52"/>
          <w:szCs w:val="52"/>
        </w:rPr>
        <w:t>《浙江省中学实验仪器设备购置项目》第二批采购项目（湖州）</w:t>
      </w:r>
    </w:p>
    <w:p w14:paraId="23770C77">
      <w:pPr>
        <w:spacing w:before="240" w:beforeLines="100" w:line="240" w:lineRule="atLeast"/>
        <w:ind w:right="-108"/>
        <w:jc w:val="center"/>
        <w:rPr>
          <w:rFonts w:ascii="Times New Roman" w:hAnsi="Times New Roman" w:eastAsia="仿宋_GB2312"/>
          <w:color w:val="auto"/>
          <w:sz w:val="36"/>
          <w:szCs w:val="36"/>
        </w:rPr>
      </w:pPr>
      <w:r>
        <w:rPr>
          <w:rFonts w:hint="eastAsia" w:ascii="Times New Roman" w:hAnsi="Times New Roman" w:eastAsia="仿宋_GB2312"/>
          <w:color w:val="auto"/>
          <w:sz w:val="36"/>
          <w:szCs w:val="36"/>
        </w:rPr>
        <w:t>项目编号：2026-SJYT-11</w:t>
      </w:r>
      <w:r>
        <w:rPr>
          <w:rFonts w:ascii="Times New Roman" w:hAnsi="Times New Roman" w:eastAsia="仿宋_GB2312"/>
          <w:b/>
          <w:color w:val="auto"/>
          <w:sz w:val="36"/>
          <w:szCs w:val="36"/>
        </w:rPr>
        <w:t xml:space="preserve">   </w:t>
      </w:r>
      <w:r>
        <w:rPr>
          <w:rFonts w:hint="eastAsia" w:ascii="Times New Roman" w:hAnsi="Times New Roman" w:eastAsia="仿宋_GB2312"/>
          <w:b/>
          <w:color w:val="auto"/>
          <w:sz w:val="36"/>
          <w:szCs w:val="36"/>
        </w:rPr>
        <w:t xml:space="preserve"> </w:t>
      </w:r>
      <w:r>
        <w:rPr>
          <w:rFonts w:hint="eastAsia" w:ascii="Times New Roman" w:hAnsi="Times New Roman" w:eastAsia="仿宋_GB2312"/>
          <w:color w:val="auto"/>
          <w:sz w:val="36"/>
          <w:szCs w:val="36"/>
        </w:rPr>
        <w:t>标项***</w:t>
      </w:r>
    </w:p>
    <w:p w14:paraId="251FDE04">
      <w:pPr>
        <w:spacing w:after="100" w:afterAutospacing="1"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报</w:t>
      </w:r>
    </w:p>
    <w:p w14:paraId="60C28DD3">
      <w:pPr>
        <w:spacing w:after="100" w:afterAutospacing="1"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价</w:t>
      </w:r>
    </w:p>
    <w:p w14:paraId="4F460995">
      <w:pPr>
        <w:spacing w:after="100" w:afterAutospacing="1"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文</w:t>
      </w:r>
    </w:p>
    <w:p w14:paraId="53A6E872">
      <w:pPr>
        <w:spacing w:after="100" w:afterAutospacing="1" w:line="360" w:lineRule="auto"/>
        <w:ind w:right="-108"/>
        <w:jc w:val="center"/>
        <w:rPr>
          <w:rFonts w:ascii="Times New Roman" w:hAnsi="Times New Roman" w:eastAsia="仿宋_GB2312"/>
          <w:b/>
          <w:color w:val="auto"/>
          <w:spacing w:val="40"/>
          <w:sz w:val="84"/>
          <w:szCs w:val="84"/>
        </w:rPr>
      </w:pPr>
      <w:r>
        <w:rPr>
          <w:rFonts w:hint="eastAsia" w:ascii="Times New Roman" w:hAnsi="Times New Roman" w:eastAsia="仿宋_GB2312"/>
          <w:b/>
          <w:color w:val="auto"/>
          <w:spacing w:val="40"/>
          <w:sz w:val="84"/>
          <w:szCs w:val="84"/>
        </w:rPr>
        <w:t>件</w:t>
      </w:r>
    </w:p>
    <w:p w14:paraId="6F1A7187">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单位全称（公章）：</w:t>
      </w:r>
    </w:p>
    <w:p w14:paraId="409715F5">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地  址：</w:t>
      </w:r>
    </w:p>
    <w:p w14:paraId="56774197">
      <w:pPr>
        <w:spacing w:line="600" w:lineRule="exact"/>
        <w:ind w:right="-108" w:firstLine="720" w:firstLineChars="200"/>
        <w:rPr>
          <w:rFonts w:ascii="Times New Roman" w:hAnsi="Times New Roman" w:eastAsia="仿宋_GB2312"/>
          <w:color w:val="auto"/>
          <w:sz w:val="36"/>
          <w:szCs w:val="36"/>
        </w:rPr>
      </w:pPr>
      <w:r>
        <w:rPr>
          <w:rFonts w:hint="eastAsia" w:ascii="Times New Roman" w:hAnsi="Times New Roman" w:eastAsia="仿宋_GB2312"/>
          <w:color w:val="auto"/>
          <w:sz w:val="36"/>
          <w:szCs w:val="36"/>
        </w:rPr>
        <w:t>时  间：</w:t>
      </w:r>
    </w:p>
    <w:p w14:paraId="3F9D01DA">
      <w:pPr>
        <w:pStyle w:val="20"/>
        <w:pageBreakBefore/>
        <w:snapToGrid w:val="0"/>
        <w:ind w:left="0" w:leftChars="0" w:firstLine="720" w:firstLineChars="200"/>
        <w:jc w:val="left"/>
        <w:rPr>
          <w:rFonts w:eastAsia="仿宋_GB2312"/>
          <w:b/>
          <w:color w:val="auto"/>
          <w:sz w:val="36"/>
          <w:szCs w:val="36"/>
        </w:rPr>
      </w:pPr>
      <w:r>
        <w:rPr>
          <w:rFonts w:hint="eastAsia" w:eastAsia="仿宋_GB2312"/>
          <w:color w:val="auto"/>
          <w:sz w:val="36"/>
          <w:szCs w:val="36"/>
        </w:rPr>
        <w:t>一、</w:t>
      </w:r>
      <w:r>
        <w:rPr>
          <w:rFonts w:hint="eastAsia" w:eastAsia="仿宋_GB2312"/>
          <w:b/>
          <w:color w:val="auto"/>
          <w:sz w:val="36"/>
          <w:szCs w:val="36"/>
        </w:rPr>
        <w:t>报价文件目录</w:t>
      </w:r>
    </w:p>
    <w:p w14:paraId="1063B43B">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（一）开标一览表（汇总报价和分校报价）（附件</w:t>
      </w:r>
      <w:r>
        <w:rPr>
          <w:rFonts w:ascii="Times New Roman" w:hAnsi="Times New Roman" w:eastAsia="仿宋_GB2312"/>
          <w:color w:val="auto"/>
          <w:sz w:val="30"/>
          <w:szCs w:val="30"/>
        </w:rPr>
        <w:t>1</w:t>
      </w:r>
      <w:r>
        <w:rPr>
          <w:rFonts w:hint="eastAsia" w:ascii="Times New Roman" w:hAnsi="Times New Roman" w:eastAsia="仿宋_GB2312"/>
          <w:color w:val="auto"/>
          <w:sz w:val="30"/>
          <w:szCs w:val="30"/>
        </w:rPr>
        <w:t>8）；</w:t>
      </w:r>
    </w:p>
    <w:p w14:paraId="5FF2DA00">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（二）中小企业声明函（若需要，见附件</w:t>
      </w:r>
      <w:r>
        <w:rPr>
          <w:rFonts w:ascii="Times New Roman" w:hAnsi="Times New Roman" w:eastAsia="仿宋_GB2312"/>
          <w:color w:val="auto"/>
          <w:sz w:val="30"/>
          <w:szCs w:val="30"/>
        </w:rPr>
        <w:t>7</w:t>
      </w:r>
      <w:r>
        <w:rPr>
          <w:rFonts w:hint="eastAsia" w:ascii="Times New Roman" w:hAnsi="Times New Roman" w:eastAsia="仿宋_GB2312"/>
          <w:color w:val="auto"/>
          <w:sz w:val="30"/>
          <w:szCs w:val="30"/>
        </w:rPr>
        <w:t>）；</w:t>
      </w:r>
    </w:p>
    <w:p w14:paraId="5D7F39F7">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（三）残疾人福利企业声明函（若需要，见附件</w:t>
      </w:r>
      <w:r>
        <w:rPr>
          <w:rFonts w:ascii="Times New Roman" w:hAnsi="Times New Roman" w:eastAsia="仿宋_GB2312"/>
          <w:color w:val="auto"/>
          <w:sz w:val="30"/>
          <w:szCs w:val="30"/>
        </w:rPr>
        <w:t>8</w:t>
      </w:r>
      <w:r>
        <w:rPr>
          <w:rFonts w:hint="eastAsia" w:ascii="Times New Roman" w:hAnsi="Times New Roman" w:eastAsia="仿宋_GB2312"/>
          <w:color w:val="auto"/>
          <w:sz w:val="30"/>
          <w:szCs w:val="30"/>
        </w:rPr>
        <w:t>）；</w:t>
      </w:r>
    </w:p>
    <w:p w14:paraId="5BE9C695">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（四）监狱企业声明函（若需要，格式自拟）。</w:t>
      </w:r>
    </w:p>
    <w:p w14:paraId="08033542">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（五）关于符合本国产品标准的声明函（格式见附件19）或财政部会同有关部门规定的有关证明文件（如是本国产品须提供）；</w:t>
      </w:r>
    </w:p>
    <w:p w14:paraId="7C65078F">
      <w:pPr>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六）关于符合本国产品标准的成本占比的承诺函（当采购项目或者采购包中含有多种产品，供应商为该采购项目或者采购包提供的符合本国产品标准的产品成本之和占该供应商提供的全部产品成本之和的比例达到80%以上时另须提供，格式见附件20）；</w:t>
      </w:r>
    </w:p>
    <w:p w14:paraId="5E48F51C">
      <w:pPr>
        <w:snapToGrid w:val="0"/>
        <w:spacing w:line="480" w:lineRule="exact"/>
        <w:ind w:firstLine="600" w:firstLineChars="200"/>
        <w:rPr>
          <w:rFonts w:ascii="Times New Roman" w:hAnsi="Times New Roman" w:eastAsia="仿宋_GB2312"/>
          <w:color w:val="auto"/>
          <w:sz w:val="30"/>
          <w:szCs w:val="30"/>
        </w:rPr>
      </w:pPr>
      <w:r>
        <w:rPr>
          <w:rFonts w:hint="eastAsia" w:ascii="Times New Roman" w:hAnsi="Times New Roman" w:eastAsia="仿宋_GB2312"/>
          <w:color w:val="auto"/>
          <w:sz w:val="30"/>
          <w:szCs w:val="30"/>
        </w:rPr>
        <w:t>（七）投标人认为需要的其他资料和说明（格式自拟）。</w:t>
      </w:r>
    </w:p>
    <w:p w14:paraId="6CFE85D1">
      <w:pPr>
        <w:pStyle w:val="153"/>
        <w:rPr>
          <w:color w:val="auto"/>
        </w:rPr>
      </w:pPr>
    </w:p>
    <w:p w14:paraId="7BDAE444">
      <w:pPr>
        <w:spacing w:line="480" w:lineRule="exact"/>
        <w:ind w:firstLine="600" w:firstLineChars="200"/>
        <w:rPr>
          <w:rFonts w:ascii="Times New Roman" w:hAnsi="Times New Roman" w:eastAsia="仿宋_GB2312"/>
          <w:color w:val="auto"/>
          <w:sz w:val="30"/>
          <w:szCs w:val="30"/>
        </w:rPr>
      </w:pPr>
    </w:p>
    <w:p w14:paraId="15FDCEFB">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w:t>
      </w:r>
      <w:r>
        <w:rPr>
          <w:rFonts w:ascii="Times New Roman" w:hAnsi="Times New Roman" w:eastAsia="仿宋_GB2312"/>
          <w:color w:val="auto"/>
          <w:sz w:val="30"/>
          <w:szCs w:val="30"/>
        </w:rPr>
        <w:t>1</w:t>
      </w:r>
      <w:r>
        <w:rPr>
          <w:rFonts w:hint="eastAsia" w:ascii="Times New Roman" w:hAnsi="Times New Roman" w:eastAsia="仿宋_GB2312"/>
          <w:color w:val="auto"/>
          <w:sz w:val="30"/>
          <w:szCs w:val="30"/>
        </w:rPr>
        <w:t>8</w:t>
      </w:r>
    </w:p>
    <w:p w14:paraId="0053FB49">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开标一览表-汇总报价</w:t>
      </w:r>
    </w:p>
    <w:p w14:paraId="57201164">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（按各标项技术需求汇总清单进行明细报价）</w:t>
      </w:r>
    </w:p>
    <w:p w14:paraId="0D9DBE9E">
      <w:pPr>
        <w:snapToGrid w:val="0"/>
        <w:spacing w:line="440" w:lineRule="exact"/>
        <w:jc w:val="center"/>
        <w:rPr>
          <w:rFonts w:ascii="Times New Roman" w:hAnsi="Times New Roman" w:eastAsia="仿宋_GB2312"/>
          <w:b/>
          <w:color w:val="auto"/>
          <w:sz w:val="36"/>
          <w:szCs w:val="36"/>
        </w:rPr>
      </w:pPr>
    </w:p>
    <w:p w14:paraId="3FC2CF9D">
      <w:pPr>
        <w:pStyle w:val="20"/>
        <w:snapToGrid w:val="0"/>
        <w:spacing w:line="540" w:lineRule="exact"/>
        <w:ind w:left="0" w:leftChars="0" w:firstLine="600" w:firstLineChars="200"/>
        <w:jc w:val="left"/>
        <w:rPr>
          <w:rFonts w:eastAsia="仿宋_GB2312"/>
          <w:color w:val="auto"/>
          <w:sz w:val="30"/>
          <w:szCs w:val="30"/>
          <w:u w:val="single"/>
        </w:rPr>
      </w:pPr>
      <w:r>
        <w:rPr>
          <w:rFonts w:hint="eastAsia" w:eastAsia="仿宋_GB2312"/>
          <w:color w:val="auto"/>
          <w:sz w:val="30"/>
          <w:szCs w:val="30"/>
        </w:rPr>
        <w:t>项目编号：2026-SJYT-11</w:t>
      </w:r>
      <w:r>
        <w:rPr>
          <w:rFonts w:eastAsia="仿宋_GB2312"/>
          <w:color w:val="auto"/>
          <w:sz w:val="30"/>
          <w:szCs w:val="30"/>
          <w:u w:val="single"/>
        </w:rPr>
        <w:t xml:space="preserve"> </w:t>
      </w:r>
      <w:r>
        <w:rPr>
          <w:rFonts w:hint="eastAsia" w:eastAsia="仿宋_GB2312"/>
          <w:color w:val="auto"/>
          <w:sz w:val="30"/>
          <w:szCs w:val="30"/>
        </w:rPr>
        <w:t xml:space="preserve">              标项：</w:t>
      </w:r>
      <w:r>
        <w:rPr>
          <w:rFonts w:hint="eastAsia" w:eastAsia="仿宋_GB2312"/>
          <w:color w:val="auto"/>
          <w:sz w:val="30"/>
          <w:szCs w:val="30"/>
          <w:u w:val="single"/>
        </w:rPr>
        <w:t xml:space="preserve">    </w:t>
      </w:r>
    </w:p>
    <w:p w14:paraId="7E37CCF9">
      <w:pPr>
        <w:snapToGrid w:val="0"/>
        <w:spacing w:line="540" w:lineRule="exact"/>
        <w:ind w:firstLine="600" w:firstLineChars="200"/>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p>
    <w:p w14:paraId="2D4E7922">
      <w:pPr>
        <w:snapToGrid w:val="0"/>
        <w:spacing w:line="540" w:lineRule="exact"/>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　　　　　　　　　　　　　　　　　　　金额单位：人民币元</w:t>
      </w:r>
    </w:p>
    <w:tbl>
      <w:tblPr>
        <w:tblStyle w:val="37"/>
        <w:tblW w:w="9170"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532"/>
        <w:gridCol w:w="1562"/>
        <w:gridCol w:w="1115"/>
        <w:gridCol w:w="1842"/>
        <w:gridCol w:w="1350"/>
        <w:gridCol w:w="1458"/>
        <w:gridCol w:w="1311"/>
      </w:tblGrid>
      <w:tr w14:paraId="0BA262C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7" w:hRule="atLeast"/>
        </w:trPr>
        <w:tc>
          <w:tcPr>
            <w:tcW w:w="9170" w:type="dxa"/>
            <w:gridSpan w:val="7"/>
            <w:tcBorders>
              <w:top w:val="single" w:color="auto" w:sz="4" w:space="0"/>
              <w:left w:val="single" w:color="auto" w:sz="4" w:space="0"/>
              <w:bottom w:val="single" w:color="auto" w:sz="4" w:space="0"/>
              <w:right w:val="single" w:color="auto" w:sz="4" w:space="0"/>
            </w:tcBorders>
            <w:vAlign w:val="center"/>
          </w:tcPr>
          <w:p w14:paraId="0A553C5C">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货物类</w:t>
            </w:r>
          </w:p>
        </w:tc>
      </w:tr>
      <w:tr w14:paraId="69628C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954" w:hRule="atLeast"/>
        </w:trPr>
        <w:tc>
          <w:tcPr>
            <w:tcW w:w="2094" w:type="dxa"/>
            <w:gridSpan w:val="2"/>
            <w:tcBorders>
              <w:top w:val="nil"/>
              <w:left w:val="single" w:color="auto" w:sz="4" w:space="0"/>
              <w:bottom w:val="nil"/>
              <w:right w:val="single" w:color="auto" w:sz="4" w:space="0"/>
            </w:tcBorders>
            <w:vAlign w:val="center"/>
          </w:tcPr>
          <w:p w14:paraId="0F318250">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货物名称</w:t>
            </w:r>
          </w:p>
        </w:tc>
        <w:tc>
          <w:tcPr>
            <w:tcW w:w="1115" w:type="dxa"/>
            <w:tcBorders>
              <w:top w:val="single" w:color="auto" w:sz="4" w:space="0"/>
              <w:left w:val="nil"/>
              <w:bottom w:val="nil"/>
              <w:right w:val="single" w:color="auto" w:sz="4" w:space="0"/>
            </w:tcBorders>
            <w:vAlign w:val="center"/>
          </w:tcPr>
          <w:p w14:paraId="5724AE28">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品牌</w:t>
            </w:r>
          </w:p>
        </w:tc>
        <w:tc>
          <w:tcPr>
            <w:tcW w:w="1842" w:type="dxa"/>
            <w:tcBorders>
              <w:top w:val="single" w:color="auto" w:sz="4" w:space="0"/>
              <w:left w:val="nil"/>
              <w:bottom w:val="nil"/>
              <w:right w:val="single" w:color="auto" w:sz="4" w:space="0"/>
            </w:tcBorders>
            <w:vAlign w:val="center"/>
          </w:tcPr>
          <w:p w14:paraId="3BE41E75">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规格型号</w:t>
            </w:r>
          </w:p>
        </w:tc>
        <w:tc>
          <w:tcPr>
            <w:tcW w:w="1350" w:type="dxa"/>
            <w:tcBorders>
              <w:top w:val="single" w:color="auto" w:sz="4" w:space="0"/>
              <w:left w:val="nil"/>
              <w:bottom w:val="nil"/>
              <w:right w:val="single" w:color="auto" w:sz="4" w:space="0"/>
            </w:tcBorders>
            <w:vAlign w:val="center"/>
          </w:tcPr>
          <w:p w14:paraId="08ADF679">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数量</w:t>
            </w:r>
          </w:p>
        </w:tc>
        <w:tc>
          <w:tcPr>
            <w:tcW w:w="1458" w:type="dxa"/>
            <w:tcBorders>
              <w:top w:val="single" w:color="auto" w:sz="4" w:space="0"/>
              <w:left w:val="nil"/>
              <w:bottom w:val="nil"/>
              <w:right w:val="single" w:color="auto" w:sz="4" w:space="0"/>
            </w:tcBorders>
            <w:vAlign w:val="center"/>
          </w:tcPr>
          <w:p w14:paraId="40CAC29D">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单价（元）</w:t>
            </w:r>
          </w:p>
        </w:tc>
        <w:tc>
          <w:tcPr>
            <w:tcW w:w="1311" w:type="dxa"/>
            <w:tcBorders>
              <w:top w:val="single" w:color="auto" w:sz="4" w:space="0"/>
              <w:left w:val="nil"/>
              <w:bottom w:val="nil"/>
              <w:right w:val="single" w:color="auto" w:sz="4" w:space="0"/>
            </w:tcBorders>
            <w:vAlign w:val="center"/>
          </w:tcPr>
          <w:p w14:paraId="6A226E9E">
            <w:pPr>
              <w:snapToGrid w:val="0"/>
              <w:spacing w:line="400" w:lineRule="exact"/>
              <w:jc w:val="center"/>
              <w:rPr>
                <w:rFonts w:ascii="仿宋" w:hAnsi="仿宋" w:eastAsia="仿宋" w:cs="仿宋"/>
                <w:b/>
                <w:color w:val="auto"/>
                <w:szCs w:val="21"/>
              </w:rPr>
            </w:pPr>
            <w:r>
              <w:rPr>
                <w:rFonts w:hint="eastAsia" w:ascii="仿宋" w:hAnsi="仿宋" w:eastAsia="仿宋" w:cs="仿宋"/>
                <w:b/>
                <w:color w:val="auto"/>
                <w:sz w:val="24"/>
                <w:szCs w:val="24"/>
                <w:lang w:bidi="ar"/>
              </w:rPr>
              <w:t>总价（元）</w:t>
            </w:r>
          </w:p>
        </w:tc>
      </w:tr>
      <w:tr w14:paraId="02F05A0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33" w:hRule="atLeast"/>
        </w:trPr>
        <w:tc>
          <w:tcPr>
            <w:tcW w:w="2094" w:type="dxa"/>
            <w:gridSpan w:val="2"/>
            <w:tcBorders>
              <w:top w:val="single" w:color="auto" w:sz="4" w:space="0"/>
              <w:left w:val="single" w:color="auto" w:sz="4" w:space="0"/>
              <w:bottom w:val="single" w:color="auto" w:sz="4" w:space="0"/>
              <w:right w:val="single" w:color="auto" w:sz="4" w:space="0"/>
            </w:tcBorders>
            <w:vAlign w:val="center"/>
          </w:tcPr>
          <w:p w14:paraId="027EC159">
            <w:pPr>
              <w:snapToGrid w:val="0"/>
              <w:spacing w:line="400" w:lineRule="exact"/>
              <w:jc w:val="center"/>
              <w:rPr>
                <w:rFonts w:ascii="仿宋" w:hAnsi="仿宋" w:eastAsia="仿宋" w:cs="仿宋"/>
                <w:b/>
                <w:color w:val="auto"/>
                <w:sz w:val="24"/>
                <w:szCs w:val="24"/>
              </w:rPr>
            </w:pPr>
            <w:r>
              <w:rPr>
                <w:rFonts w:hint="eastAsia" w:ascii="仿宋" w:hAnsi="仿宋" w:eastAsia="仿宋" w:cs="仿宋"/>
                <w:b/>
                <w:color w:val="auto"/>
                <w:sz w:val="24"/>
                <w:szCs w:val="24"/>
                <w:lang w:bidi="ar"/>
              </w:rPr>
              <w:t>…</w:t>
            </w:r>
          </w:p>
        </w:tc>
        <w:tc>
          <w:tcPr>
            <w:tcW w:w="1115" w:type="dxa"/>
            <w:tcBorders>
              <w:top w:val="single" w:color="auto" w:sz="4" w:space="0"/>
              <w:left w:val="nil"/>
              <w:bottom w:val="single" w:color="auto" w:sz="4" w:space="0"/>
              <w:right w:val="single" w:color="auto" w:sz="4" w:space="0"/>
            </w:tcBorders>
            <w:vAlign w:val="center"/>
          </w:tcPr>
          <w:p w14:paraId="27BB9CE6">
            <w:pPr>
              <w:snapToGrid w:val="0"/>
              <w:spacing w:line="400" w:lineRule="exact"/>
              <w:jc w:val="center"/>
              <w:rPr>
                <w:rFonts w:ascii="仿宋" w:hAnsi="仿宋" w:eastAsia="仿宋" w:cs="仿宋"/>
                <w:b/>
                <w:color w:val="auto"/>
                <w:sz w:val="24"/>
                <w:szCs w:val="24"/>
              </w:rPr>
            </w:pPr>
          </w:p>
        </w:tc>
        <w:tc>
          <w:tcPr>
            <w:tcW w:w="1842" w:type="dxa"/>
            <w:tcBorders>
              <w:top w:val="single" w:color="auto" w:sz="4" w:space="0"/>
              <w:left w:val="nil"/>
              <w:bottom w:val="single" w:color="auto" w:sz="4" w:space="0"/>
              <w:right w:val="single" w:color="auto" w:sz="4" w:space="0"/>
            </w:tcBorders>
            <w:vAlign w:val="center"/>
          </w:tcPr>
          <w:p w14:paraId="16083873">
            <w:pPr>
              <w:snapToGrid w:val="0"/>
              <w:spacing w:line="400" w:lineRule="exact"/>
              <w:jc w:val="center"/>
              <w:rPr>
                <w:rFonts w:ascii="仿宋" w:hAnsi="仿宋" w:eastAsia="仿宋" w:cs="仿宋"/>
                <w:b/>
                <w:color w:val="auto"/>
                <w:sz w:val="24"/>
                <w:szCs w:val="24"/>
              </w:rPr>
            </w:pPr>
          </w:p>
        </w:tc>
        <w:tc>
          <w:tcPr>
            <w:tcW w:w="1350" w:type="dxa"/>
            <w:tcBorders>
              <w:top w:val="single" w:color="auto" w:sz="4" w:space="0"/>
              <w:left w:val="nil"/>
              <w:bottom w:val="single" w:color="auto" w:sz="4" w:space="0"/>
              <w:right w:val="single" w:color="auto" w:sz="4" w:space="0"/>
            </w:tcBorders>
            <w:vAlign w:val="center"/>
          </w:tcPr>
          <w:p w14:paraId="072943D5">
            <w:pPr>
              <w:snapToGrid w:val="0"/>
              <w:spacing w:line="400" w:lineRule="exact"/>
              <w:jc w:val="center"/>
              <w:rPr>
                <w:rFonts w:ascii="仿宋" w:hAnsi="仿宋" w:eastAsia="仿宋" w:cs="仿宋"/>
                <w:b/>
                <w:color w:val="auto"/>
                <w:sz w:val="24"/>
                <w:szCs w:val="24"/>
              </w:rPr>
            </w:pPr>
          </w:p>
        </w:tc>
        <w:tc>
          <w:tcPr>
            <w:tcW w:w="1458" w:type="dxa"/>
            <w:tcBorders>
              <w:top w:val="single" w:color="auto" w:sz="4" w:space="0"/>
              <w:left w:val="nil"/>
              <w:bottom w:val="single" w:color="auto" w:sz="4" w:space="0"/>
              <w:right w:val="single" w:color="auto" w:sz="4" w:space="0"/>
            </w:tcBorders>
            <w:vAlign w:val="center"/>
          </w:tcPr>
          <w:p w14:paraId="58A8E6D6">
            <w:pPr>
              <w:snapToGrid w:val="0"/>
              <w:spacing w:line="400" w:lineRule="exact"/>
              <w:jc w:val="center"/>
              <w:rPr>
                <w:rFonts w:ascii="仿宋" w:hAnsi="仿宋" w:eastAsia="仿宋" w:cs="仿宋"/>
                <w:b/>
                <w:color w:val="auto"/>
                <w:sz w:val="24"/>
                <w:szCs w:val="24"/>
              </w:rPr>
            </w:pPr>
          </w:p>
        </w:tc>
        <w:tc>
          <w:tcPr>
            <w:tcW w:w="1311" w:type="dxa"/>
            <w:tcBorders>
              <w:top w:val="single" w:color="auto" w:sz="4" w:space="0"/>
              <w:left w:val="nil"/>
              <w:bottom w:val="single" w:color="auto" w:sz="4" w:space="0"/>
              <w:right w:val="single" w:color="auto" w:sz="4" w:space="0"/>
            </w:tcBorders>
            <w:vAlign w:val="center"/>
          </w:tcPr>
          <w:p w14:paraId="43728FA6">
            <w:pPr>
              <w:snapToGrid w:val="0"/>
              <w:spacing w:line="400" w:lineRule="exact"/>
              <w:jc w:val="center"/>
              <w:rPr>
                <w:rFonts w:ascii="仿宋" w:hAnsi="仿宋" w:eastAsia="仿宋" w:cs="仿宋"/>
                <w:b/>
                <w:color w:val="auto"/>
                <w:sz w:val="24"/>
                <w:szCs w:val="24"/>
              </w:rPr>
            </w:pPr>
          </w:p>
        </w:tc>
      </w:tr>
      <w:tr w14:paraId="7EF6A24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41" w:hRule="atLeast"/>
        </w:trPr>
        <w:tc>
          <w:tcPr>
            <w:tcW w:w="9170" w:type="dxa"/>
            <w:gridSpan w:val="7"/>
            <w:tcBorders>
              <w:top w:val="single" w:color="auto" w:sz="4" w:space="0"/>
              <w:left w:val="single" w:color="auto" w:sz="4" w:space="0"/>
              <w:bottom w:val="single" w:color="auto" w:sz="4" w:space="0"/>
              <w:right w:val="single" w:color="auto" w:sz="4" w:space="0"/>
            </w:tcBorders>
            <w:vAlign w:val="center"/>
          </w:tcPr>
          <w:p w14:paraId="0396C6D2">
            <w:pPr>
              <w:snapToGrid w:val="0"/>
              <w:spacing w:line="400" w:lineRule="exact"/>
              <w:rPr>
                <w:rFonts w:ascii="仿宋" w:hAnsi="仿宋" w:eastAsia="仿宋" w:cs="仿宋"/>
                <w:b/>
                <w:color w:val="auto"/>
                <w:sz w:val="24"/>
                <w:szCs w:val="24"/>
              </w:rPr>
            </w:pPr>
            <w:r>
              <w:rPr>
                <w:rFonts w:hint="eastAsia" w:ascii="仿宋" w:hAnsi="仿宋" w:eastAsia="仿宋" w:cs="仿宋"/>
                <w:b/>
                <w:color w:val="auto"/>
                <w:sz w:val="24"/>
                <w:szCs w:val="24"/>
                <w:lang w:bidi="ar"/>
              </w:rPr>
              <w:t>投标总价合计金额大写：                                小写： ￥</w:t>
            </w:r>
          </w:p>
        </w:tc>
      </w:tr>
      <w:tr w14:paraId="41B41C8F">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491" w:hRule="atLeast"/>
        </w:trPr>
        <w:tc>
          <w:tcPr>
            <w:tcW w:w="532" w:type="dxa"/>
            <w:tcBorders>
              <w:top w:val="single" w:color="auto" w:sz="4" w:space="0"/>
              <w:left w:val="single" w:color="auto" w:sz="4" w:space="0"/>
              <w:bottom w:val="single" w:color="auto" w:sz="4" w:space="0"/>
              <w:right w:val="single" w:color="auto" w:sz="4" w:space="0"/>
            </w:tcBorders>
            <w:vAlign w:val="center"/>
          </w:tcPr>
          <w:p w14:paraId="5122BEAB">
            <w:pPr>
              <w:snapToGrid w:val="0"/>
              <w:rPr>
                <w:rFonts w:ascii="仿宋" w:hAnsi="仿宋" w:eastAsia="仿宋" w:cs="仿宋"/>
                <w:color w:val="auto"/>
                <w:sz w:val="24"/>
                <w:szCs w:val="24"/>
              </w:rPr>
            </w:pPr>
            <w:r>
              <w:rPr>
                <w:rFonts w:hint="eastAsia" w:ascii="仿宋" w:hAnsi="仿宋" w:eastAsia="仿宋" w:cs="仿宋"/>
                <w:color w:val="auto"/>
                <w:sz w:val="24"/>
                <w:szCs w:val="24"/>
                <w:lang w:bidi="ar"/>
              </w:rPr>
              <w:t>备注</w:t>
            </w:r>
          </w:p>
        </w:tc>
        <w:tc>
          <w:tcPr>
            <w:tcW w:w="8638" w:type="dxa"/>
            <w:gridSpan w:val="6"/>
            <w:tcBorders>
              <w:top w:val="single" w:color="auto" w:sz="4" w:space="0"/>
              <w:left w:val="nil"/>
              <w:bottom w:val="single" w:color="auto" w:sz="4" w:space="0"/>
              <w:right w:val="single" w:color="auto" w:sz="4" w:space="0"/>
            </w:tcBorders>
            <w:vAlign w:val="center"/>
          </w:tcPr>
          <w:p w14:paraId="7CA581A2">
            <w:pPr>
              <w:snapToGrid w:val="0"/>
              <w:jc w:val="left"/>
              <w:rPr>
                <w:rFonts w:ascii="仿宋" w:hAnsi="仿宋" w:eastAsia="仿宋" w:cs="仿宋"/>
                <w:color w:val="auto"/>
                <w:sz w:val="24"/>
                <w:szCs w:val="24"/>
              </w:rPr>
            </w:pPr>
            <w:r>
              <w:rPr>
                <w:rFonts w:hint="eastAsia" w:ascii="仿宋" w:hAnsi="仿宋" w:eastAsia="仿宋" w:cs="仿宋"/>
                <w:color w:val="auto"/>
                <w:sz w:val="24"/>
                <w:szCs w:val="24"/>
                <w:lang w:bidi="ar"/>
              </w:rPr>
              <w:t>1.此表应按项目</w:t>
            </w:r>
            <w:r>
              <w:rPr>
                <w:rFonts w:hint="eastAsia" w:ascii="仿宋" w:hAnsi="仿宋" w:eastAsia="仿宋" w:cs="仿宋"/>
                <w:b/>
                <w:bCs/>
                <w:color w:val="auto"/>
                <w:sz w:val="24"/>
                <w:szCs w:val="24"/>
                <w:lang w:bidi="ar"/>
              </w:rPr>
              <w:t>各标项技术需求汇总清单</w:t>
            </w:r>
            <w:r>
              <w:rPr>
                <w:rFonts w:hint="eastAsia" w:ascii="仿宋" w:hAnsi="仿宋" w:eastAsia="仿宋" w:cs="仿宋"/>
                <w:color w:val="auto"/>
                <w:sz w:val="24"/>
                <w:szCs w:val="24"/>
                <w:lang w:bidi="ar"/>
              </w:rPr>
              <w:t>的明细情况列项填报,在填写时，如上表不适合本项目的实际情况，可在确保投标明细内容完整的情况下，根据上表格式自行划表填写。</w:t>
            </w:r>
          </w:p>
          <w:p w14:paraId="288321A1">
            <w:pPr>
              <w:snapToGrid w:val="0"/>
              <w:rPr>
                <w:rFonts w:ascii="仿宋" w:hAnsi="仿宋" w:eastAsia="仿宋" w:cs="仿宋"/>
                <w:color w:val="auto"/>
                <w:sz w:val="24"/>
                <w:szCs w:val="24"/>
                <w:lang w:bidi="ar"/>
              </w:rPr>
            </w:pPr>
            <w:r>
              <w:rPr>
                <w:rFonts w:hint="eastAsia" w:ascii="仿宋" w:hAnsi="仿宋" w:eastAsia="仿宋" w:cs="仿宋"/>
                <w:color w:val="auto"/>
                <w:sz w:val="24"/>
                <w:szCs w:val="24"/>
                <w:lang w:bidi="ar"/>
              </w:rPr>
              <w:t>2.报价要求：包括项目实施所需的实验室基础改造（修复）、货款和（或）服务费、标准附件、备品备件、专用工具、包装、运输、装卸、保险、货到就位以及安装、调试、培训、保修、税费等一切费用。</w:t>
            </w:r>
          </w:p>
          <w:p w14:paraId="3A8CCF5D">
            <w:pPr>
              <w:snapToGrid w:val="0"/>
              <w:rPr>
                <w:rFonts w:ascii="仿宋" w:hAnsi="仿宋" w:eastAsia="仿宋" w:cs="仿宋"/>
                <w:color w:val="auto"/>
                <w:sz w:val="24"/>
                <w:szCs w:val="24"/>
              </w:rPr>
            </w:pPr>
            <w:r>
              <w:rPr>
                <w:rFonts w:hint="eastAsia" w:ascii="仿宋" w:hAnsi="仿宋" w:eastAsia="仿宋" w:cs="仿宋"/>
                <w:color w:val="auto"/>
                <w:sz w:val="24"/>
                <w:szCs w:val="24"/>
                <w:lang w:bidi="ar"/>
              </w:rPr>
              <w:t>3.报价中不允许出现报价优惠等字样,投标总价合计金额应与明细报价汇总相等。投标总价不为零，报价明细表中部分产品、服务单价为零的，视作已包含在总价中。</w:t>
            </w:r>
          </w:p>
          <w:p w14:paraId="7C118D15">
            <w:pPr>
              <w:snapToGrid w:val="0"/>
              <w:rPr>
                <w:rFonts w:ascii="仿宋" w:hAnsi="仿宋" w:eastAsia="仿宋" w:cs="仿宋"/>
                <w:b/>
                <w:color w:val="auto"/>
                <w:sz w:val="24"/>
                <w:szCs w:val="24"/>
              </w:rPr>
            </w:pPr>
            <w:r>
              <w:rPr>
                <w:rFonts w:hint="eastAsia" w:ascii="仿宋" w:hAnsi="仿宋" w:eastAsia="仿宋" w:cs="仿宋"/>
                <w:color w:val="auto"/>
                <w:sz w:val="24"/>
                <w:szCs w:val="24"/>
                <w:lang w:bidi="ar"/>
              </w:rPr>
              <w:t>4</w:t>
            </w:r>
            <w:r>
              <w:rPr>
                <w:rFonts w:hint="eastAsia" w:ascii="仿宋" w:hAnsi="仿宋" w:eastAsia="仿宋" w:cs="仿宋"/>
                <w:b/>
                <w:color w:val="auto"/>
                <w:sz w:val="24"/>
                <w:szCs w:val="24"/>
                <w:lang w:bidi="ar"/>
              </w:rPr>
              <w:t>.开标时，招标方在电子交易平台公开投标人的报价信息，投标人对报价信息进行确认。投标人对报价信息不予确认的不影响后续评标过程。</w:t>
            </w:r>
          </w:p>
          <w:p w14:paraId="7D7DB468">
            <w:pPr>
              <w:snapToGrid w:val="0"/>
              <w:rPr>
                <w:rFonts w:ascii="仿宋" w:hAnsi="仿宋" w:eastAsia="仿宋" w:cs="仿宋"/>
                <w:color w:val="auto"/>
                <w:sz w:val="24"/>
                <w:szCs w:val="24"/>
              </w:rPr>
            </w:pPr>
            <w:r>
              <w:rPr>
                <w:rFonts w:hint="eastAsia" w:ascii="仿宋" w:hAnsi="仿宋" w:eastAsia="仿宋" w:cs="仿宋"/>
                <w:b/>
                <w:color w:val="auto"/>
                <w:sz w:val="24"/>
                <w:szCs w:val="24"/>
                <w:lang w:bidi="ar"/>
              </w:rPr>
              <w:t>5.报价低于项目预算50%的，应当在报价文件中详细阐述不影响产品质量或者诚信履约的具体原因。</w:t>
            </w:r>
          </w:p>
        </w:tc>
      </w:tr>
    </w:tbl>
    <w:p w14:paraId="0F68CB2D">
      <w:pPr>
        <w:pStyle w:val="10"/>
        <w:snapToGrid w:val="0"/>
        <w:spacing w:before="240"/>
        <w:ind w:firstLine="480" w:firstLineChars="200"/>
        <w:rPr>
          <w:rFonts w:ascii="Times New Roman" w:hAnsi="Times New Roman" w:eastAsia="仿宋_GB2312"/>
          <w:color w:val="auto"/>
          <w:sz w:val="30"/>
          <w:szCs w:val="30"/>
          <w:u w:val="single"/>
        </w:rPr>
      </w:pPr>
      <w:r>
        <w:rPr>
          <w:rFonts w:hint="eastAsia" w:ascii="仿宋" w:hAnsi="仿宋" w:eastAsia="仿宋" w:cs="仿宋"/>
          <w:color w:val="auto"/>
          <w:sz w:val="24"/>
          <w:szCs w:val="24"/>
          <w:lang w:bidi="ar"/>
        </w:rPr>
        <w:t xml:space="preserve"> </w:t>
      </w:r>
      <w:r>
        <w:rPr>
          <w:rFonts w:hint="eastAsia" w:ascii="Times New Roman" w:hAnsi="Times New Roman" w:eastAsia="仿宋_GB2312"/>
          <w:color w:val="auto"/>
          <w:sz w:val="30"/>
          <w:szCs w:val="30"/>
        </w:rPr>
        <w:t>授权代表签字：</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日期：</w:t>
      </w:r>
      <w:r>
        <w:rPr>
          <w:rFonts w:hint="eastAsia" w:ascii="Times New Roman" w:hAnsi="Times New Roman" w:eastAsia="仿宋_GB2312"/>
          <w:color w:val="auto"/>
          <w:sz w:val="30"/>
          <w:szCs w:val="30"/>
          <w:u w:val="single"/>
        </w:rPr>
        <w:t xml:space="preserve">   年  月   日</w:t>
      </w:r>
    </w:p>
    <w:p w14:paraId="6FD8746C">
      <w:pPr>
        <w:rPr>
          <w:color w:val="auto"/>
        </w:rPr>
      </w:pPr>
      <w:r>
        <w:rPr>
          <w:color w:val="auto"/>
        </w:rPr>
        <w:br w:type="page"/>
      </w:r>
    </w:p>
    <w:p w14:paraId="15843C54">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开标一览表-分校报价</w:t>
      </w:r>
    </w:p>
    <w:p w14:paraId="10DF5165">
      <w:pPr>
        <w:snapToGrid w:val="0"/>
        <w:spacing w:before="120" w:beforeLines="50" w:after="120" w:afterLines="50" w:line="44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（按各标项采购人参与单位进行报价）</w:t>
      </w:r>
    </w:p>
    <w:p w14:paraId="791B9A67">
      <w:pPr>
        <w:pStyle w:val="20"/>
        <w:snapToGrid w:val="0"/>
        <w:spacing w:line="540" w:lineRule="exact"/>
        <w:ind w:left="0" w:leftChars="0" w:firstLine="600" w:firstLineChars="200"/>
        <w:jc w:val="left"/>
        <w:rPr>
          <w:rFonts w:eastAsia="仿宋_GB2312"/>
          <w:color w:val="auto"/>
          <w:sz w:val="30"/>
          <w:szCs w:val="30"/>
          <w:u w:val="single"/>
        </w:rPr>
      </w:pPr>
      <w:r>
        <w:rPr>
          <w:rFonts w:hint="eastAsia" w:eastAsia="仿宋_GB2312"/>
          <w:color w:val="auto"/>
          <w:sz w:val="30"/>
          <w:szCs w:val="30"/>
        </w:rPr>
        <w:t>项目编号：2026-SJYT-11</w:t>
      </w:r>
      <w:r>
        <w:rPr>
          <w:rFonts w:eastAsia="仿宋_GB2312"/>
          <w:color w:val="auto"/>
          <w:sz w:val="30"/>
          <w:szCs w:val="30"/>
          <w:u w:val="single"/>
        </w:rPr>
        <w:t xml:space="preserve"> </w:t>
      </w:r>
      <w:r>
        <w:rPr>
          <w:rFonts w:hint="eastAsia" w:eastAsia="仿宋_GB2312"/>
          <w:color w:val="auto"/>
          <w:sz w:val="30"/>
          <w:szCs w:val="30"/>
        </w:rPr>
        <w:t xml:space="preserve">              标项：</w:t>
      </w:r>
      <w:r>
        <w:rPr>
          <w:rFonts w:hint="eastAsia" w:eastAsia="仿宋_GB2312"/>
          <w:color w:val="auto"/>
          <w:sz w:val="30"/>
          <w:szCs w:val="30"/>
          <w:u w:val="single"/>
        </w:rPr>
        <w:t xml:space="preserve">    </w:t>
      </w:r>
    </w:p>
    <w:p w14:paraId="09FFAA94">
      <w:pPr>
        <w:snapToGrid w:val="0"/>
        <w:spacing w:line="540" w:lineRule="exact"/>
        <w:ind w:firstLine="600" w:firstLineChars="200"/>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单位全称（公章）：</w:t>
      </w:r>
      <w:r>
        <w:rPr>
          <w:rFonts w:hint="eastAsia" w:ascii="Times New Roman" w:hAnsi="Times New Roman" w:eastAsia="仿宋_GB2312"/>
          <w:color w:val="auto"/>
          <w:sz w:val="30"/>
          <w:szCs w:val="30"/>
          <w:u w:val="single"/>
        </w:rPr>
        <w:t xml:space="preserve">               </w:t>
      </w:r>
    </w:p>
    <w:p w14:paraId="2E57F114">
      <w:pPr>
        <w:snapToGrid w:val="0"/>
        <w:spacing w:line="540" w:lineRule="exact"/>
        <w:jc w:val="left"/>
        <w:rPr>
          <w:rFonts w:ascii="Times New Roman" w:hAnsi="Times New Roman" w:eastAsia="仿宋_GB2312"/>
          <w:color w:val="auto"/>
          <w:sz w:val="30"/>
          <w:szCs w:val="30"/>
        </w:rPr>
      </w:pPr>
      <w:r>
        <w:rPr>
          <w:rFonts w:hint="eastAsia" w:ascii="Times New Roman" w:hAnsi="Times New Roman" w:eastAsia="仿宋_GB2312"/>
          <w:color w:val="auto"/>
          <w:sz w:val="30"/>
          <w:szCs w:val="30"/>
        </w:rPr>
        <w:t>　　　　　　　　　　　　　　　　　　　金额单位：人民币元</w:t>
      </w:r>
    </w:p>
    <w:tbl>
      <w:tblPr>
        <w:tblStyle w:val="37"/>
        <w:tblW w:w="8519" w:type="dxa"/>
        <w:jc w:val="center"/>
        <w:tblLayout w:type="fixed"/>
        <w:tblCellMar>
          <w:top w:w="0" w:type="dxa"/>
          <w:left w:w="108" w:type="dxa"/>
          <w:bottom w:w="0" w:type="dxa"/>
          <w:right w:w="108" w:type="dxa"/>
        </w:tblCellMar>
      </w:tblPr>
      <w:tblGrid>
        <w:gridCol w:w="1183"/>
        <w:gridCol w:w="3502"/>
        <w:gridCol w:w="1777"/>
        <w:gridCol w:w="2057"/>
      </w:tblGrid>
      <w:tr w14:paraId="110BA652">
        <w:tblPrEx>
          <w:tblCellMar>
            <w:top w:w="0" w:type="dxa"/>
            <w:left w:w="108" w:type="dxa"/>
            <w:bottom w:w="0" w:type="dxa"/>
            <w:right w:w="108" w:type="dxa"/>
          </w:tblCellMar>
        </w:tblPrEx>
        <w:trPr>
          <w:trHeight w:val="2093"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11051">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lang w:bidi="ar"/>
              </w:rPr>
              <w:t>序号</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92F6C">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lang w:bidi="ar"/>
              </w:rPr>
              <w:t>采购人</w:t>
            </w:r>
            <w:r>
              <w:rPr>
                <w:rFonts w:hint="eastAsia" w:ascii="仿宋_GB2312" w:hAnsi="仿宋_GB2312" w:eastAsia="仿宋_GB2312" w:cs="仿宋_GB2312"/>
                <w:b/>
                <w:bCs/>
                <w:color w:val="auto"/>
                <w:kern w:val="0"/>
                <w:sz w:val="24"/>
                <w:szCs w:val="24"/>
                <w:lang w:bidi="ar"/>
              </w:rPr>
              <w:br w:type="textWrapping"/>
            </w:r>
            <w:r>
              <w:rPr>
                <w:rFonts w:hint="eastAsia" w:ascii="仿宋_GB2312" w:hAnsi="仿宋_GB2312" w:eastAsia="仿宋_GB2312" w:cs="仿宋_GB2312"/>
                <w:b/>
                <w:bCs/>
                <w:color w:val="auto"/>
                <w:kern w:val="0"/>
                <w:sz w:val="24"/>
                <w:szCs w:val="24"/>
                <w:lang w:bidi="ar"/>
              </w:rPr>
              <w:t>（参与单位）</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4F2F">
            <w:pPr>
              <w:widowControl/>
              <w:jc w:val="center"/>
              <w:textAlignment w:val="center"/>
              <w:rPr>
                <w:rFonts w:ascii="仿宋_GB2312" w:hAnsi="仿宋_GB2312" w:eastAsia="仿宋_GB2312" w:cs="仿宋_GB2312"/>
                <w:b/>
                <w:bCs/>
                <w:color w:val="auto"/>
                <w:sz w:val="24"/>
                <w:szCs w:val="24"/>
              </w:rPr>
            </w:pPr>
            <w:r>
              <w:rPr>
                <w:rFonts w:hint="eastAsia" w:ascii="仿宋_GB2312" w:hAnsi="仿宋_GB2312" w:eastAsia="仿宋_GB2312" w:cs="仿宋_GB2312"/>
                <w:b/>
                <w:bCs/>
                <w:color w:val="auto"/>
                <w:kern w:val="0"/>
                <w:sz w:val="24"/>
                <w:szCs w:val="24"/>
                <w:lang w:bidi="ar"/>
              </w:rPr>
              <w:t>采购人</w:t>
            </w:r>
            <w:r>
              <w:rPr>
                <w:rFonts w:hint="eastAsia" w:ascii="仿宋_GB2312" w:hAnsi="仿宋_GB2312" w:eastAsia="仿宋_GB2312" w:cs="仿宋_GB2312"/>
                <w:b/>
                <w:bCs/>
                <w:color w:val="auto"/>
                <w:kern w:val="0"/>
                <w:sz w:val="24"/>
                <w:szCs w:val="24"/>
                <w:lang w:bidi="ar"/>
              </w:rPr>
              <w:br w:type="textWrapping"/>
            </w:r>
            <w:r>
              <w:rPr>
                <w:rFonts w:hint="eastAsia" w:ascii="仿宋_GB2312" w:hAnsi="仿宋_GB2312" w:eastAsia="仿宋_GB2312" w:cs="仿宋_GB2312"/>
                <w:b/>
                <w:bCs/>
                <w:color w:val="auto"/>
                <w:kern w:val="0"/>
                <w:sz w:val="24"/>
                <w:szCs w:val="24"/>
                <w:lang w:bidi="ar"/>
              </w:rPr>
              <w:t>（参与单位）预算</w:t>
            </w: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5F5C6">
            <w:pPr>
              <w:widowControl/>
              <w:jc w:val="center"/>
              <w:textAlignment w:val="center"/>
              <w:rPr>
                <w:rFonts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投标人报价</w:t>
            </w:r>
          </w:p>
          <w:p w14:paraId="124A9EE7">
            <w:pPr>
              <w:widowControl/>
              <w:jc w:val="center"/>
              <w:textAlignment w:val="center"/>
              <w:rPr>
                <w:rFonts w:ascii="仿宋_GB2312" w:hAnsi="仿宋_GB2312" w:eastAsia="仿宋_GB2312" w:cs="仿宋_GB2312"/>
                <w:b/>
                <w:bCs/>
                <w:color w:val="auto"/>
                <w:kern w:val="0"/>
                <w:sz w:val="24"/>
                <w:szCs w:val="24"/>
                <w:lang w:bidi="ar"/>
              </w:rPr>
            </w:pPr>
            <w:r>
              <w:rPr>
                <w:rFonts w:hint="eastAsia" w:ascii="仿宋_GB2312" w:hAnsi="仿宋_GB2312" w:eastAsia="仿宋_GB2312" w:cs="仿宋_GB2312"/>
                <w:b/>
                <w:bCs/>
                <w:color w:val="auto"/>
                <w:kern w:val="0"/>
                <w:sz w:val="24"/>
                <w:szCs w:val="24"/>
                <w:lang w:bidi="ar"/>
              </w:rPr>
              <w:t>（总价）</w:t>
            </w:r>
          </w:p>
        </w:tc>
      </w:tr>
      <w:tr w14:paraId="0D3BB8E8">
        <w:tblPrEx>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D504">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1</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9BE43">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1858">
            <w:pPr>
              <w:widowControl/>
              <w:jc w:val="center"/>
              <w:textAlignment w:val="center"/>
              <w:rPr>
                <w:rFonts w:ascii="仿宋_GB2312" w:hAnsi="仿宋_GB2312" w:eastAsia="仿宋_GB2312" w:cs="仿宋_GB2312"/>
                <w:color w:val="auto"/>
                <w:kern w:val="0"/>
                <w:sz w:val="24"/>
                <w:szCs w:val="24"/>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E2738">
            <w:pPr>
              <w:widowControl/>
              <w:jc w:val="center"/>
              <w:textAlignment w:val="center"/>
              <w:rPr>
                <w:rFonts w:ascii="仿宋_GB2312" w:hAnsi="仿宋_GB2312" w:eastAsia="仿宋_GB2312" w:cs="仿宋_GB2312"/>
                <w:color w:val="auto"/>
                <w:kern w:val="0"/>
                <w:sz w:val="24"/>
                <w:szCs w:val="24"/>
                <w:lang w:bidi="ar"/>
              </w:rPr>
            </w:pPr>
          </w:p>
        </w:tc>
      </w:tr>
      <w:tr w14:paraId="42962D00">
        <w:tblPrEx>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ABFE9">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2</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F77F6">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DF35">
            <w:pPr>
              <w:widowControl/>
              <w:jc w:val="center"/>
              <w:textAlignment w:val="center"/>
              <w:rPr>
                <w:rFonts w:ascii="仿宋_GB2312" w:hAnsi="仿宋_GB2312" w:eastAsia="仿宋_GB2312" w:cs="仿宋_GB2312"/>
                <w:color w:val="auto"/>
                <w:kern w:val="0"/>
                <w:sz w:val="24"/>
                <w:szCs w:val="24"/>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BBBB3">
            <w:pPr>
              <w:widowControl/>
              <w:jc w:val="center"/>
              <w:textAlignment w:val="center"/>
              <w:rPr>
                <w:rFonts w:ascii="仿宋_GB2312" w:hAnsi="仿宋_GB2312" w:eastAsia="仿宋_GB2312" w:cs="仿宋_GB2312"/>
                <w:color w:val="auto"/>
                <w:kern w:val="0"/>
                <w:sz w:val="24"/>
                <w:szCs w:val="24"/>
                <w:lang w:bidi="ar"/>
              </w:rPr>
            </w:pPr>
          </w:p>
        </w:tc>
      </w:tr>
      <w:tr w14:paraId="7B7088A2">
        <w:tblPrEx>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754E">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3</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B182A">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***学校（学校名称）</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9567B">
            <w:pPr>
              <w:widowControl/>
              <w:jc w:val="center"/>
              <w:textAlignment w:val="center"/>
              <w:rPr>
                <w:rFonts w:ascii="仿宋_GB2312" w:hAnsi="仿宋_GB2312" w:eastAsia="仿宋_GB2312" w:cs="仿宋_GB2312"/>
                <w:color w:val="auto"/>
                <w:kern w:val="0"/>
                <w:sz w:val="24"/>
                <w:szCs w:val="24"/>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DF36B">
            <w:pPr>
              <w:widowControl/>
              <w:jc w:val="center"/>
              <w:textAlignment w:val="center"/>
              <w:rPr>
                <w:rFonts w:ascii="仿宋_GB2312" w:hAnsi="仿宋_GB2312" w:eastAsia="仿宋_GB2312" w:cs="仿宋_GB2312"/>
                <w:color w:val="auto"/>
                <w:kern w:val="0"/>
                <w:sz w:val="24"/>
                <w:szCs w:val="24"/>
                <w:lang w:bidi="ar"/>
              </w:rPr>
            </w:pPr>
          </w:p>
        </w:tc>
      </w:tr>
      <w:tr w14:paraId="012B0632">
        <w:tblPrEx>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7FE4">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35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B63AA">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w:t>
            </w:r>
          </w:p>
        </w:tc>
        <w:tc>
          <w:tcPr>
            <w:tcW w:w="17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7BEA0">
            <w:pPr>
              <w:widowControl/>
              <w:jc w:val="center"/>
              <w:textAlignment w:val="center"/>
              <w:rPr>
                <w:rFonts w:ascii="仿宋_GB2312" w:hAnsi="仿宋_GB2312" w:eastAsia="仿宋_GB2312" w:cs="仿宋_GB2312"/>
                <w:color w:val="auto"/>
                <w:kern w:val="0"/>
                <w:sz w:val="24"/>
                <w:szCs w:val="24"/>
                <w:lang w:bidi="ar"/>
              </w:rPr>
            </w:pPr>
          </w:p>
        </w:tc>
        <w:tc>
          <w:tcPr>
            <w:tcW w:w="2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67D5">
            <w:pPr>
              <w:widowControl/>
              <w:jc w:val="center"/>
              <w:textAlignment w:val="center"/>
              <w:rPr>
                <w:rFonts w:ascii="仿宋_GB2312" w:hAnsi="仿宋_GB2312" w:eastAsia="仿宋_GB2312" w:cs="仿宋_GB2312"/>
                <w:color w:val="auto"/>
                <w:kern w:val="0"/>
                <w:sz w:val="24"/>
                <w:szCs w:val="24"/>
                <w:lang w:bidi="ar"/>
              </w:rPr>
            </w:pPr>
          </w:p>
        </w:tc>
      </w:tr>
      <w:tr w14:paraId="2BC604D6">
        <w:tblPrEx>
          <w:tblCellMar>
            <w:top w:w="0" w:type="dxa"/>
            <w:left w:w="108" w:type="dxa"/>
            <w:bottom w:w="0" w:type="dxa"/>
            <w:right w:w="108" w:type="dxa"/>
          </w:tblCellMar>
        </w:tblPrEx>
        <w:trPr>
          <w:trHeight w:val="567" w:hRule="atLeast"/>
          <w:jc w:val="center"/>
        </w:trPr>
        <w:tc>
          <w:tcPr>
            <w:tcW w:w="11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43A0">
            <w:pPr>
              <w:widowControl/>
              <w:jc w:val="center"/>
              <w:textAlignment w:val="center"/>
              <w:rPr>
                <w:rFonts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bidi="ar"/>
              </w:rPr>
              <w:t>备注</w:t>
            </w:r>
          </w:p>
        </w:tc>
        <w:tc>
          <w:tcPr>
            <w:tcW w:w="73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D7EE48">
            <w:pPr>
              <w:snapToGrid w:val="0"/>
              <w:rPr>
                <w:rFonts w:ascii="仿宋" w:hAnsi="仿宋" w:eastAsia="仿宋" w:cs="仿宋"/>
                <w:b/>
                <w:bCs/>
                <w:color w:val="auto"/>
                <w:sz w:val="24"/>
                <w:szCs w:val="24"/>
                <w:lang w:bidi="ar"/>
              </w:rPr>
            </w:pPr>
            <w:r>
              <w:rPr>
                <w:rFonts w:hint="eastAsia" w:ascii="仿宋" w:hAnsi="仿宋" w:eastAsia="仿宋" w:cs="仿宋"/>
                <w:b/>
                <w:bCs/>
                <w:color w:val="auto"/>
                <w:sz w:val="24"/>
                <w:szCs w:val="24"/>
                <w:lang w:bidi="ar"/>
              </w:rPr>
              <w:t>1.此表应按项目各标项进行填报，填写投标标项涉及的各采购人（参与单位）的投标总价。</w:t>
            </w:r>
          </w:p>
          <w:p w14:paraId="67731482">
            <w:pPr>
              <w:snapToGrid w:val="0"/>
              <w:rPr>
                <w:rFonts w:ascii="仿宋" w:hAnsi="仿宋" w:eastAsia="仿宋" w:cs="仿宋"/>
                <w:color w:val="auto"/>
                <w:sz w:val="24"/>
                <w:szCs w:val="24"/>
                <w:lang w:bidi="ar"/>
              </w:rPr>
            </w:pPr>
            <w:r>
              <w:rPr>
                <w:rFonts w:hint="eastAsia" w:ascii="仿宋" w:hAnsi="仿宋" w:eastAsia="仿宋" w:cs="仿宋"/>
                <w:color w:val="auto"/>
                <w:sz w:val="24"/>
                <w:szCs w:val="24"/>
                <w:lang w:bidi="ar"/>
              </w:rPr>
              <w:t>2.报价要求：包括项目实施所需的实验室基础改造（修复）、货款和（或）服务费、标准附件、备品备件、专用工具、包装、运输、装卸、保险、货到就位以及安装、调试、培训、保修、税费等一切费用。</w:t>
            </w:r>
          </w:p>
          <w:p w14:paraId="57C7BBC2">
            <w:pPr>
              <w:snapToGrid w:val="0"/>
              <w:rPr>
                <w:rFonts w:ascii="仿宋" w:hAnsi="仿宋" w:eastAsia="仿宋" w:cs="仿宋"/>
                <w:color w:val="auto"/>
                <w:sz w:val="24"/>
                <w:szCs w:val="24"/>
              </w:rPr>
            </w:pPr>
            <w:r>
              <w:rPr>
                <w:rFonts w:hint="eastAsia" w:ascii="仿宋" w:hAnsi="仿宋" w:eastAsia="仿宋" w:cs="仿宋"/>
                <w:color w:val="auto"/>
                <w:sz w:val="24"/>
                <w:szCs w:val="24"/>
                <w:lang w:bidi="ar"/>
              </w:rPr>
              <w:t>3.报价中不允许出现报价优惠等字样,投标总价合计金额应与明细报价汇总相等。投标总价不为零，报价明细表中部分产品、服务单价为零的，视作已包含在总价中。</w:t>
            </w:r>
          </w:p>
          <w:p w14:paraId="43E4F443">
            <w:pPr>
              <w:snapToGrid w:val="0"/>
              <w:rPr>
                <w:rFonts w:ascii="仿宋_GB2312" w:hAnsi="仿宋_GB2312" w:eastAsia="仿宋_GB2312" w:cs="仿宋_GB2312"/>
                <w:color w:val="auto"/>
                <w:kern w:val="0"/>
                <w:sz w:val="24"/>
                <w:szCs w:val="24"/>
                <w:lang w:bidi="ar"/>
              </w:rPr>
            </w:pPr>
            <w:r>
              <w:rPr>
                <w:rFonts w:hint="eastAsia" w:ascii="仿宋" w:hAnsi="仿宋" w:eastAsia="仿宋" w:cs="仿宋"/>
                <w:color w:val="auto"/>
                <w:sz w:val="24"/>
                <w:szCs w:val="24"/>
                <w:lang w:bidi="ar"/>
              </w:rPr>
              <w:t>4.开标时，招标方在电子交易平台公开投标人的报价信息，投标人对报价信息进行确认。投标人对报价信息不予确认的不影响后续评标过程。</w:t>
            </w:r>
          </w:p>
        </w:tc>
      </w:tr>
    </w:tbl>
    <w:p w14:paraId="545074F7">
      <w:pPr>
        <w:rPr>
          <w:color w:val="auto"/>
        </w:rPr>
      </w:pPr>
    </w:p>
    <w:p w14:paraId="0DAC9435">
      <w:pPr>
        <w:pStyle w:val="4"/>
        <w:pageBreakBefore/>
        <w:spacing w:before="0" w:after="0" w:line="480" w:lineRule="exact"/>
        <w:rPr>
          <w:rFonts w:ascii="Times New Roman" w:hAnsi="Times New Roman" w:eastAsia="仿宋_GB2312"/>
          <w:b w:val="0"/>
          <w:bCs w:val="0"/>
          <w:color w:val="auto"/>
          <w:sz w:val="30"/>
          <w:szCs w:val="30"/>
        </w:rPr>
      </w:pPr>
      <w:r>
        <w:rPr>
          <w:rFonts w:hint="eastAsia" w:ascii="Times New Roman" w:hAnsi="Times New Roman" w:eastAsia="仿宋_GB2312"/>
          <w:b w:val="0"/>
          <w:bCs w:val="0"/>
          <w:color w:val="auto"/>
          <w:sz w:val="30"/>
          <w:szCs w:val="30"/>
        </w:rPr>
        <w:t>附件</w:t>
      </w:r>
      <w:r>
        <w:rPr>
          <w:rFonts w:ascii="Times New Roman" w:hAnsi="Times New Roman" w:eastAsia="仿宋_GB2312"/>
          <w:b w:val="0"/>
          <w:bCs w:val="0"/>
          <w:color w:val="auto"/>
          <w:sz w:val="30"/>
          <w:szCs w:val="30"/>
        </w:rPr>
        <w:t>1</w:t>
      </w:r>
      <w:r>
        <w:rPr>
          <w:rFonts w:hint="eastAsia" w:ascii="Times New Roman" w:hAnsi="Times New Roman" w:eastAsia="仿宋_GB2312"/>
          <w:b w:val="0"/>
          <w:bCs w:val="0"/>
          <w:color w:val="auto"/>
          <w:sz w:val="30"/>
          <w:szCs w:val="30"/>
        </w:rPr>
        <w:t>9</w:t>
      </w:r>
    </w:p>
    <w:p w14:paraId="3E558895">
      <w:pPr>
        <w:rPr>
          <w:rFonts w:ascii="Times New Roman" w:hAnsi="Times New Roman" w:eastAsia="仿宋_GB2312"/>
          <w:color w:val="auto"/>
          <w:sz w:val="30"/>
          <w:szCs w:val="30"/>
        </w:rPr>
      </w:pPr>
    </w:p>
    <w:p w14:paraId="73487E3A">
      <w:pPr>
        <w:snapToGrid w:val="0"/>
        <w:spacing w:before="120" w:beforeLines="50" w:after="120" w:afterLines="50" w:line="440" w:lineRule="exact"/>
        <w:jc w:val="center"/>
        <w:rPr>
          <w:rFonts w:ascii="微软雅黑" w:hAnsi="Times New Roman" w:eastAsia="微软雅黑"/>
          <w:color w:val="auto"/>
          <w:sz w:val="32"/>
          <w:szCs w:val="32"/>
        </w:rPr>
      </w:pPr>
      <w:r>
        <w:rPr>
          <w:rFonts w:hint="eastAsia" w:ascii="微软雅黑" w:hAnsi="Times New Roman" w:eastAsia="微软雅黑"/>
          <w:color w:val="auto"/>
          <w:sz w:val="32"/>
          <w:szCs w:val="32"/>
        </w:rPr>
        <w:t>关于符合本国产品标准的声明函</w:t>
      </w:r>
    </w:p>
    <w:p w14:paraId="020D5D3B">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p>
    <w:p w14:paraId="4FF3EA6E">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本公司（单位）郑重声明，根据《国务院办公厅关于在政府采购中实施本国产品标准及相关政策的通知》（国办发〔2025〕34号）的规定，本公司（单位）提供的以下产品属于本国产品。具体情况如下：</w:t>
      </w:r>
    </w:p>
    <w:p w14:paraId="034436FB">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1.（产品名称1）</w:t>
      </w:r>
      <w:r>
        <w:rPr>
          <w:rFonts w:hint="eastAsia" w:ascii="Times New Roman" w:hAnsi="Times New Roman" w:eastAsia="仿宋_GB2312" w:cs="Times New Roman"/>
          <w:color w:val="auto"/>
          <w:kern w:val="2"/>
          <w:sz w:val="30"/>
          <w:szCs w:val="30"/>
          <w:vertAlign w:val="superscript"/>
        </w:rPr>
        <w:t>1</w:t>
      </w:r>
      <w:r>
        <w:rPr>
          <w:rFonts w:hint="eastAsia" w:ascii="Times New Roman" w:hAnsi="Times New Roman" w:eastAsia="仿宋_GB2312" w:cs="Times New Roman"/>
          <w:color w:val="auto"/>
          <w:kern w:val="2"/>
          <w:sz w:val="30"/>
          <w:szCs w:val="30"/>
        </w:rPr>
        <w:t>，生产厂为（厂名）</w:t>
      </w:r>
      <w:r>
        <w:rPr>
          <w:rFonts w:hint="eastAsia" w:ascii="Times New Roman" w:hAnsi="Times New Roman" w:eastAsia="仿宋_GB2312" w:cs="Times New Roman"/>
          <w:color w:val="auto"/>
          <w:kern w:val="2"/>
          <w:sz w:val="30"/>
          <w:szCs w:val="30"/>
          <w:vertAlign w:val="superscript"/>
        </w:rPr>
        <w:t>2</w:t>
      </w:r>
      <w:r>
        <w:rPr>
          <w:rFonts w:hint="eastAsia" w:ascii="Times New Roman" w:hAnsi="Times New Roman" w:eastAsia="仿宋_GB2312" w:cs="Times New Roman"/>
          <w:color w:val="auto"/>
          <w:kern w:val="2"/>
          <w:sz w:val="30"/>
          <w:szCs w:val="30"/>
        </w:rPr>
        <w:t>，厂址为（生产厂址）。（产品名称1）的中国境内生产的组件成本占比≥（规定比例）</w:t>
      </w:r>
      <w:r>
        <w:rPr>
          <w:rFonts w:hint="eastAsia" w:ascii="Times New Roman" w:hAnsi="Times New Roman" w:eastAsia="仿宋_GB2312" w:cs="Times New Roman"/>
          <w:color w:val="auto"/>
          <w:kern w:val="2"/>
          <w:sz w:val="30"/>
          <w:szCs w:val="30"/>
          <w:vertAlign w:val="superscript"/>
        </w:rPr>
        <w:t>3</w:t>
      </w:r>
      <w:r>
        <w:rPr>
          <w:rFonts w:hint="eastAsia" w:ascii="Times New Roman" w:hAnsi="Times New Roman" w:eastAsia="仿宋_GB2312" w:cs="Times New Roman"/>
          <w:color w:val="auto"/>
          <w:kern w:val="2"/>
          <w:sz w:val="30"/>
          <w:szCs w:val="30"/>
        </w:rPr>
        <w:t>。（产品名称1）的（关键组件）</w:t>
      </w:r>
      <w:r>
        <w:rPr>
          <w:rFonts w:hint="eastAsia" w:ascii="Times New Roman" w:hAnsi="Times New Roman" w:eastAsia="仿宋_GB2312" w:cs="Times New Roman"/>
          <w:color w:val="auto"/>
          <w:kern w:val="2"/>
          <w:sz w:val="30"/>
          <w:szCs w:val="30"/>
          <w:vertAlign w:val="superscript"/>
        </w:rPr>
        <w:t>4</w:t>
      </w:r>
      <w:r>
        <w:rPr>
          <w:rFonts w:hint="eastAsia" w:ascii="Times New Roman" w:hAnsi="Times New Roman" w:eastAsia="仿宋_GB2312" w:cs="Times New Roman"/>
          <w:color w:val="auto"/>
          <w:kern w:val="2"/>
          <w:sz w:val="30"/>
          <w:szCs w:val="30"/>
        </w:rPr>
        <w:t>在中国境内生产。（产品名称1）的（关键工序）</w:t>
      </w:r>
      <w:r>
        <w:rPr>
          <w:rFonts w:hint="eastAsia" w:ascii="Times New Roman" w:hAnsi="Times New Roman" w:eastAsia="仿宋_GB2312" w:cs="Times New Roman"/>
          <w:color w:val="auto"/>
          <w:kern w:val="2"/>
          <w:sz w:val="30"/>
          <w:szCs w:val="30"/>
          <w:vertAlign w:val="superscript"/>
        </w:rPr>
        <w:t>5</w:t>
      </w:r>
      <w:r>
        <w:rPr>
          <w:rFonts w:hint="eastAsia" w:ascii="Times New Roman" w:hAnsi="Times New Roman" w:eastAsia="仿宋_GB2312" w:cs="Times New Roman"/>
          <w:color w:val="auto"/>
          <w:kern w:val="2"/>
          <w:sz w:val="30"/>
          <w:szCs w:val="30"/>
        </w:rPr>
        <w:t>在中国境内完成。</w:t>
      </w:r>
    </w:p>
    <w:p w14:paraId="57D9E4E6">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2.（产品名称2），生产厂为（厂名），厂址为（生产厂址）。（产品名称2）的中国境内生产的组件成本占比≥（规定比例）。（产品名称2）的（关键组件）在中国境内生产。（产品名称2）的（关键工序）在中国境内完成。</w:t>
      </w:r>
    </w:p>
    <w:p w14:paraId="5A2C2967">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w:t>
      </w:r>
    </w:p>
    <w:p w14:paraId="4F413EB7">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本公司（单位）对上述声明内容的真实性负责。如有虚假，愿承担相应法律责任。</w:t>
      </w:r>
    </w:p>
    <w:p w14:paraId="053553EC">
      <w:pPr>
        <w:pStyle w:val="31"/>
        <w:shd w:val="clear" w:color="auto" w:fill="FFFFFF"/>
        <w:spacing w:before="30" w:beforeAutospacing="0" w:after="30" w:afterAutospacing="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 </w:t>
      </w:r>
    </w:p>
    <w:p w14:paraId="79B88F4E">
      <w:pPr>
        <w:pStyle w:val="31"/>
        <w:shd w:val="clear" w:color="auto" w:fill="FFFFFF"/>
        <w:spacing w:before="30" w:beforeAutospacing="0" w:after="30" w:afterAutospacing="0"/>
        <w:ind w:firstLine="420"/>
        <w:jc w:val="right"/>
        <w:textAlignment w:val="baseline"/>
        <w:rPr>
          <w:rFonts w:ascii="Times New Roman" w:hAnsi="Times New Roman" w:eastAsia="仿宋_GB2312" w:cs="Times New Roman"/>
          <w:color w:val="auto"/>
          <w:kern w:val="2"/>
          <w:sz w:val="30"/>
          <w:szCs w:val="30"/>
        </w:rPr>
      </w:pPr>
    </w:p>
    <w:p w14:paraId="49929ADE">
      <w:pPr>
        <w:pStyle w:val="31"/>
        <w:shd w:val="clear" w:color="auto" w:fill="FFFFFF"/>
        <w:spacing w:before="30" w:beforeAutospacing="0" w:after="30" w:afterAutospacing="0"/>
        <w:ind w:firstLine="420"/>
        <w:jc w:val="right"/>
        <w:textAlignment w:val="baseline"/>
        <w:rPr>
          <w:rFonts w:ascii="Times New Roman" w:hAnsi="Times New Roman" w:eastAsia="仿宋_GB2312" w:cs="Times New Roman"/>
          <w:color w:val="auto"/>
          <w:kern w:val="2"/>
          <w:sz w:val="30"/>
          <w:szCs w:val="30"/>
        </w:rPr>
      </w:pPr>
    </w:p>
    <w:p w14:paraId="02E7A404">
      <w:pPr>
        <w:pStyle w:val="31"/>
        <w:shd w:val="clear" w:color="auto" w:fill="FFFFFF"/>
        <w:spacing w:before="30" w:beforeAutospacing="0" w:after="30" w:afterAutospacing="0"/>
        <w:ind w:firstLine="420"/>
        <w:jc w:val="center"/>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公司（单位）名称（盖章）：　        </w:t>
      </w:r>
    </w:p>
    <w:p w14:paraId="011763CA">
      <w:pPr>
        <w:pStyle w:val="31"/>
        <w:shd w:val="clear" w:color="auto" w:fill="FFFFFF"/>
        <w:spacing w:before="30" w:beforeAutospacing="0" w:after="30" w:afterAutospacing="0"/>
        <w:ind w:firstLine="4500" w:firstLineChars="1500"/>
        <w:jc w:val="center"/>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日期：　  年　  月　 日 </w:t>
      </w:r>
    </w:p>
    <w:p w14:paraId="02E2A3CD">
      <w:pPr>
        <w:pStyle w:val="31"/>
        <w:shd w:val="clear" w:color="auto" w:fill="FFFFFF"/>
        <w:spacing w:before="30" w:beforeAutospacing="0" w:after="30" w:afterAutospacing="0"/>
        <w:ind w:firstLine="420"/>
        <w:textAlignment w:val="baseline"/>
        <w:rPr>
          <w:rFonts w:ascii="黑体" w:eastAsia="黑体" w:cs="黑体"/>
          <w:color w:val="auto"/>
          <w:sz w:val="21"/>
          <w:szCs w:val="21"/>
          <w:shd w:val="clear" w:color="auto" w:fill="FFFFFF"/>
        </w:rPr>
      </w:pPr>
    </w:p>
    <w:p w14:paraId="5AAC6D41">
      <w:pPr>
        <w:pStyle w:val="31"/>
        <w:shd w:val="clear" w:color="auto" w:fill="FFFFFF"/>
        <w:spacing w:before="30" w:beforeAutospacing="0" w:after="30" w:afterAutospacing="0"/>
        <w:textAlignment w:val="baseline"/>
        <w:rPr>
          <w:rFonts w:ascii="黑体" w:eastAsia="黑体" w:cs="黑体"/>
          <w:color w:val="auto"/>
          <w:sz w:val="21"/>
          <w:szCs w:val="21"/>
          <w:shd w:val="clear" w:color="auto" w:fill="FFFFFF"/>
        </w:rPr>
      </w:pPr>
    </w:p>
    <w:p w14:paraId="32DC740A">
      <w:pPr>
        <w:pStyle w:val="31"/>
        <w:shd w:val="clear" w:color="auto" w:fill="FFFFFF"/>
        <w:spacing w:before="30" w:beforeAutospacing="0" w:after="30" w:afterAutospacing="0"/>
        <w:textAlignment w:val="baseline"/>
        <w:rPr>
          <w:rFonts w:ascii="黑体" w:eastAsia="黑体" w:cs="黑体"/>
          <w:color w:val="auto"/>
          <w:sz w:val="21"/>
          <w:szCs w:val="21"/>
          <w:shd w:val="clear" w:color="auto" w:fill="FFFFFF"/>
        </w:rPr>
      </w:pPr>
    </w:p>
    <w:p w14:paraId="66BE8615">
      <w:pPr>
        <w:pStyle w:val="31"/>
        <w:shd w:val="clear" w:color="auto" w:fill="FFFFFF"/>
        <w:spacing w:before="30" w:beforeAutospacing="0" w:after="30" w:afterAutospacing="0"/>
        <w:textAlignment w:val="baseline"/>
        <w:rPr>
          <w:rFonts w:ascii="黑体" w:eastAsia="黑体" w:cs="黑体"/>
          <w:color w:val="auto"/>
          <w:sz w:val="21"/>
          <w:szCs w:val="21"/>
          <w:shd w:val="clear" w:color="auto" w:fill="FFFFFF"/>
        </w:rPr>
      </w:pPr>
    </w:p>
    <w:p w14:paraId="1E4E9B28">
      <w:pPr>
        <w:pStyle w:val="31"/>
        <w:shd w:val="clear" w:color="auto" w:fill="FFFFFF"/>
        <w:spacing w:before="30" w:beforeAutospacing="0" w:after="30" w:afterAutospacing="0"/>
        <w:textAlignment w:val="baseline"/>
        <w:rPr>
          <w:rFonts w:ascii="黑体" w:eastAsia="黑体" w:cs="黑体"/>
          <w:color w:val="auto"/>
          <w:sz w:val="21"/>
          <w:szCs w:val="21"/>
        </w:rPr>
      </w:pPr>
      <w:r>
        <w:rPr>
          <w:rFonts w:ascii="黑体" w:eastAsia="黑体" w:cs="黑体"/>
          <w:color w:val="auto"/>
          <w:sz w:val="21"/>
          <w:szCs w:val="21"/>
          <w:shd w:val="clear" w:color="auto" w:fill="FFFFFF"/>
        </w:rPr>
        <w:t>1.产品如有型号，请在“产品名称”栏一并填写。</w:t>
      </w:r>
    </w:p>
    <w:p w14:paraId="3452BD1F">
      <w:pPr>
        <w:pStyle w:val="31"/>
        <w:shd w:val="clear" w:color="auto" w:fill="FFFFFF"/>
        <w:spacing w:before="30" w:beforeAutospacing="0" w:after="30" w:afterAutospacing="0"/>
        <w:textAlignment w:val="baseline"/>
        <w:rPr>
          <w:rFonts w:ascii="黑体" w:eastAsia="黑体" w:cs="黑体"/>
          <w:color w:val="auto"/>
          <w:sz w:val="21"/>
          <w:szCs w:val="21"/>
        </w:rPr>
      </w:pPr>
      <w:r>
        <w:rPr>
          <w:rFonts w:ascii="黑体" w:eastAsia="黑体" w:cs="黑体"/>
          <w:color w:val="auto"/>
          <w:sz w:val="21"/>
          <w:szCs w:val="21"/>
          <w:shd w:val="clear" w:color="auto" w:fill="FFFFFF"/>
        </w:rPr>
        <w:t>2.生产厂名与厂址应与生产厂营业执照载明的相关信息保持一致。</w:t>
      </w:r>
    </w:p>
    <w:p w14:paraId="4545B5D3">
      <w:pPr>
        <w:pStyle w:val="31"/>
        <w:shd w:val="clear" w:color="auto" w:fill="FFFFFF"/>
        <w:spacing w:before="30" w:beforeAutospacing="0" w:after="30" w:afterAutospacing="0"/>
        <w:textAlignment w:val="baseline"/>
        <w:rPr>
          <w:rFonts w:ascii="黑体" w:eastAsia="黑体" w:cs="黑体"/>
          <w:color w:val="auto"/>
          <w:sz w:val="21"/>
          <w:szCs w:val="21"/>
        </w:rPr>
      </w:pPr>
      <w:r>
        <w:rPr>
          <w:rFonts w:ascii="黑体" w:eastAsia="黑体" w:cs="黑体"/>
          <w:color w:val="auto"/>
          <w:sz w:val="21"/>
          <w:szCs w:val="21"/>
          <w:shd w:val="clear" w:color="auto" w:fill="FFFFFF"/>
        </w:rPr>
        <w:t>3.该产品的中国境内生产的组件成本占比相关要求实施前，“规定比例”栏可不填，下同。</w:t>
      </w:r>
    </w:p>
    <w:p w14:paraId="4EB81062">
      <w:pPr>
        <w:pStyle w:val="31"/>
        <w:shd w:val="clear" w:color="auto" w:fill="FFFFFF"/>
        <w:spacing w:before="30" w:beforeAutospacing="0" w:after="30" w:afterAutospacing="0"/>
        <w:textAlignment w:val="baseline"/>
        <w:rPr>
          <w:rFonts w:ascii="黑体" w:eastAsia="黑体" w:cs="黑体"/>
          <w:color w:val="auto"/>
          <w:sz w:val="21"/>
          <w:szCs w:val="21"/>
        </w:rPr>
      </w:pPr>
      <w:r>
        <w:rPr>
          <w:rFonts w:ascii="黑体" w:eastAsia="黑体" w:cs="黑体"/>
          <w:color w:val="auto"/>
          <w:sz w:val="21"/>
          <w:szCs w:val="21"/>
          <w:shd w:val="clear" w:color="auto" w:fill="FFFFFF"/>
        </w:rPr>
        <w:t>4.该产品的关键组件要求实施前，“关键组件”栏可不填，下同。</w:t>
      </w:r>
    </w:p>
    <w:p w14:paraId="2495235D">
      <w:pPr>
        <w:pStyle w:val="31"/>
        <w:shd w:val="clear" w:color="auto" w:fill="FFFFFF"/>
        <w:spacing w:before="30" w:beforeAutospacing="0" w:after="30" w:afterAutospacing="0"/>
        <w:textAlignment w:val="baseline"/>
        <w:rPr>
          <w:rFonts w:ascii="黑体" w:eastAsia="黑体" w:cs="黑体"/>
          <w:color w:val="auto"/>
          <w:sz w:val="21"/>
          <w:szCs w:val="21"/>
        </w:rPr>
      </w:pPr>
      <w:r>
        <w:rPr>
          <w:rFonts w:ascii="黑体" w:eastAsia="黑体" w:cs="黑体"/>
          <w:color w:val="auto"/>
          <w:sz w:val="21"/>
          <w:szCs w:val="21"/>
          <w:shd w:val="clear" w:color="auto" w:fill="FFFFFF"/>
        </w:rPr>
        <w:t>5.该产品的关键工序要求实施前，“关键工序”栏可不填，下同。</w:t>
      </w:r>
    </w:p>
    <w:p w14:paraId="5FB52227">
      <w:pPr>
        <w:rPr>
          <w:color w:val="auto"/>
        </w:rPr>
      </w:pPr>
    </w:p>
    <w:p w14:paraId="58450670">
      <w:pPr>
        <w:pStyle w:val="4"/>
        <w:pageBreakBefore/>
        <w:spacing w:before="0" w:after="0" w:line="480" w:lineRule="exact"/>
        <w:rPr>
          <w:rFonts w:ascii="Times New Roman" w:hAnsi="Times New Roman" w:eastAsia="仿宋_GB2312"/>
          <w:b w:val="0"/>
          <w:bCs w:val="0"/>
          <w:color w:val="auto"/>
          <w:sz w:val="30"/>
          <w:szCs w:val="30"/>
        </w:rPr>
      </w:pPr>
      <w:r>
        <w:rPr>
          <w:rFonts w:hint="eastAsia" w:ascii="Times New Roman" w:hAnsi="Times New Roman" w:eastAsia="仿宋_GB2312"/>
          <w:b w:val="0"/>
          <w:bCs w:val="0"/>
          <w:color w:val="auto"/>
          <w:sz w:val="30"/>
          <w:szCs w:val="30"/>
        </w:rPr>
        <w:t>附件20</w:t>
      </w:r>
    </w:p>
    <w:p w14:paraId="3363F838">
      <w:pPr>
        <w:ind w:firstLine="1200" w:firstLineChars="400"/>
        <w:rPr>
          <w:rFonts w:ascii="仿宋" w:hAnsi="仿宋" w:eastAsia="仿宋"/>
          <w:color w:val="auto"/>
          <w:sz w:val="30"/>
          <w:szCs w:val="30"/>
        </w:rPr>
      </w:pPr>
    </w:p>
    <w:p w14:paraId="1AA13B54">
      <w:pPr>
        <w:ind w:firstLine="1280" w:firstLineChars="400"/>
        <w:rPr>
          <w:rFonts w:ascii="微软雅黑" w:hAnsi="Times New Roman" w:eastAsia="微软雅黑"/>
          <w:color w:val="auto"/>
          <w:sz w:val="32"/>
          <w:szCs w:val="32"/>
        </w:rPr>
      </w:pPr>
      <w:r>
        <w:rPr>
          <w:rFonts w:hint="eastAsia" w:ascii="微软雅黑" w:hAnsi="Times New Roman" w:eastAsia="微软雅黑"/>
          <w:color w:val="auto"/>
          <w:sz w:val="32"/>
          <w:szCs w:val="32"/>
        </w:rPr>
        <w:t>关于符合本国产品标准的成本占比的承诺函</w:t>
      </w:r>
    </w:p>
    <w:p w14:paraId="7659B0F4">
      <w:pPr>
        <w:pStyle w:val="31"/>
        <w:shd w:val="clear" w:color="auto" w:fill="FFFFFF"/>
        <w:spacing w:before="30" w:beforeAutospacing="0" w:after="30" w:afterAutospacing="0" w:line="600" w:lineRule="exact"/>
        <w:ind w:firstLine="420"/>
        <w:rPr>
          <w:color w:val="auto"/>
        </w:rPr>
      </w:pPr>
    </w:p>
    <w:p w14:paraId="5B771888">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本公司（单位）郑重声明，根据《国务院办公厅关于在政府采购中实施本国产品标准及相关政策的通知》（国办发〔2025〕34号）的规定，本公司（单位）提供的产品符合本国产品标准的成本占比。具体情况如下：</w:t>
      </w:r>
    </w:p>
    <w:p w14:paraId="336B8653">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      项目名称      ）标项（   ），提供的符合本国产品标准的产品成本之和占提供的全部产品成本之和的比例≥80%。</w:t>
      </w:r>
    </w:p>
    <w:p w14:paraId="5D19474A">
      <w:pPr>
        <w:pStyle w:val="31"/>
        <w:shd w:val="clear" w:color="auto" w:fill="FFFFFF"/>
        <w:spacing w:before="30" w:beforeAutospacing="0" w:after="30" w:afterAutospacing="0"/>
        <w:ind w:firstLine="420"/>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本公司（单位）对上述声明内容的真实性负责。如有虚假，愿承担相应法律责任。</w:t>
      </w:r>
    </w:p>
    <w:p w14:paraId="6BF6D546">
      <w:pPr>
        <w:pStyle w:val="31"/>
        <w:shd w:val="clear" w:color="auto" w:fill="FFFFFF"/>
        <w:spacing w:before="30" w:beforeAutospacing="0" w:after="30" w:afterAutospacing="0" w:line="600" w:lineRule="exact"/>
        <w:rPr>
          <w:rFonts w:ascii="仿宋" w:hAnsi="仿宋" w:eastAsia="仿宋" w:cs="仿宋"/>
          <w:color w:val="auto"/>
          <w:sz w:val="28"/>
          <w:szCs w:val="28"/>
        </w:rPr>
      </w:pPr>
    </w:p>
    <w:p w14:paraId="1626C4F3">
      <w:pPr>
        <w:pStyle w:val="31"/>
        <w:shd w:val="clear" w:color="auto" w:fill="FFFFFF"/>
        <w:spacing w:before="30" w:beforeAutospacing="0" w:after="30" w:afterAutospacing="0"/>
        <w:ind w:firstLine="420"/>
        <w:jc w:val="center"/>
        <w:textAlignment w:val="baseline"/>
        <w:rPr>
          <w:rFonts w:ascii="Times New Roman" w:hAnsi="Times New Roman" w:eastAsia="仿宋_GB2312" w:cs="Times New Roman"/>
          <w:color w:val="auto"/>
          <w:kern w:val="2"/>
          <w:sz w:val="30"/>
          <w:szCs w:val="30"/>
        </w:rPr>
      </w:pPr>
    </w:p>
    <w:p w14:paraId="15190EF1">
      <w:pPr>
        <w:pStyle w:val="31"/>
        <w:shd w:val="clear" w:color="auto" w:fill="FFFFFF"/>
        <w:spacing w:before="30" w:beforeAutospacing="0" w:after="30" w:afterAutospacing="0"/>
        <w:ind w:firstLine="420"/>
        <w:jc w:val="center"/>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公司（单位）名称（盖章）：</w:t>
      </w:r>
    </w:p>
    <w:p w14:paraId="6BE52F0C">
      <w:pPr>
        <w:pStyle w:val="31"/>
        <w:shd w:val="clear" w:color="auto" w:fill="FFFFFF"/>
        <w:spacing w:before="30" w:beforeAutospacing="0" w:after="30" w:afterAutospacing="0"/>
        <w:ind w:firstLine="420"/>
        <w:jc w:val="center"/>
        <w:textAlignment w:val="baseline"/>
        <w:rPr>
          <w:rFonts w:ascii="Times New Roman" w:hAnsi="Times New Roman" w:eastAsia="仿宋_GB2312" w:cs="Times New Roman"/>
          <w:color w:val="auto"/>
          <w:kern w:val="2"/>
          <w:sz w:val="30"/>
          <w:szCs w:val="30"/>
        </w:rPr>
      </w:pPr>
      <w:r>
        <w:rPr>
          <w:rFonts w:hint="eastAsia" w:ascii="Times New Roman" w:hAnsi="Times New Roman" w:eastAsia="仿宋_GB2312" w:cs="Times New Roman"/>
          <w:color w:val="auto"/>
          <w:kern w:val="2"/>
          <w:sz w:val="30"/>
          <w:szCs w:val="30"/>
        </w:rPr>
        <w:t xml:space="preserve">                              日期：    年  月  日</w:t>
      </w:r>
    </w:p>
    <w:p w14:paraId="3B880951">
      <w:pPr>
        <w:rPr>
          <w:color w:val="auto"/>
        </w:rPr>
      </w:pPr>
    </w:p>
    <w:p w14:paraId="1B730C44">
      <w:pPr>
        <w:pStyle w:val="5"/>
        <w:rPr>
          <w:color w:val="auto"/>
        </w:rPr>
      </w:pPr>
    </w:p>
    <w:p w14:paraId="60FBF054">
      <w:pPr>
        <w:rPr>
          <w:rFonts w:ascii="Times New Roman" w:hAnsi="Times New Roman" w:eastAsia="仿宋_GB2312"/>
          <w:color w:val="auto"/>
          <w:sz w:val="30"/>
          <w:szCs w:val="30"/>
        </w:rPr>
      </w:pPr>
      <w:r>
        <w:rPr>
          <w:rFonts w:hint="eastAsia" w:ascii="Times New Roman" w:hAnsi="Times New Roman" w:eastAsia="仿宋_GB2312"/>
          <w:color w:val="auto"/>
          <w:sz w:val="30"/>
          <w:szCs w:val="30"/>
        </w:rPr>
        <w:br w:type="page"/>
      </w:r>
    </w:p>
    <w:p w14:paraId="03313DE5">
      <w:pPr>
        <w:pStyle w:val="4"/>
        <w:pageBreakBefore/>
        <w:spacing w:before="0" w:after="0" w:line="480" w:lineRule="exact"/>
        <w:rPr>
          <w:rFonts w:ascii="Times New Roman" w:hAnsi="Times New Roman" w:eastAsia="仿宋_GB2312"/>
          <w:color w:val="auto"/>
          <w:sz w:val="30"/>
          <w:szCs w:val="30"/>
        </w:rPr>
      </w:pPr>
      <w:r>
        <w:rPr>
          <w:rFonts w:hint="eastAsia" w:ascii="Times New Roman" w:hAnsi="Times New Roman" w:eastAsia="仿宋_GB2312"/>
          <w:color w:val="auto"/>
          <w:sz w:val="30"/>
          <w:szCs w:val="30"/>
        </w:rPr>
        <w:t>附件21</w:t>
      </w:r>
    </w:p>
    <w:p w14:paraId="3283210B">
      <w:pPr>
        <w:snapToGrid w:val="0"/>
        <w:spacing w:before="120" w:beforeLines="50" w:after="120" w:afterLines="50" w:line="360" w:lineRule="exact"/>
        <w:jc w:val="center"/>
        <w:rPr>
          <w:rFonts w:ascii="微软雅黑" w:hAnsi="Times New Roman" w:eastAsia="微软雅黑"/>
          <w:bCs/>
          <w:color w:val="auto"/>
          <w:sz w:val="32"/>
          <w:szCs w:val="32"/>
        </w:rPr>
      </w:pPr>
      <w:r>
        <w:rPr>
          <w:rFonts w:hint="eastAsia" w:ascii="微软雅黑" w:hAnsi="Times New Roman" w:eastAsia="微软雅黑"/>
          <w:bCs/>
          <w:color w:val="auto"/>
          <w:sz w:val="32"/>
          <w:szCs w:val="32"/>
        </w:rPr>
        <w:t>政府采购活动现场确认声明书</w:t>
      </w:r>
    </w:p>
    <w:p w14:paraId="753DCFCF">
      <w:pPr>
        <w:spacing w:line="360" w:lineRule="exact"/>
        <w:rPr>
          <w:rFonts w:ascii="仿宋_GB2312" w:hAnsi="宋体" w:eastAsia="仿宋_GB2312" w:cs="宋体"/>
          <w:color w:val="auto"/>
          <w:sz w:val="28"/>
          <w:szCs w:val="28"/>
        </w:rPr>
      </w:pPr>
    </w:p>
    <w:p w14:paraId="0D3537B2">
      <w:pPr>
        <w:spacing w:line="360" w:lineRule="exact"/>
        <w:rPr>
          <w:rFonts w:ascii="仿宋_GB2312" w:hAnsi="宋体" w:eastAsia="仿宋_GB2312" w:cs="宋体"/>
          <w:color w:val="auto"/>
          <w:sz w:val="28"/>
          <w:szCs w:val="28"/>
        </w:rPr>
      </w:pPr>
      <w:r>
        <w:rPr>
          <w:rFonts w:hint="eastAsia" w:ascii="仿宋_GB2312" w:hAnsi="宋体" w:eastAsia="仿宋_GB2312" w:cs="宋体"/>
          <w:color w:val="auto"/>
          <w:sz w:val="28"/>
          <w:szCs w:val="28"/>
        </w:rPr>
        <w:t>浙江省教育技术中心：</w:t>
      </w:r>
    </w:p>
    <w:p w14:paraId="738AFDA3">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本人经由</w:t>
      </w:r>
      <w:r>
        <w:rPr>
          <w:rFonts w:hint="eastAsia" w:ascii="仿宋_GB2312" w:hAnsi="宋体" w:eastAsia="仿宋_GB2312" w:cs="宋体"/>
          <w:color w:val="auto"/>
          <w:sz w:val="28"/>
          <w:szCs w:val="28"/>
          <w:u w:val="single"/>
        </w:rPr>
        <w:t xml:space="preserve">                  （单位）</w:t>
      </w:r>
      <w:r>
        <w:rPr>
          <w:rFonts w:hint="eastAsia" w:ascii="仿宋_GB2312" w:hAnsi="宋体" w:eastAsia="仿宋_GB2312" w:cs="宋体"/>
          <w:color w:val="auto"/>
          <w:sz w:val="28"/>
          <w:szCs w:val="28"/>
        </w:rPr>
        <w:t>负责人（法人代表）</w:t>
      </w:r>
      <w:r>
        <w:rPr>
          <w:rFonts w:hint="eastAsia" w:ascii="仿宋_GB2312" w:hAnsi="宋体" w:eastAsia="仿宋_GB2312" w:cs="宋体"/>
          <w:color w:val="auto"/>
          <w:sz w:val="28"/>
          <w:szCs w:val="28"/>
          <w:u w:val="single"/>
        </w:rPr>
        <w:t xml:space="preserve">       </w:t>
      </w:r>
      <w:r>
        <w:rPr>
          <w:rFonts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u w:val="single"/>
        </w:rPr>
        <w:t>（姓名）</w:t>
      </w:r>
      <w:r>
        <w:rPr>
          <w:rFonts w:hint="eastAsia" w:ascii="仿宋_GB2312" w:hAnsi="宋体" w:eastAsia="仿宋_GB2312" w:cs="宋体"/>
          <w:color w:val="auto"/>
          <w:sz w:val="28"/>
          <w:szCs w:val="28"/>
        </w:rPr>
        <w:t>合法授权参加</w:t>
      </w:r>
      <w:r>
        <w:rPr>
          <w:rFonts w:hint="eastAsia" w:ascii="Times New Roman" w:hAnsi="Times New Roman" w:eastAsia="仿宋_GB2312"/>
          <w:b/>
          <w:bCs/>
          <w:color w:val="auto"/>
          <w:sz w:val="30"/>
          <w:szCs w:val="30"/>
          <w:u w:val="single"/>
        </w:rPr>
        <w:t xml:space="preserve"> </w:t>
      </w:r>
      <w:r>
        <w:rPr>
          <w:rFonts w:hint="eastAsia" w:eastAsia="仿宋_GB2312" w:cs="Arial"/>
          <w:b/>
          <w:bCs/>
          <w:color w:val="auto"/>
          <w:sz w:val="30"/>
          <w:szCs w:val="30"/>
        </w:rPr>
        <w:t>《浙江省中学实验仪器设备购置项目》第二批采购项目（湖州）</w:t>
      </w:r>
      <w:r>
        <w:rPr>
          <w:rFonts w:hint="eastAsia" w:ascii="Times New Roman" w:hAnsi="Times New Roman" w:eastAsia="仿宋_GB2312"/>
          <w:b/>
          <w:bCs/>
          <w:color w:val="auto"/>
          <w:sz w:val="30"/>
          <w:szCs w:val="30"/>
          <w:u w:val="single"/>
        </w:rPr>
        <w:t>（项目编号：2026-SJYT-11</w:t>
      </w:r>
      <w:r>
        <w:rPr>
          <w:rFonts w:ascii="Times New Roman" w:hAnsi="Times New Roman" w:eastAsia="仿宋_GB2312"/>
          <w:b/>
          <w:bCs/>
          <w:color w:val="auto"/>
          <w:sz w:val="30"/>
          <w:szCs w:val="30"/>
          <w:u w:val="single"/>
        </w:rPr>
        <w:t xml:space="preserve"> </w:t>
      </w:r>
      <w:r>
        <w:rPr>
          <w:rFonts w:hint="eastAsia" w:ascii="Times New Roman" w:hAnsi="Times New Roman" w:eastAsia="仿宋_GB2312"/>
          <w:b/>
          <w:bCs/>
          <w:color w:val="auto"/>
          <w:sz w:val="30"/>
          <w:szCs w:val="30"/>
          <w:u w:val="single"/>
        </w:rPr>
        <w:t>）</w:t>
      </w:r>
      <w:r>
        <w:rPr>
          <w:rFonts w:hint="eastAsia" w:ascii="Times New Roman" w:hAnsi="Times New Roman" w:eastAsia="仿宋"/>
          <w:b/>
          <w:bCs/>
          <w:snapToGrid w:val="0"/>
          <w:color w:val="auto"/>
          <w:sz w:val="32"/>
          <w:szCs w:val="32"/>
          <w:u w:val="single"/>
        </w:rPr>
        <w:t>标项***</w:t>
      </w:r>
      <w:r>
        <w:rPr>
          <w:rFonts w:hint="eastAsia" w:ascii="仿宋_GB2312" w:hAnsi="宋体" w:eastAsia="仿宋_GB2312" w:cs="宋体"/>
          <w:color w:val="auto"/>
          <w:sz w:val="28"/>
          <w:szCs w:val="28"/>
        </w:rPr>
        <w:t>采购活动，经与本单位法人代表（负责人）联系确认，现就有关公平竞争事项郑重声明如下：</w:t>
      </w:r>
    </w:p>
    <w:p w14:paraId="5141D917">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一、本单位与采购人之间：</w:t>
      </w:r>
    </w:p>
    <w:p w14:paraId="6DEAAA3A">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□不存在利害关系；</w:t>
      </w:r>
    </w:p>
    <w:p w14:paraId="2F6E1E4E">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□存在下列利害关系：</w:t>
      </w:r>
    </w:p>
    <w:p w14:paraId="17B51FCE">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A.投资关系    B.行政隶属关系    C.业务指导关系</w:t>
      </w:r>
    </w:p>
    <w:p w14:paraId="05EC2FF5">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D.其他可能影响采购公正的利害关系（如有，请如实说明）</w:t>
      </w:r>
      <w:r>
        <w:rPr>
          <w:rFonts w:hint="eastAsia"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w:t>
      </w:r>
    </w:p>
    <w:p w14:paraId="2584DE6F">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二、现已清楚知道参加本项目采购活动的其他所有投标人名称，本单位：</w:t>
      </w:r>
    </w:p>
    <w:p w14:paraId="7F273619">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□与其他所有投标人之间均不存在利害关系；</w:t>
      </w:r>
    </w:p>
    <w:p w14:paraId="7DD64BC6">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□与</w:t>
      </w:r>
      <w:r>
        <w:rPr>
          <w:rFonts w:hint="eastAsia"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（投标人名称）之间存在下列利害关系：</w:t>
      </w:r>
    </w:p>
    <w:p w14:paraId="6AC55395">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A.法定代表人或负责人或实际控制人是同一人</w:t>
      </w:r>
    </w:p>
    <w:p w14:paraId="0228B455">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B.法定代表人或负责人或实际控制人是夫妻关系</w:t>
      </w:r>
    </w:p>
    <w:p w14:paraId="55256C56">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C.法定代表人或负责人或实际控制人是直系血亲关系</w:t>
      </w:r>
    </w:p>
    <w:p w14:paraId="7501B2C1">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D.法定代表人或负责人或实际控制人存在三代以内旁系血亲关系</w:t>
      </w:r>
    </w:p>
    <w:p w14:paraId="60B8B6EE">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E.法定代表人或负责人或实际控制人存在近姻亲关系</w:t>
      </w:r>
    </w:p>
    <w:p w14:paraId="17D8C913">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F.法定代表人或负责人或实际控制人存在股份控制或实际控制关系</w:t>
      </w:r>
    </w:p>
    <w:p w14:paraId="78553E25">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G.存在共同直接或间接投资设立子公司、联营企业和合营企业情况</w:t>
      </w:r>
    </w:p>
    <w:p w14:paraId="1E342111">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H.存在分级代理或代销关系、同一生产制造商关系、管理关系、重要业务（占主营业务收入50%以上）或重要财务往来关系（如融资）等其他实质性控制关系</w:t>
      </w:r>
    </w:p>
    <w:p w14:paraId="1AD84286">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I.其他利害关系情况</w:t>
      </w:r>
      <w:r>
        <w:rPr>
          <w:rFonts w:hint="eastAsia" w:ascii="仿宋_GB2312" w:hAnsi="宋体" w:eastAsia="仿宋_GB2312" w:cs="宋体"/>
          <w:color w:val="auto"/>
          <w:sz w:val="28"/>
          <w:szCs w:val="28"/>
          <w:u w:val="single"/>
        </w:rPr>
        <w:t xml:space="preserve"> </w:t>
      </w:r>
      <w:r>
        <w:rPr>
          <w:rFonts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w:t>
      </w:r>
    </w:p>
    <w:p w14:paraId="7F26BA49">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三、现已清楚知道并严格遵守政府采购法律法规和现场纪律。</w:t>
      </w:r>
    </w:p>
    <w:p w14:paraId="0ED9746B">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四、我发现投标人</w:t>
      </w:r>
      <w:r>
        <w:rPr>
          <w:rFonts w:hint="eastAsia"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之间存在或可能存在上述第二条第</w:t>
      </w:r>
      <w:r>
        <w:rPr>
          <w:rFonts w:hint="eastAsia"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项利害关系。</w:t>
      </w:r>
    </w:p>
    <w:p w14:paraId="76187CE5">
      <w:pPr>
        <w:spacing w:line="360" w:lineRule="exact"/>
        <w:ind w:firstLine="560" w:firstLineChars="200"/>
        <w:rPr>
          <w:rFonts w:ascii="仿宋_GB2312" w:hAnsi="宋体" w:eastAsia="仿宋_GB2312" w:cs="宋体"/>
          <w:color w:val="auto"/>
          <w:sz w:val="28"/>
          <w:szCs w:val="28"/>
          <w:u w:val="single"/>
        </w:rPr>
      </w:pPr>
    </w:p>
    <w:p w14:paraId="50C0CF13">
      <w:pPr>
        <w:spacing w:line="360" w:lineRule="exact"/>
        <w:ind w:firstLine="560" w:firstLineChars="200"/>
        <w:rPr>
          <w:rFonts w:ascii="仿宋_GB2312" w:hAnsi="宋体" w:eastAsia="仿宋_GB2312" w:cs="宋体"/>
          <w:color w:val="auto"/>
          <w:sz w:val="28"/>
          <w:szCs w:val="28"/>
        </w:rPr>
      </w:pPr>
      <w:r>
        <w:rPr>
          <w:rFonts w:hint="eastAsia" w:ascii="仿宋_GB2312" w:hAnsi="宋体" w:eastAsia="仿宋_GB2312" w:cs="宋体"/>
          <w:color w:val="auto"/>
          <w:sz w:val="28"/>
          <w:szCs w:val="28"/>
        </w:rPr>
        <w:t xml:space="preserve">                                授权代表（签名）：</w:t>
      </w:r>
    </w:p>
    <w:p w14:paraId="5A99989D">
      <w:pPr>
        <w:spacing w:line="360" w:lineRule="exact"/>
        <w:ind w:firstLine="5040" w:firstLineChars="1800"/>
        <w:rPr>
          <w:rFonts w:ascii="仿宋_GB2312" w:hAnsi="宋体" w:eastAsia="仿宋_GB2312" w:cs="宋体"/>
          <w:color w:val="auto"/>
          <w:sz w:val="28"/>
          <w:szCs w:val="28"/>
        </w:rPr>
      </w:pPr>
      <w:r>
        <w:rPr>
          <w:rFonts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年</w:t>
      </w:r>
      <w:r>
        <w:rPr>
          <w:rFonts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月</w:t>
      </w:r>
      <w:r>
        <w:rPr>
          <w:rFonts w:ascii="仿宋_GB2312" w:hAnsi="宋体" w:eastAsia="仿宋_GB2312" w:cs="宋体"/>
          <w:color w:val="auto"/>
          <w:sz w:val="28"/>
          <w:szCs w:val="28"/>
          <w:u w:val="single"/>
        </w:rPr>
        <w:t xml:space="preserve">   </w:t>
      </w:r>
      <w:r>
        <w:rPr>
          <w:rFonts w:hint="eastAsia" w:ascii="仿宋_GB2312" w:hAnsi="宋体" w:eastAsia="仿宋_GB2312" w:cs="宋体"/>
          <w:color w:val="auto"/>
          <w:sz w:val="28"/>
          <w:szCs w:val="28"/>
        </w:rPr>
        <w:t>日</w:t>
      </w:r>
    </w:p>
    <w:p w14:paraId="3980636D">
      <w:pPr>
        <w:rPr>
          <w:color w:val="auto"/>
        </w:rPr>
      </w:pPr>
    </w:p>
    <w:p w14:paraId="5A0BAFF7">
      <w:pPr>
        <w:spacing w:line="360" w:lineRule="exact"/>
        <w:ind w:firstLine="562" w:firstLineChars="200"/>
        <w:rPr>
          <w:color w:val="auto"/>
        </w:rPr>
      </w:pPr>
      <w:r>
        <w:rPr>
          <w:rFonts w:hint="eastAsia" w:ascii="仿宋_GB2312" w:hAnsi="宋体" w:eastAsia="仿宋_GB2312" w:cs="宋体"/>
          <w:b/>
          <w:bCs/>
          <w:color w:val="auto"/>
          <w:sz w:val="28"/>
          <w:szCs w:val="28"/>
        </w:rPr>
        <w:t>备注：投标人须在投标文件解密后，通过电子邮件形式，向邮箱地址（</w:t>
      </w:r>
      <w:r>
        <w:rPr>
          <w:rFonts w:ascii="仿宋_GB2312" w:hAnsi="宋体" w:eastAsia="仿宋_GB2312" w:cs="宋体"/>
          <w:b/>
          <w:bCs/>
          <w:color w:val="auto"/>
          <w:sz w:val="28"/>
          <w:szCs w:val="28"/>
        </w:rPr>
        <w:t>529131452@qq.com</w:t>
      </w:r>
      <w:r>
        <w:rPr>
          <w:rFonts w:hint="eastAsia" w:ascii="仿宋_GB2312" w:hAnsi="宋体" w:eastAsia="仿宋_GB2312" w:cs="宋体"/>
          <w:b/>
          <w:bCs/>
          <w:color w:val="auto"/>
          <w:sz w:val="28"/>
          <w:szCs w:val="28"/>
        </w:rPr>
        <w:t>）发送《政府采购活动现场确认声明书》（上表，签字盖章扫描件）。</w:t>
      </w:r>
    </w:p>
    <w:p w14:paraId="0D8313BC">
      <w:pPr>
        <w:spacing w:line="360" w:lineRule="exact"/>
        <w:ind w:firstLine="420" w:firstLineChars="200"/>
        <w:rPr>
          <w:color w:val="auto"/>
        </w:rPr>
      </w:pPr>
    </w:p>
    <w:p w14:paraId="4DB2737C">
      <w:pPr>
        <w:rPr>
          <w:color w:val="auto"/>
        </w:rPr>
      </w:pPr>
    </w:p>
    <w:p w14:paraId="110DC781">
      <w:pPr>
        <w:rPr>
          <w:color w:val="auto"/>
        </w:rPr>
      </w:pPr>
    </w:p>
    <w:p w14:paraId="284DAC6B">
      <w:pPr>
        <w:rPr>
          <w:color w:val="auto"/>
        </w:rPr>
      </w:pPr>
    </w:p>
    <w:p w14:paraId="1B6AC67A">
      <w:pPr>
        <w:rPr>
          <w:color w:val="auto"/>
        </w:rPr>
      </w:pPr>
    </w:p>
    <w:p w14:paraId="6702F81D">
      <w:pPr>
        <w:rPr>
          <w:color w:val="auto"/>
        </w:rPr>
      </w:pPr>
    </w:p>
    <w:p w14:paraId="20DB9CE9">
      <w:pPr>
        <w:rPr>
          <w:color w:val="auto"/>
        </w:rPr>
      </w:pPr>
    </w:p>
    <w:p w14:paraId="522CE8DA">
      <w:pPr>
        <w:rPr>
          <w:color w:val="auto"/>
        </w:rPr>
      </w:pPr>
    </w:p>
    <w:p w14:paraId="05B74C9E">
      <w:pPr>
        <w:rPr>
          <w:color w:val="auto"/>
        </w:rPr>
      </w:pPr>
    </w:p>
    <w:p w14:paraId="09BA2A44">
      <w:pPr>
        <w:rPr>
          <w:color w:val="auto"/>
        </w:rPr>
      </w:pPr>
    </w:p>
    <w:p w14:paraId="7B61386A">
      <w:pPr>
        <w:rPr>
          <w:color w:val="auto"/>
        </w:rPr>
      </w:pPr>
    </w:p>
    <w:sectPr>
      <w:headerReference r:id="rId6" w:type="default"/>
      <w:footerReference r:id="rId7" w:type="default"/>
      <w:footerReference r:id="rId8" w:type="even"/>
      <w:pgSz w:w="11906" w:h="16838"/>
      <w:pgMar w:top="1440" w:right="1800" w:bottom="1440" w:left="180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6F26812-90E6-4264-AA93-336DAEF6C58C}"/>
  </w:font>
  <w:font w:name="黑体">
    <w:panose1 w:val="02010609060101010101"/>
    <w:charset w:val="86"/>
    <w:family w:val="auto"/>
    <w:pitch w:val="default"/>
    <w:sig w:usb0="800002BF" w:usb1="38CF7CFA" w:usb2="00000016" w:usb3="00000000" w:csb0="00040001" w:csb1="00000000"/>
    <w:embedRegular r:id="rId2" w:fontKey="{8490A3AF-46B9-4096-9801-86E65CB598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隶书">
    <w:altName w:val="微软雅黑"/>
    <w:panose1 w:val="02010509060101010101"/>
    <w:charset w:val="86"/>
    <w:family w:val="modern"/>
    <w:pitch w:val="default"/>
    <w:sig w:usb0="00000000" w:usb1="00000000" w:usb2="00000010" w:usb3="00000000" w:csb0="00040000" w:csb1="00000000"/>
  </w:font>
  <w:font w:name="汉仪书宋二KW">
    <w:altName w:val="宋体"/>
    <w:panose1 w:val="00020600040101010101"/>
    <w:charset w:val="86"/>
    <w:family w:val="auto"/>
    <w:pitch w:val="default"/>
    <w:sig w:usb0="00000000" w:usb1="00000000" w:usb2="00000016" w:usb3="00000000" w:csb0="00040000" w:csb1="00000000"/>
  </w:font>
  <w:font w:name="楷体_GB2312">
    <w:panose1 w:val="02010609030101010101"/>
    <w:charset w:val="86"/>
    <w:family w:val="modern"/>
    <w:pitch w:val="default"/>
    <w:sig w:usb0="00000001" w:usb1="080E0000" w:usb2="00000000" w:usb3="00000000" w:csb0="00040000" w:csb1="00000000"/>
    <w:embedRegular r:id="rId3" w:fontKey="{45C6DB8E-BFF2-4C42-82D8-F2559D08C01F}"/>
  </w:font>
  <w:font w:name="仿宋_GB2312">
    <w:panose1 w:val="02010609030101010101"/>
    <w:charset w:val="86"/>
    <w:family w:val="modern"/>
    <w:pitch w:val="default"/>
    <w:sig w:usb0="00000001" w:usb1="080E0000" w:usb2="00000000" w:usb3="00000000" w:csb0="00040000" w:csb1="00000000"/>
    <w:embedRegular r:id="rId4" w:fontKey="{78D72A87-FAB6-4ADE-8E85-663365156A63}"/>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BEFE50CC-35C9-47FC-986B-CB039786583A}"/>
  </w:font>
  <w:font w:name="仿宋">
    <w:panose1 w:val="02010609060101010101"/>
    <w:charset w:val="86"/>
    <w:family w:val="modern"/>
    <w:pitch w:val="default"/>
    <w:sig w:usb0="800002BF" w:usb1="38CF7CFA" w:usb2="00000016" w:usb3="00000000" w:csb0="00040001" w:csb1="00000000"/>
    <w:embedRegular r:id="rId6" w:fontKey="{87AFD406-A15D-4649-9873-1B7E7269DCF7}"/>
  </w:font>
  <w:font w:name="Verdana">
    <w:panose1 w:val="020B0604030504040204"/>
    <w:charset w:val="00"/>
    <w:family w:val="swiss"/>
    <w:pitch w:val="default"/>
    <w:sig w:usb0="A00006FF" w:usb1="4000205B" w:usb2="0000001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国标仿宋">
    <w:altName w:val="Times New Roman"/>
    <w:panose1 w:val="00000000000000000000"/>
    <w:charset w:val="00"/>
    <w:family w:val="auto"/>
    <w:pitch w:val="default"/>
    <w:sig w:usb0="00000000" w:usb1="00000000" w:usb2="00000000" w:usb3="00000000" w:csb0="00000000" w:csb1="00000000"/>
    <w:embedRegular r:id="rId7" w:fontKey="{ED78CF70-ACC9-47AA-BF47-BD7D44AEE69D}"/>
  </w:font>
  <w:font w:name="楷体">
    <w:panose1 w:val="02010609060101010101"/>
    <w:charset w:val="86"/>
    <w:family w:val="modern"/>
    <w:pitch w:val="default"/>
    <w:sig w:usb0="800002BF" w:usb1="38CF7CFA" w:usb2="00000016" w:usb3="00000000" w:csb0="00040001" w:csb1="00000000"/>
    <w:embedRegular r:id="rId8" w:fontKey="{A05F426C-531C-4069-951C-397F4C03A849}"/>
  </w:font>
  <w:font w:name="方正仿宋_GB2312">
    <w:altName w:val="仿宋"/>
    <w:panose1 w:val="00000000000000000000"/>
    <w:charset w:val="86"/>
    <w:family w:val="auto"/>
    <w:pitch w:val="default"/>
    <w:sig w:usb0="00000000" w:usb1="00000000" w:usb2="00000012" w:usb3="00000000" w:csb0="00040001" w:csb1="00000000"/>
    <w:embedRegular r:id="rId9" w:fontKey="{E1EE4CCC-6004-4E03-ADC4-50D67C189A2D}"/>
  </w:font>
  <w:font w:name="汉仪仿宋KW">
    <w:altName w:val="仿宋"/>
    <w:panose1 w:val="00020600040101010101"/>
    <w:charset w:val="86"/>
    <w:family w:val="auto"/>
    <w:pitch w:val="default"/>
    <w:sig w:usb0="00000000" w:usb1="00000000"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FE727">
    <w:pPr>
      <w:pStyle w:val="23"/>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28500">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9C28500">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0382F">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5488F">
                          <w:pPr>
                            <w:pStyle w:val="2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AC5488F">
                    <w:pPr>
                      <w:pStyle w:val="23"/>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C6E36">
    <w:pPr>
      <w:pStyle w:val="23"/>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32260">
                          <w:pPr>
                            <w:pStyle w:val="23"/>
                            <w:jc w:val="right"/>
                          </w:pPr>
                          <w:r>
                            <w:t>-</w:t>
                          </w:r>
                          <w:r>
                            <w:fldChar w:fldCharType="begin"/>
                          </w:r>
                          <w:r>
                            <w:instrText xml:space="preserve">PAGE   \* MERGEFORMAT</w:instrText>
                          </w:r>
                          <w:r>
                            <w:fldChar w:fldCharType="separate"/>
                          </w:r>
                          <w:r>
                            <w:rPr>
                              <w:lang w:val="zh-CN"/>
                            </w:rPr>
                            <w:t>3</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4132260">
                    <w:pPr>
                      <w:pStyle w:val="23"/>
                      <w:jc w:val="right"/>
                    </w:pPr>
                    <w:r>
                      <w:t>-</w:t>
                    </w:r>
                    <w:r>
                      <w:fldChar w:fldCharType="begin"/>
                    </w:r>
                    <w:r>
                      <w:instrText xml:space="preserve">PAGE   \* MERGEFORMAT</w:instrText>
                    </w:r>
                    <w:r>
                      <w:fldChar w:fldCharType="separate"/>
                    </w:r>
                    <w:r>
                      <w:rPr>
                        <w:lang w:val="zh-CN"/>
                      </w:rPr>
                      <w:t>3</w:t>
                    </w:r>
                    <w:r>
                      <w:fldChar w:fldCharType="end"/>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F9B16">
    <w:pPr>
      <w:pStyle w:val="2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3B00F">
                          <w:pPr>
                            <w:pStyle w:val="23"/>
                          </w:pPr>
                          <w:r>
                            <w:t>-</w:t>
                          </w:r>
                          <w:r>
                            <w:fldChar w:fldCharType="begin"/>
                          </w:r>
                          <w:r>
                            <w:instrText xml:space="preserve">PAGE   \* MERGEFORMAT</w:instrText>
                          </w:r>
                          <w:r>
                            <w:fldChar w:fldCharType="separate"/>
                          </w:r>
                          <w:r>
                            <w:rPr>
                              <w:lang w:val="zh-CN"/>
                            </w:rPr>
                            <w:t>4</w:t>
                          </w:r>
                          <w:r>
                            <w:fldChar w:fldCharType="end"/>
                          </w:r>
                          <w: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53B00F">
                    <w:pPr>
                      <w:pStyle w:val="23"/>
                    </w:pPr>
                    <w:r>
                      <w:t>-</w:t>
                    </w:r>
                    <w:r>
                      <w:fldChar w:fldCharType="begin"/>
                    </w:r>
                    <w:r>
                      <w:instrText xml:space="preserve">PAGE   \* MERGEFORMAT</w:instrText>
                    </w:r>
                    <w:r>
                      <w:fldChar w:fldCharType="separate"/>
                    </w:r>
                    <w:r>
                      <w:rPr>
                        <w:lang w:val="zh-CN"/>
                      </w:rPr>
                      <w:t>4</w:t>
                    </w:r>
                    <w:r>
                      <w:fldChar w:fldCharType="end"/>
                    </w:r>
                    <w: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46A6A">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F9E9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3F5921"/>
    <w:multiLevelType w:val="singleLevel"/>
    <w:tmpl w:val="BE3F5921"/>
    <w:lvl w:ilvl="0" w:tentative="0">
      <w:start w:val="2"/>
      <w:numFmt w:val="chineseCounting"/>
      <w:suff w:val="nothing"/>
      <w:lvlText w:val="%1、"/>
      <w:lvlJc w:val="left"/>
      <w:rPr>
        <w:rFonts w:hint="eastAsia"/>
      </w:rPr>
    </w:lvl>
  </w:abstractNum>
  <w:abstractNum w:abstractNumId="1">
    <w:nsid w:val="CD2DA074"/>
    <w:multiLevelType w:val="singleLevel"/>
    <w:tmpl w:val="CD2DA074"/>
    <w:lvl w:ilvl="0" w:tentative="0">
      <w:start w:val="2"/>
      <w:numFmt w:val="decimal"/>
      <w:suff w:val="nothing"/>
      <w:lvlText w:val="（%1）"/>
      <w:lvlJc w:val="left"/>
    </w:lvl>
  </w:abstractNum>
  <w:abstractNum w:abstractNumId="2">
    <w:nsid w:val="D1241ADB"/>
    <w:multiLevelType w:val="singleLevel"/>
    <w:tmpl w:val="D1241ADB"/>
    <w:lvl w:ilvl="0" w:tentative="0">
      <w:start w:val="1"/>
      <w:numFmt w:val="decimal"/>
      <w:lvlText w:val="%1."/>
      <w:lvlJc w:val="left"/>
      <w:pPr>
        <w:tabs>
          <w:tab w:val="left" w:pos="312"/>
        </w:tabs>
      </w:pPr>
    </w:lvl>
  </w:abstractNum>
  <w:abstractNum w:abstractNumId="3">
    <w:nsid w:val="E1CF2AA7"/>
    <w:multiLevelType w:val="singleLevel"/>
    <w:tmpl w:val="E1CF2AA7"/>
    <w:lvl w:ilvl="0" w:tentative="0">
      <w:start w:val="1"/>
      <w:numFmt w:val="decimal"/>
      <w:lvlText w:val="%1"/>
      <w:lvlJc w:val="left"/>
      <w:pPr>
        <w:tabs>
          <w:tab w:val="left" w:pos="420"/>
        </w:tabs>
        <w:ind w:left="425" w:hanging="425"/>
      </w:pPr>
      <w:rPr>
        <w:rFonts w:hint="default"/>
      </w:rPr>
    </w:lvl>
  </w:abstractNum>
  <w:abstractNum w:abstractNumId="4">
    <w:nsid w:val="E963D9C6"/>
    <w:multiLevelType w:val="singleLevel"/>
    <w:tmpl w:val="E963D9C6"/>
    <w:lvl w:ilvl="0" w:tentative="0">
      <w:start w:val="1"/>
      <w:numFmt w:val="chineseCounting"/>
      <w:suff w:val="nothing"/>
      <w:lvlText w:val="%1、"/>
      <w:lvlJc w:val="left"/>
      <w:rPr>
        <w:rFonts w:hint="eastAsia"/>
      </w:rPr>
    </w:lvl>
  </w:abstractNum>
  <w:abstractNum w:abstractNumId="5">
    <w:nsid w:val="F00198AE"/>
    <w:multiLevelType w:val="singleLevel"/>
    <w:tmpl w:val="F00198AE"/>
    <w:lvl w:ilvl="0" w:tentative="0">
      <w:start w:val="3"/>
      <w:numFmt w:val="chineseCounting"/>
      <w:suff w:val="nothing"/>
      <w:lvlText w:val="（%1）"/>
      <w:lvlJc w:val="left"/>
      <w:rPr>
        <w:rFonts w:hint="eastAsia"/>
      </w:rPr>
    </w:lvl>
  </w:abstractNum>
  <w:abstractNum w:abstractNumId="6">
    <w:nsid w:val="00000005"/>
    <w:multiLevelType w:val="singleLevel"/>
    <w:tmpl w:val="00000005"/>
    <w:lvl w:ilvl="0" w:tentative="0">
      <w:start w:val="1"/>
      <w:numFmt w:val="decimal"/>
      <w:pStyle w:val="17"/>
      <w:lvlText w:val="%1."/>
      <w:lvlJc w:val="left"/>
      <w:pPr>
        <w:tabs>
          <w:tab w:val="left" w:pos="1200"/>
        </w:tabs>
        <w:ind w:left="1200" w:hanging="360"/>
      </w:pPr>
    </w:lvl>
  </w:abstractNum>
  <w:abstractNum w:abstractNumId="7">
    <w:nsid w:val="30641936"/>
    <w:multiLevelType w:val="multilevel"/>
    <w:tmpl w:val="30641936"/>
    <w:lvl w:ilvl="0" w:tentative="0">
      <w:start w:val="2"/>
      <w:numFmt w:val="chineseCounting"/>
      <w:suff w:val="nothing"/>
      <w:lvlText w:val="（%1）"/>
      <w:lvlJc w:val="left"/>
      <w:pPr>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3FFA8860"/>
    <w:multiLevelType w:val="singleLevel"/>
    <w:tmpl w:val="3FFA8860"/>
    <w:lvl w:ilvl="0" w:tentative="0">
      <w:start w:val="2"/>
      <w:numFmt w:val="chineseCounting"/>
      <w:suff w:val="nothing"/>
      <w:lvlText w:val="（%1）"/>
      <w:lvlJc w:val="left"/>
      <w:pPr>
        <w:ind w:left="29"/>
      </w:pPr>
      <w:rPr>
        <w:rFonts w:hint="eastAsia"/>
      </w:rPr>
    </w:lvl>
  </w:abstractNum>
  <w:abstractNum w:abstractNumId="9">
    <w:nsid w:val="589DA91C"/>
    <w:multiLevelType w:val="singleLevel"/>
    <w:tmpl w:val="589DA91C"/>
    <w:lvl w:ilvl="0" w:tentative="0">
      <w:start w:val="1"/>
      <w:numFmt w:val="decimal"/>
      <w:lvlText w:val="%1."/>
      <w:lvlJc w:val="left"/>
      <w:pPr>
        <w:tabs>
          <w:tab w:val="left" w:pos="312"/>
        </w:tabs>
      </w:pPr>
    </w:lvl>
  </w:abstractNum>
  <w:num w:numId="1">
    <w:abstractNumId w:val="6"/>
  </w:num>
  <w:num w:numId="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0"/>
  </w:num>
  <w:num w:numId="5">
    <w:abstractNumId w:val="1"/>
  </w:num>
  <w:num w:numId="6">
    <w:abstractNumId w:val="9"/>
  </w:num>
  <w:num w:numId="7">
    <w:abstractNumId w:val="4"/>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yOGM0YjNmZDRlZjU0Mjk4OGY3Zjg1NWM0ZTcwMDEifQ=="/>
    <w:docVar w:name="KSO_WPS_MARK_KEY" w:val="63791383-b0cd-4a29-aaf4-084879fa23bf"/>
  </w:docVars>
  <w:rsids>
    <w:rsidRoot w:val="00172A27"/>
    <w:rsid w:val="000001B6"/>
    <w:rsid w:val="0000074F"/>
    <w:rsid w:val="000007D5"/>
    <w:rsid w:val="00001CA9"/>
    <w:rsid w:val="000023FE"/>
    <w:rsid w:val="00003542"/>
    <w:rsid w:val="00003E23"/>
    <w:rsid w:val="0000518B"/>
    <w:rsid w:val="00006650"/>
    <w:rsid w:val="000067DB"/>
    <w:rsid w:val="00006DD9"/>
    <w:rsid w:val="000071C7"/>
    <w:rsid w:val="000076EE"/>
    <w:rsid w:val="000079B0"/>
    <w:rsid w:val="00007F3E"/>
    <w:rsid w:val="00011041"/>
    <w:rsid w:val="000134D8"/>
    <w:rsid w:val="00013D53"/>
    <w:rsid w:val="000164A1"/>
    <w:rsid w:val="00016567"/>
    <w:rsid w:val="0001700F"/>
    <w:rsid w:val="00017E06"/>
    <w:rsid w:val="00020C8C"/>
    <w:rsid w:val="000222E9"/>
    <w:rsid w:val="000223A5"/>
    <w:rsid w:val="00022577"/>
    <w:rsid w:val="0002284D"/>
    <w:rsid w:val="00022C8F"/>
    <w:rsid w:val="0002504B"/>
    <w:rsid w:val="00025088"/>
    <w:rsid w:val="000254D2"/>
    <w:rsid w:val="000254F2"/>
    <w:rsid w:val="0002644C"/>
    <w:rsid w:val="0002729D"/>
    <w:rsid w:val="00027552"/>
    <w:rsid w:val="000279C2"/>
    <w:rsid w:val="00027D20"/>
    <w:rsid w:val="00027EE3"/>
    <w:rsid w:val="000307C9"/>
    <w:rsid w:val="00030921"/>
    <w:rsid w:val="00031DC6"/>
    <w:rsid w:val="000322A9"/>
    <w:rsid w:val="00032AAF"/>
    <w:rsid w:val="0003334E"/>
    <w:rsid w:val="00033FC1"/>
    <w:rsid w:val="000340FF"/>
    <w:rsid w:val="00035535"/>
    <w:rsid w:val="00036B90"/>
    <w:rsid w:val="00036CA4"/>
    <w:rsid w:val="0003739F"/>
    <w:rsid w:val="000403B9"/>
    <w:rsid w:val="000406FE"/>
    <w:rsid w:val="00040CE6"/>
    <w:rsid w:val="00040D3B"/>
    <w:rsid w:val="00042154"/>
    <w:rsid w:val="00042591"/>
    <w:rsid w:val="00042BDA"/>
    <w:rsid w:val="000435A1"/>
    <w:rsid w:val="000436B1"/>
    <w:rsid w:val="000441AD"/>
    <w:rsid w:val="00044752"/>
    <w:rsid w:val="000447EA"/>
    <w:rsid w:val="00044B6D"/>
    <w:rsid w:val="0004543C"/>
    <w:rsid w:val="00045491"/>
    <w:rsid w:val="00045D4E"/>
    <w:rsid w:val="00045DAD"/>
    <w:rsid w:val="00046316"/>
    <w:rsid w:val="00046CE7"/>
    <w:rsid w:val="000474F1"/>
    <w:rsid w:val="00047658"/>
    <w:rsid w:val="00050EC7"/>
    <w:rsid w:val="00051623"/>
    <w:rsid w:val="00051859"/>
    <w:rsid w:val="00052D61"/>
    <w:rsid w:val="00053338"/>
    <w:rsid w:val="00054078"/>
    <w:rsid w:val="000545A7"/>
    <w:rsid w:val="00054DB0"/>
    <w:rsid w:val="00055951"/>
    <w:rsid w:val="00055A71"/>
    <w:rsid w:val="0005642E"/>
    <w:rsid w:val="000575C0"/>
    <w:rsid w:val="00061191"/>
    <w:rsid w:val="000617FD"/>
    <w:rsid w:val="00061A3A"/>
    <w:rsid w:val="00063982"/>
    <w:rsid w:val="00063EF3"/>
    <w:rsid w:val="000643D1"/>
    <w:rsid w:val="000646E8"/>
    <w:rsid w:val="000670B8"/>
    <w:rsid w:val="00067477"/>
    <w:rsid w:val="00067AF1"/>
    <w:rsid w:val="00067DEE"/>
    <w:rsid w:val="000701AD"/>
    <w:rsid w:val="000701C0"/>
    <w:rsid w:val="0007042D"/>
    <w:rsid w:val="00070A77"/>
    <w:rsid w:val="00070C75"/>
    <w:rsid w:val="000718D3"/>
    <w:rsid w:val="0007368F"/>
    <w:rsid w:val="00074DB7"/>
    <w:rsid w:val="00075EEF"/>
    <w:rsid w:val="00076993"/>
    <w:rsid w:val="00076A46"/>
    <w:rsid w:val="00076ACA"/>
    <w:rsid w:val="00077508"/>
    <w:rsid w:val="00081ADD"/>
    <w:rsid w:val="00082673"/>
    <w:rsid w:val="000836CB"/>
    <w:rsid w:val="00083B54"/>
    <w:rsid w:val="00083FE0"/>
    <w:rsid w:val="00084370"/>
    <w:rsid w:val="000843C7"/>
    <w:rsid w:val="0008473B"/>
    <w:rsid w:val="000847C7"/>
    <w:rsid w:val="00084ED7"/>
    <w:rsid w:val="00084FA4"/>
    <w:rsid w:val="0008504D"/>
    <w:rsid w:val="0008515C"/>
    <w:rsid w:val="00085E5F"/>
    <w:rsid w:val="0008660D"/>
    <w:rsid w:val="000870D5"/>
    <w:rsid w:val="000877C5"/>
    <w:rsid w:val="00087A2C"/>
    <w:rsid w:val="00090251"/>
    <w:rsid w:val="00090454"/>
    <w:rsid w:val="00090EE9"/>
    <w:rsid w:val="00092A45"/>
    <w:rsid w:val="00093419"/>
    <w:rsid w:val="00093692"/>
    <w:rsid w:val="00093A79"/>
    <w:rsid w:val="0009420D"/>
    <w:rsid w:val="00094C29"/>
    <w:rsid w:val="00095F91"/>
    <w:rsid w:val="0009603D"/>
    <w:rsid w:val="00096940"/>
    <w:rsid w:val="00096A78"/>
    <w:rsid w:val="00096ACE"/>
    <w:rsid w:val="000975A6"/>
    <w:rsid w:val="00097A03"/>
    <w:rsid w:val="00097DD1"/>
    <w:rsid w:val="000A097A"/>
    <w:rsid w:val="000A18F9"/>
    <w:rsid w:val="000A1A74"/>
    <w:rsid w:val="000A1B2B"/>
    <w:rsid w:val="000A34BC"/>
    <w:rsid w:val="000A3557"/>
    <w:rsid w:val="000A3828"/>
    <w:rsid w:val="000A5FA4"/>
    <w:rsid w:val="000A6ACD"/>
    <w:rsid w:val="000A6B9E"/>
    <w:rsid w:val="000A7279"/>
    <w:rsid w:val="000B0337"/>
    <w:rsid w:val="000B0390"/>
    <w:rsid w:val="000B0750"/>
    <w:rsid w:val="000B1043"/>
    <w:rsid w:val="000B1D8B"/>
    <w:rsid w:val="000B2751"/>
    <w:rsid w:val="000B27DB"/>
    <w:rsid w:val="000B2E07"/>
    <w:rsid w:val="000B30F8"/>
    <w:rsid w:val="000B31A1"/>
    <w:rsid w:val="000B31B0"/>
    <w:rsid w:val="000B3705"/>
    <w:rsid w:val="000B3892"/>
    <w:rsid w:val="000B4DE7"/>
    <w:rsid w:val="000B53B9"/>
    <w:rsid w:val="000B5992"/>
    <w:rsid w:val="000B62A7"/>
    <w:rsid w:val="000B7A7A"/>
    <w:rsid w:val="000B7D77"/>
    <w:rsid w:val="000C00B3"/>
    <w:rsid w:val="000C0611"/>
    <w:rsid w:val="000C1657"/>
    <w:rsid w:val="000C1ADA"/>
    <w:rsid w:val="000C1C0C"/>
    <w:rsid w:val="000C2579"/>
    <w:rsid w:val="000C25BB"/>
    <w:rsid w:val="000C39C6"/>
    <w:rsid w:val="000C3EA7"/>
    <w:rsid w:val="000C4BCA"/>
    <w:rsid w:val="000C4CF1"/>
    <w:rsid w:val="000C72B5"/>
    <w:rsid w:val="000C7C62"/>
    <w:rsid w:val="000D1201"/>
    <w:rsid w:val="000D1246"/>
    <w:rsid w:val="000D158D"/>
    <w:rsid w:val="000D1C41"/>
    <w:rsid w:val="000D240A"/>
    <w:rsid w:val="000D2417"/>
    <w:rsid w:val="000D280F"/>
    <w:rsid w:val="000D2921"/>
    <w:rsid w:val="000D3EF2"/>
    <w:rsid w:val="000D3FD3"/>
    <w:rsid w:val="000D4529"/>
    <w:rsid w:val="000D49E1"/>
    <w:rsid w:val="000D56F1"/>
    <w:rsid w:val="000D5D4A"/>
    <w:rsid w:val="000D6512"/>
    <w:rsid w:val="000D6A44"/>
    <w:rsid w:val="000D6BFA"/>
    <w:rsid w:val="000D7725"/>
    <w:rsid w:val="000E02A9"/>
    <w:rsid w:val="000E06EB"/>
    <w:rsid w:val="000E102A"/>
    <w:rsid w:val="000E1349"/>
    <w:rsid w:val="000E14A1"/>
    <w:rsid w:val="000E3054"/>
    <w:rsid w:val="000E45F0"/>
    <w:rsid w:val="000E4615"/>
    <w:rsid w:val="000E4E4F"/>
    <w:rsid w:val="000E5DC6"/>
    <w:rsid w:val="000E644C"/>
    <w:rsid w:val="000E672A"/>
    <w:rsid w:val="000E69A2"/>
    <w:rsid w:val="000E72EE"/>
    <w:rsid w:val="000E7B0B"/>
    <w:rsid w:val="000E7C8A"/>
    <w:rsid w:val="000F0789"/>
    <w:rsid w:val="000F09E5"/>
    <w:rsid w:val="000F11FC"/>
    <w:rsid w:val="000F1B63"/>
    <w:rsid w:val="000F221F"/>
    <w:rsid w:val="000F4014"/>
    <w:rsid w:val="000F465A"/>
    <w:rsid w:val="000F51E1"/>
    <w:rsid w:val="000F5AD1"/>
    <w:rsid w:val="000F608D"/>
    <w:rsid w:val="000F6764"/>
    <w:rsid w:val="000F6793"/>
    <w:rsid w:val="001014FC"/>
    <w:rsid w:val="0010226C"/>
    <w:rsid w:val="00102A20"/>
    <w:rsid w:val="00102B9E"/>
    <w:rsid w:val="00102EC1"/>
    <w:rsid w:val="00103620"/>
    <w:rsid w:val="0010378E"/>
    <w:rsid w:val="00103BCE"/>
    <w:rsid w:val="00103C33"/>
    <w:rsid w:val="0010536B"/>
    <w:rsid w:val="0010761D"/>
    <w:rsid w:val="00107CEF"/>
    <w:rsid w:val="001106F8"/>
    <w:rsid w:val="00110B26"/>
    <w:rsid w:val="00111477"/>
    <w:rsid w:val="00112C3A"/>
    <w:rsid w:val="00112F68"/>
    <w:rsid w:val="00113477"/>
    <w:rsid w:val="001135E2"/>
    <w:rsid w:val="0011378E"/>
    <w:rsid w:val="00113981"/>
    <w:rsid w:val="00113A40"/>
    <w:rsid w:val="00113BA9"/>
    <w:rsid w:val="00114A91"/>
    <w:rsid w:val="00114F51"/>
    <w:rsid w:val="00115E6F"/>
    <w:rsid w:val="00116B80"/>
    <w:rsid w:val="001200A4"/>
    <w:rsid w:val="001200AC"/>
    <w:rsid w:val="001210E0"/>
    <w:rsid w:val="001216A7"/>
    <w:rsid w:val="001220DC"/>
    <w:rsid w:val="001234BC"/>
    <w:rsid w:val="0012362E"/>
    <w:rsid w:val="00123C98"/>
    <w:rsid w:val="001242C2"/>
    <w:rsid w:val="00124BF3"/>
    <w:rsid w:val="00124EBD"/>
    <w:rsid w:val="001255DE"/>
    <w:rsid w:val="00126B55"/>
    <w:rsid w:val="00127442"/>
    <w:rsid w:val="001278E7"/>
    <w:rsid w:val="00127B3E"/>
    <w:rsid w:val="001326A6"/>
    <w:rsid w:val="00132E84"/>
    <w:rsid w:val="00133D4E"/>
    <w:rsid w:val="001343CB"/>
    <w:rsid w:val="001349B5"/>
    <w:rsid w:val="0013604D"/>
    <w:rsid w:val="00136363"/>
    <w:rsid w:val="001364D6"/>
    <w:rsid w:val="00136749"/>
    <w:rsid w:val="00137F7C"/>
    <w:rsid w:val="001406F6"/>
    <w:rsid w:val="00141D1F"/>
    <w:rsid w:val="00141F1D"/>
    <w:rsid w:val="00142698"/>
    <w:rsid w:val="00142EBC"/>
    <w:rsid w:val="00143436"/>
    <w:rsid w:val="001437B9"/>
    <w:rsid w:val="001437EE"/>
    <w:rsid w:val="00143998"/>
    <w:rsid w:val="00143CF0"/>
    <w:rsid w:val="00145731"/>
    <w:rsid w:val="0014601E"/>
    <w:rsid w:val="00146B50"/>
    <w:rsid w:val="00146F36"/>
    <w:rsid w:val="001473B4"/>
    <w:rsid w:val="001476CD"/>
    <w:rsid w:val="0014783C"/>
    <w:rsid w:val="00147CA5"/>
    <w:rsid w:val="00151208"/>
    <w:rsid w:val="00151268"/>
    <w:rsid w:val="001513FD"/>
    <w:rsid w:val="0015329A"/>
    <w:rsid w:val="00155A47"/>
    <w:rsid w:val="00155CCB"/>
    <w:rsid w:val="00155FA9"/>
    <w:rsid w:val="00156399"/>
    <w:rsid w:val="00157527"/>
    <w:rsid w:val="00157EE7"/>
    <w:rsid w:val="001605EB"/>
    <w:rsid w:val="001611E8"/>
    <w:rsid w:val="00161D2D"/>
    <w:rsid w:val="00162A1E"/>
    <w:rsid w:val="00164135"/>
    <w:rsid w:val="00164200"/>
    <w:rsid w:val="0016447F"/>
    <w:rsid w:val="0016710D"/>
    <w:rsid w:val="00167E98"/>
    <w:rsid w:val="001700C5"/>
    <w:rsid w:val="001701F9"/>
    <w:rsid w:val="001702AE"/>
    <w:rsid w:val="00170DB9"/>
    <w:rsid w:val="00171DDB"/>
    <w:rsid w:val="00172184"/>
    <w:rsid w:val="00172A27"/>
    <w:rsid w:val="00172C73"/>
    <w:rsid w:val="00173A9D"/>
    <w:rsid w:val="00174211"/>
    <w:rsid w:val="00174CB6"/>
    <w:rsid w:val="00175ABE"/>
    <w:rsid w:val="00175BA0"/>
    <w:rsid w:val="00176032"/>
    <w:rsid w:val="00176048"/>
    <w:rsid w:val="00176F9A"/>
    <w:rsid w:val="00177D7C"/>
    <w:rsid w:val="001821B9"/>
    <w:rsid w:val="00183120"/>
    <w:rsid w:val="0018321A"/>
    <w:rsid w:val="0018325B"/>
    <w:rsid w:val="0018359F"/>
    <w:rsid w:val="00183B7A"/>
    <w:rsid w:val="00183F61"/>
    <w:rsid w:val="00184546"/>
    <w:rsid w:val="00184828"/>
    <w:rsid w:val="001849D5"/>
    <w:rsid w:val="00184B11"/>
    <w:rsid w:val="0018526E"/>
    <w:rsid w:val="001856F0"/>
    <w:rsid w:val="00185E57"/>
    <w:rsid w:val="00187596"/>
    <w:rsid w:val="001877AE"/>
    <w:rsid w:val="001904EA"/>
    <w:rsid w:val="0019164C"/>
    <w:rsid w:val="001924B7"/>
    <w:rsid w:val="00193CE6"/>
    <w:rsid w:val="00194197"/>
    <w:rsid w:val="001947DC"/>
    <w:rsid w:val="00194E30"/>
    <w:rsid w:val="00195239"/>
    <w:rsid w:val="00195449"/>
    <w:rsid w:val="001958E3"/>
    <w:rsid w:val="00195913"/>
    <w:rsid w:val="00196055"/>
    <w:rsid w:val="001960C7"/>
    <w:rsid w:val="001A1B2D"/>
    <w:rsid w:val="001A1BD2"/>
    <w:rsid w:val="001A25CE"/>
    <w:rsid w:val="001A2B18"/>
    <w:rsid w:val="001A2D04"/>
    <w:rsid w:val="001A2EB3"/>
    <w:rsid w:val="001A2F9B"/>
    <w:rsid w:val="001A3815"/>
    <w:rsid w:val="001A398D"/>
    <w:rsid w:val="001A3BF8"/>
    <w:rsid w:val="001A4D5F"/>
    <w:rsid w:val="001A5741"/>
    <w:rsid w:val="001A5950"/>
    <w:rsid w:val="001A5B49"/>
    <w:rsid w:val="001A680B"/>
    <w:rsid w:val="001A694C"/>
    <w:rsid w:val="001A6B89"/>
    <w:rsid w:val="001A7052"/>
    <w:rsid w:val="001A7B54"/>
    <w:rsid w:val="001B310B"/>
    <w:rsid w:val="001B3179"/>
    <w:rsid w:val="001B42A1"/>
    <w:rsid w:val="001B4309"/>
    <w:rsid w:val="001B519F"/>
    <w:rsid w:val="001B5536"/>
    <w:rsid w:val="001B6B3B"/>
    <w:rsid w:val="001B74B7"/>
    <w:rsid w:val="001B78FE"/>
    <w:rsid w:val="001B7C5D"/>
    <w:rsid w:val="001C05F5"/>
    <w:rsid w:val="001C17E3"/>
    <w:rsid w:val="001C1A75"/>
    <w:rsid w:val="001C25EA"/>
    <w:rsid w:val="001C37B9"/>
    <w:rsid w:val="001C3A3B"/>
    <w:rsid w:val="001C4150"/>
    <w:rsid w:val="001C5223"/>
    <w:rsid w:val="001C6118"/>
    <w:rsid w:val="001C65AE"/>
    <w:rsid w:val="001C6E13"/>
    <w:rsid w:val="001C705E"/>
    <w:rsid w:val="001C73C6"/>
    <w:rsid w:val="001C7925"/>
    <w:rsid w:val="001C7EEC"/>
    <w:rsid w:val="001D1588"/>
    <w:rsid w:val="001D19A3"/>
    <w:rsid w:val="001D1A26"/>
    <w:rsid w:val="001D1AAA"/>
    <w:rsid w:val="001D2379"/>
    <w:rsid w:val="001D26AC"/>
    <w:rsid w:val="001D27B3"/>
    <w:rsid w:val="001D27C4"/>
    <w:rsid w:val="001D28D9"/>
    <w:rsid w:val="001D28DC"/>
    <w:rsid w:val="001D2CBE"/>
    <w:rsid w:val="001D34FF"/>
    <w:rsid w:val="001D3AFD"/>
    <w:rsid w:val="001D4331"/>
    <w:rsid w:val="001D5CE6"/>
    <w:rsid w:val="001D7265"/>
    <w:rsid w:val="001D7777"/>
    <w:rsid w:val="001D779C"/>
    <w:rsid w:val="001E1052"/>
    <w:rsid w:val="001E1267"/>
    <w:rsid w:val="001E1696"/>
    <w:rsid w:val="001E1F5D"/>
    <w:rsid w:val="001E2468"/>
    <w:rsid w:val="001E26B8"/>
    <w:rsid w:val="001E4CDC"/>
    <w:rsid w:val="001E4DBD"/>
    <w:rsid w:val="001E5AFB"/>
    <w:rsid w:val="001E5B50"/>
    <w:rsid w:val="001E6CA5"/>
    <w:rsid w:val="001F133C"/>
    <w:rsid w:val="001F19B1"/>
    <w:rsid w:val="001F1A56"/>
    <w:rsid w:val="001F1AB6"/>
    <w:rsid w:val="001F3D53"/>
    <w:rsid w:val="001F3FA2"/>
    <w:rsid w:val="001F408A"/>
    <w:rsid w:val="001F4359"/>
    <w:rsid w:val="001F47ED"/>
    <w:rsid w:val="001F66D5"/>
    <w:rsid w:val="001F6DD1"/>
    <w:rsid w:val="001F7644"/>
    <w:rsid w:val="00200C6C"/>
    <w:rsid w:val="00202A38"/>
    <w:rsid w:val="00202ECC"/>
    <w:rsid w:val="0020301A"/>
    <w:rsid w:val="00203C5D"/>
    <w:rsid w:val="00204274"/>
    <w:rsid w:val="00204892"/>
    <w:rsid w:val="00205A00"/>
    <w:rsid w:val="00205D1D"/>
    <w:rsid w:val="0020685E"/>
    <w:rsid w:val="00206E80"/>
    <w:rsid w:val="00206F1E"/>
    <w:rsid w:val="0020701D"/>
    <w:rsid w:val="0021070D"/>
    <w:rsid w:val="00210C04"/>
    <w:rsid w:val="00211B1F"/>
    <w:rsid w:val="00211C07"/>
    <w:rsid w:val="002121A1"/>
    <w:rsid w:val="00212B20"/>
    <w:rsid w:val="00212FDD"/>
    <w:rsid w:val="002130CC"/>
    <w:rsid w:val="00213538"/>
    <w:rsid w:val="0021365C"/>
    <w:rsid w:val="0021474B"/>
    <w:rsid w:val="002153B9"/>
    <w:rsid w:val="00215EB6"/>
    <w:rsid w:val="002166D1"/>
    <w:rsid w:val="002166FC"/>
    <w:rsid w:val="00216CFE"/>
    <w:rsid w:val="00217498"/>
    <w:rsid w:val="002174B8"/>
    <w:rsid w:val="00217E2C"/>
    <w:rsid w:val="002203B1"/>
    <w:rsid w:val="00221666"/>
    <w:rsid w:val="00221C0B"/>
    <w:rsid w:val="00222EC3"/>
    <w:rsid w:val="00223870"/>
    <w:rsid w:val="00223E55"/>
    <w:rsid w:val="00223E68"/>
    <w:rsid w:val="00223FB0"/>
    <w:rsid w:val="0022417B"/>
    <w:rsid w:val="00225E57"/>
    <w:rsid w:val="0022626C"/>
    <w:rsid w:val="002269C2"/>
    <w:rsid w:val="00227254"/>
    <w:rsid w:val="002273B4"/>
    <w:rsid w:val="00227CAD"/>
    <w:rsid w:val="0023061C"/>
    <w:rsid w:val="00231F0C"/>
    <w:rsid w:val="00231FD8"/>
    <w:rsid w:val="00232315"/>
    <w:rsid w:val="00232A35"/>
    <w:rsid w:val="00232AAA"/>
    <w:rsid w:val="00232CCB"/>
    <w:rsid w:val="00232E56"/>
    <w:rsid w:val="00232FE3"/>
    <w:rsid w:val="002332F4"/>
    <w:rsid w:val="00233FEF"/>
    <w:rsid w:val="002343CA"/>
    <w:rsid w:val="00234B98"/>
    <w:rsid w:val="002350BB"/>
    <w:rsid w:val="0023559E"/>
    <w:rsid w:val="00235743"/>
    <w:rsid w:val="00235BE6"/>
    <w:rsid w:val="0023600E"/>
    <w:rsid w:val="00236411"/>
    <w:rsid w:val="002369E8"/>
    <w:rsid w:val="0023729E"/>
    <w:rsid w:val="002372D3"/>
    <w:rsid w:val="00237C7F"/>
    <w:rsid w:val="00240DB3"/>
    <w:rsid w:val="00240EFF"/>
    <w:rsid w:val="0024142E"/>
    <w:rsid w:val="00243814"/>
    <w:rsid w:val="00243F90"/>
    <w:rsid w:val="00244ADA"/>
    <w:rsid w:val="00246269"/>
    <w:rsid w:val="002463CE"/>
    <w:rsid w:val="00251A2D"/>
    <w:rsid w:val="0025216F"/>
    <w:rsid w:val="00252B9D"/>
    <w:rsid w:val="002538B4"/>
    <w:rsid w:val="00253C5F"/>
    <w:rsid w:val="00254D11"/>
    <w:rsid w:val="00255085"/>
    <w:rsid w:val="00255C1C"/>
    <w:rsid w:val="00256044"/>
    <w:rsid w:val="0025705A"/>
    <w:rsid w:val="00260783"/>
    <w:rsid w:val="00260E35"/>
    <w:rsid w:val="00260F8A"/>
    <w:rsid w:val="00261DB3"/>
    <w:rsid w:val="00261DEF"/>
    <w:rsid w:val="00261ED0"/>
    <w:rsid w:val="002624E4"/>
    <w:rsid w:val="00262538"/>
    <w:rsid w:val="002627BB"/>
    <w:rsid w:val="00262B00"/>
    <w:rsid w:val="0026301A"/>
    <w:rsid w:val="0026320E"/>
    <w:rsid w:val="00263991"/>
    <w:rsid w:val="00267272"/>
    <w:rsid w:val="00267A97"/>
    <w:rsid w:val="00267C8A"/>
    <w:rsid w:val="00267D6F"/>
    <w:rsid w:val="002700AF"/>
    <w:rsid w:val="00270711"/>
    <w:rsid w:val="0027140A"/>
    <w:rsid w:val="00271748"/>
    <w:rsid w:val="002722C5"/>
    <w:rsid w:val="002725C3"/>
    <w:rsid w:val="00272B9E"/>
    <w:rsid w:val="00273DB4"/>
    <w:rsid w:val="002745B9"/>
    <w:rsid w:val="00274C37"/>
    <w:rsid w:val="00274D6A"/>
    <w:rsid w:val="002753EC"/>
    <w:rsid w:val="00275A6E"/>
    <w:rsid w:val="00276359"/>
    <w:rsid w:val="00276DFB"/>
    <w:rsid w:val="00277033"/>
    <w:rsid w:val="002774AC"/>
    <w:rsid w:val="00277753"/>
    <w:rsid w:val="002800F5"/>
    <w:rsid w:val="00280996"/>
    <w:rsid w:val="00281004"/>
    <w:rsid w:val="0028102C"/>
    <w:rsid w:val="0028133F"/>
    <w:rsid w:val="00281838"/>
    <w:rsid w:val="00282418"/>
    <w:rsid w:val="0028348B"/>
    <w:rsid w:val="002838B0"/>
    <w:rsid w:val="0028656D"/>
    <w:rsid w:val="00287425"/>
    <w:rsid w:val="002876C4"/>
    <w:rsid w:val="00287F64"/>
    <w:rsid w:val="00287FF9"/>
    <w:rsid w:val="00290363"/>
    <w:rsid w:val="0029040D"/>
    <w:rsid w:val="00290A69"/>
    <w:rsid w:val="002920EB"/>
    <w:rsid w:val="002928FE"/>
    <w:rsid w:val="002940E8"/>
    <w:rsid w:val="00294AF0"/>
    <w:rsid w:val="00294E4C"/>
    <w:rsid w:val="00294F77"/>
    <w:rsid w:val="00295DE8"/>
    <w:rsid w:val="0029654C"/>
    <w:rsid w:val="00296B67"/>
    <w:rsid w:val="00297E08"/>
    <w:rsid w:val="002A0392"/>
    <w:rsid w:val="002A0E9F"/>
    <w:rsid w:val="002A1CDE"/>
    <w:rsid w:val="002A2129"/>
    <w:rsid w:val="002A2750"/>
    <w:rsid w:val="002A2773"/>
    <w:rsid w:val="002A32C8"/>
    <w:rsid w:val="002A33CC"/>
    <w:rsid w:val="002A346B"/>
    <w:rsid w:val="002A35C3"/>
    <w:rsid w:val="002A380F"/>
    <w:rsid w:val="002A424C"/>
    <w:rsid w:val="002A469A"/>
    <w:rsid w:val="002A57EA"/>
    <w:rsid w:val="002A5E60"/>
    <w:rsid w:val="002A6406"/>
    <w:rsid w:val="002A6D6D"/>
    <w:rsid w:val="002B0BEC"/>
    <w:rsid w:val="002B0EFD"/>
    <w:rsid w:val="002B14BD"/>
    <w:rsid w:val="002B3038"/>
    <w:rsid w:val="002B324F"/>
    <w:rsid w:val="002B4011"/>
    <w:rsid w:val="002B4426"/>
    <w:rsid w:val="002B561C"/>
    <w:rsid w:val="002B5DED"/>
    <w:rsid w:val="002B6A05"/>
    <w:rsid w:val="002B7862"/>
    <w:rsid w:val="002C06FC"/>
    <w:rsid w:val="002C0A25"/>
    <w:rsid w:val="002C0C32"/>
    <w:rsid w:val="002C0D75"/>
    <w:rsid w:val="002C0E95"/>
    <w:rsid w:val="002C0EC4"/>
    <w:rsid w:val="002C34F5"/>
    <w:rsid w:val="002C380E"/>
    <w:rsid w:val="002C3FC8"/>
    <w:rsid w:val="002C4494"/>
    <w:rsid w:val="002C5F72"/>
    <w:rsid w:val="002C5F78"/>
    <w:rsid w:val="002C6245"/>
    <w:rsid w:val="002D046D"/>
    <w:rsid w:val="002D1285"/>
    <w:rsid w:val="002D2634"/>
    <w:rsid w:val="002D38DE"/>
    <w:rsid w:val="002D43B1"/>
    <w:rsid w:val="002D5C95"/>
    <w:rsid w:val="002D6706"/>
    <w:rsid w:val="002D6C7E"/>
    <w:rsid w:val="002D719C"/>
    <w:rsid w:val="002D7C31"/>
    <w:rsid w:val="002D7EC8"/>
    <w:rsid w:val="002E0B5E"/>
    <w:rsid w:val="002E1B00"/>
    <w:rsid w:val="002E1C39"/>
    <w:rsid w:val="002E370B"/>
    <w:rsid w:val="002E3E03"/>
    <w:rsid w:val="002E4D8D"/>
    <w:rsid w:val="002E514F"/>
    <w:rsid w:val="002E5219"/>
    <w:rsid w:val="002E5720"/>
    <w:rsid w:val="002E5832"/>
    <w:rsid w:val="002E5C95"/>
    <w:rsid w:val="002E6A47"/>
    <w:rsid w:val="002E6D91"/>
    <w:rsid w:val="002E71FF"/>
    <w:rsid w:val="002E7908"/>
    <w:rsid w:val="002F0334"/>
    <w:rsid w:val="002F0D02"/>
    <w:rsid w:val="002F143F"/>
    <w:rsid w:val="002F1548"/>
    <w:rsid w:val="002F1BA0"/>
    <w:rsid w:val="002F1CC4"/>
    <w:rsid w:val="002F24C3"/>
    <w:rsid w:val="002F251B"/>
    <w:rsid w:val="002F26EE"/>
    <w:rsid w:val="002F29B3"/>
    <w:rsid w:val="002F40BC"/>
    <w:rsid w:val="002F4F36"/>
    <w:rsid w:val="002F5294"/>
    <w:rsid w:val="002F535E"/>
    <w:rsid w:val="002F59D8"/>
    <w:rsid w:val="002F5DC1"/>
    <w:rsid w:val="002F6FDC"/>
    <w:rsid w:val="002F71B3"/>
    <w:rsid w:val="002F77FB"/>
    <w:rsid w:val="00300912"/>
    <w:rsid w:val="00300A5D"/>
    <w:rsid w:val="00301145"/>
    <w:rsid w:val="003011AF"/>
    <w:rsid w:val="003011CB"/>
    <w:rsid w:val="00302205"/>
    <w:rsid w:val="0030249F"/>
    <w:rsid w:val="00302A32"/>
    <w:rsid w:val="0030306A"/>
    <w:rsid w:val="00303C74"/>
    <w:rsid w:val="0030503E"/>
    <w:rsid w:val="003055C8"/>
    <w:rsid w:val="003079F0"/>
    <w:rsid w:val="00310797"/>
    <w:rsid w:val="00310C79"/>
    <w:rsid w:val="00312159"/>
    <w:rsid w:val="0031225E"/>
    <w:rsid w:val="00312810"/>
    <w:rsid w:val="0031286A"/>
    <w:rsid w:val="003128B2"/>
    <w:rsid w:val="00312C84"/>
    <w:rsid w:val="00312EF0"/>
    <w:rsid w:val="003132D3"/>
    <w:rsid w:val="0031393B"/>
    <w:rsid w:val="003142FC"/>
    <w:rsid w:val="00314F6C"/>
    <w:rsid w:val="00316F51"/>
    <w:rsid w:val="00317056"/>
    <w:rsid w:val="003177C5"/>
    <w:rsid w:val="00320280"/>
    <w:rsid w:val="00320BD2"/>
    <w:rsid w:val="00320DC1"/>
    <w:rsid w:val="00320DE6"/>
    <w:rsid w:val="0032139F"/>
    <w:rsid w:val="003215D7"/>
    <w:rsid w:val="003224DB"/>
    <w:rsid w:val="003228D9"/>
    <w:rsid w:val="00323F65"/>
    <w:rsid w:val="003246D6"/>
    <w:rsid w:val="00324AFA"/>
    <w:rsid w:val="00325595"/>
    <w:rsid w:val="00325EDE"/>
    <w:rsid w:val="003263A1"/>
    <w:rsid w:val="0032673B"/>
    <w:rsid w:val="00326792"/>
    <w:rsid w:val="00327152"/>
    <w:rsid w:val="0032721F"/>
    <w:rsid w:val="0032778A"/>
    <w:rsid w:val="00327803"/>
    <w:rsid w:val="0032792C"/>
    <w:rsid w:val="00327D47"/>
    <w:rsid w:val="00330876"/>
    <w:rsid w:val="00330AF1"/>
    <w:rsid w:val="00330C43"/>
    <w:rsid w:val="00330EEB"/>
    <w:rsid w:val="00331038"/>
    <w:rsid w:val="0033199A"/>
    <w:rsid w:val="00332B73"/>
    <w:rsid w:val="00332D7E"/>
    <w:rsid w:val="0033358F"/>
    <w:rsid w:val="003346E3"/>
    <w:rsid w:val="00334B62"/>
    <w:rsid w:val="00334BB0"/>
    <w:rsid w:val="003361CC"/>
    <w:rsid w:val="00336490"/>
    <w:rsid w:val="00336558"/>
    <w:rsid w:val="00336BC1"/>
    <w:rsid w:val="00336F60"/>
    <w:rsid w:val="0033700B"/>
    <w:rsid w:val="003373AC"/>
    <w:rsid w:val="00337DD2"/>
    <w:rsid w:val="0034042D"/>
    <w:rsid w:val="00341333"/>
    <w:rsid w:val="00341F4A"/>
    <w:rsid w:val="003420AC"/>
    <w:rsid w:val="003428DB"/>
    <w:rsid w:val="00342D54"/>
    <w:rsid w:val="00342FE9"/>
    <w:rsid w:val="00344054"/>
    <w:rsid w:val="003444C7"/>
    <w:rsid w:val="00344BCF"/>
    <w:rsid w:val="00344E1A"/>
    <w:rsid w:val="00345A8D"/>
    <w:rsid w:val="003460EF"/>
    <w:rsid w:val="00346731"/>
    <w:rsid w:val="00346C78"/>
    <w:rsid w:val="0034702C"/>
    <w:rsid w:val="003479AC"/>
    <w:rsid w:val="00347F1B"/>
    <w:rsid w:val="003505B3"/>
    <w:rsid w:val="00350669"/>
    <w:rsid w:val="003509A6"/>
    <w:rsid w:val="00350BD0"/>
    <w:rsid w:val="00350DF5"/>
    <w:rsid w:val="00352B7D"/>
    <w:rsid w:val="003531F2"/>
    <w:rsid w:val="00354802"/>
    <w:rsid w:val="00354D52"/>
    <w:rsid w:val="00354DB7"/>
    <w:rsid w:val="00355974"/>
    <w:rsid w:val="00355A7B"/>
    <w:rsid w:val="00356196"/>
    <w:rsid w:val="0035705F"/>
    <w:rsid w:val="0035755B"/>
    <w:rsid w:val="00357E15"/>
    <w:rsid w:val="00360C89"/>
    <w:rsid w:val="00361BEB"/>
    <w:rsid w:val="003620EF"/>
    <w:rsid w:val="00363564"/>
    <w:rsid w:val="003663DF"/>
    <w:rsid w:val="003664A1"/>
    <w:rsid w:val="00366536"/>
    <w:rsid w:val="003671A0"/>
    <w:rsid w:val="00367278"/>
    <w:rsid w:val="00367E38"/>
    <w:rsid w:val="00370171"/>
    <w:rsid w:val="0037057F"/>
    <w:rsid w:val="003712F5"/>
    <w:rsid w:val="00372214"/>
    <w:rsid w:val="0037226D"/>
    <w:rsid w:val="00372307"/>
    <w:rsid w:val="0037242A"/>
    <w:rsid w:val="003724BC"/>
    <w:rsid w:val="00373BA0"/>
    <w:rsid w:val="00373DDA"/>
    <w:rsid w:val="0037491F"/>
    <w:rsid w:val="00374DAC"/>
    <w:rsid w:val="003753A3"/>
    <w:rsid w:val="0037566F"/>
    <w:rsid w:val="00375EBB"/>
    <w:rsid w:val="00375F5D"/>
    <w:rsid w:val="00376204"/>
    <w:rsid w:val="003764D3"/>
    <w:rsid w:val="00376AE0"/>
    <w:rsid w:val="00377388"/>
    <w:rsid w:val="00377589"/>
    <w:rsid w:val="003800AD"/>
    <w:rsid w:val="00380217"/>
    <w:rsid w:val="0038083E"/>
    <w:rsid w:val="003816A2"/>
    <w:rsid w:val="0038253D"/>
    <w:rsid w:val="00382A18"/>
    <w:rsid w:val="003837C5"/>
    <w:rsid w:val="00383DE5"/>
    <w:rsid w:val="00383F4F"/>
    <w:rsid w:val="003847B1"/>
    <w:rsid w:val="00385E45"/>
    <w:rsid w:val="0038671C"/>
    <w:rsid w:val="00386906"/>
    <w:rsid w:val="00386AC4"/>
    <w:rsid w:val="00386CCD"/>
    <w:rsid w:val="00387569"/>
    <w:rsid w:val="00387715"/>
    <w:rsid w:val="00387802"/>
    <w:rsid w:val="00390CBE"/>
    <w:rsid w:val="0039170F"/>
    <w:rsid w:val="00391988"/>
    <w:rsid w:val="00391E28"/>
    <w:rsid w:val="00392BDF"/>
    <w:rsid w:val="00392CA6"/>
    <w:rsid w:val="00394E53"/>
    <w:rsid w:val="00394FE7"/>
    <w:rsid w:val="003963ED"/>
    <w:rsid w:val="00397605"/>
    <w:rsid w:val="00397959"/>
    <w:rsid w:val="003A0579"/>
    <w:rsid w:val="003A0F09"/>
    <w:rsid w:val="003A0F73"/>
    <w:rsid w:val="003A1F2F"/>
    <w:rsid w:val="003A2EB5"/>
    <w:rsid w:val="003A3078"/>
    <w:rsid w:val="003A431A"/>
    <w:rsid w:val="003A4799"/>
    <w:rsid w:val="003A4C55"/>
    <w:rsid w:val="003A4EC1"/>
    <w:rsid w:val="003A5334"/>
    <w:rsid w:val="003A5755"/>
    <w:rsid w:val="003A5B1C"/>
    <w:rsid w:val="003A6C53"/>
    <w:rsid w:val="003A6EF3"/>
    <w:rsid w:val="003A73F2"/>
    <w:rsid w:val="003A796C"/>
    <w:rsid w:val="003A7DFD"/>
    <w:rsid w:val="003A7E71"/>
    <w:rsid w:val="003B0CB1"/>
    <w:rsid w:val="003B227E"/>
    <w:rsid w:val="003B26A4"/>
    <w:rsid w:val="003B2AE3"/>
    <w:rsid w:val="003B2AEC"/>
    <w:rsid w:val="003B3103"/>
    <w:rsid w:val="003B3543"/>
    <w:rsid w:val="003B3C1A"/>
    <w:rsid w:val="003B423E"/>
    <w:rsid w:val="003B5249"/>
    <w:rsid w:val="003B52AD"/>
    <w:rsid w:val="003B5491"/>
    <w:rsid w:val="003B5864"/>
    <w:rsid w:val="003B5C6E"/>
    <w:rsid w:val="003B6152"/>
    <w:rsid w:val="003B7D71"/>
    <w:rsid w:val="003C0787"/>
    <w:rsid w:val="003C0F96"/>
    <w:rsid w:val="003C1821"/>
    <w:rsid w:val="003C1D04"/>
    <w:rsid w:val="003C20A8"/>
    <w:rsid w:val="003C26F3"/>
    <w:rsid w:val="003C2C56"/>
    <w:rsid w:val="003C2C93"/>
    <w:rsid w:val="003C2F5F"/>
    <w:rsid w:val="003C2FB6"/>
    <w:rsid w:val="003C3DF7"/>
    <w:rsid w:val="003C47CB"/>
    <w:rsid w:val="003C4BFD"/>
    <w:rsid w:val="003C4C75"/>
    <w:rsid w:val="003C4F3A"/>
    <w:rsid w:val="003C62D3"/>
    <w:rsid w:val="003C6736"/>
    <w:rsid w:val="003C7631"/>
    <w:rsid w:val="003C7BAC"/>
    <w:rsid w:val="003D06A7"/>
    <w:rsid w:val="003D0A53"/>
    <w:rsid w:val="003D0AA7"/>
    <w:rsid w:val="003D130C"/>
    <w:rsid w:val="003D14AE"/>
    <w:rsid w:val="003D177B"/>
    <w:rsid w:val="003D25FF"/>
    <w:rsid w:val="003D3FB7"/>
    <w:rsid w:val="003D5B55"/>
    <w:rsid w:val="003D6F8D"/>
    <w:rsid w:val="003D75CC"/>
    <w:rsid w:val="003E14ED"/>
    <w:rsid w:val="003E157D"/>
    <w:rsid w:val="003E21BA"/>
    <w:rsid w:val="003E2C5E"/>
    <w:rsid w:val="003E315C"/>
    <w:rsid w:val="003E4120"/>
    <w:rsid w:val="003E4BF9"/>
    <w:rsid w:val="003E59EE"/>
    <w:rsid w:val="003E5AB8"/>
    <w:rsid w:val="003E61FD"/>
    <w:rsid w:val="003E63AC"/>
    <w:rsid w:val="003E6EED"/>
    <w:rsid w:val="003E7922"/>
    <w:rsid w:val="003E7C51"/>
    <w:rsid w:val="003E7C6E"/>
    <w:rsid w:val="003F016A"/>
    <w:rsid w:val="003F0A7F"/>
    <w:rsid w:val="003F0CD7"/>
    <w:rsid w:val="003F1838"/>
    <w:rsid w:val="003F262E"/>
    <w:rsid w:val="003F3298"/>
    <w:rsid w:val="003F4E9D"/>
    <w:rsid w:val="003F5F86"/>
    <w:rsid w:val="003F5FA5"/>
    <w:rsid w:val="003F64D2"/>
    <w:rsid w:val="003F6637"/>
    <w:rsid w:val="003F6B9A"/>
    <w:rsid w:val="003F6CF7"/>
    <w:rsid w:val="003F7806"/>
    <w:rsid w:val="00400963"/>
    <w:rsid w:val="00401996"/>
    <w:rsid w:val="004023BA"/>
    <w:rsid w:val="00402B9E"/>
    <w:rsid w:val="00402F6F"/>
    <w:rsid w:val="00403615"/>
    <w:rsid w:val="00403CB5"/>
    <w:rsid w:val="004045C7"/>
    <w:rsid w:val="004046DE"/>
    <w:rsid w:val="00404AAF"/>
    <w:rsid w:val="004059A6"/>
    <w:rsid w:val="00406269"/>
    <w:rsid w:val="00406998"/>
    <w:rsid w:val="004070A0"/>
    <w:rsid w:val="0040715C"/>
    <w:rsid w:val="004076A1"/>
    <w:rsid w:val="004077EC"/>
    <w:rsid w:val="00407886"/>
    <w:rsid w:val="00407922"/>
    <w:rsid w:val="004100DD"/>
    <w:rsid w:val="00410822"/>
    <w:rsid w:val="00410F95"/>
    <w:rsid w:val="00411294"/>
    <w:rsid w:val="0041158E"/>
    <w:rsid w:val="00411684"/>
    <w:rsid w:val="00412713"/>
    <w:rsid w:val="00413258"/>
    <w:rsid w:val="00413BC0"/>
    <w:rsid w:val="00420801"/>
    <w:rsid w:val="00421523"/>
    <w:rsid w:val="00422245"/>
    <w:rsid w:val="00422FAC"/>
    <w:rsid w:val="00422FBD"/>
    <w:rsid w:val="00423286"/>
    <w:rsid w:val="0042407A"/>
    <w:rsid w:val="00424167"/>
    <w:rsid w:val="0042543F"/>
    <w:rsid w:val="004255E5"/>
    <w:rsid w:val="00425697"/>
    <w:rsid w:val="00425867"/>
    <w:rsid w:val="004258D0"/>
    <w:rsid w:val="00426A20"/>
    <w:rsid w:val="00426A70"/>
    <w:rsid w:val="00430044"/>
    <w:rsid w:val="00432B9F"/>
    <w:rsid w:val="00432C97"/>
    <w:rsid w:val="00433871"/>
    <w:rsid w:val="00434037"/>
    <w:rsid w:val="00434776"/>
    <w:rsid w:val="0043515F"/>
    <w:rsid w:val="0043527B"/>
    <w:rsid w:val="00435A19"/>
    <w:rsid w:val="00435ACE"/>
    <w:rsid w:val="004366BB"/>
    <w:rsid w:val="00436DDE"/>
    <w:rsid w:val="0043713C"/>
    <w:rsid w:val="00437613"/>
    <w:rsid w:val="00437832"/>
    <w:rsid w:val="00437D50"/>
    <w:rsid w:val="00437DC2"/>
    <w:rsid w:val="00440272"/>
    <w:rsid w:val="004411AA"/>
    <w:rsid w:val="0044191F"/>
    <w:rsid w:val="00441D04"/>
    <w:rsid w:val="0044503A"/>
    <w:rsid w:val="004451E3"/>
    <w:rsid w:val="004453AC"/>
    <w:rsid w:val="004460EC"/>
    <w:rsid w:val="004460F8"/>
    <w:rsid w:val="0044625B"/>
    <w:rsid w:val="004469E7"/>
    <w:rsid w:val="00446E0B"/>
    <w:rsid w:val="00447113"/>
    <w:rsid w:val="004472B9"/>
    <w:rsid w:val="00447C99"/>
    <w:rsid w:val="004516E8"/>
    <w:rsid w:val="0045173C"/>
    <w:rsid w:val="0045183C"/>
    <w:rsid w:val="00451EEF"/>
    <w:rsid w:val="00452468"/>
    <w:rsid w:val="004527A8"/>
    <w:rsid w:val="0045282D"/>
    <w:rsid w:val="004534B8"/>
    <w:rsid w:val="00453996"/>
    <w:rsid w:val="00453A8F"/>
    <w:rsid w:val="00453CD5"/>
    <w:rsid w:val="00453F28"/>
    <w:rsid w:val="00455B98"/>
    <w:rsid w:val="00455EF3"/>
    <w:rsid w:val="004564BC"/>
    <w:rsid w:val="0045655C"/>
    <w:rsid w:val="004567B6"/>
    <w:rsid w:val="00456954"/>
    <w:rsid w:val="00457560"/>
    <w:rsid w:val="004605CA"/>
    <w:rsid w:val="0046087F"/>
    <w:rsid w:val="0046120C"/>
    <w:rsid w:val="0046139C"/>
    <w:rsid w:val="00461D28"/>
    <w:rsid w:val="0046228C"/>
    <w:rsid w:val="00462BC8"/>
    <w:rsid w:val="004639FE"/>
    <w:rsid w:val="00464EB0"/>
    <w:rsid w:val="00465A39"/>
    <w:rsid w:val="00465EAF"/>
    <w:rsid w:val="004660BF"/>
    <w:rsid w:val="0046634E"/>
    <w:rsid w:val="004666F1"/>
    <w:rsid w:val="00466947"/>
    <w:rsid w:val="00466A2C"/>
    <w:rsid w:val="004673DB"/>
    <w:rsid w:val="00467516"/>
    <w:rsid w:val="00470B26"/>
    <w:rsid w:val="00470E03"/>
    <w:rsid w:val="0047155B"/>
    <w:rsid w:val="0047186D"/>
    <w:rsid w:val="00471ED2"/>
    <w:rsid w:val="00472647"/>
    <w:rsid w:val="00472BE7"/>
    <w:rsid w:val="00473B76"/>
    <w:rsid w:val="0047418C"/>
    <w:rsid w:val="004755CD"/>
    <w:rsid w:val="0047576D"/>
    <w:rsid w:val="00475F92"/>
    <w:rsid w:val="004763D3"/>
    <w:rsid w:val="00476F64"/>
    <w:rsid w:val="00477737"/>
    <w:rsid w:val="004778B3"/>
    <w:rsid w:val="004801F7"/>
    <w:rsid w:val="004812D9"/>
    <w:rsid w:val="00482F99"/>
    <w:rsid w:val="0048321B"/>
    <w:rsid w:val="00483358"/>
    <w:rsid w:val="00483553"/>
    <w:rsid w:val="004844E6"/>
    <w:rsid w:val="004848CF"/>
    <w:rsid w:val="00485EF0"/>
    <w:rsid w:val="004861CF"/>
    <w:rsid w:val="00486D64"/>
    <w:rsid w:val="00486F1C"/>
    <w:rsid w:val="004902F7"/>
    <w:rsid w:val="00490B4E"/>
    <w:rsid w:val="0049206D"/>
    <w:rsid w:val="004960C2"/>
    <w:rsid w:val="00496408"/>
    <w:rsid w:val="004964F4"/>
    <w:rsid w:val="0049670A"/>
    <w:rsid w:val="00497100"/>
    <w:rsid w:val="00497BBC"/>
    <w:rsid w:val="004A0004"/>
    <w:rsid w:val="004A00A6"/>
    <w:rsid w:val="004A0859"/>
    <w:rsid w:val="004A1168"/>
    <w:rsid w:val="004A119D"/>
    <w:rsid w:val="004A1E40"/>
    <w:rsid w:val="004A2CE3"/>
    <w:rsid w:val="004A2CF3"/>
    <w:rsid w:val="004A33E0"/>
    <w:rsid w:val="004A3AE4"/>
    <w:rsid w:val="004A3D3B"/>
    <w:rsid w:val="004A3D5A"/>
    <w:rsid w:val="004A405B"/>
    <w:rsid w:val="004A40DF"/>
    <w:rsid w:val="004A4180"/>
    <w:rsid w:val="004A431D"/>
    <w:rsid w:val="004A5CD6"/>
    <w:rsid w:val="004A5DCE"/>
    <w:rsid w:val="004A6123"/>
    <w:rsid w:val="004A6778"/>
    <w:rsid w:val="004A7201"/>
    <w:rsid w:val="004B03E2"/>
    <w:rsid w:val="004B061F"/>
    <w:rsid w:val="004B06C7"/>
    <w:rsid w:val="004B0D52"/>
    <w:rsid w:val="004B11A0"/>
    <w:rsid w:val="004B20D4"/>
    <w:rsid w:val="004B2D57"/>
    <w:rsid w:val="004B378D"/>
    <w:rsid w:val="004B37BA"/>
    <w:rsid w:val="004B48F7"/>
    <w:rsid w:val="004B492A"/>
    <w:rsid w:val="004B4A9A"/>
    <w:rsid w:val="004B55B2"/>
    <w:rsid w:val="004B6610"/>
    <w:rsid w:val="004B6963"/>
    <w:rsid w:val="004B6A18"/>
    <w:rsid w:val="004B720E"/>
    <w:rsid w:val="004C192E"/>
    <w:rsid w:val="004C2F30"/>
    <w:rsid w:val="004C327C"/>
    <w:rsid w:val="004C3E4E"/>
    <w:rsid w:val="004C418E"/>
    <w:rsid w:val="004C4201"/>
    <w:rsid w:val="004C55DC"/>
    <w:rsid w:val="004C5C69"/>
    <w:rsid w:val="004C6768"/>
    <w:rsid w:val="004C6A97"/>
    <w:rsid w:val="004C70AC"/>
    <w:rsid w:val="004C70EA"/>
    <w:rsid w:val="004C729C"/>
    <w:rsid w:val="004C7773"/>
    <w:rsid w:val="004C777F"/>
    <w:rsid w:val="004C7A30"/>
    <w:rsid w:val="004D0549"/>
    <w:rsid w:val="004D1934"/>
    <w:rsid w:val="004D26A9"/>
    <w:rsid w:val="004D2787"/>
    <w:rsid w:val="004D279A"/>
    <w:rsid w:val="004D3745"/>
    <w:rsid w:val="004D3CF5"/>
    <w:rsid w:val="004D3DB4"/>
    <w:rsid w:val="004D65C7"/>
    <w:rsid w:val="004D661A"/>
    <w:rsid w:val="004D6C5F"/>
    <w:rsid w:val="004D74A5"/>
    <w:rsid w:val="004D7F64"/>
    <w:rsid w:val="004D7F7D"/>
    <w:rsid w:val="004E0BB6"/>
    <w:rsid w:val="004E13F1"/>
    <w:rsid w:val="004E1EBE"/>
    <w:rsid w:val="004E25C4"/>
    <w:rsid w:val="004E37C4"/>
    <w:rsid w:val="004E3B39"/>
    <w:rsid w:val="004E3E49"/>
    <w:rsid w:val="004E3E68"/>
    <w:rsid w:val="004E466C"/>
    <w:rsid w:val="004E603B"/>
    <w:rsid w:val="004E644B"/>
    <w:rsid w:val="004E68BC"/>
    <w:rsid w:val="004E76F2"/>
    <w:rsid w:val="004E77D9"/>
    <w:rsid w:val="004F0EC0"/>
    <w:rsid w:val="004F18E5"/>
    <w:rsid w:val="004F35C2"/>
    <w:rsid w:val="004F389D"/>
    <w:rsid w:val="004F4771"/>
    <w:rsid w:val="004F5300"/>
    <w:rsid w:val="004F6829"/>
    <w:rsid w:val="004F7795"/>
    <w:rsid w:val="0050005D"/>
    <w:rsid w:val="005000CB"/>
    <w:rsid w:val="005009DF"/>
    <w:rsid w:val="00500E58"/>
    <w:rsid w:val="00502999"/>
    <w:rsid w:val="00502F95"/>
    <w:rsid w:val="005031F5"/>
    <w:rsid w:val="00503235"/>
    <w:rsid w:val="0050383A"/>
    <w:rsid w:val="00503984"/>
    <w:rsid w:val="00503EC1"/>
    <w:rsid w:val="005040AE"/>
    <w:rsid w:val="00504E6E"/>
    <w:rsid w:val="00506283"/>
    <w:rsid w:val="00507830"/>
    <w:rsid w:val="00507FB0"/>
    <w:rsid w:val="00510321"/>
    <w:rsid w:val="0051047D"/>
    <w:rsid w:val="00511D9C"/>
    <w:rsid w:val="00511DD6"/>
    <w:rsid w:val="005126B4"/>
    <w:rsid w:val="00513C5A"/>
    <w:rsid w:val="00513FAF"/>
    <w:rsid w:val="005142B7"/>
    <w:rsid w:val="00514AF3"/>
    <w:rsid w:val="00515A9A"/>
    <w:rsid w:val="00515C97"/>
    <w:rsid w:val="005169D4"/>
    <w:rsid w:val="005174E6"/>
    <w:rsid w:val="005209AB"/>
    <w:rsid w:val="00520A43"/>
    <w:rsid w:val="00520C97"/>
    <w:rsid w:val="00522080"/>
    <w:rsid w:val="005222FC"/>
    <w:rsid w:val="00522829"/>
    <w:rsid w:val="0052308D"/>
    <w:rsid w:val="00523A0E"/>
    <w:rsid w:val="00525286"/>
    <w:rsid w:val="005252D6"/>
    <w:rsid w:val="00525AD1"/>
    <w:rsid w:val="00526CB4"/>
    <w:rsid w:val="005270E5"/>
    <w:rsid w:val="00527B92"/>
    <w:rsid w:val="005302CE"/>
    <w:rsid w:val="00530495"/>
    <w:rsid w:val="00532E74"/>
    <w:rsid w:val="005335F9"/>
    <w:rsid w:val="00533C7D"/>
    <w:rsid w:val="005350C7"/>
    <w:rsid w:val="00535799"/>
    <w:rsid w:val="005359BB"/>
    <w:rsid w:val="005364C3"/>
    <w:rsid w:val="005369E0"/>
    <w:rsid w:val="00536D1F"/>
    <w:rsid w:val="00537136"/>
    <w:rsid w:val="00540240"/>
    <w:rsid w:val="005417BF"/>
    <w:rsid w:val="005418D4"/>
    <w:rsid w:val="00541F90"/>
    <w:rsid w:val="0054220C"/>
    <w:rsid w:val="0054257A"/>
    <w:rsid w:val="00543888"/>
    <w:rsid w:val="0054429D"/>
    <w:rsid w:val="00544386"/>
    <w:rsid w:val="00544444"/>
    <w:rsid w:val="005447D5"/>
    <w:rsid w:val="00545083"/>
    <w:rsid w:val="005455FC"/>
    <w:rsid w:val="00546D63"/>
    <w:rsid w:val="0054701D"/>
    <w:rsid w:val="00550494"/>
    <w:rsid w:val="00552539"/>
    <w:rsid w:val="00552BA7"/>
    <w:rsid w:val="00553049"/>
    <w:rsid w:val="00554916"/>
    <w:rsid w:val="00554BEE"/>
    <w:rsid w:val="005553A5"/>
    <w:rsid w:val="00555996"/>
    <w:rsid w:val="00555BFB"/>
    <w:rsid w:val="00555C09"/>
    <w:rsid w:val="00555CEC"/>
    <w:rsid w:val="00555DB6"/>
    <w:rsid w:val="00556F57"/>
    <w:rsid w:val="00557CE9"/>
    <w:rsid w:val="005604C7"/>
    <w:rsid w:val="00560A32"/>
    <w:rsid w:val="00560BA2"/>
    <w:rsid w:val="00560CAF"/>
    <w:rsid w:val="00561558"/>
    <w:rsid w:val="005616A5"/>
    <w:rsid w:val="00561719"/>
    <w:rsid w:val="00561746"/>
    <w:rsid w:val="00562E2A"/>
    <w:rsid w:val="005631ED"/>
    <w:rsid w:val="0056344B"/>
    <w:rsid w:val="00563A42"/>
    <w:rsid w:val="00563B97"/>
    <w:rsid w:val="005640F9"/>
    <w:rsid w:val="005644B3"/>
    <w:rsid w:val="00564756"/>
    <w:rsid w:val="00564A1C"/>
    <w:rsid w:val="00564AD7"/>
    <w:rsid w:val="00565B82"/>
    <w:rsid w:val="00566001"/>
    <w:rsid w:val="005662D2"/>
    <w:rsid w:val="00566322"/>
    <w:rsid w:val="00566B06"/>
    <w:rsid w:val="00566E40"/>
    <w:rsid w:val="00566F07"/>
    <w:rsid w:val="005674E3"/>
    <w:rsid w:val="0056772F"/>
    <w:rsid w:val="005678C0"/>
    <w:rsid w:val="00567A89"/>
    <w:rsid w:val="00567C92"/>
    <w:rsid w:val="0057017B"/>
    <w:rsid w:val="00570CBD"/>
    <w:rsid w:val="005713C0"/>
    <w:rsid w:val="00571901"/>
    <w:rsid w:val="00571D1F"/>
    <w:rsid w:val="00571D97"/>
    <w:rsid w:val="00572477"/>
    <w:rsid w:val="00573156"/>
    <w:rsid w:val="00574DFD"/>
    <w:rsid w:val="00575D3B"/>
    <w:rsid w:val="00576315"/>
    <w:rsid w:val="00576630"/>
    <w:rsid w:val="0057670C"/>
    <w:rsid w:val="00576790"/>
    <w:rsid w:val="00576FAC"/>
    <w:rsid w:val="00581111"/>
    <w:rsid w:val="005820BB"/>
    <w:rsid w:val="00582AE5"/>
    <w:rsid w:val="00582F3D"/>
    <w:rsid w:val="00584470"/>
    <w:rsid w:val="005845A7"/>
    <w:rsid w:val="00584706"/>
    <w:rsid w:val="005853D5"/>
    <w:rsid w:val="00585634"/>
    <w:rsid w:val="00585A8E"/>
    <w:rsid w:val="00585E4A"/>
    <w:rsid w:val="005867F0"/>
    <w:rsid w:val="00587933"/>
    <w:rsid w:val="00587EDC"/>
    <w:rsid w:val="00587F2B"/>
    <w:rsid w:val="00590E06"/>
    <w:rsid w:val="00593487"/>
    <w:rsid w:val="00593A5D"/>
    <w:rsid w:val="00593CAF"/>
    <w:rsid w:val="005953DA"/>
    <w:rsid w:val="00595AC1"/>
    <w:rsid w:val="00595B04"/>
    <w:rsid w:val="0059605B"/>
    <w:rsid w:val="005961BB"/>
    <w:rsid w:val="00597461"/>
    <w:rsid w:val="00597689"/>
    <w:rsid w:val="00597963"/>
    <w:rsid w:val="005A1073"/>
    <w:rsid w:val="005A116F"/>
    <w:rsid w:val="005A19C0"/>
    <w:rsid w:val="005A2011"/>
    <w:rsid w:val="005A2096"/>
    <w:rsid w:val="005A221A"/>
    <w:rsid w:val="005A3187"/>
    <w:rsid w:val="005A4829"/>
    <w:rsid w:val="005A49CB"/>
    <w:rsid w:val="005A5641"/>
    <w:rsid w:val="005A56B4"/>
    <w:rsid w:val="005A593A"/>
    <w:rsid w:val="005A64AD"/>
    <w:rsid w:val="005A6894"/>
    <w:rsid w:val="005A690B"/>
    <w:rsid w:val="005A6F3B"/>
    <w:rsid w:val="005A71C0"/>
    <w:rsid w:val="005A72D0"/>
    <w:rsid w:val="005A786A"/>
    <w:rsid w:val="005A7F14"/>
    <w:rsid w:val="005B03AB"/>
    <w:rsid w:val="005B23E6"/>
    <w:rsid w:val="005B30D1"/>
    <w:rsid w:val="005B32B2"/>
    <w:rsid w:val="005B3321"/>
    <w:rsid w:val="005B36FE"/>
    <w:rsid w:val="005B44CA"/>
    <w:rsid w:val="005B5436"/>
    <w:rsid w:val="005B58FD"/>
    <w:rsid w:val="005B615E"/>
    <w:rsid w:val="005B6870"/>
    <w:rsid w:val="005B6C1B"/>
    <w:rsid w:val="005B7835"/>
    <w:rsid w:val="005B7892"/>
    <w:rsid w:val="005B7A93"/>
    <w:rsid w:val="005C04C5"/>
    <w:rsid w:val="005C1878"/>
    <w:rsid w:val="005C1D25"/>
    <w:rsid w:val="005C41D5"/>
    <w:rsid w:val="005C456D"/>
    <w:rsid w:val="005C5D70"/>
    <w:rsid w:val="005C6276"/>
    <w:rsid w:val="005C6591"/>
    <w:rsid w:val="005C693D"/>
    <w:rsid w:val="005C6D23"/>
    <w:rsid w:val="005C71F5"/>
    <w:rsid w:val="005C7605"/>
    <w:rsid w:val="005C762E"/>
    <w:rsid w:val="005D10B7"/>
    <w:rsid w:val="005D1345"/>
    <w:rsid w:val="005D1891"/>
    <w:rsid w:val="005D2046"/>
    <w:rsid w:val="005D251F"/>
    <w:rsid w:val="005D4DAE"/>
    <w:rsid w:val="005D5155"/>
    <w:rsid w:val="005D57B1"/>
    <w:rsid w:val="005E13AC"/>
    <w:rsid w:val="005E1854"/>
    <w:rsid w:val="005E1E28"/>
    <w:rsid w:val="005E1F35"/>
    <w:rsid w:val="005E2B17"/>
    <w:rsid w:val="005E33A0"/>
    <w:rsid w:val="005E33DA"/>
    <w:rsid w:val="005E3A44"/>
    <w:rsid w:val="005E459A"/>
    <w:rsid w:val="005E4BBF"/>
    <w:rsid w:val="005E4EC5"/>
    <w:rsid w:val="005E50B0"/>
    <w:rsid w:val="005E5151"/>
    <w:rsid w:val="005E5C45"/>
    <w:rsid w:val="005E6520"/>
    <w:rsid w:val="005E7AB4"/>
    <w:rsid w:val="005F0AB1"/>
    <w:rsid w:val="005F123E"/>
    <w:rsid w:val="005F16AB"/>
    <w:rsid w:val="005F1B6F"/>
    <w:rsid w:val="005F1FBE"/>
    <w:rsid w:val="005F2C9C"/>
    <w:rsid w:val="005F47C3"/>
    <w:rsid w:val="005F4C23"/>
    <w:rsid w:val="005F4C57"/>
    <w:rsid w:val="005F531F"/>
    <w:rsid w:val="005F5522"/>
    <w:rsid w:val="005F61FD"/>
    <w:rsid w:val="005F79FF"/>
    <w:rsid w:val="00600C04"/>
    <w:rsid w:val="0060199E"/>
    <w:rsid w:val="00601F99"/>
    <w:rsid w:val="006026EF"/>
    <w:rsid w:val="00603004"/>
    <w:rsid w:val="006033EF"/>
    <w:rsid w:val="00603536"/>
    <w:rsid w:val="006035D9"/>
    <w:rsid w:val="00603817"/>
    <w:rsid w:val="006044F9"/>
    <w:rsid w:val="006045E7"/>
    <w:rsid w:val="00604E0C"/>
    <w:rsid w:val="006055BF"/>
    <w:rsid w:val="0060567E"/>
    <w:rsid w:val="00605B7A"/>
    <w:rsid w:val="006060D1"/>
    <w:rsid w:val="006063EF"/>
    <w:rsid w:val="006068C0"/>
    <w:rsid w:val="00606BE4"/>
    <w:rsid w:val="00610101"/>
    <w:rsid w:val="00611D1E"/>
    <w:rsid w:val="0061268A"/>
    <w:rsid w:val="0061273F"/>
    <w:rsid w:val="00612BFD"/>
    <w:rsid w:val="006131BB"/>
    <w:rsid w:val="006135C1"/>
    <w:rsid w:val="00613AC2"/>
    <w:rsid w:val="00613EEB"/>
    <w:rsid w:val="00614E8A"/>
    <w:rsid w:val="00615D07"/>
    <w:rsid w:val="006160C0"/>
    <w:rsid w:val="006167BC"/>
    <w:rsid w:val="00616CD0"/>
    <w:rsid w:val="00616E7F"/>
    <w:rsid w:val="006172FA"/>
    <w:rsid w:val="006174F2"/>
    <w:rsid w:val="00617DF2"/>
    <w:rsid w:val="00617EA5"/>
    <w:rsid w:val="0062010A"/>
    <w:rsid w:val="00621467"/>
    <w:rsid w:val="00621644"/>
    <w:rsid w:val="006224E3"/>
    <w:rsid w:val="00622A7D"/>
    <w:rsid w:val="006236F9"/>
    <w:rsid w:val="00623FD2"/>
    <w:rsid w:val="00624793"/>
    <w:rsid w:val="00626149"/>
    <w:rsid w:val="00626288"/>
    <w:rsid w:val="00626617"/>
    <w:rsid w:val="006277E7"/>
    <w:rsid w:val="00627DD5"/>
    <w:rsid w:val="00630E5F"/>
    <w:rsid w:val="0063198F"/>
    <w:rsid w:val="0063233C"/>
    <w:rsid w:val="00632D7D"/>
    <w:rsid w:val="0063379C"/>
    <w:rsid w:val="00634C4C"/>
    <w:rsid w:val="0063500E"/>
    <w:rsid w:val="0063712E"/>
    <w:rsid w:val="006375C1"/>
    <w:rsid w:val="00637C55"/>
    <w:rsid w:val="00637DD8"/>
    <w:rsid w:val="00637DE1"/>
    <w:rsid w:val="00640713"/>
    <w:rsid w:val="00640823"/>
    <w:rsid w:val="00640BFF"/>
    <w:rsid w:val="006411E9"/>
    <w:rsid w:val="0064255E"/>
    <w:rsid w:val="00642AFF"/>
    <w:rsid w:val="006439C1"/>
    <w:rsid w:val="00643C52"/>
    <w:rsid w:val="00643E6F"/>
    <w:rsid w:val="00644749"/>
    <w:rsid w:val="00646BAC"/>
    <w:rsid w:val="00646BF3"/>
    <w:rsid w:val="00647481"/>
    <w:rsid w:val="00647DAC"/>
    <w:rsid w:val="00647F20"/>
    <w:rsid w:val="00650528"/>
    <w:rsid w:val="006506B1"/>
    <w:rsid w:val="00651FD0"/>
    <w:rsid w:val="006520A9"/>
    <w:rsid w:val="00652115"/>
    <w:rsid w:val="00652AC0"/>
    <w:rsid w:val="00652BAE"/>
    <w:rsid w:val="00653263"/>
    <w:rsid w:val="00653579"/>
    <w:rsid w:val="00653B08"/>
    <w:rsid w:val="00653E96"/>
    <w:rsid w:val="006540D0"/>
    <w:rsid w:val="0065500F"/>
    <w:rsid w:val="00655876"/>
    <w:rsid w:val="00655E55"/>
    <w:rsid w:val="006563D9"/>
    <w:rsid w:val="0065642A"/>
    <w:rsid w:val="00657176"/>
    <w:rsid w:val="006571DE"/>
    <w:rsid w:val="0065744B"/>
    <w:rsid w:val="00660375"/>
    <w:rsid w:val="0066066B"/>
    <w:rsid w:val="0066339E"/>
    <w:rsid w:val="00664767"/>
    <w:rsid w:val="00664CCE"/>
    <w:rsid w:val="00665E9C"/>
    <w:rsid w:val="00666505"/>
    <w:rsid w:val="00667221"/>
    <w:rsid w:val="00667D21"/>
    <w:rsid w:val="00667FD8"/>
    <w:rsid w:val="0067136C"/>
    <w:rsid w:val="00672848"/>
    <w:rsid w:val="00673837"/>
    <w:rsid w:val="00674F9D"/>
    <w:rsid w:val="0067666C"/>
    <w:rsid w:val="00676B04"/>
    <w:rsid w:val="006774F2"/>
    <w:rsid w:val="00677BFB"/>
    <w:rsid w:val="00677D88"/>
    <w:rsid w:val="00680E6F"/>
    <w:rsid w:val="006815D3"/>
    <w:rsid w:val="00681DC8"/>
    <w:rsid w:val="00681DCD"/>
    <w:rsid w:val="00681EC9"/>
    <w:rsid w:val="00681F4B"/>
    <w:rsid w:val="006823AE"/>
    <w:rsid w:val="0068334B"/>
    <w:rsid w:val="00684128"/>
    <w:rsid w:val="00684181"/>
    <w:rsid w:val="006842C6"/>
    <w:rsid w:val="00684451"/>
    <w:rsid w:val="006848F2"/>
    <w:rsid w:val="00684B0E"/>
    <w:rsid w:val="00684F02"/>
    <w:rsid w:val="00685FF7"/>
    <w:rsid w:val="0068622E"/>
    <w:rsid w:val="00686462"/>
    <w:rsid w:val="006866B9"/>
    <w:rsid w:val="00687A7D"/>
    <w:rsid w:val="00690E7F"/>
    <w:rsid w:val="006923D2"/>
    <w:rsid w:val="006927E3"/>
    <w:rsid w:val="006938E7"/>
    <w:rsid w:val="00694110"/>
    <w:rsid w:val="006943C0"/>
    <w:rsid w:val="0069505F"/>
    <w:rsid w:val="0069559F"/>
    <w:rsid w:val="00695A38"/>
    <w:rsid w:val="00695A55"/>
    <w:rsid w:val="00696031"/>
    <w:rsid w:val="006971E0"/>
    <w:rsid w:val="0069786F"/>
    <w:rsid w:val="006978FC"/>
    <w:rsid w:val="006A1463"/>
    <w:rsid w:val="006A2B3A"/>
    <w:rsid w:val="006A35B6"/>
    <w:rsid w:val="006A3900"/>
    <w:rsid w:val="006A3F25"/>
    <w:rsid w:val="006A45FB"/>
    <w:rsid w:val="006A477D"/>
    <w:rsid w:val="006A49C0"/>
    <w:rsid w:val="006A53B5"/>
    <w:rsid w:val="006A5767"/>
    <w:rsid w:val="006A5802"/>
    <w:rsid w:val="006A5C90"/>
    <w:rsid w:val="006A5D95"/>
    <w:rsid w:val="006A5E28"/>
    <w:rsid w:val="006A6B61"/>
    <w:rsid w:val="006A6D85"/>
    <w:rsid w:val="006A6ECD"/>
    <w:rsid w:val="006A7062"/>
    <w:rsid w:val="006B0B36"/>
    <w:rsid w:val="006B18D5"/>
    <w:rsid w:val="006B1E21"/>
    <w:rsid w:val="006B2022"/>
    <w:rsid w:val="006B26E7"/>
    <w:rsid w:val="006B26EC"/>
    <w:rsid w:val="006B319D"/>
    <w:rsid w:val="006B35EC"/>
    <w:rsid w:val="006B3BF9"/>
    <w:rsid w:val="006B4FB7"/>
    <w:rsid w:val="006B5BE0"/>
    <w:rsid w:val="006B6493"/>
    <w:rsid w:val="006B65E4"/>
    <w:rsid w:val="006B738F"/>
    <w:rsid w:val="006C061B"/>
    <w:rsid w:val="006C0662"/>
    <w:rsid w:val="006C1BD5"/>
    <w:rsid w:val="006C1EFC"/>
    <w:rsid w:val="006C29C4"/>
    <w:rsid w:val="006C306E"/>
    <w:rsid w:val="006C378D"/>
    <w:rsid w:val="006C3A43"/>
    <w:rsid w:val="006C3AA6"/>
    <w:rsid w:val="006C3FD0"/>
    <w:rsid w:val="006C42E7"/>
    <w:rsid w:val="006C554A"/>
    <w:rsid w:val="006C5585"/>
    <w:rsid w:val="006C6460"/>
    <w:rsid w:val="006C661F"/>
    <w:rsid w:val="006C6B6F"/>
    <w:rsid w:val="006C6E8B"/>
    <w:rsid w:val="006C7853"/>
    <w:rsid w:val="006D163F"/>
    <w:rsid w:val="006D189D"/>
    <w:rsid w:val="006D3202"/>
    <w:rsid w:val="006D40AD"/>
    <w:rsid w:val="006D4541"/>
    <w:rsid w:val="006D4682"/>
    <w:rsid w:val="006D4B4D"/>
    <w:rsid w:val="006D4C31"/>
    <w:rsid w:val="006D6063"/>
    <w:rsid w:val="006D62C4"/>
    <w:rsid w:val="006D6B0E"/>
    <w:rsid w:val="006D768F"/>
    <w:rsid w:val="006D7D24"/>
    <w:rsid w:val="006E00C5"/>
    <w:rsid w:val="006E061E"/>
    <w:rsid w:val="006E089A"/>
    <w:rsid w:val="006E14EF"/>
    <w:rsid w:val="006E256B"/>
    <w:rsid w:val="006E2C45"/>
    <w:rsid w:val="006E380C"/>
    <w:rsid w:val="006E3D13"/>
    <w:rsid w:val="006E3E9A"/>
    <w:rsid w:val="006E44B3"/>
    <w:rsid w:val="006E4C13"/>
    <w:rsid w:val="006E4C3D"/>
    <w:rsid w:val="006E50D2"/>
    <w:rsid w:val="006E571B"/>
    <w:rsid w:val="006E5B2E"/>
    <w:rsid w:val="006E5B77"/>
    <w:rsid w:val="006E6821"/>
    <w:rsid w:val="006E6D87"/>
    <w:rsid w:val="006E700F"/>
    <w:rsid w:val="006E7560"/>
    <w:rsid w:val="006E75FC"/>
    <w:rsid w:val="006E7C4F"/>
    <w:rsid w:val="006E7FE3"/>
    <w:rsid w:val="006F01D7"/>
    <w:rsid w:val="006F10BB"/>
    <w:rsid w:val="006F279E"/>
    <w:rsid w:val="006F3804"/>
    <w:rsid w:val="006F38C4"/>
    <w:rsid w:val="006F3F34"/>
    <w:rsid w:val="006F417B"/>
    <w:rsid w:val="006F51A8"/>
    <w:rsid w:val="006F546C"/>
    <w:rsid w:val="006F559C"/>
    <w:rsid w:val="006F55E5"/>
    <w:rsid w:val="006F5F21"/>
    <w:rsid w:val="006F6AD9"/>
    <w:rsid w:val="006F6E42"/>
    <w:rsid w:val="006F76D5"/>
    <w:rsid w:val="006F7D08"/>
    <w:rsid w:val="006F7F06"/>
    <w:rsid w:val="007006DE"/>
    <w:rsid w:val="007011F5"/>
    <w:rsid w:val="00701CDB"/>
    <w:rsid w:val="00702032"/>
    <w:rsid w:val="00702858"/>
    <w:rsid w:val="00702D85"/>
    <w:rsid w:val="0070366E"/>
    <w:rsid w:val="007043BA"/>
    <w:rsid w:val="0070491E"/>
    <w:rsid w:val="00704A2F"/>
    <w:rsid w:val="00704B6E"/>
    <w:rsid w:val="007050FA"/>
    <w:rsid w:val="007052E3"/>
    <w:rsid w:val="00705F56"/>
    <w:rsid w:val="00706D6E"/>
    <w:rsid w:val="007075CF"/>
    <w:rsid w:val="00707682"/>
    <w:rsid w:val="00707757"/>
    <w:rsid w:val="00707E21"/>
    <w:rsid w:val="00707F31"/>
    <w:rsid w:val="0071094A"/>
    <w:rsid w:val="0071145B"/>
    <w:rsid w:val="007122B9"/>
    <w:rsid w:val="00712418"/>
    <w:rsid w:val="00712D7D"/>
    <w:rsid w:val="0071362B"/>
    <w:rsid w:val="0071397B"/>
    <w:rsid w:val="00713C75"/>
    <w:rsid w:val="00714527"/>
    <w:rsid w:val="00714770"/>
    <w:rsid w:val="00714C54"/>
    <w:rsid w:val="00714D68"/>
    <w:rsid w:val="00715455"/>
    <w:rsid w:val="00715D3C"/>
    <w:rsid w:val="00715D4F"/>
    <w:rsid w:val="00716F33"/>
    <w:rsid w:val="00717EA1"/>
    <w:rsid w:val="00721885"/>
    <w:rsid w:val="00721A25"/>
    <w:rsid w:val="00721D96"/>
    <w:rsid w:val="007221B5"/>
    <w:rsid w:val="00722C6F"/>
    <w:rsid w:val="007237C1"/>
    <w:rsid w:val="007238C1"/>
    <w:rsid w:val="007240E7"/>
    <w:rsid w:val="00725747"/>
    <w:rsid w:val="007262A0"/>
    <w:rsid w:val="007268B3"/>
    <w:rsid w:val="00726DE4"/>
    <w:rsid w:val="0072786D"/>
    <w:rsid w:val="007303BB"/>
    <w:rsid w:val="00730ADF"/>
    <w:rsid w:val="00731666"/>
    <w:rsid w:val="00731B6C"/>
    <w:rsid w:val="00732170"/>
    <w:rsid w:val="00732A58"/>
    <w:rsid w:val="007338B2"/>
    <w:rsid w:val="00733D73"/>
    <w:rsid w:val="00735315"/>
    <w:rsid w:val="0073632B"/>
    <w:rsid w:val="007363A9"/>
    <w:rsid w:val="007363F1"/>
    <w:rsid w:val="00736577"/>
    <w:rsid w:val="007378FE"/>
    <w:rsid w:val="00737D91"/>
    <w:rsid w:val="00740E9F"/>
    <w:rsid w:val="00740EE5"/>
    <w:rsid w:val="00741ADD"/>
    <w:rsid w:val="007427AC"/>
    <w:rsid w:val="00743138"/>
    <w:rsid w:val="007432D2"/>
    <w:rsid w:val="00743498"/>
    <w:rsid w:val="007445DC"/>
    <w:rsid w:val="00744E64"/>
    <w:rsid w:val="00744FB4"/>
    <w:rsid w:val="00747255"/>
    <w:rsid w:val="007472B6"/>
    <w:rsid w:val="0074741F"/>
    <w:rsid w:val="00747493"/>
    <w:rsid w:val="007478A7"/>
    <w:rsid w:val="007501E8"/>
    <w:rsid w:val="007512C1"/>
    <w:rsid w:val="0075158D"/>
    <w:rsid w:val="00752CDA"/>
    <w:rsid w:val="00754420"/>
    <w:rsid w:val="00754F08"/>
    <w:rsid w:val="00754F60"/>
    <w:rsid w:val="007557C6"/>
    <w:rsid w:val="007602EF"/>
    <w:rsid w:val="007602F9"/>
    <w:rsid w:val="00760D7D"/>
    <w:rsid w:val="00760E05"/>
    <w:rsid w:val="0076133F"/>
    <w:rsid w:val="007617E7"/>
    <w:rsid w:val="00761930"/>
    <w:rsid w:val="007621A3"/>
    <w:rsid w:val="0076225C"/>
    <w:rsid w:val="007636CD"/>
    <w:rsid w:val="00763A21"/>
    <w:rsid w:val="00764BC2"/>
    <w:rsid w:val="00764D18"/>
    <w:rsid w:val="00765A86"/>
    <w:rsid w:val="00766010"/>
    <w:rsid w:val="007669BB"/>
    <w:rsid w:val="00766A69"/>
    <w:rsid w:val="00766FD3"/>
    <w:rsid w:val="00766FE4"/>
    <w:rsid w:val="00767C81"/>
    <w:rsid w:val="00767FA5"/>
    <w:rsid w:val="007713C6"/>
    <w:rsid w:val="00771442"/>
    <w:rsid w:val="00771988"/>
    <w:rsid w:val="007743AF"/>
    <w:rsid w:val="007749E4"/>
    <w:rsid w:val="00774B45"/>
    <w:rsid w:val="00775927"/>
    <w:rsid w:val="00775D79"/>
    <w:rsid w:val="00775F63"/>
    <w:rsid w:val="007763DB"/>
    <w:rsid w:val="00776C0C"/>
    <w:rsid w:val="007812DE"/>
    <w:rsid w:val="0078153C"/>
    <w:rsid w:val="00781B6A"/>
    <w:rsid w:val="00781CF0"/>
    <w:rsid w:val="007824E9"/>
    <w:rsid w:val="0078279F"/>
    <w:rsid w:val="00782B5D"/>
    <w:rsid w:val="00782B7E"/>
    <w:rsid w:val="00782E5E"/>
    <w:rsid w:val="007831C8"/>
    <w:rsid w:val="00783D30"/>
    <w:rsid w:val="007851FA"/>
    <w:rsid w:val="007857AC"/>
    <w:rsid w:val="00785D4E"/>
    <w:rsid w:val="00786639"/>
    <w:rsid w:val="00790518"/>
    <w:rsid w:val="007905FD"/>
    <w:rsid w:val="00790717"/>
    <w:rsid w:val="00790F26"/>
    <w:rsid w:val="00792825"/>
    <w:rsid w:val="00793FB0"/>
    <w:rsid w:val="00794BD8"/>
    <w:rsid w:val="007954E3"/>
    <w:rsid w:val="007961DF"/>
    <w:rsid w:val="00796F67"/>
    <w:rsid w:val="0079757F"/>
    <w:rsid w:val="007A03E3"/>
    <w:rsid w:val="007A12BA"/>
    <w:rsid w:val="007A1A6B"/>
    <w:rsid w:val="007A3282"/>
    <w:rsid w:val="007A3574"/>
    <w:rsid w:val="007A35A6"/>
    <w:rsid w:val="007A3642"/>
    <w:rsid w:val="007A51FB"/>
    <w:rsid w:val="007A54F9"/>
    <w:rsid w:val="007A5A0B"/>
    <w:rsid w:val="007A5DD8"/>
    <w:rsid w:val="007A688C"/>
    <w:rsid w:val="007A747D"/>
    <w:rsid w:val="007A7E26"/>
    <w:rsid w:val="007B09AC"/>
    <w:rsid w:val="007B0F82"/>
    <w:rsid w:val="007B26B7"/>
    <w:rsid w:val="007B2846"/>
    <w:rsid w:val="007B3088"/>
    <w:rsid w:val="007B3E04"/>
    <w:rsid w:val="007B3FE8"/>
    <w:rsid w:val="007B4956"/>
    <w:rsid w:val="007B5CB1"/>
    <w:rsid w:val="007B6A50"/>
    <w:rsid w:val="007B7084"/>
    <w:rsid w:val="007B70AF"/>
    <w:rsid w:val="007C17CE"/>
    <w:rsid w:val="007C1A92"/>
    <w:rsid w:val="007C21F9"/>
    <w:rsid w:val="007C257D"/>
    <w:rsid w:val="007C36A2"/>
    <w:rsid w:val="007C373D"/>
    <w:rsid w:val="007C430F"/>
    <w:rsid w:val="007C6B6D"/>
    <w:rsid w:val="007C6EC4"/>
    <w:rsid w:val="007D0B5D"/>
    <w:rsid w:val="007D143E"/>
    <w:rsid w:val="007D274B"/>
    <w:rsid w:val="007D2BCD"/>
    <w:rsid w:val="007D392F"/>
    <w:rsid w:val="007D3FF3"/>
    <w:rsid w:val="007D410A"/>
    <w:rsid w:val="007D53D0"/>
    <w:rsid w:val="007D5592"/>
    <w:rsid w:val="007D579D"/>
    <w:rsid w:val="007D5FFA"/>
    <w:rsid w:val="007D72BF"/>
    <w:rsid w:val="007D79E2"/>
    <w:rsid w:val="007D7C89"/>
    <w:rsid w:val="007E08E9"/>
    <w:rsid w:val="007E198C"/>
    <w:rsid w:val="007E2358"/>
    <w:rsid w:val="007E4FB3"/>
    <w:rsid w:val="007E5DCD"/>
    <w:rsid w:val="007E65B6"/>
    <w:rsid w:val="007E6ADD"/>
    <w:rsid w:val="007E7EC3"/>
    <w:rsid w:val="007E7F53"/>
    <w:rsid w:val="007F02EC"/>
    <w:rsid w:val="007F1161"/>
    <w:rsid w:val="007F1A5F"/>
    <w:rsid w:val="007F21E3"/>
    <w:rsid w:val="007F2626"/>
    <w:rsid w:val="007F3921"/>
    <w:rsid w:val="007F3BC9"/>
    <w:rsid w:val="007F3C32"/>
    <w:rsid w:val="007F3EF7"/>
    <w:rsid w:val="007F4041"/>
    <w:rsid w:val="007F520E"/>
    <w:rsid w:val="007F5FE4"/>
    <w:rsid w:val="008000AB"/>
    <w:rsid w:val="008005C3"/>
    <w:rsid w:val="008009F7"/>
    <w:rsid w:val="00801B5E"/>
    <w:rsid w:val="00802242"/>
    <w:rsid w:val="008023E3"/>
    <w:rsid w:val="00802472"/>
    <w:rsid w:val="008024DF"/>
    <w:rsid w:val="0080380E"/>
    <w:rsid w:val="0080436A"/>
    <w:rsid w:val="00804C5F"/>
    <w:rsid w:val="00805251"/>
    <w:rsid w:val="00805388"/>
    <w:rsid w:val="0080619A"/>
    <w:rsid w:val="0081055E"/>
    <w:rsid w:val="00811DB1"/>
    <w:rsid w:val="00811EA7"/>
    <w:rsid w:val="0081216A"/>
    <w:rsid w:val="0081253B"/>
    <w:rsid w:val="00812966"/>
    <w:rsid w:val="00812A01"/>
    <w:rsid w:val="00812FA9"/>
    <w:rsid w:val="00813AB0"/>
    <w:rsid w:val="008144BD"/>
    <w:rsid w:val="00814BB3"/>
    <w:rsid w:val="00815027"/>
    <w:rsid w:val="00815708"/>
    <w:rsid w:val="00816387"/>
    <w:rsid w:val="008167DE"/>
    <w:rsid w:val="00817810"/>
    <w:rsid w:val="0081791C"/>
    <w:rsid w:val="008200BE"/>
    <w:rsid w:val="0082051D"/>
    <w:rsid w:val="008218D8"/>
    <w:rsid w:val="008219F3"/>
    <w:rsid w:val="00821CF5"/>
    <w:rsid w:val="0082276B"/>
    <w:rsid w:val="00823062"/>
    <w:rsid w:val="00823287"/>
    <w:rsid w:val="00823549"/>
    <w:rsid w:val="008238BB"/>
    <w:rsid w:val="0082456B"/>
    <w:rsid w:val="008248A8"/>
    <w:rsid w:val="00824A77"/>
    <w:rsid w:val="008255A5"/>
    <w:rsid w:val="00825A31"/>
    <w:rsid w:val="008262A0"/>
    <w:rsid w:val="0082648D"/>
    <w:rsid w:val="00826D2D"/>
    <w:rsid w:val="00826E1A"/>
    <w:rsid w:val="0082708F"/>
    <w:rsid w:val="00827AA3"/>
    <w:rsid w:val="00827E01"/>
    <w:rsid w:val="00830192"/>
    <w:rsid w:val="008312B2"/>
    <w:rsid w:val="008312E6"/>
    <w:rsid w:val="00831B92"/>
    <w:rsid w:val="008320C4"/>
    <w:rsid w:val="008328B1"/>
    <w:rsid w:val="0083382D"/>
    <w:rsid w:val="00833C48"/>
    <w:rsid w:val="00834084"/>
    <w:rsid w:val="00834796"/>
    <w:rsid w:val="00835166"/>
    <w:rsid w:val="0083519D"/>
    <w:rsid w:val="00835B93"/>
    <w:rsid w:val="00835ED1"/>
    <w:rsid w:val="008360C2"/>
    <w:rsid w:val="008361B4"/>
    <w:rsid w:val="0083764D"/>
    <w:rsid w:val="00841576"/>
    <w:rsid w:val="00841CC1"/>
    <w:rsid w:val="00842BC7"/>
    <w:rsid w:val="0084326C"/>
    <w:rsid w:val="00843602"/>
    <w:rsid w:val="00843927"/>
    <w:rsid w:val="00843C00"/>
    <w:rsid w:val="00843D92"/>
    <w:rsid w:val="00843E98"/>
    <w:rsid w:val="0084467A"/>
    <w:rsid w:val="00845167"/>
    <w:rsid w:val="00847D04"/>
    <w:rsid w:val="0085013A"/>
    <w:rsid w:val="00850182"/>
    <w:rsid w:val="00850D48"/>
    <w:rsid w:val="0085120A"/>
    <w:rsid w:val="00851709"/>
    <w:rsid w:val="0085264E"/>
    <w:rsid w:val="008536C3"/>
    <w:rsid w:val="008543C4"/>
    <w:rsid w:val="00854E4E"/>
    <w:rsid w:val="008551CE"/>
    <w:rsid w:val="008564B0"/>
    <w:rsid w:val="008578F5"/>
    <w:rsid w:val="00857B9C"/>
    <w:rsid w:val="00857DAD"/>
    <w:rsid w:val="00860D3E"/>
    <w:rsid w:val="008613C4"/>
    <w:rsid w:val="00861626"/>
    <w:rsid w:val="00862711"/>
    <w:rsid w:val="008628B3"/>
    <w:rsid w:val="00863DAA"/>
    <w:rsid w:val="00865BF6"/>
    <w:rsid w:val="00865DF2"/>
    <w:rsid w:val="00866599"/>
    <w:rsid w:val="008670C1"/>
    <w:rsid w:val="00870DD6"/>
    <w:rsid w:val="008714FE"/>
    <w:rsid w:val="00871A0A"/>
    <w:rsid w:val="00872236"/>
    <w:rsid w:val="008732BD"/>
    <w:rsid w:val="00874788"/>
    <w:rsid w:val="00874DB8"/>
    <w:rsid w:val="00876566"/>
    <w:rsid w:val="008800CA"/>
    <w:rsid w:val="00880409"/>
    <w:rsid w:val="008805D9"/>
    <w:rsid w:val="00881125"/>
    <w:rsid w:val="00881767"/>
    <w:rsid w:val="008817E5"/>
    <w:rsid w:val="008826D8"/>
    <w:rsid w:val="00882CFE"/>
    <w:rsid w:val="00883617"/>
    <w:rsid w:val="00883F4E"/>
    <w:rsid w:val="00884335"/>
    <w:rsid w:val="008846EE"/>
    <w:rsid w:val="00885900"/>
    <w:rsid w:val="00886633"/>
    <w:rsid w:val="00886CA5"/>
    <w:rsid w:val="008870A3"/>
    <w:rsid w:val="00887B48"/>
    <w:rsid w:val="00890B51"/>
    <w:rsid w:val="008926F8"/>
    <w:rsid w:val="00892DF3"/>
    <w:rsid w:val="00892E77"/>
    <w:rsid w:val="008933DE"/>
    <w:rsid w:val="008936A8"/>
    <w:rsid w:val="008950DB"/>
    <w:rsid w:val="00895152"/>
    <w:rsid w:val="008957E2"/>
    <w:rsid w:val="00895A7F"/>
    <w:rsid w:val="00896BA9"/>
    <w:rsid w:val="008A03BE"/>
    <w:rsid w:val="008A13C7"/>
    <w:rsid w:val="008A2B0F"/>
    <w:rsid w:val="008A3CA2"/>
    <w:rsid w:val="008A3D8A"/>
    <w:rsid w:val="008A3E88"/>
    <w:rsid w:val="008A49B4"/>
    <w:rsid w:val="008A55E3"/>
    <w:rsid w:val="008A5E40"/>
    <w:rsid w:val="008A6086"/>
    <w:rsid w:val="008A6183"/>
    <w:rsid w:val="008A7069"/>
    <w:rsid w:val="008A70AD"/>
    <w:rsid w:val="008A71BD"/>
    <w:rsid w:val="008A7335"/>
    <w:rsid w:val="008A7F2B"/>
    <w:rsid w:val="008B048F"/>
    <w:rsid w:val="008B0E70"/>
    <w:rsid w:val="008B15B9"/>
    <w:rsid w:val="008B17F9"/>
    <w:rsid w:val="008B27DA"/>
    <w:rsid w:val="008B2A72"/>
    <w:rsid w:val="008B3439"/>
    <w:rsid w:val="008B3C85"/>
    <w:rsid w:val="008B4DCC"/>
    <w:rsid w:val="008B51E7"/>
    <w:rsid w:val="008B5774"/>
    <w:rsid w:val="008B5A87"/>
    <w:rsid w:val="008B60F5"/>
    <w:rsid w:val="008B71B4"/>
    <w:rsid w:val="008B7249"/>
    <w:rsid w:val="008B7385"/>
    <w:rsid w:val="008B7EBF"/>
    <w:rsid w:val="008C064B"/>
    <w:rsid w:val="008C07BF"/>
    <w:rsid w:val="008C0B9A"/>
    <w:rsid w:val="008C10A2"/>
    <w:rsid w:val="008C20A7"/>
    <w:rsid w:val="008C2584"/>
    <w:rsid w:val="008C277D"/>
    <w:rsid w:val="008C320B"/>
    <w:rsid w:val="008C413A"/>
    <w:rsid w:val="008C425C"/>
    <w:rsid w:val="008C4663"/>
    <w:rsid w:val="008C473E"/>
    <w:rsid w:val="008C50EA"/>
    <w:rsid w:val="008C6FE7"/>
    <w:rsid w:val="008D0E7F"/>
    <w:rsid w:val="008D1632"/>
    <w:rsid w:val="008D3010"/>
    <w:rsid w:val="008D3B84"/>
    <w:rsid w:val="008D462B"/>
    <w:rsid w:val="008D4CA9"/>
    <w:rsid w:val="008D52D9"/>
    <w:rsid w:val="008D5999"/>
    <w:rsid w:val="008D599D"/>
    <w:rsid w:val="008D59F4"/>
    <w:rsid w:val="008D7961"/>
    <w:rsid w:val="008E06A7"/>
    <w:rsid w:val="008E0F81"/>
    <w:rsid w:val="008E20A4"/>
    <w:rsid w:val="008E35AE"/>
    <w:rsid w:val="008E3B78"/>
    <w:rsid w:val="008E3C2F"/>
    <w:rsid w:val="008E5302"/>
    <w:rsid w:val="008E5617"/>
    <w:rsid w:val="008E564A"/>
    <w:rsid w:val="008E58CA"/>
    <w:rsid w:val="008E6337"/>
    <w:rsid w:val="008E6A21"/>
    <w:rsid w:val="008F0514"/>
    <w:rsid w:val="008F09CB"/>
    <w:rsid w:val="008F0C02"/>
    <w:rsid w:val="008F13D4"/>
    <w:rsid w:val="008F2342"/>
    <w:rsid w:val="008F2D33"/>
    <w:rsid w:val="008F35F6"/>
    <w:rsid w:val="008F6479"/>
    <w:rsid w:val="008F64E7"/>
    <w:rsid w:val="008F666C"/>
    <w:rsid w:val="008F6D27"/>
    <w:rsid w:val="008F6F17"/>
    <w:rsid w:val="008F7215"/>
    <w:rsid w:val="008F73DB"/>
    <w:rsid w:val="008F79EB"/>
    <w:rsid w:val="00900D6E"/>
    <w:rsid w:val="00900FD4"/>
    <w:rsid w:val="009012BB"/>
    <w:rsid w:val="00901696"/>
    <w:rsid w:val="009019C7"/>
    <w:rsid w:val="00901A0B"/>
    <w:rsid w:val="00901B20"/>
    <w:rsid w:val="00902395"/>
    <w:rsid w:val="0090294C"/>
    <w:rsid w:val="009033A7"/>
    <w:rsid w:val="009044DE"/>
    <w:rsid w:val="00904A43"/>
    <w:rsid w:val="00905409"/>
    <w:rsid w:val="009056A6"/>
    <w:rsid w:val="00905E03"/>
    <w:rsid w:val="00907C56"/>
    <w:rsid w:val="009105FF"/>
    <w:rsid w:val="009108E8"/>
    <w:rsid w:val="00910EE4"/>
    <w:rsid w:val="00911871"/>
    <w:rsid w:val="00911C22"/>
    <w:rsid w:val="009121D1"/>
    <w:rsid w:val="0091365F"/>
    <w:rsid w:val="009141C0"/>
    <w:rsid w:val="0091445A"/>
    <w:rsid w:val="00914597"/>
    <w:rsid w:val="00916D77"/>
    <w:rsid w:val="0092138F"/>
    <w:rsid w:val="0092148B"/>
    <w:rsid w:val="009214B5"/>
    <w:rsid w:val="00921B9B"/>
    <w:rsid w:val="00921BCF"/>
    <w:rsid w:val="00921CBF"/>
    <w:rsid w:val="009229AD"/>
    <w:rsid w:val="0092458C"/>
    <w:rsid w:val="00925078"/>
    <w:rsid w:val="00925395"/>
    <w:rsid w:val="00926635"/>
    <w:rsid w:val="00926C16"/>
    <w:rsid w:val="0092788D"/>
    <w:rsid w:val="00927F46"/>
    <w:rsid w:val="009301FB"/>
    <w:rsid w:val="00930B66"/>
    <w:rsid w:val="00931315"/>
    <w:rsid w:val="00931983"/>
    <w:rsid w:val="00931ED9"/>
    <w:rsid w:val="009320C9"/>
    <w:rsid w:val="00932E88"/>
    <w:rsid w:val="00933E70"/>
    <w:rsid w:val="009342E4"/>
    <w:rsid w:val="0093483D"/>
    <w:rsid w:val="009348CA"/>
    <w:rsid w:val="00934D0E"/>
    <w:rsid w:val="00934D37"/>
    <w:rsid w:val="00935305"/>
    <w:rsid w:val="00935BA3"/>
    <w:rsid w:val="00935E65"/>
    <w:rsid w:val="009368A2"/>
    <w:rsid w:val="009403C7"/>
    <w:rsid w:val="00940D8B"/>
    <w:rsid w:val="00940F39"/>
    <w:rsid w:val="00941A44"/>
    <w:rsid w:val="009422C4"/>
    <w:rsid w:val="00942CFE"/>
    <w:rsid w:val="009447C8"/>
    <w:rsid w:val="00944BEB"/>
    <w:rsid w:val="009460E8"/>
    <w:rsid w:val="00946366"/>
    <w:rsid w:val="009464DC"/>
    <w:rsid w:val="00947816"/>
    <w:rsid w:val="00947891"/>
    <w:rsid w:val="00950F3E"/>
    <w:rsid w:val="009512F2"/>
    <w:rsid w:val="0095133B"/>
    <w:rsid w:val="00951F00"/>
    <w:rsid w:val="00952B6A"/>
    <w:rsid w:val="00952C4A"/>
    <w:rsid w:val="00952C91"/>
    <w:rsid w:val="0095385E"/>
    <w:rsid w:val="00953CC0"/>
    <w:rsid w:val="00954EAD"/>
    <w:rsid w:val="00955CC4"/>
    <w:rsid w:val="00955CE0"/>
    <w:rsid w:val="00955CF3"/>
    <w:rsid w:val="00957223"/>
    <w:rsid w:val="0095783D"/>
    <w:rsid w:val="00957E08"/>
    <w:rsid w:val="00960304"/>
    <w:rsid w:val="00960F07"/>
    <w:rsid w:val="00961488"/>
    <w:rsid w:val="00962009"/>
    <w:rsid w:val="00962ECD"/>
    <w:rsid w:val="00962FAF"/>
    <w:rsid w:val="00962FED"/>
    <w:rsid w:val="00963741"/>
    <w:rsid w:val="009646B2"/>
    <w:rsid w:val="009647B1"/>
    <w:rsid w:val="00964AD7"/>
    <w:rsid w:val="00964F47"/>
    <w:rsid w:val="0096521F"/>
    <w:rsid w:val="00965850"/>
    <w:rsid w:val="0096609C"/>
    <w:rsid w:val="009679F6"/>
    <w:rsid w:val="00972F3C"/>
    <w:rsid w:val="00973564"/>
    <w:rsid w:val="009735C6"/>
    <w:rsid w:val="00973C20"/>
    <w:rsid w:val="00973E19"/>
    <w:rsid w:val="00974D43"/>
    <w:rsid w:val="009755D2"/>
    <w:rsid w:val="00975765"/>
    <w:rsid w:val="00975886"/>
    <w:rsid w:val="00975B89"/>
    <w:rsid w:val="00976462"/>
    <w:rsid w:val="00977C61"/>
    <w:rsid w:val="0098017A"/>
    <w:rsid w:val="0098087C"/>
    <w:rsid w:val="009816F0"/>
    <w:rsid w:val="0098183B"/>
    <w:rsid w:val="00981899"/>
    <w:rsid w:val="00982E46"/>
    <w:rsid w:val="00983257"/>
    <w:rsid w:val="009840C4"/>
    <w:rsid w:val="00984B9A"/>
    <w:rsid w:val="0098573A"/>
    <w:rsid w:val="00985857"/>
    <w:rsid w:val="00987267"/>
    <w:rsid w:val="0098733F"/>
    <w:rsid w:val="00987609"/>
    <w:rsid w:val="0098787E"/>
    <w:rsid w:val="00987BF4"/>
    <w:rsid w:val="0099028C"/>
    <w:rsid w:val="009906D9"/>
    <w:rsid w:val="0099178C"/>
    <w:rsid w:val="009917DB"/>
    <w:rsid w:val="00991B8A"/>
    <w:rsid w:val="009937E5"/>
    <w:rsid w:val="00993886"/>
    <w:rsid w:val="00993A06"/>
    <w:rsid w:val="00993B44"/>
    <w:rsid w:val="009941C2"/>
    <w:rsid w:val="009955DB"/>
    <w:rsid w:val="00995C5E"/>
    <w:rsid w:val="00995EB5"/>
    <w:rsid w:val="00996116"/>
    <w:rsid w:val="00996DD9"/>
    <w:rsid w:val="00997C5F"/>
    <w:rsid w:val="009A2B74"/>
    <w:rsid w:val="009A2C6B"/>
    <w:rsid w:val="009A315F"/>
    <w:rsid w:val="009A3897"/>
    <w:rsid w:val="009A3D6A"/>
    <w:rsid w:val="009A4BD3"/>
    <w:rsid w:val="009A4DAA"/>
    <w:rsid w:val="009A5317"/>
    <w:rsid w:val="009A5681"/>
    <w:rsid w:val="009A6659"/>
    <w:rsid w:val="009A70E4"/>
    <w:rsid w:val="009A755A"/>
    <w:rsid w:val="009A7BB2"/>
    <w:rsid w:val="009B1208"/>
    <w:rsid w:val="009B1E0D"/>
    <w:rsid w:val="009B2DBB"/>
    <w:rsid w:val="009B34F8"/>
    <w:rsid w:val="009B3D9C"/>
    <w:rsid w:val="009B4580"/>
    <w:rsid w:val="009B4F53"/>
    <w:rsid w:val="009B50FF"/>
    <w:rsid w:val="009B5965"/>
    <w:rsid w:val="009B5DDD"/>
    <w:rsid w:val="009B660F"/>
    <w:rsid w:val="009B667C"/>
    <w:rsid w:val="009B72D8"/>
    <w:rsid w:val="009B77E9"/>
    <w:rsid w:val="009B7984"/>
    <w:rsid w:val="009C0B44"/>
    <w:rsid w:val="009C129F"/>
    <w:rsid w:val="009C26FB"/>
    <w:rsid w:val="009C27AF"/>
    <w:rsid w:val="009C3019"/>
    <w:rsid w:val="009C34D5"/>
    <w:rsid w:val="009C4E23"/>
    <w:rsid w:val="009C4F59"/>
    <w:rsid w:val="009C7525"/>
    <w:rsid w:val="009C7A67"/>
    <w:rsid w:val="009C7B16"/>
    <w:rsid w:val="009C7F0D"/>
    <w:rsid w:val="009D192C"/>
    <w:rsid w:val="009D1A79"/>
    <w:rsid w:val="009D216F"/>
    <w:rsid w:val="009D4764"/>
    <w:rsid w:val="009D50C3"/>
    <w:rsid w:val="009D6841"/>
    <w:rsid w:val="009E0D85"/>
    <w:rsid w:val="009E10B8"/>
    <w:rsid w:val="009E134F"/>
    <w:rsid w:val="009E1739"/>
    <w:rsid w:val="009E1E03"/>
    <w:rsid w:val="009E495E"/>
    <w:rsid w:val="009E5DC9"/>
    <w:rsid w:val="009E6106"/>
    <w:rsid w:val="009E6561"/>
    <w:rsid w:val="009E6B7D"/>
    <w:rsid w:val="009E6DDA"/>
    <w:rsid w:val="009E726B"/>
    <w:rsid w:val="009F0BCC"/>
    <w:rsid w:val="009F12D2"/>
    <w:rsid w:val="009F1CF5"/>
    <w:rsid w:val="009F2925"/>
    <w:rsid w:val="009F35FF"/>
    <w:rsid w:val="009F4CD9"/>
    <w:rsid w:val="009F622B"/>
    <w:rsid w:val="009F63C2"/>
    <w:rsid w:val="009F67B4"/>
    <w:rsid w:val="009F6A95"/>
    <w:rsid w:val="009F7181"/>
    <w:rsid w:val="009F7283"/>
    <w:rsid w:val="009F76E9"/>
    <w:rsid w:val="009F78A8"/>
    <w:rsid w:val="00A00EE0"/>
    <w:rsid w:val="00A0188D"/>
    <w:rsid w:val="00A02222"/>
    <w:rsid w:val="00A023E8"/>
    <w:rsid w:val="00A030E3"/>
    <w:rsid w:val="00A03A24"/>
    <w:rsid w:val="00A041C0"/>
    <w:rsid w:val="00A04250"/>
    <w:rsid w:val="00A0435F"/>
    <w:rsid w:val="00A049A3"/>
    <w:rsid w:val="00A055EA"/>
    <w:rsid w:val="00A062F9"/>
    <w:rsid w:val="00A07C8F"/>
    <w:rsid w:val="00A10287"/>
    <w:rsid w:val="00A109BA"/>
    <w:rsid w:val="00A10A7E"/>
    <w:rsid w:val="00A10DB1"/>
    <w:rsid w:val="00A11EB3"/>
    <w:rsid w:val="00A12440"/>
    <w:rsid w:val="00A1299A"/>
    <w:rsid w:val="00A12F34"/>
    <w:rsid w:val="00A13ADE"/>
    <w:rsid w:val="00A15C63"/>
    <w:rsid w:val="00A15CE0"/>
    <w:rsid w:val="00A15FCE"/>
    <w:rsid w:val="00A164BB"/>
    <w:rsid w:val="00A212B7"/>
    <w:rsid w:val="00A21689"/>
    <w:rsid w:val="00A222D6"/>
    <w:rsid w:val="00A22CDE"/>
    <w:rsid w:val="00A22E3E"/>
    <w:rsid w:val="00A23327"/>
    <w:rsid w:val="00A2456A"/>
    <w:rsid w:val="00A246F5"/>
    <w:rsid w:val="00A24B20"/>
    <w:rsid w:val="00A24B9E"/>
    <w:rsid w:val="00A24D56"/>
    <w:rsid w:val="00A24E17"/>
    <w:rsid w:val="00A2724C"/>
    <w:rsid w:val="00A308BD"/>
    <w:rsid w:val="00A328EC"/>
    <w:rsid w:val="00A3301E"/>
    <w:rsid w:val="00A34499"/>
    <w:rsid w:val="00A34663"/>
    <w:rsid w:val="00A34717"/>
    <w:rsid w:val="00A34BF1"/>
    <w:rsid w:val="00A36553"/>
    <w:rsid w:val="00A36AD2"/>
    <w:rsid w:val="00A40B65"/>
    <w:rsid w:val="00A40CCB"/>
    <w:rsid w:val="00A4295C"/>
    <w:rsid w:val="00A42CFD"/>
    <w:rsid w:val="00A44F9F"/>
    <w:rsid w:val="00A45DAB"/>
    <w:rsid w:val="00A46E5E"/>
    <w:rsid w:val="00A4753B"/>
    <w:rsid w:val="00A52634"/>
    <w:rsid w:val="00A52C3B"/>
    <w:rsid w:val="00A52E74"/>
    <w:rsid w:val="00A53D2C"/>
    <w:rsid w:val="00A5402D"/>
    <w:rsid w:val="00A54D13"/>
    <w:rsid w:val="00A55366"/>
    <w:rsid w:val="00A55A84"/>
    <w:rsid w:val="00A56203"/>
    <w:rsid w:val="00A5666F"/>
    <w:rsid w:val="00A56C45"/>
    <w:rsid w:val="00A57334"/>
    <w:rsid w:val="00A57346"/>
    <w:rsid w:val="00A57889"/>
    <w:rsid w:val="00A57B9F"/>
    <w:rsid w:val="00A57BA8"/>
    <w:rsid w:val="00A61107"/>
    <w:rsid w:val="00A6145C"/>
    <w:rsid w:val="00A61C97"/>
    <w:rsid w:val="00A622C8"/>
    <w:rsid w:val="00A62FBC"/>
    <w:rsid w:val="00A63890"/>
    <w:rsid w:val="00A63F22"/>
    <w:rsid w:val="00A63FAC"/>
    <w:rsid w:val="00A64C94"/>
    <w:rsid w:val="00A66298"/>
    <w:rsid w:val="00A663FC"/>
    <w:rsid w:val="00A66A55"/>
    <w:rsid w:val="00A66C91"/>
    <w:rsid w:val="00A66DAF"/>
    <w:rsid w:val="00A66E9F"/>
    <w:rsid w:val="00A676C2"/>
    <w:rsid w:val="00A67D4A"/>
    <w:rsid w:val="00A67DA9"/>
    <w:rsid w:val="00A70B7A"/>
    <w:rsid w:val="00A711F7"/>
    <w:rsid w:val="00A735DE"/>
    <w:rsid w:val="00A7375C"/>
    <w:rsid w:val="00A737A9"/>
    <w:rsid w:val="00A7396C"/>
    <w:rsid w:val="00A760E1"/>
    <w:rsid w:val="00A76E8E"/>
    <w:rsid w:val="00A7774B"/>
    <w:rsid w:val="00A77900"/>
    <w:rsid w:val="00A803C8"/>
    <w:rsid w:val="00A80418"/>
    <w:rsid w:val="00A80602"/>
    <w:rsid w:val="00A807AA"/>
    <w:rsid w:val="00A809A8"/>
    <w:rsid w:val="00A8133D"/>
    <w:rsid w:val="00A824A4"/>
    <w:rsid w:val="00A838D8"/>
    <w:rsid w:val="00A83C70"/>
    <w:rsid w:val="00A840CF"/>
    <w:rsid w:val="00A84A09"/>
    <w:rsid w:val="00A85A79"/>
    <w:rsid w:val="00A85F1C"/>
    <w:rsid w:val="00A861A9"/>
    <w:rsid w:val="00A86A27"/>
    <w:rsid w:val="00A86A3B"/>
    <w:rsid w:val="00A870F3"/>
    <w:rsid w:val="00A871F0"/>
    <w:rsid w:val="00A8795C"/>
    <w:rsid w:val="00A900AD"/>
    <w:rsid w:val="00A9035A"/>
    <w:rsid w:val="00A90A10"/>
    <w:rsid w:val="00A90F7A"/>
    <w:rsid w:val="00A912E1"/>
    <w:rsid w:val="00A91B82"/>
    <w:rsid w:val="00A91C6B"/>
    <w:rsid w:val="00A927D6"/>
    <w:rsid w:val="00A934C3"/>
    <w:rsid w:val="00A93EBC"/>
    <w:rsid w:val="00A948B2"/>
    <w:rsid w:val="00A950D4"/>
    <w:rsid w:val="00A95842"/>
    <w:rsid w:val="00A96489"/>
    <w:rsid w:val="00A96C04"/>
    <w:rsid w:val="00A97825"/>
    <w:rsid w:val="00A978FD"/>
    <w:rsid w:val="00AA0EE6"/>
    <w:rsid w:val="00AA0EEA"/>
    <w:rsid w:val="00AA1FE9"/>
    <w:rsid w:val="00AA2419"/>
    <w:rsid w:val="00AA3257"/>
    <w:rsid w:val="00AA338F"/>
    <w:rsid w:val="00AA3EA5"/>
    <w:rsid w:val="00AA451E"/>
    <w:rsid w:val="00AA4766"/>
    <w:rsid w:val="00AA4D3C"/>
    <w:rsid w:val="00AA5EAC"/>
    <w:rsid w:val="00AA5FA5"/>
    <w:rsid w:val="00AA7229"/>
    <w:rsid w:val="00AB04B3"/>
    <w:rsid w:val="00AB0585"/>
    <w:rsid w:val="00AB0654"/>
    <w:rsid w:val="00AB0C80"/>
    <w:rsid w:val="00AB1BD3"/>
    <w:rsid w:val="00AB2256"/>
    <w:rsid w:val="00AB2455"/>
    <w:rsid w:val="00AB3404"/>
    <w:rsid w:val="00AB3DE3"/>
    <w:rsid w:val="00AB3E84"/>
    <w:rsid w:val="00AB46FD"/>
    <w:rsid w:val="00AB5525"/>
    <w:rsid w:val="00AB5AAB"/>
    <w:rsid w:val="00AB6C80"/>
    <w:rsid w:val="00AB71DF"/>
    <w:rsid w:val="00AB71F0"/>
    <w:rsid w:val="00AC01EB"/>
    <w:rsid w:val="00AC03C7"/>
    <w:rsid w:val="00AC1519"/>
    <w:rsid w:val="00AC2BCF"/>
    <w:rsid w:val="00AC3038"/>
    <w:rsid w:val="00AC36D8"/>
    <w:rsid w:val="00AC616F"/>
    <w:rsid w:val="00AC6435"/>
    <w:rsid w:val="00AD2398"/>
    <w:rsid w:val="00AD25C0"/>
    <w:rsid w:val="00AD3508"/>
    <w:rsid w:val="00AD4541"/>
    <w:rsid w:val="00AD4740"/>
    <w:rsid w:val="00AD7610"/>
    <w:rsid w:val="00AE024D"/>
    <w:rsid w:val="00AE117F"/>
    <w:rsid w:val="00AE1467"/>
    <w:rsid w:val="00AE1565"/>
    <w:rsid w:val="00AE2C3E"/>
    <w:rsid w:val="00AE43D2"/>
    <w:rsid w:val="00AE4551"/>
    <w:rsid w:val="00AE45F1"/>
    <w:rsid w:val="00AE4E4A"/>
    <w:rsid w:val="00AE550E"/>
    <w:rsid w:val="00AE696A"/>
    <w:rsid w:val="00AE70D3"/>
    <w:rsid w:val="00AE7693"/>
    <w:rsid w:val="00AE7B2C"/>
    <w:rsid w:val="00AF01A5"/>
    <w:rsid w:val="00AF0288"/>
    <w:rsid w:val="00AF0F88"/>
    <w:rsid w:val="00AF179D"/>
    <w:rsid w:val="00AF2073"/>
    <w:rsid w:val="00AF2608"/>
    <w:rsid w:val="00AF3391"/>
    <w:rsid w:val="00AF4256"/>
    <w:rsid w:val="00AF6530"/>
    <w:rsid w:val="00AF6EA6"/>
    <w:rsid w:val="00AF730C"/>
    <w:rsid w:val="00AF738F"/>
    <w:rsid w:val="00AF7479"/>
    <w:rsid w:val="00AF766A"/>
    <w:rsid w:val="00B00999"/>
    <w:rsid w:val="00B011C0"/>
    <w:rsid w:val="00B011EC"/>
    <w:rsid w:val="00B018D7"/>
    <w:rsid w:val="00B01FA6"/>
    <w:rsid w:val="00B02518"/>
    <w:rsid w:val="00B02701"/>
    <w:rsid w:val="00B0373E"/>
    <w:rsid w:val="00B04526"/>
    <w:rsid w:val="00B0457B"/>
    <w:rsid w:val="00B0550F"/>
    <w:rsid w:val="00B05975"/>
    <w:rsid w:val="00B06814"/>
    <w:rsid w:val="00B06F9F"/>
    <w:rsid w:val="00B07204"/>
    <w:rsid w:val="00B106AF"/>
    <w:rsid w:val="00B10A76"/>
    <w:rsid w:val="00B10B0B"/>
    <w:rsid w:val="00B119EB"/>
    <w:rsid w:val="00B1227C"/>
    <w:rsid w:val="00B12754"/>
    <w:rsid w:val="00B12994"/>
    <w:rsid w:val="00B12AE0"/>
    <w:rsid w:val="00B13FBD"/>
    <w:rsid w:val="00B14350"/>
    <w:rsid w:val="00B14413"/>
    <w:rsid w:val="00B144F2"/>
    <w:rsid w:val="00B1465D"/>
    <w:rsid w:val="00B14E69"/>
    <w:rsid w:val="00B15326"/>
    <w:rsid w:val="00B15589"/>
    <w:rsid w:val="00B15707"/>
    <w:rsid w:val="00B15AA7"/>
    <w:rsid w:val="00B15B1F"/>
    <w:rsid w:val="00B166C0"/>
    <w:rsid w:val="00B17909"/>
    <w:rsid w:val="00B21595"/>
    <w:rsid w:val="00B217BA"/>
    <w:rsid w:val="00B22095"/>
    <w:rsid w:val="00B222B0"/>
    <w:rsid w:val="00B238D8"/>
    <w:rsid w:val="00B24693"/>
    <w:rsid w:val="00B2491E"/>
    <w:rsid w:val="00B24D58"/>
    <w:rsid w:val="00B2516C"/>
    <w:rsid w:val="00B25263"/>
    <w:rsid w:val="00B25D51"/>
    <w:rsid w:val="00B25EA2"/>
    <w:rsid w:val="00B262B0"/>
    <w:rsid w:val="00B26CA9"/>
    <w:rsid w:val="00B26DEC"/>
    <w:rsid w:val="00B30172"/>
    <w:rsid w:val="00B305A1"/>
    <w:rsid w:val="00B30D20"/>
    <w:rsid w:val="00B30EFA"/>
    <w:rsid w:val="00B3210B"/>
    <w:rsid w:val="00B321A2"/>
    <w:rsid w:val="00B33090"/>
    <w:rsid w:val="00B33858"/>
    <w:rsid w:val="00B33908"/>
    <w:rsid w:val="00B3390A"/>
    <w:rsid w:val="00B35928"/>
    <w:rsid w:val="00B36476"/>
    <w:rsid w:val="00B365B5"/>
    <w:rsid w:val="00B36E9F"/>
    <w:rsid w:val="00B37010"/>
    <w:rsid w:val="00B37FD8"/>
    <w:rsid w:val="00B40163"/>
    <w:rsid w:val="00B402AF"/>
    <w:rsid w:val="00B4149C"/>
    <w:rsid w:val="00B434E0"/>
    <w:rsid w:val="00B45471"/>
    <w:rsid w:val="00B45ACE"/>
    <w:rsid w:val="00B45B18"/>
    <w:rsid w:val="00B45DF0"/>
    <w:rsid w:val="00B46A0C"/>
    <w:rsid w:val="00B46F4B"/>
    <w:rsid w:val="00B472AD"/>
    <w:rsid w:val="00B5144A"/>
    <w:rsid w:val="00B520FC"/>
    <w:rsid w:val="00B529C3"/>
    <w:rsid w:val="00B52CD1"/>
    <w:rsid w:val="00B52F8C"/>
    <w:rsid w:val="00B54E19"/>
    <w:rsid w:val="00B55169"/>
    <w:rsid w:val="00B55ED8"/>
    <w:rsid w:val="00B55F6E"/>
    <w:rsid w:val="00B55FD1"/>
    <w:rsid w:val="00B56244"/>
    <w:rsid w:val="00B56797"/>
    <w:rsid w:val="00B567FC"/>
    <w:rsid w:val="00B5750E"/>
    <w:rsid w:val="00B6034C"/>
    <w:rsid w:val="00B60552"/>
    <w:rsid w:val="00B606B0"/>
    <w:rsid w:val="00B60B1D"/>
    <w:rsid w:val="00B60EFC"/>
    <w:rsid w:val="00B615C1"/>
    <w:rsid w:val="00B61B0E"/>
    <w:rsid w:val="00B61E4B"/>
    <w:rsid w:val="00B625B4"/>
    <w:rsid w:val="00B62605"/>
    <w:rsid w:val="00B63C06"/>
    <w:rsid w:val="00B64571"/>
    <w:rsid w:val="00B648D2"/>
    <w:rsid w:val="00B64EA2"/>
    <w:rsid w:val="00B65F7F"/>
    <w:rsid w:val="00B66A32"/>
    <w:rsid w:val="00B66BFC"/>
    <w:rsid w:val="00B67730"/>
    <w:rsid w:val="00B6784C"/>
    <w:rsid w:val="00B6791D"/>
    <w:rsid w:val="00B67ACB"/>
    <w:rsid w:val="00B701B7"/>
    <w:rsid w:val="00B70B72"/>
    <w:rsid w:val="00B72817"/>
    <w:rsid w:val="00B730F6"/>
    <w:rsid w:val="00B738EB"/>
    <w:rsid w:val="00B73906"/>
    <w:rsid w:val="00B746DE"/>
    <w:rsid w:val="00B754B2"/>
    <w:rsid w:val="00B75CA3"/>
    <w:rsid w:val="00B75D39"/>
    <w:rsid w:val="00B75D6F"/>
    <w:rsid w:val="00B766F0"/>
    <w:rsid w:val="00B772DE"/>
    <w:rsid w:val="00B77463"/>
    <w:rsid w:val="00B77964"/>
    <w:rsid w:val="00B807B5"/>
    <w:rsid w:val="00B814BF"/>
    <w:rsid w:val="00B82140"/>
    <w:rsid w:val="00B830CD"/>
    <w:rsid w:val="00B831C0"/>
    <w:rsid w:val="00B84F8D"/>
    <w:rsid w:val="00B85558"/>
    <w:rsid w:val="00B85FD8"/>
    <w:rsid w:val="00B87489"/>
    <w:rsid w:val="00B903AE"/>
    <w:rsid w:val="00B906A8"/>
    <w:rsid w:val="00B911D6"/>
    <w:rsid w:val="00B91989"/>
    <w:rsid w:val="00B91D93"/>
    <w:rsid w:val="00B91E4E"/>
    <w:rsid w:val="00B92613"/>
    <w:rsid w:val="00B934ED"/>
    <w:rsid w:val="00B94198"/>
    <w:rsid w:val="00B95542"/>
    <w:rsid w:val="00B960F4"/>
    <w:rsid w:val="00BA06C7"/>
    <w:rsid w:val="00BA194E"/>
    <w:rsid w:val="00BA1F0E"/>
    <w:rsid w:val="00BA20DD"/>
    <w:rsid w:val="00BA21B1"/>
    <w:rsid w:val="00BA25B3"/>
    <w:rsid w:val="00BA2835"/>
    <w:rsid w:val="00BA3CBF"/>
    <w:rsid w:val="00BA526E"/>
    <w:rsid w:val="00BA5C2B"/>
    <w:rsid w:val="00BA5D93"/>
    <w:rsid w:val="00BA67E9"/>
    <w:rsid w:val="00BA6AE7"/>
    <w:rsid w:val="00BA7159"/>
    <w:rsid w:val="00BA7476"/>
    <w:rsid w:val="00BA7653"/>
    <w:rsid w:val="00BB0CD3"/>
    <w:rsid w:val="00BB1268"/>
    <w:rsid w:val="00BB1404"/>
    <w:rsid w:val="00BB28EF"/>
    <w:rsid w:val="00BB30F1"/>
    <w:rsid w:val="00BB3745"/>
    <w:rsid w:val="00BB3D7A"/>
    <w:rsid w:val="00BB41EF"/>
    <w:rsid w:val="00BB4381"/>
    <w:rsid w:val="00BB4878"/>
    <w:rsid w:val="00BB4A29"/>
    <w:rsid w:val="00BB5117"/>
    <w:rsid w:val="00BB54DA"/>
    <w:rsid w:val="00BB653E"/>
    <w:rsid w:val="00BB6854"/>
    <w:rsid w:val="00BB6BFA"/>
    <w:rsid w:val="00BB7D34"/>
    <w:rsid w:val="00BC060F"/>
    <w:rsid w:val="00BC1622"/>
    <w:rsid w:val="00BC16B4"/>
    <w:rsid w:val="00BC1DD7"/>
    <w:rsid w:val="00BC20D0"/>
    <w:rsid w:val="00BC2A12"/>
    <w:rsid w:val="00BC38F5"/>
    <w:rsid w:val="00BC442D"/>
    <w:rsid w:val="00BC63A7"/>
    <w:rsid w:val="00BC7578"/>
    <w:rsid w:val="00BD0A6E"/>
    <w:rsid w:val="00BD0BCF"/>
    <w:rsid w:val="00BD1A3D"/>
    <w:rsid w:val="00BD20AB"/>
    <w:rsid w:val="00BD2EA0"/>
    <w:rsid w:val="00BD3148"/>
    <w:rsid w:val="00BD3DF0"/>
    <w:rsid w:val="00BD4F20"/>
    <w:rsid w:val="00BD776D"/>
    <w:rsid w:val="00BD7D08"/>
    <w:rsid w:val="00BE0893"/>
    <w:rsid w:val="00BE0AD5"/>
    <w:rsid w:val="00BE18D4"/>
    <w:rsid w:val="00BE1D48"/>
    <w:rsid w:val="00BE2229"/>
    <w:rsid w:val="00BE22F4"/>
    <w:rsid w:val="00BE2454"/>
    <w:rsid w:val="00BE2B49"/>
    <w:rsid w:val="00BE2C27"/>
    <w:rsid w:val="00BE338B"/>
    <w:rsid w:val="00BE34A8"/>
    <w:rsid w:val="00BE4147"/>
    <w:rsid w:val="00BE49E5"/>
    <w:rsid w:val="00BE4F4F"/>
    <w:rsid w:val="00BE5356"/>
    <w:rsid w:val="00BE54C7"/>
    <w:rsid w:val="00BE757F"/>
    <w:rsid w:val="00BF0B2E"/>
    <w:rsid w:val="00BF1B5D"/>
    <w:rsid w:val="00BF1C76"/>
    <w:rsid w:val="00BF1FA2"/>
    <w:rsid w:val="00BF254F"/>
    <w:rsid w:val="00BF2AA4"/>
    <w:rsid w:val="00BF2D70"/>
    <w:rsid w:val="00BF30EA"/>
    <w:rsid w:val="00BF364B"/>
    <w:rsid w:val="00BF367D"/>
    <w:rsid w:val="00BF3D8C"/>
    <w:rsid w:val="00BF4948"/>
    <w:rsid w:val="00BF4A09"/>
    <w:rsid w:val="00BF4DF7"/>
    <w:rsid w:val="00BF55D4"/>
    <w:rsid w:val="00BF6042"/>
    <w:rsid w:val="00BF64EC"/>
    <w:rsid w:val="00BF743A"/>
    <w:rsid w:val="00C00C8B"/>
    <w:rsid w:val="00C01536"/>
    <w:rsid w:val="00C02547"/>
    <w:rsid w:val="00C02C5E"/>
    <w:rsid w:val="00C02FBB"/>
    <w:rsid w:val="00C03947"/>
    <w:rsid w:val="00C05156"/>
    <w:rsid w:val="00C052D1"/>
    <w:rsid w:val="00C07085"/>
    <w:rsid w:val="00C07270"/>
    <w:rsid w:val="00C0784D"/>
    <w:rsid w:val="00C1078A"/>
    <w:rsid w:val="00C107CE"/>
    <w:rsid w:val="00C11733"/>
    <w:rsid w:val="00C11E6C"/>
    <w:rsid w:val="00C1218D"/>
    <w:rsid w:val="00C12DB4"/>
    <w:rsid w:val="00C139BC"/>
    <w:rsid w:val="00C13B2A"/>
    <w:rsid w:val="00C143C7"/>
    <w:rsid w:val="00C14C50"/>
    <w:rsid w:val="00C14FCD"/>
    <w:rsid w:val="00C150BE"/>
    <w:rsid w:val="00C171F6"/>
    <w:rsid w:val="00C2038A"/>
    <w:rsid w:val="00C20AEF"/>
    <w:rsid w:val="00C20CA1"/>
    <w:rsid w:val="00C20E33"/>
    <w:rsid w:val="00C20EA8"/>
    <w:rsid w:val="00C2130E"/>
    <w:rsid w:val="00C216D1"/>
    <w:rsid w:val="00C217E8"/>
    <w:rsid w:val="00C219A8"/>
    <w:rsid w:val="00C22B14"/>
    <w:rsid w:val="00C264AB"/>
    <w:rsid w:val="00C26ED8"/>
    <w:rsid w:val="00C27117"/>
    <w:rsid w:val="00C30CF1"/>
    <w:rsid w:val="00C31997"/>
    <w:rsid w:val="00C33236"/>
    <w:rsid w:val="00C332D3"/>
    <w:rsid w:val="00C33941"/>
    <w:rsid w:val="00C34594"/>
    <w:rsid w:val="00C34E29"/>
    <w:rsid w:val="00C3562B"/>
    <w:rsid w:val="00C35652"/>
    <w:rsid w:val="00C35786"/>
    <w:rsid w:val="00C36367"/>
    <w:rsid w:val="00C378D3"/>
    <w:rsid w:val="00C405E4"/>
    <w:rsid w:val="00C406D9"/>
    <w:rsid w:val="00C40A9A"/>
    <w:rsid w:val="00C40DA9"/>
    <w:rsid w:val="00C4177F"/>
    <w:rsid w:val="00C419D8"/>
    <w:rsid w:val="00C41B7E"/>
    <w:rsid w:val="00C422CB"/>
    <w:rsid w:val="00C4253D"/>
    <w:rsid w:val="00C425C6"/>
    <w:rsid w:val="00C42CB8"/>
    <w:rsid w:val="00C43205"/>
    <w:rsid w:val="00C438F4"/>
    <w:rsid w:val="00C43AE5"/>
    <w:rsid w:val="00C447D2"/>
    <w:rsid w:val="00C44FE3"/>
    <w:rsid w:val="00C46327"/>
    <w:rsid w:val="00C4683E"/>
    <w:rsid w:val="00C46A47"/>
    <w:rsid w:val="00C47899"/>
    <w:rsid w:val="00C47D06"/>
    <w:rsid w:val="00C50AD2"/>
    <w:rsid w:val="00C51616"/>
    <w:rsid w:val="00C520D1"/>
    <w:rsid w:val="00C525DD"/>
    <w:rsid w:val="00C53339"/>
    <w:rsid w:val="00C54569"/>
    <w:rsid w:val="00C545AD"/>
    <w:rsid w:val="00C55CA3"/>
    <w:rsid w:val="00C56DC1"/>
    <w:rsid w:val="00C571D4"/>
    <w:rsid w:val="00C573AF"/>
    <w:rsid w:val="00C574E3"/>
    <w:rsid w:val="00C57C45"/>
    <w:rsid w:val="00C6041E"/>
    <w:rsid w:val="00C6098A"/>
    <w:rsid w:val="00C6156B"/>
    <w:rsid w:val="00C61D07"/>
    <w:rsid w:val="00C621C4"/>
    <w:rsid w:val="00C6257F"/>
    <w:rsid w:val="00C6305B"/>
    <w:rsid w:val="00C63F02"/>
    <w:rsid w:val="00C64162"/>
    <w:rsid w:val="00C65312"/>
    <w:rsid w:val="00C661CA"/>
    <w:rsid w:val="00C665F4"/>
    <w:rsid w:val="00C67080"/>
    <w:rsid w:val="00C7015D"/>
    <w:rsid w:val="00C7038D"/>
    <w:rsid w:val="00C70996"/>
    <w:rsid w:val="00C70F66"/>
    <w:rsid w:val="00C70F86"/>
    <w:rsid w:val="00C718C1"/>
    <w:rsid w:val="00C71C72"/>
    <w:rsid w:val="00C72E7A"/>
    <w:rsid w:val="00C73036"/>
    <w:rsid w:val="00C74C65"/>
    <w:rsid w:val="00C7504C"/>
    <w:rsid w:val="00C75507"/>
    <w:rsid w:val="00C75619"/>
    <w:rsid w:val="00C7597B"/>
    <w:rsid w:val="00C762AA"/>
    <w:rsid w:val="00C76875"/>
    <w:rsid w:val="00C76A44"/>
    <w:rsid w:val="00C76FDB"/>
    <w:rsid w:val="00C77130"/>
    <w:rsid w:val="00C80969"/>
    <w:rsid w:val="00C80D2E"/>
    <w:rsid w:val="00C80F6A"/>
    <w:rsid w:val="00C82B1E"/>
    <w:rsid w:val="00C83481"/>
    <w:rsid w:val="00C83B23"/>
    <w:rsid w:val="00C84436"/>
    <w:rsid w:val="00C847B9"/>
    <w:rsid w:val="00C86206"/>
    <w:rsid w:val="00C8684F"/>
    <w:rsid w:val="00C86ED2"/>
    <w:rsid w:val="00C87704"/>
    <w:rsid w:val="00C903F2"/>
    <w:rsid w:val="00C90C3D"/>
    <w:rsid w:val="00C919ED"/>
    <w:rsid w:val="00C91A16"/>
    <w:rsid w:val="00C91B5C"/>
    <w:rsid w:val="00C923A4"/>
    <w:rsid w:val="00C943F7"/>
    <w:rsid w:val="00C94682"/>
    <w:rsid w:val="00C946E4"/>
    <w:rsid w:val="00C94FDC"/>
    <w:rsid w:val="00C95178"/>
    <w:rsid w:val="00C95D3C"/>
    <w:rsid w:val="00C96C81"/>
    <w:rsid w:val="00CA0293"/>
    <w:rsid w:val="00CA09D5"/>
    <w:rsid w:val="00CA0D84"/>
    <w:rsid w:val="00CA1F17"/>
    <w:rsid w:val="00CA252B"/>
    <w:rsid w:val="00CA2A66"/>
    <w:rsid w:val="00CA30E9"/>
    <w:rsid w:val="00CA462D"/>
    <w:rsid w:val="00CA48AE"/>
    <w:rsid w:val="00CA5675"/>
    <w:rsid w:val="00CA72B2"/>
    <w:rsid w:val="00CA7536"/>
    <w:rsid w:val="00CB035D"/>
    <w:rsid w:val="00CB0D4E"/>
    <w:rsid w:val="00CB0D9F"/>
    <w:rsid w:val="00CB1A48"/>
    <w:rsid w:val="00CB2430"/>
    <w:rsid w:val="00CB2829"/>
    <w:rsid w:val="00CB2A06"/>
    <w:rsid w:val="00CB330A"/>
    <w:rsid w:val="00CB3880"/>
    <w:rsid w:val="00CB3A34"/>
    <w:rsid w:val="00CB40D9"/>
    <w:rsid w:val="00CB522C"/>
    <w:rsid w:val="00CB55EA"/>
    <w:rsid w:val="00CB55F3"/>
    <w:rsid w:val="00CB5F65"/>
    <w:rsid w:val="00CB641E"/>
    <w:rsid w:val="00CB6978"/>
    <w:rsid w:val="00CB7E8A"/>
    <w:rsid w:val="00CC0464"/>
    <w:rsid w:val="00CC0CE4"/>
    <w:rsid w:val="00CC0D6E"/>
    <w:rsid w:val="00CC170C"/>
    <w:rsid w:val="00CC173A"/>
    <w:rsid w:val="00CC1B46"/>
    <w:rsid w:val="00CC24D5"/>
    <w:rsid w:val="00CC4373"/>
    <w:rsid w:val="00CC512B"/>
    <w:rsid w:val="00CC55D5"/>
    <w:rsid w:val="00CC6685"/>
    <w:rsid w:val="00CC6743"/>
    <w:rsid w:val="00CC6D85"/>
    <w:rsid w:val="00CC77E5"/>
    <w:rsid w:val="00CC7F4B"/>
    <w:rsid w:val="00CD0878"/>
    <w:rsid w:val="00CD1017"/>
    <w:rsid w:val="00CD1726"/>
    <w:rsid w:val="00CD18B2"/>
    <w:rsid w:val="00CD221B"/>
    <w:rsid w:val="00CD23D8"/>
    <w:rsid w:val="00CD2400"/>
    <w:rsid w:val="00CD2AAE"/>
    <w:rsid w:val="00CD32AE"/>
    <w:rsid w:val="00CD487E"/>
    <w:rsid w:val="00CD57AB"/>
    <w:rsid w:val="00CD5B09"/>
    <w:rsid w:val="00CD5DFF"/>
    <w:rsid w:val="00CE0061"/>
    <w:rsid w:val="00CE11C6"/>
    <w:rsid w:val="00CE14B4"/>
    <w:rsid w:val="00CE22D4"/>
    <w:rsid w:val="00CE2A11"/>
    <w:rsid w:val="00CE2FF3"/>
    <w:rsid w:val="00CE38A7"/>
    <w:rsid w:val="00CE3B4A"/>
    <w:rsid w:val="00CE6379"/>
    <w:rsid w:val="00CE661F"/>
    <w:rsid w:val="00CE6673"/>
    <w:rsid w:val="00CE7481"/>
    <w:rsid w:val="00CE768E"/>
    <w:rsid w:val="00CE7DBB"/>
    <w:rsid w:val="00CF014D"/>
    <w:rsid w:val="00CF0301"/>
    <w:rsid w:val="00CF0A5C"/>
    <w:rsid w:val="00CF2524"/>
    <w:rsid w:val="00CF30B2"/>
    <w:rsid w:val="00CF3BE7"/>
    <w:rsid w:val="00CF3C1B"/>
    <w:rsid w:val="00CF451C"/>
    <w:rsid w:val="00CF471B"/>
    <w:rsid w:val="00CF4F3A"/>
    <w:rsid w:val="00CF6A2A"/>
    <w:rsid w:val="00D0084C"/>
    <w:rsid w:val="00D00999"/>
    <w:rsid w:val="00D00BAE"/>
    <w:rsid w:val="00D01278"/>
    <w:rsid w:val="00D013A9"/>
    <w:rsid w:val="00D014D8"/>
    <w:rsid w:val="00D01F7B"/>
    <w:rsid w:val="00D0300A"/>
    <w:rsid w:val="00D036FA"/>
    <w:rsid w:val="00D03B96"/>
    <w:rsid w:val="00D03DBF"/>
    <w:rsid w:val="00D03EAD"/>
    <w:rsid w:val="00D04612"/>
    <w:rsid w:val="00D05649"/>
    <w:rsid w:val="00D0703F"/>
    <w:rsid w:val="00D07618"/>
    <w:rsid w:val="00D078FC"/>
    <w:rsid w:val="00D07FA3"/>
    <w:rsid w:val="00D10163"/>
    <w:rsid w:val="00D11116"/>
    <w:rsid w:val="00D11158"/>
    <w:rsid w:val="00D117F8"/>
    <w:rsid w:val="00D11CE8"/>
    <w:rsid w:val="00D120C7"/>
    <w:rsid w:val="00D138DD"/>
    <w:rsid w:val="00D13B26"/>
    <w:rsid w:val="00D13D4D"/>
    <w:rsid w:val="00D1461B"/>
    <w:rsid w:val="00D14AD8"/>
    <w:rsid w:val="00D151EF"/>
    <w:rsid w:val="00D155EA"/>
    <w:rsid w:val="00D15654"/>
    <w:rsid w:val="00D1639F"/>
    <w:rsid w:val="00D175DA"/>
    <w:rsid w:val="00D2006E"/>
    <w:rsid w:val="00D2089D"/>
    <w:rsid w:val="00D21DBA"/>
    <w:rsid w:val="00D220AD"/>
    <w:rsid w:val="00D2252D"/>
    <w:rsid w:val="00D22858"/>
    <w:rsid w:val="00D22C1C"/>
    <w:rsid w:val="00D247B6"/>
    <w:rsid w:val="00D2511E"/>
    <w:rsid w:val="00D2531E"/>
    <w:rsid w:val="00D25451"/>
    <w:rsid w:val="00D254F1"/>
    <w:rsid w:val="00D25670"/>
    <w:rsid w:val="00D25AC7"/>
    <w:rsid w:val="00D265DE"/>
    <w:rsid w:val="00D26C5E"/>
    <w:rsid w:val="00D274AC"/>
    <w:rsid w:val="00D27C8A"/>
    <w:rsid w:val="00D27D98"/>
    <w:rsid w:val="00D3030F"/>
    <w:rsid w:val="00D30871"/>
    <w:rsid w:val="00D30FCB"/>
    <w:rsid w:val="00D3114C"/>
    <w:rsid w:val="00D31632"/>
    <w:rsid w:val="00D317B3"/>
    <w:rsid w:val="00D318E2"/>
    <w:rsid w:val="00D319D0"/>
    <w:rsid w:val="00D31FDC"/>
    <w:rsid w:val="00D320DB"/>
    <w:rsid w:val="00D32841"/>
    <w:rsid w:val="00D33645"/>
    <w:rsid w:val="00D338E0"/>
    <w:rsid w:val="00D33A87"/>
    <w:rsid w:val="00D34154"/>
    <w:rsid w:val="00D3459D"/>
    <w:rsid w:val="00D34B47"/>
    <w:rsid w:val="00D34C26"/>
    <w:rsid w:val="00D350D7"/>
    <w:rsid w:val="00D35635"/>
    <w:rsid w:val="00D36A4A"/>
    <w:rsid w:val="00D37E05"/>
    <w:rsid w:val="00D4012D"/>
    <w:rsid w:val="00D4144E"/>
    <w:rsid w:val="00D41AB1"/>
    <w:rsid w:val="00D4206E"/>
    <w:rsid w:val="00D42F2D"/>
    <w:rsid w:val="00D4513C"/>
    <w:rsid w:val="00D451B7"/>
    <w:rsid w:val="00D4526C"/>
    <w:rsid w:val="00D454F5"/>
    <w:rsid w:val="00D45DD8"/>
    <w:rsid w:val="00D45F0C"/>
    <w:rsid w:val="00D47198"/>
    <w:rsid w:val="00D4778F"/>
    <w:rsid w:val="00D4796D"/>
    <w:rsid w:val="00D47FC6"/>
    <w:rsid w:val="00D50043"/>
    <w:rsid w:val="00D5029D"/>
    <w:rsid w:val="00D502DA"/>
    <w:rsid w:val="00D50608"/>
    <w:rsid w:val="00D50D92"/>
    <w:rsid w:val="00D51243"/>
    <w:rsid w:val="00D51323"/>
    <w:rsid w:val="00D51BFF"/>
    <w:rsid w:val="00D522FB"/>
    <w:rsid w:val="00D52394"/>
    <w:rsid w:val="00D528C4"/>
    <w:rsid w:val="00D529EB"/>
    <w:rsid w:val="00D52A92"/>
    <w:rsid w:val="00D52BAA"/>
    <w:rsid w:val="00D5330A"/>
    <w:rsid w:val="00D5363D"/>
    <w:rsid w:val="00D53E7B"/>
    <w:rsid w:val="00D5446E"/>
    <w:rsid w:val="00D54B66"/>
    <w:rsid w:val="00D54D4F"/>
    <w:rsid w:val="00D54F5B"/>
    <w:rsid w:val="00D5504C"/>
    <w:rsid w:val="00D56AA5"/>
    <w:rsid w:val="00D5706F"/>
    <w:rsid w:val="00D5746E"/>
    <w:rsid w:val="00D5788A"/>
    <w:rsid w:val="00D5799F"/>
    <w:rsid w:val="00D6002A"/>
    <w:rsid w:val="00D6121F"/>
    <w:rsid w:val="00D62388"/>
    <w:rsid w:val="00D62856"/>
    <w:rsid w:val="00D63410"/>
    <w:rsid w:val="00D6344D"/>
    <w:rsid w:val="00D63ED5"/>
    <w:rsid w:val="00D643D9"/>
    <w:rsid w:val="00D6462B"/>
    <w:rsid w:val="00D64844"/>
    <w:rsid w:val="00D6535C"/>
    <w:rsid w:val="00D659E3"/>
    <w:rsid w:val="00D65F16"/>
    <w:rsid w:val="00D661C8"/>
    <w:rsid w:val="00D67718"/>
    <w:rsid w:val="00D7076B"/>
    <w:rsid w:val="00D70862"/>
    <w:rsid w:val="00D70982"/>
    <w:rsid w:val="00D713CF"/>
    <w:rsid w:val="00D7276D"/>
    <w:rsid w:val="00D72DAB"/>
    <w:rsid w:val="00D73093"/>
    <w:rsid w:val="00D73436"/>
    <w:rsid w:val="00D7347F"/>
    <w:rsid w:val="00D73915"/>
    <w:rsid w:val="00D73DE9"/>
    <w:rsid w:val="00D7596A"/>
    <w:rsid w:val="00D76994"/>
    <w:rsid w:val="00D76B0A"/>
    <w:rsid w:val="00D76F53"/>
    <w:rsid w:val="00D77085"/>
    <w:rsid w:val="00D7796E"/>
    <w:rsid w:val="00D8047E"/>
    <w:rsid w:val="00D805D6"/>
    <w:rsid w:val="00D807FD"/>
    <w:rsid w:val="00D80F32"/>
    <w:rsid w:val="00D817D9"/>
    <w:rsid w:val="00D826E2"/>
    <w:rsid w:val="00D82B42"/>
    <w:rsid w:val="00D82C70"/>
    <w:rsid w:val="00D836E8"/>
    <w:rsid w:val="00D8451C"/>
    <w:rsid w:val="00D848EE"/>
    <w:rsid w:val="00D84A04"/>
    <w:rsid w:val="00D84DC2"/>
    <w:rsid w:val="00D85383"/>
    <w:rsid w:val="00D8712A"/>
    <w:rsid w:val="00D875D3"/>
    <w:rsid w:val="00D912B6"/>
    <w:rsid w:val="00D919D8"/>
    <w:rsid w:val="00D91EDB"/>
    <w:rsid w:val="00D91F4A"/>
    <w:rsid w:val="00D9219B"/>
    <w:rsid w:val="00D92715"/>
    <w:rsid w:val="00D92948"/>
    <w:rsid w:val="00D93153"/>
    <w:rsid w:val="00D93C69"/>
    <w:rsid w:val="00D948A3"/>
    <w:rsid w:val="00D94E00"/>
    <w:rsid w:val="00D94F9F"/>
    <w:rsid w:val="00D95F6E"/>
    <w:rsid w:val="00D9694B"/>
    <w:rsid w:val="00D96DC9"/>
    <w:rsid w:val="00D97041"/>
    <w:rsid w:val="00D97C8E"/>
    <w:rsid w:val="00DA07C9"/>
    <w:rsid w:val="00DA23BC"/>
    <w:rsid w:val="00DA24CB"/>
    <w:rsid w:val="00DA28AF"/>
    <w:rsid w:val="00DA2DA7"/>
    <w:rsid w:val="00DA360D"/>
    <w:rsid w:val="00DA4469"/>
    <w:rsid w:val="00DA448E"/>
    <w:rsid w:val="00DA4DFE"/>
    <w:rsid w:val="00DA5900"/>
    <w:rsid w:val="00DA66FC"/>
    <w:rsid w:val="00DA6836"/>
    <w:rsid w:val="00DA6A61"/>
    <w:rsid w:val="00DA78C0"/>
    <w:rsid w:val="00DB072B"/>
    <w:rsid w:val="00DB10C3"/>
    <w:rsid w:val="00DB170D"/>
    <w:rsid w:val="00DB19FE"/>
    <w:rsid w:val="00DB2937"/>
    <w:rsid w:val="00DB3F66"/>
    <w:rsid w:val="00DB434B"/>
    <w:rsid w:val="00DB5193"/>
    <w:rsid w:val="00DB6980"/>
    <w:rsid w:val="00DB69AD"/>
    <w:rsid w:val="00DB6EE7"/>
    <w:rsid w:val="00DB7819"/>
    <w:rsid w:val="00DC0958"/>
    <w:rsid w:val="00DC0C8A"/>
    <w:rsid w:val="00DC16E2"/>
    <w:rsid w:val="00DC2659"/>
    <w:rsid w:val="00DC2704"/>
    <w:rsid w:val="00DC3752"/>
    <w:rsid w:val="00DC3BBF"/>
    <w:rsid w:val="00DC400E"/>
    <w:rsid w:val="00DC41B0"/>
    <w:rsid w:val="00DC4CB1"/>
    <w:rsid w:val="00DC4CD2"/>
    <w:rsid w:val="00DC4E3F"/>
    <w:rsid w:val="00DC4F0F"/>
    <w:rsid w:val="00DC5512"/>
    <w:rsid w:val="00DC5A0C"/>
    <w:rsid w:val="00DC5A2C"/>
    <w:rsid w:val="00DC5D7E"/>
    <w:rsid w:val="00DC6161"/>
    <w:rsid w:val="00DC67F9"/>
    <w:rsid w:val="00DD1558"/>
    <w:rsid w:val="00DD159E"/>
    <w:rsid w:val="00DD16A5"/>
    <w:rsid w:val="00DD1C37"/>
    <w:rsid w:val="00DD2111"/>
    <w:rsid w:val="00DD34E3"/>
    <w:rsid w:val="00DD3818"/>
    <w:rsid w:val="00DD383A"/>
    <w:rsid w:val="00DD39CF"/>
    <w:rsid w:val="00DD3AC2"/>
    <w:rsid w:val="00DD45F5"/>
    <w:rsid w:val="00DD4891"/>
    <w:rsid w:val="00DD4FBB"/>
    <w:rsid w:val="00DD51DB"/>
    <w:rsid w:val="00DD52E7"/>
    <w:rsid w:val="00DD5387"/>
    <w:rsid w:val="00DD561B"/>
    <w:rsid w:val="00DD5AD6"/>
    <w:rsid w:val="00DD5B4B"/>
    <w:rsid w:val="00DD60C0"/>
    <w:rsid w:val="00DD6C76"/>
    <w:rsid w:val="00DD6C9D"/>
    <w:rsid w:val="00DD701E"/>
    <w:rsid w:val="00DE045C"/>
    <w:rsid w:val="00DE046D"/>
    <w:rsid w:val="00DE0896"/>
    <w:rsid w:val="00DE0AED"/>
    <w:rsid w:val="00DE118B"/>
    <w:rsid w:val="00DE1ABE"/>
    <w:rsid w:val="00DE1E9A"/>
    <w:rsid w:val="00DE2149"/>
    <w:rsid w:val="00DE2C9B"/>
    <w:rsid w:val="00DE41EB"/>
    <w:rsid w:val="00DE4245"/>
    <w:rsid w:val="00DE4966"/>
    <w:rsid w:val="00DE5B70"/>
    <w:rsid w:val="00DE605D"/>
    <w:rsid w:val="00DE6594"/>
    <w:rsid w:val="00DE7297"/>
    <w:rsid w:val="00DF023E"/>
    <w:rsid w:val="00DF0430"/>
    <w:rsid w:val="00DF1420"/>
    <w:rsid w:val="00DF16AD"/>
    <w:rsid w:val="00DF1984"/>
    <w:rsid w:val="00DF1FED"/>
    <w:rsid w:val="00DF2BF4"/>
    <w:rsid w:val="00DF3787"/>
    <w:rsid w:val="00DF43A1"/>
    <w:rsid w:val="00DF45D6"/>
    <w:rsid w:val="00DF7135"/>
    <w:rsid w:val="00DF74F2"/>
    <w:rsid w:val="00DF75DE"/>
    <w:rsid w:val="00DF76C9"/>
    <w:rsid w:val="00E00060"/>
    <w:rsid w:val="00E000A1"/>
    <w:rsid w:val="00E011C6"/>
    <w:rsid w:val="00E01449"/>
    <w:rsid w:val="00E0163F"/>
    <w:rsid w:val="00E0173D"/>
    <w:rsid w:val="00E017E7"/>
    <w:rsid w:val="00E018A5"/>
    <w:rsid w:val="00E026CE"/>
    <w:rsid w:val="00E027C2"/>
    <w:rsid w:val="00E03AFB"/>
    <w:rsid w:val="00E03E79"/>
    <w:rsid w:val="00E04129"/>
    <w:rsid w:val="00E047B7"/>
    <w:rsid w:val="00E04941"/>
    <w:rsid w:val="00E04F56"/>
    <w:rsid w:val="00E05CB5"/>
    <w:rsid w:val="00E06951"/>
    <w:rsid w:val="00E06A5E"/>
    <w:rsid w:val="00E071AF"/>
    <w:rsid w:val="00E07457"/>
    <w:rsid w:val="00E1037E"/>
    <w:rsid w:val="00E11844"/>
    <w:rsid w:val="00E12DA1"/>
    <w:rsid w:val="00E132BC"/>
    <w:rsid w:val="00E13F76"/>
    <w:rsid w:val="00E14387"/>
    <w:rsid w:val="00E14B99"/>
    <w:rsid w:val="00E1544D"/>
    <w:rsid w:val="00E16923"/>
    <w:rsid w:val="00E21FC7"/>
    <w:rsid w:val="00E23477"/>
    <w:rsid w:val="00E234CA"/>
    <w:rsid w:val="00E235BA"/>
    <w:rsid w:val="00E25039"/>
    <w:rsid w:val="00E25A2C"/>
    <w:rsid w:val="00E26852"/>
    <w:rsid w:val="00E27885"/>
    <w:rsid w:val="00E279FC"/>
    <w:rsid w:val="00E31328"/>
    <w:rsid w:val="00E31512"/>
    <w:rsid w:val="00E3154F"/>
    <w:rsid w:val="00E31D23"/>
    <w:rsid w:val="00E31EF8"/>
    <w:rsid w:val="00E33B9C"/>
    <w:rsid w:val="00E33E75"/>
    <w:rsid w:val="00E344F2"/>
    <w:rsid w:val="00E35F0D"/>
    <w:rsid w:val="00E364A7"/>
    <w:rsid w:val="00E4190A"/>
    <w:rsid w:val="00E42878"/>
    <w:rsid w:val="00E42CB5"/>
    <w:rsid w:val="00E433C8"/>
    <w:rsid w:val="00E44298"/>
    <w:rsid w:val="00E44DC1"/>
    <w:rsid w:val="00E45B38"/>
    <w:rsid w:val="00E45C4F"/>
    <w:rsid w:val="00E46AA1"/>
    <w:rsid w:val="00E502AF"/>
    <w:rsid w:val="00E5031D"/>
    <w:rsid w:val="00E5189D"/>
    <w:rsid w:val="00E5214D"/>
    <w:rsid w:val="00E52A3A"/>
    <w:rsid w:val="00E53004"/>
    <w:rsid w:val="00E53D74"/>
    <w:rsid w:val="00E53DB8"/>
    <w:rsid w:val="00E54D24"/>
    <w:rsid w:val="00E55109"/>
    <w:rsid w:val="00E5521D"/>
    <w:rsid w:val="00E575BA"/>
    <w:rsid w:val="00E579FD"/>
    <w:rsid w:val="00E60EEC"/>
    <w:rsid w:val="00E60FF5"/>
    <w:rsid w:val="00E61852"/>
    <w:rsid w:val="00E634D6"/>
    <w:rsid w:val="00E63D4E"/>
    <w:rsid w:val="00E64054"/>
    <w:rsid w:val="00E64C24"/>
    <w:rsid w:val="00E657EF"/>
    <w:rsid w:val="00E65DA1"/>
    <w:rsid w:val="00E6681B"/>
    <w:rsid w:val="00E67646"/>
    <w:rsid w:val="00E6792A"/>
    <w:rsid w:val="00E707A9"/>
    <w:rsid w:val="00E70A8B"/>
    <w:rsid w:val="00E70C04"/>
    <w:rsid w:val="00E70E49"/>
    <w:rsid w:val="00E71F01"/>
    <w:rsid w:val="00E7235A"/>
    <w:rsid w:val="00E7240C"/>
    <w:rsid w:val="00E725D2"/>
    <w:rsid w:val="00E726E0"/>
    <w:rsid w:val="00E72CA6"/>
    <w:rsid w:val="00E731EE"/>
    <w:rsid w:val="00E74063"/>
    <w:rsid w:val="00E746B7"/>
    <w:rsid w:val="00E74ED5"/>
    <w:rsid w:val="00E7596D"/>
    <w:rsid w:val="00E75CCE"/>
    <w:rsid w:val="00E75EA2"/>
    <w:rsid w:val="00E772EB"/>
    <w:rsid w:val="00E77FD9"/>
    <w:rsid w:val="00E833A1"/>
    <w:rsid w:val="00E849D2"/>
    <w:rsid w:val="00E84E0C"/>
    <w:rsid w:val="00E85617"/>
    <w:rsid w:val="00E85A5F"/>
    <w:rsid w:val="00E86373"/>
    <w:rsid w:val="00E87555"/>
    <w:rsid w:val="00E877DD"/>
    <w:rsid w:val="00E908FC"/>
    <w:rsid w:val="00E90AFA"/>
    <w:rsid w:val="00E90B71"/>
    <w:rsid w:val="00E90E26"/>
    <w:rsid w:val="00E90F24"/>
    <w:rsid w:val="00E91C9A"/>
    <w:rsid w:val="00E92A41"/>
    <w:rsid w:val="00E93103"/>
    <w:rsid w:val="00E93504"/>
    <w:rsid w:val="00E94876"/>
    <w:rsid w:val="00E94B16"/>
    <w:rsid w:val="00E953A7"/>
    <w:rsid w:val="00E96201"/>
    <w:rsid w:val="00E96A67"/>
    <w:rsid w:val="00E96CDE"/>
    <w:rsid w:val="00E975DF"/>
    <w:rsid w:val="00E977C4"/>
    <w:rsid w:val="00E97FB4"/>
    <w:rsid w:val="00EA0048"/>
    <w:rsid w:val="00EA00CF"/>
    <w:rsid w:val="00EA0171"/>
    <w:rsid w:val="00EA07C5"/>
    <w:rsid w:val="00EA1DD1"/>
    <w:rsid w:val="00EA1FFC"/>
    <w:rsid w:val="00EA2F9E"/>
    <w:rsid w:val="00EA4222"/>
    <w:rsid w:val="00EA45AF"/>
    <w:rsid w:val="00EA5874"/>
    <w:rsid w:val="00EA6864"/>
    <w:rsid w:val="00EA6D5F"/>
    <w:rsid w:val="00EB1BC9"/>
    <w:rsid w:val="00EB25BD"/>
    <w:rsid w:val="00EB3B8D"/>
    <w:rsid w:val="00EB4765"/>
    <w:rsid w:val="00EB47C5"/>
    <w:rsid w:val="00EB5313"/>
    <w:rsid w:val="00EB5770"/>
    <w:rsid w:val="00EB5E88"/>
    <w:rsid w:val="00EB61F4"/>
    <w:rsid w:val="00EB6670"/>
    <w:rsid w:val="00EB77F8"/>
    <w:rsid w:val="00EC0E72"/>
    <w:rsid w:val="00EC0F41"/>
    <w:rsid w:val="00EC1172"/>
    <w:rsid w:val="00EC26F2"/>
    <w:rsid w:val="00EC3993"/>
    <w:rsid w:val="00EC39F5"/>
    <w:rsid w:val="00EC3C2F"/>
    <w:rsid w:val="00EC4335"/>
    <w:rsid w:val="00EC438B"/>
    <w:rsid w:val="00EC4AD3"/>
    <w:rsid w:val="00EC5974"/>
    <w:rsid w:val="00EC6480"/>
    <w:rsid w:val="00EC649D"/>
    <w:rsid w:val="00ED04FE"/>
    <w:rsid w:val="00ED1423"/>
    <w:rsid w:val="00ED14BE"/>
    <w:rsid w:val="00ED1E45"/>
    <w:rsid w:val="00ED2687"/>
    <w:rsid w:val="00ED275A"/>
    <w:rsid w:val="00ED29A1"/>
    <w:rsid w:val="00ED2B52"/>
    <w:rsid w:val="00ED3265"/>
    <w:rsid w:val="00ED37BA"/>
    <w:rsid w:val="00ED45FB"/>
    <w:rsid w:val="00ED52AC"/>
    <w:rsid w:val="00ED5752"/>
    <w:rsid w:val="00ED5C6A"/>
    <w:rsid w:val="00ED5D31"/>
    <w:rsid w:val="00ED5F9F"/>
    <w:rsid w:val="00ED6EB6"/>
    <w:rsid w:val="00EE09B8"/>
    <w:rsid w:val="00EE1D23"/>
    <w:rsid w:val="00EE1ED5"/>
    <w:rsid w:val="00EE2333"/>
    <w:rsid w:val="00EE29C1"/>
    <w:rsid w:val="00EE2A1D"/>
    <w:rsid w:val="00EE3BD0"/>
    <w:rsid w:val="00EE40E1"/>
    <w:rsid w:val="00EE431D"/>
    <w:rsid w:val="00EE51E9"/>
    <w:rsid w:val="00EE536D"/>
    <w:rsid w:val="00EE57B1"/>
    <w:rsid w:val="00EE5BB3"/>
    <w:rsid w:val="00EE5EA2"/>
    <w:rsid w:val="00EE7571"/>
    <w:rsid w:val="00EE7BF9"/>
    <w:rsid w:val="00EE7D54"/>
    <w:rsid w:val="00EF0CE1"/>
    <w:rsid w:val="00EF2970"/>
    <w:rsid w:val="00EF2A5C"/>
    <w:rsid w:val="00EF345A"/>
    <w:rsid w:val="00EF3FD0"/>
    <w:rsid w:val="00EF3FD2"/>
    <w:rsid w:val="00EF5192"/>
    <w:rsid w:val="00EF5519"/>
    <w:rsid w:val="00EF6B89"/>
    <w:rsid w:val="00EF6C35"/>
    <w:rsid w:val="00EF7697"/>
    <w:rsid w:val="00EF7850"/>
    <w:rsid w:val="00EF7DFD"/>
    <w:rsid w:val="00F01BB7"/>
    <w:rsid w:val="00F025B6"/>
    <w:rsid w:val="00F0329E"/>
    <w:rsid w:val="00F0352B"/>
    <w:rsid w:val="00F035CD"/>
    <w:rsid w:val="00F03A37"/>
    <w:rsid w:val="00F03DD6"/>
    <w:rsid w:val="00F04592"/>
    <w:rsid w:val="00F04B97"/>
    <w:rsid w:val="00F0569E"/>
    <w:rsid w:val="00F05D05"/>
    <w:rsid w:val="00F06601"/>
    <w:rsid w:val="00F0790B"/>
    <w:rsid w:val="00F10455"/>
    <w:rsid w:val="00F11399"/>
    <w:rsid w:val="00F120C0"/>
    <w:rsid w:val="00F12A7E"/>
    <w:rsid w:val="00F13833"/>
    <w:rsid w:val="00F13DFB"/>
    <w:rsid w:val="00F13ED3"/>
    <w:rsid w:val="00F1401E"/>
    <w:rsid w:val="00F14029"/>
    <w:rsid w:val="00F1428A"/>
    <w:rsid w:val="00F144C8"/>
    <w:rsid w:val="00F15267"/>
    <w:rsid w:val="00F1595F"/>
    <w:rsid w:val="00F15CA9"/>
    <w:rsid w:val="00F166F9"/>
    <w:rsid w:val="00F17209"/>
    <w:rsid w:val="00F1789E"/>
    <w:rsid w:val="00F20935"/>
    <w:rsid w:val="00F21467"/>
    <w:rsid w:val="00F22162"/>
    <w:rsid w:val="00F22265"/>
    <w:rsid w:val="00F22FCE"/>
    <w:rsid w:val="00F241A9"/>
    <w:rsid w:val="00F24856"/>
    <w:rsid w:val="00F24D3F"/>
    <w:rsid w:val="00F2590E"/>
    <w:rsid w:val="00F25C80"/>
    <w:rsid w:val="00F261A0"/>
    <w:rsid w:val="00F277B0"/>
    <w:rsid w:val="00F27CD7"/>
    <w:rsid w:val="00F300AB"/>
    <w:rsid w:val="00F3031B"/>
    <w:rsid w:val="00F30592"/>
    <w:rsid w:val="00F30E4B"/>
    <w:rsid w:val="00F30F93"/>
    <w:rsid w:val="00F31AFD"/>
    <w:rsid w:val="00F333A2"/>
    <w:rsid w:val="00F33820"/>
    <w:rsid w:val="00F339DB"/>
    <w:rsid w:val="00F35917"/>
    <w:rsid w:val="00F35B3C"/>
    <w:rsid w:val="00F360C1"/>
    <w:rsid w:val="00F366F3"/>
    <w:rsid w:val="00F36D3D"/>
    <w:rsid w:val="00F36D44"/>
    <w:rsid w:val="00F37225"/>
    <w:rsid w:val="00F373CA"/>
    <w:rsid w:val="00F37A6F"/>
    <w:rsid w:val="00F406E6"/>
    <w:rsid w:val="00F40807"/>
    <w:rsid w:val="00F408A8"/>
    <w:rsid w:val="00F40A99"/>
    <w:rsid w:val="00F40FD0"/>
    <w:rsid w:val="00F4191B"/>
    <w:rsid w:val="00F434BF"/>
    <w:rsid w:val="00F4354D"/>
    <w:rsid w:val="00F4391B"/>
    <w:rsid w:val="00F43A4A"/>
    <w:rsid w:val="00F440B1"/>
    <w:rsid w:val="00F4422B"/>
    <w:rsid w:val="00F44E70"/>
    <w:rsid w:val="00F45932"/>
    <w:rsid w:val="00F45958"/>
    <w:rsid w:val="00F46722"/>
    <w:rsid w:val="00F4767D"/>
    <w:rsid w:val="00F50037"/>
    <w:rsid w:val="00F50642"/>
    <w:rsid w:val="00F51EDC"/>
    <w:rsid w:val="00F52215"/>
    <w:rsid w:val="00F52654"/>
    <w:rsid w:val="00F53016"/>
    <w:rsid w:val="00F531E3"/>
    <w:rsid w:val="00F5454C"/>
    <w:rsid w:val="00F54720"/>
    <w:rsid w:val="00F552BC"/>
    <w:rsid w:val="00F56280"/>
    <w:rsid w:val="00F57361"/>
    <w:rsid w:val="00F577CD"/>
    <w:rsid w:val="00F57A60"/>
    <w:rsid w:val="00F57ACA"/>
    <w:rsid w:val="00F600C4"/>
    <w:rsid w:val="00F6076D"/>
    <w:rsid w:val="00F6200B"/>
    <w:rsid w:val="00F627E5"/>
    <w:rsid w:val="00F638D3"/>
    <w:rsid w:val="00F63D52"/>
    <w:rsid w:val="00F65649"/>
    <w:rsid w:val="00F66DE6"/>
    <w:rsid w:val="00F66E51"/>
    <w:rsid w:val="00F674FA"/>
    <w:rsid w:val="00F70183"/>
    <w:rsid w:val="00F70B09"/>
    <w:rsid w:val="00F70D66"/>
    <w:rsid w:val="00F70F98"/>
    <w:rsid w:val="00F7186E"/>
    <w:rsid w:val="00F72978"/>
    <w:rsid w:val="00F72CA9"/>
    <w:rsid w:val="00F72E0C"/>
    <w:rsid w:val="00F72F29"/>
    <w:rsid w:val="00F74F47"/>
    <w:rsid w:val="00F750F1"/>
    <w:rsid w:val="00F75189"/>
    <w:rsid w:val="00F752A0"/>
    <w:rsid w:val="00F75862"/>
    <w:rsid w:val="00F75A1B"/>
    <w:rsid w:val="00F76D67"/>
    <w:rsid w:val="00F80B78"/>
    <w:rsid w:val="00F81094"/>
    <w:rsid w:val="00F81135"/>
    <w:rsid w:val="00F81B9F"/>
    <w:rsid w:val="00F82850"/>
    <w:rsid w:val="00F82EBE"/>
    <w:rsid w:val="00F83673"/>
    <w:rsid w:val="00F83764"/>
    <w:rsid w:val="00F8479F"/>
    <w:rsid w:val="00F8512B"/>
    <w:rsid w:val="00F85791"/>
    <w:rsid w:val="00F8734A"/>
    <w:rsid w:val="00F87509"/>
    <w:rsid w:val="00F875EA"/>
    <w:rsid w:val="00F87BCF"/>
    <w:rsid w:val="00F90205"/>
    <w:rsid w:val="00F904AA"/>
    <w:rsid w:val="00F9076A"/>
    <w:rsid w:val="00F90BDF"/>
    <w:rsid w:val="00F9157A"/>
    <w:rsid w:val="00F91FA2"/>
    <w:rsid w:val="00F92F85"/>
    <w:rsid w:val="00F931F6"/>
    <w:rsid w:val="00F93657"/>
    <w:rsid w:val="00F93765"/>
    <w:rsid w:val="00F93B6F"/>
    <w:rsid w:val="00F93CF2"/>
    <w:rsid w:val="00F948F3"/>
    <w:rsid w:val="00F94D75"/>
    <w:rsid w:val="00F967A8"/>
    <w:rsid w:val="00F96EA3"/>
    <w:rsid w:val="00F97602"/>
    <w:rsid w:val="00F97C4D"/>
    <w:rsid w:val="00FA1969"/>
    <w:rsid w:val="00FA1AE5"/>
    <w:rsid w:val="00FA1D5D"/>
    <w:rsid w:val="00FA2739"/>
    <w:rsid w:val="00FA2E16"/>
    <w:rsid w:val="00FA37C8"/>
    <w:rsid w:val="00FA4007"/>
    <w:rsid w:val="00FA450D"/>
    <w:rsid w:val="00FA483C"/>
    <w:rsid w:val="00FA585A"/>
    <w:rsid w:val="00FA5E9C"/>
    <w:rsid w:val="00FA6814"/>
    <w:rsid w:val="00FA70EB"/>
    <w:rsid w:val="00FA7754"/>
    <w:rsid w:val="00FB04BB"/>
    <w:rsid w:val="00FB0956"/>
    <w:rsid w:val="00FB0A60"/>
    <w:rsid w:val="00FB0CD1"/>
    <w:rsid w:val="00FB1051"/>
    <w:rsid w:val="00FB18C5"/>
    <w:rsid w:val="00FB19A4"/>
    <w:rsid w:val="00FB1BB1"/>
    <w:rsid w:val="00FB2881"/>
    <w:rsid w:val="00FB45F2"/>
    <w:rsid w:val="00FB47CE"/>
    <w:rsid w:val="00FB5631"/>
    <w:rsid w:val="00FB5CEA"/>
    <w:rsid w:val="00FB6838"/>
    <w:rsid w:val="00FB69DF"/>
    <w:rsid w:val="00FB76B3"/>
    <w:rsid w:val="00FC0871"/>
    <w:rsid w:val="00FC0D18"/>
    <w:rsid w:val="00FC1BF1"/>
    <w:rsid w:val="00FC21A4"/>
    <w:rsid w:val="00FC30BC"/>
    <w:rsid w:val="00FC3333"/>
    <w:rsid w:val="00FC333B"/>
    <w:rsid w:val="00FC34DA"/>
    <w:rsid w:val="00FC357C"/>
    <w:rsid w:val="00FC4034"/>
    <w:rsid w:val="00FC5291"/>
    <w:rsid w:val="00FC5448"/>
    <w:rsid w:val="00FC6026"/>
    <w:rsid w:val="00FC6626"/>
    <w:rsid w:val="00FC66F1"/>
    <w:rsid w:val="00FC6FAF"/>
    <w:rsid w:val="00FC711F"/>
    <w:rsid w:val="00FC7713"/>
    <w:rsid w:val="00FD0251"/>
    <w:rsid w:val="00FD02AF"/>
    <w:rsid w:val="00FD0437"/>
    <w:rsid w:val="00FD05D7"/>
    <w:rsid w:val="00FD0777"/>
    <w:rsid w:val="00FD0BCF"/>
    <w:rsid w:val="00FD0FF4"/>
    <w:rsid w:val="00FD1244"/>
    <w:rsid w:val="00FD177C"/>
    <w:rsid w:val="00FD1DF9"/>
    <w:rsid w:val="00FD1ED6"/>
    <w:rsid w:val="00FD32BA"/>
    <w:rsid w:val="00FD334F"/>
    <w:rsid w:val="00FD3417"/>
    <w:rsid w:val="00FD48E2"/>
    <w:rsid w:val="00FD4B87"/>
    <w:rsid w:val="00FD56BA"/>
    <w:rsid w:val="00FD5B15"/>
    <w:rsid w:val="00FD5B71"/>
    <w:rsid w:val="00FD61DA"/>
    <w:rsid w:val="00FD6223"/>
    <w:rsid w:val="00FD6708"/>
    <w:rsid w:val="00FD74E8"/>
    <w:rsid w:val="00FE0C04"/>
    <w:rsid w:val="00FE1567"/>
    <w:rsid w:val="00FE1E57"/>
    <w:rsid w:val="00FE243E"/>
    <w:rsid w:val="00FE2446"/>
    <w:rsid w:val="00FE2768"/>
    <w:rsid w:val="00FE5639"/>
    <w:rsid w:val="00FE58BD"/>
    <w:rsid w:val="00FE5D18"/>
    <w:rsid w:val="00FE5F00"/>
    <w:rsid w:val="00FE61EA"/>
    <w:rsid w:val="00FE6A97"/>
    <w:rsid w:val="00FE7338"/>
    <w:rsid w:val="00FE7847"/>
    <w:rsid w:val="00FF05E1"/>
    <w:rsid w:val="00FF06F8"/>
    <w:rsid w:val="00FF0781"/>
    <w:rsid w:val="00FF0E3F"/>
    <w:rsid w:val="00FF113D"/>
    <w:rsid w:val="00FF13AB"/>
    <w:rsid w:val="00FF1B84"/>
    <w:rsid w:val="00FF1E94"/>
    <w:rsid w:val="00FF2E78"/>
    <w:rsid w:val="00FF32F7"/>
    <w:rsid w:val="00FF4B6A"/>
    <w:rsid w:val="00FF4D51"/>
    <w:rsid w:val="00FF527B"/>
    <w:rsid w:val="00FF55BB"/>
    <w:rsid w:val="00FF7BA4"/>
    <w:rsid w:val="00FF7E47"/>
    <w:rsid w:val="00FF7FF2"/>
    <w:rsid w:val="010F3B4F"/>
    <w:rsid w:val="01233A9E"/>
    <w:rsid w:val="012E3330"/>
    <w:rsid w:val="01382BF0"/>
    <w:rsid w:val="015C3189"/>
    <w:rsid w:val="016A5229"/>
    <w:rsid w:val="016F45ED"/>
    <w:rsid w:val="01761C40"/>
    <w:rsid w:val="01B73B0A"/>
    <w:rsid w:val="01EB45BC"/>
    <w:rsid w:val="02021905"/>
    <w:rsid w:val="02131300"/>
    <w:rsid w:val="023C5ACE"/>
    <w:rsid w:val="025E5F48"/>
    <w:rsid w:val="027A77D7"/>
    <w:rsid w:val="028247F4"/>
    <w:rsid w:val="0284056C"/>
    <w:rsid w:val="02BC0234"/>
    <w:rsid w:val="02E4100B"/>
    <w:rsid w:val="02F0175E"/>
    <w:rsid w:val="02F05C02"/>
    <w:rsid w:val="03015719"/>
    <w:rsid w:val="03065425"/>
    <w:rsid w:val="03190CB5"/>
    <w:rsid w:val="031A6995"/>
    <w:rsid w:val="032B1CEC"/>
    <w:rsid w:val="037C7496"/>
    <w:rsid w:val="03977E2B"/>
    <w:rsid w:val="03A34A22"/>
    <w:rsid w:val="03B92498"/>
    <w:rsid w:val="03BE3F04"/>
    <w:rsid w:val="03C86237"/>
    <w:rsid w:val="03E56779"/>
    <w:rsid w:val="03F76B20"/>
    <w:rsid w:val="04250D4F"/>
    <w:rsid w:val="043D1A94"/>
    <w:rsid w:val="04405244"/>
    <w:rsid w:val="04575F38"/>
    <w:rsid w:val="046E7D42"/>
    <w:rsid w:val="04710ED7"/>
    <w:rsid w:val="047563BF"/>
    <w:rsid w:val="04765279"/>
    <w:rsid w:val="048A44A4"/>
    <w:rsid w:val="0490144A"/>
    <w:rsid w:val="049F7F45"/>
    <w:rsid w:val="04A07500"/>
    <w:rsid w:val="04AA162C"/>
    <w:rsid w:val="04C16813"/>
    <w:rsid w:val="04C9330C"/>
    <w:rsid w:val="04CC57BA"/>
    <w:rsid w:val="04D625E0"/>
    <w:rsid w:val="04EE621C"/>
    <w:rsid w:val="05025778"/>
    <w:rsid w:val="050E236F"/>
    <w:rsid w:val="05137986"/>
    <w:rsid w:val="0560535D"/>
    <w:rsid w:val="05740424"/>
    <w:rsid w:val="05E62A40"/>
    <w:rsid w:val="05F96B7B"/>
    <w:rsid w:val="060317A8"/>
    <w:rsid w:val="0614641B"/>
    <w:rsid w:val="06163BD1"/>
    <w:rsid w:val="06361B7E"/>
    <w:rsid w:val="063A4E5E"/>
    <w:rsid w:val="06431BE0"/>
    <w:rsid w:val="06435612"/>
    <w:rsid w:val="068E228E"/>
    <w:rsid w:val="069E3B90"/>
    <w:rsid w:val="06AB431A"/>
    <w:rsid w:val="06F7755F"/>
    <w:rsid w:val="070752C8"/>
    <w:rsid w:val="07135860"/>
    <w:rsid w:val="07187D6C"/>
    <w:rsid w:val="072E6CF9"/>
    <w:rsid w:val="075C5614"/>
    <w:rsid w:val="0762666E"/>
    <w:rsid w:val="08153A69"/>
    <w:rsid w:val="08575C88"/>
    <w:rsid w:val="086504F8"/>
    <w:rsid w:val="08A625ED"/>
    <w:rsid w:val="08D52701"/>
    <w:rsid w:val="08D62316"/>
    <w:rsid w:val="091B7D03"/>
    <w:rsid w:val="0923157E"/>
    <w:rsid w:val="092E03B3"/>
    <w:rsid w:val="09402961"/>
    <w:rsid w:val="098552F6"/>
    <w:rsid w:val="09A432A2"/>
    <w:rsid w:val="09B5146D"/>
    <w:rsid w:val="09C1219B"/>
    <w:rsid w:val="09C53944"/>
    <w:rsid w:val="0A215939"/>
    <w:rsid w:val="0A896188"/>
    <w:rsid w:val="0A92134D"/>
    <w:rsid w:val="0A93759F"/>
    <w:rsid w:val="0AC869C1"/>
    <w:rsid w:val="0AF300A5"/>
    <w:rsid w:val="0AF53DB5"/>
    <w:rsid w:val="0B1E64A2"/>
    <w:rsid w:val="0B3B3792"/>
    <w:rsid w:val="0B520073"/>
    <w:rsid w:val="0B6B01EA"/>
    <w:rsid w:val="0B837613"/>
    <w:rsid w:val="0B8D0492"/>
    <w:rsid w:val="0BB377CC"/>
    <w:rsid w:val="0BB73761"/>
    <w:rsid w:val="0BB97492"/>
    <w:rsid w:val="0BD47E6F"/>
    <w:rsid w:val="0BFC1173"/>
    <w:rsid w:val="0BFF2A12"/>
    <w:rsid w:val="0C0E35FE"/>
    <w:rsid w:val="0C1D43D8"/>
    <w:rsid w:val="0C5719E5"/>
    <w:rsid w:val="0C616EAD"/>
    <w:rsid w:val="0C825B1D"/>
    <w:rsid w:val="0C8B7EFC"/>
    <w:rsid w:val="0C945850"/>
    <w:rsid w:val="0CA535B9"/>
    <w:rsid w:val="0CAF4438"/>
    <w:rsid w:val="0CBF6047"/>
    <w:rsid w:val="0CDC63B9"/>
    <w:rsid w:val="0D172CF1"/>
    <w:rsid w:val="0D240982"/>
    <w:rsid w:val="0D4B4161"/>
    <w:rsid w:val="0D5A5554"/>
    <w:rsid w:val="0D701A53"/>
    <w:rsid w:val="0D751A1D"/>
    <w:rsid w:val="0D8256A8"/>
    <w:rsid w:val="0D8C18CF"/>
    <w:rsid w:val="0DA04A38"/>
    <w:rsid w:val="0DC609B4"/>
    <w:rsid w:val="0DCA55A8"/>
    <w:rsid w:val="0DED16BC"/>
    <w:rsid w:val="0DEE3CB0"/>
    <w:rsid w:val="0DF91E0E"/>
    <w:rsid w:val="0DF94F7A"/>
    <w:rsid w:val="0E247D43"/>
    <w:rsid w:val="0E26697C"/>
    <w:rsid w:val="0E36093B"/>
    <w:rsid w:val="0E39220B"/>
    <w:rsid w:val="0E4017EB"/>
    <w:rsid w:val="0E4E14E3"/>
    <w:rsid w:val="0E5748F1"/>
    <w:rsid w:val="0E5E3ABC"/>
    <w:rsid w:val="0E80608C"/>
    <w:rsid w:val="0EC7554A"/>
    <w:rsid w:val="0ED87C76"/>
    <w:rsid w:val="0EE05AC9"/>
    <w:rsid w:val="0EF34AB0"/>
    <w:rsid w:val="0EF425D6"/>
    <w:rsid w:val="0EFD143D"/>
    <w:rsid w:val="0F2904D1"/>
    <w:rsid w:val="0F2FB528"/>
    <w:rsid w:val="0F334EAC"/>
    <w:rsid w:val="0F353F88"/>
    <w:rsid w:val="0F4B5D16"/>
    <w:rsid w:val="0F4C41C0"/>
    <w:rsid w:val="0F5E319C"/>
    <w:rsid w:val="0F7D0FAA"/>
    <w:rsid w:val="0F7F45C1"/>
    <w:rsid w:val="0F9E50DF"/>
    <w:rsid w:val="0FBFEF50"/>
    <w:rsid w:val="0FE12B5A"/>
    <w:rsid w:val="0FE70740"/>
    <w:rsid w:val="0FEF3E47"/>
    <w:rsid w:val="0FFA00C0"/>
    <w:rsid w:val="10030D22"/>
    <w:rsid w:val="10033C3B"/>
    <w:rsid w:val="10345380"/>
    <w:rsid w:val="103A52A2"/>
    <w:rsid w:val="105552F6"/>
    <w:rsid w:val="105D3BF9"/>
    <w:rsid w:val="108F6208"/>
    <w:rsid w:val="10A342B4"/>
    <w:rsid w:val="10C85AC8"/>
    <w:rsid w:val="10D95F27"/>
    <w:rsid w:val="10EA2EB2"/>
    <w:rsid w:val="110765F0"/>
    <w:rsid w:val="1124377F"/>
    <w:rsid w:val="112D7ECE"/>
    <w:rsid w:val="113D0264"/>
    <w:rsid w:val="115D4462"/>
    <w:rsid w:val="116D7F23"/>
    <w:rsid w:val="117D5C09"/>
    <w:rsid w:val="118045F5"/>
    <w:rsid w:val="11B156EA"/>
    <w:rsid w:val="11B22B48"/>
    <w:rsid w:val="11DF9197"/>
    <w:rsid w:val="11E554D0"/>
    <w:rsid w:val="12011292"/>
    <w:rsid w:val="123553DF"/>
    <w:rsid w:val="12386C7D"/>
    <w:rsid w:val="124C10D9"/>
    <w:rsid w:val="12641821"/>
    <w:rsid w:val="128123D2"/>
    <w:rsid w:val="12831010"/>
    <w:rsid w:val="12950418"/>
    <w:rsid w:val="129B7938"/>
    <w:rsid w:val="12A04F4F"/>
    <w:rsid w:val="12C329EB"/>
    <w:rsid w:val="12C978B8"/>
    <w:rsid w:val="12CF0C0F"/>
    <w:rsid w:val="12D746E8"/>
    <w:rsid w:val="12EA441C"/>
    <w:rsid w:val="12FB4087"/>
    <w:rsid w:val="12FC6ED4"/>
    <w:rsid w:val="13086525"/>
    <w:rsid w:val="130D1EB8"/>
    <w:rsid w:val="13345697"/>
    <w:rsid w:val="133B5A8E"/>
    <w:rsid w:val="133E2072"/>
    <w:rsid w:val="135B2C24"/>
    <w:rsid w:val="137621C3"/>
    <w:rsid w:val="138C7281"/>
    <w:rsid w:val="138E2FF9"/>
    <w:rsid w:val="139C4035"/>
    <w:rsid w:val="13A10F7E"/>
    <w:rsid w:val="13AE4B6B"/>
    <w:rsid w:val="13D36C5E"/>
    <w:rsid w:val="13FF3EF7"/>
    <w:rsid w:val="140164DF"/>
    <w:rsid w:val="14027543"/>
    <w:rsid w:val="143858CD"/>
    <w:rsid w:val="144E2788"/>
    <w:rsid w:val="1461426A"/>
    <w:rsid w:val="146223D6"/>
    <w:rsid w:val="148461AA"/>
    <w:rsid w:val="148A5F52"/>
    <w:rsid w:val="149A2D26"/>
    <w:rsid w:val="14CA0061"/>
    <w:rsid w:val="14E54E9B"/>
    <w:rsid w:val="14F72E20"/>
    <w:rsid w:val="14FE1991"/>
    <w:rsid w:val="151165D0"/>
    <w:rsid w:val="1520368F"/>
    <w:rsid w:val="154C0F75"/>
    <w:rsid w:val="154C425F"/>
    <w:rsid w:val="156758B0"/>
    <w:rsid w:val="157D41D7"/>
    <w:rsid w:val="157D50D3"/>
    <w:rsid w:val="158E72E0"/>
    <w:rsid w:val="159643E7"/>
    <w:rsid w:val="159934A9"/>
    <w:rsid w:val="15A46B04"/>
    <w:rsid w:val="15C070BB"/>
    <w:rsid w:val="15C40447"/>
    <w:rsid w:val="15C52F2D"/>
    <w:rsid w:val="15FBA2AD"/>
    <w:rsid w:val="160C46A9"/>
    <w:rsid w:val="163360DA"/>
    <w:rsid w:val="16396013"/>
    <w:rsid w:val="16416DF4"/>
    <w:rsid w:val="164A5442"/>
    <w:rsid w:val="164E6A70"/>
    <w:rsid w:val="16502FF8"/>
    <w:rsid w:val="1650541C"/>
    <w:rsid w:val="16576C99"/>
    <w:rsid w:val="166938A9"/>
    <w:rsid w:val="16895F09"/>
    <w:rsid w:val="168E43EE"/>
    <w:rsid w:val="16AB5C70"/>
    <w:rsid w:val="16BE2021"/>
    <w:rsid w:val="16DA6555"/>
    <w:rsid w:val="16DE4297"/>
    <w:rsid w:val="16EF563E"/>
    <w:rsid w:val="16F60758"/>
    <w:rsid w:val="16F615E1"/>
    <w:rsid w:val="16F733EF"/>
    <w:rsid w:val="171E28E6"/>
    <w:rsid w:val="1725220D"/>
    <w:rsid w:val="172F68A1"/>
    <w:rsid w:val="174A2E1C"/>
    <w:rsid w:val="174F29F0"/>
    <w:rsid w:val="175400B6"/>
    <w:rsid w:val="177855D8"/>
    <w:rsid w:val="177D06A9"/>
    <w:rsid w:val="17824C23"/>
    <w:rsid w:val="179F4DD6"/>
    <w:rsid w:val="17A1308A"/>
    <w:rsid w:val="17B148E8"/>
    <w:rsid w:val="17BE7C25"/>
    <w:rsid w:val="17DA02DD"/>
    <w:rsid w:val="17DD7339"/>
    <w:rsid w:val="181B5077"/>
    <w:rsid w:val="181F4644"/>
    <w:rsid w:val="1820443C"/>
    <w:rsid w:val="18300B23"/>
    <w:rsid w:val="189310B2"/>
    <w:rsid w:val="18934C0E"/>
    <w:rsid w:val="18DA45EA"/>
    <w:rsid w:val="190A0324"/>
    <w:rsid w:val="194D5D55"/>
    <w:rsid w:val="196C53DF"/>
    <w:rsid w:val="197E58C8"/>
    <w:rsid w:val="19BB08C0"/>
    <w:rsid w:val="19E03E83"/>
    <w:rsid w:val="19FB6F0E"/>
    <w:rsid w:val="1A077B54"/>
    <w:rsid w:val="1A0A53A3"/>
    <w:rsid w:val="1A0B28D9"/>
    <w:rsid w:val="1A593D2D"/>
    <w:rsid w:val="1A8A3DEE"/>
    <w:rsid w:val="1AB64BE3"/>
    <w:rsid w:val="1AC45552"/>
    <w:rsid w:val="1AF57E02"/>
    <w:rsid w:val="1B075855"/>
    <w:rsid w:val="1B140288"/>
    <w:rsid w:val="1B7927E1"/>
    <w:rsid w:val="1B9D255E"/>
    <w:rsid w:val="1BBE27B7"/>
    <w:rsid w:val="1BBF5E62"/>
    <w:rsid w:val="1BCC5B0A"/>
    <w:rsid w:val="1BEE356D"/>
    <w:rsid w:val="1C0320AA"/>
    <w:rsid w:val="1C080AC4"/>
    <w:rsid w:val="1C1E6EE4"/>
    <w:rsid w:val="1C272F9D"/>
    <w:rsid w:val="1C4032FE"/>
    <w:rsid w:val="1C41780C"/>
    <w:rsid w:val="1C5F3784"/>
    <w:rsid w:val="1C67088B"/>
    <w:rsid w:val="1C696528"/>
    <w:rsid w:val="1CB3762C"/>
    <w:rsid w:val="1CDA105D"/>
    <w:rsid w:val="1CF540E9"/>
    <w:rsid w:val="1D2840AA"/>
    <w:rsid w:val="1D28626C"/>
    <w:rsid w:val="1D3C1D18"/>
    <w:rsid w:val="1D744364"/>
    <w:rsid w:val="1D8244C3"/>
    <w:rsid w:val="1D8E4B81"/>
    <w:rsid w:val="1DB775F0"/>
    <w:rsid w:val="1DC555CB"/>
    <w:rsid w:val="1DC615E1"/>
    <w:rsid w:val="1DD610F3"/>
    <w:rsid w:val="1DE85A0D"/>
    <w:rsid w:val="1E0433AB"/>
    <w:rsid w:val="1E0C793C"/>
    <w:rsid w:val="1E29229C"/>
    <w:rsid w:val="1E2A6014"/>
    <w:rsid w:val="1E4C7D38"/>
    <w:rsid w:val="1E720EBD"/>
    <w:rsid w:val="1E9B3086"/>
    <w:rsid w:val="1EA00084"/>
    <w:rsid w:val="1EBF440F"/>
    <w:rsid w:val="1EDE607B"/>
    <w:rsid w:val="1EFD1033"/>
    <w:rsid w:val="1F1611D2"/>
    <w:rsid w:val="1F256FDB"/>
    <w:rsid w:val="1F2637A2"/>
    <w:rsid w:val="1F274302"/>
    <w:rsid w:val="1F525822"/>
    <w:rsid w:val="1F735397"/>
    <w:rsid w:val="1F95570F"/>
    <w:rsid w:val="1FB70D91"/>
    <w:rsid w:val="1FBC2C9C"/>
    <w:rsid w:val="1FBDD328"/>
    <w:rsid w:val="1FDF222A"/>
    <w:rsid w:val="1FDF442D"/>
    <w:rsid w:val="1FF25ACE"/>
    <w:rsid w:val="1FF673A9"/>
    <w:rsid w:val="1FFFD55D"/>
    <w:rsid w:val="201C7BDE"/>
    <w:rsid w:val="205826F8"/>
    <w:rsid w:val="20764C41"/>
    <w:rsid w:val="207A2E7F"/>
    <w:rsid w:val="20994D8B"/>
    <w:rsid w:val="209B78FF"/>
    <w:rsid w:val="20A025BE"/>
    <w:rsid w:val="20C75D9C"/>
    <w:rsid w:val="20FD531A"/>
    <w:rsid w:val="210C1A01"/>
    <w:rsid w:val="211C4534"/>
    <w:rsid w:val="211F6C53"/>
    <w:rsid w:val="21222FD3"/>
    <w:rsid w:val="21313216"/>
    <w:rsid w:val="21324C74"/>
    <w:rsid w:val="21352D06"/>
    <w:rsid w:val="216B497A"/>
    <w:rsid w:val="2182320F"/>
    <w:rsid w:val="219C0FD7"/>
    <w:rsid w:val="21B87493"/>
    <w:rsid w:val="21C93769"/>
    <w:rsid w:val="21E40288"/>
    <w:rsid w:val="21EE4B29"/>
    <w:rsid w:val="22080859"/>
    <w:rsid w:val="220E6C96"/>
    <w:rsid w:val="22386681"/>
    <w:rsid w:val="223905D4"/>
    <w:rsid w:val="22460F43"/>
    <w:rsid w:val="22745AB0"/>
    <w:rsid w:val="22950275"/>
    <w:rsid w:val="229C164D"/>
    <w:rsid w:val="22A53EBB"/>
    <w:rsid w:val="22B77D99"/>
    <w:rsid w:val="23046723"/>
    <w:rsid w:val="230961F8"/>
    <w:rsid w:val="2311052C"/>
    <w:rsid w:val="232F06CA"/>
    <w:rsid w:val="23437A88"/>
    <w:rsid w:val="234A05BF"/>
    <w:rsid w:val="235651B5"/>
    <w:rsid w:val="23566F63"/>
    <w:rsid w:val="237731BD"/>
    <w:rsid w:val="23831C7D"/>
    <w:rsid w:val="23DF33FD"/>
    <w:rsid w:val="23F12121"/>
    <w:rsid w:val="2409047A"/>
    <w:rsid w:val="24433E0A"/>
    <w:rsid w:val="24463680"/>
    <w:rsid w:val="24482D50"/>
    <w:rsid w:val="24683DB0"/>
    <w:rsid w:val="246A53BC"/>
    <w:rsid w:val="24816262"/>
    <w:rsid w:val="248C75F9"/>
    <w:rsid w:val="249750C8"/>
    <w:rsid w:val="24A52FC2"/>
    <w:rsid w:val="24AA57B9"/>
    <w:rsid w:val="24D45043"/>
    <w:rsid w:val="24D9609E"/>
    <w:rsid w:val="24F3691F"/>
    <w:rsid w:val="250E6BFE"/>
    <w:rsid w:val="251E73D1"/>
    <w:rsid w:val="25341526"/>
    <w:rsid w:val="25401C79"/>
    <w:rsid w:val="2568522A"/>
    <w:rsid w:val="25695674"/>
    <w:rsid w:val="25742D1E"/>
    <w:rsid w:val="25960567"/>
    <w:rsid w:val="25A36DFE"/>
    <w:rsid w:val="25E62821"/>
    <w:rsid w:val="25F7D6CD"/>
    <w:rsid w:val="26022A2E"/>
    <w:rsid w:val="261C6242"/>
    <w:rsid w:val="261D1FBA"/>
    <w:rsid w:val="2636356A"/>
    <w:rsid w:val="264D55B5"/>
    <w:rsid w:val="26520FC2"/>
    <w:rsid w:val="266100F9"/>
    <w:rsid w:val="268D0EEE"/>
    <w:rsid w:val="269E354F"/>
    <w:rsid w:val="26C577F7"/>
    <w:rsid w:val="26CC5EBA"/>
    <w:rsid w:val="26E86A6C"/>
    <w:rsid w:val="26EB5B42"/>
    <w:rsid w:val="26EC20B9"/>
    <w:rsid w:val="270311B0"/>
    <w:rsid w:val="27037402"/>
    <w:rsid w:val="272D095D"/>
    <w:rsid w:val="27341C2B"/>
    <w:rsid w:val="27475C6C"/>
    <w:rsid w:val="274E68CF"/>
    <w:rsid w:val="27636E07"/>
    <w:rsid w:val="27763E0A"/>
    <w:rsid w:val="27932534"/>
    <w:rsid w:val="27BC5E78"/>
    <w:rsid w:val="27C0523E"/>
    <w:rsid w:val="27C35170"/>
    <w:rsid w:val="27CE7A10"/>
    <w:rsid w:val="27DB0851"/>
    <w:rsid w:val="27FF4B41"/>
    <w:rsid w:val="280C6F11"/>
    <w:rsid w:val="28280BBA"/>
    <w:rsid w:val="28426C95"/>
    <w:rsid w:val="285D74BA"/>
    <w:rsid w:val="286B1F39"/>
    <w:rsid w:val="28836A4D"/>
    <w:rsid w:val="288D78CB"/>
    <w:rsid w:val="28944BAE"/>
    <w:rsid w:val="28AB0226"/>
    <w:rsid w:val="28B906C0"/>
    <w:rsid w:val="28DE0127"/>
    <w:rsid w:val="28E4780D"/>
    <w:rsid w:val="28F25980"/>
    <w:rsid w:val="29080D00"/>
    <w:rsid w:val="2941468D"/>
    <w:rsid w:val="295D729E"/>
    <w:rsid w:val="296C128F"/>
    <w:rsid w:val="29A03BD0"/>
    <w:rsid w:val="29B61769"/>
    <w:rsid w:val="29FA36A7"/>
    <w:rsid w:val="2A1C5B7E"/>
    <w:rsid w:val="2A3007B7"/>
    <w:rsid w:val="2A3C362C"/>
    <w:rsid w:val="2A436DFD"/>
    <w:rsid w:val="2A5E448B"/>
    <w:rsid w:val="2A643235"/>
    <w:rsid w:val="2A6C6EAC"/>
    <w:rsid w:val="2A6F54DA"/>
    <w:rsid w:val="2A750617"/>
    <w:rsid w:val="2A8B1BE9"/>
    <w:rsid w:val="2A910804"/>
    <w:rsid w:val="2AA001EB"/>
    <w:rsid w:val="2AE27E50"/>
    <w:rsid w:val="2B2F4C6A"/>
    <w:rsid w:val="2B612949"/>
    <w:rsid w:val="2B696408"/>
    <w:rsid w:val="2B6B6FAE"/>
    <w:rsid w:val="2B8B65D1"/>
    <w:rsid w:val="2B986BC5"/>
    <w:rsid w:val="2BDD0222"/>
    <w:rsid w:val="2BE05279"/>
    <w:rsid w:val="2BF42F19"/>
    <w:rsid w:val="2BF612E4"/>
    <w:rsid w:val="2BFDCA5B"/>
    <w:rsid w:val="2C286E71"/>
    <w:rsid w:val="2C2B3683"/>
    <w:rsid w:val="2C5B55EB"/>
    <w:rsid w:val="2C7A3CC3"/>
    <w:rsid w:val="2C923702"/>
    <w:rsid w:val="2C9A4365"/>
    <w:rsid w:val="2CBC7131"/>
    <w:rsid w:val="2CC413E2"/>
    <w:rsid w:val="2CD755B9"/>
    <w:rsid w:val="2CD77367"/>
    <w:rsid w:val="2D1707E3"/>
    <w:rsid w:val="2D1C2FCC"/>
    <w:rsid w:val="2D1C4D7A"/>
    <w:rsid w:val="2D5A0D3E"/>
    <w:rsid w:val="2D60735C"/>
    <w:rsid w:val="2D7C1CBC"/>
    <w:rsid w:val="2DB37E70"/>
    <w:rsid w:val="2DB38166"/>
    <w:rsid w:val="2DDF8D9C"/>
    <w:rsid w:val="2E1C64AB"/>
    <w:rsid w:val="2E2760CC"/>
    <w:rsid w:val="2E4A6A3E"/>
    <w:rsid w:val="2E4D6F3C"/>
    <w:rsid w:val="2E652751"/>
    <w:rsid w:val="2E681DB2"/>
    <w:rsid w:val="2EB70353"/>
    <w:rsid w:val="2EBC0DB0"/>
    <w:rsid w:val="2EC851B9"/>
    <w:rsid w:val="2ECD2694"/>
    <w:rsid w:val="2ED741E5"/>
    <w:rsid w:val="2ED973C6"/>
    <w:rsid w:val="2EF02962"/>
    <w:rsid w:val="2F1321AD"/>
    <w:rsid w:val="2F1D70ED"/>
    <w:rsid w:val="2F301956"/>
    <w:rsid w:val="2F4B1946"/>
    <w:rsid w:val="2F6B4A9C"/>
    <w:rsid w:val="2F6F72E5"/>
    <w:rsid w:val="2F7765EF"/>
    <w:rsid w:val="2F7964B4"/>
    <w:rsid w:val="2F947F66"/>
    <w:rsid w:val="2FA037D9"/>
    <w:rsid w:val="2FC17E5A"/>
    <w:rsid w:val="2FD59123"/>
    <w:rsid w:val="2FE966D6"/>
    <w:rsid w:val="2FEA5603"/>
    <w:rsid w:val="2FED34BC"/>
    <w:rsid w:val="2FF27248"/>
    <w:rsid w:val="2FFFF69C"/>
    <w:rsid w:val="302503E9"/>
    <w:rsid w:val="30360848"/>
    <w:rsid w:val="3046413C"/>
    <w:rsid w:val="30590093"/>
    <w:rsid w:val="30911F89"/>
    <w:rsid w:val="309827E9"/>
    <w:rsid w:val="309F1F4A"/>
    <w:rsid w:val="30AB6B41"/>
    <w:rsid w:val="30AC28B9"/>
    <w:rsid w:val="30B35094"/>
    <w:rsid w:val="30C42CE5"/>
    <w:rsid w:val="30E65A70"/>
    <w:rsid w:val="30E81DDA"/>
    <w:rsid w:val="30E91417"/>
    <w:rsid w:val="315013BD"/>
    <w:rsid w:val="315E1206"/>
    <w:rsid w:val="31753C42"/>
    <w:rsid w:val="317F1D7B"/>
    <w:rsid w:val="318B0720"/>
    <w:rsid w:val="31A87524"/>
    <w:rsid w:val="31AD0696"/>
    <w:rsid w:val="31B85D4A"/>
    <w:rsid w:val="31D70DB3"/>
    <w:rsid w:val="31D848DF"/>
    <w:rsid w:val="31F9342B"/>
    <w:rsid w:val="31F93D81"/>
    <w:rsid w:val="31FE47F0"/>
    <w:rsid w:val="32163BEE"/>
    <w:rsid w:val="322A7F39"/>
    <w:rsid w:val="3230370F"/>
    <w:rsid w:val="328A479A"/>
    <w:rsid w:val="329655CE"/>
    <w:rsid w:val="32B45FFC"/>
    <w:rsid w:val="32B53CA7"/>
    <w:rsid w:val="32F73167"/>
    <w:rsid w:val="333E1EEE"/>
    <w:rsid w:val="33423060"/>
    <w:rsid w:val="335B1897"/>
    <w:rsid w:val="336F02F9"/>
    <w:rsid w:val="339864C5"/>
    <w:rsid w:val="33DF6B01"/>
    <w:rsid w:val="33EC361E"/>
    <w:rsid w:val="343B01DB"/>
    <w:rsid w:val="344D6161"/>
    <w:rsid w:val="34515C51"/>
    <w:rsid w:val="346E05B1"/>
    <w:rsid w:val="34802092"/>
    <w:rsid w:val="34872921"/>
    <w:rsid w:val="34A217F3"/>
    <w:rsid w:val="351B4A85"/>
    <w:rsid w:val="352B0044"/>
    <w:rsid w:val="35496928"/>
    <w:rsid w:val="354B26A0"/>
    <w:rsid w:val="354D466A"/>
    <w:rsid w:val="3566572C"/>
    <w:rsid w:val="35693F5D"/>
    <w:rsid w:val="35CB3A0A"/>
    <w:rsid w:val="35CF1523"/>
    <w:rsid w:val="35D07D8F"/>
    <w:rsid w:val="35D54660"/>
    <w:rsid w:val="35DF7405"/>
    <w:rsid w:val="35FD4A53"/>
    <w:rsid w:val="35FE265A"/>
    <w:rsid w:val="35FE7C19"/>
    <w:rsid w:val="36075C86"/>
    <w:rsid w:val="368340BC"/>
    <w:rsid w:val="36931955"/>
    <w:rsid w:val="36A20B88"/>
    <w:rsid w:val="36A620EF"/>
    <w:rsid w:val="36EE59D9"/>
    <w:rsid w:val="36FBCF72"/>
    <w:rsid w:val="37046FAB"/>
    <w:rsid w:val="37187064"/>
    <w:rsid w:val="371D3646"/>
    <w:rsid w:val="371F2036"/>
    <w:rsid w:val="37256F21"/>
    <w:rsid w:val="372E414E"/>
    <w:rsid w:val="37721F5F"/>
    <w:rsid w:val="37775636"/>
    <w:rsid w:val="378E2D18"/>
    <w:rsid w:val="37983B97"/>
    <w:rsid w:val="37B7ED41"/>
    <w:rsid w:val="37B81B43"/>
    <w:rsid w:val="37C153EE"/>
    <w:rsid w:val="37C329C2"/>
    <w:rsid w:val="37DE41B5"/>
    <w:rsid w:val="37E828F1"/>
    <w:rsid w:val="37EB3CC7"/>
    <w:rsid w:val="37F77E10"/>
    <w:rsid w:val="37FED671"/>
    <w:rsid w:val="37FF061F"/>
    <w:rsid w:val="37FF4CF2"/>
    <w:rsid w:val="3810197F"/>
    <w:rsid w:val="383578E4"/>
    <w:rsid w:val="383C2774"/>
    <w:rsid w:val="38535B2F"/>
    <w:rsid w:val="38795776"/>
    <w:rsid w:val="38855EC9"/>
    <w:rsid w:val="388A1731"/>
    <w:rsid w:val="38975BFC"/>
    <w:rsid w:val="38DB2D8F"/>
    <w:rsid w:val="38DF69E2"/>
    <w:rsid w:val="38FF5F78"/>
    <w:rsid w:val="390A63CE"/>
    <w:rsid w:val="39395293"/>
    <w:rsid w:val="394F1B78"/>
    <w:rsid w:val="39567866"/>
    <w:rsid w:val="39642CFF"/>
    <w:rsid w:val="39653912"/>
    <w:rsid w:val="396B39E9"/>
    <w:rsid w:val="398F1791"/>
    <w:rsid w:val="39916BF0"/>
    <w:rsid w:val="39937454"/>
    <w:rsid w:val="39987E7E"/>
    <w:rsid w:val="39B27192"/>
    <w:rsid w:val="39BC1F48"/>
    <w:rsid w:val="39D215E2"/>
    <w:rsid w:val="39E9692C"/>
    <w:rsid w:val="39ED4C94"/>
    <w:rsid w:val="39F257E0"/>
    <w:rsid w:val="39FFFDE1"/>
    <w:rsid w:val="3A184B1B"/>
    <w:rsid w:val="3A1E0383"/>
    <w:rsid w:val="3A238AB3"/>
    <w:rsid w:val="3A29308B"/>
    <w:rsid w:val="3A306A7B"/>
    <w:rsid w:val="3A347BA7"/>
    <w:rsid w:val="3A575643"/>
    <w:rsid w:val="3AA840F1"/>
    <w:rsid w:val="3AC21656"/>
    <w:rsid w:val="3ACA6729"/>
    <w:rsid w:val="3ADE013D"/>
    <w:rsid w:val="3AF35422"/>
    <w:rsid w:val="3AFB06C4"/>
    <w:rsid w:val="3B583D69"/>
    <w:rsid w:val="3B5F1C7D"/>
    <w:rsid w:val="3BAD0F22"/>
    <w:rsid w:val="3BB41501"/>
    <w:rsid w:val="3BCC3F21"/>
    <w:rsid w:val="3BD397E7"/>
    <w:rsid w:val="3BD73AB3"/>
    <w:rsid w:val="3BD74C8E"/>
    <w:rsid w:val="3BD7DD93"/>
    <w:rsid w:val="3BE850ED"/>
    <w:rsid w:val="3BF7A510"/>
    <w:rsid w:val="3BF8B32E"/>
    <w:rsid w:val="3C181E17"/>
    <w:rsid w:val="3C1F4887"/>
    <w:rsid w:val="3C3E6284"/>
    <w:rsid w:val="3C4D4F50"/>
    <w:rsid w:val="3C4E0CC8"/>
    <w:rsid w:val="3C717BFD"/>
    <w:rsid w:val="3C8F6EBE"/>
    <w:rsid w:val="3CB05F7C"/>
    <w:rsid w:val="3CC22BD4"/>
    <w:rsid w:val="3CCD6091"/>
    <w:rsid w:val="3CCD7E3F"/>
    <w:rsid w:val="3CD596E5"/>
    <w:rsid w:val="3CE27D8E"/>
    <w:rsid w:val="3CFF0368"/>
    <w:rsid w:val="3D0870C9"/>
    <w:rsid w:val="3D121CF5"/>
    <w:rsid w:val="3D1F5E4C"/>
    <w:rsid w:val="3D367AE4"/>
    <w:rsid w:val="3D3F4972"/>
    <w:rsid w:val="3D607F17"/>
    <w:rsid w:val="3D9D1F07"/>
    <w:rsid w:val="3DA23079"/>
    <w:rsid w:val="3DA838B8"/>
    <w:rsid w:val="3DBD10C2"/>
    <w:rsid w:val="3DC111F6"/>
    <w:rsid w:val="3DC70D32"/>
    <w:rsid w:val="3DD6576A"/>
    <w:rsid w:val="3DDA6CB7"/>
    <w:rsid w:val="3DE9514C"/>
    <w:rsid w:val="3DF639D3"/>
    <w:rsid w:val="3DF720D4"/>
    <w:rsid w:val="3DFFD368"/>
    <w:rsid w:val="3E0B6E71"/>
    <w:rsid w:val="3E0C5102"/>
    <w:rsid w:val="3E5B41DE"/>
    <w:rsid w:val="3E5B83D2"/>
    <w:rsid w:val="3E682515"/>
    <w:rsid w:val="3E734A16"/>
    <w:rsid w:val="3E75785C"/>
    <w:rsid w:val="3E7A3FF6"/>
    <w:rsid w:val="3E8310FD"/>
    <w:rsid w:val="3E996121"/>
    <w:rsid w:val="3E9D337F"/>
    <w:rsid w:val="3EA14D33"/>
    <w:rsid w:val="3EB68A16"/>
    <w:rsid w:val="3EBC016B"/>
    <w:rsid w:val="3ED874A9"/>
    <w:rsid w:val="3EEF2AC3"/>
    <w:rsid w:val="3EF1369A"/>
    <w:rsid w:val="3EFD20D8"/>
    <w:rsid w:val="3EFF33EC"/>
    <w:rsid w:val="3F244D4F"/>
    <w:rsid w:val="3F43263A"/>
    <w:rsid w:val="3F4EC1F5"/>
    <w:rsid w:val="3F514D57"/>
    <w:rsid w:val="3F6E5909"/>
    <w:rsid w:val="3F6F2757"/>
    <w:rsid w:val="3F7B6185"/>
    <w:rsid w:val="3F7EAA13"/>
    <w:rsid w:val="3F7FDCB0"/>
    <w:rsid w:val="3F93E565"/>
    <w:rsid w:val="3F9A5CE4"/>
    <w:rsid w:val="3FACD131"/>
    <w:rsid w:val="3FBE9C58"/>
    <w:rsid w:val="3FBFB89A"/>
    <w:rsid w:val="3FCB462C"/>
    <w:rsid w:val="3FD7D1F0"/>
    <w:rsid w:val="3FDF6807"/>
    <w:rsid w:val="3FE27130"/>
    <w:rsid w:val="3FE51083"/>
    <w:rsid w:val="3FEB4455"/>
    <w:rsid w:val="3FEF32BB"/>
    <w:rsid w:val="3FEF61AB"/>
    <w:rsid w:val="3FEFBDFE"/>
    <w:rsid w:val="3FF102E8"/>
    <w:rsid w:val="3FF91B9D"/>
    <w:rsid w:val="3FFE0E68"/>
    <w:rsid w:val="3FFE86E1"/>
    <w:rsid w:val="3FFF33A7"/>
    <w:rsid w:val="3FFF98E5"/>
    <w:rsid w:val="40026051"/>
    <w:rsid w:val="402B082D"/>
    <w:rsid w:val="402C2A1F"/>
    <w:rsid w:val="405C39B3"/>
    <w:rsid w:val="407031DA"/>
    <w:rsid w:val="407A208B"/>
    <w:rsid w:val="40B27A77"/>
    <w:rsid w:val="40C357E1"/>
    <w:rsid w:val="40D4623C"/>
    <w:rsid w:val="410A27A1"/>
    <w:rsid w:val="41156A75"/>
    <w:rsid w:val="41251F49"/>
    <w:rsid w:val="413A424B"/>
    <w:rsid w:val="415C4F97"/>
    <w:rsid w:val="41831414"/>
    <w:rsid w:val="41C717D4"/>
    <w:rsid w:val="41D63C39"/>
    <w:rsid w:val="420A5691"/>
    <w:rsid w:val="42115714"/>
    <w:rsid w:val="42257952"/>
    <w:rsid w:val="42323768"/>
    <w:rsid w:val="425D7EB7"/>
    <w:rsid w:val="428500C8"/>
    <w:rsid w:val="428C5C80"/>
    <w:rsid w:val="42976F25"/>
    <w:rsid w:val="42A45AE6"/>
    <w:rsid w:val="42C85330"/>
    <w:rsid w:val="42EB7271"/>
    <w:rsid w:val="433A53ED"/>
    <w:rsid w:val="434D7F2B"/>
    <w:rsid w:val="43717BE5"/>
    <w:rsid w:val="43AE36F2"/>
    <w:rsid w:val="43D45F57"/>
    <w:rsid w:val="43DB5537"/>
    <w:rsid w:val="43FB2100"/>
    <w:rsid w:val="441647C1"/>
    <w:rsid w:val="441A7E0D"/>
    <w:rsid w:val="44823C05"/>
    <w:rsid w:val="44EC016E"/>
    <w:rsid w:val="44EC4671"/>
    <w:rsid w:val="44EE393A"/>
    <w:rsid w:val="44EE7D64"/>
    <w:rsid w:val="44FE772F"/>
    <w:rsid w:val="450F5CD2"/>
    <w:rsid w:val="451C47FC"/>
    <w:rsid w:val="45232CF2"/>
    <w:rsid w:val="4550160D"/>
    <w:rsid w:val="45565285"/>
    <w:rsid w:val="455E01CE"/>
    <w:rsid w:val="456B28EB"/>
    <w:rsid w:val="457E1216"/>
    <w:rsid w:val="45B7168C"/>
    <w:rsid w:val="45C344D5"/>
    <w:rsid w:val="46017C71"/>
    <w:rsid w:val="4609638B"/>
    <w:rsid w:val="461F40D3"/>
    <w:rsid w:val="464874E6"/>
    <w:rsid w:val="46560EA5"/>
    <w:rsid w:val="467A1037"/>
    <w:rsid w:val="46852F76"/>
    <w:rsid w:val="46BA58D8"/>
    <w:rsid w:val="46DC3107"/>
    <w:rsid w:val="470152B5"/>
    <w:rsid w:val="47064679"/>
    <w:rsid w:val="471072A6"/>
    <w:rsid w:val="47631ACB"/>
    <w:rsid w:val="476BFB60"/>
    <w:rsid w:val="47811F51"/>
    <w:rsid w:val="47AB6F21"/>
    <w:rsid w:val="47E112CE"/>
    <w:rsid w:val="47FF79F6"/>
    <w:rsid w:val="481E59F2"/>
    <w:rsid w:val="482161C9"/>
    <w:rsid w:val="484713ED"/>
    <w:rsid w:val="486378A9"/>
    <w:rsid w:val="487F489F"/>
    <w:rsid w:val="48831CF9"/>
    <w:rsid w:val="48B85E47"/>
    <w:rsid w:val="48B96FD7"/>
    <w:rsid w:val="48D507A7"/>
    <w:rsid w:val="48EC08CA"/>
    <w:rsid w:val="48ED4CAD"/>
    <w:rsid w:val="48F108D3"/>
    <w:rsid w:val="49740B36"/>
    <w:rsid w:val="4977185E"/>
    <w:rsid w:val="4985294A"/>
    <w:rsid w:val="49E20367"/>
    <w:rsid w:val="4A331C29"/>
    <w:rsid w:val="4A4F4B74"/>
    <w:rsid w:val="4A5D0422"/>
    <w:rsid w:val="4A6E2E5C"/>
    <w:rsid w:val="4A901E24"/>
    <w:rsid w:val="4A993A56"/>
    <w:rsid w:val="4ABD7387"/>
    <w:rsid w:val="4AF173EE"/>
    <w:rsid w:val="4AF31677"/>
    <w:rsid w:val="4B052E99"/>
    <w:rsid w:val="4B413ED2"/>
    <w:rsid w:val="4B657EF0"/>
    <w:rsid w:val="4B6B800D"/>
    <w:rsid w:val="4B6C4CC7"/>
    <w:rsid w:val="4B8921F7"/>
    <w:rsid w:val="4B8D7795"/>
    <w:rsid w:val="4BBC07D8"/>
    <w:rsid w:val="4BD471AE"/>
    <w:rsid w:val="4BE40D01"/>
    <w:rsid w:val="4C0A191A"/>
    <w:rsid w:val="4C2D08FA"/>
    <w:rsid w:val="4C4C3491"/>
    <w:rsid w:val="4C5FDC30"/>
    <w:rsid w:val="4C653BF0"/>
    <w:rsid w:val="4C6C0FD2"/>
    <w:rsid w:val="4C871DB8"/>
    <w:rsid w:val="4C910E89"/>
    <w:rsid w:val="4C9D174B"/>
    <w:rsid w:val="4CBB7C63"/>
    <w:rsid w:val="4CC07749"/>
    <w:rsid w:val="4CF25D72"/>
    <w:rsid w:val="4D3006A2"/>
    <w:rsid w:val="4D3D5E83"/>
    <w:rsid w:val="4D3F6B37"/>
    <w:rsid w:val="4D437238"/>
    <w:rsid w:val="4D451BD8"/>
    <w:rsid w:val="4D6245D3"/>
    <w:rsid w:val="4D6B5871"/>
    <w:rsid w:val="4D6D36A4"/>
    <w:rsid w:val="4D7B0F00"/>
    <w:rsid w:val="4D805197"/>
    <w:rsid w:val="4D930C30"/>
    <w:rsid w:val="4DA78850"/>
    <w:rsid w:val="4DAE5A6A"/>
    <w:rsid w:val="4DEE71B6"/>
    <w:rsid w:val="4DF02418"/>
    <w:rsid w:val="4DF700CB"/>
    <w:rsid w:val="4DF80B2D"/>
    <w:rsid w:val="4DF96794"/>
    <w:rsid w:val="4DFB021D"/>
    <w:rsid w:val="4E3301FD"/>
    <w:rsid w:val="4E4D7031"/>
    <w:rsid w:val="4E5A52AA"/>
    <w:rsid w:val="4E68356D"/>
    <w:rsid w:val="4E916F1E"/>
    <w:rsid w:val="4E96144B"/>
    <w:rsid w:val="4EB3158A"/>
    <w:rsid w:val="4EC7430E"/>
    <w:rsid w:val="4EDB4D86"/>
    <w:rsid w:val="4F011B62"/>
    <w:rsid w:val="4F0771E0"/>
    <w:rsid w:val="4F0A6CD0"/>
    <w:rsid w:val="4F0D06C9"/>
    <w:rsid w:val="4F277882"/>
    <w:rsid w:val="4F543254"/>
    <w:rsid w:val="4F7B372A"/>
    <w:rsid w:val="4F986B4D"/>
    <w:rsid w:val="4FA36773"/>
    <w:rsid w:val="4FA47125"/>
    <w:rsid w:val="4FBD3D43"/>
    <w:rsid w:val="4FCF30B5"/>
    <w:rsid w:val="4FD206F3"/>
    <w:rsid w:val="4FDE2637"/>
    <w:rsid w:val="4FE87012"/>
    <w:rsid w:val="4FF50FB2"/>
    <w:rsid w:val="4FFE13FE"/>
    <w:rsid w:val="50227510"/>
    <w:rsid w:val="50367344"/>
    <w:rsid w:val="503D62C5"/>
    <w:rsid w:val="50792360"/>
    <w:rsid w:val="50CF3478"/>
    <w:rsid w:val="50D1398C"/>
    <w:rsid w:val="50D17E22"/>
    <w:rsid w:val="50EA500B"/>
    <w:rsid w:val="510B5D3F"/>
    <w:rsid w:val="51411BCE"/>
    <w:rsid w:val="51556929"/>
    <w:rsid w:val="515B7CB7"/>
    <w:rsid w:val="517D19DC"/>
    <w:rsid w:val="51CF7127"/>
    <w:rsid w:val="520747FD"/>
    <w:rsid w:val="52081BED"/>
    <w:rsid w:val="52416EAD"/>
    <w:rsid w:val="52432085"/>
    <w:rsid w:val="52750905"/>
    <w:rsid w:val="527F2031"/>
    <w:rsid w:val="52893A92"/>
    <w:rsid w:val="52961D25"/>
    <w:rsid w:val="529D02AB"/>
    <w:rsid w:val="52BE22AC"/>
    <w:rsid w:val="52E90E44"/>
    <w:rsid w:val="52F97E5D"/>
    <w:rsid w:val="530F3399"/>
    <w:rsid w:val="531B14AC"/>
    <w:rsid w:val="531C3528"/>
    <w:rsid w:val="53334A48"/>
    <w:rsid w:val="534327B1"/>
    <w:rsid w:val="534B4396"/>
    <w:rsid w:val="53642E53"/>
    <w:rsid w:val="536E0167"/>
    <w:rsid w:val="53A36A55"/>
    <w:rsid w:val="53B9140E"/>
    <w:rsid w:val="53BD07B5"/>
    <w:rsid w:val="53F35F85"/>
    <w:rsid w:val="53F817ED"/>
    <w:rsid w:val="541D74A6"/>
    <w:rsid w:val="542754DE"/>
    <w:rsid w:val="54434275"/>
    <w:rsid w:val="546B1FBF"/>
    <w:rsid w:val="54802A0E"/>
    <w:rsid w:val="54A35BFD"/>
    <w:rsid w:val="54A51975"/>
    <w:rsid w:val="54A83213"/>
    <w:rsid w:val="54B6371B"/>
    <w:rsid w:val="54FC3049"/>
    <w:rsid w:val="54FE872F"/>
    <w:rsid w:val="552503C0"/>
    <w:rsid w:val="55256612"/>
    <w:rsid w:val="5536081F"/>
    <w:rsid w:val="553B7BE4"/>
    <w:rsid w:val="55564A1D"/>
    <w:rsid w:val="555B2034"/>
    <w:rsid w:val="5576ADB8"/>
    <w:rsid w:val="55A90EE3"/>
    <w:rsid w:val="55AD30C3"/>
    <w:rsid w:val="55DC1C92"/>
    <w:rsid w:val="563D3E2F"/>
    <w:rsid w:val="56680EAC"/>
    <w:rsid w:val="567524EE"/>
    <w:rsid w:val="56772E9D"/>
    <w:rsid w:val="56982E14"/>
    <w:rsid w:val="56A65531"/>
    <w:rsid w:val="56B7174F"/>
    <w:rsid w:val="56BD8027"/>
    <w:rsid w:val="56C9121F"/>
    <w:rsid w:val="56CC4F4C"/>
    <w:rsid w:val="56D95906"/>
    <w:rsid w:val="56E36785"/>
    <w:rsid w:val="56FA762A"/>
    <w:rsid w:val="57055FE4"/>
    <w:rsid w:val="57122BC6"/>
    <w:rsid w:val="571F83DC"/>
    <w:rsid w:val="57527466"/>
    <w:rsid w:val="575D6537"/>
    <w:rsid w:val="577613A7"/>
    <w:rsid w:val="577F0367"/>
    <w:rsid w:val="578F0D48"/>
    <w:rsid w:val="57A31A70"/>
    <w:rsid w:val="57B91294"/>
    <w:rsid w:val="57C52BDD"/>
    <w:rsid w:val="57E44562"/>
    <w:rsid w:val="580E5A83"/>
    <w:rsid w:val="58141A65"/>
    <w:rsid w:val="582E1C82"/>
    <w:rsid w:val="58313520"/>
    <w:rsid w:val="583A23D4"/>
    <w:rsid w:val="58421BF7"/>
    <w:rsid w:val="58444517"/>
    <w:rsid w:val="58472D43"/>
    <w:rsid w:val="586454CE"/>
    <w:rsid w:val="58727DC0"/>
    <w:rsid w:val="587564EA"/>
    <w:rsid w:val="58B71C77"/>
    <w:rsid w:val="58CA7BFC"/>
    <w:rsid w:val="58D913C9"/>
    <w:rsid w:val="58DF87CA"/>
    <w:rsid w:val="592D018B"/>
    <w:rsid w:val="594F3C5E"/>
    <w:rsid w:val="596A0A97"/>
    <w:rsid w:val="5979517E"/>
    <w:rsid w:val="599B3347"/>
    <w:rsid w:val="59BDFDB7"/>
    <w:rsid w:val="59D2663D"/>
    <w:rsid w:val="5A3B3AD0"/>
    <w:rsid w:val="5A49178E"/>
    <w:rsid w:val="5A6B2918"/>
    <w:rsid w:val="5A714412"/>
    <w:rsid w:val="5A865020"/>
    <w:rsid w:val="5A8B5169"/>
    <w:rsid w:val="5AA535EC"/>
    <w:rsid w:val="5AAB6BC1"/>
    <w:rsid w:val="5AC71F19"/>
    <w:rsid w:val="5ACD132B"/>
    <w:rsid w:val="5ADE49F6"/>
    <w:rsid w:val="5AFFEC33"/>
    <w:rsid w:val="5B1213E7"/>
    <w:rsid w:val="5B174C4F"/>
    <w:rsid w:val="5B184523"/>
    <w:rsid w:val="5B46714E"/>
    <w:rsid w:val="5B6F8298"/>
    <w:rsid w:val="5B7FF269"/>
    <w:rsid w:val="5B841BB9"/>
    <w:rsid w:val="5B94004E"/>
    <w:rsid w:val="5BA830B6"/>
    <w:rsid w:val="5BBC1352"/>
    <w:rsid w:val="5BDE4CFA"/>
    <w:rsid w:val="5BE7391D"/>
    <w:rsid w:val="5C0A0310"/>
    <w:rsid w:val="5C2A177C"/>
    <w:rsid w:val="5C4373F2"/>
    <w:rsid w:val="5C4E644E"/>
    <w:rsid w:val="5C513607"/>
    <w:rsid w:val="5C624388"/>
    <w:rsid w:val="5C6A5252"/>
    <w:rsid w:val="5C7FB081"/>
    <w:rsid w:val="5C90041D"/>
    <w:rsid w:val="5CA42512"/>
    <w:rsid w:val="5CA95D7B"/>
    <w:rsid w:val="5CBF559E"/>
    <w:rsid w:val="5CD31049"/>
    <w:rsid w:val="5CE83EE9"/>
    <w:rsid w:val="5CF05758"/>
    <w:rsid w:val="5CF60894"/>
    <w:rsid w:val="5D2E6280"/>
    <w:rsid w:val="5D3949DD"/>
    <w:rsid w:val="5D41052F"/>
    <w:rsid w:val="5D501207"/>
    <w:rsid w:val="5D573A29"/>
    <w:rsid w:val="5D652398"/>
    <w:rsid w:val="5D772659"/>
    <w:rsid w:val="5D8D7129"/>
    <w:rsid w:val="5DAF6766"/>
    <w:rsid w:val="5DAF9D43"/>
    <w:rsid w:val="5DAFD358"/>
    <w:rsid w:val="5DB235FD"/>
    <w:rsid w:val="5DC919AC"/>
    <w:rsid w:val="5DEC4A2B"/>
    <w:rsid w:val="5DFA7FDB"/>
    <w:rsid w:val="5DFD5599"/>
    <w:rsid w:val="5E3E50CE"/>
    <w:rsid w:val="5E447075"/>
    <w:rsid w:val="5E5E2B95"/>
    <w:rsid w:val="5E68756F"/>
    <w:rsid w:val="5E8048B9"/>
    <w:rsid w:val="5E8425FB"/>
    <w:rsid w:val="5E8B3481"/>
    <w:rsid w:val="5EAA3780"/>
    <w:rsid w:val="5EC40C4A"/>
    <w:rsid w:val="5ECD0602"/>
    <w:rsid w:val="5EED651C"/>
    <w:rsid w:val="5EF70B88"/>
    <w:rsid w:val="5EF9F12D"/>
    <w:rsid w:val="5EFF491E"/>
    <w:rsid w:val="5EFFDAEB"/>
    <w:rsid w:val="5F3C4C84"/>
    <w:rsid w:val="5F3F6522"/>
    <w:rsid w:val="5F5A15AE"/>
    <w:rsid w:val="5F656560"/>
    <w:rsid w:val="5F6EC104"/>
    <w:rsid w:val="5F6F907D"/>
    <w:rsid w:val="5F77C5A0"/>
    <w:rsid w:val="5F7F2279"/>
    <w:rsid w:val="5FB50DBC"/>
    <w:rsid w:val="5FB9089C"/>
    <w:rsid w:val="5FBED768"/>
    <w:rsid w:val="5FBF2ADD"/>
    <w:rsid w:val="5FBFFB0B"/>
    <w:rsid w:val="5FC75D89"/>
    <w:rsid w:val="5FC80F30"/>
    <w:rsid w:val="5FCFF4C4"/>
    <w:rsid w:val="5FD523A9"/>
    <w:rsid w:val="5FEDAF60"/>
    <w:rsid w:val="5FF74A01"/>
    <w:rsid w:val="5FF78565"/>
    <w:rsid w:val="5FFC8E04"/>
    <w:rsid w:val="60187A8A"/>
    <w:rsid w:val="60726CBE"/>
    <w:rsid w:val="608B165E"/>
    <w:rsid w:val="60A07495"/>
    <w:rsid w:val="60A54AAB"/>
    <w:rsid w:val="60A7279D"/>
    <w:rsid w:val="60B9352A"/>
    <w:rsid w:val="60C03693"/>
    <w:rsid w:val="60DC31B6"/>
    <w:rsid w:val="60EE0200"/>
    <w:rsid w:val="60FF9BC7"/>
    <w:rsid w:val="6117377F"/>
    <w:rsid w:val="611D0AE5"/>
    <w:rsid w:val="614D2546"/>
    <w:rsid w:val="61642270"/>
    <w:rsid w:val="6182682F"/>
    <w:rsid w:val="61B431F8"/>
    <w:rsid w:val="61B52BB6"/>
    <w:rsid w:val="61C947C9"/>
    <w:rsid w:val="61D45648"/>
    <w:rsid w:val="61EA24D6"/>
    <w:rsid w:val="621F43E9"/>
    <w:rsid w:val="62255EA3"/>
    <w:rsid w:val="6230714F"/>
    <w:rsid w:val="62375FF2"/>
    <w:rsid w:val="625A5D0E"/>
    <w:rsid w:val="62634C1E"/>
    <w:rsid w:val="627666FF"/>
    <w:rsid w:val="628009C8"/>
    <w:rsid w:val="62A5142D"/>
    <w:rsid w:val="62AE2479"/>
    <w:rsid w:val="62B31701"/>
    <w:rsid w:val="62D41677"/>
    <w:rsid w:val="62F870A7"/>
    <w:rsid w:val="630A0EB2"/>
    <w:rsid w:val="630E06E5"/>
    <w:rsid w:val="635051A2"/>
    <w:rsid w:val="63586994"/>
    <w:rsid w:val="63620A31"/>
    <w:rsid w:val="637D3FBE"/>
    <w:rsid w:val="637E4CEA"/>
    <w:rsid w:val="638A25E9"/>
    <w:rsid w:val="63911317"/>
    <w:rsid w:val="63D739ED"/>
    <w:rsid w:val="63FA510E"/>
    <w:rsid w:val="640660A2"/>
    <w:rsid w:val="643D7FE5"/>
    <w:rsid w:val="643F54BB"/>
    <w:rsid w:val="649B244D"/>
    <w:rsid w:val="64B33C3A"/>
    <w:rsid w:val="64EE289E"/>
    <w:rsid w:val="650972FF"/>
    <w:rsid w:val="65271F32"/>
    <w:rsid w:val="65497BA1"/>
    <w:rsid w:val="655D5954"/>
    <w:rsid w:val="65AF12A5"/>
    <w:rsid w:val="65E9543A"/>
    <w:rsid w:val="65F53DDF"/>
    <w:rsid w:val="65FF3D43"/>
    <w:rsid w:val="660F32DD"/>
    <w:rsid w:val="660F7EB4"/>
    <w:rsid w:val="662C1B3C"/>
    <w:rsid w:val="6635242D"/>
    <w:rsid w:val="6646288C"/>
    <w:rsid w:val="66615234"/>
    <w:rsid w:val="66682803"/>
    <w:rsid w:val="666C7F16"/>
    <w:rsid w:val="66CD6817"/>
    <w:rsid w:val="66EC51E2"/>
    <w:rsid w:val="66FED891"/>
    <w:rsid w:val="67044DCA"/>
    <w:rsid w:val="67281F92"/>
    <w:rsid w:val="673F17B5"/>
    <w:rsid w:val="67696832"/>
    <w:rsid w:val="676A4865"/>
    <w:rsid w:val="676F196F"/>
    <w:rsid w:val="676F7BC1"/>
    <w:rsid w:val="677DC4D6"/>
    <w:rsid w:val="677DE47B"/>
    <w:rsid w:val="677F7E04"/>
    <w:rsid w:val="67AF7FC7"/>
    <w:rsid w:val="67BD73A2"/>
    <w:rsid w:val="67DB7004"/>
    <w:rsid w:val="67EB5499"/>
    <w:rsid w:val="67F0485E"/>
    <w:rsid w:val="67F85E08"/>
    <w:rsid w:val="68191F05"/>
    <w:rsid w:val="685F5829"/>
    <w:rsid w:val="68660FC4"/>
    <w:rsid w:val="68757459"/>
    <w:rsid w:val="68815E36"/>
    <w:rsid w:val="688D02FE"/>
    <w:rsid w:val="689F0032"/>
    <w:rsid w:val="68A35D74"/>
    <w:rsid w:val="68A85138"/>
    <w:rsid w:val="68DB72BC"/>
    <w:rsid w:val="68E50D27"/>
    <w:rsid w:val="68FB795E"/>
    <w:rsid w:val="69034E23"/>
    <w:rsid w:val="69110F2F"/>
    <w:rsid w:val="69313380"/>
    <w:rsid w:val="6958090C"/>
    <w:rsid w:val="69A578CA"/>
    <w:rsid w:val="69AC6EAA"/>
    <w:rsid w:val="69CF4947"/>
    <w:rsid w:val="69DB5720"/>
    <w:rsid w:val="69DE2559"/>
    <w:rsid w:val="69E623BC"/>
    <w:rsid w:val="69F230B3"/>
    <w:rsid w:val="69F7577A"/>
    <w:rsid w:val="6A001A7B"/>
    <w:rsid w:val="6A18009C"/>
    <w:rsid w:val="6A1A3FDD"/>
    <w:rsid w:val="6A1D3904"/>
    <w:rsid w:val="6A1D4A10"/>
    <w:rsid w:val="6A23521E"/>
    <w:rsid w:val="6A297B56"/>
    <w:rsid w:val="6A4A71DB"/>
    <w:rsid w:val="6A4C1A2F"/>
    <w:rsid w:val="6A5669FF"/>
    <w:rsid w:val="6A5C442C"/>
    <w:rsid w:val="6ABF0258"/>
    <w:rsid w:val="6AE04AEF"/>
    <w:rsid w:val="6AF3B848"/>
    <w:rsid w:val="6AFD56C8"/>
    <w:rsid w:val="6B0F25C1"/>
    <w:rsid w:val="6B106EAA"/>
    <w:rsid w:val="6B234F4A"/>
    <w:rsid w:val="6B2A6536"/>
    <w:rsid w:val="6B39651C"/>
    <w:rsid w:val="6B7B4A69"/>
    <w:rsid w:val="6B991EBA"/>
    <w:rsid w:val="6BB60CF9"/>
    <w:rsid w:val="6BB80303"/>
    <w:rsid w:val="6BB87D88"/>
    <w:rsid w:val="6BBC3F82"/>
    <w:rsid w:val="6BBC47BD"/>
    <w:rsid w:val="6BDB1766"/>
    <w:rsid w:val="6BEF2DCE"/>
    <w:rsid w:val="6BFB386D"/>
    <w:rsid w:val="6BFFE02C"/>
    <w:rsid w:val="6C264CF2"/>
    <w:rsid w:val="6C3F6E21"/>
    <w:rsid w:val="6C465394"/>
    <w:rsid w:val="6C562F7E"/>
    <w:rsid w:val="6C944351"/>
    <w:rsid w:val="6CA95923"/>
    <w:rsid w:val="6CB73B9C"/>
    <w:rsid w:val="6CFF946D"/>
    <w:rsid w:val="6D17288C"/>
    <w:rsid w:val="6D2B1652"/>
    <w:rsid w:val="6D3F3B91"/>
    <w:rsid w:val="6D6E454B"/>
    <w:rsid w:val="6D8D41BC"/>
    <w:rsid w:val="6DBF7277"/>
    <w:rsid w:val="6DDF424A"/>
    <w:rsid w:val="6DE41394"/>
    <w:rsid w:val="6DF826BE"/>
    <w:rsid w:val="6DFB1E6D"/>
    <w:rsid w:val="6DFE2C45"/>
    <w:rsid w:val="6E1FFEC0"/>
    <w:rsid w:val="6E202C32"/>
    <w:rsid w:val="6E617E26"/>
    <w:rsid w:val="6E6733A0"/>
    <w:rsid w:val="6E7B2A43"/>
    <w:rsid w:val="6E867CCA"/>
    <w:rsid w:val="6E94481B"/>
    <w:rsid w:val="6EA2087C"/>
    <w:rsid w:val="6EB81E4D"/>
    <w:rsid w:val="6EC407F2"/>
    <w:rsid w:val="6EE844E0"/>
    <w:rsid w:val="6EF7DE5A"/>
    <w:rsid w:val="6EFD68D9"/>
    <w:rsid w:val="6EFDACAF"/>
    <w:rsid w:val="6F0F38DE"/>
    <w:rsid w:val="6F6EF3AF"/>
    <w:rsid w:val="6F771D08"/>
    <w:rsid w:val="6F77E4C3"/>
    <w:rsid w:val="6F7E6C70"/>
    <w:rsid w:val="6F7FC619"/>
    <w:rsid w:val="6F975F07"/>
    <w:rsid w:val="6FC24913"/>
    <w:rsid w:val="6FD2E4F3"/>
    <w:rsid w:val="6FDC1AF1"/>
    <w:rsid w:val="6FDF0566"/>
    <w:rsid w:val="6FE7F1CA"/>
    <w:rsid w:val="6FEBB25F"/>
    <w:rsid w:val="6FF7117A"/>
    <w:rsid w:val="6FF73D27"/>
    <w:rsid w:val="6FF9FFA9"/>
    <w:rsid w:val="6FFF35E8"/>
    <w:rsid w:val="701410A8"/>
    <w:rsid w:val="70567B70"/>
    <w:rsid w:val="70645DE9"/>
    <w:rsid w:val="70700732"/>
    <w:rsid w:val="70840239"/>
    <w:rsid w:val="708752DE"/>
    <w:rsid w:val="70932B72"/>
    <w:rsid w:val="70C97172"/>
    <w:rsid w:val="70DC0075"/>
    <w:rsid w:val="70E36668"/>
    <w:rsid w:val="70E861ED"/>
    <w:rsid w:val="70FF3D63"/>
    <w:rsid w:val="710B095A"/>
    <w:rsid w:val="71153587"/>
    <w:rsid w:val="711A6DEF"/>
    <w:rsid w:val="711F7F62"/>
    <w:rsid w:val="71283CEC"/>
    <w:rsid w:val="71724535"/>
    <w:rsid w:val="718030F6"/>
    <w:rsid w:val="71810C1C"/>
    <w:rsid w:val="719721EE"/>
    <w:rsid w:val="7197A743"/>
    <w:rsid w:val="71BE436F"/>
    <w:rsid w:val="71CE243B"/>
    <w:rsid w:val="71FCF4FC"/>
    <w:rsid w:val="7207147A"/>
    <w:rsid w:val="72404633"/>
    <w:rsid w:val="727F15D4"/>
    <w:rsid w:val="72D74F98"/>
    <w:rsid w:val="72E15E16"/>
    <w:rsid w:val="72FF004B"/>
    <w:rsid w:val="73164A2A"/>
    <w:rsid w:val="7334401A"/>
    <w:rsid w:val="736F34BF"/>
    <w:rsid w:val="737E5413"/>
    <w:rsid w:val="73A3131E"/>
    <w:rsid w:val="73A643AC"/>
    <w:rsid w:val="73B646ED"/>
    <w:rsid w:val="73CD5B41"/>
    <w:rsid w:val="73F719BA"/>
    <w:rsid w:val="73F78FFF"/>
    <w:rsid w:val="73FA81A8"/>
    <w:rsid w:val="73FD2E07"/>
    <w:rsid w:val="73FD3A20"/>
    <w:rsid w:val="73FD7094"/>
    <w:rsid w:val="73FE6554"/>
    <w:rsid w:val="742139B4"/>
    <w:rsid w:val="743E2AC4"/>
    <w:rsid w:val="7463285B"/>
    <w:rsid w:val="747A4A5B"/>
    <w:rsid w:val="74820F33"/>
    <w:rsid w:val="748702F8"/>
    <w:rsid w:val="74911176"/>
    <w:rsid w:val="74BD1F6B"/>
    <w:rsid w:val="74D0763C"/>
    <w:rsid w:val="74D3178F"/>
    <w:rsid w:val="74E27C24"/>
    <w:rsid w:val="74E84527"/>
    <w:rsid w:val="74FF3B3C"/>
    <w:rsid w:val="751F40DF"/>
    <w:rsid w:val="753C37D8"/>
    <w:rsid w:val="753D1CF6"/>
    <w:rsid w:val="754DA5FC"/>
    <w:rsid w:val="755F6282"/>
    <w:rsid w:val="75671ED7"/>
    <w:rsid w:val="7583969E"/>
    <w:rsid w:val="75862CA5"/>
    <w:rsid w:val="75A06322"/>
    <w:rsid w:val="75B07476"/>
    <w:rsid w:val="75B94E29"/>
    <w:rsid w:val="75C0317E"/>
    <w:rsid w:val="75C335B1"/>
    <w:rsid w:val="75D5CBB1"/>
    <w:rsid w:val="75F71B59"/>
    <w:rsid w:val="75FC2F67"/>
    <w:rsid w:val="761402B1"/>
    <w:rsid w:val="76283D5C"/>
    <w:rsid w:val="76297AAD"/>
    <w:rsid w:val="764861AD"/>
    <w:rsid w:val="766003DA"/>
    <w:rsid w:val="766F7295"/>
    <w:rsid w:val="767A3516"/>
    <w:rsid w:val="767FE544"/>
    <w:rsid w:val="7690162A"/>
    <w:rsid w:val="76CA754A"/>
    <w:rsid w:val="76D161A2"/>
    <w:rsid w:val="76EF34D4"/>
    <w:rsid w:val="76F13551"/>
    <w:rsid w:val="771A5FAA"/>
    <w:rsid w:val="771E0BE5"/>
    <w:rsid w:val="7724705D"/>
    <w:rsid w:val="773E0046"/>
    <w:rsid w:val="773E36B2"/>
    <w:rsid w:val="776718B8"/>
    <w:rsid w:val="776D8536"/>
    <w:rsid w:val="777D7D80"/>
    <w:rsid w:val="777DFC64"/>
    <w:rsid w:val="777F89CB"/>
    <w:rsid w:val="777FB1CE"/>
    <w:rsid w:val="7783749C"/>
    <w:rsid w:val="778B17E5"/>
    <w:rsid w:val="77A297F1"/>
    <w:rsid w:val="77A526F1"/>
    <w:rsid w:val="77B3A7F7"/>
    <w:rsid w:val="77BB2863"/>
    <w:rsid w:val="77BBDF50"/>
    <w:rsid w:val="77C11D73"/>
    <w:rsid w:val="77CC3490"/>
    <w:rsid w:val="77D1C2E9"/>
    <w:rsid w:val="77DF1E53"/>
    <w:rsid w:val="77F7013D"/>
    <w:rsid w:val="77F9775E"/>
    <w:rsid w:val="77FA5285"/>
    <w:rsid w:val="77FAA21F"/>
    <w:rsid w:val="77FAC5A0"/>
    <w:rsid w:val="77FF0F98"/>
    <w:rsid w:val="77FF5501"/>
    <w:rsid w:val="77FFBAE8"/>
    <w:rsid w:val="77FFE845"/>
    <w:rsid w:val="77FFEDDD"/>
    <w:rsid w:val="78246E63"/>
    <w:rsid w:val="78252301"/>
    <w:rsid w:val="7849788F"/>
    <w:rsid w:val="78534E8B"/>
    <w:rsid w:val="785901FD"/>
    <w:rsid w:val="78656BA2"/>
    <w:rsid w:val="786C7F30"/>
    <w:rsid w:val="78845C1A"/>
    <w:rsid w:val="78880AE2"/>
    <w:rsid w:val="78931961"/>
    <w:rsid w:val="78B813C8"/>
    <w:rsid w:val="78CC351E"/>
    <w:rsid w:val="78E81581"/>
    <w:rsid w:val="791B3704"/>
    <w:rsid w:val="793A1DDD"/>
    <w:rsid w:val="793F73F3"/>
    <w:rsid w:val="79490272"/>
    <w:rsid w:val="795F2B49"/>
    <w:rsid w:val="79703A50"/>
    <w:rsid w:val="79723D08"/>
    <w:rsid w:val="797A667D"/>
    <w:rsid w:val="797F1EE5"/>
    <w:rsid w:val="798F6D20"/>
    <w:rsid w:val="799139C7"/>
    <w:rsid w:val="79986B03"/>
    <w:rsid w:val="79B66D97"/>
    <w:rsid w:val="79D74F7B"/>
    <w:rsid w:val="79FDB189"/>
    <w:rsid w:val="7A2605B3"/>
    <w:rsid w:val="7A4E3666"/>
    <w:rsid w:val="7A500792"/>
    <w:rsid w:val="7A5B07B4"/>
    <w:rsid w:val="7A7577B8"/>
    <w:rsid w:val="7A823A40"/>
    <w:rsid w:val="7A9F8C68"/>
    <w:rsid w:val="7AAD4830"/>
    <w:rsid w:val="7AE920A5"/>
    <w:rsid w:val="7AF24573"/>
    <w:rsid w:val="7AF57E03"/>
    <w:rsid w:val="7AF719AB"/>
    <w:rsid w:val="7AFEECDB"/>
    <w:rsid w:val="7AFF9A58"/>
    <w:rsid w:val="7AFFC816"/>
    <w:rsid w:val="7B023C62"/>
    <w:rsid w:val="7B065C9A"/>
    <w:rsid w:val="7B165FB7"/>
    <w:rsid w:val="7B192B3B"/>
    <w:rsid w:val="7B29035B"/>
    <w:rsid w:val="7B3A4316"/>
    <w:rsid w:val="7B430CF1"/>
    <w:rsid w:val="7B5F34CE"/>
    <w:rsid w:val="7B793BD8"/>
    <w:rsid w:val="7B7A18C4"/>
    <w:rsid w:val="7B827A6B"/>
    <w:rsid w:val="7B9A6B62"/>
    <w:rsid w:val="7B9B16E8"/>
    <w:rsid w:val="7BAE6AB2"/>
    <w:rsid w:val="7BBB1DA3"/>
    <w:rsid w:val="7BBD91C4"/>
    <w:rsid w:val="7BCC184A"/>
    <w:rsid w:val="7BD1454E"/>
    <w:rsid w:val="7BD5476E"/>
    <w:rsid w:val="7BEFA877"/>
    <w:rsid w:val="7BF15EC7"/>
    <w:rsid w:val="7BF7E32E"/>
    <w:rsid w:val="7BFCF46F"/>
    <w:rsid w:val="7BFE949C"/>
    <w:rsid w:val="7BFF730D"/>
    <w:rsid w:val="7BFFBDCA"/>
    <w:rsid w:val="7C057C7C"/>
    <w:rsid w:val="7C06244A"/>
    <w:rsid w:val="7C242FFF"/>
    <w:rsid w:val="7C541407"/>
    <w:rsid w:val="7C742C26"/>
    <w:rsid w:val="7CDB7433"/>
    <w:rsid w:val="7CFF1EE2"/>
    <w:rsid w:val="7D096BE3"/>
    <w:rsid w:val="7D0B7035"/>
    <w:rsid w:val="7D1B1F25"/>
    <w:rsid w:val="7D2F7FCA"/>
    <w:rsid w:val="7D3424F8"/>
    <w:rsid w:val="7D3B8A9B"/>
    <w:rsid w:val="7D3D1E9B"/>
    <w:rsid w:val="7D4E173A"/>
    <w:rsid w:val="7D711FCC"/>
    <w:rsid w:val="7D7B9B3D"/>
    <w:rsid w:val="7D7BB781"/>
    <w:rsid w:val="7D8EB67F"/>
    <w:rsid w:val="7D9121E7"/>
    <w:rsid w:val="7D9BBA4E"/>
    <w:rsid w:val="7DC7B338"/>
    <w:rsid w:val="7DDF353F"/>
    <w:rsid w:val="7DDFD18C"/>
    <w:rsid w:val="7DE65F9A"/>
    <w:rsid w:val="7DE916C3"/>
    <w:rsid w:val="7DF75A3E"/>
    <w:rsid w:val="7DFC7AEE"/>
    <w:rsid w:val="7DFFAA9A"/>
    <w:rsid w:val="7DFFC05E"/>
    <w:rsid w:val="7E17C4DF"/>
    <w:rsid w:val="7E2748F9"/>
    <w:rsid w:val="7E2BE72A"/>
    <w:rsid w:val="7E2F8909"/>
    <w:rsid w:val="7E40068C"/>
    <w:rsid w:val="7E460C30"/>
    <w:rsid w:val="7E576811"/>
    <w:rsid w:val="7E67712E"/>
    <w:rsid w:val="7E7C4C45"/>
    <w:rsid w:val="7E891110"/>
    <w:rsid w:val="7E897CE9"/>
    <w:rsid w:val="7E8B30DA"/>
    <w:rsid w:val="7E8C34AC"/>
    <w:rsid w:val="7EB4241F"/>
    <w:rsid w:val="7EB74520"/>
    <w:rsid w:val="7EB801B6"/>
    <w:rsid w:val="7EBE1CE8"/>
    <w:rsid w:val="7ECFC8EB"/>
    <w:rsid w:val="7EDC644C"/>
    <w:rsid w:val="7EE816AA"/>
    <w:rsid w:val="7EEF72C4"/>
    <w:rsid w:val="7EF71228"/>
    <w:rsid w:val="7EF736F6"/>
    <w:rsid w:val="7EFCE3E3"/>
    <w:rsid w:val="7EFD6A0C"/>
    <w:rsid w:val="7EFEC87C"/>
    <w:rsid w:val="7F1ECDDE"/>
    <w:rsid w:val="7F1FC4F4"/>
    <w:rsid w:val="7F279DD2"/>
    <w:rsid w:val="7F3E1EFB"/>
    <w:rsid w:val="7F3FF261"/>
    <w:rsid w:val="7F62F3E5"/>
    <w:rsid w:val="7F6B29A7"/>
    <w:rsid w:val="7F717695"/>
    <w:rsid w:val="7F799A65"/>
    <w:rsid w:val="7F7C4BE6"/>
    <w:rsid w:val="7F7F1522"/>
    <w:rsid w:val="7F832895"/>
    <w:rsid w:val="7FAA7DED"/>
    <w:rsid w:val="7FBF0FF6"/>
    <w:rsid w:val="7FD610CB"/>
    <w:rsid w:val="7FDE450D"/>
    <w:rsid w:val="7FDF3369"/>
    <w:rsid w:val="7FDF7026"/>
    <w:rsid w:val="7FE93CB1"/>
    <w:rsid w:val="7FEA9422"/>
    <w:rsid w:val="7FED3382"/>
    <w:rsid w:val="7FEE56CF"/>
    <w:rsid w:val="7FEE6F62"/>
    <w:rsid w:val="7FEEF62C"/>
    <w:rsid w:val="7FEFEB9E"/>
    <w:rsid w:val="7FF59E68"/>
    <w:rsid w:val="7FF64864"/>
    <w:rsid w:val="7FF747E3"/>
    <w:rsid w:val="7FF787C4"/>
    <w:rsid w:val="7FF7B0B8"/>
    <w:rsid w:val="7FF7C2FC"/>
    <w:rsid w:val="7FFAB574"/>
    <w:rsid w:val="7FFBAF08"/>
    <w:rsid w:val="7FFF0FEB"/>
    <w:rsid w:val="7FFF6C6B"/>
    <w:rsid w:val="7FFF9793"/>
    <w:rsid w:val="7FFFB6A0"/>
    <w:rsid w:val="7FFFE952"/>
    <w:rsid w:val="7FFFF618"/>
    <w:rsid w:val="83FD1B74"/>
    <w:rsid w:val="877DABF2"/>
    <w:rsid w:val="8B9F7BA1"/>
    <w:rsid w:val="8BCDE0EF"/>
    <w:rsid w:val="94FDF5BB"/>
    <w:rsid w:val="9BCEE19B"/>
    <w:rsid w:val="9C3EA171"/>
    <w:rsid w:val="9C4FF798"/>
    <w:rsid w:val="9DB9885C"/>
    <w:rsid w:val="9E4D926E"/>
    <w:rsid w:val="9F7D31FC"/>
    <w:rsid w:val="9FDF8899"/>
    <w:rsid w:val="9FF71BCD"/>
    <w:rsid w:val="A67F8B47"/>
    <w:rsid w:val="A7ED3280"/>
    <w:rsid w:val="A7FFF4E0"/>
    <w:rsid w:val="AD3B3712"/>
    <w:rsid w:val="AF7F9953"/>
    <w:rsid w:val="AF860F2B"/>
    <w:rsid w:val="AFFC7341"/>
    <w:rsid w:val="B1BCAB45"/>
    <w:rsid w:val="B1F75B67"/>
    <w:rsid w:val="B2664767"/>
    <w:rsid w:val="B3EB251B"/>
    <w:rsid w:val="B3FB4545"/>
    <w:rsid w:val="B5FE674C"/>
    <w:rsid w:val="B6F9A507"/>
    <w:rsid w:val="B7E7F467"/>
    <w:rsid w:val="BAC152BE"/>
    <w:rsid w:val="BADF4C1A"/>
    <w:rsid w:val="BAFF150C"/>
    <w:rsid w:val="BAFF65D1"/>
    <w:rsid w:val="BB774708"/>
    <w:rsid w:val="BB96454F"/>
    <w:rsid w:val="BBC72A93"/>
    <w:rsid w:val="BBEAD644"/>
    <w:rsid w:val="BBEB6C78"/>
    <w:rsid w:val="BBFBE2FA"/>
    <w:rsid w:val="BD2D0225"/>
    <w:rsid w:val="BD9EC2E4"/>
    <w:rsid w:val="BDD7609E"/>
    <w:rsid w:val="BDF6C03D"/>
    <w:rsid w:val="BDFE0D2D"/>
    <w:rsid w:val="BDFF3984"/>
    <w:rsid w:val="BE7F81ED"/>
    <w:rsid w:val="BEDFB42E"/>
    <w:rsid w:val="BEE97DE7"/>
    <w:rsid w:val="BEEE38D5"/>
    <w:rsid w:val="BEFF6CFE"/>
    <w:rsid w:val="BF2F7053"/>
    <w:rsid w:val="BF6517AF"/>
    <w:rsid w:val="BF70B240"/>
    <w:rsid w:val="BFAE2A78"/>
    <w:rsid w:val="BFAEBB4F"/>
    <w:rsid w:val="BFBFE5B3"/>
    <w:rsid w:val="BFCD1116"/>
    <w:rsid w:val="BFEB895C"/>
    <w:rsid w:val="BFEF305E"/>
    <w:rsid w:val="BFF398B9"/>
    <w:rsid w:val="BFF63FD8"/>
    <w:rsid w:val="BFF7D503"/>
    <w:rsid w:val="BFF94552"/>
    <w:rsid w:val="BFFC5A9C"/>
    <w:rsid w:val="BFFFA83F"/>
    <w:rsid w:val="C05FAF63"/>
    <w:rsid w:val="C57B4B37"/>
    <w:rsid w:val="C5B7E34D"/>
    <w:rsid w:val="C73E2B17"/>
    <w:rsid w:val="C77FE69E"/>
    <w:rsid w:val="C7EB40D8"/>
    <w:rsid w:val="CAF5FC4C"/>
    <w:rsid w:val="CBBC4CE6"/>
    <w:rsid w:val="CCFFA483"/>
    <w:rsid w:val="CD7BE0A6"/>
    <w:rsid w:val="CE5B8E5F"/>
    <w:rsid w:val="CEDDB0F7"/>
    <w:rsid w:val="CF3B7FE5"/>
    <w:rsid w:val="CF7FE5F3"/>
    <w:rsid w:val="CFBF8228"/>
    <w:rsid w:val="CFE5596B"/>
    <w:rsid w:val="CFF7F3D7"/>
    <w:rsid w:val="D0DDEA10"/>
    <w:rsid w:val="D1EFDB51"/>
    <w:rsid w:val="D33F63DB"/>
    <w:rsid w:val="D64DD798"/>
    <w:rsid w:val="D6CDD317"/>
    <w:rsid w:val="D79C60ED"/>
    <w:rsid w:val="D7F14D3B"/>
    <w:rsid w:val="D7F1E337"/>
    <w:rsid w:val="D7FFAA49"/>
    <w:rsid w:val="D9775408"/>
    <w:rsid w:val="D9DDB794"/>
    <w:rsid w:val="D9FED7D7"/>
    <w:rsid w:val="DB7A4AF0"/>
    <w:rsid w:val="DB8B7728"/>
    <w:rsid w:val="DBBEB336"/>
    <w:rsid w:val="DBDC591D"/>
    <w:rsid w:val="DBEAF2B5"/>
    <w:rsid w:val="DBFF8DC2"/>
    <w:rsid w:val="DCB950FE"/>
    <w:rsid w:val="DCDF0DEA"/>
    <w:rsid w:val="DD4714F1"/>
    <w:rsid w:val="DD9D9F93"/>
    <w:rsid w:val="DDA744FC"/>
    <w:rsid w:val="DDF40776"/>
    <w:rsid w:val="DDF81C38"/>
    <w:rsid w:val="DDFF26C1"/>
    <w:rsid w:val="DE7FFDEB"/>
    <w:rsid w:val="DEB2DAC9"/>
    <w:rsid w:val="DEFCF43D"/>
    <w:rsid w:val="DEFF23CF"/>
    <w:rsid w:val="DEFFD9CA"/>
    <w:rsid w:val="DF2E2CE1"/>
    <w:rsid w:val="DF5A46DC"/>
    <w:rsid w:val="DF6E7D20"/>
    <w:rsid w:val="DFAA323E"/>
    <w:rsid w:val="DFB541C1"/>
    <w:rsid w:val="DFBF168E"/>
    <w:rsid w:val="DFCF2AD7"/>
    <w:rsid w:val="DFD6F3DD"/>
    <w:rsid w:val="DFED4516"/>
    <w:rsid w:val="DFFBF51E"/>
    <w:rsid w:val="E2371862"/>
    <w:rsid w:val="E27D391D"/>
    <w:rsid w:val="E37629E6"/>
    <w:rsid w:val="E5FE30FE"/>
    <w:rsid w:val="E66F8B5D"/>
    <w:rsid w:val="E7CD4FC4"/>
    <w:rsid w:val="E7FBD325"/>
    <w:rsid w:val="E7FEE2F1"/>
    <w:rsid w:val="E99FE0F2"/>
    <w:rsid w:val="E9FAA504"/>
    <w:rsid w:val="EAFF61FF"/>
    <w:rsid w:val="EBB6DF25"/>
    <w:rsid w:val="EBBF4DD2"/>
    <w:rsid w:val="EC670DFC"/>
    <w:rsid w:val="ED962EB2"/>
    <w:rsid w:val="EDBEAFD3"/>
    <w:rsid w:val="EDF86C18"/>
    <w:rsid w:val="EE9F0A99"/>
    <w:rsid w:val="EEEB0031"/>
    <w:rsid w:val="EEEEE3F0"/>
    <w:rsid w:val="EEFF1DC5"/>
    <w:rsid w:val="EF35C21A"/>
    <w:rsid w:val="EF6F4805"/>
    <w:rsid w:val="EF7F4587"/>
    <w:rsid w:val="EF9FC7ED"/>
    <w:rsid w:val="EFBA6A72"/>
    <w:rsid w:val="EFBD7925"/>
    <w:rsid w:val="EFD9CB49"/>
    <w:rsid w:val="EFDF09AD"/>
    <w:rsid w:val="F14B030B"/>
    <w:rsid w:val="F1A45368"/>
    <w:rsid w:val="F1AF9A66"/>
    <w:rsid w:val="F1B7B938"/>
    <w:rsid w:val="F22D37C7"/>
    <w:rsid w:val="F2756C28"/>
    <w:rsid w:val="F2D537D4"/>
    <w:rsid w:val="F3AF7F67"/>
    <w:rsid w:val="F3BECF68"/>
    <w:rsid w:val="F3C76015"/>
    <w:rsid w:val="F3DD0B38"/>
    <w:rsid w:val="F4696326"/>
    <w:rsid w:val="F5FCAFCA"/>
    <w:rsid w:val="F5FF52E6"/>
    <w:rsid w:val="F6FC2488"/>
    <w:rsid w:val="F73DFE3E"/>
    <w:rsid w:val="F7783147"/>
    <w:rsid w:val="F7BEC811"/>
    <w:rsid w:val="F7CF5B2B"/>
    <w:rsid w:val="F7EDDF3C"/>
    <w:rsid w:val="F7EF65A8"/>
    <w:rsid w:val="F7F2FF58"/>
    <w:rsid w:val="F7F62AD5"/>
    <w:rsid w:val="F7FBE314"/>
    <w:rsid w:val="F7FE259F"/>
    <w:rsid w:val="F7FF13A1"/>
    <w:rsid w:val="F8B7FE12"/>
    <w:rsid w:val="F8C173CE"/>
    <w:rsid w:val="F8EDC1FB"/>
    <w:rsid w:val="F96B6CEE"/>
    <w:rsid w:val="F977B0F1"/>
    <w:rsid w:val="F9ED9D3B"/>
    <w:rsid w:val="F9FEED11"/>
    <w:rsid w:val="FA0BA0EB"/>
    <w:rsid w:val="FA676375"/>
    <w:rsid w:val="FADB92AE"/>
    <w:rsid w:val="FAEF6167"/>
    <w:rsid w:val="FAF589BA"/>
    <w:rsid w:val="FB6FDAE6"/>
    <w:rsid w:val="FB7DC27E"/>
    <w:rsid w:val="FBBDE866"/>
    <w:rsid w:val="FBCFE1D5"/>
    <w:rsid w:val="FBD77B34"/>
    <w:rsid w:val="FBEB07CF"/>
    <w:rsid w:val="FBEB7FD1"/>
    <w:rsid w:val="FBEE95B2"/>
    <w:rsid w:val="FBF3DF63"/>
    <w:rsid w:val="FBFB65D3"/>
    <w:rsid w:val="FBFDCB46"/>
    <w:rsid w:val="FBFE6052"/>
    <w:rsid w:val="FBFF2695"/>
    <w:rsid w:val="FCEAA5C4"/>
    <w:rsid w:val="FCEF5E07"/>
    <w:rsid w:val="FCF5A04F"/>
    <w:rsid w:val="FCF74FD7"/>
    <w:rsid w:val="FCFA0CA6"/>
    <w:rsid w:val="FD6F4EC2"/>
    <w:rsid w:val="FD8FCD18"/>
    <w:rsid w:val="FDB5DAB0"/>
    <w:rsid w:val="FDCE8DA5"/>
    <w:rsid w:val="FDD718A6"/>
    <w:rsid w:val="FDDDBE62"/>
    <w:rsid w:val="FDFB0C43"/>
    <w:rsid w:val="FDFC3400"/>
    <w:rsid w:val="FDFD60CA"/>
    <w:rsid w:val="FDFE4380"/>
    <w:rsid w:val="FDFF42F5"/>
    <w:rsid w:val="FE37132F"/>
    <w:rsid w:val="FE371DEB"/>
    <w:rsid w:val="FE5E486A"/>
    <w:rsid w:val="FE6DE0DD"/>
    <w:rsid w:val="FE9BEB8D"/>
    <w:rsid w:val="FE9F788E"/>
    <w:rsid w:val="FEB66F70"/>
    <w:rsid w:val="FEB74915"/>
    <w:rsid w:val="FEBEA8FB"/>
    <w:rsid w:val="FEBFA3C3"/>
    <w:rsid w:val="FEED9D7F"/>
    <w:rsid w:val="FEEECCDD"/>
    <w:rsid w:val="FEEF9650"/>
    <w:rsid w:val="FEEFD99F"/>
    <w:rsid w:val="FEFD3F3E"/>
    <w:rsid w:val="FEFE1412"/>
    <w:rsid w:val="FEFF1463"/>
    <w:rsid w:val="FEFF2FCD"/>
    <w:rsid w:val="FEFF5992"/>
    <w:rsid w:val="FEFFF429"/>
    <w:rsid w:val="FF1F9B1A"/>
    <w:rsid w:val="FF2A64E3"/>
    <w:rsid w:val="FF2FFC8B"/>
    <w:rsid w:val="FF320FA7"/>
    <w:rsid w:val="FF3DDA69"/>
    <w:rsid w:val="FF4F4AFE"/>
    <w:rsid w:val="FF5726F2"/>
    <w:rsid w:val="FF59A9B5"/>
    <w:rsid w:val="FF5F2AB2"/>
    <w:rsid w:val="FF625FF0"/>
    <w:rsid w:val="FF65F2ED"/>
    <w:rsid w:val="FF66EBF4"/>
    <w:rsid w:val="FF6E82BD"/>
    <w:rsid w:val="FF765872"/>
    <w:rsid w:val="FF7694F1"/>
    <w:rsid w:val="FF7BD4BB"/>
    <w:rsid w:val="FF7BD797"/>
    <w:rsid w:val="FF7D7066"/>
    <w:rsid w:val="FF7F7031"/>
    <w:rsid w:val="FF9700FF"/>
    <w:rsid w:val="FF9F7408"/>
    <w:rsid w:val="FFA6BD3F"/>
    <w:rsid w:val="FFAF28D8"/>
    <w:rsid w:val="FFB3E0BC"/>
    <w:rsid w:val="FFB7936B"/>
    <w:rsid w:val="FFBA1660"/>
    <w:rsid w:val="FFBD3BC3"/>
    <w:rsid w:val="FFBD89FA"/>
    <w:rsid w:val="FFBF85BE"/>
    <w:rsid w:val="FFD924EA"/>
    <w:rsid w:val="FFDB418E"/>
    <w:rsid w:val="FFDD7EB8"/>
    <w:rsid w:val="FFDE7CD3"/>
    <w:rsid w:val="FFE7527F"/>
    <w:rsid w:val="FFEB70B3"/>
    <w:rsid w:val="FFEB85D5"/>
    <w:rsid w:val="FFEC5148"/>
    <w:rsid w:val="FFEE5386"/>
    <w:rsid w:val="FFEF2DB3"/>
    <w:rsid w:val="FFEFFAFF"/>
    <w:rsid w:val="FFF2F7D8"/>
    <w:rsid w:val="FFF353F8"/>
    <w:rsid w:val="FFF38EA8"/>
    <w:rsid w:val="FFF3F8F9"/>
    <w:rsid w:val="FFF42D6D"/>
    <w:rsid w:val="FFF50F1C"/>
    <w:rsid w:val="FFF6A619"/>
    <w:rsid w:val="FFF72E13"/>
    <w:rsid w:val="FFF753DF"/>
    <w:rsid w:val="FFF7B30F"/>
    <w:rsid w:val="FFF7B855"/>
    <w:rsid w:val="FFF96E7A"/>
    <w:rsid w:val="FFFA1F16"/>
    <w:rsid w:val="FFFAC105"/>
    <w:rsid w:val="FFFBFA72"/>
    <w:rsid w:val="FFFEE87C"/>
    <w:rsid w:val="FFFFB67F"/>
    <w:rsid w:val="FFFFBA6E"/>
    <w:rsid w:val="FFFFDD66"/>
    <w:rsid w:val="FFFFF32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semiHidden="0" w:name="footnote text"/>
    <w:lsdException w:qFormat="1"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0"/>
    <w:pPr>
      <w:autoSpaceDE w:val="0"/>
      <w:autoSpaceDN w:val="0"/>
      <w:adjustRightInd w:val="0"/>
      <w:spacing w:line="360" w:lineRule="auto"/>
      <w:jc w:val="center"/>
      <w:outlineLvl w:val="0"/>
    </w:pPr>
    <w:rPr>
      <w:rFonts w:ascii="Times New Roman" w:hAnsi="Times New Roman" w:eastAsia="隶书"/>
      <w:b/>
      <w:bCs/>
      <w:kern w:val="0"/>
      <w:sz w:val="36"/>
      <w:szCs w:val="36"/>
    </w:rPr>
  </w:style>
  <w:style w:type="paragraph" w:styleId="3">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5"/>
    <w:link w:val="51"/>
    <w:qFormat/>
    <w:uiPriority w:val="9"/>
    <w:pPr>
      <w:keepNext/>
      <w:keepLines/>
      <w:spacing w:before="260" w:after="260" w:line="416" w:lineRule="auto"/>
      <w:outlineLvl w:val="2"/>
    </w:pPr>
    <w:rPr>
      <w:b/>
      <w:bCs/>
      <w:sz w:val="32"/>
      <w:szCs w:val="32"/>
    </w:rPr>
  </w:style>
  <w:style w:type="paragraph" w:styleId="6">
    <w:name w:val="heading 4"/>
    <w:basedOn w:val="1"/>
    <w:next w:val="1"/>
    <w:link w:val="52"/>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link w:val="53"/>
    <w:qFormat/>
    <w:uiPriority w:val="0"/>
    <w:pPr>
      <w:keepNext/>
      <w:keepLines/>
      <w:spacing w:before="280" w:after="290" w:line="376" w:lineRule="auto"/>
      <w:outlineLvl w:val="4"/>
    </w:pPr>
    <w:rPr>
      <w:b/>
      <w:bCs/>
      <w:sz w:val="28"/>
      <w:szCs w:val="28"/>
    </w:rPr>
  </w:style>
  <w:style w:type="paragraph" w:styleId="8">
    <w:name w:val="heading 6"/>
    <w:basedOn w:val="1"/>
    <w:next w:val="1"/>
    <w:link w:val="54"/>
    <w:qFormat/>
    <w:uiPriority w:val="0"/>
    <w:pPr>
      <w:keepNext/>
      <w:keepLines/>
      <w:spacing w:before="240" w:after="64" w:line="320" w:lineRule="auto"/>
      <w:outlineLvl w:val="5"/>
    </w:pPr>
    <w:rPr>
      <w:rFonts w:ascii="Arial" w:hAnsi="Arial" w:eastAsia="黑体"/>
      <w:b/>
      <w:bCs/>
      <w:sz w:val="24"/>
      <w:szCs w:val="24"/>
    </w:rPr>
  </w:style>
  <w:style w:type="character" w:default="1" w:styleId="39">
    <w:name w:val="Default Paragraph Font"/>
    <w:semiHidden/>
    <w:unhideWhenUsed/>
    <w:uiPriority w:val="1"/>
  </w:style>
  <w:style w:type="table" w:default="1" w:styleId="37">
    <w:name w:val="Normal Table"/>
    <w:semiHidden/>
    <w:unhideWhenUsed/>
    <w:uiPriority w:val="99"/>
    <w:tblPr>
      <w:tblCellMar>
        <w:top w:w="0" w:type="dxa"/>
        <w:left w:w="108" w:type="dxa"/>
        <w:bottom w:w="0" w:type="dxa"/>
        <w:right w:w="108" w:type="dxa"/>
      </w:tblCellMar>
    </w:tblPr>
  </w:style>
  <w:style w:type="paragraph" w:styleId="5">
    <w:name w:val="Normal Indent"/>
    <w:basedOn w:val="1"/>
    <w:next w:val="1"/>
    <w:link w:val="55"/>
    <w:qFormat/>
    <w:uiPriority w:val="99"/>
    <w:pPr>
      <w:ind w:firstLine="420"/>
    </w:pPr>
    <w:rPr>
      <w:kern w:val="0"/>
      <w:sz w:val="20"/>
      <w:szCs w:val="20"/>
    </w:rPr>
  </w:style>
  <w:style w:type="paragraph" w:styleId="9">
    <w:name w:val="List Number"/>
    <w:basedOn w:val="1"/>
    <w:qFormat/>
    <w:uiPriority w:val="0"/>
    <w:pPr>
      <w:widowControl/>
      <w:tabs>
        <w:tab w:val="left" w:pos="454"/>
        <w:tab w:val="left" w:pos="720"/>
      </w:tabs>
      <w:spacing w:afterLines="50"/>
      <w:ind w:left="454" w:hanging="284"/>
      <w:jc w:val="left"/>
    </w:pPr>
    <w:rPr>
      <w:rFonts w:ascii="Times New Roman" w:hAnsi="Times New Roman"/>
      <w:kern w:val="0"/>
      <w:sz w:val="24"/>
      <w:szCs w:val="20"/>
    </w:rPr>
  </w:style>
  <w:style w:type="paragraph" w:styleId="10">
    <w:name w:val="caption"/>
    <w:basedOn w:val="1"/>
    <w:next w:val="1"/>
    <w:link w:val="56"/>
    <w:qFormat/>
    <w:uiPriority w:val="0"/>
    <w:pPr>
      <w:spacing w:before="152" w:after="160"/>
    </w:pPr>
    <w:rPr>
      <w:rFonts w:ascii="Arial" w:hAnsi="Arial" w:eastAsia="黑体" w:cs="Arial"/>
      <w:sz w:val="20"/>
      <w:szCs w:val="20"/>
    </w:rPr>
  </w:style>
  <w:style w:type="paragraph" w:styleId="11">
    <w:name w:val="Document Map"/>
    <w:basedOn w:val="1"/>
    <w:link w:val="57"/>
    <w:qFormat/>
    <w:uiPriority w:val="0"/>
    <w:pPr>
      <w:shd w:val="clear" w:color="auto" w:fill="000080"/>
    </w:pPr>
  </w:style>
  <w:style w:type="paragraph" w:styleId="12">
    <w:name w:val="annotation text"/>
    <w:basedOn w:val="1"/>
    <w:link w:val="58"/>
    <w:unhideWhenUsed/>
    <w:qFormat/>
    <w:uiPriority w:val="0"/>
    <w:pPr>
      <w:jc w:val="left"/>
    </w:pPr>
  </w:style>
  <w:style w:type="paragraph" w:styleId="13">
    <w:name w:val="Body Text 3"/>
    <w:basedOn w:val="1"/>
    <w:link w:val="59"/>
    <w:qFormat/>
    <w:uiPriority w:val="0"/>
    <w:pPr>
      <w:snapToGrid w:val="0"/>
      <w:spacing w:before="50" w:after="50"/>
    </w:pPr>
  </w:style>
  <w:style w:type="paragraph" w:styleId="14">
    <w:name w:val="Body Text"/>
    <w:basedOn w:val="1"/>
    <w:next w:val="15"/>
    <w:link w:val="60"/>
    <w:qFormat/>
    <w:uiPriority w:val="0"/>
    <w:pPr>
      <w:spacing w:after="120"/>
    </w:pPr>
    <w:rPr>
      <w:rFonts w:ascii="Times New Roman" w:hAnsi="Times New Roman"/>
      <w:sz w:val="28"/>
      <w:szCs w:val="24"/>
    </w:rPr>
  </w:style>
  <w:style w:type="paragraph" w:styleId="15">
    <w:name w:val="Plain Text"/>
    <w:basedOn w:val="1"/>
    <w:link w:val="75"/>
    <w:qFormat/>
    <w:uiPriority w:val="0"/>
    <w:pPr>
      <w:spacing w:beforeLines="50" w:afterLines="50" w:line="400" w:lineRule="exact"/>
    </w:pPr>
    <w:rPr>
      <w:rFonts w:ascii="宋体" w:hAnsi="Courier New"/>
      <w:kern w:val="0"/>
      <w:sz w:val="24"/>
      <w:szCs w:val="24"/>
    </w:rPr>
  </w:style>
  <w:style w:type="paragraph" w:styleId="16">
    <w:name w:val="Body Text Indent"/>
    <w:basedOn w:val="1"/>
    <w:next w:val="1"/>
    <w:link w:val="62"/>
    <w:qFormat/>
    <w:uiPriority w:val="0"/>
    <w:pPr>
      <w:spacing w:line="200" w:lineRule="exact"/>
      <w:ind w:firstLine="301"/>
    </w:pPr>
    <w:rPr>
      <w:rFonts w:ascii="宋体" w:hAnsi="Courier New"/>
      <w:spacing w:val="-4"/>
      <w:sz w:val="18"/>
      <w:szCs w:val="20"/>
    </w:rPr>
  </w:style>
  <w:style w:type="paragraph" w:styleId="17">
    <w:name w:val="List Number 3"/>
    <w:basedOn w:val="1"/>
    <w:qFormat/>
    <w:uiPriority w:val="0"/>
    <w:pPr>
      <w:numPr>
        <w:ilvl w:val="0"/>
        <w:numId w:val="1"/>
      </w:numPr>
    </w:pPr>
    <w:rPr>
      <w:rFonts w:ascii="Times New Roman" w:hAnsi="Times New Roman"/>
      <w:szCs w:val="24"/>
    </w:rPr>
  </w:style>
  <w:style w:type="paragraph" w:styleId="18">
    <w:name w:val="List 2"/>
    <w:basedOn w:val="1"/>
    <w:qFormat/>
    <w:uiPriority w:val="0"/>
    <w:pPr>
      <w:ind w:left="100" w:leftChars="200" w:hanging="200" w:hangingChars="200"/>
    </w:pPr>
    <w:rPr>
      <w:rFonts w:ascii="Times New Roman" w:hAnsi="Times New Roman"/>
      <w:sz w:val="28"/>
      <w:szCs w:val="24"/>
    </w:rPr>
  </w:style>
  <w:style w:type="paragraph" w:styleId="19">
    <w:name w:val="toc 3"/>
    <w:basedOn w:val="1"/>
    <w:next w:val="1"/>
    <w:qFormat/>
    <w:uiPriority w:val="0"/>
    <w:pPr>
      <w:ind w:left="840" w:leftChars="400"/>
    </w:pPr>
  </w:style>
  <w:style w:type="paragraph" w:styleId="20">
    <w:name w:val="Date"/>
    <w:basedOn w:val="1"/>
    <w:next w:val="1"/>
    <w:link w:val="63"/>
    <w:qFormat/>
    <w:uiPriority w:val="99"/>
    <w:pPr>
      <w:ind w:left="2500" w:leftChars="2500"/>
    </w:pPr>
    <w:rPr>
      <w:rFonts w:ascii="Times New Roman" w:hAnsi="Times New Roman" w:eastAsia="楷体_GB2312"/>
      <w:sz w:val="32"/>
      <w:szCs w:val="20"/>
    </w:rPr>
  </w:style>
  <w:style w:type="paragraph" w:styleId="21">
    <w:name w:val="Body Text Indent 2"/>
    <w:basedOn w:val="1"/>
    <w:link w:val="64"/>
    <w:qFormat/>
    <w:uiPriority w:val="0"/>
    <w:pPr>
      <w:snapToGrid w:val="0"/>
      <w:ind w:firstLine="542" w:firstLineChars="225"/>
    </w:pPr>
    <w:rPr>
      <w:rFonts w:ascii="仿宋_GB2312" w:hAnsi="宋体" w:cs="Arial"/>
      <w:b/>
      <w:bCs/>
      <w:color w:val="000000"/>
      <w:sz w:val="24"/>
      <w:szCs w:val="24"/>
    </w:rPr>
  </w:style>
  <w:style w:type="paragraph" w:styleId="22">
    <w:name w:val="Balloon Text"/>
    <w:basedOn w:val="1"/>
    <w:link w:val="65"/>
    <w:qFormat/>
    <w:uiPriority w:val="99"/>
    <w:rPr>
      <w:sz w:val="18"/>
      <w:szCs w:val="18"/>
    </w:rPr>
  </w:style>
  <w:style w:type="paragraph" w:styleId="23">
    <w:name w:val="footer"/>
    <w:basedOn w:val="1"/>
    <w:link w:val="66"/>
    <w:qFormat/>
    <w:uiPriority w:val="99"/>
    <w:pPr>
      <w:tabs>
        <w:tab w:val="center" w:pos="4153"/>
        <w:tab w:val="right" w:pos="8306"/>
      </w:tabs>
      <w:snapToGrid w:val="0"/>
      <w:jc w:val="left"/>
    </w:pPr>
    <w:rPr>
      <w:kern w:val="0"/>
      <w:sz w:val="18"/>
      <w:szCs w:val="18"/>
    </w:rPr>
  </w:style>
  <w:style w:type="paragraph" w:styleId="24">
    <w:name w:val="header"/>
    <w:basedOn w:val="1"/>
    <w:link w:val="67"/>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qFormat/>
    <w:uiPriority w:val="39"/>
    <w:rPr>
      <w:rFonts w:ascii="Times New Roman" w:hAnsi="Times New Roman"/>
      <w:szCs w:val="24"/>
    </w:rPr>
  </w:style>
  <w:style w:type="paragraph" w:styleId="26">
    <w:name w:val="List"/>
    <w:basedOn w:val="1"/>
    <w:qFormat/>
    <w:uiPriority w:val="0"/>
    <w:pPr>
      <w:ind w:left="200" w:hanging="200" w:hangingChars="200"/>
    </w:pPr>
    <w:rPr>
      <w:rFonts w:ascii="Times New Roman" w:hAnsi="Times New Roman"/>
      <w:sz w:val="28"/>
      <w:szCs w:val="24"/>
    </w:rPr>
  </w:style>
  <w:style w:type="paragraph" w:styleId="27">
    <w:name w:val="footnote text"/>
    <w:basedOn w:val="1"/>
    <w:link w:val="68"/>
    <w:qFormat/>
    <w:uiPriority w:val="0"/>
    <w:pPr>
      <w:snapToGrid w:val="0"/>
      <w:jc w:val="left"/>
    </w:pPr>
    <w:rPr>
      <w:sz w:val="18"/>
      <w:szCs w:val="18"/>
    </w:rPr>
  </w:style>
  <w:style w:type="paragraph" w:styleId="28">
    <w:name w:val="Body Text Indent 3"/>
    <w:basedOn w:val="1"/>
    <w:link w:val="69"/>
    <w:qFormat/>
    <w:uiPriority w:val="0"/>
    <w:pPr>
      <w:snapToGrid w:val="0"/>
      <w:ind w:firstLine="480" w:firstLineChars="200"/>
      <w:jc w:val="left"/>
    </w:pPr>
    <w:rPr>
      <w:rFonts w:ascii="仿宋_GB2312" w:hAnsi="宋体" w:eastAsia="仿宋_GB2312"/>
      <w:color w:val="000000"/>
      <w:sz w:val="24"/>
      <w:szCs w:val="24"/>
    </w:rPr>
  </w:style>
  <w:style w:type="paragraph" w:styleId="29">
    <w:name w:val="toc 2"/>
    <w:basedOn w:val="1"/>
    <w:next w:val="1"/>
    <w:qFormat/>
    <w:uiPriority w:val="0"/>
    <w:pPr>
      <w:ind w:left="420" w:leftChars="200"/>
    </w:pPr>
  </w:style>
  <w:style w:type="paragraph" w:styleId="30">
    <w:name w:val="Body Text 2"/>
    <w:basedOn w:val="1"/>
    <w:link w:val="70"/>
    <w:qFormat/>
    <w:uiPriority w:val="0"/>
    <w:pPr>
      <w:widowControl/>
      <w:snapToGrid w:val="0"/>
      <w:spacing w:before="50" w:afterLines="50" w:line="400" w:lineRule="exact"/>
      <w:jc w:val="left"/>
    </w:pPr>
    <w:rPr>
      <w:rFonts w:ascii="宋体" w:hAnsi="宋体"/>
      <w:color w:val="000000"/>
      <w:kern w:val="0"/>
      <w:sz w:val="24"/>
      <w:szCs w:val="24"/>
    </w:rPr>
  </w:style>
  <w:style w:type="paragraph" w:styleId="31">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32">
    <w:name w:val="Title"/>
    <w:basedOn w:val="1"/>
    <w:next w:val="1"/>
    <w:link w:val="71"/>
    <w:qFormat/>
    <w:uiPriority w:val="99"/>
    <w:pPr>
      <w:spacing w:before="240" w:after="60"/>
      <w:jc w:val="center"/>
      <w:outlineLvl w:val="0"/>
    </w:pPr>
    <w:rPr>
      <w:rFonts w:ascii="Cambria" w:hAnsi="Cambria"/>
      <w:b/>
      <w:bCs/>
      <w:kern w:val="0"/>
      <w:sz w:val="32"/>
      <w:szCs w:val="32"/>
    </w:rPr>
  </w:style>
  <w:style w:type="paragraph" w:styleId="33">
    <w:name w:val="annotation subject"/>
    <w:basedOn w:val="12"/>
    <w:next w:val="12"/>
    <w:link w:val="72"/>
    <w:qFormat/>
    <w:uiPriority w:val="0"/>
    <w:rPr>
      <w:b/>
      <w:bCs/>
    </w:rPr>
  </w:style>
  <w:style w:type="paragraph" w:styleId="34">
    <w:name w:val="Body Text First Indent"/>
    <w:basedOn w:val="14"/>
    <w:next w:val="1"/>
    <w:link w:val="73"/>
    <w:qFormat/>
    <w:uiPriority w:val="0"/>
    <w:pPr>
      <w:spacing w:line="500" w:lineRule="exact"/>
      <w:ind w:firstLine="420"/>
    </w:pPr>
    <w:rPr>
      <w:rFonts w:ascii="Calibri" w:hAnsi="Calibri"/>
    </w:rPr>
  </w:style>
  <w:style w:type="paragraph" w:styleId="35">
    <w:name w:val="Body Text First Indent 2"/>
    <w:basedOn w:val="16"/>
    <w:next w:val="36"/>
    <w:link w:val="74"/>
    <w:unhideWhenUsed/>
    <w:qFormat/>
    <w:uiPriority w:val="99"/>
    <w:pPr>
      <w:ind w:firstLine="420" w:firstLineChars="200"/>
    </w:pPr>
  </w:style>
  <w:style w:type="paragraph" w:customStyle="1" w:styleId="36">
    <w:name w:val="xl53"/>
    <w:basedOn w:val="1"/>
    <w:next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40">
    <w:name w:val="Strong"/>
    <w:qFormat/>
    <w:uiPriority w:val="0"/>
    <w:rPr>
      <w:b/>
      <w:bCs/>
    </w:rPr>
  </w:style>
  <w:style w:type="character" w:styleId="41">
    <w:name w:val="page number"/>
    <w:qFormat/>
    <w:uiPriority w:val="0"/>
  </w:style>
  <w:style w:type="character" w:styleId="42">
    <w:name w:val="FollowedHyperlink"/>
    <w:qFormat/>
    <w:uiPriority w:val="0"/>
    <w:rPr>
      <w:color w:val="800080"/>
      <w:u w:val="single"/>
    </w:rPr>
  </w:style>
  <w:style w:type="character" w:styleId="43">
    <w:name w:val="Emphasis"/>
    <w:qFormat/>
    <w:uiPriority w:val="20"/>
    <w:rPr>
      <w:color w:val="CC0033"/>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HTML Cite"/>
    <w:qFormat/>
    <w:uiPriority w:val="0"/>
    <w:rPr>
      <w:color w:val="008000"/>
    </w:rPr>
  </w:style>
  <w:style w:type="character" w:styleId="47">
    <w:name w:val="footnote reference"/>
    <w:qFormat/>
    <w:uiPriority w:val="0"/>
    <w:rPr>
      <w:vertAlign w:val="superscript"/>
    </w:rPr>
  </w:style>
  <w:style w:type="character" w:customStyle="1" w:styleId="48">
    <w:name w:val="标题 2 字符1"/>
    <w:link w:val="3"/>
    <w:qFormat/>
    <w:uiPriority w:val="0"/>
    <w:rPr>
      <w:rFonts w:ascii="Arial" w:hAnsi="Arial" w:eastAsia="黑体" w:cs="Times New Roman"/>
      <w:b/>
      <w:bCs/>
      <w:sz w:val="32"/>
      <w:szCs w:val="32"/>
    </w:rPr>
  </w:style>
  <w:style w:type="character" w:customStyle="1" w:styleId="49">
    <w:name w:val="标题 2 字符"/>
    <w:qFormat/>
    <w:uiPriority w:val="0"/>
    <w:rPr>
      <w:rFonts w:ascii="Arial" w:hAnsi="Arial" w:eastAsia="黑体"/>
      <w:b/>
      <w:bCs/>
      <w:kern w:val="2"/>
      <w:sz w:val="32"/>
      <w:szCs w:val="32"/>
      <w:lang w:bidi="ar-SA"/>
    </w:rPr>
  </w:style>
  <w:style w:type="character" w:customStyle="1" w:styleId="50">
    <w:name w:val="标题 1 字符"/>
    <w:link w:val="2"/>
    <w:qFormat/>
    <w:uiPriority w:val="0"/>
    <w:rPr>
      <w:rFonts w:ascii="Times New Roman" w:hAnsi="Times New Roman" w:eastAsia="隶书" w:cs="Times New Roman"/>
      <w:b/>
      <w:bCs/>
      <w:kern w:val="0"/>
      <w:sz w:val="36"/>
      <w:szCs w:val="36"/>
    </w:rPr>
  </w:style>
  <w:style w:type="character" w:customStyle="1" w:styleId="51">
    <w:name w:val="标题 3 字符"/>
    <w:link w:val="4"/>
    <w:qFormat/>
    <w:uiPriority w:val="9"/>
    <w:rPr>
      <w:rFonts w:ascii="Calibri" w:hAnsi="Calibri" w:eastAsia="宋体" w:cs="Times New Roman"/>
      <w:b/>
      <w:bCs/>
      <w:sz w:val="32"/>
      <w:szCs w:val="32"/>
    </w:rPr>
  </w:style>
  <w:style w:type="character" w:customStyle="1" w:styleId="52">
    <w:name w:val="标题 4 字符"/>
    <w:link w:val="6"/>
    <w:qFormat/>
    <w:uiPriority w:val="0"/>
    <w:rPr>
      <w:rFonts w:ascii="Arial" w:hAnsi="Arial" w:eastAsia="黑体" w:cs="Times New Roman"/>
      <w:b/>
      <w:bCs/>
      <w:sz w:val="28"/>
      <w:szCs w:val="28"/>
    </w:rPr>
  </w:style>
  <w:style w:type="character" w:customStyle="1" w:styleId="53">
    <w:name w:val="标题 5 字符"/>
    <w:link w:val="7"/>
    <w:qFormat/>
    <w:uiPriority w:val="0"/>
    <w:rPr>
      <w:rFonts w:ascii="Calibri" w:hAnsi="Calibri" w:eastAsia="宋体" w:cs="Times New Roman"/>
      <w:b/>
      <w:bCs/>
      <w:sz w:val="28"/>
      <w:szCs w:val="28"/>
    </w:rPr>
  </w:style>
  <w:style w:type="character" w:customStyle="1" w:styleId="54">
    <w:name w:val="标题 6 字符"/>
    <w:link w:val="8"/>
    <w:qFormat/>
    <w:uiPriority w:val="0"/>
    <w:rPr>
      <w:rFonts w:ascii="Arial" w:hAnsi="Arial" w:eastAsia="黑体" w:cs="Times New Roman"/>
      <w:b/>
      <w:bCs/>
      <w:sz w:val="24"/>
      <w:szCs w:val="24"/>
    </w:rPr>
  </w:style>
  <w:style w:type="character" w:customStyle="1" w:styleId="55">
    <w:name w:val="正文缩进 字符"/>
    <w:link w:val="5"/>
    <w:qFormat/>
    <w:uiPriority w:val="0"/>
    <w:rPr>
      <w:rFonts w:eastAsia="宋体"/>
    </w:rPr>
  </w:style>
  <w:style w:type="character" w:customStyle="1" w:styleId="56">
    <w:name w:val="题注 字符"/>
    <w:link w:val="10"/>
    <w:qFormat/>
    <w:locked/>
    <w:uiPriority w:val="0"/>
    <w:rPr>
      <w:rFonts w:ascii="Arial" w:hAnsi="Arial" w:eastAsia="黑体" w:cs="Arial"/>
      <w:kern w:val="2"/>
    </w:rPr>
  </w:style>
  <w:style w:type="character" w:customStyle="1" w:styleId="57">
    <w:name w:val="文档结构图 字符"/>
    <w:link w:val="11"/>
    <w:qFormat/>
    <w:uiPriority w:val="0"/>
    <w:rPr>
      <w:rFonts w:ascii="Calibri" w:hAnsi="Calibri" w:eastAsia="宋体" w:cs="Times New Roman"/>
      <w:shd w:val="clear" w:color="auto" w:fill="000080"/>
    </w:rPr>
  </w:style>
  <w:style w:type="character" w:customStyle="1" w:styleId="58">
    <w:name w:val="批注文字 字符"/>
    <w:link w:val="12"/>
    <w:qFormat/>
    <w:uiPriority w:val="0"/>
    <w:rPr>
      <w:rFonts w:ascii="Calibri" w:hAnsi="Calibri" w:eastAsia="宋体" w:cs="Times New Roman"/>
    </w:rPr>
  </w:style>
  <w:style w:type="character" w:customStyle="1" w:styleId="59">
    <w:name w:val="正文文本 3 字符"/>
    <w:link w:val="13"/>
    <w:qFormat/>
    <w:uiPriority w:val="0"/>
    <w:rPr>
      <w:rFonts w:ascii="Calibri" w:hAnsi="Calibri" w:eastAsia="宋体" w:cs="Times New Roman"/>
    </w:rPr>
  </w:style>
  <w:style w:type="character" w:customStyle="1" w:styleId="60">
    <w:name w:val="正文文本 字符"/>
    <w:link w:val="14"/>
    <w:qFormat/>
    <w:uiPriority w:val="0"/>
    <w:rPr>
      <w:rFonts w:ascii="Times New Roman" w:hAnsi="Times New Roman" w:eastAsia="宋体" w:cs="Times New Roman"/>
      <w:sz w:val="28"/>
      <w:szCs w:val="24"/>
    </w:rPr>
  </w:style>
  <w:style w:type="character" w:customStyle="1" w:styleId="61">
    <w:name w:val="纯文本 Char"/>
    <w:qFormat/>
    <w:uiPriority w:val="0"/>
    <w:rPr>
      <w:rFonts w:ascii="宋体" w:hAnsi="Courier New"/>
      <w:sz w:val="24"/>
      <w:szCs w:val="24"/>
    </w:rPr>
  </w:style>
  <w:style w:type="character" w:customStyle="1" w:styleId="62">
    <w:name w:val="正文文本缩进 字符"/>
    <w:link w:val="16"/>
    <w:qFormat/>
    <w:uiPriority w:val="0"/>
    <w:rPr>
      <w:rFonts w:ascii="宋体" w:hAnsi="Courier New" w:eastAsia="宋体" w:cs="Times New Roman"/>
      <w:spacing w:val="-4"/>
      <w:sz w:val="18"/>
      <w:szCs w:val="20"/>
    </w:rPr>
  </w:style>
  <w:style w:type="character" w:customStyle="1" w:styleId="63">
    <w:name w:val="日期 字符"/>
    <w:link w:val="20"/>
    <w:qFormat/>
    <w:uiPriority w:val="99"/>
    <w:rPr>
      <w:rFonts w:ascii="Times New Roman" w:hAnsi="Times New Roman" w:eastAsia="楷体_GB2312" w:cs="Times New Roman"/>
      <w:sz w:val="32"/>
      <w:szCs w:val="20"/>
    </w:rPr>
  </w:style>
  <w:style w:type="character" w:customStyle="1" w:styleId="64">
    <w:name w:val="正文文本缩进 2 字符"/>
    <w:link w:val="21"/>
    <w:qFormat/>
    <w:uiPriority w:val="0"/>
    <w:rPr>
      <w:rFonts w:ascii="仿宋_GB2312" w:hAnsi="宋体" w:eastAsia="宋体" w:cs="Arial"/>
      <w:b/>
      <w:bCs/>
      <w:color w:val="000000"/>
      <w:sz w:val="24"/>
      <w:szCs w:val="24"/>
    </w:rPr>
  </w:style>
  <w:style w:type="character" w:customStyle="1" w:styleId="65">
    <w:name w:val="批注框文本 字符"/>
    <w:link w:val="22"/>
    <w:qFormat/>
    <w:uiPriority w:val="99"/>
    <w:rPr>
      <w:rFonts w:ascii="Calibri" w:hAnsi="Calibri" w:eastAsia="宋体" w:cs="Times New Roman"/>
      <w:sz w:val="18"/>
      <w:szCs w:val="18"/>
    </w:rPr>
  </w:style>
  <w:style w:type="character" w:customStyle="1" w:styleId="66">
    <w:name w:val="页脚 字符"/>
    <w:link w:val="23"/>
    <w:qFormat/>
    <w:uiPriority w:val="99"/>
    <w:rPr>
      <w:rFonts w:ascii="Calibri" w:hAnsi="Calibri" w:eastAsia="宋体" w:cs="Times New Roman"/>
      <w:sz w:val="18"/>
      <w:szCs w:val="18"/>
    </w:rPr>
  </w:style>
  <w:style w:type="character" w:customStyle="1" w:styleId="67">
    <w:name w:val="页眉 字符"/>
    <w:link w:val="24"/>
    <w:qFormat/>
    <w:uiPriority w:val="99"/>
    <w:rPr>
      <w:rFonts w:ascii="Calibri" w:hAnsi="Calibri" w:eastAsia="宋体" w:cs="Times New Roman"/>
      <w:sz w:val="18"/>
      <w:szCs w:val="18"/>
    </w:rPr>
  </w:style>
  <w:style w:type="character" w:customStyle="1" w:styleId="68">
    <w:name w:val="脚注文本 字符1"/>
    <w:link w:val="27"/>
    <w:qFormat/>
    <w:uiPriority w:val="0"/>
    <w:rPr>
      <w:kern w:val="2"/>
      <w:sz w:val="18"/>
      <w:szCs w:val="18"/>
    </w:rPr>
  </w:style>
  <w:style w:type="character" w:customStyle="1" w:styleId="69">
    <w:name w:val="正文文本缩进 3 字符"/>
    <w:link w:val="28"/>
    <w:qFormat/>
    <w:uiPriority w:val="0"/>
    <w:rPr>
      <w:rFonts w:ascii="仿宋_GB2312" w:hAnsi="宋体" w:eastAsia="仿宋_GB2312" w:cs="Times New Roman"/>
      <w:color w:val="000000"/>
      <w:sz w:val="24"/>
      <w:szCs w:val="24"/>
    </w:rPr>
  </w:style>
  <w:style w:type="character" w:customStyle="1" w:styleId="70">
    <w:name w:val="正文文本 2 字符"/>
    <w:link w:val="30"/>
    <w:qFormat/>
    <w:uiPriority w:val="0"/>
    <w:rPr>
      <w:rFonts w:ascii="Calibri" w:hAnsi="Calibri" w:eastAsia="宋体" w:cs="Times New Roman"/>
    </w:rPr>
  </w:style>
  <w:style w:type="character" w:customStyle="1" w:styleId="71">
    <w:name w:val="标题 字符"/>
    <w:link w:val="32"/>
    <w:qFormat/>
    <w:uiPriority w:val="99"/>
    <w:rPr>
      <w:rFonts w:ascii="Cambria" w:hAnsi="Cambria" w:eastAsia="宋体" w:cs="Times New Roman"/>
      <w:b/>
      <w:bCs/>
      <w:sz w:val="32"/>
      <w:szCs w:val="32"/>
    </w:rPr>
  </w:style>
  <w:style w:type="character" w:customStyle="1" w:styleId="72">
    <w:name w:val="批注主题 字符"/>
    <w:link w:val="33"/>
    <w:qFormat/>
    <w:uiPriority w:val="0"/>
    <w:rPr>
      <w:b/>
      <w:bCs/>
    </w:rPr>
  </w:style>
  <w:style w:type="character" w:customStyle="1" w:styleId="73">
    <w:name w:val="正文首行缩进 字符"/>
    <w:link w:val="34"/>
    <w:qFormat/>
    <w:uiPriority w:val="0"/>
    <w:rPr>
      <w:rFonts w:ascii="Calibri" w:hAnsi="Calibri" w:eastAsia="宋体" w:cs="Times New Roman"/>
      <w:kern w:val="2"/>
      <w:sz w:val="28"/>
      <w:szCs w:val="24"/>
    </w:rPr>
  </w:style>
  <w:style w:type="character" w:customStyle="1" w:styleId="74">
    <w:name w:val="正文首行缩进 2 字符"/>
    <w:link w:val="35"/>
    <w:qFormat/>
    <w:uiPriority w:val="99"/>
    <w:rPr>
      <w:rFonts w:ascii="宋体" w:hAnsi="Courier New" w:eastAsia="宋体" w:cs="Times New Roman"/>
      <w:spacing w:val="-4"/>
      <w:kern w:val="2"/>
      <w:sz w:val="18"/>
      <w:szCs w:val="20"/>
    </w:rPr>
  </w:style>
  <w:style w:type="character" w:customStyle="1" w:styleId="75">
    <w:name w:val="纯文本 字符"/>
    <w:link w:val="15"/>
    <w:qFormat/>
    <w:uiPriority w:val="0"/>
    <w:rPr>
      <w:rFonts w:ascii="宋体" w:hAnsi="Courier New" w:eastAsia="宋体" w:cs="Courier New"/>
      <w:szCs w:val="21"/>
    </w:rPr>
  </w:style>
  <w:style w:type="character" w:customStyle="1" w:styleId="76">
    <w:name w:val="标题 1 Char Char"/>
    <w:qFormat/>
    <w:uiPriority w:val="0"/>
    <w:rPr>
      <w:rFonts w:eastAsia="宋体"/>
      <w:b/>
      <w:spacing w:val="-2"/>
      <w:sz w:val="24"/>
      <w:lang w:val="en-US" w:eastAsia="zh-CN" w:bidi="ar-SA"/>
    </w:rPr>
  </w:style>
  <w:style w:type="character" w:customStyle="1" w:styleId="77">
    <w:name w:val="a Char Char"/>
    <w:link w:val="78"/>
    <w:qFormat/>
    <w:uiPriority w:val="0"/>
    <w:rPr>
      <w:rFonts w:ascii="宋体" w:hAnsi="宋体" w:eastAsia="仿宋_GB2312"/>
      <w:sz w:val="24"/>
    </w:rPr>
  </w:style>
  <w:style w:type="paragraph" w:customStyle="1" w:styleId="78">
    <w:name w:val="a"/>
    <w:basedOn w:val="1"/>
    <w:link w:val="77"/>
    <w:qFormat/>
    <w:uiPriority w:val="0"/>
    <w:pPr>
      <w:widowControl/>
      <w:spacing w:before="100" w:beforeAutospacing="1" w:after="100" w:afterAutospacing="1"/>
      <w:jc w:val="left"/>
    </w:pPr>
    <w:rPr>
      <w:rFonts w:ascii="宋体" w:hAnsi="宋体" w:eastAsia="仿宋_GB2312"/>
      <w:kern w:val="0"/>
      <w:sz w:val="24"/>
      <w:szCs w:val="20"/>
    </w:rPr>
  </w:style>
  <w:style w:type="character" w:customStyle="1" w:styleId="79">
    <w:name w:val="标题 Char"/>
    <w:qFormat/>
    <w:locked/>
    <w:uiPriority w:val="99"/>
    <w:rPr>
      <w:rFonts w:ascii="Cambria" w:hAnsi="Cambria"/>
      <w:b/>
      <w:bCs/>
      <w:sz w:val="32"/>
      <w:szCs w:val="32"/>
    </w:rPr>
  </w:style>
  <w:style w:type="character" w:customStyle="1" w:styleId="80">
    <w:name w:val="脚注文本 字符"/>
    <w:semiHidden/>
    <w:qFormat/>
    <w:uiPriority w:val="99"/>
    <w:rPr>
      <w:kern w:val="2"/>
      <w:sz w:val="18"/>
      <w:szCs w:val="18"/>
    </w:rPr>
  </w:style>
  <w:style w:type="character" w:customStyle="1" w:styleId="81">
    <w:name w:val="批注框文本 Char"/>
    <w:qFormat/>
    <w:uiPriority w:val="0"/>
    <w:rPr>
      <w:kern w:val="2"/>
      <w:sz w:val="18"/>
      <w:szCs w:val="18"/>
    </w:rPr>
  </w:style>
  <w:style w:type="character" w:customStyle="1" w:styleId="82">
    <w:name w:val="纯文本 Char1"/>
    <w:qFormat/>
    <w:uiPriority w:val="0"/>
    <w:rPr>
      <w:rFonts w:ascii="宋体" w:hAnsi="Courier New"/>
      <w:sz w:val="21"/>
    </w:rPr>
  </w:style>
  <w:style w:type="character" w:customStyle="1" w:styleId="83">
    <w:name w:val="Char Char2"/>
    <w:qFormat/>
    <w:uiPriority w:val="0"/>
    <w:rPr>
      <w:rFonts w:ascii="宋体" w:hAnsi="Courier New" w:eastAsia="宋体"/>
      <w:sz w:val="21"/>
      <w:lang w:val="en-US" w:eastAsia="zh-CN" w:bidi="ar-SA"/>
    </w:rPr>
  </w:style>
  <w:style w:type="character" w:customStyle="1" w:styleId="84">
    <w:name w:val="页脚 字符1"/>
    <w:qFormat/>
    <w:uiPriority w:val="0"/>
    <w:rPr>
      <w:kern w:val="2"/>
      <w:sz w:val="18"/>
      <w:szCs w:val="18"/>
    </w:rPr>
  </w:style>
  <w:style w:type="character" w:customStyle="1" w:styleId="85">
    <w:name w:val="b titlename wangputoptitle"/>
    <w:qFormat/>
    <w:uiPriority w:val="0"/>
  </w:style>
  <w:style w:type="character" w:customStyle="1" w:styleId="86">
    <w:name w:val="_Style 132"/>
    <w:unhideWhenUsed/>
    <w:qFormat/>
    <w:uiPriority w:val="99"/>
    <w:rPr>
      <w:color w:val="605E5C"/>
      <w:shd w:val="clear" w:color="auto" w:fill="E1DFDD"/>
    </w:rPr>
  </w:style>
  <w:style w:type="character" w:customStyle="1" w:styleId="87">
    <w:name w:val="font71"/>
    <w:qFormat/>
    <w:uiPriority w:val="0"/>
    <w:rPr>
      <w:rFonts w:hint="eastAsia" w:ascii="宋体" w:hAnsi="宋体" w:eastAsia="宋体" w:cs="宋体"/>
      <w:b/>
      <w:color w:val="000000"/>
      <w:sz w:val="18"/>
      <w:szCs w:val="18"/>
      <w:u w:val="none"/>
    </w:rPr>
  </w:style>
  <w:style w:type="character" w:customStyle="1" w:styleId="88">
    <w:name w:val="apple-style-span"/>
    <w:qFormat/>
    <w:uiPriority w:val="0"/>
  </w:style>
  <w:style w:type="character" w:customStyle="1" w:styleId="89">
    <w:name w:val="列出段落 字符"/>
    <w:link w:val="90"/>
    <w:qFormat/>
    <w:locked/>
    <w:uiPriority w:val="34"/>
    <w:rPr>
      <w:rFonts w:ascii="Tahoma" w:hAnsi="Tahoma" w:eastAsia="微软雅黑"/>
      <w:sz w:val="22"/>
      <w:szCs w:val="22"/>
    </w:rPr>
  </w:style>
  <w:style w:type="paragraph" w:styleId="90">
    <w:name w:val="List Paragraph"/>
    <w:basedOn w:val="1"/>
    <w:link w:val="89"/>
    <w:qFormat/>
    <w:uiPriority w:val="34"/>
    <w:pPr>
      <w:widowControl/>
      <w:adjustRightInd w:val="0"/>
      <w:snapToGrid w:val="0"/>
      <w:spacing w:after="200"/>
      <w:ind w:firstLine="420" w:firstLineChars="200"/>
      <w:jc w:val="left"/>
    </w:pPr>
    <w:rPr>
      <w:rFonts w:ascii="Tahoma" w:hAnsi="Tahoma" w:eastAsia="微软雅黑"/>
      <w:kern w:val="0"/>
      <w:sz w:val="22"/>
    </w:rPr>
  </w:style>
  <w:style w:type="character" w:customStyle="1" w:styleId="91">
    <w:name w:val="表格正文 Char"/>
    <w:link w:val="92"/>
    <w:qFormat/>
    <w:uiPriority w:val="0"/>
    <w:rPr>
      <w:rFonts w:ascii="仿宋_GB2312" w:hAnsi="宋体" w:eastAsia="仿宋" w:cs="宋体"/>
      <w:color w:val="000000"/>
      <w:sz w:val="24"/>
      <w:szCs w:val="16"/>
    </w:rPr>
  </w:style>
  <w:style w:type="paragraph" w:customStyle="1" w:styleId="92">
    <w:name w:val="表格正文"/>
    <w:basedOn w:val="1"/>
    <w:link w:val="91"/>
    <w:qFormat/>
    <w:uiPriority w:val="0"/>
    <w:pPr>
      <w:widowControl/>
      <w:spacing w:line="440" w:lineRule="exact"/>
      <w:jc w:val="left"/>
    </w:pPr>
    <w:rPr>
      <w:rFonts w:ascii="仿宋_GB2312" w:hAnsi="宋体" w:eastAsia="仿宋"/>
      <w:color w:val="000000"/>
      <w:kern w:val="0"/>
      <w:sz w:val="24"/>
      <w:szCs w:val="16"/>
    </w:rPr>
  </w:style>
  <w:style w:type="character" w:customStyle="1" w:styleId="93">
    <w:name w:val="font3"/>
    <w:qFormat/>
    <w:uiPriority w:val="0"/>
  </w:style>
  <w:style w:type="character" w:customStyle="1" w:styleId="94">
    <w:name w:val="title14"/>
    <w:qFormat/>
    <w:uiPriority w:val="0"/>
  </w:style>
  <w:style w:type="character" w:customStyle="1" w:styleId="95">
    <w:name w:val="标题1"/>
    <w:qFormat/>
    <w:uiPriority w:val="0"/>
  </w:style>
  <w:style w:type="character" w:customStyle="1" w:styleId="96">
    <w:name w:val="标题 3 Char"/>
    <w:qFormat/>
    <w:uiPriority w:val="9"/>
    <w:rPr>
      <w:b/>
      <w:bCs/>
      <w:sz w:val="32"/>
      <w:szCs w:val="32"/>
    </w:rPr>
  </w:style>
  <w:style w:type="character" w:customStyle="1" w:styleId="97">
    <w:name w:val="文档结构图 Char"/>
    <w:qFormat/>
    <w:uiPriority w:val="0"/>
    <w:rPr>
      <w:rFonts w:ascii="宋体"/>
      <w:kern w:val="2"/>
      <w:sz w:val="18"/>
      <w:szCs w:val="18"/>
    </w:rPr>
  </w:style>
  <w:style w:type="character" w:customStyle="1" w:styleId="98">
    <w:name w:val="para"/>
    <w:qFormat/>
    <w:uiPriority w:val="0"/>
  </w:style>
  <w:style w:type="character" w:customStyle="1" w:styleId="99">
    <w:name w:val="flname7"/>
    <w:qFormat/>
    <w:uiPriority w:val="0"/>
  </w:style>
  <w:style w:type="character" w:customStyle="1" w:styleId="100">
    <w:name w:val="自定义正文 Char"/>
    <w:link w:val="101"/>
    <w:qFormat/>
    <w:uiPriority w:val="0"/>
    <w:rPr>
      <w:rFonts w:ascii="仿宋_GB2312" w:eastAsia="仿宋_GB2312"/>
      <w:sz w:val="28"/>
      <w:szCs w:val="24"/>
    </w:rPr>
  </w:style>
  <w:style w:type="paragraph" w:customStyle="1" w:styleId="101">
    <w:name w:val="自定义正文"/>
    <w:basedOn w:val="1"/>
    <w:link w:val="100"/>
    <w:qFormat/>
    <w:uiPriority w:val="0"/>
    <w:pPr>
      <w:spacing w:before="60" w:after="120" w:line="560" w:lineRule="exact"/>
      <w:ind w:firstLine="200" w:firstLineChars="200"/>
      <w:jc w:val="left"/>
    </w:pPr>
    <w:rPr>
      <w:rFonts w:ascii="仿宋_GB2312" w:eastAsia="仿宋_GB2312"/>
      <w:kern w:val="0"/>
      <w:sz w:val="28"/>
      <w:szCs w:val="24"/>
    </w:rPr>
  </w:style>
  <w:style w:type="character" w:customStyle="1" w:styleId="102">
    <w:name w:val="待斟酌 Char"/>
    <w:link w:val="103"/>
    <w:qFormat/>
    <w:uiPriority w:val="0"/>
    <w:rPr>
      <w:rFonts w:ascii="仿宋_GB2312" w:eastAsia="仿宋_GB2312"/>
      <w:b/>
      <w:color w:val="C00000"/>
      <w:sz w:val="28"/>
      <w:szCs w:val="28"/>
    </w:rPr>
  </w:style>
  <w:style w:type="paragraph" w:customStyle="1" w:styleId="103">
    <w:name w:val="待斟酌"/>
    <w:basedOn w:val="1"/>
    <w:link w:val="102"/>
    <w:qFormat/>
    <w:uiPriority w:val="0"/>
    <w:pPr>
      <w:widowControl/>
      <w:spacing w:line="520" w:lineRule="exact"/>
      <w:ind w:firstLine="562" w:firstLineChars="200"/>
      <w:jc w:val="left"/>
    </w:pPr>
    <w:rPr>
      <w:rFonts w:ascii="仿宋_GB2312" w:eastAsia="仿宋_GB2312"/>
      <w:b/>
      <w:color w:val="C00000"/>
      <w:kern w:val="0"/>
      <w:sz w:val="28"/>
      <w:szCs w:val="28"/>
    </w:rPr>
  </w:style>
  <w:style w:type="character" w:customStyle="1" w:styleId="104">
    <w:name w:val="正文--不缩进 Char"/>
    <w:link w:val="105"/>
    <w:qFormat/>
    <w:uiPriority w:val="0"/>
    <w:rPr>
      <w:rFonts w:ascii="仿宋_GB2312" w:eastAsia="仿宋_GB2312" w:cs="宋体"/>
      <w:sz w:val="28"/>
      <w:szCs w:val="28"/>
    </w:rPr>
  </w:style>
  <w:style w:type="paragraph" w:customStyle="1" w:styleId="105">
    <w:name w:val="正文--不缩进"/>
    <w:basedOn w:val="1"/>
    <w:link w:val="104"/>
    <w:qFormat/>
    <w:uiPriority w:val="0"/>
    <w:pPr>
      <w:widowControl/>
      <w:spacing w:line="520" w:lineRule="exact"/>
      <w:jc w:val="left"/>
    </w:pPr>
    <w:rPr>
      <w:rFonts w:ascii="仿宋_GB2312" w:eastAsia="仿宋_GB2312"/>
      <w:kern w:val="0"/>
      <w:sz w:val="28"/>
      <w:szCs w:val="28"/>
      <w:shd w:val="clear" w:color="auto" w:fill="FFFFFF"/>
    </w:rPr>
  </w:style>
  <w:style w:type="character" w:customStyle="1" w:styleId="106">
    <w:name w:val="未处理的提及1"/>
    <w:unhideWhenUsed/>
    <w:qFormat/>
    <w:uiPriority w:val="99"/>
    <w:rPr>
      <w:color w:val="605E5C"/>
      <w:shd w:val="clear" w:color="auto" w:fill="E1DFDD"/>
    </w:rPr>
  </w:style>
  <w:style w:type="character" w:customStyle="1" w:styleId="107">
    <w:name w:val="Char Char1"/>
    <w:qFormat/>
    <w:uiPriority w:val="0"/>
    <w:rPr>
      <w:kern w:val="2"/>
      <w:sz w:val="18"/>
      <w:szCs w:val="18"/>
    </w:rPr>
  </w:style>
  <w:style w:type="character" w:customStyle="1" w:styleId="108">
    <w:name w:val="页眉 Char"/>
    <w:qFormat/>
    <w:uiPriority w:val="0"/>
    <w:rPr>
      <w:sz w:val="18"/>
      <w:szCs w:val="18"/>
    </w:rPr>
  </w:style>
  <w:style w:type="character" w:customStyle="1" w:styleId="109">
    <w:name w:val="页脚 Char"/>
    <w:qFormat/>
    <w:uiPriority w:val="0"/>
    <w:rPr>
      <w:sz w:val="18"/>
      <w:szCs w:val="18"/>
    </w:rPr>
  </w:style>
  <w:style w:type="character" w:customStyle="1" w:styleId="110">
    <w:name w:val="正文文本 2 Char"/>
    <w:qFormat/>
    <w:uiPriority w:val="0"/>
    <w:rPr>
      <w:rFonts w:ascii="宋体" w:hAnsi="宋体" w:eastAsia="宋体"/>
      <w:color w:val="000000"/>
      <w:sz w:val="24"/>
      <w:szCs w:val="24"/>
    </w:rPr>
  </w:style>
  <w:style w:type="character" w:customStyle="1" w:styleId="111">
    <w:name w:val="日期 Char"/>
    <w:qFormat/>
    <w:uiPriority w:val="99"/>
    <w:rPr>
      <w:rFonts w:eastAsia="楷体_GB2312"/>
      <w:kern w:val="2"/>
      <w:sz w:val="32"/>
    </w:rPr>
  </w:style>
  <w:style w:type="character" w:customStyle="1" w:styleId="112">
    <w:name w:val="maywed421"/>
    <w:qFormat/>
    <w:uiPriority w:val="0"/>
    <w:rPr>
      <w:color w:val="366FB6"/>
      <w:u w:val="none"/>
    </w:rPr>
  </w:style>
  <w:style w:type="character" w:customStyle="1" w:styleId="113">
    <w:name w:val="bookmark-item"/>
    <w:qFormat/>
    <w:uiPriority w:val="0"/>
  </w:style>
  <w:style w:type="character" w:customStyle="1" w:styleId="114">
    <w:name w:val="mod-title ml-5"/>
    <w:qFormat/>
    <w:uiPriority w:val="0"/>
  </w:style>
  <w:style w:type="paragraph" w:customStyle="1" w:styleId="115">
    <w:name w:val="Char1 Char Char Char"/>
    <w:basedOn w:val="1"/>
    <w:qFormat/>
    <w:uiPriority w:val="0"/>
    <w:rPr>
      <w:rFonts w:ascii="Tahoma" w:hAnsi="Tahoma"/>
      <w:sz w:val="24"/>
      <w:szCs w:val="20"/>
    </w:rPr>
  </w:style>
  <w:style w:type="paragraph" w:styleId="116">
    <w:name w:val="No Spacing"/>
    <w:basedOn w:val="1"/>
    <w:qFormat/>
    <w:uiPriority w:val="99"/>
  </w:style>
  <w:style w:type="paragraph" w:customStyle="1" w:styleId="117">
    <w:name w:val="Char2"/>
    <w:basedOn w:val="1"/>
    <w:qFormat/>
    <w:uiPriority w:val="0"/>
    <w:rPr>
      <w:rFonts w:ascii="Times New Roman" w:hAnsi="Times New Roman"/>
      <w:szCs w:val="24"/>
    </w:rPr>
  </w:style>
  <w:style w:type="paragraph" w:customStyle="1" w:styleId="118">
    <w:name w:val="修订1"/>
    <w:semiHidden/>
    <w:qFormat/>
    <w:uiPriority w:val="99"/>
    <w:rPr>
      <w:rFonts w:ascii="Calibri" w:hAnsi="Calibri" w:eastAsia="宋体" w:cs="Times New Roman"/>
      <w:kern w:val="2"/>
      <w:sz w:val="21"/>
      <w:szCs w:val="22"/>
      <w:lang w:val="en-US" w:eastAsia="zh-CN" w:bidi="ar-SA"/>
    </w:rPr>
  </w:style>
  <w:style w:type="paragraph" w:customStyle="1" w:styleId="119">
    <w:name w:val="Proposals body"/>
    <w:basedOn w:val="1"/>
    <w:next w:val="1"/>
    <w:qFormat/>
    <w:uiPriority w:val="0"/>
    <w:pPr>
      <w:widowControl/>
      <w:spacing w:line="360" w:lineRule="auto"/>
      <w:jc w:val="left"/>
    </w:pPr>
    <w:rPr>
      <w:rFonts w:ascii="宋体" w:hAnsi="Times New Roman"/>
      <w:snapToGrid w:val="0"/>
      <w:color w:val="000000"/>
      <w:kern w:val="0"/>
      <w:sz w:val="24"/>
      <w:szCs w:val="20"/>
    </w:rPr>
  </w:style>
  <w:style w:type="paragraph" w:customStyle="1" w:styleId="120">
    <w:name w:val="Char Char Char Char Char Char Char Char Char Char"/>
    <w:basedOn w:val="1"/>
    <w:qFormat/>
    <w:uiPriority w:val="0"/>
    <w:rPr>
      <w:rFonts w:ascii="Tahoma" w:hAnsi="Tahoma"/>
      <w:sz w:val="24"/>
      <w:szCs w:val="20"/>
    </w:rPr>
  </w:style>
  <w:style w:type="paragraph" w:customStyle="1" w:styleId="121">
    <w:name w:val="_Style 68"/>
    <w:basedOn w:val="1"/>
    <w:next w:val="90"/>
    <w:qFormat/>
    <w:uiPriority w:val="34"/>
    <w:pPr>
      <w:ind w:firstLine="420" w:firstLineChars="200"/>
    </w:pPr>
  </w:style>
  <w:style w:type="paragraph" w:customStyle="1" w:styleId="122">
    <w:name w:val="表内文字"/>
    <w:basedOn w:val="1"/>
    <w:qFormat/>
    <w:uiPriority w:val="0"/>
    <w:pPr>
      <w:tabs>
        <w:tab w:val="left" w:pos="1418"/>
      </w:tabs>
      <w:spacing w:line="360" w:lineRule="auto"/>
      <w:jc w:val="center"/>
    </w:pPr>
    <w:rPr>
      <w:rFonts w:ascii="仿宋_GB2312" w:hAnsi="Times New Roman" w:eastAsia="仿宋_GB2312"/>
      <w:spacing w:val="-20"/>
      <w:kern w:val="0"/>
      <w:sz w:val="24"/>
      <w:szCs w:val="24"/>
    </w:rPr>
  </w:style>
  <w:style w:type="paragraph" w:customStyle="1" w:styleId="123">
    <w:name w:val="Char11"/>
    <w:basedOn w:val="1"/>
    <w:qFormat/>
    <w:uiPriority w:val="0"/>
    <w:rPr>
      <w:rFonts w:ascii="仿宋_GB2312" w:hAnsi="Times New Roman" w:eastAsia="仿宋_GB2312"/>
      <w:b/>
      <w:sz w:val="32"/>
      <w:szCs w:val="32"/>
    </w:rPr>
  </w:style>
  <w:style w:type="paragraph" w:customStyle="1" w:styleId="124">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25">
    <w:name w:val="正文居中"/>
    <w:basedOn w:val="1"/>
    <w:qFormat/>
    <w:uiPriority w:val="0"/>
    <w:pPr>
      <w:jc w:val="center"/>
    </w:pPr>
    <w:rPr>
      <w:rFonts w:hAnsi="仿宋_GB2312" w:cs="Calibri"/>
    </w:rPr>
  </w:style>
  <w:style w:type="paragraph" w:customStyle="1" w:styleId="126">
    <w:name w:val="f1"/>
    <w:basedOn w:val="1"/>
    <w:qFormat/>
    <w:uiPriority w:val="0"/>
    <w:pPr>
      <w:widowControl/>
      <w:spacing w:before="100" w:beforeAutospacing="1" w:after="100" w:afterAutospacing="1"/>
      <w:jc w:val="center"/>
    </w:pPr>
    <w:rPr>
      <w:rFonts w:ascii="仿宋_GB2312" w:hAnsi="仿宋_GB2312" w:cs="仿宋_GB2312"/>
      <w:b/>
      <w:bCs/>
      <w:color w:val="FF8080"/>
      <w:spacing w:val="160"/>
      <w:kern w:val="0"/>
      <w:sz w:val="80"/>
      <w:szCs w:val="80"/>
    </w:rPr>
  </w:style>
  <w:style w:type="paragraph" w:customStyle="1" w:styleId="127">
    <w:name w:val="自动更正"/>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28">
    <w:name w:val="Char Char5"/>
    <w:basedOn w:val="1"/>
    <w:qFormat/>
    <w:uiPriority w:val="0"/>
    <w:pPr>
      <w:adjustRightInd w:val="0"/>
      <w:spacing w:line="360" w:lineRule="atLeast"/>
    </w:pPr>
    <w:rPr>
      <w:rFonts w:ascii="Tahoma" w:hAnsi="Tahoma"/>
      <w:sz w:val="24"/>
      <w:szCs w:val="20"/>
    </w:rPr>
  </w:style>
  <w:style w:type="paragraph" w:customStyle="1" w:styleId="129">
    <w:name w:val="Char Char Char"/>
    <w:basedOn w:val="1"/>
    <w:qFormat/>
    <w:uiPriority w:val="0"/>
    <w:rPr>
      <w:rFonts w:ascii="Tahoma" w:hAnsi="Tahoma"/>
      <w:sz w:val="24"/>
      <w:szCs w:val="20"/>
    </w:rPr>
  </w:style>
  <w:style w:type="paragraph" w:customStyle="1" w:styleId="130">
    <w:name w:val="Char Char Char Char Char Char Char1"/>
    <w:basedOn w:val="1"/>
    <w:qFormat/>
    <w:uiPriority w:val="0"/>
    <w:pPr>
      <w:tabs>
        <w:tab w:val="left" w:pos="432"/>
      </w:tabs>
      <w:ind w:left="432" w:hanging="432"/>
    </w:pPr>
    <w:rPr>
      <w:rFonts w:ascii="Tahoma" w:hAnsi="Tahoma"/>
      <w:sz w:val="24"/>
      <w:szCs w:val="20"/>
    </w:rPr>
  </w:style>
  <w:style w:type="paragraph" w:customStyle="1" w:styleId="131">
    <w:name w:val="Char"/>
    <w:basedOn w:val="1"/>
    <w:qFormat/>
    <w:uiPriority w:val="0"/>
    <w:rPr>
      <w:rFonts w:ascii="仿宋_GB2312" w:hAnsi="Times New Roman" w:eastAsia="仿宋_GB2312"/>
      <w:b/>
      <w:sz w:val="32"/>
      <w:szCs w:val="32"/>
    </w:rPr>
  </w:style>
  <w:style w:type="paragraph" w:customStyle="1" w:styleId="132">
    <w:name w:val="样式1"/>
    <w:basedOn w:val="6"/>
    <w:qFormat/>
    <w:uiPriority w:val="0"/>
    <w:rPr>
      <w:rFonts w:ascii="宋体" w:hAnsi="宋体"/>
    </w:rPr>
  </w:style>
  <w:style w:type="paragraph" w:customStyle="1" w:styleId="133">
    <w:name w:val="样式2"/>
    <w:basedOn w:val="7"/>
    <w:qFormat/>
    <w:uiPriority w:val="0"/>
    <w:pPr>
      <w:spacing w:beforeLines="50" w:afterLines="50" w:line="440" w:lineRule="exact"/>
      <w:ind w:firstLine="472" w:firstLineChars="147"/>
    </w:pPr>
    <w:rPr>
      <w:rFonts w:ascii="仿宋_GB2312" w:eastAsia="仿宋_GB2312"/>
    </w:rPr>
  </w:style>
  <w:style w:type="paragraph" w:customStyle="1" w:styleId="134">
    <w:name w:val="paragraph1"/>
    <w:basedOn w:val="1"/>
    <w:qFormat/>
    <w:uiPriority w:val="0"/>
    <w:pPr>
      <w:spacing w:afterLines="30" w:line="360" w:lineRule="auto"/>
      <w:ind w:firstLine="420" w:firstLineChars="200"/>
    </w:pPr>
    <w:rPr>
      <w:rFonts w:ascii="Times New Roman" w:hAnsi="Times New Roman" w:eastAsia="楷体_GB2312"/>
      <w:sz w:val="24"/>
      <w:szCs w:val="20"/>
    </w:rPr>
  </w:style>
  <w:style w:type="paragraph" w:customStyle="1" w:styleId="135">
    <w:name w:val="Char Char Char Char"/>
    <w:basedOn w:val="1"/>
    <w:qFormat/>
    <w:uiPriority w:val="0"/>
    <w:pPr>
      <w:tabs>
        <w:tab w:val="left" w:pos="360"/>
      </w:tabs>
    </w:pPr>
    <w:rPr>
      <w:rFonts w:ascii="Times New Roman" w:hAnsi="Times New Roman"/>
      <w:sz w:val="24"/>
      <w:szCs w:val="20"/>
    </w:rPr>
  </w:style>
  <w:style w:type="paragraph" w:customStyle="1" w:styleId="136">
    <w:name w:val="石墨文档正文"/>
    <w:qFormat/>
    <w:uiPriority w:val="0"/>
    <w:rPr>
      <w:rFonts w:ascii="Arial Unicode MS" w:hAnsi="Arial Unicode MS" w:eastAsia="等线" w:cs="Arial Unicode MS"/>
      <w:sz w:val="22"/>
      <w:szCs w:val="22"/>
      <w:lang w:val="en-US" w:eastAsia="zh-CN" w:bidi="ar-SA"/>
    </w:rPr>
  </w:style>
  <w:style w:type="paragraph" w:customStyle="1" w:styleId="137">
    <w:name w:val="正文段"/>
    <w:basedOn w:val="1"/>
    <w:qFormat/>
    <w:uiPriority w:val="0"/>
    <w:pPr>
      <w:widowControl/>
      <w:snapToGrid w:val="0"/>
      <w:spacing w:afterLines="50"/>
      <w:ind w:firstLine="200" w:firstLineChars="200"/>
    </w:pPr>
    <w:rPr>
      <w:rFonts w:ascii="Times New Roman" w:hAnsi="Times New Roman"/>
      <w:kern w:val="0"/>
      <w:sz w:val="24"/>
      <w:szCs w:val="20"/>
    </w:rPr>
  </w:style>
  <w:style w:type="paragraph" w:customStyle="1" w:styleId="138">
    <w:name w:val="Char Char Char Char Char Char Char"/>
    <w:basedOn w:val="1"/>
    <w:qFormat/>
    <w:uiPriority w:val="0"/>
    <w:pPr>
      <w:tabs>
        <w:tab w:val="left" w:pos="432"/>
      </w:tabs>
      <w:ind w:left="432" w:hanging="432"/>
    </w:pPr>
    <w:rPr>
      <w:rFonts w:ascii="Tahoma" w:hAnsi="Tahoma"/>
      <w:sz w:val="24"/>
      <w:szCs w:val="20"/>
    </w:rPr>
  </w:style>
  <w:style w:type="paragraph" w:customStyle="1" w:styleId="139">
    <w:name w:val="列出段落1"/>
    <w:basedOn w:val="1"/>
    <w:qFormat/>
    <w:uiPriority w:val="0"/>
    <w:pPr>
      <w:ind w:firstLine="420" w:firstLineChars="200"/>
    </w:pPr>
    <w:rPr>
      <w:rFonts w:cs="黑体"/>
    </w:rPr>
  </w:style>
  <w:style w:type="paragraph" w:customStyle="1" w:styleId="140">
    <w:name w:val="彩色列表 - 强调文字颜色 11"/>
    <w:basedOn w:val="1"/>
    <w:qFormat/>
    <w:uiPriority w:val="0"/>
    <w:pPr>
      <w:autoSpaceDE w:val="0"/>
      <w:autoSpaceDN w:val="0"/>
      <w:adjustRightInd w:val="0"/>
      <w:ind w:firstLine="420" w:firstLineChars="200"/>
      <w:textAlignment w:val="baseline"/>
    </w:pPr>
    <w:rPr>
      <w:rFonts w:ascii="Times New Roman" w:hAnsi="Times New Roman"/>
      <w:kern w:val="0"/>
      <w:sz w:val="24"/>
      <w:szCs w:val="20"/>
    </w:rPr>
  </w:style>
  <w:style w:type="paragraph" w:customStyle="1" w:styleId="141">
    <w:name w:val="默认段落字体 Para Char Char Char Char Char Char Char Char Char1 Char Char Char Char"/>
    <w:basedOn w:val="1"/>
    <w:qFormat/>
    <w:uiPriority w:val="0"/>
    <w:rPr>
      <w:rFonts w:ascii="Tahoma" w:hAnsi="Tahoma"/>
      <w:sz w:val="24"/>
      <w:szCs w:val="20"/>
    </w:rPr>
  </w:style>
  <w:style w:type="paragraph" w:customStyle="1" w:styleId="142">
    <w:name w:val="Char Char1 Char Char Char Char1 Char Char Char"/>
    <w:basedOn w:val="1"/>
    <w:qFormat/>
    <w:uiPriority w:val="0"/>
    <w:pPr>
      <w:adjustRightInd w:val="0"/>
      <w:spacing w:line="360" w:lineRule="atLeast"/>
      <w:textAlignment w:val="baseline"/>
    </w:pPr>
    <w:rPr>
      <w:rFonts w:ascii="Tahoma" w:hAnsi="Tahoma"/>
      <w:sz w:val="24"/>
      <w:szCs w:val="20"/>
    </w:rPr>
  </w:style>
  <w:style w:type="paragraph" w:customStyle="1" w:styleId="143">
    <w:name w:val="默认段落字体 Para Char Char Char Char Char Char Char"/>
    <w:basedOn w:val="1"/>
    <w:qFormat/>
    <w:uiPriority w:val="0"/>
    <w:rPr>
      <w:rFonts w:ascii="Tahoma" w:hAnsi="Tahoma"/>
      <w:sz w:val="24"/>
      <w:szCs w:val="20"/>
    </w:rPr>
  </w:style>
  <w:style w:type="paragraph" w:customStyle="1" w:styleId="144">
    <w:name w:val="修订2"/>
    <w:semiHidden/>
    <w:qFormat/>
    <w:uiPriority w:val="99"/>
    <w:rPr>
      <w:rFonts w:ascii="Calibri" w:hAnsi="Calibri" w:eastAsia="宋体" w:cs="Times New Roman"/>
      <w:kern w:val="2"/>
      <w:sz w:val="21"/>
      <w:szCs w:val="22"/>
      <w:lang w:val="en-US" w:eastAsia="zh-CN" w:bidi="ar-SA"/>
    </w:rPr>
  </w:style>
  <w:style w:type="paragraph" w:customStyle="1" w:styleId="145">
    <w:name w:val="表格文字"/>
    <w:next w:val="14"/>
    <w:qFormat/>
    <w:uiPriority w:val="0"/>
    <w:pPr>
      <w:widowControl w:val="0"/>
      <w:snapToGrid w:val="0"/>
    </w:pPr>
    <w:rPr>
      <w:rFonts w:ascii="Times New Roman" w:hAnsi="Times New Roman" w:eastAsia="宋体" w:cs="Times New Roman"/>
      <w:kern w:val="2"/>
      <w:szCs w:val="24"/>
      <w:lang w:val="en-US" w:eastAsia="zh-CN" w:bidi="ar-SA"/>
    </w:rPr>
  </w:style>
  <w:style w:type="paragraph" w:customStyle="1" w:styleId="146">
    <w:name w:val="Char1"/>
    <w:basedOn w:val="1"/>
    <w:qFormat/>
    <w:uiPriority w:val="0"/>
    <w:pPr>
      <w:tabs>
        <w:tab w:val="left" w:pos="432"/>
      </w:tabs>
      <w:ind w:left="432" w:hanging="432"/>
    </w:pPr>
    <w:rPr>
      <w:rFonts w:ascii="Tahoma" w:hAnsi="Tahoma"/>
      <w:sz w:val="24"/>
      <w:szCs w:val="20"/>
    </w:rPr>
  </w:style>
  <w:style w:type="paragraph" w:customStyle="1" w:styleId="147">
    <w:name w:val="TOC 标题1"/>
    <w:basedOn w:val="2"/>
    <w:next w:val="1"/>
    <w:qFormat/>
    <w:uiPriority w:val="0"/>
    <w:pPr>
      <w:keepNext/>
      <w:keepLines/>
      <w:widowControl/>
      <w:autoSpaceDE/>
      <w:autoSpaceDN/>
      <w:adjustRightInd/>
      <w:spacing w:before="480" w:line="276" w:lineRule="auto"/>
      <w:jc w:val="left"/>
      <w:outlineLvl w:val="9"/>
    </w:pPr>
    <w:rPr>
      <w:rFonts w:ascii="Cambria" w:hAnsi="Cambria" w:eastAsia="宋体"/>
      <w:color w:val="365F91"/>
      <w:sz w:val="28"/>
      <w:szCs w:val="28"/>
    </w:rPr>
  </w:style>
  <w:style w:type="paragraph" w:customStyle="1" w:styleId="148">
    <w:name w:val="*正文"/>
    <w:basedOn w:val="1"/>
    <w:next w:val="1"/>
    <w:qFormat/>
    <w:uiPriority w:val="0"/>
    <w:pPr>
      <w:spacing w:line="360" w:lineRule="auto"/>
      <w:ind w:firstLine="560" w:firstLineChars="200"/>
    </w:pPr>
    <w:rPr>
      <w:rFonts w:eastAsia="仿宋"/>
      <w:sz w:val="28"/>
    </w:rPr>
  </w:style>
  <w:style w:type="paragraph" w:customStyle="1" w:styleId="149">
    <w:name w:val="样式3"/>
    <w:basedOn w:val="8"/>
    <w:next w:val="8"/>
    <w:qFormat/>
    <w:uiPriority w:val="0"/>
    <w:pPr>
      <w:spacing w:beforeLines="50" w:afterLines="50" w:line="440" w:lineRule="exact"/>
      <w:ind w:firstLine="472" w:firstLineChars="147"/>
    </w:pPr>
    <w:rPr>
      <w:rFonts w:ascii="仿宋_GB2312" w:eastAsia="仿宋_GB2312"/>
    </w:rPr>
  </w:style>
  <w:style w:type="paragraph" w:customStyle="1" w:styleId="150">
    <w:name w:val="p0"/>
    <w:basedOn w:val="1"/>
    <w:qFormat/>
    <w:uiPriority w:val="0"/>
    <w:pPr>
      <w:widowControl/>
    </w:pPr>
    <w:rPr>
      <w:rFonts w:ascii="Times New Roman" w:hAnsi="Times New Roman"/>
      <w:kern w:val="0"/>
      <w:szCs w:val="21"/>
    </w:rPr>
  </w:style>
  <w:style w:type="table" w:customStyle="1" w:styleId="151">
    <w:name w:val="网格型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2">
    <w:name w:val="网格型2"/>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3">
    <w:name w:val="Normal Indent1"/>
    <w:basedOn w:val="1"/>
    <w:qFormat/>
    <w:uiPriority w:val="99"/>
    <w:pPr>
      <w:ind w:firstLine="420"/>
    </w:pPr>
    <w:rPr>
      <w:rFonts w:ascii="Times New Roman" w:hAnsi="Times New Roman"/>
      <w:szCs w:val="20"/>
    </w:rPr>
  </w:style>
  <w:style w:type="character" w:customStyle="1" w:styleId="154">
    <w:name w:val="font31"/>
    <w:basedOn w:val="39"/>
    <w:qFormat/>
    <w:uiPriority w:val="0"/>
    <w:rPr>
      <w:rFonts w:hint="eastAsia" w:ascii="仿宋" w:hAnsi="仿宋" w:eastAsia="仿宋" w:cs="仿宋"/>
      <w:b/>
      <w:bCs/>
      <w:color w:val="FF0000"/>
      <w:sz w:val="24"/>
      <w:szCs w:val="24"/>
      <w:u w:val="none"/>
    </w:rPr>
  </w:style>
  <w:style w:type="character" w:customStyle="1" w:styleId="155">
    <w:name w:val="font41"/>
    <w:basedOn w:val="39"/>
    <w:qFormat/>
    <w:uiPriority w:val="0"/>
    <w:rPr>
      <w:rFonts w:hint="eastAsia" w:ascii="宋体" w:hAnsi="宋体" w:eastAsia="宋体" w:cs="宋体"/>
      <w:color w:val="000000"/>
      <w:sz w:val="24"/>
      <w:szCs w:val="24"/>
      <w:u w:val="none"/>
    </w:rPr>
  </w:style>
  <w:style w:type="character" w:customStyle="1" w:styleId="156">
    <w:name w:val="font51"/>
    <w:basedOn w:val="39"/>
    <w:qFormat/>
    <w:uiPriority w:val="0"/>
    <w:rPr>
      <w:rFonts w:hint="eastAsia" w:ascii="宋体" w:hAnsi="宋体" w:eastAsia="宋体" w:cs="宋体"/>
      <w:color w:val="E41908"/>
      <w:sz w:val="24"/>
      <w:szCs w:val="24"/>
      <w:u w:val="none"/>
    </w:rPr>
  </w:style>
  <w:style w:type="paragraph" w:customStyle="1" w:styleId="157">
    <w:name w:val="样式 标题 31.1.1标题 333rd levelBOD 0Bold HeadCTH3H31Heading ...1"/>
    <w:basedOn w:val="4"/>
    <w:qFormat/>
    <w:uiPriority w:val="0"/>
    <w:pPr>
      <w:spacing w:before="0" w:after="0"/>
    </w:pPr>
    <w:rPr>
      <w:rFonts w:hAnsi="宋体" w:cs="宋体"/>
      <w:sz w:val="24"/>
    </w:rPr>
  </w:style>
  <w:style w:type="character" w:customStyle="1" w:styleId="158">
    <w:name w:val="font11"/>
    <w:basedOn w:val="39"/>
    <w:qFormat/>
    <w:uiPriority w:val="0"/>
    <w:rPr>
      <w:rFonts w:hint="default" w:ascii="仿宋_GB2312" w:eastAsia="仿宋_GB2312" w:cs="仿宋_GB2312"/>
      <w:color w:val="000000"/>
      <w:sz w:val="22"/>
      <w:szCs w:val="22"/>
      <w:u w:val="none"/>
    </w:rPr>
  </w:style>
  <w:style w:type="character" w:customStyle="1" w:styleId="159">
    <w:name w:val="font21"/>
    <w:basedOn w:val="39"/>
    <w:qFormat/>
    <w:uiPriority w:val="0"/>
    <w:rPr>
      <w:rFonts w:hint="default" w:ascii="Times New Roman" w:hAnsi="Times New Roman" w:cs="Times New Roman"/>
      <w:color w:val="000000"/>
      <w:sz w:val="22"/>
      <w:szCs w:val="22"/>
      <w:u w:val="none"/>
    </w:rPr>
  </w:style>
  <w:style w:type="character" w:customStyle="1" w:styleId="160">
    <w:name w:val="font61"/>
    <w:basedOn w:val="39"/>
    <w:qFormat/>
    <w:uiPriority w:val="0"/>
    <w:rPr>
      <w:rFonts w:hint="default" w:ascii="仿宋_GB2312" w:eastAsia="仿宋_GB2312" w:cs="仿宋_GB2312"/>
      <w:color w:val="000000"/>
      <w:sz w:val="18"/>
      <w:szCs w:val="18"/>
      <w:u w:val="none"/>
    </w:rPr>
  </w:style>
  <w:style w:type="character" w:customStyle="1" w:styleId="161">
    <w:name w:val="font101"/>
    <w:basedOn w:val="39"/>
    <w:qFormat/>
    <w:uiPriority w:val="0"/>
    <w:rPr>
      <w:rFonts w:hint="eastAsia" w:ascii="宋体" w:hAnsi="宋体" w:eastAsia="宋体" w:cs="宋体"/>
      <w:color w:val="4874CB"/>
      <w:sz w:val="24"/>
      <w:szCs w:val="24"/>
      <w:u w:val="none"/>
    </w:rPr>
  </w:style>
  <w:style w:type="character" w:customStyle="1" w:styleId="162">
    <w:name w:val="15"/>
    <w:basedOn w:val="39"/>
    <w:qFormat/>
    <w:uiPriority w:val="0"/>
    <w:rPr>
      <w:rFonts w:hint="eastAsia" w:ascii="宋体" w:hAnsi="宋体" w:eastAsia="宋体" w:cs="宋体"/>
      <w:color w:val="4874CB"/>
      <w:sz w:val="24"/>
      <w:szCs w:val="24"/>
    </w:rPr>
  </w:style>
  <w:style w:type="character" w:customStyle="1" w:styleId="163">
    <w:name w:val="16"/>
    <w:basedOn w:val="39"/>
    <w:qFormat/>
    <w:uiPriority w:val="0"/>
    <w:rPr>
      <w:rFonts w:hint="default" w:ascii="仿宋_GB2312" w:eastAsia="仿宋_GB2312" w:cs="仿宋_GB2312"/>
      <w:color w:val="000000"/>
      <w:sz w:val="18"/>
      <w:szCs w:val="18"/>
    </w:rPr>
  </w:style>
  <w:style w:type="character" w:customStyle="1" w:styleId="164">
    <w:name w:val="10"/>
    <w:basedOn w:val="39"/>
    <w:qFormat/>
    <w:uiPriority w:val="0"/>
    <w:rPr>
      <w:rFonts w:hint="default" w:ascii="Times New Roman" w:hAnsi="Times New Roman" w:cs="Times New Roman"/>
    </w:rPr>
  </w:style>
  <w:style w:type="paragraph" w:customStyle="1" w:styleId="165">
    <w:name w:val="p1"/>
    <w:basedOn w:val="1"/>
    <w:qFormat/>
    <w:uiPriority w:val="0"/>
    <w:pPr>
      <w:spacing w:line="300" w:lineRule="atLeast"/>
    </w:pPr>
    <w:rPr>
      <w:rFonts w:ascii="仿宋_GB2312" w:hAnsi="仿宋_GB2312"/>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Organization</Company>
  <Pages>84</Pages>
  <Words>9670</Words>
  <Characters>10554</Characters>
  <Lines>327</Lines>
  <Paragraphs>92</Paragraphs>
  <TotalTime>13</TotalTime>
  <ScaleCrop>false</ScaleCrop>
  <LinksUpToDate>false</LinksUpToDate>
  <CharactersWithSpaces>10645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2023-08-25T17:13:00Z</dcterms:created>
  <dc:creator>蒋辉</dc:creator>
  <cp:lastModifiedBy>雷骏丰</cp:lastModifiedBy>
  <cp:lastPrinted>2026-04-08T06:12:00Z</cp:lastPrinted>
  <dcterms:modified xsi:type="dcterms:W3CDTF">2026-04-24T12:14:50Z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614BB62C81A74EAFBEAEC9FA7B37E943_13</vt:lpwstr>
  </property>
  <property fmtid="{D5CDD505-2E9C-101B-9397-08002B2CF9AE}" pid="4" name="woTemplateTypoMode">
    <vt:lpwstr/>
  </property>
  <property fmtid="{D5CDD505-2E9C-101B-9397-08002B2CF9AE}" pid="5" name="woTemplate">
    <vt:i4>0</vt:i4>
  </property>
  <property fmtid="{D5CDD505-2E9C-101B-9397-08002B2CF9AE}" pid="6" name="woSyncTypoMode">
    <vt:bool>true</vt:bool>
  </property>
  <property fmtid="{D5CDD505-2E9C-101B-9397-08002B2CF9AE}" pid="7" name="woTypoMode">
    <vt:lpwstr/>
  </property>
  <property fmtid="{D5CDD505-2E9C-101B-9397-08002B2CF9AE}" pid="8" name="KSOTemplateDocerSaveRecord">
    <vt:lpwstr>eyJoZGlkIjoiYTIwNGNjMzQxNmYwMDEzZmUxOTAwOTkwM2U4NTUyNjQiLCJ1c2VySWQiOiIxNDkwMjA0ODc2In0=</vt:lpwstr>
  </property>
</Properties>
</file>